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F92819" w:rsidTr="00DE5B4C">
        <w:trPr>
          <w:trHeight w:hRule="exact" w:val="851"/>
        </w:trPr>
        <w:tc>
          <w:tcPr>
            <w:tcW w:w="1280" w:type="dxa"/>
            <w:tcBorders>
              <w:bottom w:val="single" w:sz="4" w:space="0" w:color="auto"/>
            </w:tcBorders>
          </w:tcPr>
          <w:p w:rsidR="00F92819" w:rsidRDefault="00F92819"/>
        </w:tc>
        <w:tc>
          <w:tcPr>
            <w:tcW w:w="2273" w:type="dxa"/>
            <w:tcBorders>
              <w:bottom w:val="single" w:sz="4" w:space="0" w:color="auto"/>
            </w:tcBorders>
            <w:vAlign w:val="bottom"/>
          </w:tcPr>
          <w:p w:rsidR="00F92819" w:rsidRPr="00BD33EE" w:rsidRDefault="00F92819">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F92819" w:rsidRDefault="00F92819">
            <w:pPr>
              <w:spacing w:after="20"/>
              <w:jc w:val="right"/>
            </w:pPr>
            <w:r>
              <w:rPr>
                <w:sz w:val="40"/>
              </w:rPr>
              <w:t>E</w:t>
            </w:r>
            <w:r>
              <w:t>/C.12/ISR/3</w:t>
            </w:r>
          </w:p>
        </w:tc>
      </w:tr>
      <w:tr w:rsidR="00F92819" w:rsidTr="00DE5B4C">
        <w:trPr>
          <w:trHeight w:hRule="exact" w:val="2835"/>
        </w:trPr>
        <w:tc>
          <w:tcPr>
            <w:tcW w:w="1280" w:type="dxa"/>
            <w:tcBorders>
              <w:top w:val="single" w:sz="4" w:space="0" w:color="auto"/>
              <w:bottom w:val="single" w:sz="12" w:space="0" w:color="auto"/>
            </w:tcBorders>
          </w:tcPr>
          <w:p w:rsidR="00F92819" w:rsidRDefault="00F92819">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F92819" w:rsidRPr="00BD33EE" w:rsidRDefault="00F92819">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F92819" w:rsidRDefault="00F92819">
            <w:pPr>
              <w:spacing w:before="240"/>
            </w:pPr>
            <w:r>
              <w:t>Distr. general</w:t>
            </w:r>
          </w:p>
          <w:p w:rsidR="00F92819" w:rsidRDefault="00F92819" w:rsidP="00DE5B4C">
            <w:r>
              <w:t>1</w:t>
            </w:r>
            <w:r w:rsidR="00DE5B4C">
              <w:t>2 de julio</w:t>
            </w:r>
            <w:r>
              <w:t xml:space="preserve"> de 2010</w:t>
            </w:r>
          </w:p>
          <w:p w:rsidR="00F92819" w:rsidRDefault="00F92819">
            <w:r>
              <w:t>Español</w:t>
            </w:r>
          </w:p>
          <w:p w:rsidR="00F92819" w:rsidRDefault="00F92819">
            <w:r>
              <w:t>Original: inglés</w:t>
            </w:r>
          </w:p>
        </w:tc>
      </w:tr>
    </w:tbl>
    <w:p w:rsidR="00F92819" w:rsidRDefault="00F92819">
      <w:pPr>
        <w:spacing w:before="120"/>
        <w:rPr>
          <w:b/>
          <w:sz w:val="24"/>
          <w:szCs w:val="24"/>
        </w:rPr>
      </w:pPr>
      <w:r>
        <w:rPr>
          <w:b/>
          <w:sz w:val="24"/>
          <w:szCs w:val="24"/>
          <w:lang w:val="es-ES_tradnl"/>
        </w:rPr>
        <w:t>Comité de Derechos Económicos, Sociales y Culturales</w:t>
      </w:r>
    </w:p>
    <w:p w:rsidR="00F92819" w:rsidRDefault="00F92819">
      <w:pPr>
        <w:pStyle w:val="HMG"/>
        <w:spacing w:before="360"/>
        <w:rPr>
          <w:szCs w:val="24"/>
        </w:rPr>
      </w:pPr>
      <w:r>
        <w:rPr>
          <w:szCs w:val="24"/>
        </w:rPr>
        <w:tab/>
      </w:r>
      <w:r>
        <w:rPr>
          <w:szCs w:val="24"/>
        </w:rPr>
        <w:tab/>
      </w:r>
      <w:r>
        <w:rPr>
          <w:szCs w:val="24"/>
          <w:lang w:val="es-ES_tradnl"/>
        </w:rPr>
        <w:t>Aplicación del Pacto Internacional de Derechos Económicos, Sociales y Culturales</w:t>
      </w:r>
    </w:p>
    <w:p w:rsidR="00F92819" w:rsidRDefault="00F92819">
      <w:pPr>
        <w:pStyle w:val="HChG"/>
        <w:rPr>
          <w:szCs w:val="24"/>
        </w:rPr>
      </w:pPr>
      <w:r>
        <w:rPr>
          <w:szCs w:val="24"/>
        </w:rPr>
        <w:tab/>
      </w:r>
      <w:r>
        <w:rPr>
          <w:szCs w:val="24"/>
        </w:rPr>
        <w:tab/>
      </w:r>
      <w:r>
        <w:rPr>
          <w:szCs w:val="24"/>
          <w:lang w:val="es-ES_tradnl"/>
        </w:rPr>
        <w:t>Tercer informe periódico presentado por los Estados partes en virtud de los artículos 16 y 17 del Pacto</w:t>
      </w:r>
    </w:p>
    <w:p w:rsidR="00F92819" w:rsidRDefault="00F92819">
      <w:pPr>
        <w:pStyle w:val="HMG"/>
        <w:rPr>
          <w:szCs w:val="24"/>
        </w:rPr>
      </w:pPr>
      <w:r>
        <w:rPr>
          <w:szCs w:val="24"/>
        </w:rPr>
        <w:tab/>
      </w:r>
      <w:r>
        <w:rPr>
          <w:szCs w:val="24"/>
        </w:rPr>
        <w:tab/>
      </w:r>
      <w:r>
        <w:rPr>
          <w:szCs w:val="24"/>
          <w:lang w:val="es-ES_tradnl"/>
        </w:rPr>
        <w:t>Israel</w:t>
      </w:r>
      <w:r w:rsidRPr="00DE5B4C">
        <w:rPr>
          <w:rStyle w:val="FootnoteReference"/>
          <w:b w:val="0"/>
          <w:sz w:val="20"/>
          <w:szCs w:val="24"/>
          <w:vertAlign w:val="baseline"/>
          <w:lang w:val="es-ES_tradnl"/>
        </w:rPr>
        <w:footnoteReference w:customMarkFollows="1" w:id="1"/>
        <w:t>*</w:t>
      </w:r>
    </w:p>
    <w:p w:rsidR="00F92819" w:rsidRDefault="00F92819">
      <w:pPr>
        <w:jc w:val="right"/>
      </w:pPr>
      <w:r>
        <w:rPr>
          <w:szCs w:val="24"/>
          <w:lang w:val="es-ES_tradnl"/>
        </w:rPr>
        <w:t>[20 de enero de 2009]</w:t>
      </w:r>
    </w:p>
    <w:p w:rsidR="00F92819" w:rsidRDefault="00F92819"/>
    <w:p w:rsidR="00F92819" w:rsidRDefault="00F92819"/>
    <w:p w:rsidR="00F92819" w:rsidRDefault="00F92819"/>
    <w:p w:rsidR="00F92819" w:rsidRDefault="00F92819">
      <w:pPr>
        <w:rPr>
          <w:sz w:val="28"/>
          <w:szCs w:val="24"/>
        </w:rPr>
      </w:pPr>
      <w:r>
        <w:br w:type="page"/>
      </w:r>
      <w:r>
        <w:rPr>
          <w:sz w:val="28"/>
          <w:szCs w:val="24"/>
          <w:lang w:val="es-ES_tradnl"/>
        </w:rPr>
        <w:t>Índice</w:t>
      </w:r>
    </w:p>
    <w:p w:rsidR="00F92819" w:rsidRDefault="00F92819">
      <w:pPr>
        <w:tabs>
          <w:tab w:val="right" w:pos="8929"/>
          <w:tab w:val="right" w:pos="9638"/>
        </w:tabs>
        <w:spacing w:after="120"/>
        <w:ind w:left="283"/>
        <w:rPr>
          <w:szCs w:val="24"/>
        </w:rPr>
      </w:pPr>
      <w:r>
        <w:rPr>
          <w:i/>
          <w:sz w:val="18"/>
          <w:szCs w:val="24"/>
        </w:rPr>
        <w:tab/>
      </w:r>
      <w:r>
        <w:rPr>
          <w:i/>
          <w:sz w:val="18"/>
          <w:szCs w:val="24"/>
          <w:lang w:val="es-ES_tradnl"/>
        </w:rPr>
        <w:t>Párrafos</w:t>
      </w:r>
      <w:r>
        <w:rPr>
          <w:i/>
          <w:sz w:val="18"/>
          <w:szCs w:val="24"/>
        </w:rPr>
        <w:tab/>
      </w:r>
      <w:r>
        <w:rPr>
          <w:i/>
          <w:sz w:val="18"/>
          <w:szCs w:val="24"/>
          <w:lang w:val="es-ES_tradnl"/>
        </w:rPr>
        <w:t>Página</w:t>
      </w:r>
    </w:p>
    <w:p w:rsidR="00F92819" w:rsidRDefault="00F92819">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rPr>
        <w:tab/>
      </w:r>
      <w:r>
        <w:rPr>
          <w:szCs w:val="24"/>
          <w:lang w:val="es-ES_tradnl"/>
        </w:rPr>
        <w:t>Introducción</w:t>
      </w:r>
      <w:r>
        <w:rPr>
          <w:szCs w:val="24"/>
        </w:rPr>
        <w:tab/>
      </w:r>
      <w:r>
        <w:rPr>
          <w:szCs w:val="24"/>
        </w:rPr>
        <w:tab/>
        <w:t>1–8</w:t>
      </w:r>
      <w:r>
        <w:rPr>
          <w:szCs w:val="24"/>
        </w:rPr>
        <w:tab/>
        <w:t>4</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rPr>
        <w:tab/>
      </w:r>
      <w:r>
        <w:rPr>
          <w:szCs w:val="24"/>
        </w:rPr>
        <w:tab/>
      </w:r>
      <w:r>
        <w:rPr>
          <w:szCs w:val="24"/>
          <w:lang w:val="es-ES_tradnl"/>
        </w:rPr>
        <w:t>Artículo 1</w:t>
      </w:r>
      <w:r>
        <w:rPr>
          <w:szCs w:val="24"/>
          <w:lang w:val="es-ES_tradnl"/>
        </w:rPr>
        <w:tab/>
        <w:t>Libre determinación</w:t>
      </w:r>
      <w:r>
        <w:rPr>
          <w:szCs w:val="24"/>
        </w:rPr>
        <w:tab/>
      </w:r>
      <w:r>
        <w:rPr>
          <w:szCs w:val="24"/>
        </w:rPr>
        <w:tab/>
        <w:t>9</w:t>
      </w:r>
      <w:r>
        <w:rPr>
          <w:szCs w:val="24"/>
        </w:rPr>
        <w:tab/>
        <w:t>6</w:t>
      </w:r>
    </w:p>
    <w:p w:rsidR="00F92819" w:rsidRDefault="00F92819">
      <w:pPr>
        <w:tabs>
          <w:tab w:val="right" w:pos="850"/>
          <w:tab w:val="left" w:pos="1134"/>
          <w:tab w:val="left" w:pos="1559"/>
          <w:tab w:val="left" w:pos="2268"/>
          <w:tab w:val="left" w:leader="dot" w:pos="7654"/>
          <w:tab w:val="right" w:pos="8929"/>
          <w:tab w:val="right" w:pos="9638"/>
        </w:tabs>
        <w:rPr>
          <w:szCs w:val="24"/>
          <w:lang w:val="es-ES_tradnl"/>
        </w:rPr>
      </w:pPr>
      <w:r>
        <w:rPr>
          <w:szCs w:val="24"/>
        </w:rPr>
        <w:tab/>
      </w:r>
      <w:r>
        <w:rPr>
          <w:szCs w:val="24"/>
        </w:rPr>
        <w:tab/>
      </w:r>
      <w:r>
        <w:rPr>
          <w:szCs w:val="24"/>
          <w:lang w:val="es-ES_tradnl"/>
        </w:rPr>
        <w:t>Artículo 2</w:t>
      </w:r>
      <w:r>
        <w:rPr>
          <w:szCs w:val="24"/>
          <w:lang w:val="es-ES_tradnl"/>
        </w:rPr>
        <w:tab/>
        <w:t>Principios generales:</w:t>
      </w:r>
      <w:r>
        <w:rPr>
          <w:szCs w:val="24"/>
        </w:rPr>
        <w:t xml:space="preserve"> </w:t>
      </w:r>
      <w:r>
        <w:rPr>
          <w:szCs w:val="24"/>
          <w:lang w:val="es-ES_tradnl"/>
        </w:rPr>
        <w:t xml:space="preserve">Responsabilidad del </w:t>
      </w:r>
      <w:r w:rsidR="00D778AD">
        <w:rPr>
          <w:szCs w:val="24"/>
          <w:lang w:val="es-ES_tradnl"/>
        </w:rPr>
        <w:t>Estado</w:t>
      </w:r>
      <w:r>
        <w:rPr>
          <w:szCs w:val="24"/>
          <w:lang w:val="es-ES_tradnl"/>
        </w:rPr>
        <w:t xml:space="preserve">, no </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lang w:val="es-ES_tradnl"/>
        </w:rPr>
        <w:tab/>
      </w:r>
      <w:r>
        <w:rPr>
          <w:szCs w:val="24"/>
          <w:lang w:val="es-ES_tradnl"/>
        </w:rPr>
        <w:tab/>
      </w:r>
      <w:r>
        <w:rPr>
          <w:szCs w:val="24"/>
          <w:lang w:val="es-ES_tradnl"/>
        </w:rPr>
        <w:tab/>
      </w:r>
      <w:r>
        <w:rPr>
          <w:szCs w:val="24"/>
          <w:lang w:val="es-ES_tradnl"/>
        </w:rPr>
        <w:tab/>
        <w:t>discriminación y</w:t>
      </w:r>
      <w:r>
        <w:rPr>
          <w:szCs w:val="24"/>
        </w:rPr>
        <w:t xml:space="preserve"> </w:t>
      </w:r>
      <w:r>
        <w:rPr>
          <w:szCs w:val="24"/>
          <w:lang w:val="es-ES_tradnl"/>
        </w:rPr>
        <w:t>cooperación internacional</w:t>
      </w:r>
      <w:r>
        <w:rPr>
          <w:szCs w:val="24"/>
        </w:rPr>
        <w:tab/>
      </w:r>
      <w:r>
        <w:rPr>
          <w:szCs w:val="24"/>
        </w:rPr>
        <w:tab/>
        <w:t>10–122</w:t>
      </w:r>
      <w:r>
        <w:rPr>
          <w:szCs w:val="24"/>
        </w:rPr>
        <w:tab/>
        <w:t>6</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rPr>
        <w:tab/>
      </w:r>
      <w:r>
        <w:rPr>
          <w:szCs w:val="24"/>
        </w:rPr>
        <w:tab/>
      </w:r>
      <w:r>
        <w:rPr>
          <w:szCs w:val="24"/>
          <w:lang w:val="es-ES_tradnl"/>
        </w:rPr>
        <w:t>Artículo 3</w:t>
      </w:r>
      <w:r>
        <w:rPr>
          <w:szCs w:val="24"/>
          <w:lang w:val="es-ES_tradnl"/>
        </w:rPr>
        <w:tab/>
        <w:t>Prohibición de la discriminación entre hombres y mujeres</w:t>
      </w:r>
      <w:r>
        <w:rPr>
          <w:szCs w:val="24"/>
        </w:rPr>
        <w:tab/>
      </w:r>
      <w:r>
        <w:rPr>
          <w:szCs w:val="24"/>
        </w:rPr>
        <w:tab/>
        <w:t>123–154</w:t>
      </w:r>
      <w:r>
        <w:rPr>
          <w:szCs w:val="24"/>
        </w:rPr>
        <w:tab/>
        <w:t>24</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rPr>
        <w:tab/>
      </w:r>
      <w:r>
        <w:rPr>
          <w:szCs w:val="24"/>
        </w:rPr>
        <w:tab/>
      </w:r>
      <w:r>
        <w:rPr>
          <w:szCs w:val="24"/>
          <w:lang w:val="es-ES_tradnl"/>
        </w:rPr>
        <w:t>Artículo 6</w:t>
      </w:r>
      <w:r>
        <w:rPr>
          <w:szCs w:val="24"/>
          <w:lang w:val="es-ES_tradnl"/>
        </w:rPr>
        <w:tab/>
        <w:t>Derecho al trabajo</w:t>
      </w:r>
      <w:r>
        <w:rPr>
          <w:szCs w:val="24"/>
        </w:rPr>
        <w:tab/>
      </w:r>
      <w:r>
        <w:rPr>
          <w:szCs w:val="24"/>
        </w:rPr>
        <w:tab/>
        <w:t>155–248</w:t>
      </w:r>
      <w:r>
        <w:rPr>
          <w:szCs w:val="24"/>
        </w:rPr>
        <w:tab/>
        <w:t>30</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rPr>
        <w:tab/>
      </w:r>
      <w:r>
        <w:rPr>
          <w:szCs w:val="24"/>
        </w:rPr>
        <w:tab/>
      </w:r>
      <w:r>
        <w:rPr>
          <w:szCs w:val="24"/>
          <w:lang w:val="es-ES_tradnl"/>
        </w:rPr>
        <w:t>Artículo 7</w:t>
      </w:r>
      <w:r>
        <w:rPr>
          <w:szCs w:val="24"/>
          <w:lang w:val="es-ES_tradnl"/>
        </w:rPr>
        <w:tab/>
        <w:t>Derecho a condiciones de trabajo equitativas y satisfactorias</w:t>
      </w:r>
      <w:r>
        <w:rPr>
          <w:szCs w:val="24"/>
        </w:rPr>
        <w:tab/>
      </w:r>
      <w:r>
        <w:rPr>
          <w:szCs w:val="24"/>
        </w:rPr>
        <w:tab/>
        <w:t>249–296</w:t>
      </w:r>
      <w:r>
        <w:rPr>
          <w:szCs w:val="24"/>
        </w:rPr>
        <w:tab/>
        <w:t>50</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rPr>
        <w:tab/>
      </w:r>
      <w:r>
        <w:rPr>
          <w:szCs w:val="24"/>
        </w:rPr>
        <w:tab/>
      </w:r>
      <w:r>
        <w:rPr>
          <w:szCs w:val="24"/>
          <w:lang w:val="es-ES_tradnl"/>
        </w:rPr>
        <w:t>Artículo 8</w:t>
      </w:r>
      <w:r>
        <w:rPr>
          <w:szCs w:val="24"/>
          <w:lang w:val="es-ES_tradnl"/>
        </w:rPr>
        <w:tab/>
        <w:t>Derechos laborales colectivos</w:t>
      </w:r>
      <w:r w:rsidR="001D63DF">
        <w:rPr>
          <w:szCs w:val="24"/>
        </w:rPr>
        <w:tab/>
      </w:r>
      <w:r w:rsidR="001D63DF">
        <w:rPr>
          <w:szCs w:val="24"/>
        </w:rPr>
        <w:tab/>
        <w:t>297–304</w:t>
      </w:r>
      <w:r w:rsidR="001D63DF">
        <w:rPr>
          <w:szCs w:val="24"/>
        </w:rPr>
        <w:tab/>
        <w:t>62</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rPr>
        <w:tab/>
      </w:r>
      <w:r>
        <w:rPr>
          <w:szCs w:val="24"/>
        </w:rPr>
        <w:tab/>
      </w:r>
      <w:r>
        <w:rPr>
          <w:szCs w:val="24"/>
          <w:lang w:val="es-ES_tradnl"/>
        </w:rPr>
        <w:t>Artículo 9</w:t>
      </w:r>
      <w:r>
        <w:rPr>
          <w:szCs w:val="24"/>
          <w:lang w:val="es-ES_tradnl"/>
        </w:rPr>
        <w:tab/>
        <w:t>Derecho a la seguridad social</w:t>
      </w:r>
      <w:r>
        <w:rPr>
          <w:szCs w:val="24"/>
        </w:rPr>
        <w:tab/>
      </w:r>
      <w:r>
        <w:rPr>
          <w:szCs w:val="24"/>
        </w:rPr>
        <w:tab/>
        <w:t>305–344</w:t>
      </w:r>
      <w:r>
        <w:rPr>
          <w:szCs w:val="24"/>
        </w:rPr>
        <w:tab/>
        <w:t>64</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rPr>
        <w:tab/>
      </w:r>
      <w:r>
        <w:rPr>
          <w:szCs w:val="24"/>
        </w:rPr>
        <w:tab/>
      </w:r>
      <w:r>
        <w:rPr>
          <w:szCs w:val="24"/>
          <w:lang w:val="es-ES_tradnl"/>
        </w:rPr>
        <w:t>Artículo 10</w:t>
      </w:r>
      <w:r>
        <w:rPr>
          <w:szCs w:val="24"/>
          <w:lang w:val="es-ES_tradnl"/>
        </w:rPr>
        <w:tab/>
        <w:t>Derechos de la familia</w:t>
      </w:r>
      <w:r>
        <w:rPr>
          <w:szCs w:val="24"/>
        </w:rPr>
        <w:tab/>
      </w:r>
      <w:r>
        <w:rPr>
          <w:szCs w:val="24"/>
        </w:rPr>
        <w:tab/>
        <w:t>345–416</w:t>
      </w:r>
      <w:r>
        <w:rPr>
          <w:szCs w:val="24"/>
        </w:rPr>
        <w:tab/>
        <w:t>70</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rPr>
        <w:tab/>
      </w:r>
      <w:r>
        <w:rPr>
          <w:szCs w:val="24"/>
        </w:rPr>
        <w:tab/>
      </w:r>
      <w:r>
        <w:rPr>
          <w:szCs w:val="24"/>
          <w:lang w:val="es-ES_tradnl"/>
        </w:rPr>
        <w:t>Artículo 11</w:t>
      </w:r>
      <w:r>
        <w:rPr>
          <w:szCs w:val="24"/>
          <w:lang w:val="es-ES_tradnl"/>
        </w:rPr>
        <w:tab/>
        <w:t>Derecho a un nivel de vida adecuado</w:t>
      </w:r>
      <w:r>
        <w:rPr>
          <w:szCs w:val="24"/>
        </w:rPr>
        <w:tab/>
      </w:r>
      <w:r>
        <w:rPr>
          <w:szCs w:val="24"/>
        </w:rPr>
        <w:tab/>
        <w:t>417–493</w:t>
      </w:r>
      <w:r>
        <w:rPr>
          <w:szCs w:val="24"/>
        </w:rPr>
        <w:tab/>
        <w:t>84</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rPr>
        <w:tab/>
      </w:r>
      <w:r>
        <w:rPr>
          <w:szCs w:val="24"/>
        </w:rPr>
        <w:tab/>
      </w:r>
      <w:r>
        <w:rPr>
          <w:szCs w:val="24"/>
          <w:lang w:val="es-ES_tradnl"/>
        </w:rPr>
        <w:t>Artículo 12</w:t>
      </w:r>
      <w:r>
        <w:rPr>
          <w:szCs w:val="24"/>
          <w:lang w:val="es-ES_tradnl"/>
        </w:rPr>
        <w:tab/>
        <w:t>Derecho al nivel más alto posible de salud</w:t>
      </w:r>
      <w:r>
        <w:rPr>
          <w:szCs w:val="24"/>
        </w:rPr>
        <w:tab/>
      </w:r>
      <w:r>
        <w:rPr>
          <w:szCs w:val="24"/>
        </w:rPr>
        <w:tab/>
        <w:t>494–545</w:t>
      </w:r>
      <w:r>
        <w:rPr>
          <w:szCs w:val="24"/>
        </w:rPr>
        <w:tab/>
        <w:t>109</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rPr>
        <w:tab/>
      </w:r>
      <w:r>
        <w:rPr>
          <w:szCs w:val="24"/>
        </w:rPr>
        <w:tab/>
      </w:r>
      <w:r>
        <w:rPr>
          <w:szCs w:val="24"/>
          <w:lang w:val="es-ES_tradnl"/>
        </w:rPr>
        <w:t>Artículo 13</w:t>
      </w:r>
      <w:r>
        <w:rPr>
          <w:szCs w:val="24"/>
          <w:lang w:val="es-ES_tradnl"/>
        </w:rPr>
        <w:tab/>
        <w:t>Derecho a la educación</w:t>
      </w:r>
      <w:r>
        <w:rPr>
          <w:szCs w:val="24"/>
        </w:rPr>
        <w:tab/>
      </w:r>
      <w:r>
        <w:rPr>
          <w:szCs w:val="24"/>
        </w:rPr>
        <w:tab/>
        <w:t>546–624</w:t>
      </w:r>
      <w:r>
        <w:rPr>
          <w:szCs w:val="24"/>
        </w:rPr>
        <w:tab/>
        <w:t>118</w:t>
      </w:r>
    </w:p>
    <w:p w:rsidR="00F92819" w:rsidRDefault="00F92819">
      <w:pPr>
        <w:tabs>
          <w:tab w:val="right" w:pos="850"/>
          <w:tab w:val="left" w:pos="1134"/>
          <w:tab w:val="left" w:pos="1559"/>
          <w:tab w:val="left" w:pos="2268"/>
          <w:tab w:val="left" w:leader="dot" w:pos="7654"/>
          <w:tab w:val="right" w:pos="8929"/>
          <w:tab w:val="right" w:pos="9638"/>
        </w:tabs>
        <w:spacing w:after="120"/>
        <w:rPr>
          <w:szCs w:val="24"/>
        </w:rPr>
      </w:pPr>
      <w:r>
        <w:rPr>
          <w:szCs w:val="24"/>
        </w:rPr>
        <w:tab/>
      </w:r>
      <w:r>
        <w:rPr>
          <w:szCs w:val="24"/>
        </w:rPr>
        <w:tab/>
      </w:r>
      <w:r>
        <w:rPr>
          <w:szCs w:val="24"/>
          <w:lang w:val="es-ES_tradnl"/>
        </w:rPr>
        <w:t>Artículo 15</w:t>
      </w:r>
      <w:r>
        <w:rPr>
          <w:szCs w:val="24"/>
          <w:lang w:val="es-ES_tradnl"/>
        </w:rPr>
        <w:tab/>
        <w:t>Derecho a participar en la vida cultural y a beneficiarse del</w:t>
      </w:r>
      <w:r>
        <w:rPr>
          <w:szCs w:val="24"/>
          <w:lang w:val="es-ES_tradnl"/>
        </w:rPr>
        <w:br/>
      </w:r>
      <w:r>
        <w:rPr>
          <w:szCs w:val="24"/>
          <w:lang w:val="es-ES_tradnl"/>
        </w:rPr>
        <w:tab/>
      </w:r>
      <w:r>
        <w:rPr>
          <w:szCs w:val="24"/>
          <w:lang w:val="es-ES_tradnl"/>
        </w:rPr>
        <w:tab/>
      </w:r>
      <w:r>
        <w:rPr>
          <w:szCs w:val="24"/>
          <w:lang w:val="es-ES_tradnl"/>
        </w:rPr>
        <w:tab/>
      </w:r>
      <w:r>
        <w:rPr>
          <w:szCs w:val="24"/>
          <w:lang w:val="es-ES_tradnl"/>
        </w:rPr>
        <w:tab/>
        <w:t>progreso científico</w:t>
      </w:r>
      <w:r>
        <w:rPr>
          <w:szCs w:val="24"/>
        </w:rPr>
        <w:tab/>
      </w:r>
      <w:r>
        <w:rPr>
          <w:szCs w:val="24"/>
        </w:rPr>
        <w:tab/>
        <w:t>625–667</w:t>
      </w:r>
      <w:r>
        <w:rPr>
          <w:szCs w:val="24"/>
        </w:rPr>
        <w:tab/>
        <w:t>137</w:t>
      </w:r>
    </w:p>
    <w:p w:rsidR="00F92819" w:rsidRDefault="00F92819">
      <w:pPr>
        <w:tabs>
          <w:tab w:val="right" w:pos="850"/>
          <w:tab w:val="left" w:pos="1134"/>
          <w:tab w:val="left" w:pos="1559"/>
          <w:tab w:val="left" w:pos="1984"/>
          <w:tab w:val="left" w:leader="dot" w:pos="7654"/>
          <w:tab w:val="right" w:pos="8929"/>
          <w:tab w:val="right" w:pos="9638"/>
        </w:tabs>
        <w:spacing w:after="120"/>
        <w:rPr>
          <w:szCs w:val="24"/>
        </w:rPr>
      </w:pPr>
      <w:r>
        <w:rPr>
          <w:szCs w:val="24"/>
        </w:rPr>
        <w:tab/>
      </w:r>
      <w:r>
        <w:rPr>
          <w:szCs w:val="24"/>
          <w:lang w:val="es-ES_tradnl"/>
        </w:rPr>
        <w:t>Cuadros</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1.</w:t>
      </w:r>
      <w:r>
        <w:rPr>
          <w:szCs w:val="24"/>
        </w:rPr>
        <w:tab/>
      </w:r>
      <w:r>
        <w:rPr>
          <w:szCs w:val="24"/>
          <w:lang w:val="es-ES_tradnl"/>
        </w:rPr>
        <w:t>Empleo y desempleo:</w:t>
      </w:r>
      <w:r>
        <w:rPr>
          <w:szCs w:val="24"/>
        </w:rPr>
        <w:t xml:space="preserve"> </w:t>
      </w:r>
      <w:r>
        <w:rPr>
          <w:szCs w:val="24"/>
          <w:lang w:val="es-ES_tradnl"/>
        </w:rPr>
        <w:t>niveles y tendencias, 1999-2007</w:t>
      </w:r>
      <w:r>
        <w:rPr>
          <w:szCs w:val="24"/>
        </w:rPr>
        <w:tab/>
      </w:r>
      <w:r>
        <w:rPr>
          <w:szCs w:val="24"/>
        </w:rPr>
        <w:tab/>
      </w:r>
      <w:r>
        <w:rPr>
          <w:szCs w:val="24"/>
        </w:rPr>
        <w:tab/>
        <w:t>31</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2.</w:t>
      </w:r>
      <w:r>
        <w:rPr>
          <w:szCs w:val="24"/>
        </w:rPr>
        <w:tab/>
      </w:r>
      <w:r>
        <w:rPr>
          <w:szCs w:val="24"/>
          <w:lang w:val="es-ES_tradnl"/>
        </w:rPr>
        <w:t>Personas empleadas, personas desempleadas y personas que están fuera de la población activa,</w:t>
      </w:r>
      <w:r>
        <w:rPr>
          <w:szCs w:val="24"/>
          <w:lang w:val="es-ES_tradnl"/>
        </w:rPr>
        <w:br/>
      </w:r>
      <w:r>
        <w:rPr>
          <w:szCs w:val="24"/>
          <w:lang w:val="es-ES_tradnl"/>
        </w:rPr>
        <w:tab/>
      </w:r>
      <w:r>
        <w:rPr>
          <w:szCs w:val="24"/>
          <w:lang w:val="es-ES_tradnl"/>
        </w:rPr>
        <w:tab/>
        <w:t>por gravedad de</w:t>
      </w:r>
      <w:r>
        <w:rPr>
          <w:szCs w:val="24"/>
        </w:rPr>
        <w:t xml:space="preserve"> </w:t>
      </w:r>
      <w:r>
        <w:rPr>
          <w:szCs w:val="24"/>
          <w:lang w:val="es-ES_tradnl"/>
        </w:rPr>
        <w:t>la discapacidad, entre 20 y 64 años, 2005</w:t>
      </w:r>
      <w:r>
        <w:rPr>
          <w:szCs w:val="24"/>
        </w:rPr>
        <w:tab/>
      </w:r>
      <w:r>
        <w:rPr>
          <w:szCs w:val="24"/>
        </w:rPr>
        <w:tab/>
      </w:r>
      <w:r>
        <w:rPr>
          <w:szCs w:val="24"/>
        </w:rPr>
        <w:tab/>
        <w:t>37</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3.</w:t>
      </w:r>
      <w:r>
        <w:rPr>
          <w:szCs w:val="24"/>
        </w:rPr>
        <w:tab/>
      </w:r>
      <w:r>
        <w:rPr>
          <w:szCs w:val="24"/>
          <w:lang w:val="es-ES_tradnl"/>
        </w:rPr>
        <w:t>Personas desempleadas que están fuera de la población activa, entre 20 y 64 años, 2005</w:t>
      </w:r>
      <w:r>
        <w:rPr>
          <w:szCs w:val="24"/>
        </w:rPr>
        <w:tab/>
      </w:r>
      <w:r>
        <w:rPr>
          <w:szCs w:val="24"/>
        </w:rPr>
        <w:tab/>
      </w:r>
      <w:r>
        <w:rPr>
          <w:szCs w:val="24"/>
        </w:rPr>
        <w:tab/>
        <w:t>37</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4.</w:t>
      </w:r>
      <w:r>
        <w:rPr>
          <w:szCs w:val="24"/>
        </w:rPr>
        <w:tab/>
      </w:r>
      <w:r>
        <w:rPr>
          <w:szCs w:val="24"/>
          <w:lang w:val="es-ES_tradnl"/>
        </w:rPr>
        <w:t>Personas con discapacidad en Israel, por gravedad de la discapacidad, empleo y tipo de pensión,</w:t>
      </w:r>
      <w:r>
        <w:rPr>
          <w:szCs w:val="24"/>
          <w:lang w:val="es-ES_tradnl"/>
        </w:rPr>
        <w:br/>
      </w:r>
      <w:r>
        <w:rPr>
          <w:szCs w:val="24"/>
          <w:lang w:val="es-ES_tradnl"/>
        </w:rPr>
        <w:tab/>
      </w:r>
      <w:r>
        <w:rPr>
          <w:szCs w:val="24"/>
          <w:lang w:val="es-ES_tradnl"/>
        </w:rPr>
        <w:tab/>
        <w:t>entre 20 y 64 años, 2005</w:t>
      </w:r>
      <w:r>
        <w:rPr>
          <w:szCs w:val="24"/>
        </w:rPr>
        <w:tab/>
      </w:r>
      <w:r>
        <w:rPr>
          <w:szCs w:val="24"/>
        </w:rPr>
        <w:tab/>
      </w:r>
      <w:r>
        <w:rPr>
          <w:szCs w:val="24"/>
        </w:rPr>
        <w:tab/>
        <w:t>38</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5.</w:t>
      </w:r>
      <w:r>
        <w:rPr>
          <w:szCs w:val="24"/>
        </w:rPr>
        <w:tab/>
      </w:r>
      <w:r>
        <w:rPr>
          <w:szCs w:val="24"/>
          <w:lang w:val="es-ES_tradnl"/>
        </w:rPr>
        <w:t>Ingreso medio por persona (neto) de las personas con discapacidad, como porcentaje del ingreso</w:t>
      </w:r>
      <w:r>
        <w:rPr>
          <w:szCs w:val="24"/>
          <w:lang w:val="es-ES_tradnl"/>
        </w:rPr>
        <w:br/>
      </w:r>
      <w:r>
        <w:rPr>
          <w:szCs w:val="24"/>
          <w:lang w:val="es-ES_tradnl"/>
        </w:rPr>
        <w:tab/>
      </w:r>
      <w:r>
        <w:rPr>
          <w:szCs w:val="24"/>
          <w:lang w:val="es-ES_tradnl"/>
        </w:rPr>
        <w:tab/>
        <w:t>de las personas</w:t>
      </w:r>
      <w:r>
        <w:rPr>
          <w:szCs w:val="24"/>
        </w:rPr>
        <w:t xml:space="preserve"> </w:t>
      </w:r>
      <w:r>
        <w:rPr>
          <w:szCs w:val="24"/>
          <w:lang w:val="es-ES_tradnl"/>
        </w:rPr>
        <w:t>sin enfermedad crónica ni discapacidad, 2002</w:t>
      </w:r>
      <w:r w:rsidR="001D63DF">
        <w:rPr>
          <w:szCs w:val="24"/>
          <w:lang w:val="es-ES_tradnl"/>
        </w:rPr>
        <w:t>-</w:t>
      </w:r>
      <w:r>
        <w:rPr>
          <w:szCs w:val="24"/>
          <w:lang w:val="es-ES_tradnl"/>
        </w:rPr>
        <w:t>2006</w:t>
      </w:r>
      <w:r>
        <w:rPr>
          <w:szCs w:val="24"/>
        </w:rPr>
        <w:tab/>
      </w:r>
      <w:r>
        <w:rPr>
          <w:szCs w:val="24"/>
        </w:rPr>
        <w:tab/>
      </w:r>
      <w:r>
        <w:rPr>
          <w:szCs w:val="24"/>
        </w:rPr>
        <w:tab/>
        <w:t>38</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6.</w:t>
      </w:r>
      <w:r>
        <w:rPr>
          <w:szCs w:val="24"/>
        </w:rPr>
        <w:tab/>
      </w:r>
      <w:r>
        <w:rPr>
          <w:szCs w:val="24"/>
          <w:lang w:val="es-ES_tradnl"/>
        </w:rPr>
        <w:t>Datos comparativos de formación profesional de adultos, 2002</w:t>
      </w:r>
      <w:r w:rsidR="001D63DF">
        <w:rPr>
          <w:szCs w:val="24"/>
          <w:lang w:val="es-ES_tradnl"/>
        </w:rPr>
        <w:t>-</w:t>
      </w:r>
      <w:r>
        <w:rPr>
          <w:szCs w:val="24"/>
          <w:lang w:val="es-ES_tradnl"/>
        </w:rPr>
        <w:t>2007</w:t>
      </w:r>
      <w:r>
        <w:rPr>
          <w:szCs w:val="24"/>
        </w:rPr>
        <w:tab/>
      </w:r>
      <w:r>
        <w:rPr>
          <w:szCs w:val="24"/>
        </w:rPr>
        <w:tab/>
      </w:r>
      <w:r>
        <w:rPr>
          <w:szCs w:val="24"/>
        </w:rPr>
        <w:tab/>
        <w:t>41</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7.</w:t>
      </w:r>
      <w:r>
        <w:rPr>
          <w:szCs w:val="24"/>
        </w:rPr>
        <w:tab/>
      </w:r>
      <w:r>
        <w:rPr>
          <w:szCs w:val="24"/>
          <w:lang w:val="es-ES_tradnl"/>
        </w:rPr>
        <w:t>Personas empleadas en 2007, por género y grupo de población</w:t>
      </w:r>
      <w:r>
        <w:rPr>
          <w:szCs w:val="24"/>
        </w:rPr>
        <w:tab/>
      </w:r>
      <w:r>
        <w:rPr>
          <w:szCs w:val="24"/>
        </w:rPr>
        <w:tab/>
      </w:r>
      <w:r>
        <w:rPr>
          <w:szCs w:val="24"/>
        </w:rPr>
        <w:tab/>
        <w:t>44</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8.</w:t>
      </w:r>
      <w:r>
        <w:rPr>
          <w:szCs w:val="24"/>
        </w:rPr>
        <w:tab/>
      </w:r>
      <w:r>
        <w:rPr>
          <w:szCs w:val="24"/>
          <w:lang w:val="es-ES_tradnl"/>
        </w:rPr>
        <w:t>Personas empleadas, por ocupación, género y grupo de población, 2007</w:t>
      </w:r>
      <w:r>
        <w:rPr>
          <w:szCs w:val="24"/>
        </w:rPr>
        <w:tab/>
      </w:r>
      <w:r>
        <w:rPr>
          <w:szCs w:val="24"/>
        </w:rPr>
        <w:tab/>
      </w:r>
      <w:r>
        <w:rPr>
          <w:szCs w:val="24"/>
        </w:rPr>
        <w:tab/>
        <w:t>45</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9.</w:t>
      </w:r>
      <w:r>
        <w:rPr>
          <w:szCs w:val="24"/>
        </w:rPr>
        <w:tab/>
      </w:r>
      <w:r>
        <w:rPr>
          <w:szCs w:val="24"/>
          <w:lang w:val="es-ES_tradnl"/>
        </w:rPr>
        <w:t>Informe sobre el cumplimiento de la Ley de salario mínimo (2005</w:t>
      </w:r>
      <w:r w:rsidR="001D63DF">
        <w:rPr>
          <w:szCs w:val="24"/>
          <w:lang w:val="es-ES_tradnl"/>
        </w:rPr>
        <w:t>-</w:t>
      </w:r>
      <w:r>
        <w:rPr>
          <w:szCs w:val="24"/>
          <w:lang w:val="es-ES_tradnl"/>
        </w:rPr>
        <w:t>2007)</w:t>
      </w:r>
      <w:r>
        <w:rPr>
          <w:szCs w:val="24"/>
        </w:rPr>
        <w:tab/>
      </w:r>
      <w:r>
        <w:rPr>
          <w:szCs w:val="24"/>
        </w:rPr>
        <w:tab/>
      </w:r>
      <w:r>
        <w:rPr>
          <w:szCs w:val="24"/>
        </w:rPr>
        <w:tab/>
        <w:t>52</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10.</w:t>
      </w:r>
      <w:r>
        <w:rPr>
          <w:szCs w:val="24"/>
        </w:rPr>
        <w:tab/>
      </w:r>
      <w:r>
        <w:rPr>
          <w:szCs w:val="24"/>
          <w:lang w:val="es-ES_tradnl"/>
        </w:rPr>
        <w:t>Trabajadores asalariados urbanos:</w:t>
      </w:r>
      <w:r>
        <w:rPr>
          <w:szCs w:val="24"/>
        </w:rPr>
        <w:t xml:space="preserve"> </w:t>
      </w:r>
      <w:r>
        <w:rPr>
          <w:szCs w:val="24"/>
          <w:lang w:val="es-ES_tradnl"/>
        </w:rPr>
        <w:t xml:space="preserve">sueldos por hora de las mujeres en porcentaje de los sueldos </w:t>
      </w:r>
      <w:r>
        <w:rPr>
          <w:szCs w:val="24"/>
          <w:lang w:val="es-ES_tradnl"/>
        </w:rPr>
        <w:br/>
      </w:r>
      <w:r>
        <w:rPr>
          <w:szCs w:val="24"/>
          <w:lang w:val="es-ES_tradnl"/>
        </w:rPr>
        <w:tab/>
      </w:r>
      <w:r>
        <w:rPr>
          <w:szCs w:val="24"/>
          <w:lang w:val="es-ES_tradnl"/>
        </w:rPr>
        <w:tab/>
        <w:t>por hora</w:t>
      </w:r>
      <w:r>
        <w:rPr>
          <w:szCs w:val="24"/>
        </w:rPr>
        <w:t xml:space="preserve"> </w:t>
      </w:r>
      <w:r>
        <w:rPr>
          <w:szCs w:val="24"/>
          <w:lang w:val="es-ES_tradnl"/>
        </w:rPr>
        <w:t>de los hombres en 1995, 1998 y 2006</w:t>
      </w:r>
      <w:r>
        <w:rPr>
          <w:szCs w:val="24"/>
        </w:rPr>
        <w:tab/>
      </w:r>
      <w:r>
        <w:rPr>
          <w:szCs w:val="24"/>
        </w:rPr>
        <w:tab/>
      </w:r>
      <w:r>
        <w:rPr>
          <w:szCs w:val="24"/>
        </w:rPr>
        <w:tab/>
        <w:t>55</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11.</w:t>
      </w:r>
      <w:r>
        <w:rPr>
          <w:szCs w:val="24"/>
        </w:rPr>
        <w:tab/>
      </w:r>
      <w:r>
        <w:rPr>
          <w:szCs w:val="24"/>
          <w:lang w:val="es-ES_tradnl"/>
        </w:rPr>
        <w:t>Ingresos brutos por empleado, por ocupación y género, 2007</w:t>
      </w:r>
      <w:r>
        <w:rPr>
          <w:szCs w:val="24"/>
        </w:rPr>
        <w:tab/>
      </w:r>
      <w:r>
        <w:rPr>
          <w:szCs w:val="24"/>
        </w:rPr>
        <w:tab/>
      </w:r>
      <w:r>
        <w:rPr>
          <w:szCs w:val="24"/>
        </w:rPr>
        <w:tab/>
        <w:t>57</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12.</w:t>
      </w:r>
      <w:r>
        <w:rPr>
          <w:szCs w:val="24"/>
        </w:rPr>
        <w:tab/>
      </w:r>
      <w:r>
        <w:rPr>
          <w:szCs w:val="24"/>
          <w:lang w:val="es-ES_tradnl"/>
        </w:rPr>
        <w:t>Ingresos mensuales, por situación en el trabajo del cabeza de familia, 2007</w:t>
      </w:r>
      <w:r>
        <w:rPr>
          <w:szCs w:val="24"/>
        </w:rPr>
        <w:tab/>
      </w:r>
      <w:r>
        <w:rPr>
          <w:szCs w:val="24"/>
        </w:rPr>
        <w:tab/>
      </w:r>
      <w:r>
        <w:rPr>
          <w:szCs w:val="24"/>
        </w:rPr>
        <w:tab/>
        <w:t>58</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13.</w:t>
      </w:r>
      <w:r>
        <w:rPr>
          <w:szCs w:val="24"/>
        </w:rPr>
        <w:tab/>
      </w:r>
      <w:r>
        <w:rPr>
          <w:szCs w:val="24"/>
          <w:lang w:val="es-ES_tradnl"/>
        </w:rPr>
        <w:t>Accidentes de trabajo, 2000-2006</w:t>
      </w:r>
      <w:r>
        <w:rPr>
          <w:szCs w:val="24"/>
        </w:rPr>
        <w:tab/>
      </w:r>
      <w:r>
        <w:rPr>
          <w:szCs w:val="24"/>
        </w:rPr>
        <w:tab/>
      </w:r>
      <w:r>
        <w:rPr>
          <w:szCs w:val="24"/>
        </w:rPr>
        <w:tab/>
        <w:t>59</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14.</w:t>
      </w:r>
      <w:r>
        <w:rPr>
          <w:szCs w:val="24"/>
        </w:rPr>
        <w:tab/>
      </w:r>
      <w:r>
        <w:rPr>
          <w:szCs w:val="24"/>
          <w:lang w:val="es-ES_tradnl"/>
        </w:rPr>
        <w:t>Víctimas mortales resultantes de accidentes en el trabajo, 1999</w:t>
      </w:r>
      <w:r w:rsidR="001D63DF">
        <w:rPr>
          <w:szCs w:val="24"/>
          <w:lang w:val="es-ES_tradnl"/>
        </w:rPr>
        <w:t>-</w:t>
      </w:r>
      <w:r>
        <w:rPr>
          <w:szCs w:val="24"/>
          <w:lang w:val="es-ES_tradnl"/>
        </w:rPr>
        <w:t>2007</w:t>
      </w:r>
      <w:r>
        <w:rPr>
          <w:szCs w:val="24"/>
        </w:rPr>
        <w:tab/>
      </w:r>
      <w:r>
        <w:rPr>
          <w:szCs w:val="24"/>
        </w:rPr>
        <w:tab/>
      </w:r>
      <w:r>
        <w:rPr>
          <w:szCs w:val="24"/>
        </w:rPr>
        <w:tab/>
        <w:t>59</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15.</w:t>
      </w:r>
      <w:r>
        <w:rPr>
          <w:szCs w:val="24"/>
        </w:rPr>
        <w:tab/>
      </w:r>
      <w:r>
        <w:rPr>
          <w:szCs w:val="24"/>
          <w:lang w:val="es-ES_tradnl"/>
        </w:rPr>
        <w:t>Indemnizaciones por accidentes de trabajo en 2007</w:t>
      </w:r>
      <w:r>
        <w:rPr>
          <w:szCs w:val="24"/>
        </w:rPr>
        <w:tab/>
      </w:r>
      <w:r>
        <w:rPr>
          <w:szCs w:val="24"/>
        </w:rPr>
        <w:tab/>
      </w:r>
      <w:r>
        <w:rPr>
          <w:szCs w:val="24"/>
        </w:rPr>
        <w:tab/>
        <w:t>60</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16.</w:t>
      </w:r>
      <w:r>
        <w:rPr>
          <w:szCs w:val="24"/>
        </w:rPr>
        <w:tab/>
      </w:r>
      <w:r>
        <w:rPr>
          <w:szCs w:val="24"/>
          <w:lang w:val="es-ES_tradnl"/>
        </w:rPr>
        <w:t xml:space="preserve">Indemnizaciones por lesiones en 2007, por género y edad </w:t>
      </w:r>
      <w:r>
        <w:rPr>
          <w:szCs w:val="24"/>
        </w:rPr>
        <w:tab/>
      </w:r>
      <w:r>
        <w:rPr>
          <w:szCs w:val="24"/>
        </w:rPr>
        <w:tab/>
      </w:r>
      <w:r>
        <w:rPr>
          <w:szCs w:val="24"/>
        </w:rPr>
        <w:tab/>
        <w:t>60</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17.</w:t>
      </w:r>
      <w:r>
        <w:rPr>
          <w:szCs w:val="24"/>
        </w:rPr>
        <w:tab/>
      </w:r>
      <w:r>
        <w:rPr>
          <w:szCs w:val="24"/>
          <w:lang w:val="es-ES_tradnl"/>
        </w:rPr>
        <w:t>Huelgas en Israel, 2000</w:t>
      </w:r>
      <w:r w:rsidR="001D63DF">
        <w:rPr>
          <w:szCs w:val="24"/>
          <w:lang w:val="es-ES_tradnl"/>
        </w:rPr>
        <w:t>-</w:t>
      </w:r>
      <w:r>
        <w:rPr>
          <w:szCs w:val="24"/>
          <w:lang w:val="es-ES_tradnl"/>
        </w:rPr>
        <w:t>2007</w:t>
      </w:r>
      <w:r>
        <w:rPr>
          <w:szCs w:val="24"/>
        </w:rPr>
        <w:tab/>
      </w:r>
      <w:r>
        <w:rPr>
          <w:szCs w:val="24"/>
        </w:rPr>
        <w:tab/>
      </w:r>
      <w:r>
        <w:rPr>
          <w:szCs w:val="24"/>
        </w:rPr>
        <w:tab/>
        <w:t>63</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18.</w:t>
      </w:r>
      <w:r>
        <w:rPr>
          <w:szCs w:val="24"/>
        </w:rPr>
        <w:tab/>
      </w:r>
      <w:r>
        <w:rPr>
          <w:szCs w:val="24"/>
          <w:lang w:val="es-ES_tradnl"/>
        </w:rPr>
        <w:t>Población entre 15 y 17 años, por trabajo, estudios, género y grupo de población, 2001</w:t>
      </w:r>
      <w:r w:rsidR="001D63DF">
        <w:rPr>
          <w:szCs w:val="24"/>
          <w:lang w:val="es-ES_tradnl"/>
        </w:rPr>
        <w:t>-</w:t>
      </w:r>
      <w:r>
        <w:rPr>
          <w:szCs w:val="24"/>
          <w:lang w:val="es-ES_tradnl"/>
        </w:rPr>
        <w:t>2007</w:t>
      </w:r>
      <w:r>
        <w:rPr>
          <w:szCs w:val="24"/>
        </w:rPr>
        <w:tab/>
      </w:r>
      <w:r>
        <w:rPr>
          <w:szCs w:val="24"/>
        </w:rPr>
        <w:tab/>
      </w:r>
      <w:r>
        <w:rPr>
          <w:szCs w:val="24"/>
        </w:rPr>
        <w:tab/>
        <w:t>79</w:t>
      </w:r>
    </w:p>
    <w:p w:rsidR="00F92819" w:rsidRDefault="00F92819">
      <w:pPr>
        <w:tabs>
          <w:tab w:val="right" w:pos="850"/>
          <w:tab w:val="left" w:pos="1134"/>
          <w:tab w:val="left" w:pos="1559"/>
          <w:tab w:val="left" w:pos="1984"/>
          <w:tab w:val="left" w:leader="dot" w:pos="8900"/>
          <w:tab w:val="right" w:pos="8929"/>
          <w:tab w:val="right" w:pos="9638"/>
        </w:tabs>
        <w:rPr>
          <w:szCs w:val="24"/>
          <w:lang w:val="es-ES_tradnl"/>
        </w:rPr>
      </w:pPr>
      <w:r>
        <w:rPr>
          <w:szCs w:val="24"/>
        </w:rPr>
        <w:tab/>
        <w:t>19.</w:t>
      </w:r>
      <w:r>
        <w:rPr>
          <w:szCs w:val="24"/>
        </w:rPr>
        <w:tab/>
      </w:r>
      <w:r>
        <w:rPr>
          <w:szCs w:val="24"/>
          <w:lang w:val="es-ES_tradnl"/>
        </w:rPr>
        <w:t>Salario mínimo para jóvenes (de conformidad con el reglamento sobre salario mínimo (jóvenes</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lang w:val="es-ES_tradnl"/>
        </w:rPr>
        <w:tab/>
      </w:r>
      <w:r>
        <w:rPr>
          <w:szCs w:val="24"/>
          <w:lang w:val="es-ES_tradnl"/>
        </w:rPr>
        <w:tab/>
        <w:t>y aprendices que trabajan) de 5747/1987)</w:t>
      </w:r>
      <w:r>
        <w:rPr>
          <w:szCs w:val="24"/>
        </w:rPr>
        <w:tab/>
      </w:r>
      <w:r>
        <w:rPr>
          <w:szCs w:val="24"/>
        </w:rPr>
        <w:tab/>
      </w:r>
      <w:r>
        <w:rPr>
          <w:szCs w:val="24"/>
        </w:rPr>
        <w:tab/>
        <w:t>80</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20.</w:t>
      </w:r>
      <w:r>
        <w:rPr>
          <w:szCs w:val="24"/>
        </w:rPr>
        <w:tab/>
      </w:r>
      <w:r>
        <w:rPr>
          <w:szCs w:val="24"/>
          <w:lang w:val="es-ES_tradnl"/>
        </w:rPr>
        <w:t>Ingresos y gastos mensuales, por deciles de ingresos netos (por persona estándar, 2006)</w:t>
      </w:r>
      <w:r>
        <w:rPr>
          <w:szCs w:val="24"/>
          <w:lang w:val="es-ES_tradnl"/>
        </w:rPr>
        <w:tab/>
      </w:r>
      <w:r>
        <w:rPr>
          <w:szCs w:val="24"/>
        </w:rPr>
        <w:tab/>
      </w:r>
      <w:r>
        <w:rPr>
          <w:szCs w:val="24"/>
        </w:rPr>
        <w:tab/>
        <w:t>85</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21.</w:t>
      </w:r>
      <w:r>
        <w:rPr>
          <w:szCs w:val="24"/>
        </w:rPr>
        <w:tab/>
      </w:r>
      <w:r>
        <w:rPr>
          <w:szCs w:val="24"/>
          <w:lang w:val="es-ES_tradnl"/>
        </w:rPr>
        <w:t xml:space="preserve">Ingresos monetarios mensuales brutos por hogar, por fuente de ingresos y por situación de </w:t>
      </w:r>
      <w:r>
        <w:rPr>
          <w:szCs w:val="24"/>
          <w:lang w:val="es-ES_tradnl"/>
        </w:rPr>
        <w:br/>
      </w:r>
      <w:r>
        <w:rPr>
          <w:szCs w:val="24"/>
          <w:lang w:val="es-ES_tradnl"/>
        </w:rPr>
        <w:tab/>
      </w:r>
      <w:r>
        <w:rPr>
          <w:szCs w:val="24"/>
          <w:lang w:val="es-ES_tradnl"/>
        </w:rPr>
        <w:tab/>
        <w:t>empleo del cabeza de familia</w:t>
      </w:r>
      <w:r>
        <w:rPr>
          <w:szCs w:val="24"/>
        </w:rPr>
        <w:tab/>
      </w:r>
      <w:r>
        <w:rPr>
          <w:szCs w:val="24"/>
        </w:rPr>
        <w:tab/>
      </w:r>
      <w:r>
        <w:rPr>
          <w:szCs w:val="24"/>
        </w:rPr>
        <w:tab/>
        <w:t>86</w:t>
      </w:r>
    </w:p>
    <w:p w:rsidR="00F92819" w:rsidRDefault="00F92819">
      <w:pPr>
        <w:tabs>
          <w:tab w:val="right" w:pos="850"/>
          <w:tab w:val="left" w:pos="1134"/>
          <w:tab w:val="left" w:pos="1559"/>
          <w:tab w:val="left" w:pos="1984"/>
          <w:tab w:val="left" w:leader="dot" w:pos="8900"/>
          <w:tab w:val="right" w:pos="8929"/>
          <w:tab w:val="right" w:pos="9638"/>
        </w:tabs>
        <w:rPr>
          <w:szCs w:val="24"/>
          <w:lang w:val="es-ES_tradnl"/>
        </w:rPr>
      </w:pPr>
      <w:r>
        <w:rPr>
          <w:szCs w:val="24"/>
        </w:rPr>
        <w:tab/>
        <w:t>22.</w:t>
      </w:r>
      <w:r>
        <w:rPr>
          <w:szCs w:val="24"/>
        </w:rPr>
        <w:tab/>
      </w:r>
      <w:r>
        <w:rPr>
          <w:szCs w:val="24"/>
          <w:lang w:val="es-ES_tradnl"/>
        </w:rPr>
        <w:t>Producto interno bruto y uso de recursos, 2002</w:t>
      </w:r>
      <w:r w:rsidR="001D63DF">
        <w:rPr>
          <w:szCs w:val="24"/>
          <w:lang w:val="es-ES_tradnl"/>
        </w:rPr>
        <w:t>-</w:t>
      </w:r>
      <w:r>
        <w:rPr>
          <w:szCs w:val="24"/>
          <w:lang w:val="es-ES_tradnl"/>
        </w:rPr>
        <w:t>2007 (millones de nuevos sheqalim, a precios</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lang w:val="es-ES_tradnl"/>
        </w:rPr>
        <w:tab/>
      </w:r>
      <w:r>
        <w:rPr>
          <w:szCs w:val="24"/>
          <w:lang w:val="es-ES_tradnl"/>
        </w:rPr>
        <w:tab/>
        <w:t>de mercado a menos que se indique otra cosa)</w:t>
      </w:r>
      <w:r>
        <w:rPr>
          <w:szCs w:val="24"/>
        </w:rPr>
        <w:tab/>
      </w:r>
      <w:r>
        <w:rPr>
          <w:szCs w:val="24"/>
        </w:rPr>
        <w:tab/>
      </w:r>
      <w:r>
        <w:rPr>
          <w:szCs w:val="24"/>
        </w:rPr>
        <w:tab/>
        <w:t>88</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23.</w:t>
      </w:r>
      <w:r>
        <w:rPr>
          <w:szCs w:val="24"/>
        </w:rPr>
        <w:tab/>
      </w:r>
      <w:r>
        <w:rPr>
          <w:szCs w:val="24"/>
          <w:lang w:val="es-ES_tradnl"/>
        </w:rPr>
        <w:t>Producto nacional bruto y producto interno bruto, 2002</w:t>
      </w:r>
      <w:r w:rsidR="001D63DF">
        <w:rPr>
          <w:szCs w:val="24"/>
          <w:lang w:val="es-ES_tradnl"/>
        </w:rPr>
        <w:t>-</w:t>
      </w:r>
      <w:r>
        <w:rPr>
          <w:szCs w:val="24"/>
          <w:lang w:val="es-ES_tradnl"/>
        </w:rPr>
        <w:t>2007</w:t>
      </w:r>
      <w:r>
        <w:rPr>
          <w:szCs w:val="24"/>
        </w:rPr>
        <w:tab/>
      </w:r>
      <w:r>
        <w:rPr>
          <w:szCs w:val="24"/>
        </w:rPr>
        <w:tab/>
      </w:r>
      <w:r>
        <w:rPr>
          <w:szCs w:val="24"/>
        </w:rPr>
        <w:tab/>
        <w:t>89</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24.</w:t>
      </w:r>
      <w:r>
        <w:rPr>
          <w:szCs w:val="24"/>
        </w:rPr>
        <w:tab/>
      </w:r>
      <w:r>
        <w:rPr>
          <w:szCs w:val="24"/>
          <w:lang w:val="es-ES_tradnl"/>
        </w:rPr>
        <w:t>Gastos de consumo privado, por finalidad y tipo de gastos</w:t>
      </w:r>
      <w:r>
        <w:rPr>
          <w:szCs w:val="24"/>
        </w:rPr>
        <w:tab/>
      </w:r>
      <w:r>
        <w:rPr>
          <w:szCs w:val="24"/>
        </w:rPr>
        <w:tab/>
      </w:r>
      <w:r>
        <w:rPr>
          <w:szCs w:val="24"/>
        </w:rPr>
        <w:tab/>
        <w:t>90</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25.</w:t>
      </w:r>
      <w:r>
        <w:rPr>
          <w:szCs w:val="24"/>
        </w:rPr>
        <w:tab/>
      </w:r>
      <w:r>
        <w:rPr>
          <w:szCs w:val="24"/>
          <w:lang w:val="es-ES_tradnl"/>
        </w:rPr>
        <w:t>Balance alimentario:</w:t>
      </w:r>
      <w:r>
        <w:rPr>
          <w:szCs w:val="24"/>
        </w:rPr>
        <w:t xml:space="preserve"> </w:t>
      </w:r>
      <w:r>
        <w:rPr>
          <w:szCs w:val="24"/>
          <w:lang w:val="es-ES_tradnl"/>
        </w:rPr>
        <w:t>calorías y nutrientes por persona y por día</w:t>
      </w:r>
      <w:r>
        <w:rPr>
          <w:szCs w:val="24"/>
        </w:rPr>
        <w:tab/>
      </w:r>
      <w:r>
        <w:rPr>
          <w:szCs w:val="24"/>
        </w:rPr>
        <w:tab/>
      </w:r>
      <w:r>
        <w:rPr>
          <w:szCs w:val="24"/>
        </w:rPr>
        <w:tab/>
        <w:t>92</w:t>
      </w:r>
    </w:p>
    <w:p w:rsidR="00F92819" w:rsidRDefault="00F92819">
      <w:pPr>
        <w:tabs>
          <w:tab w:val="right" w:pos="850"/>
          <w:tab w:val="left" w:pos="1134"/>
          <w:tab w:val="left" w:pos="1559"/>
          <w:tab w:val="left" w:pos="1984"/>
          <w:tab w:val="left" w:leader="dot" w:pos="8900"/>
          <w:tab w:val="right" w:pos="8929"/>
          <w:tab w:val="right" w:pos="9638"/>
        </w:tabs>
        <w:rPr>
          <w:szCs w:val="24"/>
          <w:lang w:val="es-ES_tradnl"/>
        </w:rPr>
      </w:pPr>
      <w:r>
        <w:rPr>
          <w:szCs w:val="24"/>
        </w:rPr>
        <w:tab/>
        <w:t>26.</w:t>
      </w:r>
      <w:r>
        <w:rPr>
          <w:szCs w:val="24"/>
        </w:rPr>
        <w:tab/>
      </w:r>
      <w:r>
        <w:rPr>
          <w:szCs w:val="24"/>
          <w:lang w:val="es-ES_tradnl"/>
        </w:rPr>
        <w:t>Suministro de vitaminas y minerales por persona y por día (en miligramos, a menos que se</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lang w:val="es-ES_tradnl"/>
        </w:rPr>
        <w:tab/>
      </w:r>
      <w:r>
        <w:rPr>
          <w:szCs w:val="24"/>
          <w:lang w:val="es-ES_tradnl"/>
        </w:rPr>
        <w:tab/>
        <w:t>indique otra cosa)</w:t>
      </w:r>
      <w:r>
        <w:rPr>
          <w:szCs w:val="24"/>
        </w:rPr>
        <w:tab/>
      </w:r>
      <w:r>
        <w:rPr>
          <w:szCs w:val="24"/>
        </w:rPr>
        <w:tab/>
      </w:r>
      <w:r>
        <w:rPr>
          <w:szCs w:val="24"/>
        </w:rPr>
        <w:tab/>
        <w:t>94</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27.</w:t>
      </w:r>
      <w:r>
        <w:rPr>
          <w:szCs w:val="24"/>
        </w:rPr>
        <w:tab/>
      </w:r>
      <w:r>
        <w:rPr>
          <w:szCs w:val="24"/>
          <w:lang w:val="es-ES_tradnl"/>
        </w:rPr>
        <w:t>Datos sobre la vivienda, por deciles de hogares, por ingresos netos y por persona estándar, 2006</w:t>
      </w:r>
      <w:r>
        <w:rPr>
          <w:szCs w:val="24"/>
          <w:lang w:val="es-ES_tradnl"/>
        </w:rPr>
        <w:tab/>
      </w:r>
      <w:r>
        <w:rPr>
          <w:szCs w:val="24"/>
        </w:rPr>
        <w:tab/>
      </w:r>
      <w:r>
        <w:rPr>
          <w:szCs w:val="24"/>
        </w:rPr>
        <w:tab/>
        <w:t>95</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28.</w:t>
      </w:r>
      <w:r>
        <w:rPr>
          <w:szCs w:val="24"/>
        </w:rPr>
        <w:tab/>
      </w:r>
      <w:r>
        <w:rPr>
          <w:szCs w:val="24"/>
          <w:lang w:val="es-ES_tradnl"/>
        </w:rPr>
        <w:t>Hogares, por densidad de vivienda, tamaño de la familia y población, 2007</w:t>
      </w:r>
      <w:r>
        <w:rPr>
          <w:szCs w:val="24"/>
        </w:rPr>
        <w:tab/>
      </w:r>
      <w:r>
        <w:rPr>
          <w:szCs w:val="24"/>
        </w:rPr>
        <w:tab/>
      </w:r>
      <w:r>
        <w:rPr>
          <w:szCs w:val="24"/>
        </w:rPr>
        <w:tab/>
        <w:t>97</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29.</w:t>
      </w:r>
      <w:r>
        <w:rPr>
          <w:szCs w:val="24"/>
        </w:rPr>
        <w:tab/>
      </w:r>
      <w:r>
        <w:rPr>
          <w:szCs w:val="24"/>
          <w:lang w:val="es-ES_tradnl"/>
        </w:rPr>
        <w:t>Solicitudes de permisos de construcción presentadas, 2002</w:t>
      </w:r>
      <w:r w:rsidR="001D63DF">
        <w:rPr>
          <w:szCs w:val="24"/>
          <w:lang w:val="es-ES_tradnl"/>
        </w:rPr>
        <w:t>-</w:t>
      </w:r>
      <w:r>
        <w:rPr>
          <w:szCs w:val="24"/>
          <w:lang w:val="es-ES_tradnl"/>
        </w:rPr>
        <w:t>2007</w:t>
      </w:r>
      <w:r>
        <w:rPr>
          <w:szCs w:val="24"/>
        </w:rPr>
        <w:tab/>
      </w:r>
      <w:r>
        <w:rPr>
          <w:szCs w:val="24"/>
        </w:rPr>
        <w:tab/>
      </w:r>
      <w:r>
        <w:rPr>
          <w:szCs w:val="24"/>
        </w:rPr>
        <w:tab/>
        <w:t>102</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30.</w:t>
      </w:r>
      <w:r>
        <w:rPr>
          <w:szCs w:val="24"/>
        </w:rPr>
        <w:tab/>
      </w:r>
      <w:r>
        <w:rPr>
          <w:szCs w:val="24"/>
          <w:lang w:val="es-ES_tradnl"/>
        </w:rPr>
        <w:t>Permisos de construcción concedidos, 2002</w:t>
      </w:r>
      <w:r w:rsidR="001D63DF">
        <w:rPr>
          <w:szCs w:val="24"/>
          <w:lang w:val="es-ES_tradnl"/>
        </w:rPr>
        <w:t>-</w:t>
      </w:r>
      <w:r>
        <w:rPr>
          <w:szCs w:val="24"/>
          <w:lang w:val="es-ES_tradnl"/>
        </w:rPr>
        <w:t>2007</w:t>
      </w:r>
      <w:r>
        <w:rPr>
          <w:szCs w:val="24"/>
        </w:rPr>
        <w:tab/>
      </w:r>
      <w:r>
        <w:rPr>
          <w:szCs w:val="24"/>
        </w:rPr>
        <w:tab/>
      </w:r>
      <w:r>
        <w:rPr>
          <w:szCs w:val="24"/>
        </w:rPr>
        <w:tab/>
        <w:t>103</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31.</w:t>
      </w:r>
      <w:r>
        <w:rPr>
          <w:szCs w:val="24"/>
        </w:rPr>
        <w:tab/>
      </w:r>
      <w:r>
        <w:rPr>
          <w:szCs w:val="24"/>
          <w:lang w:val="es-ES_tradnl"/>
        </w:rPr>
        <w:t>Órdenes de demolición ejecutadas, por año y por barrio, 2004</w:t>
      </w:r>
      <w:r w:rsidR="001D63DF">
        <w:rPr>
          <w:szCs w:val="24"/>
          <w:lang w:val="es-ES_tradnl"/>
        </w:rPr>
        <w:t>-</w:t>
      </w:r>
      <w:r>
        <w:rPr>
          <w:szCs w:val="24"/>
          <w:lang w:val="es-ES_tradnl"/>
        </w:rPr>
        <w:t>2007</w:t>
      </w:r>
      <w:r>
        <w:rPr>
          <w:szCs w:val="24"/>
        </w:rPr>
        <w:tab/>
      </w:r>
      <w:r>
        <w:rPr>
          <w:szCs w:val="24"/>
        </w:rPr>
        <w:tab/>
      </w:r>
      <w:r>
        <w:rPr>
          <w:szCs w:val="24"/>
        </w:rPr>
        <w:tab/>
        <w:t>103</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32.</w:t>
      </w:r>
      <w:r>
        <w:rPr>
          <w:szCs w:val="24"/>
        </w:rPr>
        <w:tab/>
      </w:r>
      <w:r>
        <w:rPr>
          <w:szCs w:val="24"/>
          <w:lang w:val="es-ES_tradnl"/>
        </w:rPr>
        <w:t xml:space="preserve">Expedientes abiertos por infracciones de las normas de construcción, por año y por barrio, </w:t>
      </w:r>
      <w:r>
        <w:rPr>
          <w:szCs w:val="24"/>
          <w:lang w:val="es-ES_tradnl"/>
        </w:rPr>
        <w:br/>
      </w:r>
      <w:r>
        <w:rPr>
          <w:szCs w:val="24"/>
          <w:lang w:val="es-ES_tradnl"/>
        </w:rPr>
        <w:tab/>
      </w:r>
      <w:r>
        <w:rPr>
          <w:szCs w:val="24"/>
          <w:lang w:val="es-ES_tradnl"/>
        </w:rPr>
        <w:tab/>
        <w:t>2004</w:t>
      </w:r>
      <w:r w:rsidR="001D63DF">
        <w:rPr>
          <w:szCs w:val="24"/>
          <w:lang w:val="es-ES_tradnl"/>
        </w:rPr>
        <w:t>-</w:t>
      </w:r>
      <w:r>
        <w:rPr>
          <w:szCs w:val="24"/>
          <w:lang w:val="es-ES_tradnl"/>
        </w:rPr>
        <w:t>2007</w:t>
      </w:r>
      <w:r>
        <w:rPr>
          <w:szCs w:val="24"/>
        </w:rPr>
        <w:tab/>
      </w:r>
      <w:r>
        <w:rPr>
          <w:szCs w:val="24"/>
        </w:rPr>
        <w:tab/>
      </w:r>
      <w:r>
        <w:rPr>
          <w:szCs w:val="24"/>
        </w:rPr>
        <w:tab/>
        <w:t>103</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33.</w:t>
      </w:r>
      <w:r>
        <w:rPr>
          <w:szCs w:val="24"/>
        </w:rPr>
        <w:tab/>
      </w:r>
      <w:r>
        <w:rPr>
          <w:szCs w:val="24"/>
          <w:lang w:val="es-ES_tradnl"/>
        </w:rPr>
        <w:t>Mortalidad infantil, 2004</w:t>
      </w:r>
      <w:r w:rsidR="001D63DF">
        <w:rPr>
          <w:szCs w:val="24"/>
          <w:lang w:val="es-ES_tradnl"/>
        </w:rPr>
        <w:t>-</w:t>
      </w:r>
      <w:r>
        <w:rPr>
          <w:szCs w:val="24"/>
          <w:lang w:val="es-ES_tradnl"/>
        </w:rPr>
        <w:t>2007</w:t>
      </w:r>
      <w:r>
        <w:rPr>
          <w:szCs w:val="24"/>
        </w:rPr>
        <w:tab/>
      </w:r>
      <w:r>
        <w:rPr>
          <w:szCs w:val="24"/>
        </w:rPr>
        <w:tab/>
      </w:r>
      <w:r>
        <w:rPr>
          <w:szCs w:val="24"/>
        </w:rPr>
        <w:tab/>
        <w:t>111</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34.</w:t>
      </w:r>
      <w:r>
        <w:rPr>
          <w:szCs w:val="24"/>
        </w:rPr>
        <w:tab/>
      </w:r>
      <w:r>
        <w:rPr>
          <w:szCs w:val="24"/>
          <w:lang w:val="es-ES_tradnl"/>
        </w:rPr>
        <w:t>Inmunizaciones:</w:t>
      </w:r>
      <w:r>
        <w:rPr>
          <w:szCs w:val="24"/>
        </w:rPr>
        <w:t xml:space="preserve"> </w:t>
      </w:r>
      <w:r>
        <w:rPr>
          <w:szCs w:val="24"/>
          <w:lang w:val="es-ES_tradnl"/>
        </w:rPr>
        <w:t>porcentaje de niños inmunizados a la edad de dos años, 2005</w:t>
      </w:r>
      <w:r>
        <w:rPr>
          <w:szCs w:val="24"/>
        </w:rPr>
        <w:tab/>
      </w:r>
      <w:r>
        <w:rPr>
          <w:szCs w:val="24"/>
        </w:rPr>
        <w:tab/>
      </w:r>
      <w:r>
        <w:rPr>
          <w:szCs w:val="24"/>
        </w:rPr>
        <w:tab/>
        <w:t>112</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35.</w:t>
      </w:r>
      <w:r>
        <w:rPr>
          <w:szCs w:val="24"/>
        </w:rPr>
        <w:tab/>
      </w:r>
      <w:r>
        <w:rPr>
          <w:szCs w:val="24"/>
          <w:lang w:val="es-ES_tradnl"/>
        </w:rPr>
        <w:t>Esperanza de vida, por género y grupo de población, 2001</w:t>
      </w:r>
      <w:r w:rsidR="001D63DF">
        <w:rPr>
          <w:szCs w:val="24"/>
          <w:lang w:val="es-ES_tradnl"/>
        </w:rPr>
        <w:t>-</w:t>
      </w:r>
      <w:r>
        <w:rPr>
          <w:szCs w:val="24"/>
          <w:lang w:val="es-ES_tradnl"/>
        </w:rPr>
        <w:t>2007</w:t>
      </w:r>
      <w:r>
        <w:rPr>
          <w:szCs w:val="24"/>
        </w:rPr>
        <w:tab/>
      </w:r>
      <w:r>
        <w:rPr>
          <w:szCs w:val="24"/>
        </w:rPr>
        <w:tab/>
      </w:r>
      <w:r>
        <w:rPr>
          <w:szCs w:val="24"/>
        </w:rPr>
        <w:tab/>
        <w:t>112</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36.</w:t>
      </w:r>
      <w:r>
        <w:rPr>
          <w:szCs w:val="24"/>
        </w:rPr>
        <w:tab/>
      </w:r>
      <w:r>
        <w:rPr>
          <w:szCs w:val="24"/>
          <w:lang w:val="es-ES_tradnl"/>
        </w:rPr>
        <w:t>Tasas de mortalidad, por causa (población total)</w:t>
      </w:r>
      <w:r>
        <w:rPr>
          <w:szCs w:val="24"/>
        </w:rPr>
        <w:tab/>
      </w:r>
      <w:r>
        <w:rPr>
          <w:szCs w:val="24"/>
        </w:rPr>
        <w:tab/>
      </w:r>
      <w:r>
        <w:rPr>
          <w:szCs w:val="24"/>
        </w:rPr>
        <w:tab/>
        <w:t>113</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37.</w:t>
      </w:r>
      <w:r>
        <w:rPr>
          <w:szCs w:val="24"/>
        </w:rPr>
        <w:tab/>
      </w:r>
      <w:r>
        <w:rPr>
          <w:szCs w:val="24"/>
          <w:lang w:val="es-ES_tradnl"/>
        </w:rPr>
        <w:t>Personas de 15 años o más, por grupo de población, años de escolaridad, edad y género, 2007</w:t>
      </w:r>
      <w:r>
        <w:rPr>
          <w:szCs w:val="24"/>
          <w:lang w:val="es-ES_tradnl"/>
        </w:rPr>
        <w:tab/>
      </w:r>
      <w:r>
        <w:rPr>
          <w:szCs w:val="24"/>
        </w:rPr>
        <w:tab/>
      </w:r>
      <w:r>
        <w:rPr>
          <w:szCs w:val="24"/>
        </w:rPr>
        <w:tab/>
        <w:t>121</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38.</w:t>
      </w:r>
      <w:r>
        <w:rPr>
          <w:szCs w:val="24"/>
        </w:rPr>
        <w:tab/>
      </w:r>
      <w:r>
        <w:rPr>
          <w:szCs w:val="24"/>
          <w:lang w:val="es-ES_tradnl"/>
        </w:rPr>
        <w:t>Alumnos en instituciones de enseñanza, 2004</w:t>
      </w:r>
      <w:r w:rsidR="001D63DF">
        <w:rPr>
          <w:szCs w:val="24"/>
          <w:lang w:val="es-ES_tradnl"/>
        </w:rPr>
        <w:t>-</w:t>
      </w:r>
      <w:r>
        <w:rPr>
          <w:szCs w:val="24"/>
          <w:lang w:val="es-ES_tradnl"/>
        </w:rPr>
        <w:t>2008</w:t>
      </w:r>
      <w:r>
        <w:rPr>
          <w:szCs w:val="24"/>
        </w:rPr>
        <w:tab/>
      </w:r>
      <w:r>
        <w:rPr>
          <w:szCs w:val="24"/>
        </w:rPr>
        <w:tab/>
      </w:r>
      <w:r>
        <w:rPr>
          <w:szCs w:val="24"/>
        </w:rPr>
        <w:tab/>
        <w:t>123</w:t>
      </w:r>
    </w:p>
    <w:p w:rsidR="00F92819" w:rsidRDefault="00F92819">
      <w:pPr>
        <w:tabs>
          <w:tab w:val="right" w:pos="850"/>
          <w:tab w:val="left" w:pos="1134"/>
          <w:tab w:val="left" w:pos="1559"/>
          <w:tab w:val="left" w:pos="1984"/>
          <w:tab w:val="left" w:leader="dot" w:pos="8900"/>
          <w:tab w:val="right" w:pos="8929"/>
          <w:tab w:val="right" w:pos="9638"/>
        </w:tabs>
        <w:rPr>
          <w:szCs w:val="24"/>
          <w:lang w:val="es-ES_tradnl"/>
        </w:rPr>
      </w:pPr>
      <w:r>
        <w:rPr>
          <w:szCs w:val="24"/>
        </w:rPr>
        <w:tab/>
        <w:t>39.</w:t>
      </w:r>
      <w:r>
        <w:rPr>
          <w:szCs w:val="24"/>
        </w:rPr>
        <w:tab/>
      </w:r>
      <w:r>
        <w:rPr>
          <w:szCs w:val="24"/>
          <w:lang w:val="es-ES_tradnl"/>
        </w:rPr>
        <w:t>Estudiantes en universidades, por titulo, género y grupo de población (porcentaje, a menos que</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lang w:val="es-ES_tradnl"/>
        </w:rPr>
        <w:tab/>
      </w:r>
      <w:r>
        <w:rPr>
          <w:szCs w:val="24"/>
          <w:lang w:val="es-ES_tradnl"/>
        </w:rPr>
        <w:tab/>
        <w:t>se indique otra cosa)</w:t>
      </w:r>
      <w:r>
        <w:rPr>
          <w:szCs w:val="24"/>
        </w:rPr>
        <w:tab/>
      </w:r>
      <w:r>
        <w:rPr>
          <w:szCs w:val="24"/>
        </w:rPr>
        <w:tab/>
      </w:r>
      <w:r>
        <w:rPr>
          <w:szCs w:val="24"/>
        </w:rPr>
        <w:tab/>
        <w:t>124</w:t>
      </w:r>
    </w:p>
    <w:p w:rsidR="00F92819" w:rsidRDefault="00F92819">
      <w:pPr>
        <w:tabs>
          <w:tab w:val="right" w:pos="850"/>
          <w:tab w:val="left" w:pos="1134"/>
          <w:tab w:val="left" w:pos="1559"/>
          <w:tab w:val="left" w:leader="dot" w:pos="8900"/>
          <w:tab w:val="right" w:pos="8929"/>
          <w:tab w:val="right" w:pos="9638"/>
        </w:tabs>
        <w:spacing w:after="120"/>
        <w:rPr>
          <w:szCs w:val="24"/>
        </w:rPr>
      </w:pPr>
      <w:r>
        <w:rPr>
          <w:szCs w:val="24"/>
        </w:rPr>
        <w:tab/>
        <w:t>40.</w:t>
      </w:r>
      <w:r>
        <w:rPr>
          <w:szCs w:val="24"/>
        </w:rPr>
        <w:tab/>
      </w:r>
      <w:r>
        <w:rPr>
          <w:szCs w:val="24"/>
          <w:lang w:val="es-ES_tradnl"/>
        </w:rPr>
        <w:t>Tasas de abandono escolar de alumnos de los grados 7º a 12º, por grupo de población, grado y</w:t>
      </w:r>
      <w:r>
        <w:rPr>
          <w:szCs w:val="24"/>
          <w:lang w:val="es-ES_tradnl"/>
        </w:rPr>
        <w:br/>
      </w:r>
      <w:r>
        <w:rPr>
          <w:szCs w:val="24"/>
          <w:lang w:val="es-ES_tradnl"/>
        </w:rPr>
        <w:tab/>
      </w:r>
      <w:r>
        <w:rPr>
          <w:szCs w:val="24"/>
          <w:lang w:val="es-ES_tradnl"/>
        </w:rPr>
        <w:tab/>
        <w:t>género</w:t>
      </w:r>
      <w:r>
        <w:rPr>
          <w:szCs w:val="24"/>
        </w:rPr>
        <w:tab/>
      </w:r>
      <w:r>
        <w:rPr>
          <w:szCs w:val="24"/>
        </w:rPr>
        <w:tab/>
      </w:r>
      <w:r>
        <w:rPr>
          <w:szCs w:val="24"/>
        </w:rPr>
        <w:tab/>
        <w:t>125</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41.</w:t>
      </w:r>
      <w:r>
        <w:rPr>
          <w:szCs w:val="24"/>
        </w:rPr>
        <w:tab/>
      </w:r>
      <w:r>
        <w:rPr>
          <w:szCs w:val="24"/>
          <w:lang w:val="es-ES_tradnl"/>
        </w:rPr>
        <w:t>Alumnos que efectuaron un examen de matrícula y obtuvieron un certificado, 2006</w:t>
      </w:r>
      <w:r>
        <w:rPr>
          <w:szCs w:val="24"/>
        </w:rPr>
        <w:tab/>
      </w:r>
      <w:r>
        <w:rPr>
          <w:szCs w:val="24"/>
        </w:rPr>
        <w:tab/>
      </w:r>
      <w:r>
        <w:rPr>
          <w:szCs w:val="24"/>
        </w:rPr>
        <w:tab/>
        <w:t>126</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42.</w:t>
      </w:r>
      <w:r>
        <w:rPr>
          <w:szCs w:val="24"/>
        </w:rPr>
        <w:tab/>
      </w:r>
      <w:r>
        <w:rPr>
          <w:szCs w:val="24"/>
          <w:lang w:val="es-ES_tradnl"/>
        </w:rPr>
        <w:t>Receptores de títulos de universidades</w:t>
      </w:r>
      <w:r>
        <w:rPr>
          <w:szCs w:val="24"/>
        </w:rPr>
        <w:tab/>
      </w:r>
      <w:r>
        <w:rPr>
          <w:szCs w:val="24"/>
        </w:rPr>
        <w:tab/>
      </w:r>
      <w:r>
        <w:rPr>
          <w:szCs w:val="24"/>
        </w:rPr>
        <w:tab/>
        <w:t>127</w:t>
      </w:r>
    </w:p>
    <w:p w:rsidR="00F92819" w:rsidRDefault="00F92819">
      <w:pPr>
        <w:tabs>
          <w:tab w:val="right" w:pos="850"/>
          <w:tab w:val="left" w:pos="1134"/>
          <w:tab w:val="left" w:pos="1559"/>
          <w:tab w:val="left" w:pos="1984"/>
          <w:tab w:val="left" w:leader="dot" w:pos="8900"/>
          <w:tab w:val="right" w:pos="8929"/>
          <w:tab w:val="right" w:pos="9638"/>
        </w:tabs>
        <w:rPr>
          <w:szCs w:val="24"/>
          <w:lang w:val="es-ES_tradnl"/>
        </w:rPr>
      </w:pPr>
      <w:r>
        <w:rPr>
          <w:szCs w:val="24"/>
        </w:rPr>
        <w:tab/>
        <w:t>43.</w:t>
      </w:r>
      <w:r>
        <w:rPr>
          <w:szCs w:val="24"/>
        </w:rPr>
        <w:tab/>
      </w:r>
      <w:r>
        <w:rPr>
          <w:szCs w:val="24"/>
          <w:lang w:val="es-ES_tradnl"/>
        </w:rPr>
        <w:t>Receptores de títulos de universidades. por género, edad y grupo de población (porcentaje,</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lang w:val="es-ES_tradnl"/>
        </w:rPr>
        <w:tab/>
      </w:r>
      <w:r>
        <w:rPr>
          <w:szCs w:val="24"/>
          <w:lang w:val="es-ES_tradnl"/>
        </w:rPr>
        <w:tab/>
        <w:t>a menos que se indique otra cosa)</w:t>
      </w:r>
      <w:r>
        <w:rPr>
          <w:szCs w:val="24"/>
        </w:rPr>
        <w:tab/>
      </w:r>
      <w:r>
        <w:rPr>
          <w:szCs w:val="24"/>
        </w:rPr>
        <w:tab/>
      </w:r>
      <w:r>
        <w:rPr>
          <w:szCs w:val="24"/>
        </w:rPr>
        <w:tab/>
        <w:t>128</w:t>
      </w:r>
    </w:p>
    <w:p w:rsidR="00F92819" w:rsidRDefault="00F92819">
      <w:pPr>
        <w:tabs>
          <w:tab w:val="right" w:pos="850"/>
          <w:tab w:val="left" w:pos="1134"/>
          <w:tab w:val="left" w:pos="1559"/>
          <w:tab w:val="left" w:pos="1984"/>
          <w:tab w:val="left" w:leader="dot" w:pos="8900"/>
          <w:tab w:val="right" w:pos="8929"/>
          <w:tab w:val="right" w:pos="9638"/>
        </w:tabs>
        <w:rPr>
          <w:szCs w:val="24"/>
          <w:lang w:val="es-ES_tradnl"/>
        </w:rPr>
      </w:pPr>
      <w:r>
        <w:rPr>
          <w:szCs w:val="24"/>
        </w:rPr>
        <w:tab/>
        <w:t>44.</w:t>
      </w:r>
      <w:r>
        <w:rPr>
          <w:szCs w:val="24"/>
        </w:rPr>
        <w:tab/>
      </w:r>
      <w:r>
        <w:rPr>
          <w:szCs w:val="24"/>
          <w:lang w:val="es-ES_tradnl"/>
        </w:rPr>
        <w:t>Personal docente, por nivel de enseñanza y promedio de horas de trabajo a la semana,</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lang w:val="es-ES_tradnl"/>
        </w:rPr>
        <w:tab/>
      </w:r>
      <w:r>
        <w:rPr>
          <w:szCs w:val="24"/>
          <w:lang w:val="es-ES_tradnl"/>
        </w:rPr>
        <w:tab/>
        <w:t>1999</w:t>
      </w:r>
      <w:r w:rsidR="001D63DF">
        <w:rPr>
          <w:szCs w:val="24"/>
          <w:lang w:val="es-ES_tradnl"/>
        </w:rPr>
        <w:t>-</w:t>
      </w:r>
      <w:r>
        <w:rPr>
          <w:szCs w:val="24"/>
          <w:lang w:val="es-ES_tradnl"/>
        </w:rPr>
        <w:t>2007</w:t>
      </w:r>
      <w:r>
        <w:rPr>
          <w:szCs w:val="24"/>
          <w:lang w:val="es-ES_tradnl"/>
        </w:rPr>
        <w:tab/>
      </w:r>
      <w:r>
        <w:rPr>
          <w:szCs w:val="24"/>
        </w:rPr>
        <w:tab/>
      </w:r>
      <w:r>
        <w:rPr>
          <w:szCs w:val="24"/>
        </w:rPr>
        <w:tab/>
        <w:t>135</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45.</w:t>
      </w:r>
      <w:r>
        <w:rPr>
          <w:szCs w:val="24"/>
        </w:rPr>
        <w:tab/>
      </w:r>
      <w:r>
        <w:rPr>
          <w:szCs w:val="24"/>
          <w:lang w:val="es-ES_tradnl"/>
        </w:rPr>
        <w:t>Puestos docentes (en jornada completa) en las escuelas, 2007/2008</w:t>
      </w:r>
      <w:r>
        <w:rPr>
          <w:szCs w:val="24"/>
        </w:rPr>
        <w:tab/>
      </w:r>
      <w:r>
        <w:rPr>
          <w:szCs w:val="24"/>
        </w:rPr>
        <w:tab/>
      </w:r>
      <w:r>
        <w:rPr>
          <w:szCs w:val="24"/>
        </w:rPr>
        <w:tab/>
        <w:t>136</w:t>
      </w:r>
    </w:p>
    <w:p w:rsidR="00F92819" w:rsidRDefault="00F92819">
      <w:pPr>
        <w:tabs>
          <w:tab w:val="right" w:pos="850"/>
          <w:tab w:val="left" w:pos="1134"/>
          <w:tab w:val="left" w:pos="1559"/>
          <w:tab w:val="left" w:pos="1984"/>
          <w:tab w:val="left" w:leader="dot" w:pos="8900"/>
          <w:tab w:val="right" w:pos="8929"/>
          <w:tab w:val="right" w:pos="9638"/>
        </w:tabs>
        <w:spacing w:after="120"/>
        <w:rPr>
          <w:szCs w:val="24"/>
        </w:rPr>
      </w:pPr>
      <w:r>
        <w:rPr>
          <w:szCs w:val="24"/>
        </w:rPr>
        <w:tab/>
        <w:t>46.</w:t>
      </w:r>
      <w:r>
        <w:rPr>
          <w:szCs w:val="24"/>
        </w:rPr>
        <w:tab/>
      </w:r>
      <w:r>
        <w:rPr>
          <w:szCs w:val="24"/>
          <w:lang w:val="es-ES_tradnl"/>
        </w:rPr>
        <w:t>Gastos de los Ministerios en investigación y desarrollo civil, por tipo de gasto, 2002</w:t>
      </w:r>
      <w:r w:rsidR="001D63DF">
        <w:rPr>
          <w:szCs w:val="24"/>
          <w:lang w:val="es-ES_tradnl"/>
        </w:rPr>
        <w:t>-</w:t>
      </w:r>
      <w:r>
        <w:rPr>
          <w:szCs w:val="24"/>
          <w:lang w:val="es-ES_tradnl"/>
        </w:rPr>
        <w:t>2007</w:t>
      </w:r>
      <w:r>
        <w:rPr>
          <w:szCs w:val="24"/>
        </w:rPr>
        <w:tab/>
      </w:r>
      <w:r>
        <w:rPr>
          <w:szCs w:val="24"/>
        </w:rPr>
        <w:tab/>
      </w:r>
      <w:r>
        <w:rPr>
          <w:szCs w:val="24"/>
        </w:rPr>
        <w:tab/>
        <w:t>143</w:t>
      </w:r>
    </w:p>
    <w:p w:rsidR="00F92819" w:rsidRDefault="00F92819">
      <w:pPr>
        <w:pStyle w:val="HChG"/>
        <w:ind w:firstLine="0"/>
        <w:jc w:val="both"/>
        <w:rPr>
          <w:szCs w:val="28"/>
        </w:rPr>
      </w:pPr>
      <w:r>
        <w:br w:type="page"/>
      </w:r>
      <w:r>
        <w:rPr>
          <w:szCs w:val="28"/>
          <w:lang w:val="es-ES_tradnl"/>
        </w:rPr>
        <w:t>Introducción</w:t>
      </w:r>
    </w:p>
    <w:p w:rsidR="00F92819" w:rsidRDefault="00F92819">
      <w:pPr>
        <w:pStyle w:val="SingleTxtG"/>
      </w:pPr>
      <w:r>
        <w:t>1.</w:t>
      </w:r>
      <w:r>
        <w:tab/>
      </w:r>
      <w:r>
        <w:rPr>
          <w:lang w:val="es-ES_tradnl"/>
        </w:rPr>
        <w:t>Este es el tercer informe periódico del Gobierno del Estado de Israel, que se presenta al Comité de Derechos Económicos, Sociales y Culturales de las Naciones Unidas, de conformidad con lo dispuesto en los artículos 16 y 17 del Pacto Internacional de Derechos Económicos, Sociales y Culturales</w:t>
      </w:r>
      <w:r>
        <w:t xml:space="preserve"> </w:t>
      </w:r>
      <w:r>
        <w:rPr>
          <w:lang w:val="es-ES_tradnl"/>
        </w:rPr>
        <w:t>(en adelante el “Pacto” o el “CESCR”).</w:t>
      </w:r>
      <w:r>
        <w:t xml:space="preserve"> </w:t>
      </w:r>
      <w:r>
        <w:rPr>
          <w:lang w:val="es-ES_tradnl"/>
        </w:rPr>
        <w:t>El informe ha sido recopilado por el Departamento de Derechos Humanos y Relaciones Exteriores del Ministerio de Justicia, en cooperación con el Ministerio de Relaciones Exteriores y otros órganos del gobierno.</w:t>
      </w:r>
      <w:r>
        <w:t xml:space="preserve"> </w:t>
      </w:r>
      <w:r>
        <w:rPr>
          <w:lang w:val="es-ES_tradnl"/>
        </w:rPr>
        <w:t>También se invitó a las organizaciones no gubernamentales (ONG) israelíes a presentar observaciones antes de la consolidación del presente informe, tanto por solicitud directa como mediante una invitación general a presentar comentarios publicada en el sitio web del Ministerio de Justicia.</w:t>
      </w:r>
      <w:r>
        <w:t xml:space="preserve"> </w:t>
      </w:r>
      <w:r>
        <w:rPr>
          <w:lang w:val="es-ES_tradnl"/>
        </w:rPr>
        <w:t>Se prestó considerable atención a sus contribuciones.</w:t>
      </w:r>
    </w:p>
    <w:p w:rsidR="00F92819" w:rsidRDefault="00F92819">
      <w:pPr>
        <w:pStyle w:val="SingleTxtG"/>
      </w:pPr>
      <w:r>
        <w:t>2.</w:t>
      </w:r>
      <w:r>
        <w:tab/>
      </w:r>
      <w:r>
        <w:rPr>
          <w:lang w:val="es-ES_tradnl"/>
        </w:rPr>
        <w:t>Desde la presentación del segundo informe periódico (documento de las Naciones Unidas: E/1990/6/Add.32) ha habido muchas novedades legislativas, administrativas y judiciales relacionadas con la aplicación del Pacto.</w:t>
      </w:r>
      <w:r>
        <w:t xml:space="preserve"> </w:t>
      </w:r>
      <w:r>
        <w:rPr>
          <w:lang w:val="es-ES_tradnl"/>
        </w:rPr>
        <w:t>A continuación se presenta un breve resumen de los principales cambios.</w:t>
      </w:r>
      <w:r>
        <w:t xml:space="preserve"> </w:t>
      </w:r>
      <w:r>
        <w:rPr>
          <w:lang w:val="es-ES_tradnl"/>
        </w:rPr>
        <w:t>El presente informe ofrece una relación completa de las novedades.</w:t>
      </w:r>
      <w:r>
        <w:t xml:space="preserve"> </w:t>
      </w:r>
      <w:r>
        <w:rPr>
          <w:lang w:val="es-ES_tradnl"/>
        </w:rPr>
        <w:t>También responde a los comentarios hechos en las observaciones finales del Comité de Derechos Económicos, Sociales y Culturales (E/C.12/1/Add.90) de 23 de mayo de 2003.</w:t>
      </w:r>
    </w:p>
    <w:p w:rsidR="00F92819" w:rsidRDefault="00F92819">
      <w:pPr>
        <w:pStyle w:val="SingleTxtG"/>
      </w:pPr>
      <w:r>
        <w:t>3.</w:t>
      </w:r>
      <w:r>
        <w:tab/>
      </w:r>
      <w:r>
        <w:rPr>
          <w:lang w:val="es-ES_tradnl"/>
        </w:rPr>
        <w:t>En materia de legislación, desde la presentación del informe periódico anterior se han tomado medidas dignas de mención para promover las cuestiones de derechos económicos, sociales y culturales.</w:t>
      </w:r>
      <w:r>
        <w:t xml:space="preserve"> </w:t>
      </w:r>
      <w:r>
        <w:rPr>
          <w:lang w:val="es-ES_tradnl"/>
        </w:rPr>
        <w:t>Entre las nuevas leyes destaca la</w:t>
      </w:r>
      <w:r>
        <w:rPr>
          <w:iCs/>
          <w:rtl/>
          <w:lang w:val="es-ES_tradnl"/>
        </w:rPr>
        <w:t xml:space="preserve"> </w:t>
      </w:r>
      <w:r>
        <w:rPr>
          <w:i/>
          <w:lang w:val="es-ES_tradnl"/>
        </w:rPr>
        <w:t xml:space="preserve">Ley de aumento de la participación en la población activa y reducción de las diferencias sociales (impuesto negativo sobre la renta) </w:t>
      </w:r>
      <w:r>
        <w:rPr>
          <w:lang w:val="es-ES_tradnl"/>
        </w:rPr>
        <w:t>de 5767/2007, con el propósito de reducir la pobreza y aumentar las tasas de participación en la población activa, ofreciendo una remuneración por la mano de obra de las personas con rentas bajas.</w:t>
      </w:r>
      <w:r>
        <w:t xml:space="preserve"> </w:t>
      </w:r>
      <w:r>
        <w:rPr>
          <w:lang w:val="es-ES_tradnl"/>
        </w:rPr>
        <w:t xml:space="preserve">Con arreglo a una enmienda de fecha 3 de enero de </w:t>
      </w:r>
      <w:smartTag w:uri="urn:schemas-microsoft-com:office:smarttags" w:element="metricconverter">
        <w:smartTagPr>
          <w:attr w:name="ProductID" w:val="2006 a"/>
        </w:smartTagPr>
        <w:r>
          <w:rPr>
            <w:lang w:val="es-ES_tradnl"/>
          </w:rPr>
          <w:t>2006 a</w:t>
        </w:r>
      </w:smartTag>
      <w:r>
        <w:rPr>
          <w:lang w:val="es-ES_tradnl"/>
        </w:rPr>
        <w:t xml:space="preserve"> la </w:t>
      </w:r>
      <w:r>
        <w:rPr>
          <w:i/>
          <w:lang w:val="es-ES_tradnl"/>
        </w:rPr>
        <w:t xml:space="preserve">Ley de igualdad de oportunidades de empleo </w:t>
      </w:r>
      <w:r>
        <w:rPr>
          <w:lang w:val="es-ES_tradnl"/>
        </w:rPr>
        <w:t>de 5748/1988</w:t>
      </w:r>
      <w:r>
        <w:rPr>
          <w:i/>
          <w:lang w:val="es-ES_tradnl"/>
        </w:rPr>
        <w:t>,</w:t>
      </w:r>
      <w:r>
        <w:rPr>
          <w:lang w:val="es-ES_tradnl"/>
        </w:rPr>
        <w:t xml:space="preserve"> se creó la Comisión de Igualdad de Oportunidades de Empleo dentro del Ministerio de Industria, Comercio y Trabajo.</w:t>
      </w:r>
    </w:p>
    <w:p w:rsidR="00F92819" w:rsidRDefault="00F92819">
      <w:pPr>
        <w:pStyle w:val="SingleTxtG"/>
      </w:pPr>
      <w:r>
        <w:t>4.</w:t>
      </w:r>
      <w:r>
        <w:tab/>
      </w:r>
      <w:r>
        <w:rPr>
          <w:lang w:val="es-ES_tradnl"/>
        </w:rPr>
        <w:t xml:space="preserve">En 2008 el Knesset aprobó la </w:t>
      </w:r>
      <w:r>
        <w:rPr>
          <w:i/>
          <w:lang w:val="es-ES_tradnl"/>
        </w:rPr>
        <w:t>Ley de promoción del adelanto y la integración de la mujer en la población activa y la adaptación de los lugares de trabajo a las necesidades de las mujeres</w:t>
      </w:r>
      <w:r>
        <w:rPr>
          <w:lang w:val="es-ES_tradnl"/>
        </w:rPr>
        <w:t xml:space="preserve"> de 5768/2008, que ofrece incentivos monetarios a los empleadores del sector privado que se esfuercen por integrar y promover a las mujeres en sus empresas, así como a los empleadores que adapten el lugar de trabajo y las condiciones de trabajo a las necesidades de las mujeres y los padres.</w:t>
      </w:r>
    </w:p>
    <w:p w:rsidR="00F92819" w:rsidRDefault="00F92819">
      <w:pPr>
        <w:pStyle w:val="SingleTxtG"/>
      </w:pPr>
      <w:r>
        <w:rPr>
          <w:lang w:val="es-ES_tradnl"/>
        </w:rPr>
        <w:t xml:space="preserve">La </w:t>
      </w:r>
      <w:r>
        <w:rPr>
          <w:i/>
          <w:lang w:val="es-ES_tradnl"/>
        </w:rPr>
        <w:t>Ley del empleo femenino</w:t>
      </w:r>
      <w:r>
        <w:rPr>
          <w:lang w:val="es-ES_tradnl"/>
        </w:rPr>
        <w:t xml:space="preserve"> de 5714/1954 se enmendó en varias ocasiones entre 2006 y 2008 con el fin de asegurar una amplitud de derechos a las mujeres trabajadoras, incluidos los distintos aspectos de la seguridad en el puesto de trabajo (detallados a continuación) así como el desarrollo y mejora de la protección de la maternidad de las mujeres.</w:t>
      </w:r>
    </w:p>
    <w:p w:rsidR="00F92819" w:rsidRDefault="00F92819">
      <w:pPr>
        <w:pStyle w:val="SingleTxtG"/>
      </w:pPr>
      <w:r>
        <w:rPr>
          <w:lang w:val="es-ES_tradnl"/>
        </w:rPr>
        <w:t xml:space="preserve">En 2007 el Knesset aprobó la </w:t>
      </w:r>
      <w:r>
        <w:rPr>
          <w:i/>
          <w:lang w:val="es-ES_tradnl"/>
        </w:rPr>
        <w:t>Ley sobre las consecuencias de la legislación en la igualdad de género (reformas legislativas)</w:t>
      </w:r>
      <w:r>
        <w:rPr>
          <w:lang w:val="es-ES_tradnl"/>
        </w:rPr>
        <w:t xml:space="preserve"> de 5676/2007, que impone el deber de examinar sistemáticamente las consecuencias que tenga cualquier legislación primaria o secundaria para la igualdad de género antes de que sea sancionada por el Knesset.</w:t>
      </w:r>
    </w:p>
    <w:p w:rsidR="00F92819" w:rsidRDefault="00F92819">
      <w:pPr>
        <w:pStyle w:val="SingleTxtG"/>
      </w:pPr>
      <w:r>
        <w:rPr>
          <w:lang w:val="es-ES_tradnl"/>
        </w:rPr>
        <w:t xml:space="preserve">En 2008 se reformó la </w:t>
      </w:r>
      <w:r>
        <w:rPr>
          <w:i/>
          <w:lang w:val="es-ES_tradnl"/>
        </w:rPr>
        <w:t>Ley de ejecución</w:t>
      </w:r>
      <w:r>
        <w:rPr>
          <w:lang w:val="es-ES_tradnl"/>
        </w:rPr>
        <w:t xml:space="preserve"> de 5678/2008 (Enmienda </w:t>
      </w:r>
      <w:r w:rsidR="00713E0E">
        <w:rPr>
          <w:lang w:val="es-ES_tradnl"/>
        </w:rPr>
        <w:t>Nº</w:t>
      </w:r>
      <w:r>
        <w:rPr>
          <w:lang w:val="es-ES_tradnl"/>
        </w:rPr>
        <w:t xml:space="preserve"> 29) con el fin de reforzar la protección que otorga la Ley sobre el derecho a una vivienda adecuada y que establece que en situaciones de desahucio por ejecución de deuda, hipoteca o garantía, se suministrará una vivienda alternativa antes de ejecutarse el desahucio.</w:t>
      </w:r>
    </w:p>
    <w:p w:rsidR="00F92819" w:rsidRDefault="00F92819">
      <w:pPr>
        <w:pStyle w:val="SingleTxtG"/>
      </w:pPr>
      <w:r>
        <w:rPr>
          <w:lang w:val="es-ES_tradnl"/>
        </w:rPr>
        <w:t xml:space="preserve">En 2007 se enmendó la </w:t>
      </w:r>
      <w:r>
        <w:rPr>
          <w:i/>
          <w:lang w:val="es-ES_tradnl"/>
        </w:rPr>
        <w:t xml:space="preserve">Ley de enseñanza obligatoria </w:t>
      </w:r>
      <w:r>
        <w:rPr>
          <w:lang w:val="es-ES_tradnl"/>
        </w:rPr>
        <w:t>de 5709/1949</w:t>
      </w:r>
      <w:r>
        <w:rPr>
          <w:i/>
          <w:lang w:val="es-ES_tradnl"/>
        </w:rPr>
        <w:t xml:space="preserve">, </w:t>
      </w:r>
      <w:r>
        <w:rPr>
          <w:lang w:val="es-ES_tradnl"/>
        </w:rPr>
        <w:t>a fin de imponer la enseñanza obligatoria a los jóvenes de entre 15 y 17 años de edad (inclusive) que cursan los grados 11º y 12º.</w:t>
      </w:r>
    </w:p>
    <w:p w:rsidR="00F92819" w:rsidRDefault="00F92819">
      <w:pPr>
        <w:pStyle w:val="SingleTxtG"/>
      </w:pPr>
      <w:r>
        <w:rPr>
          <w:lang w:val="es-ES_tradnl"/>
        </w:rPr>
        <w:t xml:space="preserve">La </w:t>
      </w:r>
      <w:r>
        <w:rPr>
          <w:i/>
          <w:lang w:val="es-ES_tradnl"/>
        </w:rPr>
        <w:t xml:space="preserve">Ley de la educación gratuita de los niños enfermos </w:t>
      </w:r>
      <w:r>
        <w:rPr>
          <w:lang w:val="es-ES_tradnl"/>
        </w:rPr>
        <w:t>de 5761/2001 fue aprobada en 2001 con la finalidad de promover la igualdad de oportunidades de los niños enfermos y ofrecer un marco educativo adecuado a los niños hospitalizados o limitados a la vida en el hogar a causa de enfermedad crónica.</w:t>
      </w:r>
    </w:p>
    <w:p w:rsidR="00F92819" w:rsidRDefault="00F92819">
      <w:pPr>
        <w:pStyle w:val="SingleTxtG"/>
      </w:pPr>
      <w:r>
        <w:t>5.</w:t>
      </w:r>
      <w:r>
        <w:tab/>
      </w:r>
      <w:r>
        <w:rPr>
          <w:lang w:val="es-ES_tradnl"/>
        </w:rPr>
        <w:t>Los derechos fundamentales protegidos por el Pacto lo están de hecho por las leyes, decisiones judiciales y por otros medios.</w:t>
      </w:r>
      <w:r>
        <w:t xml:space="preserve"> </w:t>
      </w:r>
      <w:r>
        <w:rPr>
          <w:lang w:val="es-ES_tradnl"/>
        </w:rPr>
        <w:t>Sin embargo, Israel no ha sancionado nuevas leyes fundamentales (derecho constitucional de Israel) sobre derechos económicos, sociales y culturales desde la presentación de sus informes periódicos anteriores.</w:t>
      </w:r>
    </w:p>
    <w:p w:rsidR="00F92819" w:rsidRDefault="00F92819">
      <w:pPr>
        <w:pStyle w:val="SingleTxtG"/>
      </w:pPr>
      <w:r>
        <w:t>6.</w:t>
      </w:r>
      <w:r>
        <w:tab/>
      </w:r>
      <w:r>
        <w:rPr>
          <w:lang w:val="es-ES_tradnl"/>
        </w:rPr>
        <w:t>Con respecto a las decisiones judiciales, el Tribunal Supremo ha seguido desempeñando un papel importante en la aplicación de los derechos protegidos por el Pacto.</w:t>
      </w:r>
      <w:r>
        <w:t xml:space="preserve"> </w:t>
      </w:r>
      <w:r>
        <w:rPr>
          <w:lang w:val="es-ES_tradnl"/>
        </w:rPr>
        <w:t>En 2005, al abordar la cuestión del nivel de vida, el Tribunal Supremo constituido como Tribunal Superior de Justicia sostuvo que el Estado está obligado a mantener una “red de seguridad” que impida que el deterioro de la situación de las personas desfavorecidas llegue a la privación existencial, consistente en escasez de alimentos, vivienda, higiene, servicios de atención sanitaria, etc</w:t>
      </w:r>
      <w:r>
        <w:rPr>
          <w:i/>
          <w:lang w:val="es-ES_tradnl"/>
        </w:rPr>
        <w:t xml:space="preserve">. </w:t>
      </w:r>
      <w:r>
        <w:rPr>
          <w:lang w:val="es-ES_tradnl"/>
        </w:rPr>
        <w:t xml:space="preserve">(H.C.J 366/03 </w:t>
      </w:r>
      <w:r>
        <w:rPr>
          <w:i/>
          <w:lang w:val="es-ES_tradnl"/>
        </w:rPr>
        <w:t xml:space="preserve">La Asociación para el Compromiso por la Paz y </w:t>
      </w:r>
      <w:smartTag w:uri="urn:schemas-microsoft-com:office:smarttags" w:element="PersonName">
        <w:smartTagPr>
          <w:attr w:name="ProductID" w:val="la Justicia Social"/>
        </w:smartTagPr>
        <w:r>
          <w:rPr>
            <w:i/>
            <w:lang w:val="es-ES_tradnl"/>
          </w:rPr>
          <w:t>la Justicia Social</w:t>
        </w:r>
      </w:smartTag>
      <w:r>
        <w:rPr>
          <w:i/>
          <w:lang w:val="es-ES_tradnl"/>
        </w:rPr>
        <w:t xml:space="preserve"> contra el Ministerio de Hacienda</w:t>
      </w:r>
      <w:r>
        <w:rPr>
          <w:lang w:val="es-ES_tradnl"/>
        </w:rPr>
        <w:t>).</w:t>
      </w:r>
    </w:p>
    <w:p w:rsidR="00F92819" w:rsidRDefault="00F92819">
      <w:pPr>
        <w:pStyle w:val="SingleTxtG"/>
      </w:pPr>
      <w:r>
        <w:rPr>
          <w:lang w:val="es-ES_tradnl"/>
        </w:rPr>
        <w:t xml:space="preserve">El 21 de noviembre de 2006 el Tribunal Supremo tomó la encomiable medida de reconocer los matrimonios civiles celebrados entre residentes israelíes judíos y ciudadanos fuera de Israel (H.C.J 2232/03 </w:t>
      </w:r>
      <w:r>
        <w:rPr>
          <w:i/>
          <w:lang w:val="es-ES_tradnl"/>
        </w:rPr>
        <w:t>Anónimo c. el Tribunal Rabínico de Apelaciones</w:t>
      </w:r>
      <w:r>
        <w:rPr>
          <w:lang w:val="es-ES_tradnl"/>
        </w:rPr>
        <w:t>).</w:t>
      </w:r>
    </w:p>
    <w:p w:rsidR="00F92819" w:rsidRDefault="00F92819">
      <w:pPr>
        <w:pStyle w:val="SingleTxtG"/>
        <w:rPr>
          <w:rtl/>
        </w:rPr>
      </w:pPr>
      <w:r>
        <w:rPr>
          <w:lang w:val="es-ES_tradnl"/>
        </w:rPr>
        <w:t>Se han producido varios avances importantes en la judicatura desde la presentación del informe anterior de Israel, con la ampliación del significado de familia en la práctica administrativa en lo que respecta a las parejas del mismo sexo.</w:t>
      </w:r>
      <w:r>
        <w:t xml:space="preserve"> </w:t>
      </w:r>
      <w:r>
        <w:rPr>
          <w:lang w:val="es-ES_tradnl"/>
        </w:rPr>
        <w:t>El 21 de noviembre de 2006 el Tribunal Supremo dictó un fallo histórico sobre los derechos de las parejas de un mismo sexo.</w:t>
      </w:r>
      <w:r>
        <w:t xml:space="preserve"> </w:t>
      </w:r>
      <w:r>
        <w:rPr>
          <w:lang w:val="es-ES_tradnl"/>
        </w:rPr>
        <w:t>El Tribunal sostuvo que un certificado de matrimonio expedido en otro país donde se reconocieran los matrimonios entre personas del mismo sexo podía permitir que el Ministerio del Interior inscribiera a la pareja como casada.</w:t>
      </w:r>
      <w:r>
        <w:rPr>
          <w:rtl/>
          <w:lang w:bidi="he-IL"/>
        </w:rPr>
        <w:t xml:space="preserve"> </w:t>
      </w:r>
      <w:r>
        <w:rPr>
          <w:lang w:val="es-ES_tradnl"/>
        </w:rPr>
        <w:t>En una decisión importante de enero de 2005, el Tribunal Supremo aceptó la apelación de dos mujeres, una pareja homosexual, que deseaban adoptar sus hijos recíprocamente.</w:t>
      </w:r>
    </w:p>
    <w:p w:rsidR="00F92819" w:rsidRDefault="00F92819">
      <w:pPr>
        <w:pStyle w:val="SingleTxtG"/>
      </w:pPr>
      <w:r>
        <w:t>7.</w:t>
      </w:r>
      <w:r>
        <w:tab/>
      </w:r>
      <w:r>
        <w:rPr>
          <w:lang w:val="es-ES_tradnl"/>
        </w:rPr>
        <w:t>Los tribunales inferiores también contribuyeron considerablemente a la protección de los derechos humanos cuando el Tribunal Laboral de Israel concluyó que una decisión del Ministerio de Transporte y Seguridad Vial de permitir que otros transportistas distintos de los que estaban en huelga aseguraran el servicio durante un paro del transporte en la ciudad de Be’er</w:t>
      </w:r>
      <w:r>
        <w:rPr>
          <w:lang w:val="es-ES_tradnl"/>
        </w:rPr>
        <w:noBreakHyphen/>
        <w:t xml:space="preserve">Sheva, había causado daño grave, directo e intencional al derecho de asociación de los trabajadores y al derecho de huelga (L.C 57/05 </w:t>
      </w:r>
      <w:r>
        <w:rPr>
          <w:i/>
          <w:lang w:val="es-ES_tradnl"/>
        </w:rPr>
        <w:t xml:space="preserve">El Nuevo Histadrut c. el Ministerio de Transporte </w:t>
      </w:r>
      <w:r>
        <w:rPr>
          <w:lang w:val="es-ES_tradnl"/>
        </w:rPr>
        <w:t>(3 de marzo de 2005)).</w:t>
      </w:r>
    </w:p>
    <w:p w:rsidR="00F92819" w:rsidRDefault="00F92819">
      <w:pPr>
        <w:pStyle w:val="SingleTxtG"/>
      </w:pPr>
      <w:r>
        <w:rPr>
          <w:lang w:val="es-ES_tradnl"/>
        </w:rPr>
        <w:t xml:space="preserve">En abril de 2008 el Tribunal del Distrito de Tel Aviv, constituido como Tribunal Administrativo, reafirmó la importancia de proteger los derechos de los trabajadores al anular una licitación publicada por la municipalidad de Bat-Yam ante la preocupación por que la empresa adjudicataria no pudiese cumplir sus obligaciones en materia de derechos de los trabajadores (Ad.P 1464/07 </w:t>
      </w:r>
      <w:smartTag w:uri="urn:schemas-microsoft-com:office:smarttags" w:element="PersonName">
        <w:smartTagPr>
          <w:attr w:name="ProductID" w:val="La Preach Hashaked Inc."/>
        </w:smartTagPr>
        <w:r>
          <w:rPr>
            <w:i/>
            <w:lang w:val="es-ES_tradnl"/>
          </w:rPr>
          <w:t>La Preach Hashaked Inc.</w:t>
        </w:r>
      </w:smartTag>
      <w:r>
        <w:rPr>
          <w:i/>
          <w:lang w:val="es-ES_tradnl"/>
        </w:rPr>
        <w:t xml:space="preserve"> c. la Municipalidad de Bat-Yam et. al.</w:t>
      </w:r>
      <w:r>
        <w:rPr>
          <w:lang w:val="es-ES_tradnl"/>
        </w:rPr>
        <w:t xml:space="preserve"> (14 de abril de 2008)).</w:t>
      </w:r>
    </w:p>
    <w:p w:rsidR="00F92819" w:rsidRDefault="00F92819">
      <w:pPr>
        <w:pStyle w:val="SingleTxtG"/>
      </w:pPr>
      <w:r>
        <w:rPr>
          <w:lang w:val="es-ES_tradnl"/>
        </w:rPr>
        <w:t xml:space="preserve">En </w:t>
      </w:r>
      <w:r w:rsidR="00DE5B4C">
        <w:rPr>
          <w:lang w:val="es-ES_tradnl"/>
        </w:rPr>
        <w:t xml:space="preserve">julio </w:t>
      </w:r>
      <w:r>
        <w:rPr>
          <w:lang w:val="es-ES_tradnl"/>
        </w:rPr>
        <w:t xml:space="preserve">de 2007 el Tribunal Laboral de Distrito amplió la protección legal del derecho a organizarse en sindicatos bajo la jurisprudencia israelí y ordenó la rehabilitación del demandante a raíz del despido improcedente resultante de su actividad sindical (C.M. 6726/07 </w:t>
      </w:r>
      <w:r>
        <w:rPr>
          <w:i/>
          <w:lang w:val="es-ES_tradnl"/>
        </w:rPr>
        <w:t xml:space="preserve">Alon Leigh Green c. </w:t>
      </w:r>
      <w:smartTag w:uri="urn:schemas-microsoft-com:office:smarttags" w:element="PersonName">
        <w:smartTagPr>
          <w:attr w:name="ProductID" w:val="la Excellent Coffee Ltd."/>
        </w:smartTagPr>
        <w:r>
          <w:rPr>
            <w:i/>
            <w:lang w:val="es-ES_tradnl"/>
          </w:rPr>
          <w:t>la Excellent Coffee Ltd.</w:t>
        </w:r>
      </w:smartTag>
      <w:r>
        <w:rPr>
          <w:lang w:val="es-ES_tradnl"/>
        </w:rPr>
        <w:t xml:space="preserve"> (18 de julio de 2007)).</w:t>
      </w:r>
    </w:p>
    <w:p w:rsidR="00F92819" w:rsidRDefault="00F92819">
      <w:pPr>
        <w:pStyle w:val="SingleTxtG"/>
      </w:pPr>
      <w:r>
        <w:t>8.</w:t>
      </w:r>
      <w:r>
        <w:tab/>
      </w:r>
      <w:r>
        <w:rPr>
          <w:lang w:val="es-ES_tradnl"/>
        </w:rPr>
        <w:t>En el informe que figura a continuación se tratan las principales cuestiones relacionadas con el Pacto en el período entre la presentación de informe periódico anterior de Israel y diciembre de 2008, y también las cuestiones planteadas por el Comité de Derechos Económicos, Sociales y Culturales.</w:t>
      </w:r>
    </w:p>
    <w:p w:rsidR="00F92819" w:rsidRDefault="00F92819">
      <w:pPr>
        <w:pStyle w:val="H1G"/>
        <w:spacing w:after="0"/>
        <w:rPr>
          <w:szCs w:val="24"/>
          <w:lang w:val="es-ES_tradnl"/>
        </w:rPr>
      </w:pPr>
      <w:r>
        <w:rPr>
          <w:sz w:val="20"/>
        </w:rPr>
        <w:tab/>
      </w:r>
      <w:r>
        <w:rPr>
          <w:sz w:val="20"/>
        </w:rPr>
        <w:tab/>
      </w:r>
      <w:r>
        <w:rPr>
          <w:szCs w:val="24"/>
          <w:lang w:val="es-ES_tradnl"/>
        </w:rPr>
        <w:t>Artículo 1</w:t>
      </w:r>
    </w:p>
    <w:p w:rsidR="00F92819" w:rsidRDefault="00F92819">
      <w:pPr>
        <w:pStyle w:val="H1G"/>
        <w:spacing w:before="0"/>
        <w:ind w:firstLine="0"/>
        <w:rPr>
          <w:szCs w:val="24"/>
        </w:rPr>
      </w:pPr>
      <w:r>
        <w:rPr>
          <w:szCs w:val="24"/>
          <w:lang w:val="es-ES_tradnl"/>
        </w:rPr>
        <w:t>Libre determinación</w:t>
      </w:r>
    </w:p>
    <w:p w:rsidR="00F92819" w:rsidRDefault="00F92819">
      <w:pPr>
        <w:pStyle w:val="SingleTxtG"/>
      </w:pPr>
      <w:r>
        <w:t>9.</w:t>
      </w:r>
      <w:r>
        <w:tab/>
      </w:r>
      <w:r>
        <w:rPr>
          <w:lang w:val="es-ES_tradnl"/>
        </w:rPr>
        <w:t>Esta cuestión se ha examinado en los anteriores informes de Israel</w:t>
      </w:r>
      <w:r>
        <w:t xml:space="preserve"> </w:t>
      </w:r>
      <w:r>
        <w:rPr>
          <w:lang w:val="es-ES_tradnl"/>
        </w:rPr>
        <w:t>y no ha habido cambios al respecto desde la presentación del segundo informe periódico.</w:t>
      </w:r>
    </w:p>
    <w:p w:rsidR="00F92819" w:rsidRDefault="00F92819">
      <w:pPr>
        <w:pStyle w:val="H1G"/>
        <w:spacing w:after="0"/>
        <w:rPr>
          <w:szCs w:val="24"/>
          <w:lang w:val="es-ES_tradnl"/>
        </w:rPr>
      </w:pPr>
      <w:r>
        <w:rPr>
          <w:szCs w:val="24"/>
        </w:rPr>
        <w:tab/>
      </w:r>
      <w:r>
        <w:rPr>
          <w:szCs w:val="24"/>
        </w:rPr>
        <w:tab/>
      </w:r>
      <w:r>
        <w:rPr>
          <w:szCs w:val="24"/>
          <w:lang w:val="es-ES_tradnl"/>
        </w:rPr>
        <w:t>Artículo 2</w:t>
      </w:r>
    </w:p>
    <w:p w:rsidR="00F92819" w:rsidRDefault="00F92819">
      <w:pPr>
        <w:pStyle w:val="H1G"/>
        <w:spacing w:before="0"/>
        <w:ind w:firstLine="0"/>
        <w:rPr>
          <w:szCs w:val="24"/>
          <w:lang w:val="es-ES_tradnl"/>
        </w:rPr>
      </w:pPr>
      <w:r>
        <w:rPr>
          <w:szCs w:val="24"/>
          <w:lang w:val="es-ES_tradnl"/>
        </w:rPr>
        <w:t>Principios generales:</w:t>
      </w:r>
      <w:r>
        <w:rPr>
          <w:szCs w:val="24"/>
        </w:rPr>
        <w:t xml:space="preserve"> </w:t>
      </w:r>
      <w:r>
        <w:rPr>
          <w:szCs w:val="24"/>
          <w:lang w:val="es-ES_tradnl"/>
        </w:rPr>
        <w:t>Responsabilidad del Estado, no discriminación y cooperación internacional</w:t>
      </w:r>
    </w:p>
    <w:p w:rsidR="00F92819" w:rsidRDefault="00F92819">
      <w:pPr>
        <w:pStyle w:val="H23G"/>
        <w:jc w:val="both"/>
      </w:pPr>
      <w:r>
        <w:tab/>
      </w:r>
      <w:r>
        <w:tab/>
      </w:r>
      <w:r>
        <w:rPr>
          <w:lang w:val="es-ES_tradnl"/>
        </w:rPr>
        <w:t>Responsabilidad del Estado</w:t>
      </w:r>
    </w:p>
    <w:p w:rsidR="00F92819" w:rsidRDefault="00F92819">
      <w:pPr>
        <w:pStyle w:val="SingleTxtG"/>
      </w:pPr>
      <w:r>
        <w:t>10.</w:t>
      </w:r>
      <w:r>
        <w:tab/>
      </w:r>
      <w:r>
        <w:rPr>
          <w:lang w:val="es-ES_tradnl"/>
        </w:rPr>
        <w:t>Los derechos económicos, sociales y culturales siguen reconociéndose ampliamente en Israel, directamente a través de la ley, las reglamentaciones y la jurisprudencia o indirectamente a través de programas administrativos.</w:t>
      </w:r>
    </w:p>
    <w:p w:rsidR="00F92819" w:rsidRDefault="00F92819">
      <w:pPr>
        <w:pStyle w:val="SingleTxtG"/>
      </w:pPr>
      <w:r>
        <w:t>11.</w:t>
      </w:r>
      <w:r>
        <w:tab/>
      </w:r>
      <w:r>
        <w:rPr>
          <w:lang w:val="es-ES_tradnl"/>
        </w:rPr>
        <w:t>Como se especifica a lo largo del presente informe, ha continuado la tendencia a la legalización del bienestar en Israel descrita en los informes anteriores.</w:t>
      </w:r>
    </w:p>
    <w:p w:rsidR="00F92819" w:rsidRDefault="00F92819">
      <w:pPr>
        <w:pStyle w:val="SingleTxtG"/>
      </w:pPr>
      <w:r>
        <w:t>12.</w:t>
      </w:r>
      <w:r>
        <w:tab/>
      </w:r>
      <w:r>
        <w:rPr>
          <w:lang w:val="es-ES_tradnl"/>
        </w:rPr>
        <w:t>Los tribunales de Israel a menudo se remiten a las disposiciones del ICESCR al debatir cuestiones sobre los diversos derechos reconocidos en el Pacto.</w:t>
      </w:r>
      <w:r>
        <w:t xml:space="preserve"> </w:t>
      </w:r>
      <w:r>
        <w:rPr>
          <w:lang w:val="es-ES_tradnl"/>
        </w:rPr>
        <w:t xml:space="preserve">Por ejemplo, el Tribunal Superior de Justicia apeló al artículo 13 del Pacto en lo que concierne al derecho a la enseñanza primaria gratuita (H.C.J 7351/03 </w:t>
      </w:r>
      <w:r>
        <w:rPr>
          <w:i/>
          <w:lang w:val="es-ES_tradnl"/>
        </w:rPr>
        <w:t>Asociación de Padres Municipal</w:t>
      </w:r>
      <w:r>
        <w:rPr>
          <w:lang w:val="es-ES_tradnl"/>
        </w:rPr>
        <w:t xml:space="preserve"> </w:t>
      </w:r>
      <w:r>
        <w:rPr>
          <w:i/>
          <w:lang w:val="es-ES_tradnl"/>
        </w:rPr>
        <w:t>Rishon Lezion et. al. c. el Ministerio de Educación, Cultura y Deportes et. al</w:t>
      </w:r>
      <w:r>
        <w:rPr>
          <w:lang w:val="es-ES_tradnl"/>
        </w:rPr>
        <w:t>. (18 de julio de 2005)).</w:t>
      </w:r>
      <w:r>
        <w:t xml:space="preserve"> </w:t>
      </w:r>
      <w:r>
        <w:rPr>
          <w:lang w:val="es-ES_tradnl"/>
        </w:rPr>
        <w:t xml:space="preserve">Se pueden encontrar otros ejemplos en las referencias del Tribunal Superior de Justicia al artículo 11 del Pacto en lo que respecta a un nivel de vida adecuado (H.C.J 366/03 </w:t>
      </w:r>
      <w:r>
        <w:rPr>
          <w:i/>
          <w:lang w:val="es-ES_tradnl"/>
        </w:rPr>
        <w:t xml:space="preserve">Asociación para el Compromiso por la Paz y </w:t>
      </w:r>
      <w:smartTag w:uri="urn:schemas-microsoft-com:office:smarttags" w:element="PersonName">
        <w:smartTagPr>
          <w:attr w:name="ProductID" w:val="la Justicia Social"/>
        </w:smartTagPr>
        <w:r>
          <w:rPr>
            <w:i/>
            <w:lang w:val="es-ES_tradnl"/>
          </w:rPr>
          <w:t>la Justicia Social</w:t>
        </w:r>
      </w:smartTag>
      <w:r>
        <w:rPr>
          <w:i/>
          <w:lang w:val="es-ES_tradnl"/>
        </w:rPr>
        <w:t xml:space="preserve"> c. el Ministerio de Hacienda </w:t>
      </w:r>
      <w:r>
        <w:rPr>
          <w:lang w:val="es-ES_tradnl"/>
        </w:rPr>
        <w:t xml:space="preserve">(12 de diciembre de 2005)), así como al artículo 12 en lo que concierne al más alto nivel posible de salud (H.C.J 3071/05 </w:t>
      </w:r>
      <w:r>
        <w:rPr>
          <w:i/>
          <w:lang w:val="es-ES_tradnl"/>
        </w:rPr>
        <w:t xml:space="preserve">Gila Luzun c. el Estado de Israel </w:t>
      </w:r>
      <w:r>
        <w:rPr>
          <w:lang w:val="es-ES_tradnl"/>
        </w:rPr>
        <w:t>(28 de julio de 2008)).</w:t>
      </w:r>
    </w:p>
    <w:p w:rsidR="00F92819" w:rsidRDefault="00F92819">
      <w:pPr>
        <w:pStyle w:val="SingleTxtG"/>
      </w:pPr>
      <w:r>
        <w:t>13.</w:t>
      </w:r>
      <w:r>
        <w:tab/>
      </w:r>
      <w:r>
        <w:rPr>
          <w:lang w:val="es-ES_tradnl"/>
        </w:rPr>
        <w:t>Los tribunales de distrito y los tribunales laborales también se remiten al Pacto en sus fallos.</w:t>
      </w:r>
      <w:r>
        <w:t xml:space="preserve"> </w:t>
      </w:r>
      <w:r>
        <w:rPr>
          <w:lang w:val="es-ES_tradnl"/>
        </w:rPr>
        <w:t xml:space="preserve">Por ejemplo, el Tribunal del Distrito de Jerusalén apeló al artículo 11 del Pacto en lo que respecta al derecho a un nivel de vida adecuado, sobre el derecho a la vivienda (C.A (Jerusalén) 6184/05 </w:t>
      </w:r>
      <w:r>
        <w:rPr>
          <w:i/>
          <w:lang w:val="es-ES_tradnl"/>
        </w:rPr>
        <w:t xml:space="preserve">Moshe Zrihan c. la empresa estatal de viviendas “Amidar” </w:t>
      </w:r>
      <w:r>
        <w:rPr>
          <w:lang w:val="es-ES_tradnl"/>
        </w:rPr>
        <w:t xml:space="preserve">(20 de marzo de 2007)). (A.C. (Haifa) 518/06 </w:t>
      </w:r>
      <w:r>
        <w:rPr>
          <w:i/>
          <w:lang w:val="es-ES_tradnl"/>
        </w:rPr>
        <w:t>Ishmael Abu-Tzalih et. al. c. la autoridad gubernamental de abastecimiento de aguas y saneamiento et. al</w:t>
      </w:r>
      <w:r>
        <w:rPr>
          <w:lang w:val="es-ES_tradnl"/>
        </w:rPr>
        <w:t>. (7 de febrero de 2008)).</w:t>
      </w:r>
    </w:p>
    <w:p w:rsidR="00F92819" w:rsidRDefault="00F92819">
      <w:pPr>
        <w:pStyle w:val="SingleTxtG"/>
      </w:pPr>
      <w:r>
        <w:t>14.</w:t>
      </w:r>
      <w:r>
        <w:tab/>
      </w:r>
      <w:r>
        <w:rPr>
          <w:lang w:val="es-ES_tradnl"/>
        </w:rPr>
        <w:t>También se dedican recursos educativos considerables al fomento y promoción de los derechos reconocidos en el Pacto mediante la continuación y mejora de la enseñanza en materia de derechos humanos, tal y como también recomienda el comité en sus observaciones finales del anterior informe periódico de Israel.</w:t>
      </w:r>
      <w:r>
        <w:t xml:space="preserve"> </w:t>
      </w:r>
      <w:r>
        <w:rPr>
          <w:lang w:val="es-ES_tradnl"/>
        </w:rPr>
        <w:t>Se aporta más información sobre esta cuestión en el artículo 13 siguiente.</w:t>
      </w:r>
    </w:p>
    <w:p w:rsidR="00F92819" w:rsidRDefault="00F92819">
      <w:pPr>
        <w:pStyle w:val="H23G"/>
        <w:jc w:val="both"/>
      </w:pPr>
      <w:r>
        <w:tab/>
      </w:r>
      <w:r>
        <w:tab/>
      </w:r>
      <w:r>
        <w:rPr>
          <w:lang w:val="es-ES_tradnl"/>
        </w:rPr>
        <w:t>Los derechos económicos, sociales y culturales como derechos constitucionales</w:t>
      </w:r>
    </w:p>
    <w:p w:rsidR="00F92819" w:rsidRDefault="00F92819">
      <w:pPr>
        <w:pStyle w:val="SingleTxtG"/>
      </w:pPr>
      <w:r>
        <w:t>15.</w:t>
      </w:r>
      <w:r>
        <w:tab/>
      </w:r>
      <w:r>
        <w:rPr>
          <w:lang w:val="es-ES_tradnl"/>
        </w:rPr>
        <w:t>Como se ha mencionado, los derechos económicos, sociales y culturales están ampliamente protegidos en la legislación y siguen siendo reconocidos con rango constitucional en la jurisprudencia israelí, a cuyo frente está el Tribunal Supremo de Israel, célebre por su profesionalidad y por sus esfuerzos constantes en la consagración de los derechos humanos.</w:t>
      </w:r>
      <w:r>
        <w:t xml:space="preserve"> </w:t>
      </w:r>
      <w:r>
        <w:rPr>
          <w:lang w:val="es-ES_tradnl"/>
        </w:rPr>
        <w:t xml:space="preserve">En otras secciones de este informe figuran otras decisiones judiciales de esta naturaleza. </w:t>
      </w:r>
    </w:p>
    <w:p w:rsidR="00F92819" w:rsidRDefault="00F92819">
      <w:pPr>
        <w:pStyle w:val="SingleTxtG"/>
      </w:pPr>
      <w:r>
        <w:t>16.</w:t>
      </w:r>
      <w:r>
        <w:tab/>
      </w:r>
      <w:r>
        <w:rPr>
          <w:lang w:val="es-ES_tradnl"/>
        </w:rPr>
        <w:t>En 2007 el Gobierno adoptó un programa socioeconómico encaminado a reducir las diferencias socioeconómicas en la sociedad israelí, manteniendo al mismo tiempo una política orientada al crecimiento.</w:t>
      </w:r>
      <w:r>
        <w:t xml:space="preserve"> </w:t>
      </w:r>
      <w:r>
        <w:rPr>
          <w:lang w:val="es-ES_tradnl"/>
        </w:rPr>
        <w:t>A tal efecto se constituyó una comisión interministerial, encabezada por el Director General del Ministerio de Hacienda, para aplicar el programa y formular medidas adecuadas.</w:t>
      </w:r>
      <w:r>
        <w:t xml:space="preserve"> </w:t>
      </w:r>
      <w:r>
        <w:rPr>
          <w:lang w:val="es-ES_tradnl"/>
        </w:rPr>
        <w:t>La comisión estableció varios grupos de trabajo dedicados a definir objetivos para mejorar la situación socioeconómica, crear herramientas para fomentar el empleo y supervisar la aplicación de estas herramientas y la forma en que se mide su eficacia.</w:t>
      </w:r>
    </w:p>
    <w:p w:rsidR="00F92819" w:rsidRDefault="00F92819">
      <w:pPr>
        <w:pStyle w:val="SingleTxtG"/>
      </w:pPr>
      <w:r>
        <w:t>17.</w:t>
      </w:r>
      <w:r>
        <w:tab/>
      </w:r>
      <w:r>
        <w:rPr>
          <w:lang w:val="es-ES_tradnl"/>
        </w:rPr>
        <w:t xml:space="preserve">El programa socioeconómico se sustenta en medidas a corto, medio y largo plazo orientadas a mejorar la situación de los segmentos desfavorecidos mediante el aumento de las tasas de empleo y los salarios, y la reducción de </w:t>
      </w:r>
      <w:smartTag w:uri="urn:schemas-microsoft-com:office:smarttags" w:element="PersonName">
        <w:smartTagPr>
          <w:attr w:name="ProductID" w:val="la pobreza. Como"/>
        </w:smartTagPr>
        <w:r>
          <w:rPr>
            <w:lang w:val="es-ES_tradnl"/>
          </w:rPr>
          <w:t>la pobreza. Como</w:t>
        </w:r>
      </w:smartTag>
      <w:r>
        <w:rPr>
          <w:lang w:val="es-ES_tradnl"/>
        </w:rPr>
        <w:t xml:space="preserve"> consecuencia de la actividad de la comisión interministerial, el Gobierno adoptó dos objetivos para la política socioeconómica a medio plazo:</w:t>
      </w:r>
      <w:r>
        <w:t xml:space="preserve"> </w:t>
      </w:r>
      <w:r>
        <w:rPr>
          <w:lang w:val="es-ES_tradnl"/>
        </w:rPr>
        <w:t xml:space="preserve">objetivo de empleo, a saber, aumento de la tasa de empleo entre el grupo de </w:t>
      </w:r>
      <w:smartTag w:uri="urn:schemas-microsoft-com:office:smarttags" w:element="metricconverter">
        <w:smartTagPr>
          <w:attr w:name="ProductID" w:val="25 a"/>
        </w:smartTagPr>
        <w:r>
          <w:rPr>
            <w:lang w:val="es-ES_tradnl"/>
          </w:rPr>
          <w:t>25 a</w:t>
        </w:r>
      </w:smartTag>
      <w:r>
        <w:rPr>
          <w:lang w:val="es-ES_tradnl"/>
        </w:rPr>
        <w:t xml:space="preserve"> 64 años, del 69,1% al 71,7% en 2010; y objetivo de reducción de la pobreza, a saber, los ingresos del quintil inferior aumentarán un 10% más que la tasa de crecimiento del PIB per cápita en los años 2008</w:t>
      </w:r>
      <w:r w:rsidR="001D63DF">
        <w:rPr>
          <w:lang w:val="es-ES_tradnl"/>
        </w:rPr>
        <w:t>-</w:t>
      </w:r>
      <w:r>
        <w:rPr>
          <w:lang w:val="es-ES_tradnl"/>
        </w:rPr>
        <w:t>2010, al tiempo que el porcentaje de ingresos de mano de obra en el quintil inferior aumentará del 43% al 45%.</w:t>
      </w:r>
    </w:p>
    <w:p w:rsidR="00F92819" w:rsidRDefault="00F92819">
      <w:pPr>
        <w:pStyle w:val="SingleTxtG"/>
      </w:pPr>
      <w:r>
        <w:t>18.</w:t>
      </w:r>
      <w:r>
        <w:tab/>
      </w:r>
      <w:r>
        <w:rPr>
          <w:lang w:val="es-ES_tradnl"/>
        </w:rPr>
        <w:t>Para conseguir estos objetivos se formularon diversas medidas a corto, medio y largo plazo, teniendo en cuenta las necesidades y las características particulares de las poblaciones débiles de la sociedad israelí.</w:t>
      </w:r>
      <w:r>
        <w:t xml:space="preserve"> </w:t>
      </w:r>
      <w:r>
        <w:rPr>
          <w:lang w:val="es-ES_tradnl"/>
        </w:rPr>
        <w:t>Entre las medidas desarrolladas, que se detallan a lo largo de este informe, hay programas de formación profesional con una finalidad determinada, incluido su fomento para profesiones con demanda en el mercado laboral; creación de la Autoridad para el Desarrollo Económico de la Población Árabe; medidas para incorporar en el mercado laboral a los beneficiarios del mantenimiento de ingresos; medidas para promover el empleo de las mujeres, como la ampliación de la asistencia prestada mediante guarderías, una medida que apoya el empleo de las mujeres y aumenta los ingresos disponibles; y promoción de la integración de las personas con discapacidad en la población activa.</w:t>
      </w:r>
    </w:p>
    <w:p w:rsidR="00F92819" w:rsidRDefault="00F92819">
      <w:pPr>
        <w:pStyle w:val="SingleTxtG"/>
      </w:pPr>
      <w:r>
        <w:t>19.</w:t>
      </w:r>
      <w:r>
        <w:tab/>
      </w:r>
      <w:r>
        <w:rPr>
          <w:lang w:val="es-ES_tradnl"/>
        </w:rPr>
        <w:t>La desgravación del impuesto sobre la renta (es decir, el impuesto negativo sobre la renta) es otra medida innovadora para reducir la pobreza entre las familias que trabajan y elevar la tasa de participación en la población activa,</w:t>
      </w:r>
      <w:r>
        <w:t xml:space="preserve"> </w:t>
      </w:r>
      <w:r>
        <w:rPr>
          <w:lang w:val="es-ES_tradnl"/>
        </w:rPr>
        <w:t>mediante el aumento de la remuneración por la mano de obra de las personas con rentas bajas.</w:t>
      </w:r>
      <w:r>
        <w:t xml:space="preserve"> </w:t>
      </w:r>
      <w:r>
        <w:rPr>
          <w:lang w:val="es-ES_tradnl"/>
        </w:rPr>
        <w:t xml:space="preserve">Ya se ha elaborado un programa detallado para aplicar el impuesto negativo sobre la renta y ha entrado en funcionamiento en los últimos meses de conformidad con la </w:t>
      </w:r>
      <w:r>
        <w:rPr>
          <w:i/>
          <w:lang w:val="es-ES_tradnl"/>
        </w:rPr>
        <w:t>Ley de aumento de la participación en la población activa y reducción de las diferencias sociales (impuesto negativo sobre la renta)</w:t>
      </w:r>
      <w:r>
        <w:rPr>
          <w:lang w:val="es-ES_tradnl"/>
        </w:rPr>
        <w:t xml:space="preserve"> aprobada el 27 de diciembre de 2007.</w:t>
      </w:r>
    </w:p>
    <w:p w:rsidR="00F92819" w:rsidRDefault="00F92819">
      <w:pPr>
        <w:pStyle w:val="SingleTxtG"/>
      </w:pPr>
      <w:r>
        <w:t>20.</w:t>
      </w:r>
      <w:r>
        <w:tab/>
      </w:r>
      <w:r>
        <w:rPr>
          <w:lang w:val="es-ES_tradnl"/>
        </w:rPr>
        <w:t>El monto de la remuneración se determina teniendo en cuenta los ingresos del empleado, el número de niños en la familia y los ingresos totales del hogar.</w:t>
      </w:r>
      <w:r>
        <w:t xml:space="preserve"> </w:t>
      </w:r>
      <w:r>
        <w:rPr>
          <w:lang w:val="es-ES_tradnl"/>
        </w:rPr>
        <w:t>El programa se aplicará por etapas, inicialmente a los empleados remunerados de 17 municipalidades (incluidas 5 árabes y la nueva municipalidad beduina regional de Abu-Basma), y en 2010 el alcance del programa se ampliará a todo el país, aplicándose tanto a trabajadores autónomos como asalariados.</w:t>
      </w:r>
      <w:r>
        <w:t xml:space="preserve"> </w:t>
      </w:r>
      <w:r>
        <w:rPr>
          <w:lang w:val="es-ES_tradnl"/>
        </w:rPr>
        <w:t>Un cuarto de millón de hogares podrán optar por el subsidio una vez se aplique el programa a nivel estatal.</w:t>
      </w:r>
    </w:p>
    <w:p w:rsidR="00F92819" w:rsidRDefault="00F92819">
      <w:pPr>
        <w:pStyle w:val="SingleTxtG"/>
      </w:pPr>
      <w:r>
        <w:t>21.</w:t>
      </w:r>
      <w:r>
        <w:tab/>
      </w:r>
      <w:r>
        <w:rPr>
          <w:lang w:val="es-ES_tradnl"/>
        </w:rPr>
        <w:t xml:space="preserve">Como se ha mencionado, uno de los objetivos del programa es aumentar la tasa de empleo entre el grupo de </w:t>
      </w:r>
      <w:smartTag w:uri="urn:schemas-microsoft-com:office:smarttags" w:element="metricconverter">
        <w:smartTagPr>
          <w:attr w:name="ProductID" w:val="25 a"/>
        </w:smartTagPr>
        <w:r>
          <w:rPr>
            <w:lang w:val="es-ES_tradnl"/>
          </w:rPr>
          <w:t>25 a</w:t>
        </w:r>
      </w:smartTag>
      <w:r>
        <w:rPr>
          <w:lang w:val="es-ES_tradnl"/>
        </w:rPr>
        <w:t xml:space="preserve"> 64 años al 71,7% en 2010. Como resultado de la mejora considerable en el mercado laboral en los últimos años, la tasa de empleo alcanzó el 71,2% en el segundo trimestre de 2008.</w:t>
      </w:r>
    </w:p>
    <w:p w:rsidR="00F92819" w:rsidRDefault="00F92819">
      <w:pPr>
        <w:pStyle w:val="SingleTxtG"/>
      </w:pPr>
      <w:r>
        <w:t>22.</w:t>
      </w:r>
      <w:r>
        <w:tab/>
      </w:r>
      <w:r>
        <w:rPr>
          <w:lang w:val="es-ES_tradnl"/>
        </w:rPr>
        <w:t>El Gobierno reconoce la importancia de la enseñanza como catalizador para reducir las diferencias socioeconómicas y aumentar la movilidad social,</w:t>
      </w:r>
      <w:r>
        <w:t xml:space="preserve"> </w:t>
      </w:r>
      <w:r>
        <w:rPr>
          <w:lang w:val="es-ES_tradnl"/>
        </w:rPr>
        <w:t>por lo cual se ha consolidado y aplicado gradualmente una amplia reforma con el fin de promover el sistema educativo.</w:t>
      </w:r>
      <w:r>
        <w:t xml:space="preserve"> </w:t>
      </w:r>
      <w:r>
        <w:rPr>
          <w:lang w:val="es-ES_tradnl"/>
        </w:rPr>
        <w:t>La reforma, que se detalla en el artículo 13 siguiente, incluye la ampliación y modificación de la semana lectiva de los docentes, la creación de un sistema salarial retributivo y la flexibilidad en la gestión de cada escuela, la mejora de la formación profesional y la reducción del número de alumnos por clase.</w:t>
      </w:r>
      <w:r>
        <w:t xml:space="preserve"> </w:t>
      </w:r>
      <w:r>
        <w:rPr>
          <w:lang w:val="es-ES_tradnl"/>
        </w:rPr>
        <w:t>En 2008 la reforma se aplica en 813 escuelas de primaria y postprimaria en todo el país.</w:t>
      </w:r>
      <w:r>
        <w:t xml:space="preserve"> </w:t>
      </w:r>
      <w:r>
        <w:rPr>
          <w:lang w:val="es-ES_tradnl"/>
        </w:rPr>
        <w:t>En 2009 se aplicará la reforma en 700 escuelas más, extendiéndose a la mayoría de las escuelas de primaria de Israel.</w:t>
      </w:r>
    </w:p>
    <w:p w:rsidR="00F92819" w:rsidRDefault="00F92819">
      <w:pPr>
        <w:pStyle w:val="SingleTxtG"/>
      </w:pPr>
      <w:r>
        <w:t>23.</w:t>
      </w:r>
      <w:r>
        <w:tab/>
      </w:r>
      <w:r>
        <w:rPr>
          <w:lang w:val="es-ES_tradnl"/>
        </w:rPr>
        <w:t>Junto al programa socioeconómico, el Gobierno adoptó un programa para el fomento de las zonas periféricas,</w:t>
      </w:r>
      <w:r>
        <w:t xml:space="preserve"> </w:t>
      </w:r>
      <w:r>
        <w:rPr>
          <w:lang w:val="es-ES_tradnl"/>
        </w:rPr>
        <w:t>cuyas diferencias con el centro se reflejan en la tasa de empleo, las variaciones socioeconómicas y la realización del potencial de capital, físico y humano.</w:t>
      </w:r>
      <w:r>
        <w:t xml:space="preserve"> </w:t>
      </w:r>
      <w:r>
        <w:rPr>
          <w:lang w:val="es-ES_tradnl"/>
        </w:rPr>
        <w:t>La necesidad de reducir las diferencias entre la periferia y el centro exige destinar determinados recursos específicos.</w:t>
      </w:r>
    </w:p>
    <w:p w:rsidR="00F92819" w:rsidRDefault="00F92819">
      <w:pPr>
        <w:pStyle w:val="SingleTxtG"/>
      </w:pPr>
      <w:r>
        <w:t>24.</w:t>
      </w:r>
      <w:r>
        <w:tab/>
      </w:r>
      <w:r>
        <w:rPr>
          <w:lang w:val="es-ES_tradnl"/>
        </w:rPr>
        <w:t xml:space="preserve">Otro de los aspectos de la actividad de promoción de las regiones periféricas del país es el </w:t>
      </w:r>
      <w:r>
        <w:rPr>
          <w:i/>
          <w:lang w:val="es-ES_tradnl"/>
        </w:rPr>
        <w:t xml:space="preserve">Plan Estratégico Nacional de Desarrollo del Negev, </w:t>
      </w:r>
      <w:r>
        <w:rPr>
          <w:lang w:val="es-ES_tradnl"/>
        </w:rPr>
        <w:t xml:space="preserve">establecido en las resoluciones del Gobierno </w:t>
      </w:r>
      <w:r w:rsidR="00713E0E">
        <w:rPr>
          <w:lang w:val="es-ES_tradnl"/>
        </w:rPr>
        <w:t>Nº</w:t>
      </w:r>
      <w:r>
        <w:rPr>
          <w:lang w:val="es-ES_tradnl"/>
        </w:rPr>
        <w:t xml:space="preserve"> 4415 (20 de noviembre de 2005), </w:t>
      </w:r>
      <w:r w:rsidR="00713E0E">
        <w:rPr>
          <w:lang w:val="es-ES_tradnl"/>
        </w:rPr>
        <w:t>Nº</w:t>
      </w:r>
      <w:r>
        <w:rPr>
          <w:lang w:val="es-ES_tradnl"/>
        </w:rPr>
        <w:t xml:space="preserve"> 3489 (31 de marzo de 2005) y </w:t>
      </w:r>
      <w:r w:rsidR="00713E0E">
        <w:rPr>
          <w:lang w:val="es-ES_tradnl"/>
        </w:rPr>
        <w:t>Nº</w:t>
      </w:r>
      <w:r>
        <w:rPr>
          <w:lang w:val="es-ES_tradnl"/>
        </w:rPr>
        <w:t xml:space="preserve"> 4092 (9 de agosto de 2005).</w:t>
      </w:r>
      <w:r>
        <w:t xml:space="preserve"> </w:t>
      </w:r>
      <w:r>
        <w:rPr>
          <w:lang w:val="es-ES_tradnl"/>
        </w:rPr>
        <w:t>El plan integral del Gobierno abarca un período de nueve años, desde 2006 hasta 2015, y pretende desarrollar el Negev mediante la mejora de las infraestructuras y el sistema educativo, el aumento del empleo y de la población del Negev y la reducción de las diferencias de ingresos entre los habitantes del Negev y el resto de Israel.</w:t>
      </w:r>
      <w:r>
        <w:t xml:space="preserve"> </w:t>
      </w:r>
      <w:r>
        <w:rPr>
          <w:lang w:val="es-ES_tradnl"/>
        </w:rPr>
        <w:t>Entre los años 2006 y 2015 el Gobierno tiene previsto asignar, de forma directa y/o indirecta, 17.000 millones de nuevos sheqalim (4.470 millones de dólares de los EE.UU.) para el desarrollo del Negev.</w:t>
      </w:r>
    </w:p>
    <w:p w:rsidR="00F92819" w:rsidRDefault="00F92819">
      <w:pPr>
        <w:pStyle w:val="H23G"/>
        <w:jc w:val="both"/>
      </w:pPr>
      <w:r>
        <w:tab/>
      </w:r>
      <w:r>
        <w:tab/>
      </w:r>
      <w:r>
        <w:rPr>
          <w:lang w:val="es-ES_tradnl"/>
        </w:rPr>
        <w:t>No discriminación</w:t>
      </w:r>
    </w:p>
    <w:p w:rsidR="00F92819" w:rsidRDefault="00F92819">
      <w:pPr>
        <w:pStyle w:val="SingleTxtG"/>
      </w:pPr>
      <w:r>
        <w:t>25.</w:t>
      </w:r>
      <w:r>
        <w:tab/>
      </w:r>
      <w:r>
        <w:rPr>
          <w:lang w:val="es-ES_tradnl"/>
        </w:rPr>
        <w:t>En sus observaciones finales con respecto al informe periódico anterior de Israel, el Comité expresó su preocupación porque el ordenamiento jurídico interno del Estado parte no hubiese incorporado los principios de igualdad y no discriminación.</w:t>
      </w:r>
      <w:r>
        <w:t xml:space="preserve"> </w:t>
      </w:r>
      <w:r>
        <w:rPr>
          <w:lang w:val="es-ES_tradnl"/>
        </w:rPr>
        <w:t>A este respecto, cabe reiterar que el principio de igualdad es uno de los principios fundamentales del sistema jurídico israelí, reflejado tanto en la legislación como en la administración de justicia, lo cual ya se ha explicado con detalle en los informes inicial y periódico de Israel.</w:t>
      </w:r>
    </w:p>
    <w:p w:rsidR="00F92819" w:rsidRDefault="00F92819">
      <w:pPr>
        <w:pStyle w:val="SingleTxtG"/>
      </w:pPr>
      <w:r>
        <w:t>26.</w:t>
      </w:r>
      <w:r>
        <w:tab/>
      </w:r>
      <w:r>
        <w:rPr>
          <w:lang w:val="es-ES_tradnl"/>
        </w:rPr>
        <w:t xml:space="preserve">La </w:t>
      </w:r>
      <w:r>
        <w:rPr>
          <w:i/>
          <w:lang w:val="es-ES_tradnl"/>
        </w:rPr>
        <w:t>Ley fundamental:</w:t>
      </w:r>
      <w:r>
        <w:rPr>
          <w:i/>
        </w:rPr>
        <w:t xml:space="preserve"> </w:t>
      </w:r>
      <w:r>
        <w:rPr>
          <w:i/>
          <w:lang w:val="es-ES_tradnl"/>
        </w:rPr>
        <w:t>dignidad y libertad humanas</w:t>
      </w:r>
      <w:r>
        <w:rPr>
          <w:lang w:val="es-ES_tradnl"/>
        </w:rPr>
        <w:t xml:space="preserve"> se propone proteger las garantías fundamentales de la libertad personal en el marco del carácter judío y democrático de Israel.</w:t>
      </w:r>
      <w:r>
        <w:t xml:space="preserve"> </w:t>
      </w:r>
      <w:r>
        <w:rPr>
          <w:lang w:val="es-ES_tradnl"/>
        </w:rPr>
        <w:t>El objeto de la Ley es defender la libertad y dignidad humanas a fin de establecer en una ley fundamental los valores del Estado de Israel como Estado judío y democrático.</w:t>
      </w:r>
    </w:p>
    <w:p w:rsidR="00F92819" w:rsidRDefault="00F92819">
      <w:pPr>
        <w:pStyle w:val="SingleTxtG"/>
      </w:pPr>
      <w:r>
        <w:t>27.</w:t>
      </w:r>
      <w:r>
        <w:tab/>
      </w:r>
      <w:r>
        <w:rPr>
          <w:lang w:val="es-ES_tradnl"/>
        </w:rPr>
        <w:t>La Ley fundamental establece, entre otras cosas, lo siguiente:</w:t>
      </w:r>
      <w:r>
        <w:t xml:space="preserve"> </w:t>
      </w:r>
      <w:r>
        <w:rPr>
          <w:lang w:val="es-ES_tradnl"/>
        </w:rPr>
        <w:t>la vida, la persona o la dignidad del ser humano son inviolables; la propiedad de una persona es inviolable; todos los seres humanos tienen derecho a la protección de su vida, su persona y su dignidad; nadie será privado parcial ni totalmente de su libertad por prisión, arresto, extradición o de otro modo (salvo en los casos previstos por la ley). Los derechos incluidos en esta Ley fundamental no podrán ser violados salvo por una ley conforme a los valores del Estado de Israel, sancionada con un propósito definido y en una medida no mayor que la necesaria.</w:t>
      </w:r>
    </w:p>
    <w:p w:rsidR="00F92819" w:rsidRDefault="00F92819">
      <w:pPr>
        <w:pStyle w:val="SingleTxtG"/>
      </w:pPr>
      <w:r>
        <w:t>28.</w:t>
      </w:r>
      <w:r>
        <w:tab/>
      </w:r>
      <w:r>
        <w:rPr>
          <w:lang w:val="es-ES_tradnl"/>
        </w:rPr>
        <w:t>Además, muchas leyes subrayan el principio de igualdad, como se indica extensamente en los informes inicial y periódico de Israel.</w:t>
      </w:r>
    </w:p>
    <w:p w:rsidR="00F92819" w:rsidRDefault="00F92819">
      <w:pPr>
        <w:pStyle w:val="SingleTxtG"/>
      </w:pPr>
      <w:r>
        <w:t>29.</w:t>
      </w:r>
      <w:r>
        <w:tab/>
      </w:r>
      <w:r>
        <w:rPr>
          <w:lang w:val="es-ES_tradnl"/>
        </w:rPr>
        <w:t>El principio de igualdad también se fomenta a través de la administración de justicia, puesto que el Tribunal Supremo de Israel desempeña un papel fundamental en el desarrollo de jurisprudencia sobre cuestiones contenciosas de pronunciado carácter político y sobre temas relacionados con la seguridad, por ejemplo:</w:t>
      </w:r>
    </w:p>
    <w:p w:rsidR="00F92819" w:rsidRDefault="00F92819">
      <w:pPr>
        <w:pStyle w:val="Bullet1G"/>
        <w:tabs>
          <w:tab w:val="clear" w:pos="1701"/>
        </w:tabs>
        <w:suppressAutoHyphens/>
      </w:pPr>
      <w:r>
        <w:t xml:space="preserve">29.1. </w:t>
      </w:r>
      <w:r>
        <w:rPr>
          <w:lang w:val="es-ES_tradnl"/>
        </w:rPr>
        <w:t>En</w:t>
      </w:r>
      <w:r>
        <w:rPr>
          <w:b/>
          <w:lang w:val="es-ES_tradnl"/>
        </w:rPr>
        <w:t xml:space="preserve"> H.C.J. 11163/03</w:t>
      </w:r>
      <w:r>
        <w:rPr>
          <w:b/>
          <w:i/>
          <w:lang w:val="es-ES_tradnl"/>
        </w:rPr>
        <w:t xml:space="preserve"> El Comité superior de seguimiento para los ciudadanos árabes de Israel et al c. el Primer Ministro de Israel</w:t>
      </w:r>
      <w:r>
        <w:rPr>
          <w:lang w:val="es-ES_tradnl"/>
        </w:rPr>
        <w:t xml:space="preserve"> (27 de febrero de 2006) el Tribunal Supremo afirmó los principios de igualdad y no discriminación por ningún motivo y subrayó que la asignación de recursos sobre la base de criterios discriminatorios era inaceptable.</w:t>
      </w:r>
      <w:r>
        <w:t xml:space="preserve"> </w:t>
      </w:r>
      <w:r>
        <w:rPr>
          <w:lang w:val="es-ES_tradnl"/>
        </w:rPr>
        <w:t>Se tomó por unanimidad la decisión de cancelar la resolución del Gobierno por la que se establecían zonas de prioridad nacional en Israel, por considerarla discriminatoria por motivos de origen nacional.</w:t>
      </w:r>
      <w:r>
        <w:t xml:space="preserve"> </w:t>
      </w:r>
      <w:r>
        <w:rPr>
          <w:lang w:val="es-ES_tradnl"/>
        </w:rPr>
        <w:t>El Tribunal Supremo sostuvo que el Gobierno debe respetar el principio de igualdad y no puede discriminar contra ciudadanos minoritarios de Israel.</w:t>
      </w:r>
      <w:r>
        <w:t xml:space="preserve"> </w:t>
      </w:r>
      <w:r>
        <w:rPr>
          <w:lang w:val="es-ES_tradnl"/>
        </w:rPr>
        <w:t>El Tribunal afirmó que todos los actos del Gobierno se deben ejecutar de conformidad con las Leyes fundamentales y con los valores del Estado de Israel como Estado judío y democrático.</w:t>
      </w:r>
      <w:r>
        <w:t xml:space="preserve"> </w:t>
      </w:r>
      <w:r>
        <w:rPr>
          <w:lang w:val="es-ES_tradnl"/>
        </w:rPr>
        <w:t xml:space="preserve">El Tribunal insistió en que los valores fundamentales de Israel son la libertad, la igualdad y la dignidad humanas, el derecho de propiedad, etc. El Tribunal observó que la prohibición de violar esos valores se había acentuado aún más a raíz de la aprobación en 1992 de las </w:t>
      </w:r>
      <w:r>
        <w:rPr>
          <w:i/>
          <w:lang w:val="es-ES_tradnl"/>
        </w:rPr>
        <w:t>Leyes fundamentales:</w:t>
      </w:r>
      <w:r>
        <w:rPr>
          <w:i/>
        </w:rPr>
        <w:t xml:space="preserve"> </w:t>
      </w:r>
      <w:r>
        <w:rPr>
          <w:i/>
          <w:lang w:val="es-ES_tradnl"/>
        </w:rPr>
        <w:t xml:space="preserve">dignidad y libertad humanas </w:t>
      </w:r>
      <w:r>
        <w:rPr>
          <w:lang w:val="es-ES_tradnl"/>
        </w:rPr>
        <w:t>y</w:t>
      </w:r>
      <w:r>
        <w:rPr>
          <w:i/>
          <w:lang w:val="es-ES_tradnl"/>
        </w:rPr>
        <w:t xml:space="preserve"> libertad de ocupación</w:t>
      </w:r>
      <w:r>
        <w:rPr>
          <w:lang w:val="es-ES_tradnl"/>
        </w:rPr>
        <w:t>, que concedían a esos valores una condición más elevada y más significativa en el ordenamiento jurídico israelí.</w:t>
      </w:r>
    </w:p>
    <w:p w:rsidR="00F92819" w:rsidRDefault="00F92819">
      <w:pPr>
        <w:spacing w:after="120"/>
        <w:ind w:left="1701" w:right="1134" w:hanging="170"/>
        <w:jc w:val="both"/>
      </w:pPr>
      <w:r>
        <w:tab/>
      </w:r>
      <w:r>
        <w:rPr>
          <w:lang w:val="es-ES_tradnl"/>
        </w:rPr>
        <w:t>Obsérvese que la cuestión de la aplicación de esta decisión está pendiente ante el Tribunal Superior de Justicia.</w:t>
      </w:r>
    </w:p>
    <w:p w:rsidR="00F92819" w:rsidRDefault="00F92819">
      <w:pPr>
        <w:pStyle w:val="Bullet1G"/>
        <w:tabs>
          <w:tab w:val="clear" w:pos="1701"/>
        </w:tabs>
        <w:suppressAutoHyphens/>
      </w:pPr>
      <w:r>
        <w:t>29.2.</w:t>
      </w:r>
      <w:r>
        <w:rPr>
          <w:b/>
        </w:rPr>
        <w:t xml:space="preserve"> </w:t>
      </w:r>
      <w:r>
        <w:rPr>
          <w:lang w:val="es-ES_tradnl"/>
        </w:rPr>
        <w:t xml:space="preserve">En </w:t>
      </w:r>
      <w:r>
        <w:rPr>
          <w:b/>
          <w:lang w:val="es-ES_tradnl"/>
        </w:rPr>
        <w:t>H.C.J. 3939/99</w:t>
      </w:r>
      <w:r>
        <w:rPr>
          <w:b/>
          <w:i/>
          <w:lang w:val="es-ES_tradnl"/>
        </w:rPr>
        <w:t xml:space="preserve"> Kibbutz Sde-Nahum et al c. la Administración de Tierras de Israel et al.</w:t>
      </w:r>
      <w:r>
        <w:rPr>
          <w:lang w:val="es-ES_tradnl"/>
        </w:rPr>
        <w:t xml:space="preserve"> (29 de agosto de 2002) el Tribunal Superior de Justicia sostuvo que la Administración de Tierras debe administrar las tierras del Estado protegiendo al mismo tiempo el interés público, que incluye proteger la tierra en beneficio de un público más amplio y abstenerse de otorgar beneficios injustificados relacionados con </w:t>
      </w:r>
      <w:smartTag w:uri="urn:schemas-microsoft-com:office:smarttags" w:element="PersonName">
        <w:smartTagPr>
          <w:attr w:name="ProductID" w:val="la tierra. Como"/>
        </w:smartTagPr>
        <w:r>
          <w:rPr>
            <w:lang w:val="es-ES_tradnl"/>
          </w:rPr>
          <w:t>la tierra.</w:t>
        </w:r>
        <w:r>
          <w:t xml:space="preserve"> </w:t>
        </w:r>
        <w:r>
          <w:rPr>
            <w:lang w:val="es-ES_tradnl"/>
          </w:rPr>
          <w:t>Como</w:t>
        </w:r>
      </w:smartTag>
      <w:r>
        <w:rPr>
          <w:lang w:val="es-ES_tradnl"/>
        </w:rPr>
        <w:t xml:space="preserve"> es de esperar en cualquier otro organismo administrativo, la Administración debe actuar de forma imparcial y promover el principio general de justicia en la atribución de recursos públicos.</w:t>
      </w:r>
      <w:r>
        <w:t xml:space="preserve"> </w:t>
      </w:r>
      <w:r>
        <w:rPr>
          <w:lang w:val="es-ES_tradnl"/>
        </w:rPr>
        <w:t>El Tribunal observó también la diferencia entre discriminación y distinción legítima.</w:t>
      </w:r>
      <w:r>
        <w:t xml:space="preserve"> </w:t>
      </w:r>
      <w:r>
        <w:rPr>
          <w:lang w:val="es-ES_tradnl"/>
        </w:rPr>
        <w:t>En consecuencia, el Tribunal determinó que se prohibiera la decisión de asignar tierras exclusivamente a una población determinada, sin basarse en una distinción legítima.</w:t>
      </w:r>
    </w:p>
    <w:p w:rsidR="00F92819" w:rsidRDefault="00F92819">
      <w:pPr>
        <w:pStyle w:val="Bullet1G"/>
      </w:pPr>
      <w:r>
        <w:rPr>
          <w:lang w:val="es-ES_tradnl"/>
        </w:rPr>
        <w:t>29.3 En</w:t>
      </w:r>
      <w:r>
        <w:rPr>
          <w:b/>
          <w:i/>
          <w:lang w:val="es-ES_tradnl"/>
        </w:rPr>
        <w:t xml:space="preserve"> </w:t>
      </w:r>
      <w:r>
        <w:rPr>
          <w:b/>
          <w:lang w:val="es-ES_tradnl"/>
        </w:rPr>
        <w:t>H.C.J. 1113/99</w:t>
      </w:r>
      <w:r>
        <w:rPr>
          <w:b/>
          <w:i/>
          <w:lang w:val="es-ES_tradnl"/>
        </w:rPr>
        <w:t xml:space="preserve"> Adalah, et al c. el Ministro de Asuntos Religiosos, et al</w:t>
      </w:r>
      <w:r>
        <w:rPr>
          <w:i/>
          <w:lang w:val="es-ES_tradnl"/>
        </w:rPr>
        <w:t xml:space="preserve"> </w:t>
      </w:r>
      <w:r>
        <w:rPr>
          <w:lang w:val="es-ES_tradnl"/>
        </w:rPr>
        <w:t>(18 de abril de 2000) el Tribunal Supremo aceptó la petición de los demandantes de que se encargara al Ministro de Asuntos Religiosos que estableciera criterios claros y no discriminatorios para la distribución de recursos a todos los cementerios.</w:t>
      </w:r>
      <w:r>
        <w:t xml:space="preserve"> </w:t>
      </w:r>
      <w:r>
        <w:rPr>
          <w:lang w:val="es-ES_tradnl"/>
        </w:rPr>
        <w:t>El Tribunal resolvió que el Ministro de Asuntos Religiosos deba asignar los fondos destinados a los cementerios sobre una base de igualdad y con arreglo a normas de proporcionalidad (porcentaje de la población).</w:t>
      </w:r>
      <w:r>
        <w:t xml:space="preserve"> </w:t>
      </w:r>
      <w:r>
        <w:rPr>
          <w:lang w:val="es-ES_tradnl"/>
        </w:rPr>
        <w:t>Asimismo, el tribunal dictaminó que</w:t>
      </w:r>
      <w:r>
        <w:t xml:space="preserve"> </w:t>
      </w:r>
      <w:r>
        <w:rPr>
          <w:lang w:val="es-ES_tradnl"/>
        </w:rPr>
        <w:t>los recursos del Estado, ya se trate de tierras o de dinero... pertenecen a todos los ciudadanos y que todos los ciudadanos tienen derecho a disfrutarlos de acuerdo con el principio de igualdad y no discriminación por motivos de religión, raza, género u otras consideraciones prohibidas.</w:t>
      </w:r>
      <w:r>
        <w:t xml:space="preserve"> </w:t>
      </w:r>
      <w:r>
        <w:rPr>
          <w:lang w:val="es-ES_tradnl"/>
        </w:rPr>
        <w:t>En su sentencia, el anterior Presidente del Tribunal Supremo Aharon Barak subrayó que el derecho a la igualdad es un derecho constitucional incluido en el derecho a la dignidad humana.</w:t>
      </w:r>
    </w:p>
    <w:p w:rsidR="00F92819" w:rsidRDefault="00F92819">
      <w:pPr>
        <w:pStyle w:val="SingleTxtG"/>
        <w:rPr>
          <w:szCs w:val="24"/>
        </w:rPr>
      </w:pPr>
      <w:r>
        <w:rPr>
          <w:szCs w:val="24"/>
        </w:rPr>
        <w:t>30.</w:t>
      </w:r>
      <w:r>
        <w:rPr>
          <w:szCs w:val="24"/>
        </w:rPr>
        <w:tab/>
      </w:r>
      <w:r>
        <w:rPr>
          <w:szCs w:val="24"/>
          <w:lang w:val="es-ES_tradnl"/>
        </w:rPr>
        <w:t>A lo largo del informe se incluye una relación detallada de casos recientes de aplicación del principio de no discriminación.</w:t>
      </w:r>
      <w:r>
        <w:rPr>
          <w:szCs w:val="24"/>
        </w:rPr>
        <w:t xml:space="preserve"> </w:t>
      </w:r>
      <w:r>
        <w:rPr>
          <w:szCs w:val="24"/>
          <w:lang w:val="es-ES_tradnl"/>
        </w:rPr>
        <w:t>Aquí solamente se mencionan cuestiones de repercusión general.</w:t>
      </w:r>
      <w:r>
        <w:rPr>
          <w:szCs w:val="24"/>
        </w:rPr>
        <w:t xml:space="preserve"> </w:t>
      </w:r>
      <w:r>
        <w:rPr>
          <w:szCs w:val="24"/>
          <w:lang w:val="es-ES_tradnl"/>
        </w:rPr>
        <w:t>Se ha prestado especial atención a las preocupaciones y observaciones del Comité en sus observaciones finales a raíz de la presentación del segundo informe periódico de Israel.</w:t>
      </w:r>
    </w:p>
    <w:p w:rsidR="00F92819" w:rsidRDefault="00F92819">
      <w:pPr>
        <w:pStyle w:val="H23G"/>
        <w:rPr>
          <w:szCs w:val="24"/>
        </w:rPr>
      </w:pPr>
      <w:r>
        <w:rPr>
          <w:szCs w:val="24"/>
        </w:rPr>
        <w:tab/>
      </w:r>
      <w:r>
        <w:rPr>
          <w:szCs w:val="24"/>
        </w:rPr>
        <w:tab/>
      </w:r>
      <w:r>
        <w:rPr>
          <w:szCs w:val="24"/>
          <w:lang w:val="es-ES_tradnl"/>
        </w:rPr>
        <w:t>La Ley del retorno de 5710/1950</w:t>
      </w:r>
    </w:p>
    <w:p w:rsidR="00F92819" w:rsidRDefault="00F92819">
      <w:pPr>
        <w:pStyle w:val="SingleTxtG"/>
        <w:rPr>
          <w:szCs w:val="24"/>
        </w:rPr>
      </w:pPr>
      <w:r>
        <w:rPr>
          <w:szCs w:val="24"/>
        </w:rPr>
        <w:t>31.</w:t>
      </w:r>
      <w:r>
        <w:rPr>
          <w:szCs w:val="24"/>
        </w:rPr>
        <w:tab/>
      </w:r>
      <w:r>
        <w:rPr>
          <w:szCs w:val="24"/>
          <w:lang w:val="es-ES_tradnl"/>
        </w:rPr>
        <w:t>Esta cuestión se ha examinado ampliamente en los anteriores informes de Israel</w:t>
      </w:r>
      <w:r>
        <w:rPr>
          <w:szCs w:val="24"/>
        </w:rPr>
        <w:t xml:space="preserve"> </w:t>
      </w:r>
      <w:r>
        <w:rPr>
          <w:szCs w:val="24"/>
          <w:lang w:val="es-ES_tradnl"/>
        </w:rPr>
        <w:t>y no ha habido cambios al respecto desde la presentación del segundo informe periódico.</w:t>
      </w:r>
    </w:p>
    <w:p w:rsidR="00F92819" w:rsidRDefault="00F92819">
      <w:pPr>
        <w:pStyle w:val="H23G"/>
        <w:rPr>
          <w:szCs w:val="24"/>
        </w:rPr>
      </w:pPr>
      <w:r>
        <w:rPr>
          <w:szCs w:val="24"/>
        </w:rPr>
        <w:tab/>
      </w:r>
      <w:r>
        <w:rPr>
          <w:szCs w:val="24"/>
        </w:rPr>
        <w:tab/>
      </w:r>
      <w:r>
        <w:rPr>
          <w:szCs w:val="24"/>
          <w:lang w:val="es-ES_tradnl"/>
        </w:rPr>
        <w:t>No discriminación por motivo de edad</w:t>
      </w:r>
    </w:p>
    <w:p w:rsidR="00F92819" w:rsidRDefault="00F92819">
      <w:pPr>
        <w:pStyle w:val="SingleTxtG"/>
        <w:rPr>
          <w:szCs w:val="24"/>
        </w:rPr>
      </w:pPr>
      <w:r>
        <w:rPr>
          <w:szCs w:val="24"/>
        </w:rPr>
        <w:t>32.</w:t>
      </w:r>
      <w:r>
        <w:rPr>
          <w:szCs w:val="24"/>
        </w:rPr>
        <w:tab/>
      </w:r>
      <w:r>
        <w:rPr>
          <w:szCs w:val="24"/>
          <w:lang w:val="es-ES_tradnl"/>
        </w:rPr>
        <w:t xml:space="preserve">Como se ha detallado en los informes anteriores de Israel, la </w:t>
      </w:r>
      <w:r>
        <w:rPr>
          <w:i/>
          <w:szCs w:val="24"/>
          <w:lang w:val="es-ES_tradnl"/>
        </w:rPr>
        <w:t xml:space="preserve">Ley de igualdad de oportunidades de empleo </w:t>
      </w:r>
      <w:r>
        <w:rPr>
          <w:szCs w:val="24"/>
          <w:lang w:val="es-ES_tradnl"/>
        </w:rPr>
        <w:t xml:space="preserve">de 5748/1988 prohíbe a un empleador discriminar a un empleado por alguno de los motivos contemplados en la Ley, incluida </w:t>
      </w:r>
      <w:smartTag w:uri="urn:schemas-microsoft-com:office:smarttags" w:element="PersonName">
        <w:smartTagPr>
          <w:attr w:name="ProductID" w:val="la edad. En H.C"/>
        </w:smartTagPr>
        <w:r>
          <w:rPr>
            <w:szCs w:val="24"/>
            <w:lang w:val="es-ES_tradnl"/>
          </w:rPr>
          <w:t>la edad.</w:t>
        </w:r>
        <w:r>
          <w:rPr>
            <w:szCs w:val="24"/>
          </w:rPr>
          <w:t xml:space="preserve"> </w:t>
        </w:r>
        <w:r>
          <w:rPr>
            <w:szCs w:val="24"/>
            <w:lang w:val="es-ES_tradnl"/>
          </w:rPr>
          <w:t>En H.C</w:t>
        </w:r>
      </w:smartTag>
      <w:r>
        <w:rPr>
          <w:szCs w:val="24"/>
          <w:lang w:val="es-ES_tradnl"/>
        </w:rPr>
        <w:t xml:space="preserve">.J 10076/02 </w:t>
      </w:r>
      <w:r>
        <w:rPr>
          <w:i/>
          <w:szCs w:val="24"/>
          <w:lang w:val="es-ES_tradnl"/>
        </w:rPr>
        <w:t xml:space="preserve">Dr. Yuri Rosenbaum et. al. c. el Inspector General de la Policía de Israel y el Comisionado del Servicio de Prisiones de Israel </w:t>
      </w:r>
      <w:r>
        <w:rPr>
          <w:szCs w:val="24"/>
          <w:lang w:val="es-ES_tradnl"/>
        </w:rPr>
        <w:t xml:space="preserve">(12 de diciembre de 2006), el Tribunal Superior de Justicia sostuvo la prohibición de discriminación por motivos de edad, al debatir una solicitud sobre la edad de jubilación obligatoria en </w:t>
      </w:r>
      <w:smartTag w:uri="urn:schemas-microsoft-com:office:smarttags" w:element="PersonName">
        <w:smartTagPr>
          <w:attr w:name="ProductID" w:val="la Administraci￳n P￺blica. La"/>
        </w:smartTagPr>
        <w:r>
          <w:rPr>
            <w:szCs w:val="24"/>
            <w:lang w:val="es-ES_tradnl"/>
          </w:rPr>
          <w:t>la Administración Pública.</w:t>
        </w:r>
        <w:r>
          <w:rPr>
            <w:szCs w:val="24"/>
          </w:rPr>
          <w:t xml:space="preserve"> </w:t>
        </w:r>
        <w:r>
          <w:rPr>
            <w:szCs w:val="24"/>
            <w:lang w:val="es-ES_tradnl"/>
          </w:rPr>
          <w:t>La</w:t>
        </w:r>
      </w:smartTag>
      <w:r>
        <w:rPr>
          <w:szCs w:val="24"/>
          <w:lang w:val="es-ES_tradnl"/>
        </w:rPr>
        <w:t xml:space="preserve"> </w:t>
      </w:r>
      <w:r>
        <w:rPr>
          <w:i/>
          <w:szCs w:val="24"/>
          <w:lang w:val="es-ES_tradnl"/>
        </w:rPr>
        <w:t>Ley de la administración pública (jubilación) (versión íntegra</w:t>
      </w:r>
      <w:r>
        <w:rPr>
          <w:szCs w:val="24"/>
          <w:lang w:val="es-ES_tradnl"/>
        </w:rPr>
        <w:t>) de 5730/1970 exige la jubilación obligatoria de los empleados de la administración pública al cumplir 65 años (actualmente 67, como se explica detalladamente en el artículo 3 siguiente).</w:t>
      </w:r>
      <w:r>
        <w:rPr>
          <w:szCs w:val="24"/>
        </w:rPr>
        <w:t xml:space="preserve"> </w:t>
      </w:r>
      <w:r>
        <w:rPr>
          <w:szCs w:val="24"/>
          <w:lang w:val="es-ES_tradnl"/>
        </w:rPr>
        <w:t>La Ley excluye a los empleados de la Policía y del Servicio Penitenciario de Israel (en adelante:</w:t>
      </w:r>
      <w:r>
        <w:rPr>
          <w:szCs w:val="24"/>
        </w:rPr>
        <w:t xml:space="preserve"> </w:t>
      </w:r>
      <w:r>
        <w:rPr>
          <w:szCs w:val="24"/>
          <w:lang w:val="es-ES_tradnl"/>
        </w:rPr>
        <w:t>“SPI”) de la disposición sobre la jubilación obligatoria y otorga al Inspector General de la Policía y al Comisionado del SPI la potestad de permitir a los agentes de policía y a los funcionarios con más de 10 años de antigüedad jubilarse al cumplir 55 años (actualmente, 57).</w:t>
      </w:r>
      <w:r>
        <w:rPr>
          <w:szCs w:val="24"/>
        </w:rPr>
        <w:t xml:space="preserve"> </w:t>
      </w:r>
      <w:r>
        <w:rPr>
          <w:szCs w:val="24"/>
          <w:lang w:val="es-ES_tradnl"/>
        </w:rPr>
        <w:t>Por tanto, la Policía y el SPI unificaron los procedimientos internos que determinaban la edad de 55 años como la edad de jubilación obligatoria para agentes de policía y funcionarios con más de 10 años de antigüedad en el empleo.</w:t>
      </w:r>
    </w:p>
    <w:p w:rsidR="00F92819" w:rsidRDefault="00F92819">
      <w:pPr>
        <w:pStyle w:val="SingleTxtG"/>
        <w:rPr>
          <w:szCs w:val="24"/>
        </w:rPr>
      </w:pPr>
      <w:r>
        <w:rPr>
          <w:szCs w:val="24"/>
          <w:lang w:val="es-ES_tradnl"/>
        </w:rPr>
        <w:t>En este caso, dos funcionarios y una policía impugnaron su jubilación obligatoria al cumplir 55 años, argumentando que la edad de jubilación constituye motivo de discriminación contra ellos frente a otros empleados de la administración pública que deben jubilarse al cumplir 65 años. El Tribunal consideró que el grupo de referencia correspondiente son los empleados de la administración pública en su conjunto, puesto que se considera al Estado como el empleador de todos los trabajadores de la administración pública.</w:t>
      </w:r>
      <w:r>
        <w:rPr>
          <w:szCs w:val="24"/>
        </w:rPr>
        <w:t xml:space="preserve"> </w:t>
      </w:r>
      <w:r>
        <w:rPr>
          <w:szCs w:val="24"/>
          <w:lang w:val="es-ES_tradnl"/>
        </w:rPr>
        <w:t xml:space="preserve">Por consiguiente, el Estado no puede determinar diferentes edades de jubilación obligatoria para secciones distintas de la administración pública, ya que constituye una discriminación por motivo de edad como se define en el artículo 2 de la </w:t>
      </w:r>
      <w:r>
        <w:rPr>
          <w:i/>
          <w:szCs w:val="24"/>
          <w:lang w:val="es-ES_tradnl"/>
        </w:rPr>
        <w:t>Ley de igualdad de oportunidades de empleo</w:t>
      </w:r>
      <w:r>
        <w:rPr>
          <w:szCs w:val="24"/>
          <w:lang w:val="es-ES_tradnl"/>
        </w:rPr>
        <w:t>.</w:t>
      </w:r>
    </w:p>
    <w:p w:rsidR="00F92819" w:rsidRDefault="00F92819">
      <w:pPr>
        <w:pStyle w:val="SingleTxtG"/>
        <w:rPr>
          <w:szCs w:val="24"/>
        </w:rPr>
      </w:pPr>
      <w:r>
        <w:rPr>
          <w:szCs w:val="24"/>
          <w:lang w:val="es-ES_tradnl"/>
        </w:rPr>
        <w:t>El Tribunal aceptó la apelación, declaró la nulidad de los procedimientos internos de la Policía y del SPI y ordenó la rehabilitación de los demandantes.</w:t>
      </w:r>
      <w:r>
        <w:rPr>
          <w:szCs w:val="24"/>
        </w:rPr>
        <w:t xml:space="preserve"> </w:t>
      </w:r>
      <w:r>
        <w:rPr>
          <w:szCs w:val="24"/>
          <w:lang w:val="es-ES_tradnl"/>
        </w:rPr>
        <w:t>Sin embargo, debido a la amplia repercusión de este fallo sobre la Policía y el SPI, la anulación de los procedimientos internos sobre la edad de jubilación obligatoria se aplazó durante un período de 18 meses para llevar a cabo todos los ajustes necesarios.</w:t>
      </w:r>
      <w:r>
        <w:rPr>
          <w:szCs w:val="24"/>
        </w:rPr>
        <w:t xml:space="preserve"> </w:t>
      </w:r>
      <w:r>
        <w:rPr>
          <w:szCs w:val="24"/>
          <w:lang w:val="es-ES_tradnl"/>
        </w:rPr>
        <w:t>En consecuencia, en noviembre de 2008 se publicó una revisión del procedimiento policial interno.</w:t>
      </w:r>
    </w:p>
    <w:p w:rsidR="00F92819" w:rsidRDefault="00F92819">
      <w:pPr>
        <w:pStyle w:val="SingleTxtG"/>
        <w:rPr>
          <w:szCs w:val="24"/>
        </w:rPr>
      </w:pPr>
      <w:r>
        <w:rPr>
          <w:szCs w:val="24"/>
        </w:rPr>
        <w:t>33.</w:t>
      </w:r>
      <w:r>
        <w:rPr>
          <w:szCs w:val="24"/>
        </w:rPr>
        <w:tab/>
      </w:r>
      <w:r>
        <w:rPr>
          <w:szCs w:val="24"/>
          <w:lang w:val="es-ES_tradnl"/>
        </w:rPr>
        <w:t>En otra causa, el Tribunal Laboral del Distrito de Tel Aviv concedió a un empleado la reparación de daños y perjuicios pecuniarios por rescisión ilícita de contrato, y daños y perjuicios no pecuniarios por rescisión del contrato por motivos de discriminación.</w:t>
      </w:r>
      <w:r>
        <w:rPr>
          <w:szCs w:val="24"/>
        </w:rPr>
        <w:t xml:space="preserve"> </w:t>
      </w:r>
      <w:r>
        <w:rPr>
          <w:szCs w:val="24"/>
          <w:lang w:val="es-ES_tradnl"/>
        </w:rPr>
        <w:t>El Tribunal determinó que el empleador, Iberia Líneas Aéreas de España, había discriminado a su empleada por motivo de su edad, puesto que la despidió al cumplir 60 años, y exclusivamente por dicha razón.</w:t>
      </w:r>
      <w:r>
        <w:rPr>
          <w:szCs w:val="24"/>
        </w:rPr>
        <w:t xml:space="preserve"> </w:t>
      </w:r>
      <w:r>
        <w:rPr>
          <w:szCs w:val="24"/>
          <w:lang w:val="es-ES_tradnl"/>
        </w:rPr>
        <w:t>La compañía alegó que la rescisión del contrato se produjo de forma voluntaria, ya que la empleada expresó su deseo de acogerse a la jubilación anticipada.</w:t>
      </w:r>
      <w:r>
        <w:rPr>
          <w:szCs w:val="24"/>
        </w:rPr>
        <w:t xml:space="preserve"> </w:t>
      </w:r>
      <w:r>
        <w:rPr>
          <w:szCs w:val="24"/>
          <w:lang w:val="es-ES_tradnl"/>
        </w:rPr>
        <w:t>Sin embargo, el Tribunal consideró que esa alegación carecía de fundamento</w:t>
      </w:r>
      <w:r>
        <w:rPr>
          <w:szCs w:val="24"/>
        </w:rPr>
        <w:t xml:space="preserve"> </w:t>
      </w:r>
      <w:r>
        <w:rPr>
          <w:szCs w:val="24"/>
          <w:lang w:val="es-ES_tradnl"/>
        </w:rPr>
        <w:t xml:space="preserve">y sostuvo que no existían indicios de descontento con el desempeño de la empleada, ni que la rescisión del contrato fuese el resultado de recortes o el deseo de </w:t>
      </w:r>
      <w:smartTag w:uri="urn:schemas-microsoft-com:office:smarttags" w:element="PersonName">
        <w:smartTagPr>
          <w:attr w:name="ProductID" w:val="la empleada. Por"/>
        </w:smartTagPr>
        <w:r>
          <w:rPr>
            <w:szCs w:val="24"/>
            <w:lang w:val="es-ES_tradnl"/>
          </w:rPr>
          <w:t>la empleada. Por</w:t>
        </w:r>
      </w:smartTag>
      <w:r>
        <w:rPr>
          <w:szCs w:val="24"/>
          <w:lang w:val="es-ES_tradnl"/>
        </w:rPr>
        <w:t xml:space="preserve"> tanto, el Tribunal determinó que la rescisión del contrato constituía una violación del artículo 2 de la </w:t>
      </w:r>
      <w:r>
        <w:rPr>
          <w:i/>
          <w:szCs w:val="24"/>
          <w:lang w:val="es-ES_tradnl"/>
        </w:rPr>
        <w:t>Ley de igualdad de oportunidades de empleo</w:t>
      </w:r>
      <w:r>
        <w:rPr>
          <w:szCs w:val="24"/>
          <w:lang w:val="es-ES_tradnl"/>
        </w:rPr>
        <w:t xml:space="preserve">, puesto que discriminaba a la empleada por razón de su edad (La. (Tel Aviv) 2539/03 </w:t>
      </w:r>
      <w:r>
        <w:rPr>
          <w:i/>
          <w:szCs w:val="24"/>
          <w:lang w:val="es-ES_tradnl"/>
        </w:rPr>
        <w:t xml:space="preserve">Barbara Hollestain c. Iberia Líneas Aéreas de España </w:t>
      </w:r>
      <w:r>
        <w:rPr>
          <w:szCs w:val="24"/>
          <w:lang w:val="es-ES_tradnl"/>
        </w:rPr>
        <w:t>(19 de octubre de 2006)).</w:t>
      </w:r>
    </w:p>
    <w:p w:rsidR="00F92819" w:rsidRDefault="00F92819">
      <w:pPr>
        <w:pStyle w:val="H23G"/>
        <w:rPr>
          <w:szCs w:val="24"/>
        </w:rPr>
      </w:pPr>
      <w:r>
        <w:rPr>
          <w:szCs w:val="24"/>
        </w:rPr>
        <w:tab/>
      </w:r>
      <w:r>
        <w:rPr>
          <w:szCs w:val="24"/>
        </w:rPr>
        <w:tab/>
      </w:r>
      <w:r>
        <w:rPr>
          <w:szCs w:val="24"/>
          <w:lang w:val="es-ES_tradnl"/>
        </w:rPr>
        <w:t>No discriminación de las poblaciones minoritarias en Israel</w:t>
      </w:r>
    </w:p>
    <w:p w:rsidR="00F92819" w:rsidRDefault="00F92819">
      <w:pPr>
        <w:pStyle w:val="SingleTxtG"/>
        <w:rPr>
          <w:szCs w:val="24"/>
        </w:rPr>
      </w:pPr>
      <w:r>
        <w:rPr>
          <w:szCs w:val="24"/>
        </w:rPr>
        <w:t>34.</w:t>
      </w:r>
      <w:r>
        <w:rPr>
          <w:szCs w:val="24"/>
        </w:rPr>
        <w:tab/>
      </w:r>
      <w:r>
        <w:rPr>
          <w:szCs w:val="24"/>
          <w:lang w:val="es-ES_tradnl"/>
        </w:rPr>
        <w:t>Como se especificó en el segundo informe periódico de Israel, en octubre de 2000 el Gobierno consolidó un plan integral plurianual que abordaba todos los aspectos del desarrollo de la población árabe (en adelante:</w:t>
      </w:r>
      <w:r>
        <w:rPr>
          <w:szCs w:val="24"/>
        </w:rPr>
        <w:t xml:space="preserve"> </w:t>
      </w:r>
      <w:r>
        <w:rPr>
          <w:szCs w:val="24"/>
          <w:lang w:val="es-ES_tradnl"/>
        </w:rPr>
        <w:t xml:space="preserve">“el plan plurianual de </w:t>
      </w:r>
      <w:smartTag w:uri="urn:schemas-microsoft-com:office:smarttags" w:element="metricconverter">
        <w:smartTagPr>
          <w:attr w:name="ProductID" w:val="2000”"/>
        </w:smartTagPr>
        <w:r>
          <w:rPr>
            <w:szCs w:val="24"/>
            <w:lang w:val="es-ES_tradnl"/>
          </w:rPr>
          <w:t>2000”</w:t>
        </w:r>
      </w:smartTag>
      <w:r>
        <w:rPr>
          <w:szCs w:val="24"/>
          <w:lang w:val="es-ES_tradnl"/>
        </w:rPr>
        <w:t>).</w:t>
      </w:r>
      <w:r>
        <w:rPr>
          <w:szCs w:val="24"/>
        </w:rPr>
        <w:t xml:space="preserve"> </w:t>
      </w:r>
      <w:r>
        <w:rPr>
          <w:szCs w:val="24"/>
          <w:lang w:val="es-ES_tradnl"/>
        </w:rPr>
        <w:t>El plan plurianual de 2000 funcionó desde 2001 hasta el 31 de diciembre de 2004, período durante el cual el Gobierno ejecutó con éxito el 87% del plan.</w:t>
      </w:r>
    </w:p>
    <w:p w:rsidR="00F92819" w:rsidRDefault="00F92819">
      <w:pPr>
        <w:pStyle w:val="SingleTxtG"/>
        <w:rPr>
          <w:szCs w:val="24"/>
        </w:rPr>
      </w:pPr>
      <w:r>
        <w:rPr>
          <w:szCs w:val="24"/>
        </w:rPr>
        <w:t>35.</w:t>
      </w:r>
      <w:r>
        <w:rPr>
          <w:szCs w:val="24"/>
        </w:rPr>
        <w:tab/>
      </w:r>
      <w:r>
        <w:rPr>
          <w:szCs w:val="24"/>
          <w:lang w:val="es-ES_tradnl"/>
        </w:rPr>
        <w:t>Aunque la situación económica ha obligado al Gobierno a introducir un recorte global durante estos años, las cifran indican que durante 2001 y 2002 la tasa de ejecución del plan fue del 90%, en 2003, del 81% y en 2004, del 85%.</w:t>
      </w:r>
    </w:p>
    <w:p w:rsidR="00F92819" w:rsidRDefault="00F92819">
      <w:pPr>
        <w:pStyle w:val="SingleTxtG"/>
        <w:rPr>
          <w:szCs w:val="24"/>
        </w:rPr>
      </w:pPr>
      <w:r>
        <w:rPr>
          <w:szCs w:val="24"/>
        </w:rPr>
        <w:t>36.</w:t>
      </w:r>
      <w:r>
        <w:rPr>
          <w:szCs w:val="24"/>
        </w:rPr>
        <w:tab/>
      </w:r>
      <w:r>
        <w:rPr>
          <w:szCs w:val="24"/>
          <w:lang w:val="es-ES_tradnl"/>
        </w:rPr>
        <w:t>La ejecución del plan no se ha podido llevar a cabo en algunos casos debido a las reducciones mencionadas, así como a barreras burocráticas y déficits presupuestarios de algunas municipalidades cuya cooperación es imprescindible para la aplicación del plan.</w:t>
      </w:r>
    </w:p>
    <w:p w:rsidR="00F92819" w:rsidRDefault="00F92819">
      <w:pPr>
        <w:pStyle w:val="SingleTxtG"/>
        <w:rPr>
          <w:szCs w:val="24"/>
        </w:rPr>
      </w:pPr>
      <w:r>
        <w:rPr>
          <w:szCs w:val="24"/>
        </w:rPr>
        <w:t>37.</w:t>
      </w:r>
      <w:r>
        <w:rPr>
          <w:szCs w:val="24"/>
        </w:rPr>
        <w:tab/>
      </w:r>
      <w:r>
        <w:rPr>
          <w:szCs w:val="24"/>
          <w:lang w:val="es-ES_tradnl"/>
        </w:rPr>
        <w:t>En agosto de 2006 el Gobierno decidió iniciar otros dos programas plurianuales (2006</w:t>
      </w:r>
      <w:r w:rsidR="001D63DF">
        <w:rPr>
          <w:szCs w:val="24"/>
          <w:lang w:val="es-ES_tradnl"/>
        </w:rPr>
        <w:t>-</w:t>
      </w:r>
      <w:r>
        <w:rPr>
          <w:szCs w:val="24"/>
          <w:lang w:val="es-ES_tradnl"/>
        </w:rPr>
        <w:t>2009) para el desarrollo socioeconómico de localidades árabes del norte, particularmente en enseñanza, vivienda y empleo:</w:t>
      </w:r>
      <w:r>
        <w:rPr>
          <w:szCs w:val="24"/>
        </w:rPr>
        <w:t xml:space="preserve"> </w:t>
      </w:r>
      <w:r>
        <w:rPr>
          <w:szCs w:val="24"/>
          <w:lang w:val="es-ES_tradnl"/>
        </w:rPr>
        <w:t xml:space="preserve">la resolución </w:t>
      </w:r>
      <w:r w:rsidR="00713E0E">
        <w:rPr>
          <w:szCs w:val="24"/>
          <w:lang w:val="es-ES_tradnl"/>
        </w:rPr>
        <w:t>Nº</w:t>
      </w:r>
      <w:r>
        <w:rPr>
          <w:szCs w:val="24"/>
          <w:lang w:val="es-ES_tradnl"/>
        </w:rPr>
        <w:t xml:space="preserve"> 412 para el desarrollo de la población drusa y circasiana por un monto de 447 millones de nuevos sheqalim (120 millones de dólares de los EE.UU.) y la resolución </w:t>
      </w:r>
      <w:r w:rsidR="00713E0E">
        <w:rPr>
          <w:szCs w:val="24"/>
          <w:lang w:val="es-ES_tradnl"/>
        </w:rPr>
        <w:t>Nº</w:t>
      </w:r>
      <w:r>
        <w:rPr>
          <w:szCs w:val="24"/>
          <w:lang w:val="es-ES_tradnl"/>
        </w:rPr>
        <w:t xml:space="preserve"> 413 para el desarrollo de la población beduina por un monto de 318 millones de nuevos sheqalim (85 millones de dólares de los EE.UU.).</w:t>
      </w:r>
    </w:p>
    <w:p w:rsidR="00F92819" w:rsidRDefault="00F92819">
      <w:pPr>
        <w:pStyle w:val="SingleTxtG"/>
        <w:rPr>
          <w:szCs w:val="24"/>
        </w:rPr>
      </w:pPr>
      <w:r>
        <w:rPr>
          <w:szCs w:val="24"/>
        </w:rPr>
        <w:t>38.</w:t>
      </w:r>
      <w:r>
        <w:rPr>
          <w:szCs w:val="24"/>
        </w:rPr>
        <w:tab/>
      </w:r>
      <w:r>
        <w:rPr>
          <w:szCs w:val="24"/>
          <w:lang w:val="es-ES_tradnl"/>
        </w:rPr>
        <w:t>La consolidación de los planes plurianuales por el Gobierno duró varios años, pues en su elaboración participaron las autoridades de las municipalidades drusas, circasianas y beduinas respectivamente, así como representantes de los ministerios gubernamentales pertinentes.</w:t>
      </w:r>
      <w:r>
        <w:rPr>
          <w:szCs w:val="24"/>
        </w:rPr>
        <w:t xml:space="preserve"> </w:t>
      </w:r>
      <w:r>
        <w:rPr>
          <w:szCs w:val="24"/>
          <w:lang w:val="es-ES_tradnl"/>
        </w:rPr>
        <w:t xml:space="preserve">Se solicitaron contribuciones a una amplia variedad de fuentes. </w:t>
      </w:r>
    </w:p>
    <w:p w:rsidR="00F92819" w:rsidRDefault="00F92819">
      <w:pPr>
        <w:pStyle w:val="SingleTxtG"/>
        <w:rPr>
          <w:szCs w:val="24"/>
        </w:rPr>
      </w:pPr>
      <w:r>
        <w:rPr>
          <w:szCs w:val="24"/>
        </w:rPr>
        <w:t>39.</w:t>
      </w:r>
      <w:r>
        <w:rPr>
          <w:szCs w:val="24"/>
        </w:rPr>
        <w:tab/>
      </w:r>
      <w:r>
        <w:rPr>
          <w:szCs w:val="24"/>
          <w:lang w:val="es-ES_tradnl"/>
        </w:rPr>
        <w:t>Los nuevos planes de desarrollo se centran en tres cuestiones principales:</w:t>
      </w:r>
      <w:r>
        <w:rPr>
          <w:szCs w:val="24"/>
        </w:rPr>
        <w:t xml:space="preserve"> </w:t>
      </w:r>
      <w:r>
        <w:rPr>
          <w:szCs w:val="24"/>
          <w:lang w:val="es-ES_tradnl"/>
        </w:rPr>
        <w:t>la inversión en recursos humanos, destacando especialmente el empoderamiento de la mujer, el desarrollo económico y el empleo, incluido el desarrollo del turismo como fuente de ingresos.</w:t>
      </w:r>
    </w:p>
    <w:p w:rsidR="00F92819" w:rsidRDefault="00F92819">
      <w:pPr>
        <w:pStyle w:val="SingleTxtG"/>
        <w:rPr>
          <w:szCs w:val="24"/>
        </w:rPr>
      </w:pPr>
      <w:r>
        <w:rPr>
          <w:szCs w:val="24"/>
        </w:rPr>
        <w:t>40.</w:t>
      </w:r>
      <w:r>
        <w:rPr>
          <w:szCs w:val="24"/>
        </w:rPr>
        <w:tab/>
      </w:r>
      <w:r>
        <w:rPr>
          <w:szCs w:val="24"/>
          <w:lang w:val="es-ES_tradnl"/>
        </w:rPr>
        <w:t>Los ministerios gubernamentales correspondientes asignaron el presupuesto necesario para la ejecución de los planes, además de un presupuesto especial de la Oficina del Primer Ministro destinado a la población no judía.</w:t>
      </w:r>
      <w:r>
        <w:rPr>
          <w:szCs w:val="24"/>
        </w:rPr>
        <w:t xml:space="preserve"> </w:t>
      </w:r>
      <w:r>
        <w:rPr>
          <w:szCs w:val="24"/>
          <w:lang w:val="es-ES_tradnl"/>
        </w:rPr>
        <w:t>La tasa de aplicación actual de ambas resoluciones es del 88%.</w:t>
      </w:r>
    </w:p>
    <w:p w:rsidR="00F92819" w:rsidRDefault="00F92819">
      <w:pPr>
        <w:pStyle w:val="SingleTxtG"/>
        <w:rPr>
          <w:szCs w:val="24"/>
        </w:rPr>
      </w:pPr>
      <w:r>
        <w:rPr>
          <w:szCs w:val="24"/>
        </w:rPr>
        <w:t>41.</w:t>
      </w:r>
      <w:r>
        <w:rPr>
          <w:szCs w:val="24"/>
        </w:rPr>
        <w:tab/>
      </w:r>
      <w:r>
        <w:rPr>
          <w:szCs w:val="24"/>
          <w:lang w:val="es-ES_tradnl"/>
        </w:rPr>
        <w:t>Cabe señalar que estos planes siguen ejecutándose a partir de los planes plurianuales aplicados y llevados a cabo desde la presentación del informe periódico anterior de Israel.</w:t>
      </w:r>
    </w:p>
    <w:p w:rsidR="00F92819" w:rsidRDefault="00F92819">
      <w:pPr>
        <w:pStyle w:val="SingleTxtG"/>
        <w:rPr>
          <w:szCs w:val="24"/>
        </w:rPr>
      </w:pPr>
      <w:r>
        <w:rPr>
          <w:szCs w:val="24"/>
        </w:rPr>
        <w:t>42.</w:t>
      </w:r>
      <w:r>
        <w:rPr>
          <w:szCs w:val="24"/>
        </w:rPr>
        <w:tab/>
      </w:r>
      <w:r>
        <w:rPr>
          <w:szCs w:val="24"/>
          <w:lang w:val="es-ES_tradnl"/>
        </w:rPr>
        <w:t xml:space="preserve">Además, las resoluciones del Gobierno </w:t>
      </w:r>
      <w:r w:rsidR="00713E0E">
        <w:rPr>
          <w:szCs w:val="24"/>
          <w:lang w:val="es-ES_tradnl"/>
        </w:rPr>
        <w:t>Nº</w:t>
      </w:r>
      <w:r>
        <w:rPr>
          <w:szCs w:val="24"/>
          <w:lang w:val="es-ES_tradnl"/>
        </w:rPr>
        <w:t xml:space="preserve"> 412 y </w:t>
      </w:r>
      <w:r w:rsidR="00713E0E">
        <w:rPr>
          <w:szCs w:val="24"/>
          <w:lang w:val="es-ES_tradnl"/>
        </w:rPr>
        <w:t>Nº</w:t>
      </w:r>
      <w:r>
        <w:rPr>
          <w:szCs w:val="24"/>
          <w:lang w:val="es-ES_tradnl"/>
        </w:rPr>
        <w:t xml:space="preserve"> 413 complementan los presupuestos de desarrollo que el Ministerio del Interior asigna a las municipalidades locales, los subsidios que se dan a los soldados retirados para la compra de terrenos y la construcción de viviendas, así como partidas del presupuesto reservadas para la rehabilitación del norte de Israel, que se introdujeron después de la segunda guerra del Líbano.</w:t>
      </w:r>
    </w:p>
    <w:p w:rsidR="00F92819" w:rsidRDefault="00F92819">
      <w:pPr>
        <w:pStyle w:val="SingleTxtG"/>
        <w:rPr>
          <w:szCs w:val="24"/>
        </w:rPr>
      </w:pPr>
      <w:r>
        <w:rPr>
          <w:szCs w:val="24"/>
        </w:rPr>
        <w:t>43.</w:t>
      </w:r>
      <w:r>
        <w:rPr>
          <w:szCs w:val="24"/>
        </w:rPr>
        <w:tab/>
      </w:r>
      <w:r>
        <w:rPr>
          <w:szCs w:val="24"/>
          <w:lang w:val="es-ES_tradnl"/>
        </w:rPr>
        <w:t>En lo que concierne a la población beduina del Negev (Sur), cabe mencionar el citado Plan Estratégico Nacional de Desarrollo del Negev.</w:t>
      </w:r>
      <w:r>
        <w:rPr>
          <w:szCs w:val="24"/>
        </w:rPr>
        <w:t xml:space="preserve"> </w:t>
      </w:r>
      <w:r>
        <w:rPr>
          <w:szCs w:val="24"/>
          <w:lang w:val="es-ES_tradnl"/>
        </w:rPr>
        <w:t>El plan fue concebido, en parte, para ayudar a los beduinos que viven en el Negev.</w:t>
      </w:r>
      <w:r>
        <w:rPr>
          <w:szCs w:val="24"/>
        </w:rPr>
        <w:t xml:space="preserve"> </w:t>
      </w:r>
      <w:r>
        <w:rPr>
          <w:szCs w:val="24"/>
          <w:lang w:val="es-ES_tradnl"/>
        </w:rPr>
        <w:t>Por ejemplo, uno de los objetivos del plan es crear unos 20.000 puestos de trabajo para la población del Negev en 10 años.</w:t>
      </w:r>
      <w:r>
        <w:rPr>
          <w:szCs w:val="24"/>
        </w:rPr>
        <w:t xml:space="preserve"> </w:t>
      </w:r>
      <w:r>
        <w:rPr>
          <w:szCs w:val="24"/>
          <w:lang w:val="es-ES_tradnl"/>
        </w:rPr>
        <w:t xml:space="preserve">Entre los esfuerzos para lograr este objetivo, el plan pretende fomentar la creación de empresas y de empleo entre la población beduina a través de la ayuda financiera a los empresarios, la formación profesional y el desarrollo de zonas comerciales y parques industriales. </w:t>
      </w:r>
    </w:p>
    <w:p w:rsidR="00F92819" w:rsidRDefault="00F92819">
      <w:pPr>
        <w:pStyle w:val="SingleTxtG"/>
        <w:rPr>
          <w:szCs w:val="24"/>
        </w:rPr>
      </w:pPr>
      <w:r w:rsidRPr="00B6114A">
        <w:rPr>
          <w:szCs w:val="24"/>
        </w:rPr>
        <w:t>44.</w:t>
      </w:r>
      <w:r w:rsidRPr="00B6114A">
        <w:rPr>
          <w:szCs w:val="24"/>
        </w:rPr>
        <w:tab/>
      </w:r>
      <w:r>
        <w:rPr>
          <w:b/>
          <w:szCs w:val="24"/>
          <w:lang w:val="es-ES_tradnl"/>
        </w:rPr>
        <w:t xml:space="preserve">La Dirección para el Desarrollo Económico de la Población Árabe, incluidos los drusos y circasianos. </w:t>
      </w:r>
      <w:r>
        <w:rPr>
          <w:szCs w:val="24"/>
          <w:lang w:val="es-ES_tradnl"/>
        </w:rPr>
        <w:t>El 15 de febrero de 2007 el Gobierno decidió establecer, en el marco de la Oficina del Primer Ministro, la Dirección para el Desarrollo Económico de la Población Árabe, incluidos los drusos y circasianos (en adelante:</w:t>
      </w:r>
      <w:r>
        <w:rPr>
          <w:b/>
          <w:szCs w:val="24"/>
        </w:rPr>
        <w:t xml:space="preserve"> </w:t>
      </w:r>
      <w:smartTag w:uri="urn:schemas-microsoft-com:office:smarttags" w:element="PersonName">
        <w:smartTagPr>
          <w:attr w:name="ProductID" w:val="la “Dirección"/>
        </w:smartTagPr>
        <w:r>
          <w:rPr>
            <w:szCs w:val="24"/>
            <w:lang w:val="es-ES_tradnl"/>
          </w:rPr>
          <w:t>la “Dirección</w:t>
        </w:r>
      </w:smartTag>
      <w:r>
        <w:rPr>
          <w:szCs w:val="24"/>
          <w:lang w:val="es-ES_tradnl"/>
        </w:rPr>
        <w:t>”),</w:t>
      </w:r>
      <w:r>
        <w:rPr>
          <w:szCs w:val="24"/>
        </w:rPr>
        <w:t xml:space="preserve"> </w:t>
      </w:r>
      <w:r>
        <w:rPr>
          <w:szCs w:val="24"/>
          <w:lang w:val="es-ES_tradnl"/>
        </w:rPr>
        <w:t>cuya finalidad es desarrollar al máximo el potencial económico de la población minoritaria, por medio del fomento de la actividad económica productiva dentro de esta población y su integración en la economía nacional.</w:t>
      </w:r>
      <w:r>
        <w:rPr>
          <w:szCs w:val="24"/>
        </w:rPr>
        <w:t xml:space="preserve"> </w:t>
      </w:r>
      <w:r>
        <w:rPr>
          <w:szCs w:val="24"/>
          <w:lang w:val="es-ES_tradnl"/>
        </w:rPr>
        <w:t>Entre sus funciones, la Dirección actuará como coordinadora a efectos de integración y supervisión en lo que respecta a las actividades gubernamentales concernientes al adelanto económico de la población árabe.</w:t>
      </w:r>
    </w:p>
    <w:p w:rsidR="00F92819" w:rsidRDefault="00F92819">
      <w:pPr>
        <w:pStyle w:val="SingleTxtG"/>
        <w:rPr>
          <w:szCs w:val="24"/>
        </w:rPr>
      </w:pPr>
      <w:r>
        <w:rPr>
          <w:szCs w:val="24"/>
        </w:rPr>
        <w:t>45.</w:t>
      </w:r>
      <w:r>
        <w:rPr>
          <w:szCs w:val="24"/>
        </w:rPr>
        <w:tab/>
      </w:r>
      <w:r>
        <w:rPr>
          <w:szCs w:val="24"/>
          <w:lang w:val="es-ES_tradnl"/>
        </w:rPr>
        <w:t>La Dirección se establece progresivamente por etapas.</w:t>
      </w:r>
      <w:r>
        <w:rPr>
          <w:szCs w:val="24"/>
        </w:rPr>
        <w:t xml:space="preserve"> Para dirigirla se ha nombrado a</w:t>
      </w:r>
      <w:r>
        <w:rPr>
          <w:szCs w:val="24"/>
          <w:lang w:val="es-ES_tradnl"/>
        </w:rPr>
        <w:t>l Sr. Aiman Dar Saif, ex ejecutivo de la Oficina del Primer Ministro.</w:t>
      </w:r>
      <w:r>
        <w:rPr>
          <w:szCs w:val="24"/>
        </w:rPr>
        <w:t xml:space="preserve"> </w:t>
      </w:r>
      <w:r>
        <w:rPr>
          <w:szCs w:val="24"/>
          <w:lang w:val="es-ES_tradnl"/>
        </w:rPr>
        <w:t>Junto a la Dirección trabajará un Comité Consultivo, la mitad de cuyos miembros serán expertos árabes y hombres y mujeres de negocios.</w:t>
      </w:r>
    </w:p>
    <w:p w:rsidR="00F92819" w:rsidRDefault="00F92819">
      <w:pPr>
        <w:pStyle w:val="SingleTxtG"/>
        <w:rPr>
          <w:szCs w:val="24"/>
        </w:rPr>
      </w:pPr>
      <w:r w:rsidRPr="00B6114A">
        <w:rPr>
          <w:szCs w:val="24"/>
        </w:rPr>
        <w:t>46.</w:t>
      </w:r>
      <w:r w:rsidRPr="00B6114A">
        <w:rPr>
          <w:szCs w:val="24"/>
        </w:rPr>
        <w:tab/>
      </w:r>
      <w:r>
        <w:rPr>
          <w:b/>
          <w:szCs w:val="24"/>
          <w:lang w:val="es-ES_tradnl"/>
        </w:rPr>
        <w:t>Fondo de inversiones para empresas de la población árabe.</w:t>
      </w:r>
      <w:r>
        <w:rPr>
          <w:szCs w:val="24"/>
        </w:rPr>
        <w:t xml:space="preserve"> </w:t>
      </w:r>
      <w:r>
        <w:rPr>
          <w:szCs w:val="24"/>
          <w:lang w:val="es-ES_tradnl"/>
        </w:rPr>
        <w:t>En diciembre 2006, el Director General de la Oficina del Primer Ministro anunció la decisión de crear un fondo privado de inversión en colaboración con el sector privado.</w:t>
      </w:r>
      <w:r>
        <w:rPr>
          <w:szCs w:val="24"/>
        </w:rPr>
        <w:t xml:space="preserve"> </w:t>
      </w:r>
      <w:r>
        <w:rPr>
          <w:szCs w:val="24"/>
          <w:lang w:val="es-ES_tradnl"/>
        </w:rPr>
        <w:t>El fondo invertirá una suma total de 160 millones de nuevos sheqalim (42,1 millones de dólares de los EE.UU.) durante un período de entre 7 y 10 años en empresas de localidades árabes. Cualquier fábrica, compañía o empresa podrá solicitar entre 2 y 4 millones de nuevos sheqalim (entre 526.315 y 1.052.631 dólares de los EE.UU.) para su financiación, lo que permitirá a entre 40 y 80 compañías recibir ayudas de financiación a cambio de acciones.</w:t>
      </w:r>
    </w:p>
    <w:p w:rsidR="00F92819" w:rsidRDefault="00F92819">
      <w:pPr>
        <w:pStyle w:val="SingleTxtG"/>
        <w:rPr>
          <w:szCs w:val="24"/>
        </w:rPr>
      </w:pPr>
      <w:r w:rsidRPr="00B6114A">
        <w:rPr>
          <w:szCs w:val="24"/>
        </w:rPr>
        <w:t>47.</w:t>
      </w:r>
      <w:r w:rsidRPr="00B6114A">
        <w:rPr>
          <w:szCs w:val="24"/>
        </w:rPr>
        <w:tab/>
      </w:r>
      <w:r>
        <w:rPr>
          <w:b/>
          <w:szCs w:val="24"/>
          <w:lang w:val="es-ES_tradnl"/>
        </w:rPr>
        <w:t>Desarrollo de zonas industriales.</w:t>
      </w:r>
      <w:r>
        <w:rPr>
          <w:szCs w:val="24"/>
        </w:rPr>
        <w:t xml:space="preserve"> </w:t>
      </w:r>
      <w:r>
        <w:rPr>
          <w:szCs w:val="24"/>
          <w:lang w:val="es-ES_tradnl"/>
        </w:rPr>
        <w:t xml:space="preserve">En 2006 se modificó la resolución del Gobierno </w:t>
      </w:r>
      <w:r w:rsidR="00713E0E">
        <w:rPr>
          <w:szCs w:val="24"/>
          <w:lang w:val="es-ES_tradnl"/>
        </w:rPr>
        <w:t>Nº</w:t>
      </w:r>
      <w:r>
        <w:rPr>
          <w:szCs w:val="24"/>
          <w:lang w:val="es-ES_tradnl"/>
        </w:rPr>
        <w:t xml:space="preserve"> 249, la </w:t>
      </w:r>
      <w:r>
        <w:rPr>
          <w:i/>
          <w:szCs w:val="24"/>
          <w:lang w:val="es-ES_tradnl"/>
        </w:rPr>
        <w:t xml:space="preserve">Orden de fomento de las inversiones de capital (zonas en desarrollo) </w:t>
      </w:r>
      <w:r>
        <w:rPr>
          <w:szCs w:val="24"/>
          <w:lang w:val="es-ES_tradnl"/>
        </w:rPr>
        <w:t>de 5763/2002,</w:t>
      </w:r>
      <w:r>
        <w:rPr>
          <w:i/>
          <w:szCs w:val="24"/>
          <w:lang w:val="es-ES_tradnl"/>
        </w:rPr>
        <w:t xml:space="preserve"> </w:t>
      </w:r>
      <w:r>
        <w:rPr>
          <w:szCs w:val="24"/>
          <w:lang w:val="es-ES_tradnl"/>
        </w:rPr>
        <w:t xml:space="preserve">para incluir todas las localidades minoritarias en la definición de “Zona en desarrollo A”, lo que permite a las fábricas de las zonas industriales de estas localidades beneficiarse de diversas reducciones de impuestos y subvenciones conforme a lo establecido en la Orden y en la </w:t>
      </w:r>
      <w:r>
        <w:rPr>
          <w:i/>
          <w:szCs w:val="24"/>
          <w:lang w:val="es-ES_tradnl"/>
        </w:rPr>
        <w:t xml:space="preserve">Ley de fomento de las inversiones de capital </w:t>
      </w:r>
      <w:r>
        <w:rPr>
          <w:szCs w:val="24"/>
          <w:lang w:val="es-ES_tradnl"/>
        </w:rPr>
        <w:t>de 5719/1959</w:t>
      </w:r>
      <w:r>
        <w:rPr>
          <w:i/>
          <w:szCs w:val="24"/>
          <w:lang w:val="es-ES_tradnl"/>
        </w:rPr>
        <w:t>.</w:t>
      </w:r>
      <w:r>
        <w:rPr>
          <w:szCs w:val="24"/>
        </w:rPr>
        <w:t xml:space="preserve"> </w:t>
      </w:r>
      <w:r>
        <w:rPr>
          <w:szCs w:val="24"/>
          <w:lang w:val="es-ES_tradnl"/>
        </w:rPr>
        <w:t xml:space="preserve">Además, el 7 de enero de 2007 el Gobierno decidió acelerar la comercialización de tierras para fines industriales en las localidades de </w:t>
      </w:r>
      <w:smartTag w:uri="urn:schemas-microsoft-com:office:smarttags" w:element="PersonName">
        <w:smartTagPr>
          <w:attr w:name="ProductID" w:val="la “Zona"/>
        </w:smartTagPr>
        <w:r>
          <w:rPr>
            <w:szCs w:val="24"/>
            <w:lang w:val="es-ES_tradnl"/>
          </w:rPr>
          <w:t>la “Zona</w:t>
        </w:r>
      </w:smartTag>
      <w:r>
        <w:rPr>
          <w:szCs w:val="24"/>
          <w:lang w:val="es-ES_tradnl"/>
        </w:rPr>
        <w:t xml:space="preserve"> en desarrollo A” y subvencionar los gastos de urbanización de los terrenos, conforme a lo establecido en la resolución.</w:t>
      </w:r>
    </w:p>
    <w:p w:rsidR="00F92819" w:rsidRDefault="00F92819">
      <w:pPr>
        <w:pStyle w:val="SingleTxtG"/>
        <w:rPr>
          <w:szCs w:val="24"/>
        </w:rPr>
      </w:pPr>
      <w:r>
        <w:rPr>
          <w:szCs w:val="24"/>
        </w:rPr>
        <w:t>48.</w:t>
      </w:r>
      <w:r>
        <w:rPr>
          <w:szCs w:val="24"/>
        </w:rPr>
        <w:tab/>
      </w:r>
      <w:r>
        <w:rPr>
          <w:szCs w:val="24"/>
          <w:lang w:val="es-ES_tradnl"/>
        </w:rPr>
        <w:t>Entre los años 2005 y 2008, el Ministerio de Industria, Comercio y Trabajo subvencionó actividades en zonas industriales de localidades árabes y drusas con un monto total de 28.665.967 nuevos sheqalim (7.543.675,5 dólares de los EE.UU.). Estas actividades incluían la comercialización de 1.008 km</w:t>
      </w:r>
      <w:r>
        <w:rPr>
          <w:szCs w:val="24"/>
          <w:vertAlign w:val="superscript"/>
          <w:lang w:val="es-ES_tradnl"/>
        </w:rPr>
        <w:t>2</w:t>
      </w:r>
      <w:r>
        <w:rPr>
          <w:szCs w:val="24"/>
          <w:lang w:val="es-ES_tradnl"/>
        </w:rPr>
        <w:t xml:space="preserve"> de tierras de propiedad del Estado.</w:t>
      </w:r>
    </w:p>
    <w:p w:rsidR="00F92819" w:rsidRDefault="00F92819">
      <w:pPr>
        <w:pStyle w:val="SingleTxtG"/>
        <w:rPr>
          <w:szCs w:val="24"/>
        </w:rPr>
      </w:pPr>
      <w:r>
        <w:rPr>
          <w:szCs w:val="24"/>
        </w:rPr>
        <w:t>49.</w:t>
      </w:r>
      <w:r>
        <w:rPr>
          <w:szCs w:val="24"/>
        </w:rPr>
        <w:tab/>
      </w:r>
      <w:r>
        <w:rPr>
          <w:szCs w:val="24"/>
          <w:lang w:val="es-ES_tradnl"/>
        </w:rPr>
        <w:t xml:space="preserve">En 2005 y 2006 el Gobierno tomó otras dos resoluciones (resolución </w:t>
      </w:r>
      <w:r w:rsidR="00713E0E">
        <w:rPr>
          <w:szCs w:val="24"/>
          <w:lang w:val="es-ES_tradnl"/>
        </w:rPr>
        <w:t>Nº</w:t>
      </w:r>
      <w:r>
        <w:rPr>
          <w:szCs w:val="24"/>
          <w:lang w:val="es-ES_tradnl"/>
        </w:rPr>
        <w:t xml:space="preserve"> 3957 de 22 de julio de 2005 y resolución </w:t>
      </w:r>
      <w:r w:rsidR="00713E0E">
        <w:rPr>
          <w:szCs w:val="24"/>
          <w:lang w:val="es-ES_tradnl"/>
        </w:rPr>
        <w:t>Nº</w:t>
      </w:r>
      <w:r>
        <w:rPr>
          <w:szCs w:val="24"/>
          <w:lang w:val="es-ES_tradnl"/>
        </w:rPr>
        <w:t xml:space="preserve"> 632 de 5 de noviembre de 2006) que establecen un plan para el desarrollo y expansión de las zonas industriales nuevas y actuales, así como ayudas para las pequeñas empresas de las localidades árabes, drusas y beduinas.</w:t>
      </w:r>
      <w:r>
        <w:rPr>
          <w:szCs w:val="24"/>
        </w:rPr>
        <w:t xml:space="preserve"> </w:t>
      </w:r>
      <w:r>
        <w:rPr>
          <w:szCs w:val="24"/>
          <w:lang w:val="es-ES_tradnl"/>
        </w:rPr>
        <w:t>El Gobierno asignó un total de 119 millones de nuevos sheqalim (31.315.789 dólares de los EE.UU.) en los años 2005 y 2006 para ese fin.</w:t>
      </w:r>
    </w:p>
    <w:p w:rsidR="00F92819" w:rsidRDefault="00F92819">
      <w:pPr>
        <w:pStyle w:val="SingleTxtG"/>
        <w:rPr>
          <w:szCs w:val="24"/>
        </w:rPr>
      </w:pPr>
      <w:r w:rsidRPr="00B6114A">
        <w:rPr>
          <w:szCs w:val="24"/>
        </w:rPr>
        <w:t>50.</w:t>
      </w:r>
      <w:r w:rsidRPr="00B6114A">
        <w:rPr>
          <w:szCs w:val="24"/>
        </w:rPr>
        <w:tab/>
      </w:r>
      <w:r>
        <w:rPr>
          <w:b/>
          <w:szCs w:val="24"/>
          <w:lang w:val="es-ES_tradnl"/>
        </w:rPr>
        <w:t>Desarrollo de la infraestructura viaria</w:t>
      </w:r>
      <w:r>
        <w:rPr>
          <w:szCs w:val="24"/>
          <w:lang w:val="es-ES_tradnl"/>
        </w:rPr>
        <w:t>.</w:t>
      </w:r>
      <w:r>
        <w:rPr>
          <w:szCs w:val="24"/>
        </w:rPr>
        <w:t xml:space="preserve"> </w:t>
      </w:r>
      <w:r>
        <w:rPr>
          <w:szCs w:val="24"/>
          <w:lang w:val="es-ES_tradnl"/>
        </w:rPr>
        <w:t>De acuerdo con el plan plurianual mencionado de octubre de 2000, entre los años 2001 y 2004 el Ministerio de Transporte y Seguridad Vial destinó un presupuesto de 180 millones de nuevos sheqalim (48 millones de dólares de los EE.UU.) al desarrollo de infraestructuras viarias y proyectos de seguridad dentro de los municipios (45 millones anuales) y un presupuesto de 325 millones de nuevos sheqalim (87 millones de dólares de los EE.UU.) al desarrollo de infraestructuras viarias intermunicipales (81,25 millones de nuevos sheqalim, 21,96 millones de dólares de los EE.UU. por año) en diversas localidades árabes.</w:t>
      </w:r>
    </w:p>
    <w:p w:rsidR="00F92819" w:rsidRDefault="00F92819">
      <w:pPr>
        <w:pStyle w:val="SingleTxtG"/>
        <w:rPr>
          <w:szCs w:val="24"/>
        </w:rPr>
      </w:pPr>
      <w:r>
        <w:rPr>
          <w:szCs w:val="24"/>
        </w:rPr>
        <w:t>51.</w:t>
      </w:r>
      <w:r>
        <w:rPr>
          <w:szCs w:val="24"/>
        </w:rPr>
        <w:tab/>
      </w:r>
      <w:r>
        <w:rPr>
          <w:szCs w:val="24"/>
          <w:lang w:val="es-ES_tradnl"/>
        </w:rPr>
        <w:t xml:space="preserve">Durante los años </w:t>
      </w:r>
      <w:smartTag w:uri="urn:schemas-microsoft-com:office:smarttags" w:element="metricconverter">
        <w:smartTagPr>
          <w:attr w:name="ProductID" w:val="2005 a"/>
        </w:smartTagPr>
        <w:r>
          <w:rPr>
            <w:szCs w:val="24"/>
            <w:lang w:val="es-ES_tradnl"/>
          </w:rPr>
          <w:t>2005 a</w:t>
        </w:r>
      </w:smartTag>
      <w:r>
        <w:rPr>
          <w:szCs w:val="24"/>
          <w:lang w:val="es-ES_tradnl"/>
        </w:rPr>
        <w:t xml:space="preserve"> 2007, el Ministerio siguió llevando adelante el desarrollo de las infraestructuras dentro de los municipios de las localidades árabes.</w:t>
      </w:r>
      <w:r>
        <w:rPr>
          <w:szCs w:val="24"/>
        </w:rPr>
        <w:t xml:space="preserve"> </w:t>
      </w:r>
      <w:r>
        <w:rPr>
          <w:szCs w:val="24"/>
          <w:lang w:val="es-ES_tradnl"/>
        </w:rPr>
        <w:t>Además, el Ministerio sigue desarrollando las infraestructuras intermunicipales mediante la asignación de presupuestos para que las municipalidades locales hagan lo propio en su jurisdicción, o bien a través de empresas de gestión.</w:t>
      </w:r>
      <w:r>
        <w:rPr>
          <w:szCs w:val="24"/>
        </w:rPr>
        <w:t xml:space="preserve"> </w:t>
      </w:r>
      <w:r>
        <w:rPr>
          <w:szCs w:val="24"/>
          <w:lang w:val="es-ES_tradnl"/>
        </w:rPr>
        <w:t>Durante estos años se destinaron 94.386.900 nuevos sheqalim (25.509.972 dólares de los EE.UU.) a proyectos de desarrollo para la población drusa y circasiana, 69.652.880 nuevos sheqalim (18.825.102 dólares de los EE.UU.) a proyectos en las poblaciones beduinas del norte, 34.790.000 nuevos sheqalim (9.402.702 dólares de los EE.UU.) para poblaciones beduinas del Negev y 230.448.321 nuevos sheqalim (62.283.330 dólares de los EE.UU.) para localidades árabes.</w:t>
      </w:r>
    </w:p>
    <w:p w:rsidR="00F92819" w:rsidRDefault="00F92819">
      <w:pPr>
        <w:pStyle w:val="SingleTxtG"/>
        <w:rPr>
          <w:szCs w:val="24"/>
        </w:rPr>
      </w:pPr>
      <w:r>
        <w:rPr>
          <w:szCs w:val="24"/>
        </w:rPr>
        <w:t>52.</w:t>
      </w:r>
      <w:r>
        <w:rPr>
          <w:szCs w:val="24"/>
        </w:rPr>
        <w:tab/>
      </w:r>
      <w:r>
        <w:rPr>
          <w:szCs w:val="24"/>
          <w:lang w:val="es-ES_tradnl"/>
        </w:rPr>
        <w:t>Durante la primera mitad de 2008, el Ministerio destinó un presupuesto de 52,2 millones de nuevos sheqalim (14 millones de dólares de los EE.UU.) al desarrollo de infraestructuras dentro de los municipios, distribuidos del siguiente modo: 7,8 millones de nuevos sheqalim (2,1 millones de dólares de EE.UU.) para localidades beduinas del Negev, 11,8 millones de nuevos sheqalim (3,19 millones de dólares de EE.UU.) para localidades beduinas del norte, 6,1 millones de nuevos sheqalim (1,64 millones de dólares de EE.UU.) para localidades drusas y circasianas y 26,4 millones de nuevos sheqalim (7,13 millones de dólares de los EE.UU.) para localidades árabes.</w:t>
      </w:r>
      <w:r>
        <w:rPr>
          <w:szCs w:val="24"/>
        </w:rPr>
        <w:t xml:space="preserve"> </w:t>
      </w:r>
      <w:r>
        <w:rPr>
          <w:szCs w:val="24"/>
          <w:lang w:val="es-ES_tradnl"/>
        </w:rPr>
        <w:t>Además, durante ese período el Ministerio destinó otros 29,3 millones de nuevos sheqalim (7,19 millones de dólares de los EE.UU.) al desarrollo de infraestructuras y proyectos de seguridad en dichas localidades.</w:t>
      </w:r>
    </w:p>
    <w:p w:rsidR="00F92819" w:rsidRDefault="00F92819">
      <w:pPr>
        <w:pStyle w:val="SingleTxtG"/>
        <w:rPr>
          <w:szCs w:val="24"/>
        </w:rPr>
      </w:pPr>
      <w:r>
        <w:rPr>
          <w:szCs w:val="24"/>
        </w:rPr>
        <w:t>53.</w:t>
      </w:r>
      <w:r>
        <w:rPr>
          <w:szCs w:val="24"/>
        </w:rPr>
        <w:tab/>
      </w:r>
      <w:r>
        <w:rPr>
          <w:szCs w:val="24"/>
          <w:lang w:val="es-ES_tradnl"/>
        </w:rPr>
        <w:t>El Ministerio calcula que a finales de 2008 habrá asignado otros 20 millones de nuevos sheqalim (5,4 millones de dólares de los EE.UU.) para la financiación adicional de proyectos inacabados.</w:t>
      </w:r>
    </w:p>
    <w:p w:rsidR="00F92819" w:rsidRDefault="00F92819">
      <w:pPr>
        <w:pStyle w:val="SingleTxtG"/>
        <w:rPr>
          <w:szCs w:val="24"/>
        </w:rPr>
      </w:pPr>
      <w:r>
        <w:rPr>
          <w:szCs w:val="24"/>
        </w:rPr>
        <w:t>54.</w:t>
      </w:r>
      <w:r>
        <w:rPr>
          <w:szCs w:val="24"/>
        </w:rPr>
        <w:tab/>
      </w:r>
      <w:r>
        <w:rPr>
          <w:szCs w:val="24"/>
          <w:lang w:val="es-ES_tradnl"/>
        </w:rPr>
        <w:t>El desarrollo de las infraestructuras intermunicipales está a cargo de “la Ma’atz”, Israel National Road Company Inc., de acuerdo con un plan quinquenal donde se determinan los proyectos a realizar.</w:t>
      </w:r>
      <w:r>
        <w:rPr>
          <w:szCs w:val="24"/>
        </w:rPr>
        <w:t xml:space="preserve"> </w:t>
      </w:r>
      <w:r>
        <w:rPr>
          <w:szCs w:val="24"/>
          <w:lang w:val="es-ES_tradnl"/>
        </w:rPr>
        <w:t xml:space="preserve">El plan actual es para el período de </w:t>
      </w:r>
      <w:smartTag w:uri="urn:schemas-microsoft-com:office:smarttags" w:element="metricconverter">
        <w:smartTagPr>
          <w:attr w:name="ProductID" w:val="2005 a"/>
        </w:smartTagPr>
        <w:r>
          <w:rPr>
            <w:szCs w:val="24"/>
            <w:lang w:val="es-ES_tradnl"/>
          </w:rPr>
          <w:t>2005 a</w:t>
        </w:r>
      </w:smartTag>
      <w:r>
        <w:rPr>
          <w:szCs w:val="24"/>
          <w:lang w:val="es-ES_tradnl"/>
        </w:rPr>
        <w:t xml:space="preserve"> 2009 y, según el plan quinquenal, se destinaron 2.333 millones de nuevos sheqalim (630.540.540 dólares de los EE.UU.) al desarrollo, mantenimiento y reconstrucción de las infraestructuras intermunicipales de las localidades árabes.</w:t>
      </w:r>
    </w:p>
    <w:p w:rsidR="00F92819" w:rsidRDefault="00F92819">
      <w:pPr>
        <w:pStyle w:val="SingleTxtG"/>
        <w:rPr>
          <w:szCs w:val="24"/>
        </w:rPr>
      </w:pPr>
      <w:r>
        <w:rPr>
          <w:szCs w:val="24"/>
        </w:rPr>
        <w:t>55.</w:t>
      </w:r>
      <w:r>
        <w:rPr>
          <w:szCs w:val="24"/>
        </w:rPr>
        <w:tab/>
      </w:r>
      <w:r>
        <w:rPr>
          <w:szCs w:val="24"/>
          <w:lang w:val="es-ES_tradnl"/>
        </w:rPr>
        <w:t>De acuerdo con la información facilitada por “la Ma’atz”, a principios de 2008 se invirtió un total de 315,26 millones de nuevos sheqalim (85,2 millones de dólares de los EE.UU.) en el desarrollo de infraestructuras intermunicipales en las localidades de las minorías.</w:t>
      </w:r>
      <w:r>
        <w:rPr>
          <w:szCs w:val="24"/>
        </w:rPr>
        <w:t xml:space="preserve"> </w:t>
      </w:r>
      <w:r>
        <w:rPr>
          <w:szCs w:val="24"/>
          <w:lang w:val="es-ES_tradnl"/>
        </w:rPr>
        <w:t>Se destinará un monto adicional de 1.011,1 millones de nuevos sheqalim (273.270.270 millones de dólares de los EE.UU.) a la ejecución de proyectos pendientes.</w:t>
      </w:r>
      <w:r>
        <w:rPr>
          <w:szCs w:val="24"/>
        </w:rPr>
        <w:t xml:space="preserve"> </w:t>
      </w:r>
      <w:r>
        <w:rPr>
          <w:szCs w:val="24"/>
          <w:lang w:val="es-ES_tradnl"/>
        </w:rPr>
        <w:t>Además, durante 2008 y 2009 se asignarán otros 1.006,5 millones de nuevos sheqalim (272.027.027 millones de dólares de los EE.UU.) con arreglo al plan quinquenal para el desarrollo, mantenimiento y reconstrucción de estructuras intermunicipales en las localidades de las minorías.</w:t>
      </w:r>
    </w:p>
    <w:p w:rsidR="00F92819" w:rsidRDefault="00F92819">
      <w:pPr>
        <w:pStyle w:val="SingleTxtG"/>
        <w:rPr>
          <w:szCs w:val="24"/>
        </w:rPr>
      </w:pPr>
      <w:r w:rsidRPr="00B6114A">
        <w:rPr>
          <w:szCs w:val="24"/>
        </w:rPr>
        <w:t>56.</w:t>
      </w:r>
      <w:r w:rsidRPr="00B6114A">
        <w:rPr>
          <w:szCs w:val="24"/>
        </w:rPr>
        <w:tab/>
      </w:r>
      <w:r>
        <w:rPr>
          <w:b/>
          <w:szCs w:val="24"/>
          <w:lang w:val="es-ES_tradnl"/>
        </w:rPr>
        <w:t>El Servicio Civil Nacional</w:t>
      </w:r>
      <w:r>
        <w:rPr>
          <w:szCs w:val="24"/>
          <w:lang w:val="es-ES_tradnl"/>
        </w:rPr>
        <w:t>.</w:t>
      </w:r>
      <w:r>
        <w:rPr>
          <w:szCs w:val="24"/>
        </w:rPr>
        <w:t xml:space="preserve"> </w:t>
      </w:r>
      <w:smartTag w:uri="urn:schemas-microsoft-com:office:smarttags" w:element="PersonName">
        <w:smartTagPr>
          <w:attr w:name="ProductID" w:val="La Comisi￳n P￺blica"/>
        </w:smartTagPr>
        <w:r>
          <w:rPr>
            <w:szCs w:val="24"/>
            <w:lang w:val="es-ES_tradnl"/>
          </w:rPr>
          <w:t>La Comisión Pública</w:t>
        </w:r>
      </w:smartTag>
      <w:r>
        <w:rPr>
          <w:szCs w:val="24"/>
          <w:lang w:val="es-ES_tradnl"/>
        </w:rPr>
        <w:t xml:space="preserve"> para el Servicio Civil Nacional (en adelante:</w:t>
      </w:r>
      <w:r>
        <w:rPr>
          <w:szCs w:val="24"/>
        </w:rPr>
        <w:t xml:space="preserve"> </w:t>
      </w:r>
      <w:smartTag w:uri="urn:schemas-microsoft-com:office:smarttags" w:element="PersonName">
        <w:smartTagPr>
          <w:attr w:name="ProductID" w:val="la “Comisión"/>
        </w:smartTagPr>
        <w:r>
          <w:rPr>
            <w:szCs w:val="24"/>
            <w:lang w:val="es-ES_tradnl"/>
          </w:rPr>
          <w:t>la “Comisión</w:t>
        </w:r>
      </w:smartTag>
      <w:r>
        <w:rPr>
          <w:szCs w:val="24"/>
          <w:lang w:val="es-ES_tradnl"/>
        </w:rPr>
        <w:t>”) se creó el 1º de agosto de 2004 con el mandato de examinar la cuestión del servicio civil para las poblaciones que no realizan el servicio militar.</w:t>
      </w:r>
      <w:r>
        <w:rPr>
          <w:szCs w:val="24"/>
        </w:rPr>
        <w:t xml:space="preserve"> </w:t>
      </w:r>
      <w:r>
        <w:rPr>
          <w:szCs w:val="24"/>
          <w:lang w:val="es-ES_tradnl"/>
        </w:rPr>
        <w:t>En febrero de 2005 el Ministerio de Defensa adoptó las recomendaciones de la Comisión que aconsejaban que realizaran un servicio civil todos los ciudadanos y residentes israelíes no reclutados para el servicio militar, como, por ejemplo, la mayoría de los judíos ultraortodoxos y la mayoría de la población árabe.</w:t>
      </w:r>
    </w:p>
    <w:p w:rsidR="00F92819" w:rsidRDefault="00F92819">
      <w:pPr>
        <w:pStyle w:val="SingleTxtG"/>
        <w:rPr>
          <w:szCs w:val="24"/>
        </w:rPr>
      </w:pPr>
      <w:r>
        <w:rPr>
          <w:szCs w:val="24"/>
        </w:rPr>
        <w:t>57.</w:t>
      </w:r>
      <w:r>
        <w:rPr>
          <w:szCs w:val="24"/>
        </w:rPr>
        <w:tab/>
      </w:r>
      <w:r>
        <w:rPr>
          <w:szCs w:val="24"/>
          <w:lang w:val="es-ES_tradnl"/>
        </w:rPr>
        <w:t xml:space="preserve">La resolución del Gobierno </w:t>
      </w:r>
      <w:r w:rsidR="00713E0E">
        <w:rPr>
          <w:szCs w:val="24"/>
          <w:lang w:val="es-ES_tradnl"/>
        </w:rPr>
        <w:t>Nº</w:t>
      </w:r>
      <w:r>
        <w:rPr>
          <w:szCs w:val="24"/>
          <w:lang w:val="es-ES_tradnl"/>
        </w:rPr>
        <w:t xml:space="preserve"> 4598 de fecha 18 de diciembre de 2005 subrayaba la importancia de fomentar la posibilidad de realizar el servicio militar o el servicio civil como parte del principio de igualdad y reparto de obligaciones entre la sociedad israelí.</w:t>
      </w:r>
      <w:r>
        <w:rPr>
          <w:szCs w:val="24"/>
        </w:rPr>
        <w:t xml:space="preserve"> </w:t>
      </w:r>
      <w:r>
        <w:rPr>
          <w:szCs w:val="24"/>
          <w:lang w:val="es-ES_tradnl"/>
        </w:rPr>
        <w:t>En la reunión del Gobierno resultante de la resolución anterior se establecieron instrucciones con respecto al ejercicio de la iniciativa de servicio civil</w:t>
      </w:r>
      <w:r>
        <w:rPr>
          <w:szCs w:val="24"/>
        </w:rPr>
        <w:t xml:space="preserve"> </w:t>
      </w:r>
      <w:r>
        <w:rPr>
          <w:szCs w:val="24"/>
          <w:lang w:val="es-ES_tradnl"/>
        </w:rPr>
        <w:t>y se creó la Administración del Servicio Civil (en adelante:</w:t>
      </w:r>
      <w:r>
        <w:rPr>
          <w:szCs w:val="24"/>
        </w:rPr>
        <w:t xml:space="preserve"> </w:t>
      </w:r>
      <w:r>
        <w:rPr>
          <w:szCs w:val="24"/>
          <w:lang w:val="es-ES_tradnl"/>
        </w:rPr>
        <w:t>“la Administración”).</w:t>
      </w:r>
    </w:p>
    <w:p w:rsidR="00F92819" w:rsidRDefault="00F92819">
      <w:pPr>
        <w:pStyle w:val="SingleTxtG"/>
        <w:rPr>
          <w:szCs w:val="24"/>
        </w:rPr>
      </w:pPr>
      <w:r>
        <w:rPr>
          <w:szCs w:val="24"/>
        </w:rPr>
        <w:t>58.</w:t>
      </w:r>
      <w:r>
        <w:rPr>
          <w:szCs w:val="24"/>
        </w:rPr>
        <w:tab/>
      </w:r>
      <w:r>
        <w:rPr>
          <w:szCs w:val="24"/>
          <w:lang w:val="es-ES_tradnl"/>
        </w:rPr>
        <w:t xml:space="preserve">La resolución del Gobierno </w:t>
      </w:r>
      <w:r w:rsidR="00713E0E">
        <w:rPr>
          <w:szCs w:val="24"/>
          <w:lang w:val="es-ES_tradnl"/>
        </w:rPr>
        <w:t>Nº</w:t>
      </w:r>
      <w:r>
        <w:rPr>
          <w:szCs w:val="24"/>
          <w:lang w:val="es-ES_tradnl"/>
        </w:rPr>
        <w:t xml:space="preserve"> 2295 de fecha 19 de agosto de 2007 establece una nueva Administración del Servicio Civil Nacional,</w:t>
      </w:r>
      <w:r>
        <w:rPr>
          <w:szCs w:val="24"/>
        </w:rPr>
        <w:t xml:space="preserve"> </w:t>
      </w:r>
      <w:r>
        <w:rPr>
          <w:szCs w:val="24"/>
          <w:lang w:val="es-ES_tradnl"/>
        </w:rPr>
        <w:t xml:space="preserve">cuyo mandato es regular y coordinar la aplicación del programa de Servicio Civil Nacional con el fin de que los jóvenes de todos los segmentos de población que están exentos del servicio militar obligatorio participen en el programa durante un período de </w:t>
      </w:r>
      <w:smartTag w:uri="urn:schemas-microsoft-com:office:smarttags" w:element="metricconverter">
        <w:smartTagPr>
          <w:attr w:name="ProductID" w:val="1 a"/>
        </w:smartTagPr>
        <w:r>
          <w:rPr>
            <w:szCs w:val="24"/>
            <w:lang w:val="es-ES_tradnl"/>
          </w:rPr>
          <w:t>1 a</w:t>
        </w:r>
      </w:smartTag>
      <w:r>
        <w:rPr>
          <w:szCs w:val="24"/>
          <w:lang w:val="es-ES_tradnl"/>
        </w:rPr>
        <w:t xml:space="preserve"> 2 años, realizando actividades encaminadas al fomento de la sociedad en general y de las poblaciones débiles en particular, mejorando así el vínculo entre la persona y el Estado.</w:t>
      </w:r>
    </w:p>
    <w:p w:rsidR="00F92819" w:rsidRDefault="00F92819">
      <w:pPr>
        <w:pStyle w:val="SingleTxtG"/>
        <w:rPr>
          <w:szCs w:val="24"/>
        </w:rPr>
      </w:pPr>
      <w:r>
        <w:rPr>
          <w:szCs w:val="24"/>
        </w:rPr>
        <w:t>59.</w:t>
      </w:r>
      <w:r>
        <w:rPr>
          <w:szCs w:val="24"/>
        </w:rPr>
        <w:tab/>
      </w:r>
      <w:r>
        <w:rPr>
          <w:szCs w:val="24"/>
          <w:lang w:val="es-ES_tradnl"/>
        </w:rPr>
        <w:t xml:space="preserve">La resolución hace hincapié en la naturaleza voluntaria del Servicio Civil Nacional y en su contribución para reducir las desigualdades entre las personas que realizan el servicio militar o cualquier otro servicio voluntario y aquellas que no prestan ningún servicio, y en que aumentarán las posibilidades de integración en la vida civil para quienes realizan el servicio. </w:t>
      </w:r>
    </w:p>
    <w:p w:rsidR="00F92819" w:rsidRDefault="00F92819">
      <w:pPr>
        <w:pStyle w:val="SingleTxtG"/>
        <w:rPr>
          <w:szCs w:val="24"/>
        </w:rPr>
      </w:pPr>
      <w:r>
        <w:rPr>
          <w:szCs w:val="24"/>
          <w:lang w:val="es-ES_tradnl"/>
        </w:rPr>
        <w:t xml:space="preserve">Esta resolución se ha encontrado con la firme oposición de distintos líderes árabes y del Alto Comité de Supervisión Árabe. </w:t>
      </w:r>
    </w:p>
    <w:p w:rsidR="00F92819" w:rsidRDefault="00F92819">
      <w:pPr>
        <w:pStyle w:val="SingleTxtG"/>
        <w:rPr>
          <w:szCs w:val="24"/>
        </w:rPr>
      </w:pPr>
      <w:r>
        <w:rPr>
          <w:szCs w:val="24"/>
        </w:rPr>
        <w:t>60.</w:t>
      </w:r>
      <w:r>
        <w:rPr>
          <w:szCs w:val="24"/>
        </w:rPr>
        <w:tab/>
      </w:r>
      <w:r>
        <w:rPr>
          <w:szCs w:val="24"/>
          <w:lang w:val="es-ES_tradnl"/>
        </w:rPr>
        <w:t>Sin embargo, de acuerdo con una encuesta realizada, la mayoría de los jóvenes árabes (74%) desean participar en este programa.</w:t>
      </w:r>
      <w:r>
        <w:rPr>
          <w:szCs w:val="24"/>
        </w:rPr>
        <w:t xml:space="preserve"> </w:t>
      </w:r>
      <w:r>
        <w:rPr>
          <w:szCs w:val="24"/>
          <w:lang w:val="es-ES_tradnl"/>
        </w:rPr>
        <w:t xml:space="preserve">Además, desde la aplicación de la resolución del Gobierno, las cifras de los miembros del Servicio Civil Nacional han aumentado continuamente: de 240 solicitantes en </w:t>
      </w:r>
      <w:smartTag w:uri="urn:schemas-microsoft-com:office:smarttags" w:element="metricconverter">
        <w:smartTagPr>
          <w:attr w:name="ProductID" w:val="2006, a"/>
        </w:smartTagPr>
        <w:r>
          <w:rPr>
            <w:szCs w:val="24"/>
            <w:lang w:val="es-ES_tradnl"/>
          </w:rPr>
          <w:t>2006, a</w:t>
        </w:r>
      </w:smartTag>
      <w:r>
        <w:rPr>
          <w:szCs w:val="24"/>
          <w:lang w:val="es-ES_tradnl"/>
        </w:rPr>
        <w:t xml:space="preserve"> 628 en 2007 y 1.050 en 2008.</w:t>
      </w:r>
    </w:p>
    <w:p w:rsidR="00F92819" w:rsidRDefault="00F92819">
      <w:pPr>
        <w:pStyle w:val="SingleTxtG"/>
        <w:rPr>
          <w:szCs w:val="24"/>
        </w:rPr>
      </w:pPr>
      <w:r>
        <w:rPr>
          <w:szCs w:val="24"/>
        </w:rPr>
        <w:t>61.</w:t>
      </w:r>
      <w:r>
        <w:rPr>
          <w:szCs w:val="24"/>
        </w:rPr>
        <w:tab/>
      </w:r>
      <w:r>
        <w:rPr>
          <w:szCs w:val="24"/>
          <w:lang w:val="es-ES_tradnl"/>
        </w:rPr>
        <w:t>El Servicio Civil Nacional es un órgano independiente, sin vinculación con el sistema militar y el servicio militar.</w:t>
      </w:r>
      <w:r>
        <w:rPr>
          <w:szCs w:val="24"/>
        </w:rPr>
        <w:t xml:space="preserve"> </w:t>
      </w:r>
      <w:r>
        <w:rPr>
          <w:szCs w:val="24"/>
          <w:lang w:val="es-ES_tradnl"/>
        </w:rPr>
        <w:t xml:space="preserve">Esto excluye las cuestiones relacionadas con el aplazamiento del servicio militar para los estudiantes de yeshivas de conformidad con la </w:t>
      </w:r>
      <w:r>
        <w:rPr>
          <w:i/>
          <w:szCs w:val="24"/>
          <w:lang w:val="es-ES_tradnl"/>
        </w:rPr>
        <w:t xml:space="preserve">Ley del aplazamiento del servicio de los estudiantes de yeshivas </w:t>
      </w:r>
      <w:r>
        <w:rPr>
          <w:szCs w:val="24"/>
          <w:lang w:val="es-ES_tradnl"/>
        </w:rPr>
        <w:t>de 5767/2007.</w:t>
      </w:r>
    </w:p>
    <w:p w:rsidR="00F92819" w:rsidRDefault="00F92819">
      <w:pPr>
        <w:pStyle w:val="SingleTxtG"/>
        <w:rPr>
          <w:szCs w:val="24"/>
        </w:rPr>
      </w:pPr>
      <w:r>
        <w:rPr>
          <w:szCs w:val="24"/>
        </w:rPr>
        <w:t>62.</w:t>
      </w:r>
      <w:r>
        <w:rPr>
          <w:szCs w:val="24"/>
        </w:rPr>
        <w:tab/>
      </w:r>
      <w:r>
        <w:rPr>
          <w:szCs w:val="24"/>
          <w:lang w:val="es-ES_tradnl"/>
        </w:rPr>
        <w:t>Los principales desafíos que afronta la administración son la creación de opciones de servicio atractivas para los jóvenes de distintas poblaciones, contrarrestar la oposición de diversos sectores y proporcionar formación profesional en caso necesario.</w:t>
      </w:r>
    </w:p>
    <w:p w:rsidR="00F92819" w:rsidRDefault="00F92819">
      <w:pPr>
        <w:pStyle w:val="SingleTxtG"/>
        <w:rPr>
          <w:szCs w:val="24"/>
        </w:rPr>
      </w:pPr>
      <w:r>
        <w:rPr>
          <w:szCs w:val="24"/>
        </w:rPr>
        <w:t>63.</w:t>
      </w:r>
      <w:r>
        <w:rPr>
          <w:szCs w:val="24"/>
        </w:rPr>
        <w:tab/>
      </w:r>
      <w:r>
        <w:rPr>
          <w:szCs w:val="24"/>
          <w:lang w:val="es-ES_tradnl"/>
        </w:rPr>
        <w:t>La Administración tiene la responsabilidad, previa consulta con un comité público, de presentar al Gobierno un programa de funcionamiento a largo plazo que incluya maneras de ampliar el grupo de voluntariado, así como otros planes de acción.</w:t>
      </w:r>
      <w:r>
        <w:rPr>
          <w:szCs w:val="24"/>
        </w:rPr>
        <w:t xml:space="preserve"> </w:t>
      </w:r>
      <w:r>
        <w:rPr>
          <w:szCs w:val="24"/>
          <w:lang w:val="es-ES_tradnl"/>
        </w:rPr>
        <w:t xml:space="preserve">Además, se encarga de iniciar los programas necesarios para presentar la información, sensibilizar y ampliar la participación del público en la cuestión del Servicio Civil Nacional. </w:t>
      </w:r>
    </w:p>
    <w:p w:rsidR="00F92819" w:rsidRDefault="00F92819">
      <w:pPr>
        <w:pStyle w:val="SingleTxtG"/>
        <w:rPr>
          <w:szCs w:val="24"/>
        </w:rPr>
      </w:pPr>
      <w:r>
        <w:rPr>
          <w:szCs w:val="24"/>
        </w:rPr>
        <w:t>64.</w:t>
      </w:r>
      <w:r>
        <w:rPr>
          <w:szCs w:val="24"/>
        </w:rPr>
        <w:tab/>
      </w:r>
      <w:r>
        <w:rPr>
          <w:szCs w:val="24"/>
          <w:lang w:val="es-ES_tradnl"/>
        </w:rPr>
        <w:t xml:space="preserve">La Oficina del Primer Ministro está promoviendo actualmente una serie de leyes para consolidar el programa de Servicio Civil Nacional y equiparar los requisitos y los derechos de quienes realizan el servicio militar con quienes realizan el Servicio Civil Nacional. </w:t>
      </w:r>
    </w:p>
    <w:p w:rsidR="00F92819" w:rsidRDefault="00F92819">
      <w:pPr>
        <w:pStyle w:val="H23G"/>
        <w:rPr>
          <w:szCs w:val="24"/>
        </w:rPr>
      </w:pPr>
      <w:r>
        <w:rPr>
          <w:szCs w:val="24"/>
        </w:rPr>
        <w:tab/>
      </w:r>
      <w:r>
        <w:rPr>
          <w:szCs w:val="24"/>
        </w:rPr>
        <w:tab/>
      </w:r>
      <w:r>
        <w:rPr>
          <w:szCs w:val="24"/>
          <w:lang w:val="es-ES_tradnl"/>
        </w:rPr>
        <w:t>Representación adecuada</w:t>
      </w:r>
    </w:p>
    <w:p w:rsidR="00F92819" w:rsidRDefault="00F92819">
      <w:pPr>
        <w:pStyle w:val="SingleTxtG"/>
        <w:rPr>
          <w:szCs w:val="24"/>
        </w:rPr>
      </w:pPr>
      <w:r w:rsidRPr="00B6114A">
        <w:rPr>
          <w:szCs w:val="24"/>
        </w:rPr>
        <w:t>65.</w:t>
      </w:r>
      <w:r w:rsidRPr="00B6114A">
        <w:rPr>
          <w:szCs w:val="24"/>
        </w:rPr>
        <w:tab/>
      </w:r>
      <w:r>
        <w:rPr>
          <w:b/>
          <w:szCs w:val="24"/>
          <w:lang w:val="es-ES_tradnl"/>
        </w:rPr>
        <w:t>La administración pública</w:t>
      </w:r>
      <w:r>
        <w:rPr>
          <w:szCs w:val="24"/>
          <w:lang w:val="es-ES_tradnl"/>
        </w:rPr>
        <w:t>.</w:t>
      </w:r>
      <w:r>
        <w:rPr>
          <w:szCs w:val="24"/>
        </w:rPr>
        <w:t xml:space="preserve"> </w:t>
      </w:r>
      <w:r>
        <w:rPr>
          <w:szCs w:val="24"/>
          <w:lang w:val="es-ES_tradnl"/>
        </w:rPr>
        <w:t xml:space="preserve">En 2000 el Knesset de Israel aprobó la </w:t>
      </w:r>
      <w:r>
        <w:rPr>
          <w:i/>
          <w:szCs w:val="24"/>
          <w:lang w:val="es-ES_tradnl"/>
        </w:rPr>
        <w:t xml:space="preserve">Ley de la administración pública (Nombramientos) (Enmienda </w:t>
      </w:r>
      <w:r w:rsidR="00713E0E">
        <w:rPr>
          <w:i/>
          <w:szCs w:val="24"/>
          <w:lang w:val="es-ES_tradnl"/>
        </w:rPr>
        <w:t>Nº</w:t>
      </w:r>
      <w:r>
        <w:rPr>
          <w:i/>
          <w:szCs w:val="24"/>
          <w:lang w:val="es-ES_tradnl"/>
        </w:rPr>
        <w:t xml:space="preserve"> 11) (Representación adecuada) </w:t>
      </w:r>
      <w:r>
        <w:rPr>
          <w:szCs w:val="24"/>
          <w:lang w:val="es-ES_tradnl"/>
        </w:rPr>
        <w:t>de 5760/2000 para asegurar que las minorías y las poblaciones insuficientemente representadas como las mujeres, las personas con discapacidad y la población árabe, drusa y circasiana estén representadas en la administración pública según su proporción en la población activa.</w:t>
      </w:r>
      <w:r>
        <w:rPr>
          <w:szCs w:val="24"/>
        </w:rPr>
        <w:t xml:space="preserve"> </w:t>
      </w:r>
      <w:r>
        <w:rPr>
          <w:szCs w:val="24"/>
          <w:lang w:val="es-ES_tradnl"/>
        </w:rPr>
        <w:t>La Ley exige una representación adecuada de los distintos grupos a través del Servicio Civil, a todos los niveles y en todas las profesiones.</w:t>
      </w:r>
    </w:p>
    <w:p w:rsidR="00F92819" w:rsidRDefault="00F92819">
      <w:pPr>
        <w:pStyle w:val="SingleTxtG"/>
        <w:rPr>
          <w:szCs w:val="24"/>
        </w:rPr>
      </w:pPr>
      <w:r>
        <w:rPr>
          <w:szCs w:val="24"/>
        </w:rPr>
        <w:t>66.</w:t>
      </w:r>
      <w:r>
        <w:rPr>
          <w:szCs w:val="24"/>
        </w:rPr>
        <w:tab/>
      </w:r>
      <w:r>
        <w:rPr>
          <w:szCs w:val="24"/>
          <w:lang w:val="es-ES_tradnl"/>
        </w:rPr>
        <w:t xml:space="preserve">El 30 de noviembre de 2003 el Gobierno consolidó la resolución </w:t>
      </w:r>
      <w:r w:rsidR="00713E0E">
        <w:rPr>
          <w:szCs w:val="24"/>
          <w:lang w:val="es-ES_tradnl"/>
        </w:rPr>
        <w:t>Nº</w:t>
      </w:r>
      <w:r>
        <w:rPr>
          <w:szCs w:val="24"/>
          <w:lang w:val="es-ES_tradnl"/>
        </w:rPr>
        <w:t xml:space="preserve"> 1073 sobre la representación adecuada de las personas con discapacidad en la administración pública.</w:t>
      </w:r>
      <w:r>
        <w:rPr>
          <w:szCs w:val="24"/>
        </w:rPr>
        <w:t xml:space="preserve"> </w:t>
      </w:r>
      <w:r>
        <w:rPr>
          <w:szCs w:val="24"/>
          <w:lang w:val="es-ES_tradnl"/>
        </w:rPr>
        <w:t>Entre las medidas que establece la resolución está el nombramiento de supervisores de igualdad para las personas con discapacidad en cada Ministerio, cuya tarea es fomentar el empleo de personas con discapacidad en la administración pública y hacer que el Ministerio sea más accesible para las personas con discapacidad en general.</w:t>
      </w:r>
      <w:r>
        <w:rPr>
          <w:szCs w:val="24"/>
        </w:rPr>
        <w:t xml:space="preserve"> </w:t>
      </w:r>
      <w:r>
        <w:rPr>
          <w:szCs w:val="24"/>
          <w:lang w:val="es-ES_tradnl"/>
        </w:rPr>
        <w:t>El Gobierno decidió además dar prioridad a las personas con discapacidad grave en los nombramientos y ascensos en la administración pública.</w:t>
      </w:r>
    </w:p>
    <w:p w:rsidR="00F92819" w:rsidRDefault="00F92819">
      <w:pPr>
        <w:pStyle w:val="SingleTxtG"/>
        <w:rPr>
          <w:b/>
          <w:szCs w:val="24"/>
        </w:rPr>
      </w:pPr>
      <w:r>
        <w:rPr>
          <w:szCs w:val="24"/>
        </w:rPr>
        <w:t>67.</w:t>
      </w:r>
      <w:r>
        <w:rPr>
          <w:szCs w:val="24"/>
        </w:rPr>
        <w:tab/>
      </w:r>
      <w:r>
        <w:rPr>
          <w:szCs w:val="24"/>
          <w:lang w:val="es-ES_tradnl"/>
        </w:rPr>
        <w:t xml:space="preserve">La </w:t>
      </w:r>
      <w:r>
        <w:rPr>
          <w:i/>
          <w:szCs w:val="24"/>
          <w:lang w:val="es-ES_tradnl"/>
        </w:rPr>
        <w:t>Ley de la administración pública (Nombramientos)</w:t>
      </w:r>
      <w:r>
        <w:rPr>
          <w:szCs w:val="24"/>
          <w:lang w:val="es-ES_tradnl"/>
        </w:rPr>
        <w:t xml:space="preserve"> se reformó en 2005 para incluir a las personas de origen etíope entre los distintos grupos con derecho a una representación adecuada en la administración pública.</w:t>
      </w:r>
      <w:r>
        <w:rPr>
          <w:szCs w:val="24"/>
        </w:rPr>
        <w:t xml:space="preserve"> </w:t>
      </w:r>
      <w:r>
        <w:rPr>
          <w:szCs w:val="24"/>
          <w:lang w:val="es-ES_tradnl"/>
        </w:rPr>
        <w:t xml:space="preserve">Después de esta reforma, el Gobierno aceptó la resolución </w:t>
      </w:r>
      <w:r w:rsidR="00713E0E">
        <w:rPr>
          <w:szCs w:val="24"/>
          <w:lang w:val="es-ES_tradnl"/>
        </w:rPr>
        <w:t>Nº</w:t>
      </w:r>
      <w:r>
        <w:rPr>
          <w:szCs w:val="24"/>
          <w:lang w:val="es-ES_tradnl"/>
        </w:rPr>
        <w:t xml:space="preserve"> 1665 sobre la asignación de puestos en la administración pública a personas de origen etíope, que les da prioridad en nombramientos y ascensos.</w:t>
      </w:r>
    </w:p>
    <w:p w:rsidR="00F92819" w:rsidRDefault="00F92819">
      <w:pPr>
        <w:pStyle w:val="SingleTxtG"/>
        <w:rPr>
          <w:szCs w:val="24"/>
        </w:rPr>
      </w:pPr>
      <w:bookmarkStart w:id="0" w:name="OLE_LINK1"/>
      <w:r>
        <w:rPr>
          <w:szCs w:val="24"/>
        </w:rPr>
        <w:t>68.</w:t>
      </w:r>
      <w:r>
        <w:rPr>
          <w:szCs w:val="24"/>
        </w:rPr>
        <w:tab/>
      </w:r>
      <w:r>
        <w:rPr>
          <w:szCs w:val="24"/>
          <w:lang w:val="es-ES_tradnl"/>
        </w:rPr>
        <w:t xml:space="preserve">El 12 de marzo de 2006 el Gobierno decidió designar (resolución </w:t>
      </w:r>
      <w:r w:rsidR="00713E0E">
        <w:rPr>
          <w:szCs w:val="24"/>
          <w:lang w:val="es-ES_tradnl"/>
        </w:rPr>
        <w:t>Nº</w:t>
      </w:r>
      <w:r>
        <w:rPr>
          <w:szCs w:val="24"/>
          <w:lang w:val="es-ES_tradnl"/>
        </w:rPr>
        <w:t xml:space="preserve"> 4729), sobre la base del artículo 15A de la </w:t>
      </w:r>
      <w:r>
        <w:rPr>
          <w:i/>
          <w:szCs w:val="24"/>
          <w:lang w:val="es-ES_tradnl"/>
        </w:rPr>
        <w:t>Ley de la administración pública (Nombramientos)</w:t>
      </w:r>
      <w:r>
        <w:rPr>
          <w:szCs w:val="24"/>
          <w:lang w:val="es-ES_tradnl"/>
        </w:rPr>
        <w:t>, 337 puestos en la administración pública entre 2006 y 2008 para promover la integración de la población árabe, incluidas las minorías drusa y circasiana. El Gobierno decidió además crear un equipo interministerial encargado de examinar otros medios de promover la representación adecuada de los árabes en la administración pública.</w:t>
      </w:r>
      <w:r>
        <w:rPr>
          <w:szCs w:val="24"/>
        </w:rPr>
        <w:t xml:space="preserve"> </w:t>
      </w:r>
      <w:r>
        <w:rPr>
          <w:szCs w:val="24"/>
          <w:lang w:val="es-ES_tradnl"/>
        </w:rPr>
        <w:t>El 16 de julio de 2006, el equipo interministerial presentó sus recomendaciones.</w:t>
      </w:r>
    </w:p>
    <w:bookmarkEnd w:id="0"/>
    <w:p w:rsidR="00F92819" w:rsidRDefault="00F92819">
      <w:pPr>
        <w:pStyle w:val="SingleTxtG"/>
        <w:rPr>
          <w:szCs w:val="24"/>
        </w:rPr>
      </w:pPr>
      <w:r>
        <w:rPr>
          <w:szCs w:val="24"/>
        </w:rPr>
        <w:t>69.</w:t>
      </w:r>
      <w:r>
        <w:rPr>
          <w:szCs w:val="24"/>
        </w:rPr>
        <w:tab/>
      </w:r>
      <w:r>
        <w:rPr>
          <w:szCs w:val="24"/>
          <w:lang w:val="es-ES_tradnl"/>
        </w:rPr>
        <w:t xml:space="preserve">El 31 de agosto de 2006 el Gobierno aprobó la resolución </w:t>
      </w:r>
      <w:r w:rsidR="00713E0E">
        <w:rPr>
          <w:szCs w:val="24"/>
          <w:lang w:val="es-ES_tradnl"/>
        </w:rPr>
        <w:t>Nº</w:t>
      </w:r>
      <w:r>
        <w:rPr>
          <w:szCs w:val="24"/>
          <w:lang w:val="es-ES_tradnl"/>
        </w:rPr>
        <w:t xml:space="preserve"> 414, por la cual se aprobaban la mayoría de las recomendaciones del equipo interministerial, entre ellas la determinación de nuevos objetivos para promover la representación adecuada de los árabe-israelíes en la administración pública:</w:t>
      </w:r>
      <w:r>
        <w:rPr>
          <w:szCs w:val="24"/>
        </w:rPr>
        <w:t xml:space="preserve"> </w:t>
      </w:r>
      <w:r>
        <w:rPr>
          <w:szCs w:val="24"/>
          <w:lang w:val="es-ES_tradnl"/>
        </w:rPr>
        <w:t>los árabes deberían constituir el 8% de los empleados de la administración pública para finales de 2008 y el 10% para finales de 2010. Se decidió además que hasta finales de 2008 el 20% de todos los nuevos puestos de trabajo se asignarían a árabes.</w:t>
      </w:r>
      <w:r>
        <w:rPr>
          <w:szCs w:val="24"/>
        </w:rPr>
        <w:t xml:space="preserve"> </w:t>
      </w:r>
      <w:r>
        <w:rPr>
          <w:szCs w:val="24"/>
          <w:lang w:val="es-ES_tradnl"/>
        </w:rPr>
        <w:t>Las decisiones anteriores de conceder prioridad a los árabe-israelíes en nombramientos y ascensos se prorrogaron otros cuatro años.</w:t>
      </w:r>
      <w:r>
        <w:rPr>
          <w:szCs w:val="24"/>
        </w:rPr>
        <w:t xml:space="preserve"> </w:t>
      </w:r>
      <w:r>
        <w:rPr>
          <w:szCs w:val="24"/>
          <w:lang w:val="es-ES_tradnl"/>
        </w:rPr>
        <w:t>Se exigió a cada Ministerio que nombrase un supervisor encargado del progreso de la representación de los árabes y se establecería un equipo interministerial para asegurar la aplicación de la resolución.</w:t>
      </w:r>
    </w:p>
    <w:p w:rsidR="00F92819" w:rsidRDefault="00F92819">
      <w:pPr>
        <w:pStyle w:val="SingleTxtG"/>
        <w:rPr>
          <w:szCs w:val="24"/>
        </w:rPr>
      </w:pPr>
      <w:r>
        <w:rPr>
          <w:szCs w:val="24"/>
        </w:rPr>
        <w:t>70.</w:t>
      </w:r>
      <w:r>
        <w:rPr>
          <w:szCs w:val="24"/>
        </w:rPr>
        <w:tab/>
      </w:r>
      <w:r>
        <w:rPr>
          <w:szCs w:val="24"/>
          <w:lang w:val="es-ES_tradnl"/>
        </w:rPr>
        <w:t xml:space="preserve">El 11 de noviembre de 2007 el Gobierno aprobó la resolución </w:t>
      </w:r>
      <w:r w:rsidR="00713E0E">
        <w:rPr>
          <w:szCs w:val="24"/>
          <w:lang w:val="es-ES_tradnl"/>
        </w:rPr>
        <w:t>Nº</w:t>
      </w:r>
      <w:r>
        <w:rPr>
          <w:szCs w:val="24"/>
          <w:lang w:val="es-ES_tradnl"/>
        </w:rPr>
        <w:t xml:space="preserve"> 2579, por la cual se enmendaba la anterior resolución </w:t>
      </w:r>
      <w:r w:rsidR="00713E0E">
        <w:rPr>
          <w:szCs w:val="24"/>
          <w:lang w:val="es-ES_tradnl"/>
        </w:rPr>
        <w:t>Nº</w:t>
      </w:r>
      <w:r>
        <w:rPr>
          <w:szCs w:val="24"/>
          <w:lang w:val="es-ES_tradnl"/>
        </w:rPr>
        <w:t xml:space="preserve"> 414. De conformidad con la nueva resolución, los árabes, incluidos los drusos y los circasianos, deberán constituir el 10% de los empleados de la administración pública para finales de 2012. Además, hasta el 2012 el 30% de todos los nuevos puestos de trabajo se asignarán a esta población.</w:t>
      </w:r>
      <w:r>
        <w:rPr>
          <w:szCs w:val="24"/>
        </w:rPr>
        <w:t xml:space="preserve"> </w:t>
      </w:r>
      <w:r>
        <w:rPr>
          <w:szCs w:val="24"/>
          <w:lang w:val="es-ES_tradnl"/>
        </w:rPr>
        <w:t>Para lograr estos objetivos, la resolución determina que todos los ministerios gubernamentales deberán consolidar un plan quinquenal de trabajo</w:t>
      </w:r>
      <w:r>
        <w:rPr>
          <w:szCs w:val="24"/>
        </w:rPr>
        <w:t xml:space="preserve"> </w:t>
      </w:r>
      <w:r>
        <w:rPr>
          <w:szCs w:val="24"/>
          <w:lang w:val="es-ES_tradnl"/>
        </w:rPr>
        <w:t>y también que se dará prioridad a los árabe-israelíes en nombramientos y ascensos hasta finales de 2012. En la resolución se establece la creación de un equipo interministerial encabezado por el Director General del Ministerio de Justicia, encargado del seguimiento de la aplicación de las mencionadas disposiciones en todos los ministerios gubernamentales y de estudiar la forma de eliminar barreras para la integración de los árabe-israelíes en la administración pública.</w:t>
      </w:r>
      <w:r>
        <w:rPr>
          <w:szCs w:val="24"/>
        </w:rPr>
        <w:t xml:space="preserve"> </w:t>
      </w:r>
      <w:r>
        <w:rPr>
          <w:szCs w:val="24"/>
          <w:lang w:val="es-ES_tradnl"/>
        </w:rPr>
        <w:t xml:space="preserve">En cumplimiento de esta resolución, la Comisión de </w:t>
      </w:r>
      <w:smartTag w:uri="urn:schemas-microsoft-com:office:smarttags" w:element="PersonName">
        <w:smartTagPr>
          <w:attr w:name="ProductID" w:val="la Administraci￳n P￺blica"/>
        </w:smartTagPr>
        <w:r>
          <w:rPr>
            <w:szCs w:val="24"/>
            <w:lang w:val="es-ES_tradnl"/>
          </w:rPr>
          <w:t>la Administración Pública</w:t>
        </w:r>
      </w:smartTag>
      <w:r>
        <w:rPr>
          <w:szCs w:val="24"/>
          <w:lang w:val="es-ES_tradnl"/>
        </w:rPr>
        <w:t xml:space="preserve"> está en contacto permanente con cada Ministerio para supervisar su progreso hacia los objetivos establecidos por el Gobierno.</w:t>
      </w:r>
    </w:p>
    <w:p w:rsidR="00F92819" w:rsidRDefault="00F92819">
      <w:pPr>
        <w:pStyle w:val="SingleTxtG"/>
        <w:rPr>
          <w:szCs w:val="24"/>
        </w:rPr>
      </w:pPr>
      <w:r>
        <w:rPr>
          <w:szCs w:val="24"/>
        </w:rPr>
        <w:t>71.</w:t>
      </w:r>
      <w:r>
        <w:rPr>
          <w:szCs w:val="24"/>
        </w:rPr>
        <w:tab/>
      </w:r>
      <w:r>
        <w:rPr>
          <w:szCs w:val="24"/>
          <w:lang w:val="es-ES_tradnl"/>
        </w:rPr>
        <w:t>Los datos indican un constante aumento de las tasas de empleados árabes, drusos y circasianos en la administración civil.</w:t>
      </w:r>
      <w:r>
        <w:rPr>
          <w:szCs w:val="24"/>
        </w:rPr>
        <w:t xml:space="preserve"> </w:t>
      </w:r>
      <w:r>
        <w:rPr>
          <w:szCs w:val="24"/>
          <w:lang w:val="es-ES_tradnl"/>
        </w:rPr>
        <w:t>En noviembre de 2008, el 6,5% de los empleados de la administración pública eran árabes, drusos y circasianos (frente al 6,17% en 2007).</w:t>
      </w:r>
    </w:p>
    <w:p w:rsidR="00F92819" w:rsidRDefault="00F92819">
      <w:pPr>
        <w:pStyle w:val="SingleTxtG"/>
        <w:rPr>
          <w:szCs w:val="24"/>
        </w:rPr>
      </w:pPr>
      <w:r>
        <w:rPr>
          <w:szCs w:val="24"/>
        </w:rPr>
        <w:t>72.</w:t>
      </w:r>
      <w:r>
        <w:rPr>
          <w:szCs w:val="24"/>
        </w:rPr>
        <w:tab/>
      </w:r>
      <w:r>
        <w:rPr>
          <w:szCs w:val="24"/>
          <w:lang w:val="es-ES_tradnl"/>
        </w:rPr>
        <w:t>Además, el 8,7% de los nuevos empleados que se incorporaron a la administración pública en 2007 eran árabes, drusos y circasianos, frente al 6,9% en 2005 y el 4,26% en 2003. Cabe destacar que también va en aumento la tasa de mujeres entre los empleados árabes, drusos y circasianos recién incorporados, el 39,8% en 2007, frente al 37,7% en 2005 y el 34,2% en 2003.</w:t>
      </w:r>
    </w:p>
    <w:p w:rsidR="00F92819" w:rsidRDefault="00F92819">
      <w:pPr>
        <w:pStyle w:val="SingleTxtG"/>
        <w:rPr>
          <w:szCs w:val="24"/>
        </w:rPr>
      </w:pPr>
      <w:r>
        <w:rPr>
          <w:szCs w:val="24"/>
        </w:rPr>
        <w:t>73.</w:t>
      </w:r>
      <w:r>
        <w:rPr>
          <w:szCs w:val="24"/>
        </w:rPr>
        <w:tab/>
      </w:r>
      <w:r>
        <w:rPr>
          <w:szCs w:val="24"/>
          <w:lang w:val="es-ES_tradnl"/>
        </w:rPr>
        <w:t>También se evidencia un aumento en el empleo de universitarios árabes, drusos y circasianos en la administración pública.</w:t>
      </w:r>
      <w:r>
        <w:rPr>
          <w:szCs w:val="24"/>
        </w:rPr>
        <w:t xml:space="preserve"> </w:t>
      </w:r>
      <w:r>
        <w:rPr>
          <w:szCs w:val="24"/>
          <w:lang w:val="es-ES_tradnl"/>
        </w:rPr>
        <w:t>En 2007, el 46,82% de los empleados árabes, drusos y circasianos tenían un título universitario, frente al 43,7% en 2006, lo cual tiene que ver con la tendencia general de asignar puestos destinados a la integración de universitarios árabes, drusos y circasianos.</w:t>
      </w:r>
    </w:p>
    <w:p w:rsidR="00F92819" w:rsidRDefault="00F92819">
      <w:pPr>
        <w:pStyle w:val="SingleTxtG"/>
        <w:rPr>
          <w:szCs w:val="24"/>
        </w:rPr>
      </w:pPr>
      <w:r>
        <w:rPr>
          <w:szCs w:val="24"/>
        </w:rPr>
        <w:t>74.</w:t>
      </w:r>
      <w:r>
        <w:rPr>
          <w:szCs w:val="24"/>
        </w:rPr>
        <w:tab/>
      </w:r>
      <w:r>
        <w:rPr>
          <w:szCs w:val="24"/>
          <w:lang w:val="es-ES_tradnl"/>
        </w:rPr>
        <w:t xml:space="preserve">Los datos también indican una reducción del número de empleados árabes en las categorías superiores: 376 empleados en 2007, frente a 347 en 2006. </w:t>
      </w:r>
    </w:p>
    <w:p w:rsidR="00F92819" w:rsidRDefault="00F92819">
      <w:pPr>
        <w:pStyle w:val="SingleTxtG"/>
        <w:rPr>
          <w:szCs w:val="24"/>
        </w:rPr>
      </w:pPr>
      <w:r>
        <w:rPr>
          <w:szCs w:val="24"/>
        </w:rPr>
        <w:t>75.</w:t>
      </w:r>
      <w:r>
        <w:rPr>
          <w:szCs w:val="24"/>
        </w:rPr>
        <w:tab/>
      </w:r>
      <w:r>
        <w:rPr>
          <w:szCs w:val="24"/>
          <w:lang w:val="es-ES_tradnl"/>
        </w:rPr>
        <w:t xml:space="preserve">El 12 de marzo de 2006 el Gobierno de Israel tomó una resolución, a petición del Ministerio de Justicia, sobre la cuestión de la representación adecuada entre los pasantes de dicho Ministerio (resolución </w:t>
      </w:r>
      <w:r w:rsidR="00713E0E">
        <w:rPr>
          <w:szCs w:val="24"/>
          <w:lang w:val="es-ES_tradnl"/>
        </w:rPr>
        <w:t>Nº</w:t>
      </w:r>
      <w:r>
        <w:rPr>
          <w:szCs w:val="24"/>
          <w:lang w:val="es-ES_tradnl"/>
        </w:rPr>
        <w:t xml:space="preserve"> 4730).</w:t>
      </w:r>
      <w:r>
        <w:rPr>
          <w:szCs w:val="24"/>
        </w:rPr>
        <w:t xml:space="preserve"> </w:t>
      </w:r>
      <w:r>
        <w:rPr>
          <w:szCs w:val="24"/>
          <w:lang w:val="es-ES_tradnl"/>
        </w:rPr>
        <w:t>El Gobierno decidió, entre otras cosas, lo siguiente:</w:t>
      </w:r>
    </w:p>
    <w:p w:rsidR="00F92819" w:rsidRDefault="00F92819">
      <w:pPr>
        <w:pStyle w:val="SingleTxtG"/>
        <w:ind w:left="1701"/>
        <w:rPr>
          <w:szCs w:val="24"/>
        </w:rPr>
      </w:pPr>
      <w:r>
        <w:rPr>
          <w:szCs w:val="24"/>
          <w:lang w:val="es-ES_tradnl"/>
        </w:rPr>
        <w:t>“A.</w:t>
      </w:r>
      <w:r>
        <w:rPr>
          <w:szCs w:val="24"/>
        </w:rPr>
        <w:tab/>
      </w:r>
      <w:r>
        <w:rPr>
          <w:szCs w:val="24"/>
          <w:lang w:val="es-ES_tradnl"/>
        </w:rPr>
        <w:t xml:space="preserve">De conformidad con las disposiciones del artículo 15A, b), 2), de la </w:t>
      </w:r>
      <w:r>
        <w:rPr>
          <w:i/>
          <w:szCs w:val="24"/>
          <w:lang w:val="es-ES_tradnl"/>
        </w:rPr>
        <w:t>Ley de la administración pública (nombramientos)</w:t>
      </w:r>
      <w:r>
        <w:rPr>
          <w:szCs w:val="24"/>
          <w:lang w:val="es-ES_tradnl"/>
        </w:rPr>
        <w:t xml:space="preserve"> se designará, en lo posible, un 10% de la clase anual de pasantes del Ministerio de Justicia solamente para el empleo de candidatos que reúnan los requisitos para una pasantía en dicho Ministerio y satisfagan una de las siguientes condiciones:</w:t>
      </w:r>
    </w:p>
    <w:p w:rsidR="00F92819" w:rsidRDefault="00F92819">
      <w:pPr>
        <w:pStyle w:val="SingleTxtG"/>
        <w:ind w:left="1701"/>
        <w:rPr>
          <w:i/>
          <w:szCs w:val="24"/>
        </w:rPr>
      </w:pPr>
      <w:r>
        <w:rPr>
          <w:i/>
          <w:szCs w:val="24"/>
          <w:lang w:val="es-ES_tradnl"/>
        </w:rPr>
        <w:t>el candidato es miembro de la población árabe, incluidos los drusos y los circasianos;</w:t>
      </w:r>
    </w:p>
    <w:p w:rsidR="00F92819" w:rsidRDefault="00F92819">
      <w:pPr>
        <w:pStyle w:val="SingleTxtG"/>
        <w:ind w:left="1701"/>
        <w:rPr>
          <w:i/>
          <w:szCs w:val="24"/>
        </w:rPr>
      </w:pPr>
      <w:r>
        <w:rPr>
          <w:i/>
          <w:szCs w:val="24"/>
          <w:lang w:val="es-ES_tradnl"/>
        </w:rPr>
        <w:t>el candidato o uno de sus padres nació en Etiopía;</w:t>
      </w:r>
    </w:p>
    <w:p w:rsidR="00F92819" w:rsidRDefault="00F92819">
      <w:pPr>
        <w:pStyle w:val="SingleTxtG"/>
        <w:ind w:left="1701"/>
        <w:rPr>
          <w:szCs w:val="24"/>
        </w:rPr>
      </w:pPr>
      <w:r>
        <w:rPr>
          <w:i/>
          <w:szCs w:val="24"/>
          <w:lang w:val="es-ES_tradnl"/>
        </w:rPr>
        <w:t xml:space="preserve">el candidato es una ‘persona con una discapacidad grave’ según el </w:t>
      </w:r>
      <w:r>
        <w:rPr>
          <w:i/>
          <w:spacing w:val="2"/>
          <w:szCs w:val="24"/>
          <w:lang w:val="es-ES_tradnl"/>
        </w:rPr>
        <w:t xml:space="preserve">significado dado al término en el artículo 35.252 del Estatuto de </w:t>
      </w:r>
      <w:smartTag w:uri="urn:schemas-microsoft-com:office:smarttags" w:element="PersonName">
        <w:smartTagPr>
          <w:attr w:name="ProductID" w:val="la Administraci￳n P￺blica"/>
        </w:smartTagPr>
        <w:r>
          <w:rPr>
            <w:i/>
            <w:spacing w:val="2"/>
            <w:szCs w:val="24"/>
            <w:lang w:val="es-ES_tradnl"/>
          </w:rPr>
          <w:t>la Administración Pública</w:t>
        </w:r>
      </w:smartTag>
      <w:r>
        <w:rPr>
          <w:i/>
          <w:spacing w:val="2"/>
          <w:szCs w:val="24"/>
          <w:lang w:val="es-ES_tradnl"/>
        </w:rPr>
        <w:t>…</w:t>
      </w:r>
      <w:r w:rsidRPr="00941BD7">
        <w:rPr>
          <w:iCs/>
          <w:spacing w:val="2"/>
          <w:szCs w:val="24"/>
          <w:lang w:val="es-ES_tradnl"/>
        </w:rPr>
        <w:t>”.</w:t>
      </w:r>
    </w:p>
    <w:p w:rsidR="00F92819" w:rsidRDefault="00F92819">
      <w:pPr>
        <w:pStyle w:val="SingleTxtG"/>
        <w:rPr>
          <w:szCs w:val="24"/>
        </w:rPr>
      </w:pPr>
      <w:r>
        <w:rPr>
          <w:szCs w:val="24"/>
        </w:rPr>
        <w:t>76.</w:t>
      </w:r>
      <w:r>
        <w:rPr>
          <w:szCs w:val="24"/>
        </w:rPr>
        <w:tab/>
      </w:r>
      <w:r>
        <w:rPr>
          <w:szCs w:val="24"/>
          <w:lang w:val="es-ES_tradnl"/>
        </w:rPr>
        <w:t xml:space="preserve">Sobre la base de dicha resolución, se decidió recopilar un directorio de candidatos para hacer efectiva la resolución del Gobierno con respecto a la “representación adecuada”, e incluirá a los candidatos que cumplan los criterios establecidos en la resolución del Gobierno y cuyas circunstancias y aptitudes profesionales los hagan apropiados para </w:t>
      </w:r>
      <w:smartTag w:uri="urn:schemas-microsoft-com:office:smarttags" w:element="PersonName">
        <w:smartTagPr>
          <w:attr w:name="ProductID" w:val="la pasant￭a. En"/>
        </w:smartTagPr>
        <w:r>
          <w:rPr>
            <w:szCs w:val="24"/>
            <w:lang w:val="es-ES_tradnl"/>
          </w:rPr>
          <w:t>la pasantía.</w:t>
        </w:r>
        <w:r>
          <w:rPr>
            <w:szCs w:val="24"/>
          </w:rPr>
          <w:t xml:space="preserve"> </w:t>
        </w:r>
        <w:r>
          <w:rPr>
            <w:szCs w:val="24"/>
            <w:lang w:val="es-ES_tradnl"/>
          </w:rPr>
          <w:t>En</w:t>
        </w:r>
      </w:smartTag>
      <w:r>
        <w:rPr>
          <w:szCs w:val="24"/>
          <w:lang w:val="es-ES_tradnl"/>
        </w:rPr>
        <w:t xml:space="preserve"> consecuencia, en 2008 el Ministerio de Justicia anunció, por segundo año, la creación de dicho directorio de candidatos a puestos de pasantía para septiembre de 2008 y marzo de 2009.</w:t>
      </w:r>
    </w:p>
    <w:p w:rsidR="00F92819" w:rsidRDefault="00F92819">
      <w:pPr>
        <w:pStyle w:val="SingleTxtG"/>
        <w:rPr>
          <w:szCs w:val="24"/>
        </w:rPr>
      </w:pPr>
      <w:r w:rsidRPr="00B6114A">
        <w:rPr>
          <w:szCs w:val="24"/>
        </w:rPr>
        <w:t>77.</w:t>
      </w:r>
      <w:r w:rsidRPr="00B6114A">
        <w:rPr>
          <w:szCs w:val="24"/>
        </w:rPr>
        <w:tab/>
      </w:r>
      <w:r>
        <w:rPr>
          <w:b/>
          <w:szCs w:val="24"/>
          <w:lang w:val="es-ES_tradnl"/>
        </w:rPr>
        <w:t>Municipalidades locales.</w:t>
      </w:r>
      <w:r>
        <w:rPr>
          <w:szCs w:val="24"/>
        </w:rPr>
        <w:t xml:space="preserve"> </w:t>
      </w:r>
      <w:r>
        <w:rPr>
          <w:szCs w:val="24"/>
          <w:lang w:val="es-ES_tradnl"/>
        </w:rPr>
        <w:t>En los 88 consejos o municipalidades locales de pueblos y aldeas donde la población está compuesta principalmente por árabes, drusos, beduinos o circasianos, los empleados de los organismos gubernamentales locales son casi exclusivamente miembros de esas minorías.</w:t>
      </w:r>
      <w:r>
        <w:rPr>
          <w:szCs w:val="24"/>
        </w:rPr>
        <w:t xml:space="preserve"> </w:t>
      </w:r>
      <w:r>
        <w:rPr>
          <w:szCs w:val="24"/>
          <w:lang w:val="es-ES_tradnl"/>
        </w:rPr>
        <w:t>En municipios más grandes con población mixta, como Jerusalén, Haifa y Lod, se contrata a miembros de minorías a un nivel cercano a su representación general en la población, aunque no tanto en las categorías superiores.</w:t>
      </w:r>
    </w:p>
    <w:p w:rsidR="00F92819" w:rsidRDefault="00F92819">
      <w:pPr>
        <w:pStyle w:val="SingleTxtG"/>
        <w:rPr>
          <w:szCs w:val="24"/>
        </w:rPr>
      </w:pPr>
      <w:r w:rsidRPr="00B6114A">
        <w:rPr>
          <w:szCs w:val="24"/>
        </w:rPr>
        <w:t>78.</w:t>
      </w:r>
      <w:r w:rsidRPr="00B6114A">
        <w:rPr>
          <w:szCs w:val="24"/>
        </w:rPr>
        <w:tab/>
      </w:r>
      <w:r>
        <w:rPr>
          <w:b/>
          <w:szCs w:val="24"/>
          <w:lang w:val="es-ES_tradnl"/>
        </w:rPr>
        <w:t>Empresas del Estado</w:t>
      </w:r>
      <w:r>
        <w:rPr>
          <w:szCs w:val="24"/>
          <w:lang w:val="es-ES_tradnl"/>
        </w:rPr>
        <w:t>.</w:t>
      </w:r>
      <w:r>
        <w:rPr>
          <w:szCs w:val="24"/>
        </w:rPr>
        <w:t xml:space="preserve"> </w:t>
      </w:r>
      <w:r>
        <w:rPr>
          <w:szCs w:val="24"/>
          <w:lang w:val="es-ES_tradnl"/>
        </w:rPr>
        <w:t xml:space="preserve">En virtud de una enmienda del 11 de junio de </w:t>
      </w:r>
      <w:smartTag w:uri="urn:schemas-microsoft-com:office:smarttags" w:element="metricconverter">
        <w:smartTagPr>
          <w:attr w:name="ProductID" w:val="2000 a"/>
        </w:smartTagPr>
        <w:r>
          <w:rPr>
            <w:szCs w:val="24"/>
            <w:lang w:val="es-ES_tradnl"/>
          </w:rPr>
          <w:t>2000 a</w:t>
        </w:r>
      </w:smartTag>
      <w:r>
        <w:rPr>
          <w:szCs w:val="24"/>
          <w:lang w:val="es-ES_tradnl"/>
        </w:rPr>
        <w:t xml:space="preserve"> la </w:t>
      </w:r>
      <w:r>
        <w:rPr>
          <w:i/>
          <w:szCs w:val="24"/>
          <w:lang w:val="es-ES_tradnl"/>
        </w:rPr>
        <w:t>Ley de empresas del Estado (Enmienda </w:t>
      </w:r>
      <w:r w:rsidR="00713E0E">
        <w:rPr>
          <w:i/>
          <w:szCs w:val="24"/>
          <w:lang w:val="es-ES_tradnl"/>
        </w:rPr>
        <w:t>Nº</w:t>
      </w:r>
      <w:r>
        <w:rPr>
          <w:i/>
          <w:szCs w:val="24"/>
          <w:lang w:val="es-ES_tradnl"/>
        </w:rPr>
        <w:t xml:space="preserve"> 11)</w:t>
      </w:r>
      <w:r>
        <w:rPr>
          <w:szCs w:val="24"/>
          <w:lang w:val="es-ES_tradnl"/>
        </w:rPr>
        <w:t xml:space="preserve"> de 5735/1975, la población árabe (que por definición incluye a las personas de origen druso y circasiano) debe estar debidamente representada en el consejo de administración de todas las empresas y organismos del Estado.</w:t>
      </w:r>
      <w:r>
        <w:rPr>
          <w:szCs w:val="24"/>
        </w:rPr>
        <w:t xml:space="preserve"> </w:t>
      </w:r>
      <w:r>
        <w:rPr>
          <w:szCs w:val="24"/>
          <w:lang w:val="es-ES_tradnl"/>
        </w:rPr>
        <w:t>Según datos reunidos en diciembre de 2008, 47 de 586 directores (8,02%) eran de origen árabe, incluidos drusos y circasianos, frente a 10 (1,7%) en 2001.</w:t>
      </w:r>
    </w:p>
    <w:p w:rsidR="00F92819" w:rsidRDefault="00F92819">
      <w:pPr>
        <w:pStyle w:val="SingleTxtG"/>
        <w:rPr>
          <w:szCs w:val="24"/>
          <w:rtl/>
        </w:rPr>
      </w:pPr>
      <w:r>
        <w:rPr>
          <w:szCs w:val="24"/>
        </w:rPr>
        <w:t>79.</w:t>
      </w:r>
      <w:r>
        <w:rPr>
          <w:szCs w:val="24"/>
        </w:rPr>
        <w:tab/>
      </w:r>
      <w:r>
        <w:rPr>
          <w:szCs w:val="24"/>
          <w:lang w:val="es-ES_tradnl"/>
        </w:rPr>
        <w:t>En H.C.J. 10026/01</w:t>
      </w:r>
      <w:r>
        <w:rPr>
          <w:i/>
          <w:szCs w:val="24"/>
          <w:lang w:val="es-ES_tradnl"/>
        </w:rPr>
        <w:t xml:space="preserve"> Adalah c. el Primer Ministro de Israel et. al</w:t>
      </w:r>
      <w:r>
        <w:rPr>
          <w:szCs w:val="24"/>
          <w:lang w:val="es-ES_tradnl"/>
        </w:rPr>
        <w:t>. (2 de abril de 2003</w:t>
      </w:r>
      <w:r>
        <w:rPr>
          <w:i/>
          <w:szCs w:val="24"/>
          <w:lang w:val="es-ES_tradnl"/>
        </w:rPr>
        <w:t xml:space="preserve">) </w:t>
      </w:r>
      <w:r>
        <w:rPr>
          <w:szCs w:val="24"/>
          <w:lang w:val="es-ES_tradnl"/>
        </w:rPr>
        <w:t xml:space="preserve">el Tribunal consideró la cuestión del nombramiento y representación de los árabes, concretamente mujeres, en los consejos de administración de empresas estatales, puesto que el demandante reclamaba que el ritmo de aplicación de la </w:t>
      </w:r>
      <w:r>
        <w:rPr>
          <w:i/>
          <w:szCs w:val="24"/>
          <w:lang w:val="es-ES_tradnl"/>
        </w:rPr>
        <w:t>Ley de empresas del Estado</w:t>
      </w:r>
      <w:r>
        <w:rPr>
          <w:szCs w:val="24"/>
          <w:lang w:val="es-ES_tradnl"/>
        </w:rPr>
        <w:t xml:space="preserve"> por el Gobierno no era satisfactorio ni concordaba con su obligación.</w:t>
      </w:r>
      <w:r>
        <w:rPr>
          <w:szCs w:val="24"/>
        </w:rPr>
        <w:t xml:space="preserve"> </w:t>
      </w:r>
      <w:r>
        <w:rPr>
          <w:szCs w:val="24"/>
          <w:lang w:val="es-ES_tradnl"/>
        </w:rPr>
        <w:t>El Tribunal desestimó la petición, concluyendo que la aplicación paulatina de la Ley es inevitable y señaló que el propio demandante estaba de acuerdo en que no se puede obtener una representación adecuada de la población árabe en dos o incluso varios años.</w:t>
      </w:r>
      <w:r>
        <w:rPr>
          <w:szCs w:val="24"/>
        </w:rPr>
        <w:t xml:space="preserve"> </w:t>
      </w:r>
      <w:r>
        <w:rPr>
          <w:szCs w:val="24"/>
          <w:lang w:val="es-ES_tradnl"/>
        </w:rPr>
        <w:t>El Tribunal sostuvo además que los esfuerzos del Gobierno por aplicar la Ley y cumplir sus obligaciones son suficientes.</w:t>
      </w:r>
    </w:p>
    <w:p w:rsidR="00F92819" w:rsidRDefault="00F92819">
      <w:pPr>
        <w:pStyle w:val="SingleTxtG"/>
        <w:rPr>
          <w:szCs w:val="24"/>
        </w:rPr>
      </w:pPr>
      <w:r>
        <w:rPr>
          <w:szCs w:val="24"/>
        </w:rPr>
        <w:t>80.</w:t>
      </w:r>
      <w:r>
        <w:rPr>
          <w:szCs w:val="24"/>
        </w:rPr>
        <w:tab/>
      </w:r>
      <w:r>
        <w:rPr>
          <w:szCs w:val="24"/>
          <w:lang w:val="es-ES_tradnl"/>
        </w:rPr>
        <w:t xml:space="preserve">El 27 de junio de 2007 el Tribunal del Distrito de Jerusalén falló que no se podía descalificar a un ciudadano árabe para ser nombrado miembro de la junta de directores de Keren Kayemeth Le’Israel (KKL), el Fondo Nacional Judío, que es una entidad dual dedicada al principio de igualdad (OP 5299/06 </w:t>
      </w:r>
      <w:r>
        <w:rPr>
          <w:i/>
          <w:szCs w:val="24"/>
          <w:lang w:val="es-ES_tradnl"/>
        </w:rPr>
        <w:t>Uri Bank c. Keren Kayemeth Le’Israel KKL</w:t>
      </w:r>
      <w:r>
        <w:rPr>
          <w:szCs w:val="24"/>
          <w:lang w:val="es-ES_tradnl"/>
        </w:rPr>
        <w:t>)</w:t>
      </w:r>
      <w:r>
        <w:rPr>
          <w:i/>
          <w:szCs w:val="24"/>
          <w:lang w:val="es-ES_tradnl"/>
        </w:rPr>
        <w:t>.</w:t>
      </w:r>
      <w:r>
        <w:rPr>
          <w:szCs w:val="24"/>
        </w:rPr>
        <w:t xml:space="preserve"> </w:t>
      </w:r>
      <w:r>
        <w:rPr>
          <w:szCs w:val="24"/>
          <w:lang w:val="es-ES_tradnl"/>
        </w:rPr>
        <w:t xml:space="preserve">Los demandantes pedían al Tribunal que anulara la elección de los nuevos directores de KKL que se había hecho el 13 de julio de </w:t>
      </w:r>
      <w:smartTag w:uri="urn:schemas-microsoft-com:office:smarttags" w:element="metricconverter">
        <w:smartTagPr>
          <w:attr w:name="ProductID" w:val="2006, a"/>
        </w:smartTagPr>
        <w:r>
          <w:rPr>
            <w:szCs w:val="24"/>
            <w:lang w:val="es-ES_tradnl"/>
          </w:rPr>
          <w:t>2006, a</w:t>
        </w:r>
      </w:smartTag>
      <w:r>
        <w:rPr>
          <w:szCs w:val="24"/>
          <w:lang w:val="es-ES_tradnl"/>
        </w:rPr>
        <w:t xml:space="preserve"> causa de defectos fundamentales del proceso, y la elección del Sr. Radi Sfori, árabe israelí elegido como representante del Partido Meretz.</w:t>
      </w:r>
    </w:p>
    <w:p w:rsidR="00F92819" w:rsidRDefault="00F92819">
      <w:pPr>
        <w:pStyle w:val="SingleTxtG"/>
        <w:rPr>
          <w:szCs w:val="24"/>
        </w:rPr>
      </w:pPr>
      <w:r>
        <w:rPr>
          <w:szCs w:val="24"/>
          <w:lang w:val="es-ES_tradnl"/>
        </w:rPr>
        <w:t xml:space="preserve">El Tribunal consideró si el proceso del nombramiento de los nuevos directores de KKL se ajustaba a la </w:t>
      </w:r>
      <w:r>
        <w:rPr>
          <w:i/>
          <w:szCs w:val="24"/>
          <w:lang w:val="es-ES_tradnl"/>
        </w:rPr>
        <w:t xml:space="preserve">Ley de sociedades </w:t>
      </w:r>
      <w:r>
        <w:rPr>
          <w:szCs w:val="24"/>
          <w:lang w:val="es-ES_tradnl"/>
        </w:rPr>
        <w:t>de 5759/1999, y si un árabe israelí podía ser nombrado director de una empresa que se define como “fideicomisaria del pueblo judío en la tierra de Israel”.</w:t>
      </w:r>
      <w:r>
        <w:rPr>
          <w:szCs w:val="24"/>
        </w:rPr>
        <w:t xml:space="preserve"> </w:t>
      </w:r>
      <w:r>
        <w:rPr>
          <w:szCs w:val="24"/>
          <w:lang w:val="es-ES_tradnl"/>
        </w:rPr>
        <w:t>El Tribunal determinó que el proceso de nombramiento no era defectuoso y se negó a anular las elecciones.</w:t>
      </w:r>
      <w:r>
        <w:rPr>
          <w:szCs w:val="24"/>
        </w:rPr>
        <w:t xml:space="preserve"> </w:t>
      </w:r>
      <w:r>
        <w:rPr>
          <w:szCs w:val="24"/>
          <w:lang w:val="es-ES_tradnl"/>
        </w:rPr>
        <w:t>Sostuvo que las decisiones anteriores del Tribunal reconocían el deber de toda autoridad en Israel de tratar igualmente a todos los diferentes individuos del Estado.</w:t>
      </w:r>
      <w:r>
        <w:rPr>
          <w:szCs w:val="24"/>
        </w:rPr>
        <w:t xml:space="preserve"> </w:t>
      </w:r>
      <w:r>
        <w:rPr>
          <w:szCs w:val="24"/>
          <w:lang w:val="es-ES_tradnl"/>
        </w:rPr>
        <w:t>KKL, aunque era una compañía privada, debía aplicar el principio de la igualdad, puesto que era una entidad dual.</w:t>
      </w:r>
    </w:p>
    <w:p w:rsidR="00F92819" w:rsidRDefault="00F92819">
      <w:pPr>
        <w:pStyle w:val="SingleTxtG"/>
        <w:rPr>
          <w:szCs w:val="24"/>
        </w:rPr>
      </w:pPr>
      <w:r w:rsidRPr="00B6114A">
        <w:rPr>
          <w:szCs w:val="24"/>
        </w:rPr>
        <w:t>81.</w:t>
      </w:r>
      <w:r w:rsidRPr="00B6114A">
        <w:rPr>
          <w:szCs w:val="24"/>
        </w:rPr>
        <w:tab/>
      </w:r>
      <w:r>
        <w:rPr>
          <w:b/>
          <w:szCs w:val="24"/>
          <w:lang w:val="es-ES_tradnl"/>
        </w:rPr>
        <w:t>El poder judicial.</w:t>
      </w:r>
      <w:r>
        <w:rPr>
          <w:b/>
          <w:szCs w:val="24"/>
        </w:rPr>
        <w:t xml:space="preserve"> </w:t>
      </w:r>
      <w:r>
        <w:rPr>
          <w:szCs w:val="24"/>
          <w:lang w:val="es-ES_tradnl"/>
        </w:rPr>
        <w:t>En los últimos 10 años ha habido un aumento considerable del número de ciudadanos árabes que trabajan en el sistema judicial israelí,</w:t>
      </w:r>
      <w:r>
        <w:rPr>
          <w:szCs w:val="24"/>
        </w:rPr>
        <w:t xml:space="preserve"> </w:t>
      </w:r>
      <w:r>
        <w:rPr>
          <w:szCs w:val="24"/>
          <w:lang w:val="es-ES_tradnl"/>
        </w:rPr>
        <w:t>lo cual se debe en gran medida al aumento de los nombramientos de miembros de poblaciones minoritarias en el Ministerio de Justicia.</w:t>
      </w:r>
      <w:r>
        <w:rPr>
          <w:szCs w:val="24"/>
        </w:rPr>
        <w:t xml:space="preserve"> </w:t>
      </w:r>
      <w:r>
        <w:rPr>
          <w:szCs w:val="24"/>
          <w:lang w:val="es-ES_tradnl"/>
        </w:rPr>
        <w:t>Actualmente, 38 de 576 jueces pertenecen a poblaciones minoritarias y la mitad de ellos han sido nombrados en los últimos 10 años.</w:t>
      </w:r>
      <w:r>
        <w:rPr>
          <w:szCs w:val="24"/>
        </w:rPr>
        <w:t xml:space="preserve"> La</w:t>
      </w:r>
      <w:r>
        <w:rPr>
          <w:szCs w:val="24"/>
          <w:lang w:val="es-ES_tradnl"/>
        </w:rPr>
        <w:t xml:space="preserve"> distribución de nombramientos dentro de la población árabe es como sigue: 14 jueces musulmanes (8 nombrados en los últimos 10 años), 17 jueces cristianos (12 nombrados en los últimos 10 años) y 7 jueces drusos (5 nombrados en los últimos 10 años).</w:t>
      </w:r>
    </w:p>
    <w:p w:rsidR="00F92819" w:rsidRDefault="00F92819">
      <w:pPr>
        <w:pStyle w:val="SingleTxtG"/>
        <w:rPr>
          <w:szCs w:val="24"/>
        </w:rPr>
      </w:pPr>
      <w:r w:rsidRPr="00B6114A">
        <w:rPr>
          <w:szCs w:val="24"/>
        </w:rPr>
        <w:t>82.</w:t>
      </w:r>
      <w:r w:rsidRPr="00B6114A">
        <w:rPr>
          <w:szCs w:val="24"/>
        </w:rPr>
        <w:tab/>
      </w:r>
      <w:r>
        <w:rPr>
          <w:b/>
          <w:szCs w:val="24"/>
          <w:lang w:val="es-ES_tradnl"/>
        </w:rPr>
        <w:t>Condiciones de empleo de las minorías en la administración pública</w:t>
      </w:r>
      <w:r>
        <w:rPr>
          <w:szCs w:val="24"/>
          <w:lang w:val="es-ES_tradnl"/>
        </w:rPr>
        <w:t>.</w:t>
      </w:r>
      <w:r>
        <w:rPr>
          <w:szCs w:val="24"/>
        </w:rPr>
        <w:t xml:space="preserve"> </w:t>
      </w:r>
      <w:r>
        <w:rPr>
          <w:szCs w:val="24"/>
          <w:lang w:val="es-ES_tradnl"/>
        </w:rPr>
        <w:t xml:space="preserve">Además de aumentar la representación de grupos minoritarios, la Comisión de </w:t>
      </w:r>
      <w:smartTag w:uri="urn:schemas-microsoft-com:office:smarttags" w:element="PersonName">
        <w:smartTagPr>
          <w:attr w:name="ProductID" w:val="la Administraci￳n P￺blica"/>
        </w:smartTagPr>
        <w:r>
          <w:rPr>
            <w:szCs w:val="24"/>
            <w:lang w:val="es-ES_tradnl"/>
          </w:rPr>
          <w:t>la Administración Pública</w:t>
        </w:r>
      </w:smartTag>
      <w:r>
        <w:rPr>
          <w:szCs w:val="24"/>
          <w:lang w:val="es-ES_tradnl"/>
        </w:rPr>
        <w:t xml:space="preserve"> también ha adoptado medidas para reflejar las distintas necesidades y los diversos estilos de vida de los empleados minoritarios en el trabajo.</w:t>
      </w:r>
      <w:r>
        <w:rPr>
          <w:szCs w:val="24"/>
        </w:rPr>
        <w:t xml:space="preserve"> </w:t>
      </w:r>
      <w:r>
        <w:rPr>
          <w:szCs w:val="24"/>
          <w:lang w:val="es-ES_tradnl"/>
        </w:rPr>
        <w:t>Se conceden días festivos o de vacaciones con arreglo a las festividades religiosas pertinentes. Así, los empleados musulmanes tienen derecho a un día de asueto durante el Ramadán, y los cristianos pueden elegir el domingo como su día libre.</w:t>
      </w:r>
    </w:p>
    <w:p w:rsidR="00F92819" w:rsidRDefault="00F92819">
      <w:pPr>
        <w:pStyle w:val="SingleTxtG"/>
        <w:rPr>
          <w:szCs w:val="24"/>
          <w:rtl/>
        </w:rPr>
      </w:pPr>
      <w:r>
        <w:rPr>
          <w:szCs w:val="24"/>
        </w:rPr>
        <w:t>83.</w:t>
      </w:r>
      <w:r>
        <w:rPr>
          <w:szCs w:val="24"/>
        </w:rPr>
        <w:tab/>
      </w:r>
      <w:r>
        <w:rPr>
          <w:szCs w:val="24"/>
          <w:lang w:val="es-ES_tradnl"/>
        </w:rPr>
        <w:t>Además, los miembros de la población árabe empleados en la administración pública disfrutan de una ventaja única, puesto que el Estado contribuye al pago del alquiler de sus apartamentos en las proximidades del lugar de trabajo y financia los gastos semanales de desplazamiento al trabajo.</w:t>
      </w:r>
    </w:p>
    <w:p w:rsidR="00F92819" w:rsidRDefault="00F92819">
      <w:pPr>
        <w:pStyle w:val="H23G"/>
        <w:rPr>
          <w:szCs w:val="24"/>
        </w:rPr>
      </w:pPr>
      <w:r>
        <w:rPr>
          <w:szCs w:val="24"/>
        </w:rPr>
        <w:tab/>
      </w:r>
      <w:r>
        <w:rPr>
          <w:szCs w:val="24"/>
        </w:rPr>
        <w:tab/>
      </w:r>
      <w:r>
        <w:rPr>
          <w:szCs w:val="24"/>
          <w:lang w:val="es-ES_tradnl"/>
        </w:rPr>
        <w:t>Sociedades cooperativas árabes</w:t>
      </w:r>
    </w:p>
    <w:p w:rsidR="00F92819" w:rsidRDefault="00F92819">
      <w:pPr>
        <w:pStyle w:val="SingleTxtG"/>
        <w:rPr>
          <w:szCs w:val="24"/>
        </w:rPr>
      </w:pPr>
      <w:r w:rsidRPr="00B6114A">
        <w:rPr>
          <w:szCs w:val="24"/>
        </w:rPr>
        <w:t>84.</w:t>
      </w:r>
      <w:r w:rsidRPr="00B6114A">
        <w:rPr>
          <w:szCs w:val="24"/>
        </w:rPr>
        <w:tab/>
      </w:r>
      <w:r>
        <w:rPr>
          <w:b/>
          <w:szCs w:val="24"/>
          <w:lang w:val="es-ES_tradnl"/>
        </w:rPr>
        <w:t>Todas las ONG israelíes reciben trato igual</w:t>
      </w:r>
      <w:r>
        <w:rPr>
          <w:szCs w:val="24"/>
          <w:lang w:val="es-ES_tradnl"/>
        </w:rPr>
        <w:t>.</w:t>
      </w:r>
      <w:r>
        <w:rPr>
          <w:szCs w:val="24"/>
        </w:rPr>
        <w:t xml:space="preserve"> </w:t>
      </w:r>
      <w:r>
        <w:rPr>
          <w:szCs w:val="24"/>
          <w:lang w:val="es-ES_tradnl"/>
        </w:rPr>
        <w:t>En 2007 el Registro de Sociedades Cooperativas publicó en su sitio web un documento en árabe titulado “La debida administración de las sociedades cooperativas”, que es una traducción de un documento en hebreo publicado por primera vez en octubre de 2002. Además, el Registro emplea un abogado árabe que tramita las solicitudes en árabe, un abogado contratista que habla el árabe y se encarga especialmente del registro y dos contadores árabes que examinan los expedientes de las ONG.</w:t>
      </w:r>
      <w:r>
        <w:rPr>
          <w:szCs w:val="24"/>
        </w:rPr>
        <w:t xml:space="preserve"> </w:t>
      </w:r>
      <w:r>
        <w:rPr>
          <w:szCs w:val="24"/>
          <w:lang w:val="es-ES_tradnl"/>
        </w:rPr>
        <w:t>El Registro y sus representantes participaron en varias reuniones organizadas por representantes árabes y asistieron a conferencias sobre los diversos requisitos del Registro.</w:t>
      </w:r>
    </w:p>
    <w:p w:rsidR="00F92819" w:rsidRDefault="00F92819">
      <w:pPr>
        <w:pStyle w:val="SingleTxtG"/>
        <w:rPr>
          <w:szCs w:val="24"/>
        </w:rPr>
      </w:pPr>
      <w:r w:rsidRPr="00B6114A">
        <w:rPr>
          <w:szCs w:val="24"/>
        </w:rPr>
        <w:t>85.</w:t>
      </w:r>
      <w:r w:rsidRPr="00B6114A">
        <w:rPr>
          <w:szCs w:val="24"/>
        </w:rPr>
        <w:tab/>
      </w:r>
      <w:r>
        <w:rPr>
          <w:b/>
          <w:szCs w:val="24"/>
          <w:lang w:val="es-ES_tradnl"/>
        </w:rPr>
        <w:t>Asignación de tierras.</w:t>
      </w:r>
      <w:r>
        <w:rPr>
          <w:b/>
          <w:szCs w:val="24"/>
        </w:rPr>
        <w:t xml:space="preserve"> </w:t>
      </w:r>
      <w:r>
        <w:rPr>
          <w:szCs w:val="24"/>
          <w:lang w:val="es-ES_tradnl"/>
        </w:rPr>
        <w:t xml:space="preserve">El fallo del Tribunal Supremo en H.C.J. 6698/95 </w:t>
      </w:r>
      <w:r>
        <w:rPr>
          <w:i/>
          <w:szCs w:val="24"/>
          <w:lang w:val="es-ES_tradnl"/>
        </w:rPr>
        <w:t>Ka’adan c. la Administración de Tierras de Israel (ILA)</w:t>
      </w:r>
      <w:r>
        <w:rPr>
          <w:szCs w:val="24"/>
          <w:lang w:val="es-ES_tradnl"/>
        </w:rPr>
        <w:t xml:space="preserve"> se examinó en el informe periódico anterior de Israel.</w:t>
      </w:r>
      <w:r>
        <w:rPr>
          <w:szCs w:val="24"/>
        </w:rPr>
        <w:t xml:space="preserve"> </w:t>
      </w:r>
      <w:r>
        <w:rPr>
          <w:szCs w:val="24"/>
          <w:lang w:val="es-ES_tradnl"/>
        </w:rPr>
        <w:t xml:space="preserve">En respuesta a ese fallo, la ILA, en cooperación con </w:t>
      </w:r>
      <w:smartTag w:uri="urn:schemas-microsoft-com:office:smarttags" w:element="PersonName">
        <w:smartTagPr>
          <w:attr w:name="ProductID" w:val="la Agencia Jud￭a"/>
        </w:smartTagPr>
        <w:r>
          <w:rPr>
            <w:szCs w:val="24"/>
            <w:lang w:val="es-ES_tradnl"/>
          </w:rPr>
          <w:t>la Agencia Judía</w:t>
        </w:r>
      </w:smartTag>
      <w:r>
        <w:rPr>
          <w:szCs w:val="24"/>
          <w:lang w:val="es-ES_tradnl"/>
        </w:rPr>
        <w:t xml:space="preserve"> para Israel, emitió nuevos criterios de admisión que debían aplicarse uniformemente a todos los solicitantes que quisieran mudarse a pequeños asentamientos comunales establecidos en tierras del Estado.</w:t>
      </w:r>
      <w:r>
        <w:rPr>
          <w:szCs w:val="24"/>
        </w:rPr>
        <w:t xml:space="preserve"> </w:t>
      </w:r>
      <w:r>
        <w:rPr>
          <w:szCs w:val="24"/>
          <w:lang w:val="es-ES_tradnl"/>
        </w:rPr>
        <w:t>Estos criterios establecen que los solicitantes deben tener más de 20 años, presentar la solicitud individualmente o como pareja (incluidas las familias), tener suficientes recursos económicos y ser aptos para un régimen de asentamiento comunal reducido.</w:t>
      </w:r>
    </w:p>
    <w:p w:rsidR="00F92819" w:rsidRDefault="00F92819">
      <w:pPr>
        <w:pStyle w:val="SingleTxtG"/>
        <w:rPr>
          <w:szCs w:val="24"/>
        </w:rPr>
      </w:pPr>
      <w:r>
        <w:rPr>
          <w:szCs w:val="24"/>
          <w:lang w:val="es-ES_tradnl"/>
        </w:rPr>
        <w:t>Si el comité rechaza una solicitud de admisión, los motivos deben basarse en una opinión objetiva, profesional e independiente.</w:t>
      </w:r>
      <w:r>
        <w:rPr>
          <w:szCs w:val="24"/>
        </w:rPr>
        <w:t xml:space="preserve"> </w:t>
      </w:r>
      <w:r>
        <w:rPr>
          <w:szCs w:val="24"/>
          <w:lang w:val="es-ES_tradnl"/>
        </w:rPr>
        <w:t>Todos los criterios de admisión deben ser evaluados previamente por la Administración y publicados.</w:t>
      </w:r>
    </w:p>
    <w:p w:rsidR="00F92819" w:rsidRDefault="00F92819">
      <w:pPr>
        <w:pStyle w:val="SingleTxtG"/>
        <w:rPr>
          <w:szCs w:val="24"/>
        </w:rPr>
      </w:pPr>
      <w:r>
        <w:rPr>
          <w:szCs w:val="24"/>
          <w:lang w:val="es-ES_tradnl"/>
        </w:rPr>
        <w:t>Las decisiones del comité están sujetas al examen de un Comité de Apelaciones Públicas, que debe ser presidido por un juez retirado.</w:t>
      </w:r>
      <w:r>
        <w:rPr>
          <w:szCs w:val="24"/>
        </w:rPr>
        <w:t xml:space="preserve"> </w:t>
      </w:r>
      <w:r>
        <w:rPr>
          <w:szCs w:val="24"/>
          <w:lang w:val="es-ES_tradnl"/>
        </w:rPr>
        <w:t>Los formularios de solicitud y los reglamentos del Comité de Apelaciones deben estar a disposición del público.</w:t>
      </w:r>
    </w:p>
    <w:p w:rsidR="00F92819" w:rsidRDefault="00F92819">
      <w:pPr>
        <w:pStyle w:val="SingleTxtG"/>
        <w:rPr>
          <w:szCs w:val="24"/>
        </w:rPr>
      </w:pPr>
      <w:r>
        <w:rPr>
          <w:szCs w:val="24"/>
        </w:rPr>
        <w:t>86.</w:t>
      </w:r>
      <w:r>
        <w:rPr>
          <w:szCs w:val="24"/>
        </w:rPr>
        <w:tab/>
      </w:r>
      <w:r>
        <w:rPr>
          <w:szCs w:val="24"/>
          <w:lang w:val="es-ES_tradnl"/>
        </w:rPr>
        <w:t>El 22 de enero de 2007 el Tribunal Superior de Justicia había rechazado la petición de “la Hasolelim” Rural Community Association Inc., cuyo expediente se abrió contra la decisión de la Administración de Tierras de Israel (ILA) de 2 de marzo de 2006, de asignar una parcela para residencia a Ibrahim y Hilda Dwiri en el barrio de Kibbutz Hasolelim (“Nof-Alonim”) a pesar del requisito previo del servicio militar para la admisión en el vecindario.</w:t>
      </w:r>
    </w:p>
    <w:p w:rsidR="00F92819" w:rsidRDefault="00F92819">
      <w:pPr>
        <w:pStyle w:val="SingleTxtG"/>
        <w:rPr>
          <w:szCs w:val="24"/>
        </w:rPr>
      </w:pPr>
      <w:r>
        <w:rPr>
          <w:szCs w:val="24"/>
          <w:lang w:val="es-ES_tradnl"/>
        </w:rPr>
        <w:t>El Tribunal explicó en la decisión que el Consejo de Tierras de Israel es el organismo autorizado para establecer la política de tierras de Israel y la ILA es el órgano autorizado para aplicar dicha política y supervisar su ejecución.</w:t>
      </w:r>
    </w:p>
    <w:p w:rsidR="00F92819" w:rsidRDefault="00F92819">
      <w:pPr>
        <w:pStyle w:val="SingleTxtG"/>
        <w:rPr>
          <w:szCs w:val="24"/>
        </w:rPr>
      </w:pPr>
      <w:r>
        <w:rPr>
          <w:szCs w:val="24"/>
          <w:lang w:val="es-ES_tradnl"/>
        </w:rPr>
        <w:t xml:space="preserve">El Tribunal había establecido que a la vista de lo anterior no era necesario atender las alegaciones de los demandantes con respecto a las justificaciones para rechazar la admisión de </w:t>
      </w:r>
      <w:smartTag w:uri="urn:schemas-microsoft-com:office:smarttags" w:element="PersonName">
        <w:smartTagPr>
          <w:attr w:name="ProductID" w:val="la familia Dwiri"/>
        </w:smartTagPr>
        <w:r>
          <w:rPr>
            <w:szCs w:val="24"/>
            <w:lang w:val="es-ES_tradnl"/>
          </w:rPr>
          <w:t>la familia Dwiri</w:t>
        </w:r>
      </w:smartTag>
      <w:r>
        <w:rPr>
          <w:szCs w:val="24"/>
          <w:lang w:val="es-ES_tradnl"/>
        </w:rPr>
        <w:t>, pero no obstante recalcó la extraordinaria severidad de la diferenciación según la nacionalidad.</w:t>
      </w:r>
      <w:r>
        <w:rPr>
          <w:szCs w:val="24"/>
        </w:rPr>
        <w:t xml:space="preserve"> </w:t>
      </w:r>
      <w:r>
        <w:rPr>
          <w:szCs w:val="24"/>
          <w:lang w:val="es-ES_tradnl"/>
        </w:rPr>
        <w:t xml:space="preserve">(H.C.J. 7574/06 </w:t>
      </w:r>
      <w:r>
        <w:rPr>
          <w:i/>
          <w:szCs w:val="24"/>
          <w:lang w:val="es-ES_tradnl"/>
        </w:rPr>
        <w:t>“La Hasolelim” Rural Community Association Inc. c. la Administración de Tierras de Israel</w:t>
      </w:r>
      <w:r>
        <w:rPr>
          <w:szCs w:val="24"/>
          <w:lang w:val="es-ES_tradnl"/>
        </w:rPr>
        <w:t>).</w:t>
      </w:r>
    </w:p>
    <w:p w:rsidR="00F92819" w:rsidRDefault="00F92819">
      <w:pPr>
        <w:pStyle w:val="H23G"/>
        <w:rPr>
          <w:szCs w:val="24"/>
          <w:rtl/>
          <w:lang w:bidi="he-IL"/>
        </w:rPr>
      </w:pPr>
      <w:r>
        <w:rPr>
          <w:szCs w:val="24"/>
        </w:rPr>
        <w:tab/>
      </w:r>
      <w:r>
        <w:rPr>
          <w:szCs w:val="24"/>
        </w:rPr>
        <w:tab/>
      </w:r>
      <w:r>
        <w:rPr>
          <w:szCs w:val="24"/>
          <w:lang w:val="es-ES_tradnl"/>
        </w:rPr>
        <w:t>Igualdad de derechos para las personas con discapacidad</w:t>
      </w:r>
    </w:p>
    <w:p w:rsidR="00F92819" w:rsidRDefault="00F92819">
      <w:pPr>
        <w:pStyle w:val="SingleTxtG"/>
        <w:rPr>
          <w:szCs w:val="24"/>
        </w:rPr>
      </w:pPr>
      <w:r>
        <w:rPr>
          <w:szCs w:val="24"/>
        </w:rPr>
        <w:t>87.</w:t>
      </w:r>
      <w:r>
        <w:rPr>
          <w:szCs w:val="24"/>
        </w:rPr>
        <w:tab/>
      </w:r>
      <w:r>
        <w:rPr>
          <w:szCs w:val="24"/>
          <w:lang w:val="es-ES_tradnl"/>
        </w:rPr>
        <w:t>El Estado de Israel firmó la Convención sobre los derechos de las personas con discapacidad el 31 de marzo de 2007, como expresión de su dedicación al adelanto y la protección de los derechos de las personas con discapacidad.</w:t>
      </w:r>
      <w:r>
        <w:rPr>
          <w:szCs w:val="24"/>
        </w:rPr>
        <w:t xml:space="preserve"> </w:t>
      </w:r>
      <w:r>
        <w:rPr>
          <w:szCs w:val="24"/>
          <w:lang w:val="es-ES_tradnl"/>
        </w:rPr>
        <w:t>Los Ministerios de Justicia y de Asuntos Exteriores están estudiando actualmente las medidas necesarias para la ratificación de la Convención, incluidas las enmiendas legislativas requeridas.</w:t>
      </w:r>
    </w:p>
    <w:p w:rsidR="00F92819" w:rsidRDefault="00F92819">
      <w:pPr>
        <w:pStyle w:val="SingleTxtG"/>
        <w:rPr>
          <w:szCs w:val="24"/>
        </w:rPr>
      </w:pPr>
      <w:r w:rsidRPr="00B6114A">
        <w:rPr>
          <w:szCs w:val="24"/>
        </w:rPr>
        <w:t>88.</w:t>
      </w:r>
      <w:r w:rsidRPr="00B6114A">
        <w:rPr>
          <w:szCs w:val="24"/>
        </w:rPr>
        <w:tab/>
      </w:r>
      <w:r>
        <w:rPr>
          <w:b/>
          <w:szCs w:val="24"/>
          <w:lang w:val="es-ES_tradnl"/>
        </w:rPr>
        <w:t>Comisión de igualdad de derechos de las personas con discapacidad.</w:t>
      </w:r>
      <w:r>
        <w:rPr>
          <w:szCs w:val="24"/>
        </w:rPr>
        <w:t xml:space="preserve"> </w:t>
      </w:r>
      <w:r>
        <w:rPr>
          <w:szCs w:val="24"/>
          <w:lang w:val="es-ES_tradnl"/>
        </w:rPr>
        <w:t>Después de la presentación del informe periódico anterior de Israel, se creó la Comisión de igualdad de derechos de las personas con discapacidad (en adelante:</w:t>
      </w:r>
      <w:r>
        <w:rPr>
          <w:szCs w:val="24"/>
        </w:rPr>
        <w:t xml:space="preserve"> </w:t>
      </w:r>
      <w:r>
        <w:rPr>
          <w:szCs w:val="24"/>
          <w:lang w:val="es-ES_tradnl"/>
        </w:rPr>
        <w:t>“la Comisión”), se ampliaron sus facultades y se amplió considerablemente el número de empleados.</w:t>
      </w:r>
      <w:r>
        <w:rPr>
          <w:szCs w:val="24"/>
        </w:rPr>
        <w:t xml:space="preserve"> </w:t>
      </w:r>
      <w:r>
        <w:rPr>
          <w:szCs w:val="24"/>
          <w:lang w:val="es-ES_tradnl"/>
        </w:rPr>
        <w:t>La Comisión cuenta con tres servicios que se ocupan respectivamente</w:t>
      </w:r>
      <w:r>
        <w:rPr>
          <w:szCs w:val="24"/>
        </w:rPr>
        <w:t xml:space="preserve"> </w:t>
      </w:r>
      <w:r>
        <w:rPr>
          <w:szCs w:val="24"/>
          <w:lang w:val="es-ES_tradnl"/>
        </w:rPr>
        <w:t>de la accesibilidad, la integración en la sociedad y los asuntos jurídicos.</w:t>
      </w:r>
      <w:r>
        <w:rPr>
          <w:szCs w:val="24"/>
        </w:rPr>
        <w:t xml:space="preserve"> </w:t>
      </w:r>
      <w:r>
        <w:rPr>
          <w:szCs w:val="24"/>
          <w:lang w:val="es-ES_tradnl"/>
        </w:rPr>
        <w:t>El trabajo de la Comisión tiene por objeto promover políticas públicas sobre los derechos de las personas con discapacidad además de prestar asistencia a las personas que tienen dificultades.</w:t>
      </w:r>
      <w:r>
        <w:rPr>
          <w:szCs w:val="24"/>
        </w:rPr>
        <w:t xml:space="preserve"> </w:t>
      </w:r>
      <w:r>
        <w:rPr>
          <w:szCs w:val="24"/>
          <w:lang w:val="es-ES_tradnl"/>
        </w:rPr>
        <w:t>Paralelamente a la Comisión funciona un comité directivo compuesto principalmente de personas con diferentes discapacidades que representan a las principales organizaciones que actúan en esta esfera.</w:t>
      </w:r>
    </w:p>
    <w:p w:rsidR="00F92819" w:rsidRDefault="00F92819">
      <w:pPr>
        <w:pStyle w:val="SingleTxtG"/>
        <w:rPr>
          <w:szCs w:val="24"/>
        </w:rPr>
      </w:pPr>
      <w:r w:rsidRPr="00B6114A">
        <w:rPr>
          <w:szCs w:val="24"/>
        </w:rPr>
        <w:t>89.</w:t>
      </w:r>
      <w:r w:rsidRPr="00B6114A">
        <w:rPr>
          <w:szCs w:val="24"/>
        </w:rPr>
        <w:tab/>
      </w:r>
      <w:r>
        <w:rPr>
          <w:b/>
          <w:szCs w:val="24"/>
          <w:lang w:val="es-ES_tradnl"/>
        </w:rPr>
        <w:t>Legislación.</w:t>
      </w:r>
      <w:r>
        <w:rPr>
          <w:b/>
          <w:szCs w:val="24"/>
        </w:rPr>
        <w:t xml:space="preserve"> </w:t>
      </w:r>
      <w:r>
        <w:rPr>
          <w:szCs w:val="24"/>
          <w:lang w:val="es-ES_tradnl"/>
        </w:rPr>
        <w:t xml:space="preserve">Como ya se menciona detalladamente en el informe anterior de Israel, la legislación básica en este ámbito es la </w:t>
      </w:r>
      <w:r>
        <w:rPr>
          <w:i/>
          <w:szCs w:val="24"/>
          <w:lang w:val="es-ES_tradnl"/>
        </w:rPr>
        <w:t>Ley de igualdad de derechos de las personas con discapacidad</w:t>
      </w:r>
      <w:r>
        <w:rPr>
          <w:szCs w:val="24"/>
          <w:lang w:val="es-ES_tradnl"/>
        </w:rPr>
        <w:t xml:space="preserve"> aprobada por el Knesset el 23 de febrero de 1998, que establecía por primera vez el derecho a la igualdad y a la dignidad humana de las personas con discapacidad y creaba un nuevo sistema de obligaciones del Estado de Israel con respecto a sus residentes discapacitados.</w:t>
      </w:r>
      <w:r>
        <w:rPr>
          <w:szCs w:val="24"/>
        </w:rPr>
        <w:t xml:space="preserve"> </w:t>
      </w:r>
      <w:r>
        <w:rPr>
          <w:szCs w:val="24"/>
          <w:lang w:val="es-ES_tradnl"/>
        </w:rPr>
        <w:t xml:space="preserve">Además de los capítulos sobre los principios fundamentales y generales, la </w:t>
      </w:r>
      <w:r>
        <w:rPr>
          <w:i/>
          <w:szCs w:val="24"/>
          <w:lang w:val="es-ES_tradnl"/>
        </w:rPr>
        <w:t>Ley de igualdad de derechos de las personas con discapacidad</w:t>
      </w:r>
      <w:r>
        <w:rPr>
          <w:szCs w:val="24"/>
          <w:lang w:val="es-ES_tradnl"/>
        </w:rPr>
        <w:t xml:space="preserve"> cuenta con disposiciones sobre empleo, servicios de transporte público y la creación de la Comisión de igualdad de derechos de las personas con discapacidad.</w:t>
      </w:r>
      <w:r>
        <w:rPr>
          <w:szCs w:val="24"/>
        </w:rPr>
        <w:t xml:space="preserve"> </w:t>
      </w:r>
      <w:r>
        <w:rPr>
          <w:szCs w:val="24"/>
          <w:lang w:val="es-ES_tradnl"/>
        </w:rPr>
        <w:t xml:space="preserve">La Ley se enmendó en 2004 para prorrogar hasta el 2010 el período de aplicación de la disposición provisional que exigía una representación adecuada de las personas con discapacidad. </w:t>
      </w:r>
    </w:p>
    <w:p w:rsidR="00F92819" w:rsidRDefault="00F92819">
      <w:pPr>
        <w:pStyle w:val="SingleTxtG"/>
        <w:rPr>
          <w:szCs w:val="24"/>
        </w:rPr>
      </w:pPr>
      <w:r>
        <w:rPr>
          <w:szCs w:val="24"/>
        </w:rPr>
        <w:t>90.</w:t>
      </w:r>
      <w:r>
        <w:rPr>
          <w:szCs w:val="24"/>
        </w:rPr>
        <w:tab/>
      </w:r>
      <w:r>
        <w:rPr>
          <w:szCs w:val="24"/>
          <w:lang w:val="es-ES_tradnl"/>
        </w:rPr>
        <w:t>En</w:t>
      </w:r>
      <w:r>
        <w:rPr>
          <w:b/>
          <w:szCs w:val="24"/>
          <w:lang w:val="es-ES_tradnl"/>
        </w:rPr>
        <w:t xml:space="preserve"> </w:t>
      </w:r>
      <w:r>
        <w:rPr>
          <w:szCs w:val="24"/>
          <w:lang w:val="es-ES_tradnl"/>
        </w:rPr>
        <w:t>2005 se reformó nuevamente la Ley para añadir el artículo E1 sobre lugares públicos y servicios públicos.</w:t>
      </w:r>
      <w:r>
        <w:rPr>
          <w:szCs w:val="24"/>
        </w:rPr>
        <w:t xml:space="preserve"> </w:t>
      </w:r>
      <w:r>
        <w:rPr>
          <w:szCs w:val="24"/>
          <w:lang w:val="es-ES_tradnl"/>
        </w:rPr>
        <w:t>Este artículo incorporó muchos elementos nuevos e importantes a la Ley, entre ellos</w:t>
      </w:r>
      <w:r>
        <w:rPr>
          <w:szCs w:val="24"/>
        </w:rPr>
        <w:t xml:space="preserve"> </w:t>
      </w:r>
      <w:r>
        <w:rPr>
          <w:szCs w:val="24"/>
          <w:lang w:val="es-ES_tradnl"/>
        </w:rPr>
        <w:t>la prohibición de la discriminación en los servicios, lugares y productos públicos, la accesibilidad de los lugares públicos y a los servicios públicos, restricciones sobre la obligación legal de accesibilidad, así como de la accesibilidad a las instituciones de enseñanza primaria, secundaria y superior y a los servicios educativos.</w:t>
      </w:r>
      <w:r>
        <w:rPr>
          <w:szCs w:val="24"/>
        </w:rPr>
        <w:t xml:space="preserve"> </w:t>
      </w:r>
      <w:r>
        <w:rPr>
          <w:szCs w:val="24"/>
          <w:lang w:val="es-ES_tradnl"/>
        </w:rPr>
        <w:t>La Ley se enmendó de nuevo en 2007 y 2008 con el fin de promover la aplicación efectiva de las disposiciones sobre accesibilidad: la reforma de 2007 trata de la aplicación de las nuevas disposiciones en cuanto a expertos en accesibilidad con licencia, y la de 2008 refuerza las disposiciones acerca de la accesibilidad en centros educativos.</w:t>
      </w:r>
    </w:p>
    <w:p w:rsidR="00F92819" w:rsidRDefault="00F92819">
      <w:pPr>
        <w:pStyle w:val="SingleTxtG"/>
        <w:rPr>
          <w:szCs w:val="24"/>
        </w:rPr>
      </w:pPr>
      <w:r>
        <w:rPr>
          <w:szCs w:val="24"/>
        </w:rPr>
        <w:t>91.</w:t>
      </w:r>
      <w:r>
        <w:rPr>
          <w:szCs w:val="24"/>
        </w:rPr>
        <w:tab/>
      </w:r>
      <w:r>
        <w:rPr>
          <w:szCs w:val="24"/>
          <w:lang w:val="es-ES_tradnl"/>
        </w:rPr>
        <w:t xml:space="preserve">Cabe mencionar al respecto una enmienda a la </w:t>
      </w:r>
      <w:r>
        <w:rPr>
          <w:i/>
          <w:szCs w:val="24"/>
          <w:lang w:val="es-ES_tradnl"/>
        </w:rPr>
        <w:t xml:space="preserve">Ley de propiedad inmobiliaria </w:t>
      </w:r>
      <w:r>
        <w:rPr>
          <w:szCs w:val="24"/>
          <w:lang w:val="es-ES_tradnl"/>
        </w:rPr>
        <w:t>de 5729/1969 aprobada el 4 de diciembre de 2001, que facilita el marco legal para la acomodación y la adaptación de las zonas comunes de los edificios de apartamentos a las necesidades de los residentes con discapacidad, en algunos casos aun sin el consentimiento de otros residentes.</w:t>
      </w:r>
    </w:p>
    <w:p w:rsidR="00F92819" w:rsidRDefault="00F92819">
      <w:pPr>
        <w:pStyle w:val="SingleTxtG"/>
        <w:rPr>
          <w:szCs w:val="24"/>
        </w:rPr>
      </w:pPr>
      <w:r>
        <w:rPr>
          <w:szCs w:val="24"/>
        </w:rPr>
        <w:t>92.</w:t>
      </w:r>
      <w:r>
        <w:rPr>
          <w:szCs w:val="24"/>
        </w:rPr>
        <w:tab/>
      </w:r>
      <w:r>
        <w:rPr>
          <w:szCs w:val="24"/>
          <w:lang w:val="es-ES_tradnl"/>
        </w:rPr>
        <w:t xml:space="preserve">A la aprobación de la enmienda sobre accesibilidad a la </w:t>
      </w:r>
      <w:r>
        <w:rPr>
          <w:i/>
          <w:szCs w:val="24"/>
          <w:lang w:val="es-ES_tradnl"/>
        </w:rPr>
        <w:t>Ley de igualdad de derechos de las personas con discapacidad</w:t>
      </w:r>
      <w:r>
        <w:rPr>
          <w:szCs w:val="24"/>
          <w:lang w:val="es-ES_tradnl"/>
        </w:rPr>
        <w:t xml:space="preserve"> en 2005 siguió la sanción en ese mismo año de otras dos leyes relacionadas: la </w:t>
      </w:r>
      <w:r>
        <w:rPr>
          <w:i/>
          <w:szCs w:val="24"/>
          <w:lang w:val="es-ES_tradnl"/>
        </w:rPr>
        <w:t>Ley de procedimientos de investigación y testimonio (Adecuación a las personas con discapacidad mental o física)</w:t>
      </w:r>
      <w:r>
        <w:rPr>
          <w:szCs w:val="24"/>
          <w:lang w:val="es-ES_tradnl"/>
        </w:rPr>
        <w:t xml:space="preserve"> de 5765/2005 y la </w:t>
      </w:r>
      <w:r>
        <w:rPr>
          <w:i/>
          <w:szCs w:val="24"/>
          <w:lang w:val="es-ES_tradnl"/>
        </w:rPr>
        <w:t xml:space="preserve">Ley de emisiones por televisión (subtítulos y lenguaje de señas) </w:t>
      </w:r>
      <w:r>
        <w:rPr>
          <w:szCs w:val="24"/>
          <w:lang w:val="es-ES_tradnl"/>
        </w:rPr>
        <w:t>de 5765/2005, explicadas detalladamente a continuación</w:t>
      </w:r>
      <w:r>
        <w:rPr>
          <w:i/>
          <w:szCs w:val="24"/>
          <w:lang w:val="es-ES_tradnl"/>
        </w:rPr>
        <w:t>.</w:t>
      </w:r>
    </w:p>
    <w:p w:rsidR="00F92819" w:rsidRDefault="00F92819">
      <w:pPr>
        <w:pStyle w:val="SingleTxtG"/>
        <w:rPr>
          <w:szCs w:val="24"/>
        </w:rPr>
      </w:pPr>
      <w:r>
        <w:rPr>
          <w:szCs w:val="24"/>
        </w:rPr>
        <w:t>93.</w:t>
      </w:r>
      <w:r>
        <w:rPr>
          <w:szCs w:val="24"/>
        </w:rPr>
        <w:tab/>
      </w:r>
      <w:r>
        <w:rPr>
          <w:szCs w:val="24"/>
          <w:lang w:val="es-ES_tradnl"/>
        </w:rPr>
        <w:t xml:space="preserve">En diciembre de 2007 el Knesset modificó la </w:t>
      </w:r>
      <w:r>
        <w:rPr>
          <w:i/>
          <w:szCs w:val="24"/>
          <w:lang w:val="es-ES_tradnl"/>
        </w:rPr>
        <w:t>Ley de prohibición de la difamación</w:t>
      </w:r>
      <w:r>
        <w:rPr>
          <w:szCs w:val="24"/>
          <w:lang w:val="es-ES_tradnl"/>
        </w:rPr>
        <w:t xml:space="preserve"> de 5726/1965,</w:t>
      </w:r>
      <w:r>
        <w:rPr>
          <w:szCs w:val="24"/>
        </w:rPr>
        <w:t xml:space="preserve"> </w:t>
      </w:r>
      <w:r>
        <w:rPr>
          <w:szCs w:val="24"/>
          <w:lang w:val="es-ES_tradnl"/>
        </w:rPr>
        <w:t>según la cual burlarse de una persona con discapacidad o humillarla por razón de su discapacidad, sea psicológica, mental (incluida la cognitiva), física, permanente o temporal, se considerará una difamación ilícita y prohibida.</w:t>
      </w:r>
    </w:p>
    <w:p w:rsidR="00F92819" w:rsidRDefault="00F92819">
      <w:pPr>
        <w:pStyle w:val="SingleTxtG"/>
        <w:rPr>
          <w:szCs w:val="24"/>
        </w:rPr>
      </w:pPr>
      <w:r>
        <w:rPr>
          <w:szCs w:val="24"/>
        </w:rPr>
        <w:t>94.</w:t>
      </w:r>
      <w:r>
        <w:rPr>
          <w:szCs w:val="24"/>
        </w:rPr>
        <w:tab/>
      </w:r>
      <w:r>
        <w:rPr>
          <w:szCs w:val="24"/>
          <w:lang w:val="es-ES_tradnl"/>
        </w:rPr>
        <w:t xml:space="preserve">Según una reciente reforma de la </w:t>
      </w:r>
      <w:r>
        <w:rPr>
          <w:i/>
          <w:szCs w:val="24"/>
          <w:lang w:val="es-ES_tradnl"/>
        </w:rPr>
        <w:t>Ley del seguro médico nacional</w:t>
      </w:r>
      <w:r>
        <w:rPr>
          <w:szCs w:val="24"/>
          <w:lang w:val="es-ES_tradnl"/>
        </w:rPr>
        <w:t xml:space="preserve"> de 5754/1994 (Enmienda </w:t>
      </w:r>
      <w:r w:rsidR="00713E0E">
        <w:rPr>
          <w:szCs w:val="24"/>
          <w:lang w:val="es-ES_tradnl"/>
        </w:rPr>
        <w:t>Nº</w:t>
      </w:r>
      <w:r>
        <w:rPr>
          <w:szCs w:val="24"/>
          <w:lang w:val="es-ES_tradnl"/>
        </w:rPr>
        <w:t xml:space="preserve"> 43) de 5 de noviembre de 2008, los niños autistas recibirán tres horas semanales de tratamiento paramédico (fisioterapia, logopedia y terapia ocupacional).</w:t>
      </w:r>
      <w:r>
        <w:rPr>
          <w:szCs w:val="24"/>
        </w:rPr>
        <w:t xml:space="preserve"> </w:t>
      </w:r>
      <w:r>
        <w:rPr>
          <w:szCs w:val="24"/>
          <w:lang w:val="es-ES_tradnl"/>
        </w:rPr>
        <w:t>Estos tratamientos exigirán un pago complementario mínimo de 23 nuevos sheqalim (6 dólares de los EE.UU.) por sesión.</w:t>
      </w:r>
      <w:r>
        <w:rPr>
          <w:szCs w:val="24"/>
        </w:rPr>
        <w:t xml:space="preserve"> </w:t>
      </w:r>
      <w:r>
        <w:rPr>
          <w:szCs w:val="24"/>
          <w:lang w:val="es-ES_tradnl"/>
        </w:rPr>
        <w:t>La reforma se aplicará gradualmente desde el 1º de enero de 2009.</w:t>
      </w:r>
    </w:p>
    <w:p w:rsidR="00F92819" w:rsidRDefault="00F92819">
      <w:pPr>
        <w:pStyle w:val="H4G"/>
        <w:rPr>
          <w:szCs w:val="24"/>
        </w:rPr>
      </w:pPr>
      <w:r>
        <w:rPr>
          <w:szCs w:val="24"/>
        </w:rPr>
        <w:tab/>
      </w:r>
      <w:r>
        <w:rPr>
          <w:szCs w:val="24"/>
        </w:rPr>
        <w:tab/>
      </w:r>
      <w:r>
        <w:rPr>
          <w:szCs w:val="24"/>
          <w:lang w:val="es-ES_tradnl"/>
        </w:rPr>
        <w:t>Empleo de personas con discapacidad</w:t>
      </w:r>
    </w:p>
    <w:p w:rsidR="00F92819" w:rsidRDefault="00F92819">
      <w:pPr>
        <w:pStyle w:val="SingleTxtG"/>
        <w:rPr>
          <w:szCs w:val="24"/>
        </w:rPr>
      </w:pPr>
      <w:r>
        <w:rPr>
          <w:szCs w:val="24"/>
        </w:rPr>
        <w:t>95.</w:t>
      </w:r>
      <w:r>
        <w:rPr>
          <w:szCs w:val="24"/>
        </w:rPr>
        <w:tab/>
      </w:r>
      <w:r>
        <w:rPr>
          <w:szCs w:val="24"/>
          <w:lang w:val="es-ES_tradnl"/>
        </w:rPr>
        <w:t xml:space="preserve">Como se menciona en el informe anterior de Israel, las disposiciones sobre el empleo de la </w:t>
      </w:r>
      <w:r>
        <w:rPr>
          <w:i/>
          <w:szCs w:val="24"/>
          <w:lang w:val="es-ES_tradnl"/>
        </w:rPr>
        <w:t>Ley de igualdad de derechos de las personas con discapacidad</w:t>
      </w:r>
      <w:r>
        <w:rPr>
          <w:szCs w:val="24"/>
          <w:lang w:val="es-ES_tradnl"/>
        </w:rPr>
        <w:t xml:space="preserve"> prohíben la discriminación por motivos de discapacidad, obligan a los empleadores a la realización de trabajos de adaptación razonables y exigen una representación adecuada de las personas con discapacidad en la población activa.</w:t>
      </w:r>
    </w:p>
    <w:p w:rsidR="00F92819" w:rsidRDefault="00F92819">
      <w:pPr>
        <w:pStyle w:val="SingleTxtG"/>
        <w:rPr>
          <w:szCs w:val="24"/>
        </w:rPr>
      </w:pPr>
      <w:r>
        <w:rPr>
          <w:szCs w:val="24"/>
        </w:rPr>
        <w:t>96.</w:t>
      </w:r>
      <w:r>
        <w:rPr>
          <w:szCs w:val="24"/>
        </w:rPr>
        <w:tab/>
      </w:r>
      <w:r>
        <w:rPr>
          <w:szCs w:val="24"/>
          <w:lang w:val="es-ES_tradnl"/>
        </w:rPr>
        <w:t>Después de la presentación del segundo informe periódico de Israel, el Gobierno promulgó varios reglamentos con vistas a promover una mayor participación de las personas con discapacidad en la población activa.</w:t>
      </w:r>
      <w:r>
        <w:rPr>
          <w:szCs w:val="24"/>
        </w:rPr>
        <w:t xml:space="preserve"> </w:t>
      </w:r>
      <w:r>
        <w:rPr>
          <w:szCs w:val="24"/>
          <w:lang w:val="es-ES_tradnl"/>
        </w:rPr>
        <w:t xml:space="preserve">El </w:t>
      </w:r>
      <w:r>
        <w:rPr>
          <w:i/>
          <w:szCs w:val="24"/>
          <w:lang w:val="es-ES_tradnl"/>
        </w:rPr>
        <w:t xml:space="preserve">Reglamento sobre igualdad de derechos de las personas con discapacidad (Espacios prioritarios de aparcamiento en el lugar de trabajo) </w:t>
      </w:r>
      <w:r>
        <w:rPr>
          <w:szCs w:val="24"/>
          <w:lang w:val="es-ES_tradnl"/>
        </w:rPr>
        <w:t>de 5762/2001 obliga a los empleadores a facilitar a todos los empleados discapacitados un espacio de aparcamiento señalizado y accesible para uso exclusivo.</w:t>
      </w:r>
      <w:r>
        <w:rPr>
          <w:szCs w:val="24"/>
        </w:rPr>
        <w:t xml:space="preserve"> </w:t>
      </w:r>
      <w:r>
        <w:rPr>
          <w:szCs w:val="24"/>
          <w:lang w:val="es-ES_tradnl"/>
        </w:rPr>
        <w:t>Este reglamento se aplica a todos los empleadores que tengan seis empleados como mínimo y que hayan facilitado espacios de aparcamiento señalizados para al menos tres de ellos.</w:t>
      </w:r>
      <w:r>
        <w:rPr>
          <w:szCs w:val="24"/>
        </w:rPr>
        <w:t xml:space="preserve"> </w:t>
      </w:r>
      <w:r>
        <w:rPr>
          <w:szCs w:val="24"/>
          <w:lang w:val="es-ES_tradnl"/>
        </w:rPr>
        <w:t xml:space="preserve">Según el </w:t>
      </w:r>
      <w:r>
        <w:rPr>
          <w:i/>
          <w:szCs w:val="24"/>
          <w:lang w:val="es-ES_tradnl"/>
        </w:rPr>
        <w:t>Reglamento sobre igualdad de derechos de las personas con discapacidad (participación del estado en la financiación de las adaptaciones)</w:t>
      </w:r>
      <w:r>
        <w:rPr>
          <w:szCs w:val="24"/>
          <w:lang w:val="es-ES_tradnl"/>
        </w:rPr>
        <w:t xml:space="preserve"> de 5766/2066, todos los empleadores tienen derecho a un reembolso del Gobierno por los gastos incurridos para adaptar el lugar de trabajo a la discapacidad, el trabajo y las necesidades diarias de los empleados discapacitados (que está sujeto a una cantidad máxima por empleado).</w:t>
      </w:r>
    </w:p>
    <w:p w:rsidR="00F92819" w:rsidRDefault="00F92819">
      <w:pPr>
        <w:pStyle w:val="SingleTxtG"/>
        <w:rPr>
          <w:szCs w:val="24"/>
        </w:rPr>
      </w:pPr>
      <w:r>
        <w:rPr>
          <w:szCs w:val="24"/>
        </w:rPr>
        <w:t>97.</w:t>
      </w:r>
      <w:r>
        <w:rPr>
          <w:szCs w:val="24"/>
        </w:rPr>
        <w:tab/>
      </w:r>
      <w:r>
        <w:rPr>
          <w:szCs w:val="24"/>
          <w:lang w:val="es-ES_tradnl"/>
        </w:rPr>
        <w:t xml:space="preserve">Además, las disposiciones sobre empleo de la </w:t>
      </w:r>
      <w:r>
        <w:rPr>
          <w:i/>
          <w:szCs w:val="24"/>
          <w:lang w:val="es-ES_tradnl"/>
        </w:rPr>
        <w:t>Ley de igualdad de derechos de las personas con discapacidad</w:t>
      </w:r>
      <w:r>
        <w:rPr>
          <w:szCs w:val="24"/>
          <w:lang w:val="es-ES_tradnl"/>
        </w:rPr>
        <w:t xml:space="preserve"> han sido objeto de cada vez más jurisprudencia.</w:t>
      </w:r>
    </w:p>
    <w:p w:rsidR="00F92819" w:rsidRDefault="00F92819">
      <w:pPr>
        <w:pStyle w:val="SingleTxtG"/>
        <w:rPr>
          <w:szCs w:val="24"/>
        </w:rPr>
      </w:pPr>
      <w:r>
        <w:rPr>
          <w:szCs w:val="24"/>
        </w:rPr>
        <w:t>98.</w:t>
      </w:r>
      <w:r>
        <w:rPr>
          <w:szCs w:val="24"/>
        </w:rPr>
        <w:tab/>
      </w:r>
      <w:r>
        <w:rPr>
          <w:szCs w:val="24"/>
          <w:lang w:val="es-ES_tradnl"/>
        </w:rPr>
        <w:t xml:space="preserve">En el primer caso a considerar, L.C 2968/01 </w:t>
      </w:r>
      <w:r>
        <w:rPr>
          <w:i/>
          <w:szCs w:val="24"/>
          <w:lang w:val="es-ES_tradnl"/>
        </w:rPr>
        <w:t xml:space="preserve">Balilti c. </w:t>
      </w:r>
      <w:smartTag w:uri="urn:schemas-microsoft-com:office:smarttags" w:element="PersonName">
        <w:smartTagPr>
          <w:attr w:name="ProductID" w:val="la Jerusalem Post Publications"/>
        </w:smartTagPr>
        <w:r>
          <w:rPr>
            <w:i/>
            <w:szCs w:val="24"/>
            <w:lang w:val="es-ES_tradnl"/>
          </w:rPr>
          <w:t>la Jerusalem Post Publications</w:t>
        </w:r>
      </w:smartTag>
      <w:r>
        <w:rPr>
          <w:i/>
          <w:szCs w:val="24"/>
          <w:lang w:val="es-ES_tradnl"/>
        </w:rPr>
        <w:t xml:space="preserve"> Ltd</w:t>
      </w:r>
      <w:r>
        <w:rPr>
          <w:szCs w:val="24"/>
          <w:lang w:val="es-ES_tradnl"/>
        </w:rPr>
        <w:t xml:space="preserve"> (2 de diciembre de 2001), el Tribunal Laboral del Distrito de Jerusalén sostuvo que el deber de asegurar una representación adecuada de las personas con discapacidad según el artículo 9 de la </w:t>
      </w:r>
      <w:r>
        <w:rPr>
          <w:i/>
          <w:szCs w:val="24"/>
          <w:lang w:val="es-ES_tradnl"/>
        </w:rPr>
        <w:t>Ley de igualdad de derechos de las personas con discapacidad</w:t>
      </w:r>
      <w:r>
        <w:rPr>
          <w:szCs w:val="24"/>
          <w:lang w:val="es-ES_tradnl"/>
        </w:rPr>
        <w:t xml:space="preserve"> incluye dar prioridad a estas personas sobre otros empleados igualmente cualificados en la selección para el despido.</w:t>
      </w:r>
    </w:p>
    <w:p w:rsidR="00F92819" w:rsidRDefault="00F92819">
      <w:pPr>
        <w:pStyle w:val="SingleTxtG"/>
        <w:rPr>
          <w:szCs w:val="24"/>
        </w:rPr>
      </w:pPr>
      <w:r>
        <w:rPr>
          <w:szCs w:val="24"/>
        </w:rPr>
        <w:t>99.</w:t>
      </w:r>
      <w:r>
        <w:rPr>
          <w:szCs w:val="24"/>
        </w:rPr>
        <w:tab/>
      </w:r>
      <w:r>
        <w:rPr>
          <w:szCs w:val="24"/>
          <w:lang w:val="es-ES_tradnl"/>
        </w:rPr>
        <w:t xml:space="preserve">En 2003, al tratar la cuestión de la obligación de realizar adaptaciones razonables, el Tribunal Laboral del Distrito de Tel Aviv sostuvo que un empleador está obligado a encontrar un empleo alternativo adecuado para un empleado cuya discapacidad se haya producido mientras realiza su trabajo (C.M. (Tel Aviv) 5712/03 </w:t>
      </w:r>
      <w:r>
        <w:rPr>
          <w:i/>
          <w:szCs w:val="24"/>
          <w:lang w:val="es-ES_tradnl"/>
        </w:rPr>
        <w:t xml:space="preserve">Steinberg c. </w:t>
      </w:r>
      <w:smartTag w:uri="urn:schemas-microsoft-com:office:smarttags" w:element="PersonName">
        <w:smartTagPr>
          <w:attr w:name="ProductID" w:val="la Israel Electric Co."/>
        </w:smartTagPr>
        <w:r>
          <w:rPr>
            <w:i/>
            <w:szCs w:val="24"/>
            <w:lang w:val="es-ES_tradnl"/>
          </w:rPr>
          <w:t>la Israel Electric Co.</w:t>
        </w:r>
      </w:smartTag>
      <w:r>
        <w:rPr>
          <w:i/>
          <w:szCs w:val="24"/>
          <w:lang w:val="es-ES_tradnl"/>
        </w:rPr>
        <w:t xml:space="preserve"> </w:t>
      </w:r>
      <w:r>
        <w:rPr>
          <w:szCs w:val="24"/>
          <w:lang w:val="es-ES_tradnl"/>
        </w:rPr>
        <w:t>(30 de diciembre de 2003)).</w:t>
      </w:r>
    </w:p>
    <w:p w:rsidR="00F92819" w:rsidRDefault="00F92819">
      <w:pPr>
        <w:pStyle w:val="SingleTxtG"/>
        <w:rPr>
          <w:szCs w:val="24"/>
        </w:rPr>
      </w:pPr>
      <w:r>
        <w:rPr>
          <w:szCs w:val="24"/>
        </w:rPr>
        <w:t>100.</w:t>
      </w:r>
      <w:r>
        <w:rPr>
          <w:szCs w:val="24"/>
        </w:rPr>
        <w:tab/>
      </w:r>
      <w:r>
        <w:rPr>
          <w:szCs w:val="24"/>
          <w:lang w:val="es-ES_tradnl"/>
        </w:rPr>
        <w:t>En otro caso el Tribunal Laboral del Distrito de Nazareth dictaminó que la frase “adaptación” no se limita a la adaptación física de estructuras, equipo o accesorios, sino que es extensible a adaptaciones de índole económica.</w:t>
      </w:r>
      <w:r>
        <w:rPr>
          <w:szCs w:val="24"/>
        </w:rPr>
        <w:t xml:space="preserve"> </w:t>
      </w:r>
      <w:r>
        <w:rPr>
          <w:szCs w:val="24"/>
          <w:lang w:val="es-ES_tradnl"/>
        </w:rPr>
        <w:t>Por tanto, el empleador estaba obligado a mantener en su empleo al empleado que había quedado discapacitado y a seguir pagándole el mismo sueldo, aunque su rendimiento hubiera disminuido a causa de la discapacidad, a menos que el empleador pudiera demostrar que imponía una carga excesiva a su empresa.</w:t>
      </w:r>
      <w:r>
        <w:rPr>
          <w:szCs w:val="24"/>
        </w:rPr>
        <w:t xml:space="preserve"> </w:t>
      </w:r>
      <w:r>
        <w:rPr>
          <w:szCs w:val="24"/>
          <w:lang w:val="es-ES_tradnl"/>
        </w:rPr>
        <w:t xml:space="preserve">En este asunto, el Tribunal sostuvo que un empleado con cáncer es una persona con discapacidad a efectos de la </w:t>
      </w:r>
      <w:r>
        <w:rPr>
          <w:i/>
          <w:szCs w:val="24"/>
          <w:lang w:val="es-ES_tradnl"/>
        </w:rPr>
        <w:t xml:space="preserve">Ley de igualdad de derechos de las personas con discapacidad </w:t>
      </w:r>
      <w:r>
        <w:rPr>
          <w:szCs w:val="24"/>
          <w:lang w:val="es-ES_tradnl"/>
        </w:rPr>
        <w:t>(L.C (Nazaret) 1732/04</w:t>
      </w:r>
      <w:r>
        <w:rPr>
          <w:i/>
          <w:szCs w:val="24"/>
          <w:lang w:val="es-ES_tradnl"/>
        </w:rPr>
        <w:t xml:space="preserve"> De Castro Dekel c. M.B.A Hazore’a</w:t>
      </w:r>
      <w:r>
        <w:rPr>
          <w:szCs w:val="24"/>
          <w:lang w:val="es-ES_tradnl"/>
        </w:rPr>
        <w:t xml:space="preserve"> (10 de julio de 2005)).</w:t>
      </w:r>
    </w:p>
    <w:p w:rsidR="00F92819" w:rsidRDefault="00F92819">
      <w:pPr>
        <w:pStyle w:val="SingleTxtG"/>
        <w:rPr>
          <w:szCs w:val="24"/>
        </w:rPr>
      </w:pPr>
      <w:r>
        <w:rPr>
          <w:szCs w:val="24"/>
        </w:rPr>
        <w:t>101.</w:t>
      </w:r>
      <w:r>
        <w:rPr>
          <w:szCs w:val="24"/>
        </w:rPr>
        <w:tab/>
      </w:r>
      <w:r>
        <w:rPr>
          <w:szCs w:val="24"/>
          <w:lang w:val="es-ES_tradnl"/>
        </w:rPr>
        <w:t>Los tribunales laborales también han tratado casos de personas con una discapacidad intelectual y/o mental cuya capacidad de trabajo se ve disminuida debido a su discapacidad.</w:t>
      </w:r>
      <w:r>
        <w:rPr>
          <w:szCs w:val="24"/>
        </w:rPr>
        <w:t xml:space="preserve"> </w:t>
      </w:r>
      <w:r>
        <w:rPr>
          <w:szCs w:val="24"/>
          <w:lang w:val="es-ES_tradnl"/>
        </w:rPr>
        <w:t>Los tribunales dictaminaron que dichas personas deben ser consideradas como “trabajadores” y como tales tienen derecho a las prestaciones resultantes de la relación entre el empleador y el empleado, y a beneficiarse de todas las leyes laborales pertinentes.</w:t>
      </w:r>
      <w:r>
        <w:rPr>
          <w:szCs w:val="24"/>
        </w:rPr>
        <w:t xml:space="preserve"> </w:t>
      </w:r>
      <w:r>
        <w:rPr>
          <w:szCs w:val="24"/>
          <w:lang w:val="es-ES_tradnl"/>
        </w:rPr>
        <w:t xml:space="preserve">En ambas sentencias, los empleadores fueron obligados a indemnizar a los demandantes con efectos retroactivos (L.C (Tel Aviv) 10973/04 </w:t>
      </w:r>
      <w:r>
        <w:rPr>
          <w:i/>
          <w:szCs w:val="24"/>
          <w:lang w:val="es-ES_tradnl"/>
        </w:rPr>
        <w:t>Goldstein c. Na’amat</w:t>
      </w:r>
      <w:r>
        <w:rPr>
          <w:szCs w:val="24"/>
          <w:lang w:val="es-ES_tradnl"/>
        </w:rPr>
        <w:t xml:space="preserve">; L.C (Haifa) 3327/01 </w:t>
      </w:r>
      <w:r>
        <w:rPr>
          <w:i/>
          <w:szCs w:val="24"/>
          <w:lang w:val="es-ES_tradnl"/>
        </w:rPr>
        <w:t xml:space="preserve">Roth c. </w:t>
      </w:r>
      <w:smartTag w:uri="urn:schemas-microsoft-com:office:smarttags" w:element="PersonName">
        <w:smartTagPr>
          <w:attr w:name="ProductID" w:val="la Ram Buildings Ltd"/>
        </w:smartTagPr>
        <w:r>
          <w:rPr>
            <w:i/>
            <w:szCs w:val="24"/>
            <w:lang w:val="es-ES_tradnl"/>
          </w:rPr>
          <w:t>la Ram Buildings Ltd</w:t>
        </w:r>
      </w:smartTag>
      <w:r>
        <w:rPr>
          <w:szCs w:val="24"/>
          <w:lang w:val="es-ES_tradnl"/>
        </w:rPr>
        <w:t>).</w:t>
      </w:r>
    </w:p>
    <w:p w:rsidR="00F92819" w:rsidRDefault="00F92819">
      <w:pPr>
        <w:pStyle w:val="SingleTxtG"/>
        <w:rPr>
          <w:szCs w:val="24"/>
        </w:rPr>
      </w:pPr>
      <w:r>
        <w:rPr>
          <w:szCs w:val="24"/>
        </w:rPr>
        <w:t>102.</w:t>
      </w:r>
      <w:r>
        <w:rPr>
          <w:szCs w:val="24"/>
        </w:rPr>
        <w:tab/>
      </w:r>
      <w:r>
        <w:rPr>
          <w:szCs w:val="24"/>
          <w:lang w:val="es-ES_tradnl"/>
        </w:rPr>
        <w:t xml:space="preserve">Como resultado de estas decisiones y para fomentar el empleo de personas con discapacidad intelectual y/o mental en el marco del empleo subvencionado dentro del mercado laboral abierto, se sancionó en 2007 la </w:t>
      </w:r>
      <w:r>
        <w:rPr>
          <w:i/>
          <w:szCs w:val="24"/>
          <w:lang w:val="es-ES_tradnl"/>
        </w:rPr>
        <w:t>Ley de igualdad de derechos de personas con discapacidad empleadas como personas rehabilitadas (disposición provisional),</w:t>
      </w:r>
      <w:r>
        <w:rPr>
          <w:szCs w:val="24"/>
        </w:rPr>
        <w:t xml:space="preserve"> </w:t>
      </w:r>
      <w:r>
        <w:rPr>
          <w:szCs w:val="24"/>
          <w:lang w:val="es-ES_tradnl"/>
        </w:rPr>
        <w:t>de conformidad con la cual, una persona cuya capacidad de trabajo es menor del 19% no se considerará trabajadora, sino persona rehabilitada.</w:t>
      </w:r>
      <w:r>
        <w:rPr>
          <w:szCs w:val="24"/>
        </w:rPr>
        <w:t xml:space="preserve"> </w:t>
      </w:r>
      <w:r>
        <w:rPr>
          <w:szCs w:val="24"/>
          <w:lang w:val="es-ES_tradnl"/>
        </w:rPr>
        <w:t xml:space="preserve">De este modo, el conjunto de leyes laborales no es de aplicación, pero, al mismo tiempo, </w:t>
      </w:r>
      <w:smartTag w:uri="urn:schemas-microsoft-com:office:smarttags" w:element="PersonName">
        <w:smartTagPr>
          <w:attr w:name="ProductID" w:val="la nueva Ley"/>
        </w:smartTagPr>
        <w:r>
          <w:rPr>
            <w:szCs w:val="24"/>
            <w:lang w:val="es-ES_tradnl"/>
          </w:rPr>
          <w:t>la nueva Ley</w:t>
        </w:r>
      </w:smartTag>
      <w:r>
        <w:rPr>
          <w:szCs w:val="24"/>
          <w:lang w:val="es-ES_tradnl"/>
        </w:rPr>
        <w:t xml:space="preserve"> otorga a la persona rehabilitada el derecho a una remuneración por trabajar y a unas condiciones que correspondan a un trabajo decente, como la licencia, la prestación por enfermedad, horas de trabajo y gastos de desplazamiento.</w:t>
      </w:r>
      <w:r>
        <w:rPr>
          <w:szCs w:val="24"/>
        </w:rPr>
        <w:t xml:space="preserve"> </w:t>
      </w:r>
      <w:r>
        <w:rPr>
          <w:szCs w:val="24"/>
          <w:lang w:val="es-ES_tradnl"/>
        </w:rPr>
        <w:t xml:space="preserve">Esta ley complementa al </w:t>
      </w:r>
      <w:r>
        <w:rPr>
          <w:i/>
          <w:szCs w:val="24"/>
          <w:lang w:val="es-ES_tradnl"/>
        </w:rPr>
        <w:t>Reglamento sobre salario mínimo (salario ajustado para los empleados con discapacidad con una capacidad de trabajo reducida)</w:t>
      </w:r>
      <w:r>
        <w:rPr>
          <w:szCs w:val="24"/>
          <w:lang w:val="es-ES_tradnl"/>
        </w:rPr>
        <w:t xml:space="preserve"> de 5762/2002, promulgado el 21 de febrero de 2002, sobre los ajustes del sueldo mínimo para personas que ven reducida su capacidad de trabajo a distintos niveles como consecuencia de una discapacidad.</w:t>
      </w:r>
      <w:r>
        <w:rPr>
          <w:szCs w:val="24"/>
        </w:rPr>
        <w:t xml:space="preserve"> </w:t>
      </w:r>
      <w:r>
        <w:rPr>
          <w:szCs w:val="24"/>
          <w:lang w:val="es-ES_tradnl"/>
        </w:rPr>
        <w:t>El objetivo de este reglamento es alentar a los empleadores a contratar empleados cuya capacidad de trabajo se ve disminuida debido a una discapacidad, permitiéndoles pagar a dichos empleados menos del sueldo mínimo.</w:t>
      </w:r>
      <w:r>
        <w:rPr>
          <w:szCs w:val="24"/>
        </w:rPr>
        <w:t xml:space="preserve"> </w:t>
      </w:r>
      <w:r>
        <w:rPr>
          <w:szCs w:val="24"/>
          <w:lang w:val="es-ES_tradnl"/>
        </w:rPr>
        <w:t>El reglamento establece una escala de salario mínimo reducido según la capacidad de trabajo,</w:t>
      </w:r>
      <w:r>
        <w:rPr>
          <w:szCs w:val="24"/>
        </w:rPr>
        <w:t xml:space="preserve"> </w:t>
      </w:r>
      <w:r>
        <w:rPr>
          <w:szCs w:val="24"/>
          <w:lang w:val="es-ES_tradnl"/>
        </w:rPr>
        <w:t>así que un trabajador cuya capacidad de trabajo se vea reducida entre el 25% y el 50% tiene derecho a un 75% del salario mínimo; si se ve reducida entre el 50% y el 70%, al 50% del salario mínimo; y si es en más del 70%, tiene derecho a un tercio del salario mínimo.</w:t>
      </w:r>
      <w:r>
        <w:rPr>
          <w:szCs w:val="24"/>
        </w:rPr>
        <w:t xml:space="preserve"> </w:t>
      </w:r>
      <w:r>
        <w:rPr>
          <w:szCs w:val="24"/>
          <w:lang w:val="es-ES_tradnl"/>
        </w:rPr>
        <w:t>De conformidad con el reglamento, la persona con discapacidad debe solicitar al Ministerio de Industria, Comercio y Trabajo que establezca la reducción de su capacidad de trabajo, que dará derecho al salario mínimo reducido.</w:t>
      </w:r>
      <w:r>
        <w:rPr>
          <w:szCs w:val="24"/>
        </w:rPr>
        <w:t xml:space="preserve"> </w:t>
      </w:r>
      <w:r>
        <w:rPr>
          <w:szCs w:val="24"/>
          <w:lang w:val="es-ES_tradnl"/>
        </w:rPr>
        <w:t>El reglamento se aplica al empleo en el mercado laboral abierto, y no al empleo protegido.</w:t>
      </w:r>
      <w:r>
        <w:rPr>
          <w:szCs w:val="24"/>
        </w:rPr>
        <w:t xml:space="preserve"> </w:t>
      </w:r>
      <w:r>
        <w:rPr>
          <w:szCs w:val="24"/>
          <w:lang w:val="es-ES_tradnl"/>
        </w:rPr>
        <w:t>Durante los primeros 20 meses de aplicación del reglamento, 1.600 personas con discapacidad solicitaron que se les ajustara el salario mínimo, y en 1.255 de los casos así se hizo.</w:t>
      </w:r>
    </w:p>
    <w:p w:rsidR="00F92819" w:rsidRDefault="00F92819">
      <w:pPr>
        <w:pStyle w:val="SingleTxtG"/>
        <w:rPr>
          <w:szCs w:val="24"/>
        </w:rPr>
      </w:pPr>
      <w:r>
        <w:rPr>
          <w:szCs w:val="24"/>
        </w:rPr>
        <w:t>103.</w:t>
      </w:r>
      <w:r>
        <w:rPr>
          <w:szCs w:val="24"/>
        </w:rPr>
        <w:tab/>
      </w:r>
      <w:r>
        <w:rPr>
          <w:szCs w:val="24"/>
          <w:lang w:val="es-ES_tradnl"/>
        </w:rPr>
        <w:t xml:space="preserve">El 27 de julio de 2008 se enmendó la </w:t>
      </w:r>
      <w:r>
        <w:rPr>
          <w:i/>
          <w:szCs w:val="24"/>
          <w:lang w:val="es-ES_tradnl"/>
        </w:rPr>
        <w:t>Ley del seguro nacional (versión refundida)</w:t>
      </w:r>
      <w:r>
        <w:rPr>
          <w:szCs w:val="24"/>
          <w:lang w:val="es-ES_tradnl"/>
        </w:rPr>
        <w:t xml:space="preserve"> de 5755/1995 (Enmienda </w:t>
      </w:r>
      <w:r w:rsidR="00713E0E">
        <w:rPr>
          <w:szCs w:val="24"/>
          <w:lang w:val="es-ES_tradnl"/>
        </w:rPr>
        <w:t>Nº</w:t>
      </w:r>
      <w:r>
        <w:rPr>
          <w:szCs w:val="24"/>
          <w:lang w:val="es-ES_tradnl"/>
        </w:rPr>
        <w:t xml:space="preserve"> 109) con el fin de seguir facilitando la integración de las personas con discapacidad en la población activa</w:t>
      </w:r>
      <w:r>
        <w:rPr>
          <w:szCs w:val="24"/>
        </w:rPr>
        <w:t xml:space="preserve"> </w:t>
      </w:r>
      <w:r>
        <w:rPr>
          <w:szCs w:val="24"/>
          <w:lang w:val="es-ES_tradnl"/>
        </w:rPr>
        <w:t>y como consecuencia de un proceso concebido para romper la conexión entre discapacidad, seguridad social y desempleo.</w:t>
      </w:r>
      <w:r>
        <w:rPr>
          <w:szCs w:val="24"/>
        </w:rPr>
        <w:t xml:space="preserve"> </w:t>
      </w:r>
      <w:r>
        <w:rPr>
          <w:szCs w:val="24"/>
          <w:lang w:val="es-ES_tradnl"/>
        </w:rPr>
        <w:t>Antes de la enmienda, una persona con discapacidad que tuviera derecho a la prestación de discapacidad del Seguro Nacional contaba con escaso o ningún incentivo para abandonar el régimen de la seguridad social y entrar en el mercado laboral, ya que, si su sueldo sobrepasaba el nivel de la prestación por discapacidad, perdía el derecho a recibir la prestación, incluso en caso de que perdiera el empleo posteriormente.</w:t>
      </w:r>
      <w:r>
        <w:rPr>
          <w:szCs w:val="24"/>
        </w:rPr>
        <w:t xml:space="preserve"> </w:t>
      </w:r>
      <w:r>
        <w:rPr>
          <w:szCs w:val="24"/>
          <w:lang w:val="es-ES_tradnl"/>
        </w:rPr>
        <w:t xml:space="preserve">La eliminación de la trampa de la prestación de discapacidad constituyó el tema central del informe elaborado por la Comisión pública para el estudio de cuestiones relativas a las personas con discapacidad y la promoción de su integración en </w:t>
      </w:r>
      <w:smartTag w:uri="urn:schemas-microsoft-com:office:smarttags" w:element="PersonName">
        <w:smartTagPr>
          <w:attr w:name="ProductID" w:val="la comunidad. La Comisi￳n"/>
        </w:smartTagPr>
        <w:r>
          <w:rPr>
            <w:szCs w:val="24"/>
            <w:lang w:val="es-ES_tradnl"/>
          </w:rPr>
          <w:t>la comunidad.</w:t>
        </w:r>
        <w:r>
          <w:rPr>
            <w:szCs w:val="24"/>
          </w:rPr>
          <w:t xml:space="preserve"> </w:t>
        </w:r>
        <w:r>
          <w:rPr>
            <w:szCs w:val="24"/>
            <w:lang w:val="es-ES_tradnl"/>
          </w:rPr>
          <w:t>La Comisión</w:t>
        </w:r>
      </w:smartTag>
      <w:r>
        <w:rPr>
          <w:szCs w:val="24"/>
          <w:lang w:val="es-ES_tradnl"/>
        </w:rPr>
        <w:t xml:space="preserve">, nombrada por el Gobierno a raíz de una huelga general de personas con discapacidad en 2002 y presidida por el juez retirado Laron, presentó su informe el 21 de abril de 2005, cuya aprobación por el Gobierno dio lugar a la enmienda a la </w:t>
      </w:r>
      <w:r>
        <w:rPr>
          <w:i/>
          <w:szCs w:val="24"/>
          <w:lang w:val="es-ES_tradnl"/>
        </w:rPr>
        <w:t>Ley del seguro nacional</w:t>
      </w:r>
      <w:r>
        <w:rPr>
          <w:szCs w:val="24"/>
          <w:lang w:val="es-ES_tradnl"/>
        </w:rPr>
        <w:t xml:space="preserve"> que permite a una persona con discapacidad ganar un sueldo mensual relativamente alto (7.000 nuevos sheqalim, lo que equivale a 1.842 dólares de los EE.UU.) sin tener que renunciar a su derecho a la prestación de discapacidad del Seguro Nacional.</w:t>
      </w:r>
    </w:p>
    <w:p w:rsidR="00F92819" w:rsidRDefault="00F92819">
      <w:pPr>
        <w:pStyle w:val="H4G"/>
        <w:rPr>
          <w:b/>
          <w:szCs w:val="24"/>
        </w:rPr>
      </w:pPr>
      <w:r>
        <w:rPr>
          <w:szCs w:val="24"/>
        </w:rPr>
        <w:tab/>
      </w:r>
      <w:r>
        <w:rPr>
          <w:szCs w:val="24"/>
        </w:rPr>
        <w:tab/>
      </w:r>
      <w:r>
        <w:rPr>
          <w:szCs w:val="24"/>
          <w:lang w:val="es-ES_tradnl"/>
        </w:rPr>
        <w:t>Accesibilidad</w:t>
      </w:r>
    </w:p>
    <w:p w:rsidR="00F92819" w:rsidRDefault="00F92819">
      <w:pPr>
        <w:pStyle w:val="SingleTxtG"/>
        <w:rPr>
          <w:szCs w:val="24"/>
        </w:rPr>
      </w:pPr>
      <w:r>
        <w:rPr>
          <w:szCs w:val="24"/>
        </w:rPr>
        <w:t>104.</w:t>
      </w:r>
      <w:r>
        <w:rPr>
          <w:szCs w:val="24"/>
        </w:rPr>
        <w:tab/>
      </w:r>
      <w:r>
        <w:rPr>
          <w:szCs w:val="24"/>
          <w:lang w:val="es-ES_tradnl"/>
        </w:rPr>
        <w:t xml:space="preserve">La mencionada exhaustiva reforma de 2005 de la </w:t>
      </w:r>
      <w:r>
        <w:rPr>
          <w:i/>
          <w:szCs w:val="24"/>
          <w:lang w:val="es-ES_tradnl"/>
        </w:rPr>
        <w:t>Ley de igualdad de derechos de las personas con discapacidad</w:t>
      </w:r>
      <w:r>
        <w:rPr>
          <w:szCs w:val="24"/>
          <w:lang w:val="es-ES_tradnl"/>
        </w:rPr>
        <w:t xml:space="preserve"> prohíbe la discriminación por motivos de discapacidad en la actividad en lugares públicos y en la prestación de servicios públicos, y exige que resulten accesibles para que las personas con discapacidad puedan beneficiarse al máximo de los servicios públicos y puedan acceder a un lugar público, desplazarse por él y disfrutar por completo de sus instalaciones.</w:t>
      </w:r>
      <w:r>
        <w:rPr>
          <w:szCs w:val="24"/>
        </w:rPr>
        <w:t xml:space="preserve"> </w:t>
      </w:r>
      <w:r>
        <w:rPr>
          <w:szCs w:val="24"/>
          <w:lang w:val="es-ES_tradnl"/>
        </w:rPr>
        <w:t>El nuevo régimen de acceso se aplica a los lugares y servicios públicos cuyo funcionamiento está a cargo del Estado y otros organismos públicos, así como a los de gestión privada.</w:t>
      </w:r>
    </w:p>
    <w:p w:rsidR="00F92819" w:rsidRDefault="00F92819">
      <w:pPr>
        <w:pStyle w:val="SingleTxtG"/>
        <w:rPr>
          <w:szCs w:val="24"/>
        </w:rPr>
      </w:pPr>
      <w:r>
        <w:rPr>
          <w:szCs w:val="24"/>
        </w:rPr>
        <w:t>105.</w:t>
      </w:r>
      <w:r>
        <w:rPr>
          <w:szCs w:val="24"/>
        </w:rPr>
        <w:tab/>
      </w:r>
      <w:r>
        <w:rPr>
          <w:szCs w:val="24"/>
          <w:lang w:val="es-ES_tradnl"/>
        </w:rPr>
        <w:t>Según la Ley, todos los edificios actuales y los de nueva construcción deben ser accesibles.</w:t>
      </w:r>
      <w:r>
        <w:rPr>
          <w:szCs w:val="24"/>
        </w:rPr>
        <w:t xml:space="preserve"> </w:t>
      </w:r>
      <w:r>
        <w:rPr>
          <w:szCs w:val="24"/>
          <w:lang w:val="es-ES_tradnl"/>
        </w:rPr>
        <w:t xml:space="preserve">La nueva legislación dedica disposiciones especiales a la accesibilidad y a la no discriminación relacionada con determinados ámbitos, como los contratos de seguros, las escuelas y centros de enseñanza superior, carreteras e infraestructuras en general, y servicios de emergencia.  </w:t>
      </w:r>
    </w:p>
    <w:p w:rsidR="00F92819" w:rsidRDefault="00F92819">
      <w:pPr>
        <w:pStyle w:val="SingleTxtG"/>
        <w:rPr>
          <w:szCs w:val="24"/>
        </w:rPr>
      </w:pPr>
      <w:r>
        <w:rPr>
          <w:szCs w:val="24"/>
        </w:rPr>
        <w:t>106.</w:t>
      </w:r>
      <w:r>
        <w:rPr>
          <w:szCs w:val="24"/>
        </w:rPr>
        <w:tab/>
      </w:r>
      <w:r>
        <w:rPr>
          <w:szCs w:val="24"/>
          <w:lang w:val="es-ES_tradnl"/>
        </w:rPr>
        <w:t>Además de modificar radicalmente las normas que rigen la accesibilidad, la reforma de 2005 establece una amplia variedad de mecanismos para su aplicación:</w:t>
      </w:r>
      <w:r>
        <w:rPr>
          <w:szCs w:val="24"/>
        </w:rPr>
        <w:t xml:space="preserve"> </w:t>
      </w:r>
      <w:r>
        <w:rPr>
          <w:szCs w:val="24"/>
          <w:lang w:val="es-ES_tradnl"/>
        </w:rPr>
        <w:t>la obtención y renovación de una licencia de actividad empresarial estará condicionada ahora a conseguir el visto bueno de un experto en accesibilidad con licencia, de modo que se cumplan los requisitos del nuevo régimen de acceso.</w:t>
      </w:r>
      <w:r>
        <w:rPr>
          <w:szCs w:val="24"/>
        </w:rPr>
        <w:t xml:space="preserve"> </w:t>
      </w:r>
      <w:r>
        <w:rPr>
          <w:szCs w:val="24"/>
          <w:lang w:val="es-ES_tradnl"/>
        </w:rPr>
        <w:t xml:space="preserve">La aprobación del experto en accesibilidad también es una condición previa para obtener el permiso de planificación y llevar a cabo otros procedimientos de planificación. </w:t>
      </w:r>
    </w:p>
    <w:p w:rsidR="00F92819" w:rsidRDefault="00F92819">
      <w:pPr>
        <w:pStyle w:val="SingleTxtG"/>
        <w:rPr>
          <w:szCs w:val="24"/>
        </w:rPr>
      </w:pPr>
      <w:r>
        <w:rPr>
          <w:szCs w:val="24"/>
        </w:rPr>
        <w:t>107.</w:t>
      </w:r>
      <w:r>
        <w:rPr>
          <w:szCs w:val="24"/>
        </w:rPr>
        <w:tab/>
      </w:r>
      <w:r>
        <w:rPr>
          <w:szCs w:val="24"/>
          <w:lang w:val="es-ES_tradnl"/>
        </w:rPr>
        <w:t>En lo esencial de las nuevas disposiciones de aplicación, se otorgan una serie de facultades claves a la Comisión de igualdad de derechos de las personas con discapacidad:</w:t>
      </w:r>
      <w:r>
        <w:rPr>
          <w:szCs w:val="24"/>
        </w:rPr>
        <w:t xml:space="preserve"> </w:t>
      </w:r>
      <w:r>
        <w:rPr>
          <w:szCs w:val="24"/>
          <w:lang w:val="es-ES_tradnl"/>
        </w:rPr>
        <w:t>para lograr la aplicación de los requisitos de accesibilidad, la Comisión puede incoar una demanda civil o, previa notificación y según lo previsto en la Ley, dictar una orden en la que se indiquen las diversas medidas necesarias para hacer accesible un lugar o servicio concreto, junto con un calendario para la adopción de dichas medidas.</w:t>
      </w:r>
      <w:r>
        <w:rPr>
          <w:szCs w:val="24"/>
        </w:rPr>
        <w:t xml:space="preserve"> </w:t>
      </w:r>
      <w:r>
        <w:rPr>
          <w:szCs w:val="24"/>
          <w:lang w:val="es-ES_tradnl"/>
        </w:rPr>
        <w:t>El incumplimiento de los términos de una orden de accesibilidad se considerará un delito.</w:t>
      </w:r>
    </w:p>
    <w:p w:rsidR="00F92819" w:rsidRDefault="00F92819">
      <w:pPr>
        <w:pStyle w:val="SingleTxtG"/>
        <w:spacing w:after="0" w:line="240" w:lineRule="auto"/>
        <w:rPr>
          <w:szCs w:val="24"/>
        </w:rPr>
      </w:pPr>
      <w:r>
        <w:rPr>
          <w:szCs w:val="24"/>
        </w:rPr>
        <w:t>108.</w:t>
      </w:r>
      <w:r>
        <w:rPr>
          <w:szCs w:val="24"/>
        </w:rPr>
        <w:tab/>
      </w:r>
      <w:r>
        <w:rPr>
          <w:szCs w:val="24"/>
          <w:lang w:val="es-ES_tradnl"/>
        </w:rPr>
        <w:t>Se han promulgado varios reglamentos para reflejar las mencionadas enmiendas sobre accesibilidad:</w:t>
      </w:r>
      <w:r>
        <w:rPr>
          <w:szCs w:val="24"/>
        </w:rPr>
        <w:t xml:space="preserve"> e</w:t>
      </w:r>
      <w:r>
        <w:rPr>
          <w:szCs w:val="24"/>
          <w:lang w:val="es-ES_tradnl"/>
        </w:rPr>
        <w:t xml:space="preserve">l </w:t>
      </w:r>
      <w:r>
        <w:rPr>
          <w:i/>
          <w:szCs w:val="24"/>
          <w:lang w:val="es-ES_tradnl"/>
        </w:rPr>
        <w:t xml:space="preserve">Reglamento sobre la igualdad de derechos de las personas con discapacidad (expertos en construcción, infraestructuras y accesibilidad medioambiental con licencia) </w:t>
      </w:r>
      <w:r>
        <w:rPr>
          <w:szCs w:val="24"/>
          <w:lang w:val="es-ES_tradnl"/>
        </w:rPr>
        <w:t xml:space="preserve">de 5767/2007 y el </w:t>
      </w:r>
      <w:r>
        <w:rPr>
          <w:i/>
          <w:szCs w:val="24"/>
          <w:lang w:val="es-ES_tradnl"/>
        </w:rPr>
        <w:t xml:space="preserve">Reglamento sobre la igualdad de derechos de las personas con discapacidad (expertos en servicios de accesibilidad con licencia) </w:t>
      </w:r>
      <w:r>
        <w:rPr>
          <w:szCs w:val="24"/>
          <w:lang w:val="es-ES_tradnl"/>
        </w:rPr>
        <w:t>de 5767/2007 prescriben los requisitos necesarios para la inscripción de expertos en construcción, infraestructuras y accesibilidad medioambiental con licencia y de expertos en servicios de accesibilidad con licencia, respectivamente.</w:t>
      </w:r>
    </w:p>
    <w:p w:rsidR="00F92819" w:rsidRDefault="00F92819">
      <w:pPr>
        <w:pStyle w:val="H4G"/>
        <w:rPr>
          <w:szCs w:val="24"/>
        </w:rPr>
      </w:pPr>
      <w:bookmarkStart w:id="1" w:name="OLE_LINK2"/>
      <w:r>
        <w:rPr>
          <w:szCs w:val="24"/>
        </w:rPr>
        <w:tab/>
      </w:r>
      <w:r>
        <w:rPr>
          <w:szCs w:val="24"/>
        </w:rPr>
        <w:tab/>
      </w:r>
      <w:r>
        <w:rPr>
          <w:szCs w:val="24"/>
          <w:lang w:val="es-ES_tradnl"/>
        </w:rPr>
        <w:t>Transporte</w:t>
      </w:r>
    </w:p>
    <w:bookmarkEnd w:id="1"/>
    <w:p w:rsidR="00F92819" w:rsidRDefault="00F92819">
      <w:pPr>
        <w:pStyle w:val="SingleTxtG"/>
        <w:rPr>
          <w:szCs w:val="24"/>
        </w:rPr>
      </w:pPr>
      <w:r>
        <w:rPr>
          <w:szCs w:val="24"/>
        </w:rPr>
        <w:t>109.</w:t>
      </w:r>
      <w:r>
        <w:rPr>
          <w:szCs w:val="24"/>
        </w:rPr>
        <w:tab/>
      </w:r>
      <w:r>
        <w:rPr>
          <w:szCs w:val="24"/>
          <w:lang w:val="es-ES_tradnl"/>
        </w:rPr>
        <w:t>La legislación que exige la accesibilidad del transporte público formaba parte de la Ley original de igualdad de derechos de las personas con discapacidad.</w:t>
      </w:r>
      <w:r>
        <w:rPr>
          <w:szCs w:val="24"/>
        </w:rPr>
        <w:t xml:space="preserve"> </w:t>
      </w:r>
      <w:r>
        <w:rPr>
          <w:szCs w:val="24"/>
          <w:lang w:val="es-ES_tradnl"/>
        </w:rPr>
        <w:t>El Reglamento sobre igualdad de derechos de las personas con discapacidad (accesibilidad al transporte público) de 5763/2003 establece detalladamente las obligaciones de las empresas de transporte público (trenes, barcos, transporte aéreo, líneas de autobuses municipales, estaciones centrales de autobuses, estaciones ferroviarias, aeropuertos, etc.) para facilitar el acceso a las personas con discapacidad.</w:t>
      </w:r>
    </w:p>
    <w:p w:rsidR="00F92819" w:rsidRDefault="00F92819">
      <w:pPr>
        <w:pStyle w:val="H23G"/>
        <w:rPr>
          <w:szCs w:val="24"/>
        </w:rPr>
      </w:pPr>
      <w:r>
        <w:rPr>
          <w:szCs w:val="24"/>
        </w:rPr>
        <w:tab/>
      </w:r>
      <w:r>
        <w:rPr>
          <w:szCs w:val="24"/>
        </w:rPr>
        <w:tab/>
      </w:r>
      <w:r>
        <w:rPr>
          <w:szCs w:val="24"/>
          <w:lang w:val="es-ES_tradnl"/>
        </w:rPr>
        <w:t>Vivienda comunitaria</w:t>
      </w:r>
    </w:p>
    <w:p w:rsidR="00F92819" w:rsidRDefault="00F92819">
      <w:pPr>
        <w:pStyle w:val="SingleTxtG"/>
        <w:rPr>
          <w:szCs w:val="24"/>
        </w:rPr>
      </w:pPr>
      <w:r w:rsidRPr="00B6114A">
        <w:rPr>
          <w:szCs w:val="24"/>
        </w:rPr>
        <w:t>110.</w:t>
      </w:r>
      <w:r w:rsidRPr="00B6114A">
        <w:rPr>
          <w:szCs w:val="24"/>
        </w:rPr>
        <w:tab/>
      </w:r>
      <w:r>
        <w:rPr>
          <w:b/>
          <w:szCs w:val="24"/>
          <w:lang w:val="es-ES_tradnl"/>
        </w:rPr>
        <w:t>Vivienda comunitaria para personas con discapacidad intelectual.</w:t>
      </w:r>
      <w:r>
        <w:rPr>
          <w:b/>
          <w:szCs w:val="24"/>
        </w:rPr>
        <w:t xml:space="preserve"> </w:t>
      </w:r>
      <w:r>
        <w:rPr>
          <w:szCs w:val="24"/>
          <w:lang w:val="es-ES_tradnl"/>
        </w:rPr>
        <w:t>Hoy viven en Israel unas 33.000 personas con discapacidad intelectual, de las cuales 25.000 reciben la atención de los servicios sociales.</w:t>
      </w:r>
      <w:r>
        <w:rPr>
          <w:szCs w:val="24"/>
        </w:rPr>
        <w:t xml:space="preserve"> </w:t>
      </w:r>
      <w:r>
        <w:rPr>
          <w:szCs w:val="24"/>
          <w:lang w:val="es-ES_tradnl"/>
        </w:rPr>
        <w:t>Algunas viven en su casa y otras en diversos establecimientos de servicios residenciales.</w:t>
      </w:r>
    </w:p>
    <w:p w:rsidR="00F92819" w:rsidRDefault="00F92819">
      <w:pPr>
        <w:pStyle w:val="SingleTxtG"/>
        <w:rPr>
          <w:szCs w:val="24"/>
        </w:rPr>
      </w:pPr>
      <w:r>
        <w:rPr>
          <w:szCs w:val="24"/>
        </w:rPr>
        <w:t>111.</w:t>
      </w:r>
      <w:r>
        <w:rPr>
          <w:szCs w:val="24"/>
        </w:rPr>
        <w:tab/>
      </w:r>
      <w:r>
        <w:rPr>
          <w:szCs w:val="24"/>
          <w:lang w:val="es-ES_tradnl"/>
        </w:rPr>
        <w:t>Actualmente 63 establecimientos residenciales dan alojamiento a personas con discapacidad intelectual:</w:t>
      </w:r>
      <w:r>
        <w:rPr>
          <w:szCs w:val="24"/>
        </w:rPr>
        <w:t xml:space="preserve"> </w:t>
      </w:r>
      <w:r>
        <w:rPr>
          <w:szCs w:val="24"/>
          <w:lang w:val="es-ES_tradnl"/>
        </w:rPr>
        <w:t>nueve establecimientos estatales tienen 1.816 residentes, 40 establecimientos privados, 3.740 y 14 establecimientos públicos administrados por organizaciones sin fines de lucro, 1.175.</w:t>
      </w:r>
    </w:p>
    <w:p w:rsidR="00F92819" w:rsidRDefault="00F92819">
      <w:pPr>
        <w:pStyle w:val="SingleTxtG"/>
        <w:rPr>
          <w:szCs w:val="24"/>
        </w:rPr>
      </w:pPr>
      <w:r>
        <w:rPr>
          <w:szCs w:val="24"/>
        </w:rPr>
        <w:t>112.</w:t>
      </w:r>
      <w:r>
        <w:rPr>
          <w:szCs w:val="24"/>
        </w:rPr>
        <w:tab/>
      </w:r>
      <w:r>
        <w:rPr>
          <w:szCs w:val="24"/>
          <w:lang w:val="es-ES_tradnl"/>
        </w:rPr>
        <w:t>Existen además varias opciones de vivienda comunitaria:</w:t>
      </w:r>
      <w:r>
        <w:rPr>
          <w:szCs w:val="24"/>
        </w:rPr>
        <w:t xml:space="preserve"> </w:t>
      </w:r>
      <w:r>
        <w:rPr>
          <w:szCs w:val="24"/>
          <w:lang w:val="es-ES_tradnl"/>
        </w:rPr>
        <w:t>140 familias de acogida, 48 albergues (hasta 24 residentes por albergue), 21 casas comunitarias (hasta 15 residentes en cada una) y 166 apartamentos en la comunidad (hasta seis residentes por apartamento).</w:t>
      </w:r>
    </w:p>
    <w:p w:rsidR="00F92819" w:rsidRDefault="00F92819">
      <w:pPr>
        <w:pStyle w:val="SingleTxtG"/>
        <w:rPr>
          <w:szCs w:val="24"/>
        </w:rPr>
      </w:pPr>
      <w:r>
        <w:rPr>
          <w:szCs w:val="24"/>
        </w:rPr>
        <w:t>113.</w:t>
      </w:r>
      <w:r>
        <w:rPr>
          <w:szCs w:val="24"/>
        </w:rPr>
        <w:tab/>
      </w:r>
      <w:r>
        <w:rPr>
          <w:szCs w:val="24"/>
          <w:lang w:val="es-ES_tradnl"/>
        </w:rPr>
        <w:t xml:space="preserve">En una enmienda a la </w:t>
      </w:r>
      <w:r>
        <w:rPr>
          <w:i/>
          <w:szCs w:val="24"/>
          <w:lang w:val="es-ES_tradnl"/>
        </w:rPr>
        <w:t xml:space="preserve">Ley de bienestar social (trato de personas con discapacidad intelectual) </w:t>
      </w:r>
      <w:r>
        <w:rPr>
          <w:szCs w:val="24"/>
          <w:lang w:val="es-ES_tradnl"/>
        </w:rPr>
        <w:t xml:space="preserve">de 5729/1969 sancionada en 2000 se dispone que cuando una persona con discapacidad intelectual debe vivir fuera de su hogar familiar, se debe dar prioridad al alojamiento en </w:t>
      </w:r>
      <w:smartTag w:uri="urn:schemas-microsoft-com:office:smarttags" w:element="PersonName">
        <w:smartTagPr>
          <w:attr w:name="ProductID" w:val="la comunidad. El Departamento"/>
        </w:smartTagPr>
        <w:r>
          <w:rPr>
            <w:szCs w:val="24"/>
            <w:lang w:val="es-ES_tradnl"/>
          </w:rPr>
          <w:t>la comunidad.</w:t>
        </w:r>
        <w:r>
          <w:rPr>
            <w:szCs w:val="24"/>
          </w:rPr>
          <w:t xml:space="preserve"> </w:t>
        </w:r>
        <w:r>
          <w:rPr>
            <w:szCs w:val="24"/>
            <w:lang w:val="es-ES_tradnl"/>
          </w:rPr>
          <w:t>El Departamento</w:t>
        </w:r>
      </w:smartTag>
      <w:r>
        <w:rPr>
          <w:szCs w:val="24"/>
          <w:lang w:val="es-ES_tradnl"/>
        </w:rPr>
        <w:t xml:space="preserve"> de Trato de las Personas con Discapacidad Intelectual del Ministerio de Asuntos Sociales y Servicios Sociales toma medidas para que se cumpla esta prioridad, puesto que la tendencia general es trasladar a las personas de los establecimientos residenciales a las viviendas comunitarias del tipo de los albergues.</w:t>
      </w:r>
      <w:r>
        <w:rPr>
          <w:szCs w:val="24"/>
        </w:rPr>
        <w:t xml:space="preserve"> </w:t>
      </w:r>
      <w:r>
        <w:rPr>
          <w:szCs w:val="24"/>
          <w:lang w:val="es-ES_tradnl"/>
        </w:rPr>
        <w:t xml:space="preserve">En la práctica, el alojamiento en la comunidad es la opción dominante actualmente, de modo que dos tercios de las personas con discapacidad que viven fuera de sus hogares familiares residen en la comunidad.  </w:t>
      </w:r>
    </w:p>
    <w:p w:rsidR="00F92819" w:rsidRDefault="00F92819">
      <w:pPr>
        <w:pStyle w:val="SingleTxtG"/>
        <w:rPr>
          <w:szCs w:val="24"/>
        </w:rPr>
      </w:pPr>
      <w:r>
        <w:rPr>
          <w:szCs w:val="24"/>
        </w:rPr>
        <w:t>114.</w:t>
      </w:r>
      <w:r>
        <w:rPr>
          <w:szCs w:val="24"/>
        </w:rPr>
        <w:tab/>
      </w:r>
      <w:r>
        <w:rPr>
          <w:szCs w:val="24"/>
          <w:lang w:val="es-ES_tradnl"/>
        </w:rPr>
        <w:t>A raíz de una petición reciente al Tribunal Supremo, las limitaciones establecidas por el Ministerio de Asuntos Sociales y Servicios Sociales sobre viviendas comunitarias se han reducido a casos en que los servicios médicos prestados en la comunidad son insuficientes o a casos de violencia o problemas graves de conducta.</w:t>
      </w:r>
      <w:r>
        <w:rPr>
          <w:szCs w:val="24"/>
        </w:rPr>
        <w:t xml:space="preserve"> </w:t>
      </w:r>
      <w:r>
        <w:rPr>
          <w:szCs w:val="24"/>
          <w:lang w:val="es-ES_tradnl"/>
        </w:rPr>
        <w:t>Con el fin de aplicar la nueva política, el Ministerio de Asuntos Sociales y Servicios Sociales ha decidido establecer albergues en la comunidad, donde residirán entre 16 y 24 personas con discapacidad intelectual.</w:t>
      </w:r>
      <w:r>
        <w:rPr>
          <w:szCs w:val="24"/>
        </w:rPr>
        <w:t xml:space="preserve"> </w:t>
      </w:r>
      <w:r>
        <w:rPr>
          <w:szCs w:val="24"/>
          <w:lang w:val="es-ES_tradnl"/>
        </w:rPr>
        <w:t xml:space="preserve">El Tribunal Supremo (H.C.J 3304/07 </w:t>
      </w:r>
      <w:r>
        <w:rPr>
          <w:i/>
          <w:szCs w:val="24"/>
          <w:lang w:val="es-ES_tradnl"/>
        </w:rPr>
        <w:t xml:space="preserve">Lior Levi et. al c. el Estado de Israel et. al. </w:t>
      </w:r>
      <w:r>
        <w:rPr>
          <w:szCs w:val="24"/>
          <w:lang w:val="es-ES_tradnl"/>
        </w:rPr>
        <w:t>(24 de septiembre de 2008) ha aprobado recientemente la revisión de las políticas del Ministerio relacionadas con las limitaciones de vivir en la comunidad y con la construcción de albergues en ella.</w:t>
      </w:r>
    </w:p>
    <w:p w:rsidR="00F92819" w:rsidRDefault="00F92819">
      <w:pPr>
        <w:pStyle w:val="SingleTxtG"/>
        <w:rPr>
          <w:szCs w:val="24"/>
        </w:rPr>
      </w:pPr>
      <w:r w:rsidRPr="00B6114A">
        <w:rPr>
          <w:szCs w:val="24"/>
        </w:rPr>
        <w:t>115.</w:t>
      </w:r>
      <w:r w:rsidRPr="00B6114A">
        <w:rPr>
          <w:szCs w:val="24"/>
        </w:rPr>
        <w:tab/>
      </w:r>
      <w:r>
        <w:rPr>
          <w:b/>
          <w:szCs w:val="24"/>
          <w:lang w:val="es-ES_tradnl"/>
        </w:rPr>
        <w:t>Vivienda comunitaria para personas con discapacidad física.</w:t>
      </w:r>
      <w:r>
        <w:rPr>
          <w:b/>
          <w:szCs w:val="24"/>
        </w:rPr>
        <w:t xml:space="preserve"> </w:t>
      </w:r>
      <w:r>
        <w:rPr>
          <w:szCs w:val="24"/>
          <w:lang w:val="es-ES_tradnl"/>
        </w:rPr>
        <w:t>El Departamento de Rehabilitación del Ministerio de Industria, Comercio y Trabajo, que está encargado del tratamiento de las personas con discapacidades físicas o sensoriales, asigna el 85% del presupuesto a la vivienda comunitaria (principalmente albergues y apartamentos).</w:t>
      </w:r>
      <w:r>
        <w:rPr>
          <w:szCs w:val="24"/>
        </w:rPr>
        <w:t xml:space="preserve"> </w:t>
      </w:r>
      <w:r>
        <w:rPr>
          <w:szCs w:val="24"/>
          <w:lang w:val="es-ES_tradnl"/>
        </w:rPr>
        <w:t>El resto del presupuesto se dedica a mantener los establecimientos residenciales actuales.</w:t>
      </w:r>
      <w:r>
        <w:rPr>
          <w:szCs w:val="24"/>
        </w:rPr>
        <w:t xml:space="preserve"> </w:t>
      </w:r>
      <w:r>
        <w:rPr>
          <w:szCs w:val="24"/>
          <w:lang w:val="es-ES_tradnl"/>
        </w:rPr>
        <w:t>Desde 2001 no se han establecido nuevas residencias, puesto que la mayoría del presupuesto se invierte en vivienda comunitaria.</w:t>
      </w:r>
      <w:r>
        <w:rPr>
          <w:szCs w:val="24"/>
        </w:rPr>
        <w:t xml:space="preserve"> </w:t>
      </w:r>
      <w:r>
        <w:rPr>
          <w:szCs w:val="24"/>
          <w:lang w:val="es-ES_tradnl"/>
        </w:rPr>
        <w:t>Hace poco el Departamento llamó a licitación para construir nuevos albergues para personas con discapacidad grave.</w:t>
      </w:r>
      <w:r>
        <w:rPr>
          <w:szCs w:val="24"/>
        </w:rPr>
        <w:t xml:space="preserve"> </w:t>
      </w:r>
      <w:r>
        <w:rPr>
          <w:szCs w:val="24"/>
          <w:lang w:val="es-ES_tradnl"/>
        </w:rPr>
        <w:t>Además, los establecimientos actuales tendrán que derivar a las personas aptas de las residencias a la vivienda comunitaria.</w:t>
      </w:r>
    </w:p>
    <w:p w:rsidR="00F92819" w:rsidRDefault="00F92819">
      <w:pPr>
        <w:pStyle w:val="H4G"/>
        <w:rPr>
          <w:szCs w:val="24"/>
        </w:rPr>
      </w:pPr>
      <w:r>
        <w:rPr>
          <w:szCs w:val="24"/>
        </w:rPr>
        <w:tab/>
      </w:r>
      <w:r>
        <w:rPr>
          <w:szCs w:val="24"/>
        </w:rPr>
        <w:tab/>
      </w:r>
      <w:r>
        <w:rPr>
          <w:szCs w:val="24"/>
          <w:lang w:val="es-ES_tradnl"/>
        </w:rPr>
        <w:t>Cultura y esparcimiento</w:t>
      </w:r>
    </w:p>
    <w:p w:rsidR="00F92819" w:rsidRDefault="00F92819">
      <w:pPr>
        <w:pStyle w:val="SingleTxtG"/>
        <w:rPr>
          <w:szCs w:val="24"/>
        </w:rPr>
      </w:pPr>
      <w:r>
        <w:rPr>
          <w:szCs w:val="24"/>
        </w:rPr>
        <w:t>116.</w:t>
      </w:r>
      <w:r>
        <w:rPr>
          <w:szCs w:val="24"/>
        </w:rPr>
        <w:tab/>
      </w:r>
      <w:r>
        <w:rPr>
          <w:szCs w:val="24"/>
          <w:lang w:val="es-ES_tradnl"/>
        </w:rPr>
        <w:t>Se han producido varias novedades importantes al respecto desde el informe periódico anterior de Israel.</w:t>
      </w:r>
      <w:r>
        <w:rPr>
          <w:szCs w:val="24"/>
        </w:rPr>
        <w:t xml:space="preserve"> </w:t>
      </w:r>
      <w:r>
        <w:rPr>
          <w:szCs w:val="24"/>
          <w:lang w:val="es-ES_tradnl"/>
        </w:rPr>
        <w:t xml:space="preserve">En primer lugar, los muchos avances en accesibilidad mencionados influyen en todos los aspectos de la vida de los discapacitados, incluido el acceso a acontecimientos culturales y lugares de ocio. </w:t>
      </w:r>
    </w:p>
    <w:p w:rsidR="00F92819" w:rsidRDefault="00F92819">
      <w:pPr>
        <w:pStyle w:val="SingleTxtG"/>
        <w:rPr>
          <w:szCs w:val="24"/>
        </w:rPr>
      </w:pPr>
      <w:r>
        <w:rPr>
          <w:szCs w:val="24"/>
        </w:rPr>
        <w:t>117.</w:t>
      </w:r>
      <w:r>
        <w:rPr>
          <w:szCs w:val="24"/>
        </w:rPr>
        <w:tab/>
      </w:r>
      <w:r>
        <w:rPr>
          <w:szCs w:val="24"/>
          <w:lang w:val="es-ES_tradnl"/>
        </w:rPr>
        <w:t>Recientemente se ha facilitado el acceso de los discapacitados a una serie de centros turísticos con la contribución de los fondos del Instituto Nacional de Seguros.</w:t>
      </w:r>
    </w:p>
    <w:p w:rsidR="00F92819" w:rsidRDefault="00F92819">
      <w:pPr>
        <w:pStyle w:val="SingleTxtG"/>
        <w:rPr>
          <w:szCs w:val="24"/>
        </w:rPr>
      </w:pPr>
      <w:r>
        <w:rPr>
          <w:szCs w:val="24"/>
        </w:rPr>
        <w:t>118.</w:t>
      </w:r>
      <w:r>
        <w:rPr>
          <w:szCs w:val="24"/>
        </w:rPr>
        <w:tab/>
      </w:r>
      <w:r>
        <w:rPr>
          <w:szCs w:val="24"/>
          <w:lang w:val="es-ES_tradnl"/>
        </w:rPr>
        <w:t>En septiembre de 2008 se promulgaron nuevos reglamentos que obligaban a diversos lugares públicos a adaptarse a las necesidades de las personas con discapacidad.</w:t>
      </w:r>
      <w:r>
        <w:rPr>
          <w:szCs w:val="24"/>
        </w:rPr>
        <w:t xml:space="preserve"> </w:t>
      </w:r>
      <w:r>
        <w:rPr>
          <w:szCs w:val="24"/>
          <w:lang w:val="es-ES_tradnl"/>
        </w:rPr>
        <w:t xml:space="preserve">El </w:t>
      </w:r>
      <w:r>
        <w:rPr>
          <w:i/>
          <w:szCs w:val="24"/>
          <w:lang w:val="es-ES_tradnl"/>
        </w:rPr>
        <w:t>Reglamento sobre igualdad de derechos de las personas con discapacidad (adaptaciones para la accesibilidad a sitios públicos)</w:t>
      </w:r>
      <w:r>
        <w:rPr>
          <w:szCs w:val="24"/>
          <w:lang w:val="es-ES_tradnl"/>
        </w:rPr>
        <w:t xml:space="preserve"> de 5768/2008 establece los requisitos de accesibilidad a zonas arqueológicas, parques nacionales y reservas naturales, así como a otras zonas, principalmente bosques, gestionadas por el Fondo Nacional Judío o en su nombre.</w:t>
      </w:r>
      <w:r>
        <w:rPr>
          <w:szCs w:val="24"/>
        </w:rPr>
        <w:t xml:space="preserve"> </w:t>
      </w:r>
      <w:r>
        <w:rPr>
          <w:szCs w:val="24"/>
          <w:lang w:val="es-ES_tradnl"/>
        </w:rPr>
        <w:t>De conformidad con este reglamento, no se abrirán nuevas zonas al público a menos que se cumplan los requisitos de accesibilidad</w:t>
      </w:r>
      <w:r>
        <w:rPr>
          <w:szCs w:val="24"/>
        </w:rPr>
        <w:t xml:space="preserve"> </w:t>
      </w:r>
      <w:r>
        <w:rPr>
          <w:szCs w:val="24"/>
          <w:lang w:val="es-ES_tradnl"/>
        </w:rPr>
        <w:t>y las zonas actuales están obligadas a cumplir gradualmente los requisitos en el plazo de 10 años.</w:t>
      </w:r>
    </w:p>
    <w:p w:rsidR="00F92819" w:rsidRDefault="00F92819">
      <w:pPr>
        <w:pStyle w:val="SingleTxtG"/>
        <w:rPr>
          <w:szCs w:val="24"/>
        </w:rPr>
      </w:pPr>
      <w:r>
        <w:rPr>
          <w:szCs w:val="24"/>
        </w:rPr>
        <w:t>119.</w:t>
      </w:r>
      <w:r>
        <w:rPr>
          <w:szCs w:val="24"/>
        </w:rPr>
        <w:tab/>
      </w:r>
      <w:smartTag w:uri="urn:schemas-microsoft-com:office:smarttags" w:element="PersonName">
        <w:smartTagPr>
          <w:attr w:name="ProductID" w:val="La mencionada Ley"/>
        </w:smartTagPr>
        <w:r>
          <w:rPr>
            <w:szCs w:val="24"/>
            <w:lang w:val="es-ES_tradnl"/>
          </w:rPr>
          <w:t xml:space="preserve">La mencionada </w:t>
        </w:r>
        <w:r>
          <w:rPr>
            <w:i/>
            <w:szCs w:val="24"/>
            <w:lang w:val="es-ES_tradnl"/>
          </w:rPr>
          <w:t>Ley</w:t>
        </w:r>
      </w:smartTag>
      <w:r>
        <w:rPr>
          <w:i/>
          <w:szCs w:val="24"/>
          <w:lang w:val="es-ES_tradnl"/>
        </w:rPr>
        <w:t xml:space="preserve"> de emisiones por televisión (subtítulos y lenguaje de señas)</w:t>
      </w:r>
      <w:r>
        <w:rPr>
          <w:szCs w:val="24"/>
          <w:lang w:val="es-ES_tradnl"/>
        </w:rPr>
        <w:t xml:space="preserve"> establece un plan reglamentario exhaustivo en este ámbito que sustituye a su predecesora, la </w:t>
      </w:r>
      <w:r>
        <w:rPr>
          <w:i/>
          <w:szCs w:val="24"/>
          <w:lang w:val="es-ES_tradnl"/>
        </w:rPr>
        <w:t>Ley de ayuda a las personas sordas</w:t>
      </w:r>
      <w:r>
        <w:rPr>
          <w:szCs w:val="24"/>
          <w:lang w:val="es-ES_tradnl"/>
        </w:rPr>
        <w:t xml:space="preserve"> de 1992, de carácter mucho más restrictivo. </w:t>
      </w:r>
      <w:smartTag w:uri="urn:schemas-microsoft-com:office:smarttags" w:element="PersonName">
        <w:smartTagPr>
          <w:attr w:name="ProductID" w:val="la nueva Ley"/>
        </w:smartTagPr>
        <w:r>
          <w:rPr>
            <w:szCs w:val="24"/>
            <w:lang w:val="es-ES_tradnl"/>
          </w:rPr>
          <w:t>La nueva Ley</w:t>
        </w:r>
      </w:smartTag>
      <w:r>
        <w:rPr>
          <w:szCs w:val="24"/>
          <w:lang w:val="es-ES_tradnl"/>
        </w:rPr>
        <w:t xml:space="preserve"> impone mayores responsabilidades y restricciones a las empresas de difusión con el fin de mejorar lo máximo posible la accesibilidad de las personas con discapacidad a las emisiones de televisión.</w:t>
      </w:r>
    </w:p>
    <w:p w:rsidR="00F92819" w:rsidRDefault="00F92819">
      <w:pPr>
        <w:pStyle w:val="SingleTxtG"/>
        <w:rPr>
          <w:szCs w:val="24"/>
        </w:rPr>
      </w:pPr>
      <w:r>
        <w:rPr>
          <w:szCs w:val="24"/>
        </w:rPr>
        <w:t>120.</w:t>
      </w:r>
      <w:r>
        <w:rPr>
          <w:szCs w:val="24"/>
        </w:rPr>
        <w:tab/>
      </w:r>
      <w:r>
        <w:rPr>
          <w:szCs w:val="24"/>
          <w:lang w:val="es-ES_tradnl"/>
        </w:rPr>
        <w:t xml:space="preserve">En 2008 el Consejo para la Transmisión de Televisión por Cable y por Satélite, un organismo público creado en virtud de la </w:t>
      </w:r>
      <w:r>
        <w:rPr>
          <w:i/>
          <w:szCs w:val="24"/>
          <w:lang w:val="es-ES_tradnl"/>
        </w:rPr>
        <w:t>Ley de telecomunicaciones</w:t>
      </w:r>
      <w:r>
        <w:rPr>
          <w:szCs w:val="24"/>
          <w:lang w:val="es-ES_tradnl"/>
        </w:rPr>
        <w:t xml:space="preserve"> de 5742/1982, optó por diferenciar la definición del horario de máxima audiencia para los canales infantiles, de manera que la exigencia de subtítulos coincidirá con el horario principal en que los niños con discapacidad auditiva ven </w:t>
      </w:r>
      <w:smartTag w:uri="urn:schemas-microsoft-com:office:smarttags" w:element="PersonName">
        <w:smartTagPr>
          <w:attr w:name="ProductID" w:val="la televisi￳n. El Consejo"/>
        </w:smartTagPr>
        <w:r>
          <w:rPr>
            <w:szCs w:val="24"/>
            <w:lang w:val="es-ES_tradnl"/>
          </w:rPr>
          <w:t>la televisión.</w:t>
        </w:r>
        <w:r>
          <w:rPr>
            <w:szCs w:val="24"/>
          </w:rPr>
          <w:t xml:space="preserve"> </w:t>
        </w:r>
        <w:r>
          <w:rPr>
            <w:szCs w:val="24"/>
            <w:lang w:val="es-ES_tradnl"/>
          </w:rPr>
          <w:t>El Consejo</w:t>
        </w:r>
      </w:smartTag>
      <w:r>
        <w:rPr>
          <w:szCs w:val="24"/>
          <w:lang w:val="es-ES_tradnl"/>
        </w:rPr>
        <w:t xml:space="preserve"> también acordó una lista de los programas infantiles de interés general que serán subtitulados.</w:t>
      </w:r>
    </w:p>
    <w:p w:rsidR="00F92819" w:rsidRDefault="00F92819">
      <w:pPr>
        <w:pStyle w:val="H23G"/>
        <w:rPr>
          <w:szCs w:val="24"/>
        </w:rPr>
      </w:pPr>
      <w:r>
        <w:rPr>
          <w:szCs w:val="24"/>
        </w:rPr>
        <w:tab/>
      </w:r>
      <w:r>
        <w:rPr>
          <w:szCs w:val="24"/>
        </w:rPr>
        <w:tab/>
      </w:r>
      <w:r>
        <w:rPr>
          <w:szCs w:val="24"/>
          <w:lang w:val="es-ES_tradnl"/>
        </w:rPr>
        <w:t>Cooperación internacional</w:t>
      </w:r>
    </w:p>
    <w:p w:rsidR="00F92819" w:rsidRDefault="00F92819">
      <w:pPr>
        <w:pStyle w:val="SingleTxtG"/>
        <w:rPr>
          <w:szCs w:val="24"/>
        </w:rPr>
      </w:pPr>
      <w:r>
        <w:rPr>
          <w:szCs w:val="24"/>
        </w:rPr>
        <w:t>121.</w:t>
      </w:r>
      <w:r>
        <w:rPr>
          <w:szCs w:val="24"/>
        </w:rPr>
        <w:tab/>
      </w:r>
      <w:r>
        <w:rPr>
          <w:szCs w:val="24"/>
          <w:lang w:val="es-ES_tradnl"/>
        </w:rPr>
        <w:t>Esta cuestión se ha examinado en los anteriores informes de Israel</w:t>
      </w:r>
      <w:r>
        <w:rPr>
          <w:szCs w:val="24"/>
        </w:rPr>
        <w:t xml:space="preserve"> </w:t>
      </w:r>
      <w:r>
        <w:rPr>
          <w:szCs w:val="24"/>
          <w:lang w:val="es-ES_tradnl"/>
        </w:rPr>
        <w:t>y no ha habido cambios al respecto desde la presentación del segundo informe periódico.</w:t>
      </w:r>
    </w:p>
    <w:p w:rsidR="00F92819" w:rsidRDefault="00F92819">
      <w:pPr>
        <w:pStyle w:val="H23G"/>
        <w:rPr>
          <w:szCs w:val="24"/>
        </w:rPr>
      </w:pPr>
      <w:r>
        <w:rPr>
          <w:szCs w:val="24"/>
        </w:rPr>
        <w:tab/>
      </w:r>
      <w:r>
        <w:rPr>
          <w:szCs w:val="24"/>
        </w:rPr>
        <w:tab/>
      </w:r>
      <w:r>
        <w:rPr>
          <w:szCs w:val="24"/>
          <w:lang w:val="es-ES_tradnl"/>
        </w:rPr>
        <w:t>Información adicional</w:t>
      </w:r>
    </w:p>
    <w:p w:rsidR="00F92819" w:rsidRDefault="00F92819">
      <w:pPr>
        <w:pStyle w:val="SingleTxtG"/>
        <w:rPr>
          <w:szCs w:val="24"/>
        </w:rPr>
      </w:pPr>
      <w:r>
        <w:rPr>
          <w:szCs w:val="24"/>
        </w:rPr>
        <w:t>122.</w:t>
      </w:r>
      <w:r>
        <w:rPr>
          <w:szCs w:val="24"/>
        </w:rPr>
        <w:tab/>
      </w:r>
      <w:r>
        <w:rPr>
          <w:szCs w:val="24"/>
          <w:lang w:val="es-ES_tradnl"/>
        </w:rPr>
        <w:t xml:space="preserve">Para obtener más información con respecto a la eliminación de todas las formas de discriminación, véanse los informes periódicos 10º a 13º del Estado de Israel sobre la aplicación de </w:t>
      </w:r>
      <w:smartTag w:uri="urn:schemas-microsoft-com:office:smarttags" w:element="PersonName">
        <w:smartTagPr>
          <w:attr w:name="ProductID" w:val="la Convenci￳n Internacional"/>
        </w:smartTagPr>
        <w:r>
          <w:rPr>
            <w:szCs w:val="24"/>
            <w:lang w:val="es-ES_tradnl"/>
          </w:rPr>
          <w:t>la Convención Internacional</w:t>
        </w:r>
      </w:smartTag>
      <w:r>
        <w:rPr>
          <w:szCs w:val="24"/>
          <w:lang w:val="es-ES_tradnl"/>
        </w:rPr>
        <w:t xml:space="preserve"> sobre la eliminación de todas las Formas de Discriminación Racial (CERD), reunidos en un documento y presentados en mayo de 2005, y el tercer informe periódico del Estado de Israel sobre la aplicación del Pacto Internacional de Derechos Civiles y Políticos (ICCPR), presentado en julio de 2008.</w:t>
      </w:r>
    </w:p>
    <w:p w:rsidR="00F92819" w:rsidRDefault="00F92819">
      <w:pPr>
        <w:pStyle w:val="H1G"/>
        <w:spacing w:after="0"/>
        <w:ind w:firstLine="0"/>
        <w:rPr>
          <w:szCs w:val="24"/>
          <w:lang w:val="es-ES_tradnl"/>
        </w:rPr>
      </w:pPr>
      <w:r>
        <w:rPr>
          <w:szCs w:val="24"/>
          <w:lang w:val="es-ES_tradnl"/>
        </w:rPr>
        <w:t>Artículo 3</w:t>
      </w:r>
    </w:p>
    <w:p w:rsidR="00F92819" w:rsidRDefault="00F92819">
      <w:pPr>
        <w:pStyle w:val="H1G"/>
        <w:spacing w:before="0"/>
        <w:ind w:firstLine="0"/>
        <w:rPr>
          <w:szCs w:val="24"/>
        </w:rPr>
      </w:pPr>
      <w:r>
        <w:rPr>
          <w:szCs w:val="24"/>
          <w:lang w:val="es-ES_tradnl"/>
        </w:rPr>
        <w:t>Prohibición de la discriminación entre hombres y mujeres</w:t>
      </w:r>
    </w:p>
    <w:p w:rsidR="00F92819" w:rsidRDefault="00F92819">
      <w:pPr>
        <w:pStyle w:val="SingleTxtG"/>
        <w:rPr>
          <w:szCs w:val="24"/>
        </w:rPr>
      </w:pPr>
      <w:r>
        <w:rPr>
          <w:szCs w:val="24"/>
        </w:rPr>
        <w:t>123.</w:t>
      </w:r>
      <w:r>
        <w:rPr>
          <w:szCs w:val="24"/>
        </w:rPr>
        <w:tab/>
      </w:r>
      <w:r>
        <w:rPr>
          <w:szCs w:val="24"/>
          <w:lang w:val="es-ES_tradnl"/>
        </w:rPr>
        <w:t>Los tribunales de Israel siguen protegiendo y defendiendo el principio de igualdad y prohibición de la discriminación, incluida la discriminación de género.</w:t>
      </w:r>
      <w:r>
        <w:rPr>
          <w:szCs w:val="24"/>
        </w:rPr>
        <w:t xml:space="preserve"> </w:t>
      </w:r>
      <w:r>
        <w:rPr>
          <w:szCs w:val="24"/>
          <w:lang w:val="es-ES_tradnl"/>
        </w:rPr>
        <w:t xml:space="preserve">Según el fallo del Tribunal Laboral de Tel Aviv en La.A. 8704/06 </w:t>
      </w:r>
      <w:r>
        <w:rPr>
          <w:i/>
          <w:szCs w:val="24"/>
          <w:lang w:val="es-ES_tradnl"/>
        </w:rPr>
        <w:t>Nadav Fitusi c. la N&amp;B Bogin Sports Center Ltd</w:t>
      </w:r>
      <w:r>
        <w:rPr>
          <w:szCs w:val="24"/>
          <w:lang w:val="es-ES_tradnl"/>
        </w:rPr>
        <w:t>:</w:t>
      </w:r>
      <w:r>
        <w:rPr>
          <w:szCs w:val="24"/>
        </w:rPr>
        <w:t xml:space="preserve"> </w:t>
      </w:r>
      <w:r>
        <w:rPr>
          <w:szCs w:val="24"/>
          <w:lang w:val="es-ES_tradnl"/>
        </w:rPr>
        <w:t>“toda discriminación basada en el género es un fenómeno social negativo que debe erradicarse por completo.</w:t>
      </w:r>
      <w:r>
        <w:rPr>
          <w:szCs w:val="24"/>
        </w:rPr>
        <w:t xml:space="preserve"> </w:t>
      </w:r>
      <w:r>
        <w:rPr>
          <w:szCs w:val="24"/>
          <w:lang w:val="es-ES_tradnl"/>
        </w:rPr>
        <w:t xml:space="preserve">La prohibición de la discriminación deriva no sólo de las disposiciones de la </w:t>
      </w:r>
      <w:r>
        <w:rPr>
          <w:i/>
          <w:szCs w:val="24"/>
          <w:lang w:val="es-ES_tradnl"/>
        </w:rPr>
        <w:t>Ley de igualdad de oportunidades de empleo</w:t>
      </w:r>
      <w:r>
        <w:rPr>
          <w:szCs w:val="24"/>
          <w:lang w:val="es-ES_tradnl"/>
        </w:rPr>
        <w:t xml:space="preserve"> de 5758/1988, sino también del principio general de igualdad que es parte de nuestro ordenamiento jurídico y está establecido en la </w:t>
      </w:r>
      <w:r>
        <w:rPr>
          <w:i/>
          <w:szCs w:val="24"/>
          <w:lang w:val="es-ES_tradnl"/>
        </w:rPr>
        <w:t>Ley fundamental:</w:t>
      </w:r>
      <w:r>
        <w:rPr>
          <w:i/>
          <w:szCs w:val="24"/>
        </w:rPr>
        <w:t xml:space="preserve"> </w:t>
      </w:r>
      <w:r>
        <w:rPr>
          <w:rFonts w:ascii="TimesNewRoman,Italic" w:hAnsi="TimesNewRoman,Italic"/>
          <w:i/>
          <w:szCs w:val="24"/>
          <w:lang w:val="es-ES_tradnl"/>
        </w:rPr>
        <w:t>dignidad y libertad humanas.”</w:t>
      </w:r>
    </w:p>
    <w:p w:rsidR="00F92819" w:rsidRDefault="00F92819">
      <w:pPr>
        <w:pStyle w:val="SingleTxtG"/>
        <w:rPr>
          <w:szCs w:val="24"/>
        </w:rPr>
      </w:pPr>
      <w:r>
        <w:rPr>
          <w:szCs w:val="24"/>
          <w:lang w:val="es-ES_tradnl"/>
        </w:rPr>
        <w:t>En este caso,</w:t>
      </w:r>
      <w:r>
        <w:rPr>
          <w:i/>
          <w:szCs w:val="24"/>
          <w:lang w:val="es-ES_tradnl"/>
        </w:rPr>
        <w:t xml:space="preserve"> </w:t>
      </w:r>
      <w:r>
        <w:rPr>
          <w:szCs w:val="24"/>
          <w:lang w:val="es-ES_tradnl"/>
        </w:rPr>
        <w:t>el demandante había sido empleado por el demandado como profesor de gimnasia y despedido porque el demandado deseaba reemplazarlo por una profesora.</w:t>
      </w:r>
      <w:r>
        <w:rPr>
          <w:szCs w:val="24"/>
        </w:rPr>
        <w:t xml:space="preserve"> </w:t>
      </w:r>
      <w:r>
        <w:rPr>
          <w:szCs w:val="24"/>
          <w:lang w:val="es-ES_tradnl"/>
        </w:rPr>
        <w:t>No había desacuerdo entre las partes en que el despido se debía únicamente al género del demandante.</w:t>
      </w:r>
    </w:p>
    <w:p w:rsidR="00F92819" w:rsidRDefault="00F92819">
      <w:pPr>
        <w:pStyle w:val="SingleTxtG"/>
        <w:rPr>
          <w:szCs w:val="24"/>
        </w:rPr>
      </w:pPr>
      <w:r>
        <w:rPr>
          <w:szCs w:val="24"/>
          <w:lang w:val="es-ES_tradnl"/>
        </w:rPr>
        <w:t>El Tribunal sostuvo que para probar la discriminación el trabajador sólo necesitaba convencer al tribunal de que tal consideración prohibida había sido efectivamente una causa en la decisión del empleador, aunque no hubiera sido la razón principal.</w:t>
      </w:r>
      <w:r>
        <w:rPr>
          <w:szCs w:val="24"/>
        </w:rPr>
        <w:t xml:space="preserve"> </w:t>
      </w:r>
      <w:r>
        <w:rPr>
          <w:szCs w:val="24"/>
          <w:lang w:val="es-ES_tradnl"/>
        </w:rPr>
        <w:t xml:space="preserve">Sobre la base del artículo 10 de la </w:t>
      </w:r>
      <w:r>
        <w:rPr>
          <w:i/>
          <w:szCs w:val="24"/>
          <w:lang w:val="es-ES_tradnl"/>
        </w:rPr>
        <w:t>Ley de igualdad de oportunidades de empleo</w:t>
      </w:r>
      <w:r>
        <w:rPr>
          <w:szCs w:val="24"/>
          <w:lang w:val="es-ES_tradnl"/>
        </w:rPr>
        <w:t>, el Tribunal ordenó al demandado pagar una indemnización de 30.000 nuevos sheqalim (8.108 dólares de los EE.UU.) al demandante, considerando las circunstancias particulares del caso.</w:t>
      </w:r>
    </w:p>
    <w:p w:rsidR="00F92819" w:rsidRDefault="00F92819">
      <w:pPr>
        <w:pStyle w:val="H23G"/>
        <w:rPr>
          <w:szCs w:val="24"/>
        </w:rPr>
      </w:pPr>
      <w:r>
        <w:rPr>
          <w:szCs w:val="24"/>
        </w:rPr>
        <w:tab/>
      </w:r>
      <w:r>
        <w:rPr>
          <w:szCs w:val="24"/>
        </w:rPr>
        <w:tab/>
      </w:r>
      <w:r>
        <w:rPr>
          <w:szCs w:val="24"/>
          <w:lang w:val="es-ES_tradnl"/>
        </w:rPr>
        <w:t>Gastos de servicios de guardería</w:t>
      </w:r>
    </w:p>
    <w:p w:rsidR="00F92819" w:rsidRDefault="00F92819">
      <w:pPr>
        <w:pStyle w:val="SingleTxtG"/>
        <w:rPr>
          <w:szCs w:val="24"/>
        </w:rPr>
      </w:pPr>
      <w:r>
        <w:rPr>
          <w:szCs w:val="24"/>
        </w:rPr>
        <w:t>124.</w:t>
      </w:r>
      <w:r>
        <w:rPr>
          <w:szCs w:val="24"/>
        </w:rPr>
        <w:tab/>
      </w:r>
      <w:r>
        <w:rPr>
          <w:szCs w:val="24"/>
          <w:lang w:val="es-ES_tradnl"/>
        </w:rPr>
        <w:t>El 3 de abril de 2008 el Tribunal del Distrito de Tel Aviv determinó que los gastos en servicios de guardería como, por ejemplo, párvulos y actividades extraescolares, son gastos efectuados con el fin de generar ingresos, por lo cual pueden deducirse del ingreso imponible de una madre cada año fiscal.</w:t>
      </w:r>
      <w:r>
        <w:rPr>
          <w:szCs w:val="24"/>
        </w:rPr>
        <w:t xml:space="preserve"> </w:t>
      </w:r>
      <w:r>
        <w:rPr>
          <w:szCs w:val="24"/>
          <w:lang w:val="es-ES_tradnl"/>
        </w:rPr>
        <w:t>El Tribunal resolvió que esos gastos son esenciales para permitir la integración de madres con hijos de corta edad en el mercado de trabajo.</w:t>
      </w:r>
    </w:p>
    <w:p w:rsidR="00F92819" w:rsidRDefault="00F92819">
      <w:pPr>
        <w:pStyle w:val="SingleTxtG"/>
        <w:rPr>
          <w:szCs w:val="24"/>
        </w:rPr>
      </w:pPr>
      <w:r>
        <w:rPr>
          <w:szCs w:val="24"/>
          <w:lang w:val="es-ES_tradnl"/>
        </w:rPr>
        <w:t>En este caso, el Tribunal sostuvo que una madre de dos hijos, abogada con actividad privada, debe trabajar muchas horas para tener éxito en su profesión y, por tanto, debe encontrar una solución para el cuidado y la supervisión de sus hijos en su horario de trabajo.</w:t>
      </w:r>
      <w:r>
        <w:rPr>
          <w:szCs w:val="24"/>
        </w:rPr>
        <w:t xml:space="preserve"> </w:t>
      </w:r>
      <w:r>
        <w:rPr>
          <w:szCs w:val="24"/>
          <w:lang w:val="es-ES_tradnl"/>
        </w:rPr>
        <w:t xml:space="preserve">Sin embargo, las autoridades tributarias se opusieron a la deducción de los gastos de guardería de la base imponible de </w:t>
      </w:r>
      <w:smartTag w:uri="urn:schemas-microsoft-com:office:smarttags" w:element="PersonName">
        <w:smartTagPr>
          <w:attr w:name="ProductID" w:val="la renta. El Tribunal"/>
        </w:smartTagPr>
        <w:r>
          <w:rPr>
            <w:szCs w:val="24"/>
            <w:lang w:val="es-ES_tradnl"/>
          </w:rPr>
          <w:t>la renta.</w:t>
        </w:r>
        <w:r>
          <w:rPr>
            <w:szCs w:val="24"/>
          </w:rPr>
          <w:t xml:space="preserve"> </w:t>
        </w:r>
        <w:r>
          <w:rPr>
            <w:szCs w:val="24"/>
            <w:lang w:val="es-ES_tradnl"/>
          </w:rPr>
          <w:t>El Tribunal</w:t>
        </w:r>
      </w:smartTag>
      <w:r>
        <w:rPr>
          <w:szCs w:val="24"/>
          <w:lang w:val="es-ES_tradnl"/>
        </w:rPr>
        <w:t xml:space="preserve"> sostuvo que debía establecerse una distinción entre el componente de cuidado y supervisión (incluida la cantidad necesaria para el funcionamiento de una institución dedicada al cuidado de los niños) y el componente de educación y enriquecimiento que recibe el niño cuando se encuentra en dichas instituciones.</w:t>
      </w:r>
    </w:p>
    <w:p w:rsidR="00F92819" w:rsidRDefault="00F92819">
      <w:pPr>
        <w:pStyle w:val="SingleTxtG"/>
        <w:rPr>
          <w:szCs w:val="24"/>
        </w:rPr>
      </w:pPr>
      <w:r>
        <w:rPr>
          <w:szCs w:val="24"/>
          <w:lang w:val="es-ES_tradnl"/>
        </w:rPr>
        <w:t>El Tribunal subrayó que la premisa es el derecho de ambos cónyuges a satisfacer sus aspiraciones de carrera, el derecho a realizar la voluntad de ejercer su profesión y generar un sustento para ellos y sus familiares.</w:t>
      </w:r>
      <w:r>
        <w:rPr>
          <w:szCs w:val="24"/>
        </w:rPr>
        <w:t xml:space="preserve"> </w:t>
      </w:r>
      <w:r>
        <w:rPr>
          <w:szCs w:val="24"/>
          <w:lang w:val="es-ES_tradnl"/>
        </w:rPr>
        <w:t>La acogida de niños que precisan supervisión de adultos en instituciones dedicadas a su cuidado se hace para permitir a ambos padres que trabajen.</w:t>
      </w:r>
      <w:r>
        <w:rPr>
          <w:szCs w:val="24"/>
        </w:rPr>
        <w:t xml:space="preserve"> </w:t>
      </w:r>
      <w:r>
        <w:rPr>
          <w:szCs w:val="24"/>
          <w:lang w:val="es-ES_tradnl"/>
        </w:rPr>
        <w:t>Por tanto, el Tribunal ordenó que las autoridades tributarias dedujeran dos tercios de los gastos incurridos en los años en litigio.</w:t>
      </w:r>
      <w:r>
        <w:rPr>
          <w:szCs w:val="24"/>
        </w:rPr>
        <w:t xml:space="preserve"> </w:t>
      </w:r>
      <w:r>
        <w:rPr>
          <w:szCs w:val="24"/>
          <w:lang w:val="es-ES_tradnl"/>
        </w:rPr>
        <w:t xml:space="preserve">(I.T.A (Tel Aviv) 1213/04 </w:t>
      </w:r>
      <w:r>
        <w:rPr>
          <w:i/>
          <w:szCs w:val="24"/>
          <w:lang w:val="es-ES_tradnl"/>
        </w:rPr>
        <w:t xml:space="preserve">Vered Peri c. el Asesor del impuesto sobre la renta del área metropolitana de Dan </w:t>
      </w:r>
      <w:r>
        <w:rPr>
          <w:szCs w:val="24"/>
          <w:lang w:val="es-ES_tradnl"/>
        </w:rPr>
        <w:t>(3 de abril de 2008)).</w:t>
      </w:r>
    </w:p>
    <w:p w:rsidR="00F92819" w:rsidRDefault="00F92819">
      <w:pPr>
        <w:pStyle w:val="SingleTxtG"/>
        <w:rPr>
          <w:szCs w:val="24"/>
        </w:rPr>
      </w:pPr>
      <w:r>
        <w:rPr>
          <w:szCs w:val="24"/>
        </w:rPr>
        <w:t>125.</w:t>
      </w:r>
      <w:r>
        <w:rPr>
          <w:szCs w:val="24"/>
        </w:rPr>
        <w:tab/>
      </w:r>
      <w:r>
        <w:rPr>
          <w:szCs w:val="24"/>
          <w:lang w:val="es-ES_tradnl"/>
        </w:rPr>
        <w:t>El 12 de mayo de 2008 el Estado de Israel interpuso un recurso de apelación ante el Tribunal Supremo y las acciones judiciales siguen pendientes.</w:t>
      </w:r>
      <w:r>
        <w:rPr>
          <w:szCs w:val="24"/>
        </w:rPr>
        <w:t xml:space="preserve"> </w:t>
      </w:r>
      <w:r>
        <w:rPr>
          <w:szCs w:val="24"/>
          <w:lang w:val="es-ES_tradnl"/>
        </w:rPr>
        <w:t xml:space="preserve">(C.A. 4248/08 </w:t>
      </w:r>
      <w:r>
        <w:rPr>
          <w:i/>
          <w:szCs w:val="24"/>
          <w:lang w:val="es-ES_tradnl"/>
        </w:rPr>
        <w:t>El asesor del impuesto sobre la renta del área metropolitana de Dan c. Vered Peri</w:t>
      </w:r>
      <w:r>
        <w:rPr>
          <w:szCs w:val="24"/>
          <w:lang w:val="es-ES_tradnl"/>
        </w:rPr>
        <w:t>).</w:t>
      </w:r>
    </w:p>
    <w:p w:rsidR="00F92819" w:rsidRDefault="00F92819">
      <w:pPr>
        <w:pStyle w:val="H23G"/>
        <w:rPr>
          <w:szCs w:val="24"/>
        </w:rPr>
      </w:pPr>
      <w:r>
        <w:rPr>
          <w:szCs w:val="24"/>
        </w:rPr>
        <w:tab/>
      </w:r>
      <w:r>
        <w:rPr>
          <w:szCs w:val="24"/>
        </w:rPr>
        <w:tab/>
      </w:r>
      <w:r>
        <w:rPr>
          <w:szCs w:val="24"/>
          <w:lang w:val="es-ES_tradnl"/>
        </w:rPr>
        <w:t>La Ley sobre la edad de jubilación de 5763/2004</w:t>
      </w:r>
    </w:p>
    <w:p w:rsidR="00F92819" w:rsidRDefault="00F92819">
      <w:pPr>
        <w:pStyle w:val="SingleTxtG"/>
        <w:rPr>
          <w:szCs w:val="24"/>
        </w:rPr>
      </w:pPr>
      <w:r>
        <w:rPr>
          <w:szCs w:val="24"/>
        </w:rPr>
        <w:t>126.</w:t>
      </w:r>
      <w:r>
        <w:rPr>
          <w:szCs w:val="24"/>
        </w:rPr>
        <w:tab/>
      </w:r>
      <w:r>
        <w:rPr>
          <w:szCs w:val="24"/>
          <w:lang w:val="es-ES_tradnl"/>
        </w:rPr>
        <w:t xml:space="preserve">En enero de 2004 el Knesset aprobó la </w:t>
      </w:r>
      <w:r>
        <w:rPr>
          <w:i/>
          <w:szCs w:val="24"/>
          <w:lang w:val="es-ES_tradnl"/>
        </w:rPr>
        <w:t>Ley sobre la edad de jubilación</w:t>
      </w:r>
      <w:r>
        <w:rPr>
          <w:szCs w:val="24"/>
          <w:lang w:val="es-ES_tradnl"/>
        </w:rPr>
        <w:t xml:space="preserve"> de 5763/2004 por la que se aplican normas más equitativas en relación con la edad de jubilación.</w:t>
      </w:r>
    </w:p>
    <w:p w:rsidR="00F92819" w:rsidRDefault="00F92819">
      <w:pPr>
        <w:pStyle w:val="SingleTxtG"/>
        <w:rPr>
          <w:szCs w:val="24"/>
        </w:rPr>
      </w:pPr>
      <w:r>
        <w:rPr>
          <w:szCs w:val="24"/>
        </w:rPr>
        <w:t>127.</w:t>
      </w:r>
      <w:r>
        <w:rPr>
          <w:szCs w:val="24"/>
        </w:rPr>
        <w:tab/>
      </w:r>
      <w:smartTag w:uri="urn:schemas-microsoft-com:office:smarttags" w:element="PersonName">
        <w:smartTagPr>
          <w:attr w:name="ProductID" w:val="la nueva Ley"/>
        </w:smartTagPr>
        <w:r>
          <w:rPr>
            <w:szCs w:val="24"/>
            <w:lang w:val="es-ES_tradnl"/>
          </w:rPr>
          <w:t>La nueva Ley</w:t>
        </w:r>
      </w:smartTag>
      <w:r>
        <w:rPr>
          <w:szCs w:val="24"/>
          <w:lang w:val="es-ES_tradnl"/>
        </w:rPr>
        <w:t xml:space="preserve"> equipara la edad de jubilación obligatoria (67) y la edad de jubilación anticipada (60) para hombres y mujeres.</w:t>
      </w:r>
      <w:r>
        <w:rPr>
          <w:szCs w:val="24"/>
        </w:rPr>
        <w:t xml:space="preserve"> </w:t>
      </w:r>
      <w:r>
        <w:rPr>
          <w:szCs w:val="24"/>
          <w:lang w:val="es-ES_tradnl"/>
        </w:rPr>
        <w:t>En lo que respecta a la edad de jubilación que da derecho a las prestaciones de vejez, desde el 1 de abril de 2004 la edad de jubilación se elevará paulatinamente hasta fijarla, en su día, en 67 años para los hombres y 62 años para las mujeres.</w:t>
      </w:r>
    </w:p>
    <w:p w:rsidR="00F92819" w:rsidRDefault="00F92819">
      <w:pPr>
        <w:pStyle w:val="SingleTxtG"/>
        <w:rPr>
          <w:szCs w:val="24"/>
        </w:rPr>
      </w:pPr>
      <w:r>
        <w:rPr>
          <w:szCs w:val="24"/>
        </w:rPr>
        <w:t>128.</w:t>
      </w:r>
      <w:r>
        <w:rPr>
          <w:szCs w:val="24"/>
        </w:rPr>
        <w:tab/>
      </w:r>
      <w:r>
        <w:rPr>
          <w:szCs w:val="24"/>
          <w:lang w:val="es-ES_tradnl"/>
        </w:rPr>
        <w:t>Respecto de las mujeres que nacieron en 1950 y con posterioridad, la Ley ordena al Ministro de Hacienda que nombre un comité público, compuesto por representantes del Gobierno, de los trabajadores y de los empresarios, para examinar la cuestión de la edad de jubilación de las mujeres.</w:t>
      </w:r>
    </w:p>
    <w:p w:rsidR="00F92819" w:rsidRDefault="00F92819">
      <w:pPr>
        <w:pStyle w:val="H23G"/>
        <w:rPr>
          <w:szCs w:val="24"/>
        </w:rPr>
      </w:pPr>
      <w:r>
        <w:rPr>
          <w:szCs w:val="24"/>
        </w:rPr>
        <w:tab/>
      </w:r>
      <w:r>
        <w:rPr>
          <w:szCs w:val="24"/>
        </w:rPr>
        <w:tab/>
      </w:r>
      <w:r>
        <w:rPr>
          <w:szCs w:val="24"/>
          <w:lang w:val="es-ES_tradnl"/>
        </w:rPr>
        <w:t>La Ley sobre las consecuencias de la legislación en la igualdad de género (reformas legislativas)</w:t>
      </w:r>
    </w:p>
    <w:p w:rsidR="00F92819" w:rsidRDefault="00F92819">
      <w:pPr>
        <w:pStyle w:val="SingleTxtG"/>
        <w:rPr>
          <w:szCs w:val="24"/>
        </w:rPr>
      </w:pPr>
      <w:r>
        <w:rPr>
          <w:szCs w:val="24"/>
        </w:rPr>
        <w:t>129.</w:t>
      </w:r>
      <w:r>
        <w:rPr>
          <w:szCs w:val="24"/>
        </w:rPr>
        <w:tab/>
      </w:r>
      <w:r>
        <w:rPr>
          <w:szCs w:val="24"/>
          <w:lang w:val="es-ES_tradnl"/>
        </w:rPr>
        <w:t xml:space="preserve">El 25 de noviembre de 2007 el Knesset aprobó la </w:t>
      </w:r>
      <w:r>
        <w:rPr>
          <w:i/>
          <w:szCs w:val="24"/>
          <w:lang w:val="es-ES_tradnl"/>
        </w:rPr>
        <w:t>Ley sobre las consecuencias de la legislación para la igualdad de género (reformas legislativas)</w:t>
      </w:r>
      <w:r>
        <w:rPr>
          <w:szCs w:val="24"/>
          <w:lang w:val="es-ES_tradnl"/>
        </w:rPr>
        <w:t xml:space="preserve">, que impone el deber de examinar sistemáticamente las consecuencias que tenga cualquier legislación primaria o secundaria para la igualdad de género antes de que el Knesset </w:t>
      </w:r>
      <w:smartTag w:uri="urn:schemas-microsoft-com:office:smarttags" w:element="PersonName">
        <w:smartTagPr>
          <w:attr w:name="ProductID" w:val="la sancione. Esta Ley"/>
        </w:smartTagPr>
        <w:r>
          <w:rPr>
            <w:szCs w:val="24"/>
            <w:lang w:val="es-ES_tradnl"/>
          </w:rPr>
          <w:t>la sancione.</w:t>
        </w:r>
        <w:r>
          <w:rPr>
            <w:szCs w:val="24"/>
          </w:rPr>
          <w:t xml:space="preserve"> </w:t>
        </w:r>
        <w:r>
          <w:rPr>
            <w:szCs w:val="24"/>
            <w:lang w:val="es-ES_tradnl"/>
          </w:rPr>
          <w:t>Esta Ley</w:t>
        </w:r>
      </w:smartTag>
      <w:r>
        <w:rPr>
          <w:szCs w:val="24"/>
          <w:lang w:val="es-ES_tradnl"/>
        </w:rPr>
        <w:t xml:space="preserve"> tiene por finalidad revelar cualquier desigualdad entre hombres y mujeres que pueda estar encubierta en los diferentes proyectos de ley, a fin de promover la igualdad entre los dos géneros.</w:t>
      </w:r>
      <w:r>
        <w:rPr>
          <w:szCs w:val="24"/>
        </w:rPr>
        <w:t xml:space="preserve"> </w:t>
      </w:r>
      <w:r>
        <w:rPr>
          <w:szCs w:val="24"/>
          <w:lang w:val="es-ES_tradnl"/>
        </w:rPr>
        <w:t>Con arreglo a esta Ley, la Dirección para el Adelanto de la Mujer presentará un dictamen a la comisión del Knesset pertinente en lo que se refiere a las consecuencias de género de un proyecto de ley o legislación secundaria cuando se presenta para su examen o aprobación.</w:t>
      </w:r>
      <w:r>
        <w:rPr>
          <w:szCs w:val="24"/>
        </w:rPr>
        <w:t xml:space="preserve"> </w:t>
      </w:r>
      <w:r>
        <w:rPr>
          <w:szCs w:val="24"/>
          <w:lang w:val="es-ES_tradnl"/>
        </w:rPr>
        <w:t>Esto permitirá a los miembros del Knesset participar en las audiencias de la comisión para informarse de las consecuencias de la legislación para los géneros, si las hay.</w:t>
      </w:r>
      <w:r>
        <w:rPr>
          <w:szCs w:val="24"/>
        </w:rPr>
        <w:t xml:space="preserve"> </w:t>
      </w:r>
      <w:r>
        <w:rPr>
          <w:szCs w:val="24"/>
          <w:lang w:val="es-ES_tradnl"/>
        </w:rPr>
        <w:t xml:space="preserve">Además, la presentación de estos dictámenes se introducirá en la </w:t>
      </w:r>
      <w:r>
        <w:rPr>
          <w:i/>
          <w:szCs w:val="24"/>
          <w:lang w:val="es-ES_tradnl"/>
        </w:rPr>
        <w:t>Ley de la Dirección para el Adelanto de la Mujer</w:t>
      </w:r>
      <w:r>
        <w:rPr>
          <w:szCs w:val="24"/>
          <w:lang w:val="es-ES_tradnl"/>
        </w:rPr>
        <w:t xml:space="preserve"> de 5758/1998 como una de las funciones oficiales de la Dirección.</w:t>
      </w:r>
    </w:p>
    <w:p w:rsidR="00F92819" w:rsidRDefault="00F92819">
      <w:pPr>
        <w:pStyle w:val="H23G"/>
        <w:rPr>
          <w:szCs w:val="24"/>
        </w:rPr>
      </w:pPr>
      <w:r>
        <w:rPr>
          <w:szCs w:val="24"/>
        </w:rPr>
        <w:tab/>
      </w:r>
      <w:r>
        <w:rPr>
          <w:szCs w:val="24"/>
        </w:rPr>
        <w:tab/>
      </w:r>
      <w:r>
        <w:rPr>
          <w:szCs w:val="24"/>
          <w:lang w:val="es-ES_tradnl"/>
        </w:rPr>
        <w:t>La Ley de promoción del adelanto y la integración de la mujer en la población activa y la adaptación de los lugares de trabajo a las necesidades de las mujeres</w:t>
      </w:r>
    </w:p>
    <w:p w:rsidR="00F92819" w:rsidRDefault="00F92819">
      <w:pPr>
        <w:pStyle w:val="SingleTxtG"/>
        <w:rPr>
          <w:szCs w:val="24"/>
        </w:rPr>
      </w:pPr>
      <w:r>
        <w:rPr>
          <w:szCs w:val="24"/>
        </w:rPr>
        <w:t>130.</w:t>
      </w:r>
      <w:r>
        <w:rPr>
          <w:szCs w:val="24"/>
        </w:rPr>
        <w:tab/>
      </w:r>
      <w:r>
        <w:rPr>
          <w:szCs w:val="24"/>
          <w:lang w:val="es-ES_tradnl"/>
        </w:rPr>
        <w:t xml:space="preserve">El 10 de abril de 2008 el Knesset aprobó la </w:t>
      </w:r>
      <w:r>
        <w:rPr>
          <w:i/>
          <w:szCs w:val="24"/>
          <w:lang w:val="es-ES_tradnl"/>
        </w:rPr>
        <w:t>Ley de promoción del adelanto y la integración de la mujer en la población activa y la adaptación de los lugares de trabajo a las necesidades de las mujeres</w:t>
      </w:r>
      <w:r>
        <w:rPr>
          <w:szCs w:val="24"/>
          <w:lang w:val="es-ES_tradnl"/>
        </w:rPr>
        <w:t>.</w:t>
      </w:r>
      <w:r>
        <w:rPr>
          <w:szCs w:val="24"/>
        </w:rPr>
        <w:t xml:space="preserve"> </w:t>
      </w:r>
      <w:r>
        <w:rPr>
          <w:szCs w:val="24"/>
          <w:lang w:val="es-ES_tradnl"/>
        </w:rPr>
        <w:t>El propósito de esta Ley es generar un cambio en la cultura empresarial de Israel y promover la sensibilización pública para alentar a los empleadores a favorecer el adelanto y la integración de la mujer en el lugar de trabajo y, entre otras cosas, adaptarlo a las necesidades de las mujeres y los padres.</w:t>
      </w:r>
      <w:r>
        <w:rPr>
          <w:szCs w:val="24"/>
        </w:rPr>
        <w:t xml:space="preserve"> </w:t>
      </w:r>
      <w:r>
        <w:rPr>
          <w:szCs w:val="24"/>
          <w:lang w:val="es-ES_tradnl"/>
        </w:rPr>
        <w:t xml:space="preserve">De conformidad con </w:t>
      </w:r>
      <w:smartTag w:uri="urn:schemas-microsoft-com:office:smarttags" w:element="PersonName">
        <w:smartTagPr>
          <w:attr w:name="ProductID" w:val="la nueva Ley"/>
        </w:smartTagPr>
        <w:r>
          <w:rPr>
            <w:szCs w:val="24"/>
            <w:lang w:val="es-ES_tradnl"/>
          </w:rPr>
          <w:t>la nueva Ley</w:t>
        </w:r>
      </w:smartTag>
      <w:r>
        <w:rPr>
          <w:szCs w:val="24"/>
          <w:lang w:val="es-ES_tradnl"/>
        </w:rPr>
        <w:t>, el Ministerio de Industria, Comercio y Trabajo concederá incentivos monetarios a los empleadores del sector privado que se comprometan a integrar y promocionar a la mujer en sus empresas, así como a los empleadores que adapten el lugar de trabajo</w:t>
      </w:r>
      <w:r>
        <w:rPr>
          <w:color w:val="000000"/>
          <w:sz w:val="24"/>
          <w:szCs w:val="24"/>
          <w:lang w:val="es-ES_tradnl"/>
        </w:rPr>
        <w:t xml:space="preserve"> </w:t>
      </w:r>
      <w:r>
        <w:rPr>
          <w:szCs w:val="24"/>
          <w:lang w:val="es-ES_tradnl"/>
        </w:rPr>
        <w:t>y las condiciones de trabajo a las necesidades de las mujeres y los padres.</w:t>
      </w:r>
    </w:p>
    <w:p w:rsidR="00F92819" w:rsidRDefault="00F92819">
      <w:pPr>
        <w:pStyle w:val="SingleTxtG"/>
        <w:rPr>
          <w:szCs w:val="24"/>
        </w:rPr>
      </w:pPr>
      <w:r>
        <w:rPr>
          <w:szCs w:val="24"/>
        </w:rPr>
        <w:t>131.</w:t>
      </w:r>
      <w:r>
        <w:rPr>
          <w:szCs w:val="24"/>
        </w:rPr>
        <w:tab/>
      </w:r>
      <w:r>
        <w:rPr>
          <w:szCs w:val="24"/>
          <w:lang w:val="es-ES_tradnl"/>
        </w:rPr>
        <w:t xml:space="preserve">La Ley exige que el Ministro de Industria, Comercio y Trabajo establezca un consejo público para la integración y la promoción de la mujer en el lugar de trabajo, que tendrá la función de asesorar al Ministro sobre la cuestión de la mujer en el lugar de trabajo y fijará medidas para aplicar las disposiciones de </w:t>
      </w:r>
      <w:smartTag w:uri="urn:schemas-microsoft-com:office:smarttags" w:element="PersonName">
        <w:smartTagPr>
          <w:attr w:name="ProductID" w:val="la Ley. El"/>
        </w:smartTagPr>
        <w:r>
          <w:rPr>
            <w:szCs w:val="24"/>
            <w:lang w:val="es-ES_tradnl"/>
          </w:rPr>
          <w:t>la Ley.</w:t>
        </w:r>
        <w:r>
          <w:rPr>
            <w:szCs w:val="24"/>
          </w:rPr>
          <w:t xml:space="preserve"> </w:t>
        </w:r>
        <w:r>
          <w:rPr>
            <w:szCs w:val="24"/>
            <w:lang w:val="es-ES_tradnl"/>
          </w:rPr>
          <w:t>El</w:t>
        </w:r>
      </w:smartTag>
      <w:r>
        <w:rPr>
          <w:szCs w:val="24"/>
          <w:lang w:val="es-ES_tradnl"/>
        </w:rPr>
        <w:t xml:space="preserve"> consejo público está compuesto por 11 miembros, a saber: representantes de los ministerios gubernamentales, expertos en estudios de género, representantes de ONG de mujeres, representantes de la Dirección para el Adelanto de la Mujer, de la Comisión de Igualdad de Oportunidades de Empleo y representantes de los sindicatos y las asociaciones patronales.</w:t>
      </w:r>
      <w:r>
        <w:rPr>
          <w:szCs w:val="24"/>
        </w:rPr>
        <w:t xml:space="preserve"> </w:t>
      </w:r>
      <w:r>
        <w:rPr>
          <w:szCs w:val="24"/>
          <w:lang w:val="es-ES_tradnl"/>
        </w:rPr>
        <w:t>El consejo público estará presidido por una magistrada jubilada.</w:t>
      </w:r>
    </w:p>
    <w:p w:rsidR="00F92819" w:rsidRDefault="00F92819">
      <w:pPr>
        <w:pStyle w:val="SingleTxtG"/>
        <w:rPr>
          <w:szCs w:val="24"/>
        </w:rPr>
      </w:pPr>
      <w:r>
        <w:rPr>
          <w:szCs w:val="24"/>
        </w:rPr>
        <w:t>132.</w:t>
      </w:r>
      <w:r>
        <w:rPr>
          <w:szCs w:val="24"/>
        </w:rPr>
        <w:tab/>
      </w:r>
      <w:r>
        <w:rPr>
          <w:szCs w:val="24"/>
          <w:lang w:val="es-ES_tradnl"/>
        </w:rPr>
        <w:t>El Ministro de Industria, Comercio y Trabajo tiene la obligación de presentar un informe anual sobre la aplicación de la Ley a la Comisión del Knesset para el Adelanto de la Condición de la Mujer y a la Comisión del Knesset para el Trabajo, el Bienestar y la Salud.</w:t>
      </w:r>
    </w:p>
    <w:p w:rsidR="00F92819" w:rsidRDefault="00F92819">
      <w:pPr>
        <w:pStyle w:val="SingleTxtG"/>
        <w:rPr>
          <w:szCs w:val="24"/>
        </w:rPr>
      </w:pPr>
      <w:r>
        <w:rPr>
          <w:szCs w:val="24"/>
        </w:rPr>
        <w:t>133.</w:t>
      </w:r>
      <w:r>
        <w:rPr>
          <w:szCs w:val="24"/>
        </w:rPr>
        <w:tab/>
      </w:r>
      <w:r>
        <w:rPr>
          <w:szCs w:val="24"/>
          <w:lang w:val="es-ES_tradnl"/>
        </w:rPr>
        <w:t>Esta Ley puede servir a modo de incentivo para emplear más mujeres y promoverlas a puestos de categoría superior, así como para adaptar las condiciones de trabajo a las necesidades particulares de las mujeres, y de este modo aumentar su independencia económica.</w:t>
      </w:r>
    </w:p>
    <w:p w:rsidR="00F92819" w:rsidRDefault="00F92819">
      <w:pPr>
        <w:pStyle w:val="H23G"/>
        <w:rPr>
          <w:szCs w:val="24"/>
        </w:rPr>
      </w:pPr>
      <w:r>
        <w:rPr>
          <w:szCs w:val="24"/>
        </w:rPr>
        <w:tab/>
      </w:r>
      <w:r>
        <w:rPr>
          <w:szCs w:val="24"/>
        </w:rPr>
        <w:tab/>
      </w:r>
      <w:r>
        <w:rPr>
          <w:szCs w:val="24"/>
          <w:lang w:val="es-ES_tradnl"/>
        </w:rPr>
        <w:t>La recopilación y procesamiento de estadísticas</w:t>
      </w:r>
    </w:p>
    <w:p w:rsidR="00F92819" w:rsidRDefault="00F92819">
      <w:pPr>
        <w:pStyle w:val="SingleTxtG"/>
        <w:rPr>
          <w:szCs w:val="24"/>
        </w:rPr>
      </w:pPr>
      <w:r>
        <w:rPr>
          <w:szCs w:val="24"/>
        </w:rPr>
        <w:t>134.</w:t>
      </w:r>
      <w:r>
        <w:rPr>
          <w:szCs w:val="24"/>
        </w:rPr>
        <w:tab/>
      </w:r>
      <w:r>
        <w:rPr>
          <w:szCs w:val="24"/>
          <w:lang w:val="es-ES_tradnl"/>
        </w:rPr>
        <w:t xml:space="preserve">Una modificación reciente (junio de 2008) del </w:t>
      </w:r>
      <w:r>
        <w:rPr>
          <w:i/>
          <w:szCs w:val="24"/>
          <w:lang w:val="es-ES_tradnl"/>
        </w:rPr>
        <w:t xml:space="preserve">Decreto sobre estadísticas (nueva versión) </w:t>
      </w:r>
      <w:r>
        <w:rPr>
          <w:szCs w:val="24"/>
          <w:lang w:val="es-ES_tradnl"/>
        </w:rPr>
        <w:t xml:space="preserve">de 5372/1972 determina que la recopilación y procesamiento de datos estadísticos relativos a las personas y la publicación de los resultados por </w:t>
      </w:r>
      <w:smartTag w:uri="urn:schemas-microsoft-com:office:smarttags" w:element="PersonName">
        <w:smartTagPr>
          <w:attr w:name="ProductID" w:val="la Oficina Central"/>
        </w:smartTagPr>
        <w:r>
          <w:rPr>
            <w:szCs w:val="24"/>
            <w:lang w:val="es-ES_tradnl"/>
          </w:rPr>
          <w:t>la Oficina Central</w:t>
        </w:r>
      </w:smartTag>
      <w:r>
        <w:rPr>
          <w:szCs w:val="24"/>
          <w:lang w:val="es-ES_tradnl"/>
        </w:rPr>
        <w:t xml:space="preserve"> de Estadística incluirá estadísticas por género, salvo que el Estadístico Nacional disponga que existen circunstancias referentes a un asunto concreto que justifican el incumplimiento de la norma general.</w:t>
      </w:r>
      <w:r>
        <w:rPr>
          <w:szCs w:val="24"/>
        </w:rPr>
        <w:t xml:space="preserve"> </w:t>
      </w:r>
      <w:r>
        <w:rPr>
          <w:szCs w:val="24"/>
          <w:lang w:val="es-ES_tradnl"/>
        </w:rPr>
        <w:t>El Estadístico Nacional podrá disponer que la recopilación y el procesamiento de datos estadísticos y la publicación de los resultados incluyan estadísticas por género en cuestiones que tengan consecuencias para la igualdad entre los géneros, aunque no guarden relación con personas.</w:t>
      </w:r>
      <w:r>
        <w:rPr>
          <w:szCs w:val="24"/>
        </w:rPr>
        <w:t xml:space="preserve"> </w:t>
      </w:r>
      <w:r>
        <w:rPr>
          <w:szCs w:val="24"/>
          <w:lang w:val="es-ES_tradnl"/>
        </w:rPr>
        <w:t xml:space="preserve">Conforme a la enmienda, </w:t>
      </w:r>
      <w:smartTag w:uri="urn:schemas-microsoft-com:office:smarttags" w:element="PersonName">
        <w:smartTagPr>
          <w:attr w:name="ProductID" w:val="la Oficina Central"/>
        </w:smartTagPr>
        <w:r>
          <w:rPr>
            <w:szCs w:val="24"/>
            <w:lang w:val="es-ES_tradnl"/>
          </w:rPr>
          <w:t>la Oficina Central</w:t>
        </w:r>
      </w:smartTag>
      <w:r>
        <w:rPr>
          <w:szCs w:val="24"/>
          <w:lang w:val="es-ES_tradnl"/>
        </w:rPr>
        <w:t xml:space="preserve"> de Estadística publicará, al menos una vez al año, los resultados procedentes de la recopilación y el procesamiento datos estadísticos por género.</w:t>
      </w:r>
      <w:r>
        <w:rPr>
          <w:szCs w:val="24"/>
        </w:rPr>
        <w:t xml:space="preserve"> </w:t>
      </w:r>
      <w:r>
        <w:rPr>
          <w:szCs w:val="24"/>
          <w:lang w:val="es-ES_tradnl"/>
        </w:rPr>
        <w:t>El Estadístico Nacional nombrará, previa consulta con la Dirección para el Adelanto de la Mujer, a un trabajador responsable de la aplicación de este artículo.</w:t>
      </w:r>
      <w:r>
        <w:rPr>
          <w:szCs w:val="24"/>
        </w:rPr>
        <w:t xml:space="preserve"> </w:t>
      </w:r>
      <w:r>
        <w:rPr>
          <w:szCs w:val="24"/>
          <w:lang w:val="es-ES_tradnl"/>
        </w:rPr>
        <w:t>La enmienda entró en vigor el 1º de enero de 2009.</w:t>
      </w:r>
    </w:p>
    <w:p w:rsidR="00F92819" w:rsidRDefault="00F92819">
      <w:pPr>
        <w:pStyle w:val="SingleTxtG"/>
        <w:rPr>
          <w:szCs w:val="24"/>
        </w:rPr>
      </w:pPr>
      <w:r w:rsidRPr="00E65C0C">
        <w:rPr>
          <w:szCs w:val="24"/>
        </w:rPr>
        <w:t>135.</w:t>
      </w:r>
      <w:r w:rsidRPr="00E65C0C">
        <w:rPr>
          <w:szCs w:val="24"/>
        </w:rPr>
        <w:tab/>
      </w:r>
      <w:r>
        <w:rPr>
          <w:szCs w:val="24"/>
          <w:lang w:val="es-ES_tradnl"/>
        </w:rPr>
        <w:t xml:space="preserve">En 2008 también se reformó la </w:t>
      </w:r>
      <w:r>
        <w:rPr>
          <w:i/>
          <w:szCs w:val="24"/>
          <w:lang w:val="es-ES_tradnl"/>
        </w:rPr>
        <w:t xml:space="preserve">Ley de igualdad de derechos de la mujer </w:t>
      </w:r>
      <w:r>
        <w:rPr>
          <w:szCs w:val="24"/>
          <w:lang w:val="es-ES_tradnl"/>
        </w:rPr>
        <w:t>de 5711/1951 para añadir dos artículos importantes relacionados con la recopilación y procesamiento de información:</w:t>
      </w:r>
      <w:r>
        <w:rPr>
          <w:szCs w:val="24"/>
        </w:rPr>
        <w:t xml:space="preserve"> </w:t>
      </w:r>
      <w:r>
        <w:rPr>
          <w:szCs w:val="24"/>
          <w:lang w:val="es-ES_tradnl"/>
        </w:rPr>
        <w:t>el artículo 3A establece que cualquier persona física o jurídica que solicite a una persona que indique los nombres de sus padres en un formulario u otro documento, deberá solicitar los nombres de ambos padres (siempre que la persona los sepa).</w:t>
      </w:r>
      <w:r>
        <w:rPr>
          <w:szCs w:val="24"/>
        </w:rPr>
        <w:t xml:space="preserve"> </w:t>
      </w:r>
      <w:r>
        <w:rPr>
          <w:szCs w:val="24"/>
          <w:lang w:val="es-ES_tradnl"/>
        </w:rPr>
        <w:t>El artículo 6C3 establece que un órgano público que recopila y procesa información relativa a las personas y que publica dicha información con fines estadísticos deberá hacer referencia al género en su actividad.</w:t>
      </w:r>
      <w:r>
        <w:rPr>
          <w:szCs w:val="24"/>
        </w:rPr>
        <w:t xml:space="preserve"> </w:t>
      </w:r>
      <w:r>
        <w:rPr>
          <w:szCs w:val="24"/>
          <w:lang w:val="es-ES_tradnl"/>
        </w:rPr>
        <w:t>El Ministro competente o la persona encargada pueden determinar que en alguna cuestión concreta existan circunstancias que justifiquen no hacerlo.</w:t>
      </w:r>
      <w:r>
        <w:rPr>
          <w:szCs w:val="24"/>
        </w:rPr>
        <w:t xml:space="preserve"> </w:t>
      </w:r>
      <w:r>
        <w:rPr>
          <w:szCs w:val="24"/>
          <w:lang w:val="es-ES_tradnl"/>
        </w:rPr>
        <w:t>La persona encargada puede decidir que la recopilación y el procesamiento de datos estadísticos y la publicación de los resultados incluyan estadísticas por género, aunque la información no se refiera a las personas en asuntos relacionados con el género.</w:t>
      </w:r>
      <w:r>
        <w:rPr>
          <w:szCs w:val="24"/>
        </w:rPr>
        <w:t xml:space="preserve"> </w:t>
      </w:r>
      <w:r>
        <w:rPr>
          <w:szCs w:val="24"/>
          <w:lang w:val="es-ES_tradnl"/>
        </w:rPr>
        <w:t>La enmienda entró en vigor el 1º de enero de 2009.</w:t>
      </w:r>
    </w:p>
    <w:p w:rsidR="00F92819" w:rsidRDefault="00F92819">
      <w:pPr>
        <w:pStyle w:val="H23G"/>
        <w:rPr>
          <w:szCs w:val="24"/>
        </w:rPr>
      </w:pPr>
      <w:r>
        <w:rPr>
          <w:szCs w:val="24"/>
        </w:rPr>
        <w:tab/>
      </w:r>
      <w:r>
        <w:rPr>
          <w:szCs w:val="24"/>
        </w:rPr>
        <w:tab/>
      </w:r>
      <w:r>
        <w:rPr>
          <w:szCs w:val="24"/>
          <w:lang w:val="es-ES_tradnl"/>
        </w:rPr>
        <w:t>La Dirección para el Adelanto de la Mujer</w:t>
      </w:r>
    </w:p>
    <w:p w:rsidR="00F92819" w:rsidRDefault="00F92819">
      <w:pPr>
        <w:pStyle w:val="SingleTxtG"/>
        <w:rPr>
          <w:szCs w:val="24"/>
        </w:rPr>
      </w:pPr>
      <w:r>
        <w:rPr>
          <w:szCs w:val="24"/>
        </w:rPr>
        <w:t>136.</w:t>
      </w:r>
      <w:r>
        <w:rPr>
          <w:szCs w:val="24"/>
        </w:rPr>
        <w:tab/>
      </w:r>
      <w:r>
        <w:rPr>
          <w:szCs w:val="24"/>
          <w:lang w:val="es-ES_tradnl"/>
        </w:rPr>
        <w:t xml:space="preserve">La Dirección para el Adelanto de la Mujer ha presentado un informe detallado de sus medidas y programas titulado “Beijing + </w:t>
      </w:r>
      <w:smartTag w:uri="urn:schemas-microsoft-com:office:smarttags" w:element="metricconverter">
        <w:smartTagPr>
          <w:attr w:name="ProductID" w:val="10”"/>
        </w:smartTagPr>
        <w:r>
          <w:rPr>
            <w:szCs w:val="24"/>
            <w:lang w:val="es-ES_tradnl"/>
          </w:rPr>
          <w:t>10”</w:t>
        </w:r>
      </w:smartTag>
      <w:r>
        <w:rPr>
          <w:szCs w:val="24"/>
          <w:lang w:val="es-ES_tradnl"/>
        </w:rPr>
        <w:t xml:space="preserve"> y publicado en marzo de 2005.</w:t>
      </w:r>
    </w:p>
    <w:p w:rsidR="00F92819" w:rsidRDefault="00F92819">
      <w:pPr>
        <w:pStyle w:val="H23G"/>
        <w:rPr>
          <w:szCs w:val="24"/>
        </w:rPr>
      </w:pPr>
      <w:r>
        <w:rPr>
          <w:szCs w:val="24"/>
        </w:rPr>
        <w:tab/>
      </w:r>
      <w:r>
        <w:rPr>
          <w:szCs w:val="24"/>
        </w:rPr>
        <w:tab/>
      </w:r>
      <w:r>
        <w:rPr>
          <w:szCs w:val="24"/>
          <w:lang w:val="es-ES_tradnl"/>
        </w:rPr>
        <w:t>Enmienda a la Ley de igualdad de derechos de la mujer</w:t>
      </w:r>
    </w:p>
    <w:p w:rsidR="00F92819" w:rsidRDefault="00F92819">
      <w:pPr>
        <w:pStyle w:val="SingleTxtG"/>
        <w:rPr>
          <w:szCs w:val="24"/>
        </w:rPr>
      </w:pPr>
      <w:r>
        <w:rPr>
          <w:szCs w:val="24"/>
        </w:rPr>
        <w:t>137.</w:t>
      </w:r>
      <w:r>
        <w:rPr>
          <w:szCs w:val="24"/>
        </w:rPr>
        <w:tab/>
      </w:r>
      <w:r>
        <w:rPr>
          <w:szCs w:val="24"/>
          <w:lang w:val="es-ES_tradnl"/>
        </w:rPr>
        <w:t xml:space="preserve">Antes de la mencionada reforma, la </w:t>
      </w:r>
      <w:r>
        <w:rPr>
          <w:i/>
          <w:szCs w:val="24"/>
          <w:lang w:val="es-ES_tradnl"/>
        </w:rPr>
        <w:t xml:space="preserve">Ley de igualdad de derechos de la mujer </w:t>
      </w:r>
      <w:r>
        <w:rPr>
          <w:szCs w:val="24"/>
          <w:lang w:val="es-ES_tradnl"/>
        </w:rPr>
        <w:t>fue enmendada en 2005. La cuarta enmienda a la Ley (20 de julio de 2005) estableció que todo equipo de tareas nombrado por el Gobierno para la elaboración de políticas exteriores y/o nacionales (incluso los equipos de negociación que trabajan para lograr un acuerdo de paz) debe contar con un número adecuado de mujeres.</w:t>
      </w:r>
      <w:r>
        <w:rPr>
          <w:szCs w:val="24"/>
        </w:rPr>
        <w:t xml:space="preserve"> </w:t>
      </w:r>
      <w:r>
        <w:rPr>
          <w:szCs w:val="24"/>
          <w:lang w:val="es-ES_tradnl"/>
        </w:rPr>
        <w:t>Para cumplir y aplicar eficazmente esta disposición, el órgano encargado de la designación debe informar sobre su composición a la Dirección para el Adelanto de la Mujer, que a su vez examinará los pormenores.</w:t>
      </w:r>
      <w:r>
        <w:rPr>
          <w:szCs w:val="24"/>
        </w:rPr>
        <w:t xml:space="preserve"> </w:t>
      </w:r>
      <w:r>
        <w:rPr>
          <w:szCs w:val="24"/>
          <w:lang w:val="es-ES_tradnl"/>
        </w:rPr>
        <w:t xml:space="preserve">Por último, dicha información se recopilará en un informe anual relativo a la representación adecuada de la mujer en los equipos de tareas para la elaboración de políticas nacionales, que se presentará a la Comisión del Knesset para el Adelanto de la Condición de </w:t>
      </w:r>
      <w:smartTag w:uri="urn:schemas-microsoft-com:office:smarttags" w:element="PersonName">
        <w:smartTagPr>
          <w:attr w:name="ProductID" w:val="la Mujer. Los"/>
        </w:smartTagPr>
        <w:r>
          <w:rPr>
            <w:szCs w:val="24"/>
            <w:lang w:val="es-ES_tradnl"/>
          </w:rPr>
          <w:t>la Mujer.</w:t>
        </w:r>
        <w:r>
          <w:rPr>
            <w:szCs w:val="24"/>
          </w:rPr>
          <w:t xml:space="preserve"> </w:t>
        </w:r>
        <w:r>
          <w:rPr>
            <w:szCs w:val="24"/>
            <w:lang w:val="es-ES_tradnl"/>
          </w:rPr>
          <w:t>Los</w:t>
        </w:r>
      </w:smartTag>
      <w:r>
        <w:rPr>
          <w:szCs w:val="24"/>
          <w:lang w:val="es-ES_tradnl"/>
        </w:rPr>
        <w:t xml:space="preserve"> datos actuales indican que el 37% de todos los representantes de las comisiones del Gobierno y los equipos de trabajo son mujeres.</w:t>
      </w:r>
    </w:p>
    <w:p w:rsidR="00F92819" w:rsidRDefault="00F92819">
      <w:pPr>
        <w:pStyle w:val="SingleTxtG"/>
        <w:spacing w:before="240"/>
        <w:rPr>
          <w:szCs w:val="24"/>
        </w:rPr>
      </w:pPr>
      <w:r>
        <w:rPr>
          <w:b/>
          <w:szCs w:val="24"/>
          <w:lang w:val="es-ES_tradnl"/>
        </w:rPr>
        <w:t>Enmienda a la Ley de prevención del acoso sexual de 5758/1998</w:t>
      </w:r>
    </w:p>
    <w:p w:rsidR="00F92819" w:rsidRDefault="00F92819">
      <w:pPr>
        <w:pStyle w:val="SingleTxtG"/>
        <w:rPr>
          <w:szCs w:val="24"/>
        </w:rPr>
      </w:pPr>
      <w:r>
        <w:rPr>
          <w:szCs w:val="24"/>
        </w:rPr>
        <w:t>138.</w:t>
      </w:r>
      <w:r>
        <w:rPr>
          <w:szCs w:val="24"/>
        </w:rPr>
        <w:tab/>
      </w:r>
      <w:r>
        <w:rPr>
          <w:szCs w:val="24"/>
          <w:lang w:val="es-ES_tradnl"/>
        </w:rPr>
        <w:t xml:space="preserve">En términos generales, la </w:t>
      </w:r>
      <w:r>
        <w:rPr>
          <w:i/>
          <w:szCs w:val="24"/>
          <w:lang w:val="es-ES_tradnl"/>
        </w:rPr>
        <w:t>Ley de prevención del acoso sexual</w:t>
      </w:r>
      <w:r>
        <w:rPr>
          <w:szCs w:val="24"/>
          <w:lang w:val="es-ES_tradnl"/>
        </w:rPr>
        <w:t xml:space="preserve"> establece que la víctima ha de expresar una falta de interés en mantener relaciones sexuales para que la situación constituya un acto de acoso sexual.</w:t>
      </w:r>
      <w:r>
        <w:rPr>
          <w:szCs w:val="24"/>
        </w:rPr>
        <w:t xml:space="preserve"> </w:t>
      </w:r>
      <w:r>
        <w:rPr>
          <w:szCs w:val="24"/>
          <w:lang w:val="es-ES_tradnl"/>
        </w:rPr>
        <w:t>No obstante, como se detalla en el informe anterior de Israel, se hicieron varias excepciones importantes a esta norma</w:t>
      </w:r>
      <w:r>
        <w:rPr>
          <w:szCs w:val="24"/>
        </w:rPr>
        <w:t xml:space="preserve"> </w:t>
      </w:r>
      <w:r>
        <w:rPr>
          <w:szCs w:val="24"/>
          <w:lang w:val="es-ES_tradnl"/>
        </w:rPr>
        <w:t>en cuyas circunstancias se aplica la “presunción de acoso sexual” aunque la víctima no haya mostrado una falta de interés.</w:t>
      </w:r>
      <w:r>
        <w:rPr>
          <w:szCs w:val="24"/>
        </w:rPr>
        <w:t xml:space="preserve"> </w:t>
      </w:r>
      <w:r>
        <w:rPr>
          <w:szCs w:val="24"/>
          <w:lang w:val="es-ES_tradnl"/>
        </w:rPr>
        <w:t>Estas excepciones se pueden dividir en dos categorías principales: la primera engloba los actos que constituyen delitos graves con independencia del delito de acoso sexual, como actos indecentes o chantaje; la segunda categoría está constituida por los casos en que una persona abusa de su posición de autoridad, que pueden darse en un contexto educativo, médico y laboral.</w:t>
      </w:r>
    </w:p>
    <w:p w:rsidR="00F92819" w:rsidRDefault="00F92819">
      <w:pPr>
        <w:pStyle w:val="SingleTxtG"/>
        <w:rPr>
          <w:szCs w:val="24"/>
        </w:rPr>
      </w:pPr>
      <w:r>
        <w:rPr>
          <w:szCs w:val="24"/>
        </w:rPr>
        <w:t>139.</w:t>
      </w:r>
      <w:r>
        <w:rPr>
          <w:szCs w:val="24"/>
        </w:rPr>
        <w:tab/>
      </w:r>
      <w:r>
        <w:rPr>
          <w:szCs w:val="24"/>
          <w:lang w:val="es-ES_tradnl"/>
        </w:rPr>
        <w:t>En 2004 y 2007 se enmendó la Ley para incluir a las siguientes víctimas en la “presunción de acoso sexual”:</w:t>
      </w:r>
    </w:p>
    <w:p w:rsidR="00F92819" w:rsidRDefault="00F92819">
      <w:pPr>
        <w:pStyle w:val="SingleTxtG"/>
        <w:ind w:left="1701"/>
        <w:rPr>
          <w:szCs w:val="24"/>
        </w:rPr>
      </w:pPr>
      <w:r>
        <w:rPr>
          <w:szCs w:val="24"/>
        </w:rPr>
        <w:t>139.1.</w:t>
      </w:r>
      <w:r>
        <w:rPr>
          <w:szCs w:val="24"/>
        </w:rPr>
        <w:tab/>
      </w:r>
      <w:r>
        <w:rPr>
          <w:szCs w:val="24"/>
          <w:lang w:val="es-ES_tradnl"/>
        </w:rPr>
        <w:t>Un menor de 15 años, cuando el acosador es un adulto, aunque el acto no se haya cometido por abuso de autoridad.</w:t>
      </w:r>
    </w:p>
    <w:p w:rsidR="00F92819" w:rsidRDefault="00F92819">
      <w:pPr>
        <w:pStyle w:val="SingleTxtG"/>
        <w:ind w:left="1701"/>
        <w:rPr>
          <w:szCs w:val="24"/>
        </w:rPr>
      </w:pPr>
      <w:r>
        <w:rPr>
          <w:szCs w:val="24"/>
        </w:rPr>
        <w:t>139.2.</w:t>
      </w:r>
      <w:r>
        <w:rPr>
          <w:szCs w:val="24"/>
        </w:rPr>
        <w:tab/>
      </w:r>
      <w:r>
        <w:rPr>
          <w:szCs w:val="24"/>
          <w:lang w:val="es-ES_tradnl"/>
        </w:rPr>
        <w:t>Un alumno de 12º a 14º grado, cuando el acto se ha cometido por abuso de autoridad.</w:t>
      </w:r>
    </w:p>
    <w:p w:rsidR="00F92819" w:rsidRDefault="00F92819">
      <w:pPr>
        <w:pStyle w:val="SingleTxtG"/>
        <w:ind w:left="1701"/>
        <w:rPr>
          <w:szCs w:val="24"/>
        </w:rPr>
      </w:pPr>
      <w:r>
        <w:rPr>
          <w:szCs w:val="24"/>
        </w:rPr>
        <w:t>139.3.</w:t>
      </w:r>
      <w:r>
        <w:rPr>
          <w:szCs w:val="24"/>
        </w:rPr>
        <w:tab/>
      </w:r>
      <w:r>
        <w:rPr>
          <w:szCs w:val="24"/>
          <w:lang w:val="es-ES_tradnl"/>
        </w:rPr>
        <w:t xml:space="preserve">Una persona rehabilitada, como se especifica en la </w:t>
      </w:r>
      <w:r>
        <w:rPr>
          <w:i/>
          <w:szCs w:val="24"/>
          <w:lang w:val="es-ES_tradnl"/>
        </w:rPr>
        <w:t xml:space="preserve">Ley de igualdad de derechos de las personas con discapacidad empleadas durante la rehabilitación (disposición temporal) </w:t>
      </w:r>
      <w:r>
        <w:rPr>
          <w:szCs w:val="24"/>
          <w:lang w:val="es-ES_tradnl"/>
        </w:rPr>
        <w:t>de 5767/2007, mientas está empleada y por abuso de autoridad.</w:t>
      </w:r>
    </w:p>
    <w:p w:rsidR="00F92819" w:rsidRDefault="00F92819">
      <w:pPr>
        <w:pStyle w:val="H23G"/>
        <w:rPr>
          <w:szCs w:val="24"/>
        </w:rPr>
      </w:pPr>
      <w:r>
        <w:rPr>
          <w:szCs w:val="24"/>
        </w:rPr>
        <w:tab/>
      </w:r>
      <w:r>
        <w:rPr>
          <w:szCs w:val="24"/>
        </w:rPr>
        <w:tab/>
      </w:r>
      <w:r>
        <w:rPr>
          <w:szCs w:val="24"/>
          <w:lang w:val="es-ES_tradnl"/>
        </w:rPr>
        <w:t>El acoso sexual en el lugar de trabajo</w:t>
      </w:r>
    </w:p>
    <w:p w:rsidR="00F92819" w:rsidRDefault="00F92819">
      <w:pPr>
        <w:pStyle w:val="SingleTxtG"/>
        <w:rPr>
          <w:szCs w:val="24"/>
        </w:rPr>
      </w:pPr>
      <w:r>
        <w:rPr>
          <w:szCs w:val="24"/>
        </w:rPr>
        <w:t>140.</w:t>
      </w:r>
      <w:r>
        <w:rPr>
          <w:szCs w:val="24"/>
        </w:rPr>
        <w:tab/>
      </w:r>
      <w:r>
        <w:rPr>
          <w:szCs w:val="24"/>
          <w:lang w:val="es-ES_tradnl"/>
        </w:rPr>
        <w:t xml:space="preserve">Con arreglo a la </w:t>
      </w:r>
      <w:r>
        <w:rPr>
          <w:i/>
          <w:szCs w:val="24"/>
          <w:lang w:val="es-ES_tradnl"/>
        </w:rPr>
        <w:t>Ley de prevención del acoso sexual,</w:t>
      </w:r>
      <w:r>
        <w:rPr>
          <w:szCs w:val="24"/>
          <w:lang w:val="es-ES_tradnl"/>
        </w:rPr>
        <w:t xml:space="preserve"> un empleador de más de 25 empleados está obligado a establecer un código de prácticas en el que se detallen las principales disposiciones de la Ley relativas al acoso sexual y al trato desfavorable en la esfera de las relaciones laborales, y los procedimientos determinados por el empleador para presentar demandas por acoso sexual o trato desfavorable y para atender dichas demandas.</w:t>
      </w:r>
      <w:r>
        <w:rPr>
          <w:szCs w:val="24"/>
        </w:rPr>
        <w:t xml:space="preserve"> </w:t>
      </w:r>
      <w:r>
        <w:rPr>
          <w:szCs w:val="24"/>
          <w:lang w:val="es-ES_tradnl"/>
        </w:rPr>
        <w:t>El empleador debe difundir el código de prácticas entre sus empleados y empleadas.</w:t>
      </w:r>
      <w:r>
        <w:rPr>
          <w:szCs w:val="24"/>
        </w:rPr>
        <w:t xml:space="preserve"> </w:t>
      </w:r>
      <w:r>
        <w:rPr>
          <w:szCs w:val="24"/>
          <w:lang w:val="es-ES_tradnl"/>
        </w:rPr>
        <w:t>La Ley también obliga al empleador a nombrar un supervisor de cuestiones de acoso sexual</w:t>
      </w:r>
      <w:r>
        <w:rPr>
          <w:szCs w:val="24"/>
        </w:rPr>
        <w:t xml:space="preserve"> </w:t>
      </w:r>
      <w:r>
        <w:rPr>
          <w:szCs w:val="24"/>
          <w:lang w:val="es-ES_tradnl"/>
        </w:rPr>
        <w:t>que es responsable, entre otras cosas, de tramitar las demandas de acoso sexual y trato desfavorable y de adoptar medidas encaminadas a aumentar la sensibilización de sus empleados sobre el asunto.</w:t>
      </w:r>
    </w:p>
    <w:p w:rsidR="00F92819" w:rsidRDefault="00F92819">
      <w:pPr>
        <w:pStyle w:val="SingleTxtG"/>
        <w:rPr>
          <w:szCs w:val="24"/>
        </w:rPr>
      </w:pPr>
      <w:r>
        <w:rPr>
          <w:szCs w:val="24"/>
        </w:rPr>
        <w:t>141.</w:t>
      </w:r>
      <w:r>
        <w:rPr>
          <w:szCs w:val="24"/>
        </w:rPr>
        <w:tab/>
      </w:r>
      <w:r>
        <w:rPr>
          <w:szCs w:val="24"/>
          <w:lang w:val="es-ES_tradnl"/>
        </w:rPr>
        <w:t>La Dirección para el Adelanto de la Mujer (en adelante:</w:t>
      </w:r>
      <w:r>
        <w:rPr>
          <w:szCs w:val="24"/>
        </w:rPr>
        <w:t xml:space="preserve"> </w:t>
      </w:r>
      <w:r>
        <w:rPr>
          <w:szCs w:val="24"/>
          <w:lang w:val="es-ES_tradnl"/>
        </w:rPr>
        <w:t xml:space="preserve">“la Dirección”) comenzó en </w:t>
      </w:r>
      <w:smartTag w:uri="urn:schemas-microsoft-com:office:smarttags" w:element="metricconverter">
        <w:smartTagPr>
          <w:attr w:name="ProductID" w:val="2007 a"/>
        </w:smartTagPr>
        <w:r>
          <w:rPr>
            <w:szCs w:val="24"/>
            <w:lang w:val="es-ES_tradnl"/>
          </w:rPr>
          <w:t>2007 a</w:t>
        </w:r>
      </w:smartTag>
      <w:r>
        <w:rPr>
          <w:szCs w:val="24"/>
          <w:lang w:val="es-ES_tradnl"/>
        </w:rPr>
        <w:t xml:space="preserve"> reunir datos sobre el cumplimiento de la obligación de nombrar un supervisor en las municipalidades locales y en empresas estatales.</w:t>
      </w:r>
      <w:r>
        <w:rPr>
          <w:szCs w:val="24"/>
        </w:rPr>
        <w:t xml:space="preserve"> </w:t>
      </w:r>
      <w:r>
        <w:rPr>
          <w:szCs w:val="24"/>
          <w:lang w:val="es-ES_tradnl"/>
        </w:rPr>
        <w:t>A finales de 2008, 900 de los 2.600 empleadores contactados por la Dirección en el sector privado, 172 de las 250 municipalidades locales y 48 de las 65 empresas estatales, 140 kibbutzim y todos los ministerios gubernamentales habían nombrado un supervisor.</w:t>
      </w:r>
    </w:p>
    <w:p w:rsidR="00F92819" w:rsidRDefault="00F92819">
      <w:pPr>
        <w:pStyle w:val="SingleTxtG"/>
        <w:rPr>
          <w:szCs w:val="24"/>
        </w:rPr>
      </w:pPr>
      <w:r>
        <w:rPr>
          <w:szCs w:val="24"/>
        </w:rPr>
        <w:t>142.</w:t>
      </w:r>
      <w:r>
        <w:rPr>
          <w:szCs w:val="24"/>
        </w:rPr>
        <w:tab/>
      </w:r>
      <w:r>
        <w:rPr>
          <w:szCs w:val="24"/>
          <w:lang w:val="es-ES_tradnl"/>
        </w:rPr>
        <w:t>Casi al final de 2007 la Dirección puso en marcha el primer curso de capacitación para supervisores, en cooperación con la Unión de Administraciones Locales de Israel.</w:t>
      </w:r>
    </w:p>
    <w:p w:rsidR="00F92819" w:rsidRDefault="00F92819">
      <w:pPr>
        <w:pStyle w:val="SingleTxtG"/>
        <w:rPr>
          <w:szCs w:val="24"/>
        </w:rPr>
      </w:pPr>
      <w:r>
        <w:rPr>
          <w:szCs w:val="24"/>
        </w:rPr>
        <w:t>143.</w:t>
      </w:r>
      <w:r>
        <w:rPr>
          <w:szCs w:val="24"/>
        </w:rPr>
        <w:tab/>
      </w:r>
      <w:r>
        <w:rPr>
          <w:szCs w:val="24"/>
          <w:lang w:val="es-ES_tradnl"/>
        </w:rPr>
        <w:t xml:space="preserve">En octubre de 2007 la Dirección para el Adelanto de la Mujer, junto con la Dirección de Aplicación de las Leyes y de Reglamentación del Ministerio de Industria, Comercio y Trabajo, lanzó una campaña de promoción de la aplicación de las leyes y de sensibilización, durante la cual se distribuyeron códigos de prácticas modelo en los lugares de trabajo de todo el país y se reunieron datos acerca de la aplicación de las disposiciones de </w:t>
      </w:r>
      <w:smartTag w:uri="urn:schemas-microsoft-com:office:smarttags" w:element="PersonName">
        <w:smartTagPr>
          <w:attr w:name="ProductID" w:val="la Ley. Se"/>
        </w:smartTagPr>
        <w:r>
          <w:rPr>
            <w:szCs w:val="24"/>
            <w:lang w:val="es-ES_tradnl"/>
          </w:rPr>
          <w:t>la Ley.</w:t>
        </w:r>
        <w:r>
          <w:rPr>
            <w:szCs w:val="24"/>
          </w:rPr>
          <w:t xml:space="preserve"> </w:t>
        </w:r>
        <w:r>
          <w:rPr>
            <w:szCs w:val="24"/>
            <w:lang w:val="es-ES_tradnl"/>
          </w:rPr>
          <w:t>Se</w:t>
        </w:r>
      </w:smartTag>
      <w:r>
        <w:rPr>
          <w:szCs w:val="24"/>
          <w:lang w:val="es-ES_tradnl"/>
        </w:rPr>
        <w:t xml:space="preserve"> llevaron a cabo inspecciones en 163 lugares de trabajo, donde hay empleados 15.000 trabajadores en total,</w:t>
      </w:r>
      <w:r>
        <w:rPr>
          <w:szCs w:val="24"/>
        </w:rPr>
        <w:t xml:space="preserve"> </w:t>
      </w:r>
      <w:r>
        <w:rPr>
          <w:szCs w:val="24"/>
          <w:lang w:val="es-ES_tradnl"/>
        </w:rPr>
        <w:t>y se hizo patente que la mayoría de los empleadores (66%) cumplen con la obligación de publicar un código de prácticas.</w:t>
      </w:r>
    </w:p>
    <w:p w:rsidR="00F92819" w:rsidRDefault="00F92819">
      <w:pPr>
        <w:pStyle w:val="SingleTxtG"/>
        <w:rPr>
          <w:szCs w:val="24"/>
        </w:rPr>
      </w:pPr>
      <w:r>
        <w:rPr>
          <w:szCs w:val="24"/>
        </w:rPr>
        <w:t>144.</w:t>
      </w:r>
      <w:r>
        <w:rPr>
          <w:szCs w:val="24"/>
        </w:rPr>
        <w:tab/>
      </w:r>
      <w:r>
        <w:rPr>
          <w:szCs w:val="24"/>
          <w:lang w:val="es-ES_tradnl"/>
        </w:rPr>
        <w:t>También se puede acceder fácilmente a los códigos de prácticas modelo en varios idiomas (hebreo, árabe, ruso, amhárico e inglés) en el sitio web de la Dirección.</w:t>
      </w:r>
    </w:p>
    <w:p w:rsidR="00F92819" w:rsidRDefault="00F92819">
      <w:pPr>
        <w:pStyle w:val="SingleTxtG"/>
        <w:rPr>
          <w:szCs w:val="24"/>
        </w:rPr>
      </w:pPr>
      <w:r>
        <w:rPr>
          <w:szCs w:val="24"/>
        </w:rPr>
        <w:t>145.</w:t>
      </w:r>
      <w:r>
        <w:rPr>
          <w:szCs w:val="24"/>
        </w:rPr>
        <w:tab/>
      </w:r>
      <w:r>
        <w:rPr>
          <w:szCs w:val="24"/>
          <w:lang w:val="es-ES_tradnl"/>
        </w:rPr>
        <w:t xml:space="preserve">En los últimos años el Tribunal Supremo ha demostrado un criterio estricto hacia el acoso sexual en el lugar de trabajo y entre otras cosas se ha establecido que el término “posición de autoridad” no se limite a un empleador o superior directo, sino que se refiera también a cualquier posición de influencia, poder o autoridad (C.S.A 1599/03 </w:t>
      </w:r>
      <w:r>
        <w:rPr>
          <w:i/>
          <w:szCs w:val="24"/>
          <w:lang w:val="es-ES_tradnl"/>
        </w:rPr>
        <w:t xml:space="preserve">Tapiro c. la Comisión de </w:t>
      </w:r>
      <w:smartTag w:uri="urn:schemas-microsoft-com:office:smarttags" w:element="PersonName">
        <w:smartTagPr>
          <w:attr w:name="ProductID" w:val="la Administraci￳n P￺blica"/>
        </w:smartTagPr>
        <w:r>
          <w:rPr>
            <w:i/>
            <w:szCs w:val="24"/>
            <w:lang w:val="es-ES_tradnl"/>
          </w:rPr>
          <w:t>la Administración Pública</w:t>
        </w:r>
      </w:smartTag>
      <w:r>
        <w:rPr>
          <w:i/>
          <w:szCs w:val="24"/>
          <w:lang w:val="es-ES_tradnl"/>
        </w:rPr>
        <w:t xml:space="preserve"> </w:t>
      </w:r>
      <w:r>
        <w:rPr>
          <w:szCs w:val="24"/>
          <w:lang w:val="es-ES_tradnl"/>
        </w:rPr>
        <w:t>(16 de diciembre de 2003))</w:t>
      </w:r>
      <w:r>
        <w:rPr>
          <w:i/>
          <w:szCs w:val="24"/>
          <w:lang w:val="es-ES_tradnl"/>
        </w:rPr>
        <w:t>.</w:t>
      </w:r>
    </w:p>
    <w:p w:rsidR="00F92819" w:rsidRDefault="00F92819">
      <w:pPr>
        <w:pStyle w:val="SingleTxtG"/>
        <w:rPr>
          <w:szCs w:val="24"/>
        </w:rPr>
      </w:pPr>
      <w:r>
        <w:rPr>
          <w:szCs w:val="24"/>
        </w:rPr>
        <w:t>146.</w:t>
      </w:r>
      <w:r>
        <w:rPr>
          <w:szCs w:val="24"/>
        </w:rPr>
        <w:tab/>
      </w:r>
      <w:r>
        <w:rPr>
          <w:szCs w:val="24"/>
          <w:lang w:val="es-ES_tradnl"/>
        </w:rPr>
        <w:t>En otra decisión sobre el acoso sexual en el lugar del trabajo, el Tribunal Supremo rechazó una apelación del director adjunto de enfermeros del Centro de Salud Mental de Be’er-Sheva, que había sido declarado culpable de acosar a enfermeras durante un curso de capacitación (C.S.A 11976/05</w:t>
      </w:r>
      <w:r>
        <w:rPr>
          <w:i/>
          <w:szCs w:val="24"/>
          <w:lang w:val="es-ES_tradnl"/>
        </w:rPr>
        <w:t xml:space="preserve"> Ruchi Halil c. la Comisión de </w:t>
      </w:r>
      <w:smartTag w:uri="urn:schemas-microsoft-com:office:smarttags" w:element="PersonName">
        <w:smartTagPr>
          <w:attr w:name="ProductID" w:val="la Administraci￳n P￺blica"/>
        </w:smartTagPr>
        <w:r>
          <w:rPr>
            <w:i/>
            <w:szCs w:val="24"/>
            <w:lang w:val="es-ES_tradnl"/>
          </w:rPr>
          <w:t>la Administración Pública</w:t>
        </w:r>
      </w:smartTag>
      <w:r>
        <w:rPr>
          <w:szCs w:val="24"/>
          <w:lang w:val="es-ES_tradnl"/>
        </w:rPr>
        <w:t xml:space="preserve"> (11 de abril de 2007)).</w:t>
      </w:r>
      <w:r>
        <w:rPr>
          <w:szCs w:val="24"/>
        </w:rPr>
        <w:t xml:space="preserve"> </w:t>
      </w:r>
      <w:r>
        <w:rPr>
          <w:szCs w:val="24"/>
          <w:lang w:val="es-ES_tradnl"/>
        </w:rPr>
        <w:t xml:space="preserve">El Tribunal falló que en repetidas ocasiones el apelante había dirigido a sus subordinadas palabras de contenido sexual, lo cual constituye acoso sexual conforme a </w:t>
      </w:r>
      <w:smartTag w:uri="urn:schemas-microsoft-com:office:smarttags" w:element="PersonName">
        <w:smartTagPr>
          <w:attr w:name="ProductID" w:val="la Ley. El Tribunal"/>
        </w:smartTagPr>
        <w:r>
          <w:rPr>
            <w:szCs w:val="24"/>
            <w:lang w:val="es-ES_tradnl"/>
          </w:rPr>
          <w:t>la Ley.</w:t>
        </w:r>
        <w:r>
          <w:rPr>
            <w:szCs w:val="24"/>
          </w:rPr>
          <w:t xml:space="preserve"> </w:t>
        </w:r>
        <w:r>
          <w:rPr>
            <w:szCs w:val="24"/>
            <w:lang w:val="es-ES_tradnl"/>
          </w:rPr>
          <w:t>El Tribunal</w:t>
        </w:r>
      </w:smartTag>
      <w:r>
        <w:rPr>
          <w:szCs w:val="24"/>
          <w:lang w:val="es-ES_tradnl"/>
        </w:rPr>
        <w:t xml:space="preserve"> Disciplinario condenó al apelante a amonestación severa, descenso de una categoría por un período de dos años, traslado a otro hospital estatal y descalificación para el servicio de capacitación de enfermeras por un período de tres años.</w:t>
      </w:r>
    </w:p>
    <w:p w:rsidR="00F92819" w:rsidRDefault="00F92819">
      <w:pPr>
        <w:pStyle w:val="SingleTxtG"/>
        <w:rPr>
          <w:szCs w:val="24"/>
        </w:rPr>
      </w:pPr>
      <w:r>
        <w:rPr>
          <w:szCs w:val="24"/>
        </w:rPr>
        <w:t>147.</w:t>
      </w:r>
      <w:r>
        <w:rPr>
          <w:szCs w:val="24"/>
        </w:rPr>
        <w:tab/>
      </w:r>
      <w:r>
        <w:rPr>
          <w:szCs w:val="24"/>
          <w:lang w:val="es-ES_tradnl"/>
        </w:rPr>
        <w:t xml:space="preserve">En otra causa, el Tribunal Supremo aceptó la apelación en que el Estado pedía que se aplicara un castigo más severo al director de la división de comunicaciones del Ministerio de Defensa, que había sido declarado culpable de acosar sexualmente a tres empleadas de su división (C.S.A 7233/02 </w:t>
      </w:r>
      <w:r>
        <w:rPr>
          <w:i/>
          <w:szCs w:val="24"/>
          <w:lang w:val="es-ES_tradnl"/>
        </w:rPr>
        <w:t>El Estado de Israel c.</w:t>
      </w:r>
      <w:r>
        <w:rPr>
          <w:szCs w:val="24"/>
          <w:lang w:val="es-ES_tradnl"/>
        </w:rPr>
        <w:t xml:space="preserve"> </w:t>
      </w:r>
      <w:r>
        <w:rPr>
          <w:i/>
          <w:szCs w:val="24"/>
          <w:lang w:val="es-ES_tradnl"/>
        </w:rPr>
        <w:t xml:space="preserve">Shahar Levi </w:t>
      </w:r>
      <w:r>
        <w:rPr>
          <w:szCs w:val="24"/>
          <w:lang w:val="es-ES_tradnl"/>
        </w:rPr>
        <w:t>(1º de mayo de 2003)).</w:t>
      </w:r>
      <w:r>
        <w:rPr>
          <w:szCs w:val="24"/>
        </w:rPr>
        <w:t xml:space="preserve"> </w:t>
      </w:r>
      <w:r>
        <w:rPr>
          <w:szCs w:val="24"/>
          <w:lang w:val="es-ES_tradnl"/>
        </w:rPr>
        <w:t>El Presidente del Tribunal Supremo consideró las circunstancias del caso, en que el director superior había acosado repetidamente a su subordinada y además había intentado impedirle que lo denunciara abusando de su autoridad y posición de poder sobre ella y otros subordinados, y sostuvo que no debía ser empleado en la administración pública.</w:t>
      </w:r>
      <w:r>
        <w:rPr>
          <w:szCs w:val="24"/>
        </w:rPr>
        <w:t xml:space="preserve"> </w:t>
      </w:r>
      <w:r>
        <w:rPr>
          <w:szCs w:val="24"/>
          <w:lang w:val="es-ES_tradnl"/>
        </w:rPr>
        <w:t>Por tanto, el director fue condenado a amonestación severa, despido inmediato y descalificación para el empleo en la administración pública hasta cumplir 65 años.</w:t>
      </w:r>
    </w:p>
    <w:p w:rsidR="00F92819" w:rsidRDefault="00F92819">
      <w:pPr>
        <w:pStyle w:val="SingleTxtG"/>
        <w:rPr>
          <w:szCs w:val="24"/>
        </w:rPr>
      </w:pPr>
      <w:r>
        <w:rPr>
          <w:szCs w:val="24"/>
        </w:rPr>
        <w:t>148.</w:t>
      </w:r>
      <w:r>
        <w:rPr>
          <w:szCs w:val="24"/>
        </w:rPr>
        <w:tab/>
      </w:r>
      <w:r>
        <w:rPr>
          <w:szCs w:val="24"/>
          <w:lang w:val="es-ES_tradnl"/>
        </w:rPr>
        <w:t>En un caso reciente, el Tribunal Laboral de Israel sostuvo que no se atenderán demandas de la defensa que aleguen consentimiento o seducción por la víctima cuando se trate de relaciones entre colegas basadas únicamente en relaciones sexuales aleatorias.</w:t>
      </w:r>
      <w:r>
        <w:rPr>
          <w:szCs w:val="24"/>
        </w:rPr>
        <w:t xml:space="preserve"> </w:t>
      </w:r>
      <w:r>
        <w:rPr>
          <w:szCs w:val="24"/>
          <w:lang w:val="es-ES_tradnl"/>
        </w:rPr>
        <w:t>A fin de no incurrir en responsabilidades, se debe informar al superior o al jefe de la organización de la existencia de una relación y del hecho que es consentida</w:t>
      </w:r>
      <w:r>
        <w:rPr>
          <w:i/>
          <w:szCs w:val="24"/>
          <w:lang w:val="es-ES_tradnl"/>
        </w:rPr>
        <w:t xml:space="preserve"> (</w:t>
      </w:r>
      <w:r>
        <w:rPr>
          <w:szCs w:val="24"/>
          <w:lang w:val="es-ES_tradnl"/>
        </w:rPr>
        <w:t>La.A</w:t>
      </w:r>
      <w:r>
        <w:rPr>
          <w:szCs w:val="24"/>
          <w:rtl/>
          <w:lang w:val="es-ES_tradnl"/>
        </w:rPr>
        <w:t xml:space="preserve"> </w:t>
      </w:r>
      <w:r>
        <w:rPr>
          <w:szCs w:val="24"/>
          <w:lang w:val="es-ES_tradnl"/>
        </w:rPr>
        <w:t xml:space="preserve">274/06 </w:t>
      </w:r>
      <w:r>
        <w:rPr>
          <w:i/>
          <w:szCs w:val="24"/>
          <w:lang w:val="es-ES_tradnl"/>
        </w:rPr>
        <w:t>Anónimo c. Anónimo</w:t>
      </w:r>
      <w:r>
        <w:rPr>
          <w:szCs w:val="24"/>
          <w:lang w:val="es-ES_tradnl"/>
        </w:rPr>
        <w:t>).</w:t>
      </w:r>
    </w:p>
    <w:p w:rsidR="00F92819" w:rsidRDefault="00F92819">
      <w:pPr>
        <w:pStyle w:val="H23G"/>
        <w:rPr>
          <w:szCs w:val="24"/>
        </w:rPr>
      </w:pPr>
      <w:r>
        <w:rPr>
          <w:szCs w:val="24"/>
        </w:rPr>
        <w:tab/>
      </w:r>
      <w:r>
        <w:rPr>
          <w:szCs w:val="24"/>
        </w:rPr>
        <w:tab/>
      </w:r>
      <w:r>
        <w:rPr>
          <w:szCs w:val="24"/>
          <w:lang w:val="es-ES_tradnl"/>
        </w:rPr>
        <w:t>La Ley de prevención del acecho de 5762/2001</w:t>
      </w:r>
    </w:p>
    <w:p w:rsidR="00F92819" w:rsidRDefault="00F92819">
      <w:pPr>
        <w:pStyle w:val="SingleTxtG"/>
        <w:rPr>
          <w:szCs w:val="24"/>
        </w:rPr>
      </w:pPr>
      <w:r>
        <w:rPr>
          <w:szCs w:val="24"/>
        </w:rPr>
        <w:t>149.</w:t>
      </w:r>
      <w:r>
        <w:rPr>
          <w:szCs w:val="24"/>
        </w:rPr>
        <w:tab/>
      </w:r>
      <w:r>
        <w:rPr>
          <w:szCs w:val="24"/>
          <w:lang w:val="es-ES_tradnl"/>
        </w:rPr>
        <w:t xml:space="preserve">El 16 de octubre de 2001 el Knesset sancionó la </w:t>
      </w:r>
      <w:r>
        <w:rPr>
          <w:i/>
          <w:szCs w:val="24"/>
          <w:lang w:val="es-ES_tradnl"/>
        </w:rPr>
        <w:t>Ley de prevención del acecho</w:t>
      </w:r>
      <w:r>
        <w:rPr>
          <w:szCs w:val="24"/>
          <w:lang w:val="es-ES_tradnl"/>
        </w:rPr>
        <w:t>, destinada a proteger a las personas contra la perturbación de su vida, su intimidad o sus elecciones personales y contra lesiones físicas a manos de otra persona que las haya acechado o causado daño físico.</w:t>
      </w:r>
      <w:r>
        <w:rPr>
          <w:szCs w:val="24"/>
        </w:rPr>
        <w:t xml:space="preserve"> </w:t>
      </w:r>
      <w:r>
        <w:rPr>
          <w:szCs w:val="24"/>
          <w:lang w:val="es-ES_tradnl"/>
        </w:rPr>
        <w:t>La Ley define el acecho como “acoso de una persona por otra o amenazas contra una persona en circunstancias que dan motivos razonables para suponer que el acechante o persona que representa una amenaza podría seguir dañando o perturbando la vida de la víctima, su intimidad o su elección, o causarle daño físico”.</w:t>
      </w:r>
      <w:r>
        <w:rPr>
          <w:szCs w:val="24"/>
        </w:rPr>
        <w:t xml:space="preserve"> </w:t>
      </w:r>
      <w:r>
        <w:rPr>
          <w:szCs w:val="24"/>
          <w:lang w:val="es-ES_tradnl"/>
        </w:rPr>
        <w:t>El acecho puede incluir los siguientes actos:</w:t>
      </w:r>
      <w:r>
        <w:rPr>
          <w:szCs w:val="24"/>
        </w:rPr>
        <w:t xml:space="preserve"> </w:t>
      </w:r>
      <w:r>
        <w:rPr>
          <w:szCs w:val="24"/>
          <w:lang w:val="es-ES_tradnl"/>
        </w:rPr>
        <w:t>espiar o emboscar a una persona o cualquier otro acto que siga los movimientos o vulnere la vida privada de la persona; infligir daño real o incluso amenazar con ello; establecer contacto verbal, escrito o cualquier otra forma de contacto con la persona; dañar los bienes de la persona, empañar su buen nombre o limitar su libertad de circulación.</w:t>
      </w:r>
    </w:p>
    <w:p w:rsidR="00F92819" w:rsidRDefault="00F92819">
      <w:pPr>
        <w:pStyle w:val="SingleTxtG"/>
        <w:rPr>
          <w:szCs w:val="24"/>
        </w:rPr>
      </w:pPr>
      <w:r>
        <w:rPr>
          <w:szCs w:val="24"/>
        </w:rPr>
        <w:t>150.</w:t>
      </w:r>
      <w:r>
        <w:rPr>
          <w:szCs w:val="24"/>
        </w:rPr>
        <w:tab/>
      </w:r>
      <w:r>
        <w:rPr>
          <w:szCs w:val="24"/>
          <w:lang w:val="es-ES_tradnl"/>
        </w:rPr>
        <w:t>Según la Ley, el tribunal que declara a una persona culpable de acecho puede imponerle una orden de alejamiento que le prohíba cometer cualquiera de los siguientes actos:</w:t>
      </w:r>
      <w:r>
        <w:rPr>
          <w:szCs w:val="24"/>
        </w:rPr>
        <w:t xml:space="preserve"> </w:t>
      </w:r>
      <w:r>
        <w:rPr>
          <w:szCs w:val="24"/>
          <w:lang w:val="es-ES_tradnl"/>
        </w:rPr>
        <w:t xml:space="preserve">acosar a la víctima en cualquier forma o en cualquier lugar; amenazar a la víctima; espiar o emboscar a la víctima, seguir los movimientos o actos de la víctima o vulnerar la vida privada de la víctima de cualquier otra manera; y establecer cualquier comunicación verbal, escrita o cualquier otra forma de comunicación con </w:t>
      </w:r>
      <w:smartTag w:uri="urn:schemas-microsoft-com:office:smarttags" w:element="PersonName">
        <w:smartTagPr>
          <w:attr w:name="ProductID" w:val="la v￭ctima. Si"/>
        </w:smartTagPr>
        <w:r>
          <w:rPr>
            <w:szCs w:val="24"/>
            <w:lang w:val="es-ES_tradnl"/>
          </w:rPr>
          <w:t>la víctima.</w:t>
        </w:r>
        <w:r>
          <w:rPr>
            <w:szCs w:val="24"/>
          </w:rPr>
          <w:t xml:space="preserve"> </w:t>
        </w:r>
        <w:r>
          <w:rPr>
            <w:szCs w:val="24"/>
            <w:lang w:val="es-ES_tradnl"/>
          </w:rPr>
          <w:t>Si</w:t>
        </w:r>
      </w:smartTag>
      <w:r>
        <w:rPr>
          <w:szCs w:val="24"/>
          <w:lang w:val="es-ES_tradnl"/>
        </w:rPr>
        <w:t xml:space="preserve"> las circunstancias del acecho dan motivos razonables para temer la continuación de la perturbación o el daño efectivo de la vida de otra persona, el tribunal puede incluir en la orden de alejamiento una prohibición de cometer los siguientes actos:</w:t>
      </w:r>
      <w:r>
        <w:rPr>
          <w:szCs w:val="24"/>
        </w:rPr>
        <w:t xml:space="preserve"> </w:t>
      </w:r>
      <w:r>
        <w:rPr>
          <w:szCs w:val="24"/>
          <w:lang w:val="es-ES_tradnl"/>
        </w:rPr>
        <w:t>estar presente dentro de una distancia determinada de la residencia, el automóvil o el lugar de trabajo de la víctima o cualquier otro lugar que la víctima visite a menudo; llevar o poseer armas de fuego, incluidas armas expedidas por la autoridad de seguridad o cualquier otro órgano gubernamental; todo ello actuando contra la víctima o un pariente de la víctima, explícita o implícitamente, directa o indirectamente.</w:t>
      </w:r>
    </w:p>
    <w:p w:rsidR="00F92819" w:rsidRDefault="00F92819">
      <w:pPr>
        <w:pStyle w:val="SingleTxtG"/>
        <w:rPr>
          <w:szCs w:val="24"/>
        </w:rPr>
      </w:pPr>
      <w:r>
        <w:rPr>
          <w:szCs w:val="24"/>
        </w:rPr>
        <w:t>151.</w:t>
      </w:r>
      <w:r>
        <w:rPr>
          <w:szCs w:val="24"/>
        </w:rPr>
        <w:tab/>
      </w:r>
      <w:r>
        <w:rPr>
          <w:szCs w:val="24"/>
          <w:lang w:val="es-ES_tradnl"/>
        </w:rPr>
        <w:t xml:space="preserve">En 2008 se enmendó la </w:t>
      </w:r>
      <w:r>
        <w:rPr>
          <w:i/>
          <w:szCs w:val="24"/>
          <w:lang w:val="es-ES_tradnl"/>
        </w:rPr>
        <w:t>Ley de prevención de la violencia doméstica</w:t>
      </w:r>
      <w:r>
        <w:rPr>
          <w:szCs w:val="24"/>
          <w:lang w:val="es-ES_tradnl"/>
        </w:rPr>
        <w:t xml:space="preserve"> de 5751/1991 para estipular que un tribunal no debería rechazar una solicitud de una orden de protección con arreglo a esta Ley ni una solicitud de una orden para prevenir el acecho, con arreglo a la </w:t>
      </w:r>
      <w:r>
        <w:rPr>
          <w:i/>
          <w:szCs w:val="24"/>
          <w:lang w:val="es-ES_tradnl"/>
        </w:rPr>
        <w:t>Ley de prevención del acecho</w:t>
      </w:r>
      <w:r>
        <w:rPr>
          <w:szCs w:val="24"/>
          <w:lang w:val="es-ES_tradnl"/>
        </w:rPr>
        <w:t>, sin antes dar al demandante una oportunidad de formular sus demandas.</w:t>
      </w:r>
      <w:r>
        <w:rPr>
          <w:szCs w:val="24"/>
        </w:rPr>
        <w:t xml:space="preserve"> </w:t>
      </w:r>
      <w:r>
        <w:rPr>
          <w:szCs w:val="24"/>
          <w:lang w:val="es-ES_tradnl"/>
        </w:rPr>
        <w:t>Dicha enmienda incorpora la recomendación del Comité intergubernamental para la prevención de la violencia doméstica.</w:t>
      </w:r>
      <w:r>
        <w:rPr>
          <w:szCs w:val="24"/>
        </w:rPr>
        <w:t xml:space="preserve"> </w:t>
      </w:r>
      <w:r>
        <w:rPr>
          <w:szCs w:val="24"/>
          <w:lang w:val="es-ES_tradnl"/>
        </w:rPr>
        <w:t>Dado que en la mayoría de los casos la víctima es una mujer, la instrucción prescrita por la Ley facilita a las mujeres la libertad personal y, al hacerlo, las ayuda a integrarse mejor en la sociedad.</w:t>
      </w:r>
    </w:p>
    <w:p w:rsidR="00F92819" w:rsidRDefault="00F92819">
      <w:pPr>
        <w:pStyle w:val="H23G"/>
        <w:rPr>
          <w:szCs w:val="24"/>
        </w:rPr>
      </w:pPr>
      <w:r>
        <w:rPr>
          <w:szCs w:val="24"/>
        </w:rPr>
        <w:tab/>
      </w:r>
      <w:r>
        <w:rPr>
          <w:szCs w:val="24"/>
        </w:rPr>
        <w:tab/>
      </w:r>
      <w:r>
        <w:rPr>
          <w:szCs w:val="24"/>
          <w:lang w:val="es-ES_tradnl"/>
        </w:rPr>
        <w:t>Trata de mujeres</w:t>
      </w:r>
    </w:p>
    <w:p w:rsidR="00F92819" w:rsidRDefault="00F92819">
      <w:pPr>
        <w:pStyle w:val="SingleTxtG"/>
        <w:rPr>
          <w:szCs w:val="24"/>
        </w:rPr>
      </w:pPr>
      <w:r>
        <w:rPr>
          <w:szCs w:val="24"/>
        </w:rPr>
        <w:t>152.</w:t>
      </w:r>
      <w:r>
        <w:rPr>
          <w:szCs w:val="24"/>
        </w:rPr>
        <w:tab/>
      </w:r>
      <w:r>
        <w:rPr>
          <w:szCs w:val="24"/>
          <w:lang w:val="es-ES_tradnl"/>
        </w:rPr>
        <w:t>Desde la presentación del informe periódico anterior, Israel ha tomado varias medidas importantes para combatir la trata de personas para cualquier fin, como se detalla en el artículo 6 siguiente.</w:t>
      </w:r>
      <w:r>
        <w:rPr>
          <w:szCs w:val="24"/>
        </w:rPr>
        <w:t xml:space="preserve"> </w:t>
      </w:r>
      <w:r>
        <w:rPr>
          <w:szCs w:val="24"/>
          <w:lang w:val="es-ES_tradnl"/>
        </w:rPr>
        <w:t>Se ha prestado mucha atención a esta cuestión y se ha promovido en todos los niveles: legislativo, judicial y administrativo.</w:t>
      </w:r>
      <w:r>
        <w:rPr>
          <w:szCs w:val="24"/>
        </w:rPr>
        <w:t xml:space="preserve"> </w:t>
      </w:r>
      <w:r>
        <w:rPr>
          <w:szCs w:val="24"/>
          <w:lang w:val="es-ES_tradnl"/>
        </w:rPr>
        <w:t xml:space="preserve">El resultado ha sido una gran disminución del número de víctimas de trata para </w:t>
      </w:r>
      <w:smartTag w:uri="urn:schemas-microsoft-com:office:smarttags" w:element="PersonName">
        <w:smartTagPr>
          <w:attr w:name="ProductID" w:val="la prostituci￳n. Para"/>
        </w:smartTagPr>
        <w:r>
          <w:rPr>
            <w:szCs w:val="24"/>
            <w:lang w:val="es-ES_tradnl"/>
          </w:rPr>
          <w:t>la prostitución.</w:t>
        </w:r>
        <w:r>
          <w:rPr>
            <w:szCs w:val="24"/>
          </w:rPr>
          <w:t xml:space="preserve"> </w:t>
        </w:r>
        <w:r>
          <w:rPr>
            <w:szCs w:val="24"/>
            <w:lang w:val="es-ES_tradnl"/>
          </w:rPr>
          <w:t>Para</w:t>
        </w:r>
      </w:smartTag>
      <w:r>
        <w:rPr>
          <w:szCs w:val="24"/>
          <w:lang w:val="es-ES_tradnl"/>
        </w:rPr>
        <w:t xml:space="preserve"> obtener información más detallada sobre la prevención de la trata de mujeres y el trato y la asistencia a las víctimas de la trata de personas, véase el tercer informe periódico del Estado de Israel sobre la aplicación del Pacto Internacional de Derechos Civiles y Políticos (ICCPR).</w:t>
      </w:r>
    </w:p>
    <w:p w:rsidR="00F92819" w:rsidRDefault="00F92819">
      <w:pPr>
        <w:pStyle w:val="H23G"/>
        <w:rPr>
          <w:szCs w:val="24"/>
        </w:rPr>
      </w:pPr>
      <w:r>
        <w:rPr>
          <w:szCs w:val="24"/>
        </w:rPr>
        <w:tab/>
      </w:r>
      <w:r>
        <w:rPr>
          <w:szCs w:val="24"/>
        </w:rPr>
        <w:tab/>
      </w:r>
      <w:r>
        <w:rPr>
          <w:szCs w:val="24"/>
          <w:lang w:val="es-ES_tradnl"/>
        </w:rPr>
        <w:t>Rehabilitación y tratamiento de mujeres dedicadas a la prostitución</w:t>
      </w:r>
    </w:p>
    <w:p w:rsidR="00F92819" w:rsidRDefault="00F92819">
      <w:pPr>
        <w:pStyle w:val="SingleTxtG"/>
        <w:rPr>
          <w:szCs w:val="24"/>
        </w:rPr>
      </w:pPr>
      <w:r>
        <w:rPr>
          <w:szCs w:val="24"/>
        </w:rPr>
        <w:t>153.</w:t>
      </w:r>
      <w:r>
        <w:rPr>
          <w:szCs w:val="24"/>
        </w:rPr>
        <w:tab/>
      </w:r>
      <w:r>
        <w:rPr>
          <w:szCs w:val="24"/>
          <w:lang w:val="es-ES_tradnl"/>
        </w:rPr>
        <w:t xml:space="preserve">En enero de 2007 se destinaron considerables fondos del Gobierno para la rehabilitación y el tratamiento de mujeres dedicadas a la prostitución y se estableció una comisión interministerial, presidida por el director de la Dirección para el Adelanto de </w:t>
      </w:r>
      <w:smartTag w:uri="urn:schemas-microsoft-com:office:smarttags" w:element="PersonName">
        <w:smartTagPr>
          <w:attr w:name="ProductID" w:val="la Mujer. La"/>
        </w:smartTagPr>
        <w:r>
          <w:rPr>
            <w:szCs w:val="24"/>
            <w:lang w:val="es-ES_tradnl"/>
          </w:rPr>
          <w:t>la Mujer.</w:t>
        </w:r>
        <w:r>
          <w:rPr>
            <w:szCs w:val="24"/>
          </w:rPr>
          <w:t xml:space="preserve"> </w:t>
        </w:r>
        <w:r>
          <w:rPr>
            <w:szCs w:val="24"/>
            <w:lang w:val="es-ES_tradnl"/>
          </w:rPr>
          <w:t>La</w:t>
        </w:r>
      </w:smartTag>
      <w:r>
        <w:rPr>
          <w:szCs w:val="24"/>
          <w:lang w:val="es-ES_tradnl"/>
        </w:rPr>
        <w:t xml:space="preserve"> aplicación del programa comenzó en 2008, según el cual se pondrán en marcha apartamentos de emergencia para ofrecer refugio temporal a las mujeres que se dedican a la prostitución, se renovará y ampliará el dispensario móvil para el tratamiento de las niñas y mujeres que ejercen la prostitución, se activará una línea de atención telefónica nacional para facilitar un alivio inicial a su sufrimiento, se establecerá un refugio para tratamiento psicológico y rehabilitación prolongada, centros de día de rehabilitación mental y profesional y se lanzará una campaña educativa para las escuelas y el público en general.</w:t>
      </w:r>
      <w:r>
        <w:rPr>
          <w:szCs w:val="24"/>
        </w:rPr>
        <w:t xml:space="preserve"> </w:t>
      </w:r>
      <w:r>
        <w:rPr>
          <w:szCs w:val="24"/>
          <w:lang w:val="es-ES_tradnl"/>
        </w:rPr>
        <w:t>En Tel Aviv y Haifa ha comenzado la aplicación de dichos programas.</w:t>
      </w:r>
    </w:p>
    <w:p w:rsidR="00F92819" w:rsidRDefault="00F92819">
      <w:pPr>
        <w:pStyle w:val="H23G"/>
        <w:rPr>
          <w:szCs w:val="24"/>
        </w:rPr>
      </w:pPr>
      <w:r>
        <w:rPr>
          <w:szCs w:val="24"/>
        </w:rPr>
        <w:tab/>
      </w:r>
      <w:r>
        <w:rPr>
          <w:szCs w:val="24"/>
        </w:rPr>
        <w:tab/>
      </w:r>
      <w:r>
        <w:rPr>
          <w:szCs w:val="24"/>
          <w:lang w:val="es-ES_tradnl"/>
        </w:rPr>
        <w:t>Información adicional</w:t>
      </w:r>
    </w:p>
    <w:p w:rsidR="00F92819" w:rsidRDefault="00F92819">
      <w:pPr>
        <w:pStyle w:val="SingleTxtG"/>
        <w:rPr>
          <w:szCs w:val="24"/>
        </w:rPr>
      </w:pPr>
      <w:r>
        <w:rPr>
          <w:szCs w:val="24"/>
        </w:rPr>
        <w:t>154.</w:t>
      </w:r>
      <w:r>
        <w:rPr>
          <w:szCs w:val="24"/>
        </w:rPr>
        <w:tab/>
      </w:r>
      <w:r>
        <w:rPr>
          <w:szCs w:val="24"/>
          <w:lang w:val="es-ES_tradnl"/>
        </w:rPr>
        <w:t>Para obtener más información con respecto a la igualdad de géneros, véase el tercer informe periódico del Estado de Israel sobre la aplicación del Pacto Internacional de Derechos Civiles y Políticos (ICCPR), especialmente con respecto a lo siguiente:</w:t>
      </w:r>
    </w:p>
    <w:p w:rsidR="00F92819" w:rsidRDefault="00F92819">
      <w:pPr>
        <w:pStyle w:val="Bullet1G"/>
        <w:tabs>
          <w:tab w:val="clear" w:pos="1701"/>
        </w:tabs>
        <w:suppressAutoHyphens/>
        <w:rPr>
          <w:szCs w:val="24"/>
        </w:rPr>
      </w:pPr>
      <w:r>
        <w:rPr>
          <w:szCs w:val="24"/>
          <w:lang w:val="es-ES_tradnl"/>
        </w:rPr>
        <w:t>Prevención y tratamiento de la violencia doméstica contra la mujer;</w:t>
      </w:r>
    </w:p>
    <w:p w:rsidR="00F92819" w:rsidRDefault="00F92819">
      <w:pPr>
        <w:pStyle w:val="Bullet1G"/>
        <w:tabs>
          <w:tab w:val="clear" w:pos="1701"/>
        </w:tabs>
        <w:suppressAutoHyphens/>
        <w:rPr>
          <w:szCs w:val="24"/>
        </w:rPr>
      </w:pPr>
      <w:r>
        <w:rPr>
          <w:szCs w:val="24"/>
          <w:lang w:val="es-ES_tradnl"/>
        </w:rPr>
        <w:t>Tratamiento de las víctimas de violencia sexual;</w:t>
      </w:r>
    </w:p>
    <w:p w:rsidR="00F92819" w:rsidRDefault="00F92819">
      <w:pPr>
        <w:pStyle w:val="Bullet1G"/>
        <w:tabs>
          <w:tab w:val="clear" w:pos="1701"/>
        </w:tabs>
        <w:suppressAutoHyphens/>
        <w:rPr>
          <w:szCs w:val="24"/>
        </w:rPr>
      </w:pPr>
      <w:r>
        <w:rPr>
          <w:szCs w:val="24"/>
          <w:lang w:val="es-ES_tradnl"/>
        </w:rPr>
        <w:t>Representación de la mujer en los partidos políticos y en el Knesset;</w:t>
      </w:r>
    </w:p>
    <w:p w:rsidR="00F92819" w:rsidRDefault="00F92819">
      <w:pPr>
        <w:pStyle w:val="Bullet1G"/>
        <w:tabs>
          <w:tab w:val="clear" w:pos="1701"/>
        </w:tabs>
        <w:suppressAutoHyphens/>
        <w:rPr>
          <w:szCs w:val="24"/>
        </w:rPr>
      </w:pPr>
      <w:r>
        <w:rPr>
          <w:szCs w:val="24"/>
          <w:lang w:val="es-ES_tradnl"/>
        </w:rPr>
        <w:t>La mujer en el Gobierno, las autoridades locales y la administración pública;</w:t>
      </w:r>
    </w:p>
    <w:p w:rsidR="00F92819" w:rsidRDefault="00F92819">
      <w:pPr>
        <w:pStyle w:val="Bullet1G"/>
        <w:tabs>
          <w:tab w:val="clear" w:pos="1701"/>
        </w:tabs>
        <w:suppressAutoHyphens/>
        <w:rPr>
          <w:szCs w:val="24"/>
        </w:rPr>
      </w:pPr>
      <w:r>
        <w:rPr>
          <w:szCs w:val="24"/>
          <w:lang w:val="es-ES_tradnl"/>
        </w:rPr>
        <w:t>La mujer en el poder judicial y la abogacía en el sector público;</w:t>
      </w:r>
    </w:p>
    <w:p w:rsidR="00F92819" w:rsidRDefault="00F92819">
      <w:pPr>
        <w:pStyle w:val="Bullet1G"/>
        <w:tabs>
          <w:tab w:val="clear" w:pos="1701"/>
        </w:tabs>
        <w:suppressAutoHyphens/>
        <w:rPr>
          <w:szCs w:val="24"/>
        </w:rPr>
      </w:pPr>
      <w:r>
        <w:rPr>
          <w:szCs w:val="24"/>
          <w:lang w:val="es-ES_tradnl"/>
        </w:rPr>
        <w:t>La mujer en las fuerzas armadas y la policía.</w:t>
      </w:r>
    </w:p>
    <w:p w:rsidR="00F92819" w:rsidRDefault="00F92819">
      <w:pPr>
        <w:pStyle w:val="H1G"/>
        <w:spacing w:after="0"/>
        <w:ind w:firstLine="0"/>
        <w:rPr>
          <w:szCs w:val="24"/>
          <w:lang w:val="es-ES_tradnl"/>
        </w:rPr>
      </w:pPr>
      <w:r>
        <w:rPr>
          <w:szCs w:val="24"/>
          <w:lang w:val="es-ES_tradnl"/>
        </w:rPr>
        <w:t>Artículo 6</w:t>
      </w:r>
    </w:p>
    <w:p w:rsidR="00F92819" w:rsidRDefault="00F92819">
      <w:pPr>
        <w:pStyle w:val="H1G"/>
        <w:spacing w:before="0"/>
        <w:ind w:firstLine="0"/>
        <w:rPr>
          <w:szCs w:val="24"/>
        </w:rPr>
      </w:pPr>
      <w:r>
        <w:rPr>
          <w:szCs w:val="24"/>
          <w:lang w:val="es-ES_tradnl"/>
        </w:rPr>
        <w:t>Derecho al trabajo</w:t>
      </w:r>
    </w:p>
    <w:p w:rsidR="00F92819" w:rsidRDefault="00F92819">
      <w:pPr>
        <w:pStyle w:val="H23G"/>
        <w:rPr>
          <w:szCs w:val="24"/>
        </w:rPr>
      </w:pPr>
      <w:r>
        <w:rPr>
          <w:szCs w:val="24"/>
        </w:rPr>
        <w:tab/>
      </w:r>
      <w:r>
        <w:rPr>
          <w:szCs w:val="24"/>
        </w:rPr>
        <w:tab/>
      </w:r>
      <w:r>
        <w:rPr>
          <w:szCs w:val="24"/>
          <w:lang w:val="es-ES_tradnl"/>
        </w:rPr>
        <w:t>Convenciones internacionales pertinentes obligatorias para Israel</w:t>
      </w:r>
    </w:p>
    <w:p w:rsidR="00F92819" w:rsidRDefault="00F92819">
      <w:pPr>
        <w:pStyle w:val="SingleTxtG"/>
        <w:rPr>
          <w:szCs w:val="24"/>
        </w:rPr>
      </w:pPr>
      <w:r>
        <w:rPr>
          <w:szCs w:val="24"/>
        </w:rPr>
        <w:t>155.</w:t>
      </w:r>
      <w:r>
        <w:rPr>
          <w:szCs w:val="24"/>
        </w:rPr>
        <w:tab/>
      </w:r>
      <w:r>
        <w:rPr>
          <w:szCs w:val="24"/>
          <w:lang w:val="es-ES_tradnl"/>
        </w:rPr>
        <w:t xml:space="preserve">Desde la presentación del segundo informe periódico, Israel ha presentado varios informes actualizados en relación con los convenios de </w:t>
      </w:r>
      <w:smartTag w:uri="urn:schemas-microsoft-com:office:smarttags" w:element="PersonName">
        <w:smartTagPr>
          <w:attr w:name="ProductID" w:val="la Organizaci￳n Internacional"/>
        </w:smartTagPr>
        <w:r>
          <w:rPr>
            <w:szCs w:val="24"/>
            <w:lang w:val="es-ES_tradnl"/>
          </w:rPr>
          <w:t>la Organización Internacional</w:t>
        </w:r>
      </w:smartTag>
      <w:r>
        <w:rPr>
          <w:szCs w:val="24"/>
          <w:lang w:val="es-ES_tradnl"/>
        </w:rPr>
        <w:t xml:space="preserve"> del Trabajo, como se detalla en el artículo 7 siguiente.</w:t>
      </w:r>
    </w:p>
    <w:p w:rsidR="00F92819" w:rsidRDefault="00F92819">
      <w:pPr>
        <w:pStyle w:val="H23G"/>
        <w:rPr>
          <w:szCs w:val="24"/>
        </w:rPr>
      </w:pPr>
      <w:r>
        <w:rPr>
          <w:szCs w:val="24"/>
        </w:rPr>
        <w:tab/>
      </w:r>
      <w:r>
        <w:rPr>
          <w:szCs w:val="24"/>
        </w:rPr>
        <w:tab/>
      </w:r>
      <w:r>
        <w:rPr>
          <w:szCs w:val="24"/>
          <w:lang w:val="es-ES_tradnl"/>
        </w:rPr>
        <w:t>Empleo y desempleo:</w:t>
      </w:r>
      <w:r>
        <w:rPr>
          <w:szCs w:val="24"/>
        </w:rPr>
        <w:t xml:space="preserve"> </w:t>
      </w:r>
      <w:r>
        <w:rPr>
          <w:szCs w:val="24"/>
          <w:lang w:val="es-ES_tradnl"/>
        </w:rPr>
        <w:t>niveles y tendencias</w:t>
      </w:r>
    </w:p>
    <w:p w:rsidR="00F92819" w:rsidRDefault="00F92819">
      <w:pPr>
        <w:pStyle w:val="SingleTxtG"/>
        <w:rPr>
          <w:szCs w:val="24"/>
        </w:rPr>
      </w:pPr>
      <w:r>
        <w:rPr>
          <w:szCs w:val="24"/>
        </w:rPr>
        <w:t>156.</w:t>
      </w:r>
      <w:r>
        <w:rPr>
          <w:szCs w:val="24"/>
        </w:rPr>
        <w:tab/>
      </w:r>
      <w:r>
        <w:rPr>
          <w:szCs w:val="24"/>
          <w:lang w:val="es-ES_tradnl"/>
        </w:rPr>
        <w:t>Israel ha disfrutado de un período de rápido crecimiento de su economía en los últimos años.</w:t>
      </w:r>
      <w:r>
        <w:rPr>
          <w:szCs w:val="24"/>
        </w:rPr>
        <w:t xml:space="preserve"> </w:t>
      </w:r>
      <w:r>
        <w:rPr>
          <w:szCs w:val="24"/>
          <w:lang w:val="es-ES_tradnl"/>
        </w:rPr>
        <w:t>Durante 2004 y 2005, el Producto Interno Bruto (PIB) creció a una tasa media anual del 5%, el 5,2% en 2006, atribuible principalmente a una rápida expansión de las exportaciones como consecuencia de la demanda y que ha ido acompañada de otros indicadores económicos, como una clara reducción del desempleo, una asombrosa reducción del déficit público y un superávit en la balanza de pagos, en marcado contraste con el déficit que era lo normal durante las décadas anteriores.</w:t>
      </w:r>
      <w:r>
        <w:rPr>
          <w:szCs w:val="24"/>
        </w:rPr>
        <w:t xml:space="preserve"> </w:t>
      </w:r>
      <w:r>
        <w:rPr>
          <w:szCs w:val="24"/>
          <w:lang w:val="es-ES_tradnl"/>
        </w:rPr>
        <w:t>El PIB real en precios corrientes ascendió a 633.000 millones de nuevos sheqalim (166.000 millones de dólares de los EE.UU.) en 2006, frente a 589.000 millones de nuevos sheqalim (155.000 millones de dólares de los EE.UU.) en 2005.</w:t>
      </w:r>
    </w:p>
    <w:p w:rsidR="00F92819" w:rsidRDefault="00F92819">
      <w:pPr>
        <w:pStyle w:val="SingleTxtG"/>
        <w:rPr>
          <w:szCs w:val="24"/>
        </w:rPr>
      </w:pPr>
      <w:r>
        <w:rPr>
          <w:szCs w:val="24"/>
        </w:rPr>
        <w:t>157.</w:t>
      </w:r>
      <w:r>
        <w:rPr>
          <w:szCs w:val="24"/>
        </w:rPr>
        <w:tab/>
      </w:r>
      <w:r>
        <w:rPr>
          <w:szCs w:val="24"/>
          <w:lang w:val="es-ES_tradnl"/>
        </w:rPr>
        <w:t>Con una afluencia relativamente baja de nuevos inmigrantes a Israel, el crecimiento de la población se ha estabilizado en torno al 1,8% anual, es decir, que el PIB per cápita ha aumentado espectacularmente y se ha mantenido en más del 3% anual durante dicho período.</w:t>
      </w:r>
      <w:r>
        <w:rPr>
          <w:szCs w:val="24"/>
        </w:rPr>
        <w:t xml:space="preserve"> </w:t>
      </w:r>
      <w:r>
        <w:rPr>
          <w:szCs w:val="24"/>
          <w:lang w:val="es-ES_tradnl"/>
        </w:rPr>
        <w:t xml:space="preserve">A pesar de la guerra en el Líbano durante el verano de 2006, la economía se ha mantenido inalterada en gran medida, principalmente como consecuencia de la flexibilidad de la población activa, la índole de alta tecnología de las exportaciones junto con la ubicación geográfica y una firme decisión de cumplir los plazos globales en los mercados de exportación.  </w:t>
      </w:r>
    </w:p>
    <w:p w:rsidR="00F92819" w:rsidRDefault="00F92819">
      <w:pPr>
        <w:pStyle w:val="SingleTxtG"/>
        <w:rPr>
          <w:szCs w:val="24"/>
        </w:rPr>
      </w:pPr>
      <w:r>
        <w:rPr>
          <w:szCs w:val="24"/>
        </w:rPr>
        <w:t>158.</w:t>
      </w:r>
      <w:r>
        <w:rPr>
          <w:szCs w:val="24"/>
        </w:rPr>
        <w:tab/>
      </w:r>
      <w:r>
        <w:rPr>
          <w:szCs w:val="24"/>
          <w:lang w:val="es-ES_tradnl"/>
        </w:rPr>
        <w:t>El PIB por cápita en 2006 alcanzó 78.546 nuevos sheqalim (20.140 dólares de los EE.UU.), que representa un aumento del 3,2% con respecto a 2005.</w:t>
      </w:r>
    </w:p>
    <w:p w:rsidR="00F92819" w:rsidRDefault="00F92819">
      <w:pPr>
        <w:pStyle w:val="SingleTxtG"/>
        <w:rPr>
          <w:szCs w:val="24"/>
        </w:rPr>
      </w:pPr>
      <w:r>
        <w:rPr>
          <w:szCs w:val="24"/>
        </w:rPr>
        <w:t>159.</w:t>
      </w:r>
      <w:r>
        <w:rPr>
          <w:szCs w:val="24"/>
        </w:rPr>
        <w:tab/>
      </w:r>
      <w:r>
        <w:rPr>
          <w:szCs w:val="24"/>
          <w:lang w:val="es-ES_tradnl"/>
        </w:rPr>
        <w:t xml:space="preserve">La economía siguió creciendo rápidamente en el año </w:t>
      </w:r>
      <w:smartTag w:uri="urn:schemas-microsoft-com:office:smarttags" w:element="metricconverter">
        <w:smartTagPr>
          <w:attr w:name="ProductID" w:val="2007 a"/>
        </w:smartTagPr>
        <w:r>
          <w:rPr>
            <w:szCs w:val="24"/>
            <w:lang w:val="es-ES_tradnl"/>
          </w:rPr>
          <w:t>2007 a</w:t>
        </w:r>
      </w:smartTag>
      <w:r>
        <w:rPr>
          <w:szCs w:val="24"/>
          <w:lang w:val="es-ES_tradnl"/>
        </w:rPr>
        <w:t xml:space="preserve"> un ritmo similar al de </w:t>
      </w:r>
      <w:smartTag w:uri="urn:schemas-microsoft-com:office:smarttags" w:element="metricconverter">
        <w:smartTagPr>
          <w:attr w:name="ProductID" w:val="2006, a"/>
        </w:smartTagPr>
        <w:r>
          <w:rPr>
            <w:szCs w:val="24"/>
            <w:lang w:val="es-ES_tradnl"/>
          </w:rPr>
          <w:t>2006, a</w:t>
        </w:r>
      </w:smartTag>
      <w:r>
        <w:rPr>
          <w:szCs w:val="24"/>
          <w:lang w:val="es-ES_tradnl"/>
        </w:rPr>
        <w:t xml:space="preserve"> pesar de una clara desaceleración en muchas economías mundiales destacadas hacia finales de año. </w:t>
      </w:r>
    </w:p>
    <w:p w:rsidR="00F92819" w:rsidRDefault="00F92819">
      <w:pPr>
        <w:pStyle w:val="SingleTxtG"/>
        <w:rPr>
          <w:szCs w:val="24"/>
        </w:rPr>
      </w:pPr>
      <w:r>
        <w:rPr>
          <w:szCs w:val="24"/>
        </w:rPr>
        <w:t>160.</w:t>
      </w:r>
      <w:r>
        <w:rPr>
          <w:szCs w:val="24"/>
        </w:rPr>
        <w:tab/>
      </w:r>
      <w:r>
        <w:rPr>
          <w:szCs w:val="24"/>
          <w:lang w:val="es-ES_tradnl"/>
        </w:rPr>
        <w:t>Como se señaló en el informe periódico anterior de Israel, había 2,1 millones de personas empleadas en 1999, cuyo número aumentó a 2,6 millones en 2006, un aumento anual del 2,7% desde 1999. El desempleo siguió descendiendo y en 2007 se mantuvo en el 7,3%, frente al 8,9% en 1999.</w:t>
      </w:r>
    </w:p>
    <w:p w:rsidR="00F92819" w:rsidRDefault="00F92819">
      <w:pPr>
        <w:pStyle w:val="Heading1"/>
        <w:keepLines/>
        <w:spacing w:before="240"/>
        <w:rPr>
          <w:szCs w:val="24"/>
        </w:rPr>
      </w:pPr>
      <w:r>
        <w:rPr>
          <w:szCs w:val="24"/>
          <w:lang w:val="es-ES_tradnl"/>
        </w:rPr>
        <w:t>Cuadro 1</w:t>
      </w:r>
    </w:p>
    <w:p w:rsidR="00F92819" w:rsidRDefault="00F92819">
      <w:pPr>
        <w:pStyle w:val="SingleTxtG"/>
        <w:keepNext/>
        <w:keepLines/>
        <w:rPr>
          <w:szCs w:val="24"/>
        </w:rPr>
      </w:pPr>
      <w:r>
        <w:rPr>
          <w:b/>
          <w:szCs w:val="24"/>
          <w:lang w:val="es-ES_tradnl"/>
        </w:rPr>
        <w:t>Empleo y desempleo:</w:t>
      </w:r>
      <w:r>
        <w:rPr>
          <w:b/>
          <w:szCs w:val="24"/>
        </w:rPr>
        <w:t xml:space="preserve"> </w:t>
      </w:r>
      <w:r>
        <w:rPr>
          <w:b/>
          <w:szCs w:val="24"/>
          <w:lang w:val="es-ES_tradnl"/>
        </w:rPr>
        <w:t>niveles y tendencias, 1999-2007</w:t>
      </w:r>
    </w:p>
    <w:tbl>
      <w:tblPr>
        <w:tblStyle w:val="TableGrid"/>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tblCellMar>
        <w:tblLook w:val="01E0" w:firstRow="1" w:lastRow="1" w:firstColumn="1" w:lastColumn="1" w:noHBand="0" w:noVBand="0"/>
      </w:tblPr>
      <w:tblGrid>
        <w:gridCol w:w="3514"/>
        <w:gridCol w:w="1285"/>
        <w:gridCol w:w="1285"/>
        <w:gridCol w:w="1285"/>
      </w:tblGrid>
      <w:tr w:rsidR="00F92819">
        <w:trPr>
          <w:tblHeader/>
        </w:trPr>
        <w:tc>
          <w:tcPr>
            <w:tcW w:w="3514" w:type="dxa"/>
            <w:tcBorders>
              <w:top w:val="single" w:sz="4" w:space="0" w:color="auto"/>
              <w:bottom w:val="single" w:sz="12" w:space="0" w:color="auto"/>
            </w:tcBorders>
            <w:vAlign w:val="bottom"/>
          </w:tcPr>
          <w:p w:rsidR="00F92819" w:rsidRDefault="00F92819">
            <w:pPr>
              <w:keepNext/>
              <w:keepLines/>
              <w:spacing w:before="80" w:after="80" w:line="200" w:lineRule="exact"/>
              <w:rPr>
                <w:i/>
                <w:sz w:val="16"/>
                <w:szCs w:val="24"/>
              </w:rPr>
            </w:pPr>
          </w:p>
        </w:tc>
        <w:tc>
          <w:tcPr>
            <w:tcW w:w="1285"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1999</w:t>
            </w:r>
          </w:p>
        </w:tc>
        <w:tc>
          <w:tcPr>
            <w:tcW w:w="1285"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2006</w:t>
            </w:r>
          </w:p>
        </w:tc>
        <w:tc>
          <w:tcPr>
            <w:tcW w:w="1285"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2007</w:t>
            </w:r>
          </w:p>
        </w:tc>
      </w:tr>
      <w:tr w:rsidR="00F92819">
        <w:tc>
          <w:tcPr>
            <w:tcW w:w="3514" w:type="dxa"/>
            <w:tcBorders>
              <w:top w:val="single" w:sz="12" w:space="0" w:color="auto"/>
            </w:tcBorders>
            <w:vAlign w:val="bottom"/>
          </w:tcPr>
          <w:p w:rsidR="00F92819" w:rsidRDefault="00F92819">
            <w:pPr>
              <w:keepNext/>
              <w:keepLines/>
              <w:spacing w:before="40" w:after="40" w:line="200" w:lineRule="exact"/>
              <w:rPr>
                <w:sz w:val="18"/>
                <w:szCs w:val="18"/>
              </w:rPr>
            </w:pPr>
            <w:r>
              <w:rPr>
                <w:i/>
                <w:sz w:val="18"/>
                <w:szCs w:val="18"/>
                <w:lang w:val="es-ES_tradnl"/>
              </w:rPr>
              <w:t>Población total</w:t>
            </w:r>
          </w:p>
        </w:tc>
        <w:tc>
          <w:tcPr>
            <w:tcW w:w="1285" w:type="dxa"/>
            <w:tcBorders>
              <w:top w:val="single" w:sz="12" w:space="0" w:color="auto"/>
            </w:tcBorders>
            <w:vAlign w:val="bottom"/>
          </w:tcPr>
          <w:p w:rsidR="00F92819" w:rsidRDefault="00F92819">
            <w:pPr>
              <w:keepNext/>
              <w:keepLines/>
              <w:spacing w:before="40" w:after="40" w:line="200" w:lineRule="exact"/>
              <w:jc w:val="right"/>
              <w:rPr>
                <w:sz w:val="18"/>
                <w:szCs w:val="18"/>
              </w:rPr>
            </w:pPr>
          </w:p>
        </w:tc>
        <w:tc>
          <w:tcPr>
            <w:tcW w:w="1285" w:type="dxa"/>
            <w:tcBorders>
              <w:top w:val="single" w:sz="12" w:space="0" w:color="auto"/>
            </w:tcBorders>
            <w:vAlign w:val="bottom"/>
          </w:tcPr>
          <w:p w:rsidR="00F92819" w:rsidRDefault="00F92819">
            <w:pPr>
              <w:keepNext/>
              <w:keepLines/>
              <w:spacing w:before="40" w:after="40" w:line="200" w:lineRule="exact"/>
              <w:jc w:val="right"/>
              <w:rPr>
                <w:sz w:val="18"/>
                <w:szCs w:val="18"/>
              </w:rPr>
            </w:pPr>
          </w:p>
        </w:tc>
        <w:tc>
          <w:tcPr>
            <w:tcW w:w="1285" w:type="dxa"/>
            <w:tcBorders>
              <w:top w:val="single" w:sz="12" w:space="0" w:color="auto"/>
            </w:tcBorders>
            <w:vAlign w:val="bottom"/>
          </w:tcPr>
          <w:p w:rsidR="00F92819" w:rsidRDefault="00F92819">
            <w:pPr>
              <w:keepNext/>
              <w:keepLines/>
              <w:spacing w:before="40" w:after="40" w:line="200" w:lineRule="exact"/>
              <w:jc w:val="right"/>
              <w:rPr>
                <w:sz w:val="18"/>
                <w:szCs w:val="18"/>
              </w:rPr>
            </w:pPr>
          </w:p>
        </w:tc>
      </w:tr>
      <w:tr w:rsidR="00F92819">
        <w:tc>
          <w:tcPr>
            <w:tcW w:w="3514" w:type="dxa"/>
            <w:vAlign w:val="bottom"/>
          </w:tcPr>
          <w:p w:rsidR="00F92819" w:rsidRDefault="00F92819">
            <w:pPr>
              <w:keepNext/>
              <w:keepLines/>
              <w:spacing w:before="40" w:after="40" w:line="200" w:lineRule="exact"/>
              <w:rPr>
                <w:sz w:val="18"/>
                <w:szCs w:val="18"/>
              </w:rPr>
            </w:pPr>
            <w:r>
              <w:rPr>
                <w:sz w:val="18"/>
                <w:szCs w:val="18"/>
                <w:lang w:val="es-ES_tradnl"/>
              </w:rPr>
              <w:t>Más de 15 años (en miles)</w:t>
            </w:r>
          </w:p>
        </w:tc>
        <w:tc>
          <w:tcPr>
            <w:tcW w:w="1285" w:type="dxa"/>
            <w:vAlign w:val="bottom"/>
          </w:tcPr>
          <w:p w:rsidR="00F92819" w:rsidRDefault="00F92819">
            <w:pPr>
              <w:keepNext/>
              <w:keepLines/>
              <w:spacing w:before="40" w:after="40" w:line="200" w:lineRule="exact"/>
              <w:jc w:val="right"/>
              <w:rPr>
                <w:sz w:val="18"/>
                <w:szCs w:val="18"/>
              </w:rPr>
            </w:pPr>
            <w:r>
              <w:rPr>
                <w:sz w:val="18"/>
                <w:szCs w:val="18"/>
              </w:rPr>
              <w:t>4 358,5</w:t>
            </w:r>
          </w:p>
        </w:tc>
        <w:tc>
          <w:tcPr>
            <w:tcW w:w="1285" w:type="dxa"/>
            <w:vAlign w:val="bottom"/>
          </w:tcPr>
          <w:p w:rsidR="00F92819" w:rsidRDefault="00F92819">
            <w:pPr>
              <w:keepNext/>
              <w:keepLines/>
              <w:spacing w:before="40" w:after="40" w:line="200" w:lineRule="exact"/>
              <w:jc w:val="right"/>
              <w:rPr>
                <w:sz w:val="18"/>
                <w:szCs w:val="18"/>
              </w:rPr>
            </w:pPr>
            <w:r>
              <w:rPr>
                <w:sz w:val="18"/>
                <w:szCs w:val="18"/>
              </w:rPr>
              <w:t>5 053,1</w:t>
            </w:r>
          </w:p>
        </w:tc>
        <w:tc>
          <w:tcPr>
            <w:tcW w:w="1285" w:type="dxa"/>
            <w:vAlign w:val="bottom"/>
          </w:tcPr>
          <w:p w:rsidR="00F92819" w:rsidRDefault="00F92819">
            <w:pPr>
              <w:keepNext/>
              <w:keepLines/>
              <w:spacing w:before="40" w:after="40" w:line="200" w:lineRule="exact"/>
              <w:jc w:val="right"/>
              <w:rPr>
                <w:sz w:val="18"/>
                <w:szCs w:val="18"/>
              </w:rPr>
            </w:pPr>
            <w:r>
              <w:rPr>
                <w:sz w:val="18"/>
                <w:szCs w:val="18"/>
              </w:rPr>
              <w:t>5 142,4</w:t>
            </w:r>
          </w:p>
        </w:tc>
      </w:tr>
      <w:tr w:rsidR="00F92819">
        <w:tc>
          <w:tcPr>
            <w:tcW w:w="3514" w:type="dxa"/>
            <w:vAlign w:val="bottom"/>
          </w:tcPr>
          <w:p w:rsidR="00F92819" w:rsidRDefault="00F92819">
            <w:pPr>
              <w:keepNext/>
              <w:keepLines/>
              <w:spacing w:before="40" w:after="40" w:line="200" w:lineRule="exact"/>
              <w:rPr>
                <w:sz w:val="18"/>
                <w:szCs w:val="18"/>
              </w:rPr>
            </w:pPr>
            <w:r>
              <w:rPr>
                <w:sz w:val="18"/>
                <w:szCs w:val="18"/>
                <w:lang w:val="es-ES_tradnl"/>
              </w:rPr>
              <w:t>Fuerza laboral civil</w:t>
            </w:r>
          </w:p>
        </w:tc>
        <w:tc>
          <w:tcPr>
            <w:tcW w:w="1285" w:type="dxa"/>
            <w:vAlign w:val="bottom"/>
          </w:tcPr>
          <w:p w:rsidR="00F92819" w:rsidRDefault="00F92819">
            <w:pPr>
              <w:keepNext/>
              <w:keepLines/>
              <w:spacing w:before="40" w:after="40" w:line="200" w:lineRule="exact"/>
              <w:jc w:val="right"/>
              <w:rPr>
                <w:sz w:val="18"/>
                <w:szCs w:val="18"/>
              </w:rPr>
            </w:pPr>
          </w:p>
        </w:tc>
        <w:tc>
          <w:tcPr>
            <w:tcW w:w="1285" w:type="dxa"/>
            <w:vAlign w:val="bottom"/>
          </w:tcPr>
          <w:p w:rsidR="00F92819" w:rsidRDefault="00F92819">
            <w:pPr>
              <w:keepNext/>
              <w:keepLines/>
              <w:spacing w:before="40" w:after="40" w:line="200" w:lineRule="exact"/>
              <w:jc w:val="right"/>
              <w:rPr>
                <w:sz w:val="18"/>
                <w:szCs w:val="18"/>
              </w:rPr>
            </w:pPr>
          </w:p>
        </w:tc>
        <w:tc>
          <w:tcPr>
            <w:tcW w:w="1285" w:type="dxa"/>
            <w:vAlign w:val="bottom"/>
          </w:tcPr>
          <w:p w:rsidR="00F92819" w:rsidRDefault="00F92819">
            <w:pPr>
              <w:keepNext/>
              <w:keepLines/>
              <w:spacing w:before="40" w:after="40" w:line="200" w:lineRule="exact"/>
              <w:jc w:val="right"/>
              <w:rPr>
                <w:sz w:val="18"/>
                <w:szCs w:val="18"/>
              </w:rPr>
            </w:pPr>
          </w:p>
        </w:tc>
      </w:tr>
      <w:tr w:rsidR="00F92819">
        <w:tc>
          <w:tcPr>
            <w:tcW w:w="3514" w:type="dxa"/>
            <w:vAlign w:val="bottom"/>
          </w:tcPr>
          <w:p w:rsidR="00F92819" w:rsidRDefault="00F92819">
            <w:pPr>
              <w:keepNext/>
              <w:keepLines/>
              <w:spacing w:before="40" w:after="40" w:line="200" w:lineRule="exac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keepNext/>
              <w:keepLines/>
              <w:spacing w:before="40" w:after="40" w:line="200" w:lineRule="exact"/>
              <w:jc w:val="right"/>
              <w:rPr>
                <w:sz w:val="18"/>
                <w:szCs w:val="18"/>
              </w:rPr>
            </w:pPr>
            <w:r>
              <w:rPr>
                <w:sz w:val="18"/>
                <w:szCs w:val="18"/>
              </w:rPr>
              <w:t>2 345,2</w:t>
            </w:r>
          </w:p>
        </w:tc>
        <w:tc>
          <w:tcPr>
            <w:tcW w:w="1285" w:type="dxa"/>
            <w:vAlign w:val="bottom"/>
          </w:tcPr>
          <w:p w:rsidR="00F92819" w:rsidRDefault="00F92819">
            <w:pPr>
              <w:keepNext/>
              <w:keepLines/>
              <w:spacing w:before="40" w:after="40" w:line="200" w:lineRule="exact"/>
              <w:jc w:val="right"/>
              <w:rPr>
                <w:sz w:val="18"/>
                <w:szCs w:val="18"/>
              </w:rPr>
            </w:pPr>
            <w:r>
              <w:rPr>
                <w:sz w:val="18"/>
                <w:szCs w:val="18"/>
              </w:rPr>
              <w:t>2 809,7</w:t>
            </w:r>
          </w:p>
        </w:tc>
        <w:tc>
          <w:tcPr>
            <w:tcW w:w="1285" w:type="dxa"/>
            <w:vAlign w:val="bottom"/>
          </w:tcPr>
          <w:p w:rsidR="00F92819" w:rsidRDefault="00F92819">
            <w:pPr>
              <w:keepNext/>
              <w:keepLines/>
              <w:spacing w:before="40" w:after="40" w:line="200" w:lineRule="exact"/>
              <w:jc w:val="right"/>
              <w:rPr>
                <w:sz w:val="18"/>
                <w:szCs w:val="18"/>
              </w:rPr>
            </w:pPr>
            <w:r>
              <w:rPr>
                <w:sz w:val="18"/>
                <w:szCs w:val="18"/>
              </w:rPr>
              <w:t>2 893,8</w:t>
            </w:r>
          </w:p>
        </w:tc>
      </w:tr>
      <w:tr w:rsidR="00F92819">
        <w:tc>
          <w:tcPr>
            <w:tcW w:w="3514" w:type="dxa"/>
            <w:vAlign w:val="bottom"/>
          </w:tcPr>
          <w:p w:rsidR="00F92819" w:rsidRDefault="00F92819">
            <w:pPr>
              <w:keepNext/>
              <w:keepLines/>
              <w:spacing w:before="40" w:after="40" w:line="200" w:lineRule="exact"/>
              <w:rPr>
                <w:sz w:val="18"/>
                <w:szCs w:val="18"/>
              </w:rPr>
            </w:pPr>
            <w:r>
              <w:rPr>
                <w:sz w:val="18"/>
                <w:szCs w:val="18"/>
              </w:rPr>
              <w:t xml:space="preserve">  </w:t>
            </w:r>
            <w:r>
              <w:rPr>
                <w:sz w:val="18"/>
                <w:szCs w:val="18"/>
                <w:lang w:val="es-ES_tradnl"/>
              </w:rPr>
              <w:t>Tasa de participación (</w:t>
            </w:r>
            <w:r w:rsidR="005B559E">
              <w:rPr>
                <w:sz w:val="18"/>
                <w:szCs w:val="18"/>
                <w:lang w:val="es-ES_tradnl"/>
              </w:rPr>
              <w:t>porcentaje</w:t>
            </w:r>
            <w:r>
              <w:rPr>
                <w:sz w:val="18"/>
                <w:szCs w:val="18"/>
                <w:lang w:val="es-ES_tradnl"/>
              </w:rPr>
              <w:t>)</w:t>
            </w:r>
          </w:p>
        </w:tc>
        <w:tc>
          <w:tcPr>
            <w:tcW w:w="1285" w:type="dxa"/>
            <w:vAlign w:val="bottom"/>
          </w:tcPr>
          <w:p w:rsidR="00F92819" w:rsidRDefault="00F92819">
            <w:pPr>
              <w:keepNext/>
              <w:keepLines/>
              <w:spacing w:before="40" w:after="40" w:line="200" w:lineRule="exact"/>
              <w:jc w:val="right"/>
              <w:rPr>
                <w:sz w:val="18"/>
                <w:szCs w:val="18"/>
              </w:rPr>
            </w:pPr>
            <w:r>
              <w:rPr>
                <w:sz w:val="18"/>
                <w:szCs w:val="18"/>
              </w:rPr>
              <w:t>53,8</w:t>
            </w:r>
          </w:p>
        </w:tc>
        <w:tc>
          <w:tcPr>
            <w:tcW w:w="1285" w:type="dxa"/>
            <w:vAlign w:val="bottom"/>
          </w:tcPr>
          <w:p w:rsidR="00F92819" w:rsidRDefault="00F92819">
            <w:pPr>
              <w:keepNext/>
              <w:keepLines/>
              <w:spacing w:before="40" w:after="40" w:line="200" w:lineRule="exact"/>
              <w:jc w:val="right"/>
              <w:rPr>
                <w:sz w:val="18"/>
                <w:szCs w:val="18"/>
              </w:rPr>
            </w:pPr>
            <w:r>
              <w:rPr>
                <w:sz w:val="18"/>
                <w:szCs w:val="18"/>
              </w:rPr>
              <w:t>55,6</w:t>
            </w:r>
          </w:p>
        </w:tc>
        <w:tc>
          <w:tcPr>
            <w:tcW w:w="1285" w:type="dxa"/>
            <w:vAlign w:val="bottom"/>
          </w:tcPr>
          <w:p w:rsidR="00F92819" w:rsidRDefault="00F92819">
            <w:pPr>
              <w:keepNext/>
              <w:keepLines/>
              <w:spacing w:before="40" w:after="40" w:line="200" w:lineRule="exact"/>
              <w:jc w:val="right"/>
              <w:rPr>
                <w:sz w:val="18"/>
                <w:szCs w:val="18"/>
              </w:rPr>
            </w:pPr>
            <w:r>
              <w:rPr>
                <w:sz w:val="18"/>
                <w:szCs w:val="18"/>
              </w:rPr>
              <w:t>56,3</w:t>
            </w:r>
          </w:p>
        </w:tc>
      </w:tr>
      <w:tr w:rsidR="00F92819">
        <w:tc>
          <w:tcPr>
            <w:tcW w:w="3514" w:type="dxa"/>
            <w:vAlign w:val="bottom"/>
          </w:tcPr>
          <w:p w:rsidR="00F92819" w:rsidRDefault="00F92819">
            <w:pPr>
              <w:keepNext/>
              <w:keepLines/>
              <w:spacing w:before="40" w:after="40" w:line="200" w:lineRule="exact"/>
              <w:rPr>
                <w:sz w:val="18"/>
                <w:szCs w:val="18"/>
              </w:rPr>
            </w:pPr>
            <w:r>
              <w:rPr>
                <w:sz w:val="18"/>
                <w:szCs w:val="18"/>
                <w:lang w:val="es-ES_tradnl"/>
              </w:rPr>
              <w:t>Empleados (en miles)</w:t>
            </w:r>
          </w:p>
        </w:tc>
        <w:tc>
          <w:tcPr>
            <w:tcW w:w="1285" w:type="dxa"/>
            <w:vAlign w:val="bottom"/>
          </w:tcPr>
          <w:p w:rsidR="00F92819" w:rsidRDefault="00F92819">
            <w:pPr>
              <w:keepNext/>
              <w:keepLines/>
              <w:spacing w:before="40" w:after="40" w:line="200" w:lineRule="exact"/>
              <w:jc w:val="right"/>
              <w:rPr>
                <w:sz w:val="18"/>
                <w:szCs w:val="18"/>
              </w:rPr>
            </w:pPr>
            <w:r>
              <w:rPr>
                <w:sz w:val="18"/>
                <w:szCs w:val="18"/>
              </w:rPr>
              <w:t>2 136,7</w:t>
            </w:r>
          </w:p>
        </w:tc>
        <w:tc>
          <w:tcPr>
            <w:tcW w:w="1285" w:type="dxa"/>
            <w:vAlign w:val="bottom"/>
          </w:tcPr>
          <w:p w:rsidR="00F92819" w:rsidRDefault="00F92819">
            <w:pPr>
              <w:keepNext/>
              <w:keepLines/>
              <w:spacing w:before="40" w:after="40" w:line="200" w:lineRule="exact"/>
              <w:jc w:val="right"/>
              <w:rPr>
                <w:sz w:val="18"/>
                <w:szCs w:val="18"/>
              </w:rPr>
            </w:pPr>
            <w:r>
              <w:rPr>
                <w:sz w:val="18"/>
                <w:szCs w:val="18"/>
              </w:rPr>
              <w:t>2 573,6</w:t>
            </w:r>
          </w:p>
        </w:tc>
        <w:tc>
          <w:tcPr>
            <w:tcW w:w="1285" w:type="dxa"/>
            <w:vAlign w:val="bottom"/>
          </w:tcPr>
          <w:p w:rsidR="00F92819" w:rsidRDefault="00F92819">
            <w:pPr>
              <w:keepNext/>
              <w:keepLines/>
              <w:spacing w:before="40" w:after="40" w:line="200" w:lineRule="exact"/>
              <w:jc w:val="right"/>
              <w:rPr>
                <w:sz w:val="18"/>
                <w:szCs w:val="18"/>
              </w:rPr>
            </w:pPr>
            <w:r>
              <w:rPr>
                <w:sz w:val="18"/>
                <w:szCs w:val="18"/>
              </w:rPr>
              <w:t>2 682</w:t>
            </w:r>
          </w:p>
        </w:tc>
      </w:tr>
      <w:tr w:rsidR="00F92819">
        <w:tc>
          <w:tcPr>
            <w:tcW w:w="3514" w:type="dxa"/>
            <w:vAlign w:val="bottom"/>
          </w:tcPr>
          <w:p w:rsidR="00F92819" w:rsidRDefault="00F92819">
            <w:pPr>
              <w:keepNext/>
              <w:keepLines/>
              <w:spacing w:before="40" w:after="40" w:line="200" w:lineRule="exact"/>
              <w:rPr>
                <w:sz w:val="18"/>
                <w:szCs w:val="18"/>
              </w:rPr>
            </w:pPr>
            <w:r>
              <w:rPr>
                <w:sz w:val="18"/>
                <w:szCs w:val="18"/>
                <w:lang w:val="es-ES_tradnl"/>
              </w:rPr>
              <w:t>Desempleados</w:t>
            </w:r>
          </w:p>
        </w:tc>
        <w:tc>
          <w:tcPr>
            <w:tcW w:w="1285" w:type="dxa"/>
            <w:vAlign w:val="bottom"/>
          </w:tcPr>
          <w:p w:rsidR="00F92819" w:rsidRDefault="00F92819">
            <w:pPr>
              <w:keepNext/>
              <w:keepLines/>
              <w:spacing w:before="40" w:after="40" w:line="200" w:lineRule="exact"/>
              <w:jc w:val="right"/>
              <w:rPr>
                <w:sz w:val="18"/>
                <w:szCs w:val="18"/>
              </w:rPr>
            </w:pPr>
          </w:p>
        </w:tc>
        <w:tc>
          <w:tcPr>
            <w:tcW w:w="1285" w:type="dxa"/>
            <w:vAlign w:val="bottom"/>
          </w:tcPr>
          <w:p w:rsidR="00F92819" w:rsidRDefault="00F92819">
            <w:pPr>
              <w:keepNext/>
              <w:keepLines/>
              <w:spacing w:before="40" w:after="40" w:line="200" w:lineRule="exact"/>
              <w:jc w:val="right"/>
              <w:rPr>
                <w:sz w:val="18"/>
                <w:szCs w:val="18"/>
              </w:rPr>
            </w:pPr>
          </w:p>
        </w:tc>
        <w:tc>
          <w:tcPr>
            <w:tcW w:w="1285" w:type="dxa"/>
            <w:vAlign w:val="bottom"/>
          </w:tcPr>
          <w:p w:rsidR="00F92819" w:rsidRDefault="00F92819">
            <w:pPr>
              <w:keepNext/>
              <w:keepLines/>
              <w:spacing w:before="40" w:after="40" w:line="200" w:lineRule="exact"/>
              <w:jc w:val="right"/>
              <w:rPr>
                <w:sz w:val="18"/>
                <w:szCs w:val="18"/>
              </w:rPr>
            </w:pPr>
          </w:p>
        </w:tc>
      </w:tr>
      <w:tr w:rsidR="00F92819">
        <w:tc>
          <w:tcPr>
            <w:tcW w:w="3514" w:type="dxa"/>
            <w:vAlign w:val="bottom"/>
          </w:tcPr>
          <w:p w:rsidR="00F92819" w:rsidRDefault="00F92819">
            <w:pPr>
              <w:keepNext/>
              <w:keepLines/>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keepNext/>
              <w:keepLines/>
              <w:spacing w:before="40" w:after="40" w:line="200" w:lineRule="atLeast"/>
              <w:jc w:val="right"/>
              <w:rPr>
                <w:sz w:val="18"/>
                <w:szCs w:val="18"/>
              </w:rPr>
            </w:pPr>
            <w:r>
              <w:rPr>
                <w:sz w:val="18"/>
                <w:szCs w:val="18"/>
              </w:rPr>
              <w:t>208,5</w:t>
            </w:r>
          </w:p>
        </w:tc>
        <w:tc>
          <w:tcPr>
            <w:tcW w:w="1285" w:type="dxa"/>
            <w:vAlign w:val="bottom"/>
          </w:tcPr>
          <w:p w:rsidR="00F92819" w:rsidRDefault="00F92819">
            <w:pPr>
              <w:keepNext/>
              <w:keepLines/>
              <w:spacing w:before="40" w:after="40" w:line="200" w:lineRule="atLeast"/>
              <w:jc w:val="right"/>
              <w:rPr>
                <w:sz w:val="18"/>
                <w:szCs w:val="18"/>
              </w:rPr>
            </w:pPr>
            <w:r>
              <w:rPr>
                <w:sz w:val="18"/>
                <w:szCs w:val="18"/>
              </w:rPr>
              <w:t>235,1</w:t>
            </w:r>
          </w:p>
        </w:tc>
        <w:tc>
          <w:tcPr>
            <w:tcW w:w="1285" w:type="dxa"/>
            <w:vAlign w:val="bottom"/>
          </w:tcPr>
          <w:p w:rsidR="00F92819" w:rsidRDefault="00F92819">
            <w:pPr>
              <w:keepNext/>
              <w:keepLines/>
              <w:spacing w:before="40" w:after="40" w:line="200" w:lineRule="atLeast"/>
              <w:jc w:val="right"/>
              <w:rPr>
                <w:sz w:val="18"/>
                <w:szCs w:val="18"/>
              </w:rPr>
            </w:pPr>
            <w:r>
              <w:rPr>
                <w:sz w:val="18"/>
                <w:szCs w:val="18"/>
              </w:rPr>
              <w:t>211,8</w:t>
            </w:r>
          </w:p>
        </w:tc>
      </w:tr>
      <w:tr w:rsidR="00F92819">
        <w:tc>
          <w:tcPr>
            <w:tcW w:w="3514" w:type="dxa"/>
            <w:vAlign w:val="bottom"/>
          </w:tcPr>
          <w:p w:rsidR="00F92819" w:rsidRDefault="00F92819">
            <w:pPr>
              <w:keepNext/>
              <w:keepLines/>
              <w:spacing w:before="40" w:after="40" w:line="200" w:lineRule="atLeast"/>
              <w:rPr>
                <w:sz w:val="18"/>
                <w:szCs w:val="18"/>
              </w:rPr>
            </w:pPr>
            <w:r>
              <w:rPr>
                <w:sz w:val="18"/>
                <w:szCs w:val="18"/>
              </w:rPr>
              <w:t xml:space="preserve">  </w:t>
            </w:r>
            <w:r>
              <w:rPr>
                <w:sz w:val="18"/>
                <w:szCs w:val="18"/>
                <w:lang w:val="es-ES_tradnl"/>
              </w:rPr>
              <w:t>Tasa de desempleo (</w:t>
            </w:r>
            <w:r w:rsidR="005B559E">
              <w:rPr>
                <w:sz w:val="18"/>
                <w:szCs w:val="18"/>
                <w:lang w:val="es-ES_tradnl"/>
              </w:rPr>
              <w:t>porcentaje</w:t>
            </w:r>
            <w:r>
              <w:rPr>
                <w:sz w:val="18"/>
                <w:szCs w:val="18"/>
                <w:lang w:val="es-ES_tradnl"/>
              </w:rPr>
              <w:t>)</w:t>
            </w:r>
          </w:p>
        </w:tc>
        <w:tc>
          <w:tcPr>
            <w:tcW w:w="1285" w:type="dxa"/>
            <w:vAlign w:val="bottom"/>
          </w:tcPr>
          <w:p w:rsidR="00F92819" w:rsidRDefault="00F92819">
            <w:pPr>
              <w:keepNext/>
              <w:keepLines/>
              <w:spacing w:before="40" w:after="40" w:line="200" w:lineRule="atLeast"/>
              <w:jc w:val="right"/>
              <w:rPr>
                <w:sz w:val="18"/>
                <w:szCs w:val="18"/>
              </w:rPr>
            </w:pPr>
            <w:r>
              <w:rPr>
                <w:sz w:val="18"/>
                <w:szCs w:val="18"/>
              </w:rPr>
              <w:t>8,9</w:t>
            </w:r>
          </w:p>
        </w:tc>
        <w:tc>
          <w:tcPr>
            <w:tcW w:w="1285" w:type="dxa"/>
            <w:vAlign w:val="bottom"/>
          </w:tcPr>
          <w:p w:rsidR="00F92819" w:rsidRDefault="00F92819">
            <w:pPr>
              <w:keepNext/>
              <w:keepLines/>
              <w:spacing w:before="40" w:after="40" w:line="200" w:lineRule="atLeast"/>
              <w:jc w:val="right"/>
              <w:rPr>
                <w:sz w:val="18"/>
                <w:szCs w:val="18"/>
              </w:rPr>
            </w:pPr>
            <w:r>
              <w:rPr>
                <w:sz w:val="18"/>
                <w:szCs w:val="18"/>
              </w:rPr>
              <w:t>8,4</w:t>
            </w:r>
          </w:p>
        </w:tc>
        <w:tc>
          <w:tcPr>
            <w:tcW w:w="1285" w:type="dxa"/>
            <w:vAlign w:val="bottom"/>
          </w:tcPr>
          <w:p w:rsidR="00F92819" w:rsidRDefault="00F92819">
            <w:pPr>
              <w:keepNext/>
              <w:keepLines/>
              <w:spacing w:before="40" w:after="40" w:line="200" w:lineRule="atLeast"/>
              <w:jc w:val="right"/>
              <w:rPr>
                <w:sz w:val="18"/>
                <w:szCs w:val="18"/>
              </w:rPr>
            </w:pPr>
            <w:r>
              <w:rPr>
                <w:sz w:val="18"/>
                <w:szCs w:val="18"/>
              </w:rPr>
              <w:t>7,3</w:t>
            </w:r>
          </w:p>
        </w:tc>
      </w:tr>
      <w:tr w:rsidR="00F92819">
        <w:tc>
          <w:tcPr>
            <w:tcW w:w="3514" w:type="dxa"/>
            <w:vAlign w:val="bottom"/>
          </w:tcPr>
          <w:p w:rsidR="00F92819" w:rsidRDefault="00F92819">
            <w:pPr>
              <w:widowControl w:val="0"/>
              <w:spacing w:before="40" w:after="40" w:line="200" w:lineRule="atLeast"/>
              <w:rPr>
                <w:sz w:val="18"/>
                <w:szCs w:val="18"/>
              </w:rPr>
            </w:pPr>
            <w:r>
              <w:rPr>
                <w:i/>
                <w:sz w:val="18"/>
                <w:szCs w:val="18"/>
                <w:lang w:val="es-ES_tradnl"/>
              </w:rPr>
              <w:t>Judíos</w:t>
            </w:r>
          </w:p>
        </w:tc>
        <w:tc>
          <w:tcPr>
            <w:tcW w:w="1285" w:type="dxa"/>
            <w:vAlign w:val="bottom"/>
          </w:tcPr>
          <w:p w:rsidR="00F92819" w:rsidRDefault="00F92819">
            <w:pPr>
              <w:widowControl w:val="0"/>
              <w:spacing w:before="40" w:after="40" w:line="200" w:lineRule="atLeast"/>
              <w:rPr>
                <w:sz w:val="18"/>
                <w:szCs w:val="18"/>
              </w:rPr>
            </w:pPr>
          </w:p>
        </w:tc>
        <w:tc>
          <w:tcPr>
            <w:tcW w:w="1285" w:type="dxa"/>
            <w:vAlign w:val="bottom"/>
          </w:tcPr>
          <w:p w:rsidR="00F92819" w:rsidRDefault="00F92819">
            <w:pPr>
              <w:widowControl w:val="0"/>
              <w:spacing w:before="40" w:after="40" w:line="200" w:lineRule="atLeast"/>
              <w:rPr>
                <w:sz w:val="18"/>
                <w:szCs w:val="18"/>
              </w:rPr>
            </w:pPr>
          </w:p>
        </w:tc>
        <w:tc>
          <w:tcPr>
            <w:tcW w:w="1285" w:type="dxa"/>
            <w:vAlign w:val="bottom"/>
          </w:tcPr>
          <w:p w:rsidR="00F92819" w:rsidRDefault="00F92819">
            <w:pPr>
              <w:widowControl w:val="0"/>
              <w:spacing w:before="40" w:after="40" w:line="200" w:lineRule="atLeas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Más de 15 años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3 616,2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4 104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4 168,2</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Población activa civil</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2 029,4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2 402,2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2 459,2</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participación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56,1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58,5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59</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Empleados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1 857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2 209,8</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2 291,6</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Desempleados</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172,4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192,4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167,6</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desempleo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8,5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8</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6,8</w:t>
            </w:r>
          </w:p>
        </w:tc>
      </w:tr>
      <w:tr w:rsidR="00F92819">
        <w:tc>
          <w:tcPr>
            <w:tcW w:w="3514" w:type="dxa"/>
            <w:vAlign w:val="bottom"/>
          </w:tcPr>
          <w:p w:rsidR="00F92819" w:rsidRDefault="00F92819">
            <w:pPr>
              <w:widowControl w:val="0"/>
              <w:spacing w:before="40" w:after="40" w:line="200" w:lineRule="atLeast"/>
              <w:rPr>
                <w:sz w:val="18"/>
                <w:szCs w:val="18"/>
              </w:rPr>
            </w:pPr>
            <w:r>
              <w:rPr>
                <w:i/>
                <w:sz w:val="18"/>
                <w:szCs w:val="18"/>
                <w:lang w:val="es-ES_tradnl"/>
              </w:rPr>
              <w:t>Hombres</w:t>
            </w:r>
          </w:p>
        </w:tc>
        <w:tc>
          <w:tcPr>
            <w:tcW w:w="1285" w:type="dxa"/>
            <w:vAlign w:val="bottom"/>
          </w:tcPr>
          <w:p w:rsidR="00F92819" w:rsidRDefault="00F92819">
            <w:pPr>
              <w:widowControl w:val="0"/>
              <w:spacing w:before="40" w:after="40" w:line="200" w:lineRule="atLeast"/>
              <w:rPr>
                <w:i/>
                <w:sz w:val="18"/>
                <w:szCs w:val="18"/>
              </w:rPr>
            </w:pPr>
          </w:p>
        </w:tc>
        <w:tc>
          <w:tcPr>
            <w:tcW w:w="1285" w:type="dxa"/>
            <w:vAlign w:val="bottom"/>
          </w:tcPr>
          <w:p w:rsidR="00F92819" w:rsidRDefault="00F92819">
            <w:pPr>
              <w:widowControl w:val="0"/>
              <w:spacing w:before="40" w:after="40" w:line="200" w:lineRule="atLeast"/>
              <w:rPr>
                <w:i/>
                <w:sz w:val="18"/>
                <w:szCs w:val="18"/>
              </w:rPr>
            </w:pPr>
          </w:p>
        </w:tc>
        <w:tc>
          <w:tcPr>
            <w:tcW w:w="1285" w:type="dxa"/>
            <w:vAlign w:val="bottom"/>
          </w:tcPr>
          <w:p w:rsidR="00F92819" w:rsidRDefault="00F92819">
            <w:pPr>
              <w:widowControl w:val="0"/>
              <w:spacing w:before="40" w:after="40" w:line="200" w:lineRule="atLeast"/>
              <w:rPr>
                <w:i/>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Más de 15 años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2 116,3</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2 459,5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2 504,3</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Población activa civil</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1 285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1 502,1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1 546,7</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participación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60,7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61,1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61,8</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Empleados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1 176,2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1 383,6</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1 441,9</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Desempleados</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108,8</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118,5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104,8</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desempleo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8,5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7,9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6,8</w:t>
            </w:r>
          </w:p>
        </w:tc>
      </w:tr>
      <w:tr w:rsidR="00F92819">
        <w:tc>
          <w:tcPr>
            <w:tcW w:w="3514" w:type="dxa"/>
            <w:vAlign w:val="bottom"/>
          </w:tcPr>
          <w:p w:rsidR="00F92819" w:rsidRDefault="00F92819">
            <w:pPr>
              <w:keepNext/>
              <w:widowControl w:val="0"/>
              <w:spacing w:before="40" w:after="40" w:line="200" w:lineRule="atLeast"/>
              <w:rPr>
                <w:sz w:val="18"/>
                <w:szCs w:val="18"/>
              </w:rPr>
            </w:pPr>
            <w:r>
              <w:rPr>
                <w:i/>
                <w:sz w:val="18"/>
                <w:szCs w:val="18"/>
                <w:lang w:val="es-ES_tradnl"/>
              </w:rPr>
              <w:t>Mujeres</w:t>
            </w: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r>
      <w:tr w:rsidR="00F92819">
        <w:tc>
          <w:tcPr>
            <w:tcW w:w="3514" w:type="dxa"/>
            <w:vAlign w:val="bottom"/>
          </w:tcPr>
          <w:p w:rsidR="00F92819" w:rsidRDefault="00F92819">
            <w:pPr>
              <w:keepNext/>
              <w:widowControl w:val="0"/>
              <w:spacing w:before="40" w:after="40" w:line="200" w:lineRule="atLeast"/>
              <w:rPr>
                <w:sz w:val="18"/>
                <w:szCs w:val="18"/>
              </w:rPr>
            </w:pPr>
            <w:r>
              <w:rPr>
                <w:sz w:val="18"/>
                <w:szCs w:val="18"/>
                <w:lang w:val="es-ES_tradnl"/>
              </w:rPr>
              <w:t>Más de 15 años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2 242,2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2 593,7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2 638,1</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Población activa civil</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1 060,2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1 307,6</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1 347,1</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participación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47,3</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50,4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51,1</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Empleadas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960,5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1 190</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1 240,1</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Desempleadas</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99,7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117,6</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107,0</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desempleo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9,4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7,9</w:t>
            </w:r>
          </w:p>
        </w:tc>
      </w:tr>
      <w:tr w:rsidR="00F92819">
        <w:tc>
          <w:tcPr>
            <w:tcW w:w="3514" w:type="dxa"/>
            <w:vAlign w:val="bottom"/>
          </w:tcPr>
          <w:p w:rsidR="00F92819" w:rsidRDefault="00F92819">
            <w:pPr>
              <w:widowControl w:val="0"/>
              <w:spacing w:before="40" w:after="40" w:line="200" w:lineRule="atLeast"/>
              <w:rPr>
                <w:sz w:val="18"/>
                <w:szCs w:val="18"/>
              </w:rPr>
            </w:pPr>
            <w:r>
              <w:rPr>
                <w:i/>
                <w:sz w:val="18"/>
                <w:szCs w:val="18"/>
                <w:lang w:val="es-ES_tradnl"/>
              </w:rPr>
              <w:t>Árabes y otras nacionalidades</w:t>
            </w: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Más de 15 años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742,2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949,1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974,2</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Población activa civil</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315,8</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407,5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434,6</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participación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42,5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42,9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44,6</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Empleados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279,7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363,8</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390,4</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Desempleados</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36,1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43,7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44,2</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desempleo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11,4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10,7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10,2</w:t>
            </w:r>
          </w:p>
        </w:tc>
      </w:tr>
      <w:tr w:rsidR="00F92819">
        <w:tc>
          <w:tcPr>
            <w:tcW w:w="3514" w:type="dxa"/>
            <w:vAlign w:val="bottom"/>
          </w:tcPr>
          <w:p w:rsidR="00F92819" w:rsidRDefault="00F92819">
            <w:pPr>
              <w:widowControl w:val="0"/>
              <w:spacing w:before="40" w:after="40" w:line="200" w:lineRule="atLeast"/>
              <w:rPr>
                <w:sz w:val="18"/>
                <w:szCs w:val="18"/>
              </w:rPr>
            </w:pPr>
            <w:smartTag w:uri="urn:schemas-microsoft-com:office:smarttags" w:element="metricconverter">
              <w:smartTagPr>
                <w:attr w:name="ProductID" w:val="15 a"/>
              </w:smartTagPr>
              <w:r>
                <w:rPr>
                  <w:i/>
                  <w:sz w:val="18"/>
                  <w:szCs w:val="18"/>
                  <w:lang w:val="es-ES_tradnl"/>
                </w:rPr>
                <w:t>15 a</w:t>
              </w:r>
            </w:smartTag>
            <w:r>
              <w:rPr>
                <w:i/>
                <w:sz w:val="18"/>
                <w:szCs w:val="18"/>
                <w:lang w:val="es-ES_tradnl"/>
              </w:rPr>
              <w:t xml:space="preserve"> 17 años</w:t>
            </w: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Más de 15 años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324,1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346,3</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350,6</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Población activa civil</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29,6</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32,5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32,6</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participación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9,2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9,4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9,3</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Empleados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24,1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24,1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24,1</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Desempleados</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8,4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8,6</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desempleo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18,6</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25,9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26,3</w:t>
            </w:r>
          </w:p>
        </w:tc>
      </w:tr>
      <w:tr w:rsidR="00F92819">
        <w:tc>
          <w:tcPr>
            <w:tcW w:w="3514" w:type="dxa"/>
            <w:vAlign w:val="bottom"/>
          </w:tcPr>
          <w:p w:rsidR="00F92819" w:rsidRDefault="00F92819">
            <w:pPr>
              <w:widowControl w:val="0"/>
              <w:spacing w:before="40" w:after="40" w:line="200" w:lineRule="atLeast"/>
              <w:rPr>
                <w:sz w:val="18"/>
                <w:szCs w:val="18"/>
              </w:rPr>
            </w:pPr>
            <w:smartTag w:uri="urn:schemas-microsoft-com:office:smarttags" w:element="metricconverter">
              <w:smartTagPr>
                <w:attr w:name="ProductID" w:val="18 a"/>
              </w:smartTagPr>
              <w:r>
                <w:rPr>
                  <w:i/>
                  <w:sz w:val="18"/>
                  <w:szCs w:val="18"/>
                  <w:lang w:val="es-ES_tradnl"/>
                </w:rPr>
                <w:t>18 a</w:t>
              </w:r>
            </w:smartTag>
            <w:r>
              <w:rPr>
                <w:i/>
                <w:sz w:val="18"/>
                <w:szCs w:val="18"/>
                <w:lang w:val="es-ES_tradnl"/>
              </w:rPr>
              <w:t xml:space="preserve"> 24 años</w:t>
            </w: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Más de 15 años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739,9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794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801,2</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Población activa civil</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325,1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338,7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340,5</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participación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43,9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42,7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42,5</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Empleados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271,2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279,4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289,2</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Desempleados</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53,8</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59,3</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51,3</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desempleo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16,6</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17,5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15,1</w:t>
            </w:r>
          </w:p>
        </w:tc>
      </w:tr>
      <w:tr w:rsidR="00F92819">
        <w:tc>
          <w:tcPr>
            <w:tcW w:w="3514" w:type="dxa"/>
            <w:vAlign w:val="bottom"/>
          </w:tcPr>
          <w:p w:rsidR="00F92819" w:rsidRDefault="00F92819">
            <w:pPr>
              <w:widowControl w:val="0"/>
              <w:spacing w:before="40" w:after="40" w:line="200" w:lineRule="atLeast"/>
              <w:rPr>
                <w:sz w:val="18"/>
                <w:szCs w:val="18"/>
              </w:rPr>
            </w:pPr>
            <w:smartTag w:uri="urn:schemas-microsoft-com:office:smarttags" w:element="metricconverter">
              <w:smartTagPr>
                <w:attr w:name="ProductID" w:val="25 a"/>
              </w:smartTagPr>
              <w:r>
                <w:rPr>
                  <w:i/>
                  <w:sz w:val="18"/>
                  <w:szCs w:val="18"/>
                  <w:lang w:val="es-ES_tradnl"/>
                </w:rPr>
                <w:t>25 a</w:t>
              </w:r>
            </w:smartTag>
            <w:r>
              <w:rPr>
                <w:i/>
                <w:sz w:val="18"/>
                <w:szCs w:val="18"/>
                <w:lang w:val="es-ES_tradnl"/>
              </w:rPr>
              <w:t xml:space="preserve"> 54 años</w:t>
            </w: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Más de 15 años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2 292,2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2 646,6</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2 683,4</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Población activa civil</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1 739,1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2 035,4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2 087,9</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participación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75,9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76,9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77,8</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Empleados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1 604,8</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1 891,5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1 958,1</w:t>
            </w:r>
          </w:p>
        </w:tc>
      </w:tr>
      <w:tr w:rsidR="00F92819">
        <w:tc>
          <w:tcPr>
            <w:tcW w:w="3514" w:type="dxa"/>
            <w:vAlign w:val="bottom"/>
          </w:tcPr>
          <w:p w:rsidR="00F92819" w:rsidRDefault="00F92819" w:rsidP="006762F1">
            <w:pPr>
              <w:keepNext/>
              <w:widowControl w:val="0"/>
              <w:spacing w:before="40" w:after="40" w:line="200" w:lineRule="atLeast"/>
              <w:rPr>
                <w:sz w:val="18"/>
                <w:szCs w:val="18"/>
              </w:rPr>
            </w:pPr>
            <w:r>
              <w:rPr>
                <w:sz w:val="18"/>
                <w:szCs w:val="18"/>
                <w:lang w:val="es-ES_tradnl"/>
              </w:rPr>
              <w:t>Desempleados</w:t>
            </w:r>
          </w:p>
        </w:tc>
        <w:tc>
          <w:tcPr>
            <w:tcW w:w="1285" w:type="dxa"/>
            <w:vAlign w:val="bottom"/>
          </w:tcPr>
          <w:p w:rsidR="00F92819" w:rsidRDefault="00F92819" w:rsidP="006762F1">
            <w:pPr>
              <w:keepNext/>
              <w:widowControl w:val="0"/>
              <w:spacing w:before="40" w:after="40" w:line="200" w:lineRule="atLeast"/>
              <w:jc w:val="right"/>
              <w:rPr>
                <w:sz w:val="18"/>
                <w:szCs w:val="18"/>
              </w:rPr>
            </w:pPr>
          </w:p>
        </w:tc>
        <w:tc>
          <w:tcPr>
            <w:tcW w:w="1285" w:type="dxa"/>
            <w:vAlign w:val="bottom"/>
          </w:tcPr>
          <w:p w:rsidR="00F92819" w:rsidRDefault="00F92819" w:rsidP="006762F1">
            <w:pPr>
              <w:keepNext/>
              <w:widowControl w:val="0"/>
              <w:spacing w:before="40" w:after="40" w:line="200" w:lineRule="atLeast"/>
              <w:jc w:val="right"/>
              <w:rPr>
                <w:sz w:val="18"/>
                <w:szCs w:val="18"/>
              </w:rPr>
            </w:pPr>
          </w:p>
        </w:tc>
        <w:tc>
          <w:tcPr>
            <w:tcW w:w="1285" w:type="dxa"/>
            <w:vAlign w:val="bottom"/>
          </w:tcPr>
          <w:p w:rsidR="00F92819" w:rsidRDefault="00F92819" w:rsidP="006762F1">
            <w:pPr>
              <w:keepNext/>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134,3</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144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129,8</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desempleo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7,7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7,1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6,2</w:t>
            </w:r>
          </w:p>
        </w:tc>
      </w:tr>
      <w:tr w:rsidR="00F92819">
        <w:tc>
          <w:tcPr>
            <w:tcW w:w="3514" w:type="dxa"/>
            <w:vAlign w:val="bottom"/>
          </w:tcPr>
          <w:p w:rsidR="00F92819" w:rsidRDefault="00F92819">
            <w:pPr>
              <w:widowControl w:val="0"/>
              <w:spacing w:before="40" w:after="40" w:line="200" w:lineRule="atLeast"/>
              <w:rPr>
                <w:sz w:val="18"/>
                <w:szCs w:val="18"/>
              </w:rPr>
            </w:pPr>
            <w:smartTag w:uri="urn:schemas-microsoft-com:office:smarttags" w:element="metricconverter">
              <w:smartTagPr>
                <w:attr w:name="ProductID" w:val="55 a"/>
              </w:smartTagPr>
              <w:r>
                <w:rPr>
                  <w:i/>
                  <w:sz w:val="18"/>
                  <w:szCs w:val="18"/>
                  <w:lang w:val="es-ES_tradnl"/>
                </w:rPr>
                <w:t>55 a</w:t>
              </w:r>
            </w:smartTag>
            <w:r>
              <w:rPr>
                <w:i/>
                <w:sz w:val="18"/>
                <w:szCs w:val="18"/>
                <w:lang w:val="es-ES_tradnl"/>
              </w:rPr>
              <w:t xml:space="preserve"> 64 años</w:t>
            </w: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Más de 15 años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402,3</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566,7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601,4</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Población activa civil</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198,1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332,6</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363,1</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participación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49,2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58,7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60,4</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Empleados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184,8</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310,9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343,8</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Desempleados</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13,3</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21,7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19,3</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desempleo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6,7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6,5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5,3</w:t>
            </w:r>
          </w:p>
        </w:tc>
      </w:tr>
      <w:tr w:rsidR="00F92819">
        <w:tc>
          <w:tcPr>
            <w:tcW w:w="3514" w:type="dxa"/>
            <w:vAlign w:val="bottom"/>
          </w:tcPr>
          <w:p w:rsidR="00F92819" w:rsidRDefault="00F92819">
            <w:pPr>
              <w:widowControl w:val="0"/>
              <w:spacing w:before="40" w:after="40" w:line="200" w:lineRule="atLeast"/>
              <w:rPr>
                <w:sz w:val="18"/>
                <w:szCs w:val="18"/>
              </w:rPr>
            </w:pPr>
            <w:r>
              <w:rPr>
                <w:i/>
                <w:sz w:val="18"/>
                <w:szCs w:val="18"/>
                <w:lang w:val="es-ES_tradnl"/>
              </w:rPr>
              <w:t>Residentes en zonas de desarrollo</w:t>
            </w: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Más de 15 años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452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505,7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512,4</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Población activa civil</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240,9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285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288,7</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participación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53,3</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56,4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56,3</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Empleados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212,2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253,9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259,0</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Desempleados</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28,8</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31</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29,7</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desempleo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11,9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10,9</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10,3</w:t>
            </w:r>
          </w:p>
        </w:tc>
      </w:tr>
      <w:tr w:rsidR="00F92819">
        <w:tc>
          <w:tcPr>
            <w:tcW w:w="3514" w:type="dxa"/>
            <w:vAlign w:val="bottom"/>
          </w:tcPr>
          <w:p w:rsidR="00F92819" w:rsidRDefault="00F92819">
            <w:pPr>
              <w:widowControl w:val="0"/>
              <w:spacing w:before="40" w:after="40" w:line="200" w:lineRule="atLeast"/>
              <w:rPr>
                <w:sz w:val="18"/>
                <w:szCs w:val="18"/>
              </w:rPr>
            </w:pPr>
            <w:r>
              <w:rPr>
                <w:i/>
                <w:sz w:val="18"/>
                <w:szCs w:val="18"/>
                <w:lang w:val="es-ES_tradnl"/>
              </w:rPr>
              <w:t>Nuevos inmigrantes</w:t>
            </w: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c>
          <w:tcPr>
            <w:tcW w:w="1285" w:type="dxa"/>
            <w:vAlign w:val="bottom"/>
          </w:tcPr>
          <w:p w:rsidR="00F92819" w:rsidRDefault="00F92819">
            <w:pPr>
              <w:widowControl w:val="0"/>
              <w:spacing w:before="40" w:after="40" w:line="200" w:lineRule="atLeast"/>
              <w:jc w:val="right"/>
              <w:rPr>
                <w:i/>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Más de 15 años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719,5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853,3</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877,7</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Población activa civil</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397,8</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507,4</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530,5</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participación (</w:t>
            </w:r>
            <w:r w:rsidR="005B559E">
              <w:rPr>
                <w:sz w:val="18"/>
                <w:szCs w:val="18"/>
                <w:lang w:val="es-ES_tradnl"/>
              </w:rPr>
              <w:t>porcentaje</w:t>
            </w:r>
            <w:r>
              <w:rPr>
                <w:sz w:val="18"/>
                <w:szCs w:val="18"/>
                <w:lang w:val="es-ES_tradnl"/>
              </w:rPr>
              <w:t>)</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55,3</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59,5</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60,4</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Empleados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352,6</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470,7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497,1</w:t>
            </w:r>
          </w:p>
        </w:tc>
      </w:tr>
      <w:tr w:rsidR="00F92819">
        <w:tc>
          <w:tcPr>
            <w:tcW w:w="3514" w:type="dxa"/>
            <w:vAlign w:val="bottom"/>
          </w:tcPr>
          <w:p w:rsidR="00F92819" w:rsidRDefault="00F92819">
            <w:pPr>
              <w:widowControl w:val="0"/>
              <w:spacing w:before="40" w:after="40" w:line="200" w:lineRule="atLeast"/>
              <w:rPr>
                <w:sz w:val="18"/>
                <w:szCs w:val="18"/>
              </w:rPr>
            </w:pPr>
            <w:r>
              <w:rPr>
                <w:sz w:val="18"/>
                <w:szCs w:val="18"/>
                <w:lang w:val="es-ES_tradnl"/>
              </w:rPr>
              <w:t>Desempleados</w:t>
            </w: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c>
          <w:tcPr>
            <w:tcW w:w="1285" w:type="dxa"/>
            <w:vAlign w:val="bottom"/>
          </w:tcPr>
          <w:p w:rsidR="00F92819" w:rsidRDefault="00F92819">
            <w:pPr>
              <w:widowControl w:val="0"/>
              <w:spacing w:before="40" w:after="40" w:line="200" w:lineRule="atLeast"/>
              <w:jc w:val="right"/>
              <w:rPr>
                <w:sz w:val="18"/>
                <w:szCs w:val="18"/>
              </w:rPr>
            </w:pPr>
          </w:p>
        </w:tc>
      </w:tr>
      <w:tr w:rsidR="00F92819">
        <w:tc>
          <w:tcPr>
            <w:tcW w:w="3514" w:type="dxa"/>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Número (en miles)</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45,2</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36,7</w:t>
            </w:r>
          </w:p>
        </w:tc>
        <w:tc>
          <w:tcPr>
            <w:tcW w:w="1285" w:type="dxa"/>
            <w:vAlign w:val="bottom"/>
          </w:tcPr>
          <w:p w:rsidR="00F92819" w:rsidRDefault="00F92819">
            <w:pPr>
              <w:widowControl w:val="0"/>
              <w:spacing w:before="40" w:after="40" w:line="200" w:lineRule="atLeast"/>
              <w:jc w:val="right"/>
              <w:rPr>
                <w:sz w:val="18"/>
                <w:szCs w:val="18"/>
              </w:rPr>
            </w:pPr>
            <w:r>
              <w:rPr>
                <w:sz w:val="18"/>
                <w:szCs w:val="18"/>
              </w:rPr>
              <w:t>33,4</w:t>
            </w:r>
          </w:p>
        </w:tc>
      </w:tr>
      <w:tr w:rsidR="00F92819">
        <w:tc>
          <w:tcPr>
            <w:tcW w:w="3514" w:type="dxa"/>
            <w:tcBorders>
              <w:bottom w:val="single" w:sz="12" w:space="0" w:color="auto"/>
            </w:tcBorders>
            <w:vAlign w:val="bottom"/>
          </w:tcPr>
          <w:p w:rsidR="00F92819" w:rsidRDefault="00F92819">
            <w:pPr>
              <w:widowControl w:val="0"/>
              <w:spacing w:before="40" w:after="40" w:line="200" w:lineRule="atLeast"/>
              <w:rPr>
                <w:sz w:val="18"/>
                <w:szCs w:val="18"/>
              </w:rPr>
            </w:pPr>
            <w:r>
              <w:rPr>
                <w:sz w:val="18"/>
                <w:szCs w:val="18"/>
              </w:rPr>
              <w:t xml:space="preserve">  </w:t>
            </w:r>
            <w:r>
              <w:rPr>
                <w:sz w:val="18"/>
                <w:szCs w:val="18"/>
                <w:lang w:val="es-ES_tradnl"/>
              </w:rPr>
              <w:t>Tasa de desempleo (</w:t>
            </w:r>
            <w:r w:rsidR="005B559E">
              <w:rPr>
                <w:sz w:val="18"/>
                <w:szCs w:val="18"/>
                <w:lang w:val="es-ES_tradnl"/>
              </w:rPr>
              <w:t>porcentaje</w:t>
            </w:r>
            <w:r>
              <w:rPr>
                <w:sz w:val="18"/>
                <w:szCs w:val="18"/>
                <w:lang w:val="es-ES_tradnl"/>
              </w:rPr>
              <w:t>)</w:t>
            </w:r>
          </w:p>
        </w:tc>
        <w:tc>
          <w:tcPr>
            <w:tcW w:w="1285" w:type="dxa"/>
            <w:tcBorders>
              <w:bottom w:val="single" w:sz="12" w:space="0" w:color="auto"/>
            </w:tcBorders>
            <w:vAlign w:val="bottom"/>
          </w:tcPr>
          <w:p w:rsidR="00F92819" w:rsidRDefault="00F92819">
            <w:pPr>
              <w:widowControl w:val="0"/>
              <w:spacing w:before="40" w:after="40" w:line="200" w:lineRule="atLeast"/>
              <w:jc w:val="right"/>
              <w:rPr>
                <w:sz w:val="18"/>
                <w:szCs w:val="18"/>
              </w:rPr>
            </w:pPr>
            <w:r>
              <w:rPr>
                <w:sz w:val="18"/>
                <w:szCs w:val="18"/>
              </w:rPr>
              <w:t>11,4</w:t>
            </w:r>
          </w:p>
        </w:tc>
        <w:tc>
          <w:tcPr>
            <w:tcW w:w="1285" w:type="dxa"/>
            <w:tcBorders>
              <w:bottom w:val="single" w:sz="12" w:space="0" w:color="auto"/>
            </w:tcBorders>
            <w:vAlign w:val="bottom"/>
          </w:tcPr>
          <w:p w:rsidR="00F92819" w:rsidRDefault="00F92819">
            <w:pPr>
              <w:widowControl w:val="0"/>
              <w:spacing w:before="40" w:after="40" w:line="200" w:lineRule="atLeast"/>
              <w:jc w:val="right"/>
              <w:rPr>
                <w:sz w:val="18"/>
                <w:szCs w:val="18"/>
              </w:rPr>
            </w:pPr>
            <w:r>
              <w:rPr>
                <w:sz w:val="18"/>
                <w:szCs w:val="18"/>
              </w:rPr>
              <w:t>7,2</w:t>
            </w:r>
          </w:p>
        </w:tc>
        <w:tc>
          <w:tcPr>
            <w:tcW w:w="1285" w:type="dxa"/>
            <w:tcBorders>
              <w:bottom w:val="single" w:sz="12" w:space="0" w:color="auto"/>
            </w:tcBorders>
            <w:vAlign w:val="bottom"/>
          </w:tcPr>
          <w:p w:rsidR="00F92819" w:rsidRDefault="00F92819">
            <w:pPr>
              <w:widowControl w:val="0"/>
              <w:spacing w:before="40" w:after="40" w:line="200" w:lineRule="atLeast"/>
              <w:jc w:val="right"/>
              <w:rPr>
                <w:sz w:val="18"/>
                <w:szCs w:val="18"/>
              </w:rPr>
            </w:pPr>
            <w:r>
              <w:rPr>
                <w:sz w:val="18"/>
                <w:szCs w:val="18"/>
              </w:rPr>
              <w:t>6,3</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Ministerio de Industria, Comercio y Trabajo, 2008.</w:t>
      </w:r>
    </w:p>
    <w:p w:rsidR="00F92819" w:rsidRDefault="00F92819">
      <w:pPr>
        <w:pStyle w:val="H23G"/>
        <w:ind w:firstLine="0"/>
        <w:rPr>
          <w:szCs w:val="24"/>
        </w:rPr>
      </w:pPr>
      <w:r>
        <w:rPr>
          <w:szCs w:val="24"/>
          <w:lang w:val="es-ES_tradnl"/>
        </w:rPr>
        <w:t>Tendencias en el empleo entre categorías determinadas de trabajadores</w:t>
      </w:r>
    </w:p>
    <w:p w:rsidR="00F92819" w:rsidRDefault="00F92819">
      <w:pPr>
        <w:pStyle w:val="SingleTxtG"/>
        <w:rPr>
          <w:szCs w:val="24"/>
        </w:rPr>
      </w:pPr>
      <w:r>
        <w:rPr>
          <w:szCs w:val="24"/>
        </w:rPr>
        <w:t>161.</w:t>
      </w:r>
      <w:r>
        <w:rPr>
          <w:szCs w:val="24"/>
        </w:rPr>
        <w:tab/>
      </w:r>
      <w:r>
        <w:rPr>
          <w:szCs w:val="24"/>
          <w:lang w:val="es-ES_tradnl"/>
        </w:rPr>
        <w:t>Han seguido llegando nuevos inmigrantes a Israel, procedentes principalmente de la ex Unión Soviética, aunque a un ritmo más lento que durante el decenio anterior.</w:t>
      </w:r>
      <w:r>
        <w:rPr>
          <w:szCs w:val="24"/>
        </w:rPr>
        <w:t xml:space="preserve"> </w:t>
      </w:r>
      <w:r>
        <w:rPr>
          <w:szCs w:val="24"/>
          <w:lang w:val="es-ES_tradnl"/>
        </w:rPr>
        <w:t>Desde 1999 la tasa de inmigración ha disminuido notablemente y el tasa de desempleo entre este grupo ha descendido hasta sólo un 6,3% en 2007 (frente a un 11,4% en 1999).</w:t>
      </w:r>
    </w:p>
    <w:p w:rsidR="00F92819" w:rsidRDefault="00F92819">
      <w:pPr>
        <w:pStyle w:val="SingleTxtG"/>
        <w:rPr>
          <w:szCs w:val="24"/>
        </w:rPr>
      </w:pPr>
      <w:r>
        <w:rPr>
          <w:szCs w:val="24"/>
        </w:rPr>
        <w:t>162.</w:t>
      </w:r>
      <w:r>
        <w:rPr>
          <w:szCs w:val="24"/>
        </w:rPr>
        <w:tab/>
      </w:r>
      <w:r>
        <w:rPr>
          <w:szCs w:val="24"/>
          <w:lang w:val="es-ES_tradnl"/>
        </w:rPr>
        <w:t xml:space="preserve">En el período entre 1999 y 2006 el desempleo era especialmente acusado entre el grupo de </w:t>
      </w:r>
      <w:smartTag w:uri="urn:schemas-microsoft-com:office:smarttags" w:element="metricconverter">
        <w:smartTagPr>
          <w:attr w:name="ProductID" w:val="18 a"/>
        </w:smartTagPr>
        <w:r>
          <w:rPr>
            <w:szCs w:val="24"/>
            <w:lang w:val="es-ES_tradnl"/>
          </w:rPr>
          <w:t>18 a</w:t>
        </w:r>
      </w:smartTag>
      <w:r>
        <w:rPr>
          <w:szCs w:val="24"/>
          <w:lang w:val="es-ES_tradnl"/>
        </w:rPr>
        <w:t xml:space="preserve"> 24 años, aunque se apreció una disminución en esta categoría puesto que el desempleo se mantuvo en el 16,6% en 1999 y descendió al 15,1% en 2007.</w:t>
      </w:r>
    </w:p>
    <w:p w:rsidR="00F92819" w:rsidRDefault="00F92819">
      <w:pPr>
        <w:pStyle w:val="SingleTxtG"/>
        <w:rPr>
          <w:szCs w:val="24"/>
        </w:rPr>
      </w:pPr>
      <w:r>
        <w:rPr>
          <w:szCs w:val="24"/>
        </w:rPr>
        <w:t>163.</w:t>
      </w:r>
      <w:r>
        <w:rPr>
          <w:szCs w:val="24"/>
        </w:rPr>
        <w:tab/>
      </w:r>
      <w:r>
        <w:rPr>
          <w:szCs w:val="24"/>
          <w:lang w:val="es-ES_tradnl"/>
        </w:rPr>
        <w:t>Aunque también se ha evidenciado un descenso del desempleo entre la población árabe, las tasas de desempleo se mantienen relativamente altas,</w:t>
      </w:r>
      <w:r>
        <w:rPr>
          <w:szCs w:val="24"/>
        </w:rPr>
        <w:t xml:space="preserve"> </w:t>
      </w:r>
      <w:r>
        <w:rPr>
          <w:szCs w:val="24"/>
          <w:lang w:val="es-ES_tradnl"/>
        </w:rPr>
        <w:t>a saber: un 11,4% de árabes estaban desempleados en 1999, frente a un 10,2% en 2007, en comparación con una tasa de desempleo del 8,5% entre la población judía en 1999, que descendió al 6,8% en 2007.</w:t>
      </w:r>
    </w:p>
    <w:p w:rsidR="00F92819" w:rsidRDefault="00F92819">
      <w:pPr>
        <w:pStyle w:val="H23G"/>
        <w:rPr>
          <w:szCs w:val="24"/>
        </w:rPr>
      </w:pPr>
      <w:r>
        <w:rPr>
          <w:szCs w:val="24"/>
        </w:rPr>
        <w:tab/>
      </w:r>
      <w:r>
        <w:rPr>
          <w:szCs w:val="24"/>
        </w:rPr>
        <w:tab/>
      </w:r>
      <w:r>
        <w:rPr>
          <w:szCs w:val="24"/>
          <w:lang w:val="es-ES_tradnl"/>
        </w:rPr>
        <w:t>Políticas de empleo</w:t>
      </w:r>
    </w:p>
    <w:p w:rsidR="00F92819" w:rsidRDefault="00F92819">
      <w:pPr>
        <w:pStyle w:val="SingleTxtG"/>
        <w:rPr>
          <w:szCs w:val="24"/>
        </w:rPr>
      </w:pPr>
      <w:r>
        <w:rPr>
          <w:szCs w:val="24"/>
        </w:rPr>
        <w:t>164.</w:t>
      </w:r>
      <w:r>
        <w:rPr>
          <w:szCs w:val="24"/>
        </w:rPr>
        <w:tab/>
      </w:r>
      <w:r>
        <w:rPr>
          <w:szCs w:val="24"/>
          <w:lang w:val="es-ES_tradnl"/>
        </w:rPr>
        <w:t>La reciente tendencia descendente drástica en el desempleo es un claro reflejo del crecimiento económico mencionado.</w:t>
      </w:r>
      <w:r>
        <w:rPr>
          <w:szCs w:val="24"/>
        </w:rPr>
        <w:t xml:space="preserve"> </w:t>
      </w:r>
      <w:r>
        <w:rPr>
          <w:szCs w:val="24"/>
          <w:lang w:val="es-ES_tradnl"/>
        </w:rPr>
        <w:t>La tasa de desempleo real descendió del 10,9% del primer trimestre de 2004 al 7,7% del cuarto trimestre de 2006 y esa tendencia descendente también siguió dándose en el año 2007.</w:t>
      </w:r>
    </w:p>
    <w:p w:rsidR="00F92819" w:rsidRDefault="00F92819">
      <w:pPr>
        <w:pStyle w:val="SingleTxtG"/>
        <w:rPr>
          <w:szCs w:val="24"/>
        </w:rPr>
      </w:pPr>
      <w:r>
        <w:rPr>
          <w:szCs w:val="24"/>
        </w:rPr>
        <w:t>165.</w:t>
      </w:r>
      <w:r>
        <w:rPr>
          <w:szCs w:val="24"/>
        </w:rPr>
        <w:tab/>
      </w:r>
      <w:r>
        <w:rPr>
          <w:szCs w:val="24"/>
          <w:lang w:val="es-ES_tradnl"/>
        </w:rPr>
        <w:t xml:space="preserve">La naturaleza cada vez más mundializada del comercio ha supuesto que gran parte de la expansión de las exportaciones israelíes se deba a su relativo liderazgo en el mercado, que permite un mayor volumen de ventas incluso ante una competencia mundial en aumento. El mercado laboral refleja dichos cambios puesto que existe una demanda notable de algunos profesionales, especialmente en la esfera de la alta tecnología. </w:t>
      </w:r>
    </w:p>
    <w:p w:rsidR="00F92819" w:rsidRDefault="00F92819">
      <w:pPr>
        <w:pStyle w:val="SingleTxtG"/>
        <w:rPr>
          <w:szCs w:val="24"/>
        </w:rPr>
      </w:pPr>
      <w:r>
        <w:rPr>
          <w:szCs w:val="24"/>
        </w:rPr>
        <w:t>166.</w:t>
      </w:r>
      <w:r>
        <w:rPr>
          <w:szCs w:val="24"/>
        </w:rPr>
        <w:tab/>
      </w:r>
      <w:r>
        <w:rPr>
          <w:szCs w:val="24"/>
          <w:lang w:val="es-ES_tradnl"/>
        </w:rPr>
        <w:t>Como se ha mencionado en el anterior informe de Israel, en los últimos años ha habido una conciencia creciente de la necesidad de una mayor intervención del Gobierno para ayudar a los desempleados cuyas posibilidades de volver al trabajo se verían menoscabadas sin esa asistencia.</w:t>
      </w:r>
      <w:r>
        <w:rPr>
          <w:szCs w:val="24"/>
        </w:rPr>
        <w:t xml:space="preserve"> </w:t>
      </w:r>
      <w:r>
        <w:rPr>
          <w:szCs w:val="24"/>
          <w:lang w:val="es-ES_tradnl"/>
        </w:rPr>
        <w:t>En consecuencia, varios ministerios participan en programas de mantenimiento de los ingresos y formación profesional para ayudar a los desempleados.</w:t>
      </w:r>
    </w:p>
    <w:p w:rsidR="00F92819" w:rsidRDefault="00F92819">
      <w:pPr>
        <w:pStyle w:val="SingleTxtG"/>
        <w:rPr>
          <w:szCs w:val="24"/>
        </w:rPr>
      </w:pPr>
      <w:r>
        <w:rPr>
          <w:szCs w:val="24"/>
        </w:rPr>
        <w:t>167.</w:t>
      </w:r>
      <w:r>
        <w:rPr>
          <w:szCs w:val="24"/>
        </w:rPr>
        <w:tab/>
      </w:r>
      <w:r>
        <w:rPr>
          <w:szCs w:val="24"/>
          <w:lang w:val="es-ES_tradnl"/>
        </w:rPr>
        <w:t>Entre los programas para mejorar las oportunidades de empleo cabe señalar principalmente los siguientes:</w:t>
      </w:r>
    </w:p>
    <w:p w:rsidR="00F92819" w:rsidRDefault="00F92819">
      <w:pPr>
        <w:pStyle w:val="SingleTxtG"/>
        <w:ind w:left="1701"/>
        <w:rPr>
          <w:szCs w:val="24"/>
        </w:rPr>
      </w:pPr>
      <w:r>
        <w:rPr>
          <w:szCs w:val="24"/>
        </w:rPr>
        <w:t>167.1.</w:t>
      </w:r>
      <w:r>
        <w:rPr>
          <w:szCs w:val="24"/>
        </w:rPr>
        <w:tab/>
      </w:r>
      <w:r>
        <w:rPr>
          <w:szCs w:val="24"/>
          <w:lang w:val="es-ES_tradnl"/>
        </w:rPr>
        <w:t>Simplificación de los procedimientos del Servicio de Empleo para alentar a los empleadores a buscar trabajadores a través del Servicio y mejorar la adecuación de las ofertas de trabajo a los solicitantes de empleo.</w:t>
      </w:r>
    </w:p>
    <w:p w:rsidR="00F92819" w:rsidRDefault="00F92819">
      <w:pPr>
        <w:pStyle w:val="SingleTxtG"/>
        <w:ind w:left="1701"/>
        <w:rPr>
          <w:szCs w:val="24"/>
        </w:rPr>
      </w:pPr>
      <w:r>
        <w:rPr>
          <w:szCs w:val="24"/>
        </w:rPr>
        <w:t>167.2.</w:t>
      </w:r>
      <w:r>
        <w:rPr>
          <w:szCs w:val="24"/>
        </w:rPr>
        <w:tab/>
      </w:r>
      <w:r>
        <w:rPr>
          <w:szCs w:val="24"/>
          <w:lang w:val="es-ES_tradnl"/>
        </w:rPr>
        <w:t>Reincorporación en el mercado laboral de los beneficiarios de prestaciones sociales de larga duración y ayuda para lograr la autosuficiencia (programa de orientación laboral “</w:t>
      </w:r>
      <w:r>
        <w:rPr>
          <w:i/>
          <w:szCs w:val="24"/>
          <w:lang w:val="es-ES_tradnl"/>
        </w:rPr>
        <w:t>Lights for Employment</w:t>
      </w:r>
      <w:r>
        <w:rPr>
          <w:szCs w:val="24"/>
          <w:lang w:val="es-ES_tradnl"/>
        </w:rPr>
        <w:t xml:space="preserve">”). </w:t>
      </w:r>
    </w:p>
    <w:p w:rsidR="00F92819" w:rsidRDefault="00F92819">
      <w:pPr>
        <w:pStyle w:val="SingleTxtG"/>
        <w:ind w:left="1701"/>
        <w:rPr>
          <w:szCs w:val="24"/>
        </w:rPr>
      </w:pPr>
      <w:r>
        <w:rPr>
          <w:szCs w:val="24"/>
        </w:rPr>
        <w:t>167.3.</w:t>
      </w:r>
      <w:r>
        <w:rPr>
          <w:szCs w:val="24"/>
        </w:rPr>
        <w:tab/>
      </w:r>
      <w:r>
        <w:rPr>
          <w:szCs w:val="24"/>
          <w:lang w:val="es-ES_tradnl"/>
        </w:rPr>
        <w:t>Formación profesional, reciclaje profesional y formación en el empleo (detallados a continuación).</w:t>
      </w:r>
    </w:p>
    <w:p w:rsidR="00F92819" w:rsidRDefault="00F92819">
      <w:pPr>
        <w:pStyle w:val="SingleTxtG"/>
        <w:rPr>
          <w:szCs w:val="24"/>
        </w:rPr>
      </w:pPr>
      <w:r>
        <w:rPr>
          <w:szCs w:val="24"/>
        </w:rPr>
        <w:t>168.</w:t>
      </w:r>
      <w:r>
        <w:rPr>
          <w:szCs w:val="24"/>
        </w:rPr>
        <w:tab/>
      </w:r>
      <w:r>
        <w:rPr>
          <w:szCs w:val="24"/>
          <w:lang w:val="es-ES_tradnl"/>
        </w:rPr>
        <w:t>El programa de orientación laboral “</w:t>
      </w:r>
      <w:r>
        <w:rPr>
          <w:i/>
          <w:szCs w:val="24"/>
          <w:lang w:val="es-ES_tradnl"/>
        </w:rPr>
        <w:t>Lights for Employment</w:t>
      </w:r>
      <w:r>
        <w:rPr>
          <w:szCs w:val="24"/>
          <w:lang w:val="es-ES_tradnl"/>
        </w:rPr>
        <w:t>” se instituyó en agosto de 2005 con el objetivo de reincorporar en el mercado laboral a los beneficiarios de prestaciones sociales y ayudarles a ser autosuficientes.</w:t>
      </w:r>
      <w:r>
        <w:rPr>
          <w:szCs w:val="24"/>
        </w:rPr>
        <w:t xml:space="preserve"> </w:t>
      </w:r>
      <w:r>
        <w:rPr>
          <w:szCs w:val="24"/>
          <w:lang w:val="es-ES_tradnl"/>
        </w:rPr>
        <w:t>El programa se ha puesto en marcha de forma experimental en varias zonas de Israel</w:t>
      </w:r>
      <w:r>
        <w:rPr>
          <w:szCs w:val="24"/>
        </w:rPr>
        <w:t xml:space="preserve"> </w:t>
      </w:r>
      <w:r>
        <w:rPr>
          <w:szCs w:val="24"/>
          <w:lang w:val="es-ES_tradnl"/>
        </w:rPr>
        <w:t xml:space="preserve">y está basado en los preceptos legales que definen sus principios y objetivos (la </w:t>
      </w:r>
      <w:r>
        <w:rPr>
          <w:i/>
          <w:szCs w:val="24"/>
          <w:lang w:val="es-ES_tradnl"/>
        </w:rPr>
        <w:t xml:space="preserve">Ley de política económica para el ejercicio 2004 (reformas legislativas) </w:t>
      </w:r>
      <w:r>
        <w:rPr>
          <w:szCs w:val="24"/>
          <w:lang w:val="es-ES_tradnl"/>
        </w:rPr>
        <w:t>de 5764/2003).</w:t>
      </w:r>
      <w:r>
        <w:rPr>
          <w:szCs w:val="24"/>
        </w:rPr>
        <w:t xml:space="preserve"> </w:t>
      </w:r>
      <w:r>
        <w:rPr>
          <w:szCs w:val="24"/>
          <w:lang w:val="es-ES_tradnl"/>
        </w:rPr>
        <w:t>En julio de 2007 se enmendó esta Ley y el programa ha sido ampliado hasta el 31 de julio de 2009. Se han establecido cuatro centros gestionados por empresas privadas (Jerusalén, Ashkelon, Hadera-Netanya y Nazareth-Ein Mahal).</w:t>
      </w:r>
    </w:p>
    <w:p w:rsidR="00F92819" w:rsidRDefault="00F92819">
      <w:pPr>
        <w:pStyle w:val="H23G"/>
        <w:rPr>
          <w:szCs w:val="24"/>
        </w:rPr>
      </w:pPr>
      <w:r>
        <w:rPr>
          <w:szCs w:val="24"/>
        </w:rPr>
        <w:tab/>
      </w:r>
      <w:r>
        <w:rPr>
          <w:szCs w:val="24"/>
        </w:rPr>
        <w:tab/>
      </w:r>
      <w:r>
        <w:rPr>
          <w:szCs w:val="24"/>
          <w:lang w:val="es-ES_tradnl"/>
        </w:rPr>
        <w:t>Promoción de oportunidades de empleo entre las poblaciones minoritarias</w:t>
      </w:r>
    </w:p>
    <w:p w:rsidR="00F92819" w:rsidRDefault="00F92819">
      <w:pPr>
        <w:pStyle w:val="H56G"/>
        <w:rPr>
          <w:szCs w:val="24"/>
        </w:rPr>
      </w:pPr>
      <w:r>
        <w:rPr>
          <w:szCs w:val="24"/>
        </w:rPr>
        <w:tab/>
      </w:r>
      <w:r>
        <w:rPr>
          <w:szCs w:val="24"/>
        </w:rPr>
        <w:tab/>
      </w:r>
      <w:r>
        <w:rPr>
          <w:szCs w:val="24"/>
          <w:lang w:val="es-ES_tradnl"/>
        </w:rPr>
        <w:t>Turismo</w:t>
      </w:r>
    </w:p>
    <w:p w:rsidR="00F92819" w:rsidRDefault="00F92819">
      <w:pPr>
        <w:pStyle w:val="SingleTxtG"/>
        <w:rPr>
          <w:szCs w:val="24"/>
        </w:rPr>
      </w:pPr>
      <w:bookmarkStart w:id="2" w:name="OLE_LINK3"/>
      <w:bookmarkStart w:id="3" w:name="OLE_LINK4"/>
      <w:r>
        <w:rPr>
          <w:szCs w:val="24"/>
        </w:rPr>
        <w:t>169.</w:t>
      </w:r>
      <w:r>
        <w:rPr>
          <w:szCs w:val="24"/>
        </w:rPr>
        <w:tab/>
      </w:r>
      <w:r>
        <w:rPr>
          <w:szCs w:val="24"/>
          <w:lang w:val="es-ES_tradnl"/>
        </w:rPr>
        <w:t>Desde la presentación del segundo informe periódico, el Gobierno de Israel ha dedicado una enorme actividad al desarrollo del turismo como fuente de empleo e ingresos entre la población árabe, como parte del propósito general de promover y favorecer la prosperidad económica en la población árabe y de esta manera reducir las diferencias con respecto a la población judía.</w:t>
      </w:r>
      <w:r>
        <w:rPr>
          <w:szCs w:val="24"/>
        </w:rPr>
        <w:t xml:space="preserve"> </w:t>
      </w:r>
    </w:p>
    <w:bookmarkEnd w:id="2"/>
    <w:bookmarkEnd w:id="3"/>
    <w:p w:rsidR="00F92819" w:rsidRDefault="00F92819">
      <w:pPr>
        <w:pStyle w:val="SingleTxtG"/>
        <w:rPr>
          <w:szCs w:val="24"/>
        </w:rPr>
      </w:pPr>
      <w:r>
        <w:rPr>
          <w:szCs w:val="24"/>
          <w:lang w:val="es-ES_tradnl"/>
        </w:rPr>
        <w:t>En consecuencia, en el plan plurianual de 2000 y en los otros dos planes plurianuales para el desarrollo de la población árabe en el Norte (mencionado en el artículo 2) se prestó especial atención a esta cuestión y se asignó el presupuesto necesario.</w:t>
      </w:r>
    </w:p>
    <w:p w:rsidR="00F92819" w:rsidRDefault="00F92819">
      <w:pPr>
        <w:pStyle w:val="SingleTxtG"/>
        <w:rPr>
          <w:szCs w:val="24"/>
        </w:rPr>
      </w:pPr>
      <w:r>
        <w:rPr>
          <w:szCs w:val="24"/>
        </w:rPr>
        <w:t>170.</w:t>
      </w:r>
      <w:r>
        <w:rPr>
          <w:szCs w:val="24"/>
        </w:rPr>
        <w:tab/>
      </w:r>
      <w:r>
        <w:rPr>
          <w:szCs w:val="24"/>
          <w:lang w:val="es-ES_tradnl"/>
        </w:rPr>
        <w:t>Entre 2000 y 2008 el Ministerio de Turismo invirtió 21.173.000 nuevos sheqalim (5.571.842 dólares de los EE.UU.) en el desarrollo de infraestructuras de turismo en localidades árabes.</w:t>
      </w:r>
      <w:r>
        <w:rPr>
          <w:szCs w:val="24"/>
        </w:rPr>
        <w:t xml:space="preserve"> </w:t>
      </w:r>
      <w:r>
        <w:rPr>
          <w:szCs w:val="24"/>
          <w:lang w:val="es-ES_tradnl"/>
        </w:rPr>
        <w:t xml:space="preserve">El Ministerio de Turismo proporciona además ayudas económicas y orientación profesional a los empresarios para la creación de dependencias de alojamiento rural (Zimmers), así como para otras iniciativas relacionadas con el turismo. </w:t>
      </w:r>
    </w:p>
    <w:p w:rsidR="00F92819" w:rsidRDefault="00F92819">
      <w:pPr>
        <w:pStyle w:val="H56G"/>
        <w:rPr>
          <w:szCs w:val="24"/>
        </w:rPr>
      </w:pPr>
      <w:r>
        <w:rPr>
          <w:szCs w:val="24"/>
        </w:rPr>
        <w:tab/>
      </w:r>
      <w:r>
        <w:rPr>
          <w:szCs w:val="24"/>
        </w:rPr>
        <w:tab/>
      </w:r>
      <w:r>
        <w:rPr>
          <w:szCs w:val="24"/>
          <w:lang w:val="es-ES_tradnl"/>
        </w:rPr>
        <w:t>Agricultura</w:t>
      </w:r>
    </w:p>
    <w:p w:rsidR="00F92819" w:rsidRDefault="00F92819">
      <w:pPr>
        <w:pStyle w:val="SingleTxtG"/>
        <w:rPr>
          <w:szCs w:val="24"/>
        </w:rPr>
      </w:pPr>
      <w:r>
        <w:rPr>
          <w:szCs w:val="24"/>
        </w:rPr>
        <w:t>171.</w:t>
      </w:r>
      <w:r>
        <w:rPr>
          <w:szCs w:val="24"/>
        </w:rPr>
        <w:tab/>
      </w:r>
      <w:r>
        <w:rPr>
          <w:szCs w:val="24"/>
          <w:lang w:val="es-ES_tradnl"/>
        </w:rPr>
        <w:t>El Ministerio de Agricultura y Desarrollo Rural dedica considerables esfuerzos y recursos al desarrollo y promoción de la actividad agrícola en las poblaciones minoritarias y de esta manera mantener y generar nuevas oportunidades de empleo.</w:t>
      </w:r>
      <w:r>
        <w:rPr>
          <w:szCs w:val="24"/>
        </w:rPr>
        <w:t xml:space="preserve"> </w:t>
      </w:r>
      <w:r>
        <w:rPr>
          <w:szCs w:val="24"/>
          <w:lang w:val="es-ES_tradnl"/>
        </w:rPr>
        <w:t>En 2007 y 2008 el Ministerio destinó un presupuesto de 20 millones de nuevos sheqalim (5,12 millones de dólares de los EE.UU.) al desarrollo agrícola en localidades árabes, en dos esferas fundamentales: infraestructuras y granjas individuales.</w:t>
      </w:r>
    </w:p>
    <w:p w:rsidR="00F92819" w:rsidRDefault="00F92819">
      <w:pPr>
        <w:pStyle w:val="SingleTxtG"/>
        <w:rPr>
          <w:szCs w:val="24"/>
        </w:rPr>
      </w:pPr>
      <w:r>
        <w:rPr>
          <w:szCs w:val="24"/>
        </w:rPr>
        <w:t>172.</w:t>
      </w:r>
      <w:r>
        <w:rPr>
          <w:szCs w:val="24"/>
        </w:rPr>
        <w:tab/>
      </w:r>
      <w:r>
        <w:rPr>
          <w:szCs w:val="24"/>
          <w:lang w:val="es-ES_tradnl"/>
        </w:rPr>
        <w:t>Con respecto a las infraestructuras generales, el Ministerio ofrece ayudas económicas (subvenciones del 60% al 100% del costo) para la reconstrucción de caminos agrícolas en todas las localidades árabes del país.</w:t>
      </w:r>
      <w:r>
        <w:rPr>
          <w:szCs w:val="24"/>
        </w:rPr>
        <w:t xml:space="preserve"> </w:t>
      </w:r>
      <w:r>
        <w:rPr>
          <w:szCs w:val="24"/>
          <w:lang w:val="es-ES_tradnl"/>
        </w:rPr>
        <w:t>Además, el Ministerio ofrece ayudas económicas para la eliminación de corrales y establos situados en el centro de las aldeas árabes y reubicarlos en zonas designadas de tierras del Estado fuera de dichas aldeas, así como en tierras privadas.</w:t>
      </w:r>
    </w:p>
    <w:p w:rsidR="00F92819" w:rsidRDefault="00F92819">
      <w:pPr>
        <w:pStyle w:val="SingleTxtG"/>
        <w:rPr>
          <w:szCs w:val="24"/>
        </w:rPr>
      </w:pPr>
      <w:r>
        <w:rPr>
          <w:szCs w:val="24"/>
        </w:rPr>
        <w:t>173.</w:t>
      </w:r>
      <w:r>
        <w:rPr>
          <w:szCs w:val="24"/>
        </w:rPr>
        <w:tab/>
      </w:r>
      <w:r>
        <w:rPr>
          <w:szCs w:val="24"/>
          <w:lang w:val="es-ES_tradnl"/>
        </w:rPr>
        <w:t>El Ministerio participa (subvenciones del 60% del costo) en la reconstrucción y sustitución de conducciones de abastecimiento de agua para uso agrícola en las aldeas árabes de todo Israel</w:t>
      </w:r>
      <w:r>
        <w:rPr>
          <w:szCs w:val="24"/>
        </w:rPr>
        <w:t xml:space="preserve"> </w:t>
      </w:r>
      <w:r>
        <w:rPr>
          <w:szCs w:val="24"/>
          <w:lang w:val="es-ES_tradnl"/>
        </w:rPr>
        <w:t>y también colabora en la preparación de programas de turismo agrícola en las aldeas árabes, incluido el Negev.</w:t>
      </w:r>
    </w:p>
    <w:p w:rsidR="00F92819" w:rsidRDefault="00F92819">
      <w:pPr>
        <w:pStyle w:val="SingleTxtG"/>
        <w:rPr>
          <w:szCs w:val="24"/>
        </w:rPr>
      </w:pPr>
      <w:r>
        <w:rPr>
          <w:szCs w:val="24"/>
        </w:rPr>
        <w:t>174.</w:t>
      </w:r>
      <w:r>
        <w:rPr>
          <w:szCs w:val="24"/>
        </w:rPr>
        <w:tab/>
      </w:r>
      <w:r>
        <w:rPr>
          <w:szCs w:val="24"/>
          <w:lang w:val="es-ES_tradnl"/>
        </w:rPr>
        <w:t>La actividad de desarrollo sobre granjas individuales se puede dividir en tres ramas principales: ganado, cultivos de hortalizas y plantaciones. Con respecto al ganado, se ofrecen ayudas económicas (60% del costo) para establecer instalaciones de ordeño.</w:t>
      </w:r>
      <w:r>
        <w:rPr>
          <w:szCs w:val="24"/>
        </w:rPr>
        <w:t xml:space="preserve"> </w:t>
      </w:r>
      <w:r>
        <w:rPr>
          <w:szCs w:val="24"/>
          <w:lang w:val="es-ES_tradnl"/>
        </w:rPr>
        <w:t>Entre las actividades para promover el ámbito del cultivo de hortalizas se incluyen ayudas económicas (30% del coste) para facilitar la construcción de invernaderos para el cultivo de hortalizas destinadas al mercado local, en el marco del programa de fortalecimiento del norte de Israel.</w:t>
      </w:r>
      <w:r>
        <w:rPr>
          <w:szCs w:val="24"/>
        </w:rPr>
        <w:t xml:space="preserve"> </w:t>
      </w:r>
      <w:r>
        <w:rPr>
          <w:szCs w:val="24"/>
          <w:lang w:val="es-ES_tradnl"/>
        </w:rPr>
        <w:t>Se ofrecen además ayudas económicas para la creación de hábitats para el cultivo de hortalizas en el año de barbecho judío, para su comercialización a nivel local.</w:t>
      </w:r>
      <w:r>
        <w:rPr>
          <w:szCs w:val="24"/>
        </w:rPr>
        <w:t xml:space="preserve"> </w:t>
      </w:r>
      <w:r>
        <w:rPr>
          <w:szCs w:val="24"/>
          <w:lang w:val="es-ES_tradnl"/>
        </w:rPr>
        <w:t>La actividad sobre el ámbito de las plantaciones incluye ayudar al establecimiento de fábricas de embalajes y fábricas de hielo (en el marco del programa de fortalecimiento del norte de Israel), y ayudas económicas para la plantación de olivos y almendros, que varían según la situación geográfica (20% en el centro de Israel y entre 25% y 40% en el norte).</w:t>
      </w:r>
    </w:p>
    <w:p w:rsidR="00F92819" w:rsidRDefault="00F92819">
      <w:pPr>
        <w:pStyle w:val="SingleTxtG"/>
        <w:rPr>
          <w:szCs w:val="24"/>
        </w:rPr>
      </w:pPr>
      <w:r>
        <w:rPr>
          <w:szCs w:val="24"/>
        </w:rPr>
        <w:t>175.</w:t>
      </w:r>
      <w:r>
        <w:rPr>
          <w:szCs w:val="24"/>
        </w:rPr>
        <w:tab/>
      </w:r>
      <w:r>
        <w:rPr>
          <w:szCs w:val="24"/>
          <w:lang w:val="es-ES_tradnl"/>
        </w:rPr>
        <w:t>Las actividades de desarrollo mencionadas se suman a la utilización de financiación adicional disponible para el público en general.</w:t>
      </w:r>
    </w:p>
    <w:p w:rsidR="00F92819" w:rsidRDefault="00F92819">
      <w:pPr>
        <w:pStyle w:val="SingleTxtG"/>
        <w:rPr>
          <w:szCs w:val="24"/>
        </w:rPr>
      </w:pPr>
      <w:r>
        <w:rPr>
          <w:szCs w:val="24"/>
        </w:rPr>
        <w:t>176.</w:t>
      </w:r>
      <w:r>
        <w:rPr>
          <w:szCs w:val="24"/>
        </w:rPr>
        <w:tab/>
      </w:r>
      <w:r>
        <w:rPr>
          <w:szCs w:val="24"/>
          <w:lang w:val="es-ES_tradnl"/>
        </w:rPr>
        <w:t>Además, el Ministerio decidió destinar dos millones de metros cúbicos de agua para granjeros beduinos, que la recibirán con arreglo al un procedimiento creado para tal fin.</w:t>
      </w:r>
    </w:p>
    <w:p w:rsidR="00F92819" w:rsidRDefault="00F92819">
      <w:pPr>
        <w:pStyle w:val="SingleTxtG"/>
        <w:rPr>
          <w:szCs w:val="24"/>
        </w:rPr>
      </w:pPr>
      <w:bookmarkStart w:id="4" w:name="OLE_LINK5"/>
      <w:bookmarkStart w:id="5" w:name="OLE_LINK6"/>
      <w:r>
        <w:rPr>
          <w:szCs w:val="24"/>
        </w:rPr>
        <w:t>177.</w:t>
      </w:r>
      <w:r>
        <w:rPr>
          <w:szCs w:val="24"/>
        </w:rPr>
        <w:tab/>
      </w:r>
      <w:r>
        <w:rPr>
          <w:szCs w:val="24"/>
          <w:lang w:val="es-ES_tradnl"/>
        </w:rPr>
        <w:t>A fin de minimizar el daño causado a los agricultores árabes debido al recorte general de agua para agricultura en Israel, se decidió impulsar una política especial de distribución de agua para la población árabe,</w:t>
      </w:r>
      <w:r>
        <w:rPr>
          <w:szCs w:val="24"/>
        </w:rPr>
        <w:t xml:space="preserve"> </w:t>
      </w:r>
      <w:r>
        <w:rPr>
          <w:szCs w:val="24"/>
          <w:lang w:val="es-ES_tradnl"/>
        </w:rPr>
        <w:t>por lo que desde 2006 los cupos de agua para estos agricultores se determinan según su uso real en los tres años previos. Por consiguiente, no sufrirán los recortes efectuados en los últimos años debido a la escasez de agua.</w:t>
      </w:r>
    </w:p>
    <w:bookmarkEnd w:id="4"/>
    <w:bookmarkEnd w:id="5"/>
    <w:p w:rsidR="00F92819" w:rsidRDefault="00F92819">
      <w:pPr>
        <w:pStyle w:val="SingleTxtG"/>
        <w:rPr>
          <w:szCs w:val="24"/>
        </w:rPr>
      </w:pPr>
      <w:r>
        <w:rPr>
          <w:szCs w:val="24"/>
        </w:rPr>
        <w:t>178.</w:t>
      </w:r>
      <w:r>
        <w:rPr>
          <w:szCs w:val="24"/>
        </w:rPr>
        <w:tab/>
      </w:r>
      <w:r>
        <w:rPr>
          <w:szCs w:val="24"/>
          <w:lang w:val="es-ES_tradnl"/>
        </w:rPr>
        <w:t>El</w:t>
      </w:r>
      <w:r>
        <w:rPr>
          <w:b/>
          <w:szCs w:val="24"/>
          <w:lang w:val="es-ES_tradnl"/>
        </w:rPr>
        <w:t xml:space="preserve"> Proyecto del Valle de Beit Netofa </w:t>
      </w:r>
      <w:r>
        <w:rPr>
          <w:szCs w:val="24"/>
          <w:lang w:val="es-ES_tradnl"/>
        </w:rPr>
        <w:t>que se detalla en el informe anterior de Israel ha progresado desde entonces.</w:t>
      </w:r>
      <w:r>
        <w:rPr>
          <w:szCs w:val="24"/>
        </w:rPr>
        <w:t xml:space="preserve"> </w:t>
      </w:r>
      <w:r>
        <w:rPr>
          <w:szCs w:val="24"/>
          <w:lang w:val="es-ES_tradnl"/>
        </w:rPr>
        <w:t xml:space="preserve">Se crearon asociaciones agrícolas para los agricultores de Araba y Sakhnin y está previsto que reciban la propiedad del proyecto y lo gestionen una vez terminado. </w:t>
      </w:r>
    </w:p>
    <w:p w:rsidR="00F92819" w:rsidRDefault="00F92819">
      <w:pPr>
        <w:pStyle w:val="H23G"/>
        <w:rPr>
          <w:szCs w:val="24"/>
        </w:rPr>
      </w:pPr>
      <w:r>
        <w:rPr>
          <w:szCs w:val="24"/>
        </w:rPr>
        <w:tab/>
      </w:r>
      <w:r>
        <w:rPr>
          <w:szCs w:val="24"/>
        </w:rPr>
        <w:tab/>
      </w:r>
      <w:r>
        <w:rPr>
          <w:szCs w:val="24"/>
          <w:lang w:val="es-ES_tradnl"/>
        </w:rPr>
        <w:t>La población beduina del Negev (sur)</w:t>
      </w:r>
    </w:p>
    <w:p w:rsidR="00F92819" w:rsidRDefault="00F92819">
      <w:pPr>
        <w:pStyle w:val="SingleTxtG"/>
        <w:rPr>
          <w:szCs w:val="24"/>
        </w:rPr>
      </w:pPr>
      <w:r>
        <w:rPr>
          <w:szCs w:val="24"/>
        </w:rPr>
        <w:t>179.</w:t>
      </w:r>
      <w:r>
        <w:rPr>
          <w:szCs w:val="24"/>
        </w:rPr>
        <w:tab/>
      </w:r>
      <w:r>
        <w:rPr>
          <w:szCs w:val="24"/>
          <w:lang w:val="es-ES_tradnl"/>
        </w:rPr>
        <w:t>Para fomentar el empleo entre los miembros de poblaciones minoritarias de la zona sur del Negev, se ha decidido que una fábrica o un empresario del sector de la industria, los servicios o el turismo que contrate un mínimo de 4 nuevos empleados de la población beduina o judía ultraortodoxa, tendrá derecho a la devolución de entre el 15% y el 20% de los costos salariales mensuales de estos trabajadores durante un período de 5 años.</w:t>
      </w:r>
      <w:r>
        <w:rPr>
          <w:szCs w:val="24"/>
        </w:rPr>
        <w:t xml:space="preserve"> </w:t>
      </w:r>
      <w:r>
        <w:rPr>
          <w:szCs w:val="24"/>
          <w:lang w:val="es-ES_tradnl"/>
        </w:rPr>
        <w:t>Al empleador también se le reembolsarán los gastos del transporte organizado para ir al lugar de trabajo y de regreso, hasta un total de 3.000 nuevos sheqalim (810 dólares de los EE.UU.) por trabajador y año.</w:t>
      </w:r>
    </w:p>
    <w:p w:rsidR="00F92819" w:rsidRDefault="00F92819">
      <w:pPr>
        <w:pStyle w:val="SingleTxtG"/>
        <w:rPr>
          <w:szCs w:val="24"/>
        </w:rPr>
      </w:pPr>
      <w:r>
        <w:rPr>
          <w:szCs w:val="24"/>
        </w:rPr>
        <w:t>180.</w:t>
      </w:r>
      <w:r>
        <w:rPr>
          <w:szCs w:val="24"/>
        </w:rPr>
        <w:tab/>
      </w:r>
      <w:r>
        <w:rPr>
          <w:szCs w:val="24"/>
          <w:lang w:val="es-ES_tradnl"/>
        </w:rPr>
        <w:t>El Ministerio de Industria, Comercio y Trabajo es consciente de las dificultades inherentes que afrontan los empresarios de la población beduina, como una capacidad financiera limitada, y por tanto está adoptando medidas para cubrir estas lagunas.</w:t>
      </w:r>
      <w:r>
        <w:rPr>
          <w:szCs w:val="24"/>
        </w:rPr>
        <w:t xml:space="preserve"> </w:t>
      </w:r>
      <w:r>
        <w:rPr>
          <w:szCs w:val="24"/>
          <w:lang w:val="es-ES_tradnl"/>
        </w:rPr>
        <w:t>El Ministerio ha creado en Rahat un centro para el fomento del espíritu de empresa entre las poblaciones árabe y beduina que está mejor equipado para atender las necesidades de estas poblaciones.</w:t>
      </w:r>
      <w:r>
        <w:rPr>
          <w:szCs w:val="24"/>
        </w:rPr>
        <w:t xml:space="preserve"> </w:t>
      </w:r>
      <w:r>
        <w:rPr>
          <w:szCs w:val="24"/>
          <w:lang w:val="es-ES_tradnl"/>
        </w:rPr>
        <w:t>Además, con el fin de apoyar a los empresarios entre la población beduina del Negev, el Ministerio de Industria, Comercio y Trabajo ha establecido un programa único de préstamos para pequeñas empresas.</w:t>
      </w:r>
    </w:p>
    <w:p w:rsidR="00F92819" w:rsidRDefault="00F92819">
      <w:pPr>
        <w:pStyle w:val="SingleTxtG"/>
        <w:rPr>
          <w:szCs w:val="24"/>
        </w:rPr>
      </w:pPr>
      <w:r>
        <w:rPr>
          <w:szCs w:val="24"/>
        </w:rPr>
        <w:t>181.</w:t>
      </w:r>
      <w:r>
        <w:rPr>
          <w:szCs w:val="24"/>
        </w:rPr>
        <w:tab/>
      </w:r>
      <w:r>
        <w:rPr>
          <w:b/>
          <w:szCs w:val="24"/>
          <w:lang w:val="es-ES_tradnl"/>
        </w:rPr>
        <w:t>Centros de empleo para la población beduina:</w:t>
      </w:r>
      <w:r>
        <w:rPr>
          <w:szCs w:val="24"/>
        </w:rPr>
        <w:t xml:space="preserve"> </w:t>
      </w:r>
      <w:r>
        <w:rPr>
          <w:szCs w:val="24"/>
          <w:lang w:val="es-ES_tradnl"/>
        </w:rPr>
        <w:t>en el marco de la cooperación entre el Gobierno y el Comité Mixto Norteamericano Judío de Distribución, se decidió crear centros de empleo especiales en las ciudades beduinas,</w:t>
      </w:r>
      <w:r>
        <w:rPr>
          <w:szCs w:val="24"/>
        </w:rPr>
        <w:t xml:space="preserve"> </w:t>
      </w:r>
      <w:r>
        <w:rPr>
          <w:szCs w:val="24"/>
          <w:lang w:val="es-ES_tradnl"/>
        </w:rPr>
        <w:t>que ayudarán a aumentar el número de personas empleadas y a la creación de pequeños negocios y empresas, y cambiarán las percepciones y las normas de la población beduina con respecto al empleo, incluido el fomento del empleo de la mujer, ofreciéndole formación específica al efecto. Está previsto que se establezcan tres de estos centros el próximo año.</w:t>
      </w:r>
    </w:p>
    <w:p w:rsidR="00F92819" w:rsidRDefault="00F92819">
      <w:pPr>
        <w:pStyle w:val="SingleTxtG"/>
        <w:rPr>
          <w:szCs w:val="24"/>
        </w:rPr>
      </w:pPr>
      <w:r>
        <w:rPr>
          <w:szCs w:val="24"/>
        </w:rPr>
        <w:t>182.</w:t>
      </w:r>
      <w:r>
        <w:rPr>
          <w:szCs w:val="24"/>
        </w:rPr>
        <w:tab/>
      </w:r>
      <w:r>
        <w:rPr>
          <w:szCs w:val="24"/>
          <w:lang w:val="es-ES_tradnl"/>
        </w:rPr>
        <w:t xml:space="preserve">Además, como se menciona en el artículo 2 anterior, se enmendó la </w:t>
      </w:r>
      <w:r>
        <w:rPr>
          <w:i/>
          <w:szCs w:val="24"/>
          <w:lang w:val="es-ES_tradnl"/>
        </w:rPr>
        <w:t>Orden de fomento de las inversiones de capital</w:t>
      </w:r>
      <w:r>
        <w:rPr>
          <w:szCs w:val="24"/>
          <w:lang w:val="es-ES_tradnl"/>
        </w:rPr>
        <w:t xml:space="preserve"> para fortalecer las localidades árabes, incluidas las comunidades beduinas.</w:t>
      </w:r>
      <w:r>
        <w:rPr>
          <w:szCs w:val="24"/>
        </w:rPr>
        <w:t xml:space="preserve"> </w:t>
      </w:r>
      <w:r>
        <w:rPr>
          <w:szCs w:val="24"/>
          <w:lang w:val="es-ES_tradnl"/>
        </w:rPr>
        <w:t>Actualmente se han planificado 17 zonas industriales en el distrito sur, tres de las cuales (17%) se encuentran en ciudades beduinas: Rahat, Segev Shalom y Hura.</w:t>
      </w:r>
      <w:r>
        <w:rPr>
          <w:szCs w:val="24"/>
        </w:rPr>
        <w:t xml:space="preserve"> </w:t>
      </w:r>
      <w:r>
        <w:rPr>
          <w:szCs w:val="24"/>
          <w:lang w:val="es-ES_tradnl"/>
        </w:rPr>
        <w:t>Además, dos nuevas zonas industriales en estado de planificación avanzado atienden también a la población beduina: Shoket (para Hura, Lakia, Meitar y Bney Shimon) y Lehavim (para Rahat, Lehavim y Bney Shimon).</w:t>
      </w:r>
      <w:r>
        <w:rPr>
          <w:szCs w:val="24"/>
        </w:rPr>
        <w:t xml:space="preserve"> </w:t>
      </w:r>
      <w:r>
        <w:rPr>
          <w:szCs w:val="24"/>
          <w:lang w:val="es-ES_tradnl"/>
        </w:rPr>
        <w:t>El desarrollo de todas estas zonas es uniforme y está sujeto a los mismos criterios generales.</w:t>
      </w:r>
    </w:p>
    <w:p w:rsidR="00F92819" w:rsidRDefault="00F92819">
      <w:pPr>
        <w:pStyle w:val="SingleTxtG"/>
        <w:rPr>
          <w:szCs w:val="24"/>
        </w:rPr>
      </w:pPr>
      <w:r>
        <w:rPr>
          <w:szCs w:val="24"/>
        </w:rPr>
        <w:t>183.</w:t>
      </w:r>
      <w:r>
        <w:rPr>
          <w:szCs w:val="24"/>
        </w:rPr>
        <w:tab/>
      </w:r>
      <w:r>
        <w:rPr>
          <w:szCs w:val="24"/>
          <w:lang w:val="es-ES_tradnl"/>
        </w:rPr>
        <w:t>Se han elaborado programas especiales de formación profesional especialmente destinados a la población beduina, con el fin de aumentar las tasas de empleo y elevar el número de estudiantes de ambos sexos matriculados en cursos de enseñanza superior.</w:t>
      </w:r>
    </w:p>
    <w:p w:rsidR="00F92819" w:rsidRDefault="00F92819">
      <w:pPr>
        <w:pStyle w:val="SingleTxtG"/>
        <w:rPr>
          <w:szCs w:val="24"/>
        </w:rPr>
      </w:pPr>
      <w:r>
        <w:rPr>
          <w:szCs w:val="24"/>
        </w:rPr>
        <w:t>184.</w:t>
      </w:r>
      <w:r>
        <w:rPr>
          <w:szCs w:val="24"/>
        </w:rPr>
        <w:tab/>
      </w:r>
      <w:r>
        <w:rPr>
          <w:szCs w:val="24"/>
          <w:lang w:val="es-ES_tradnl"/>
        </w:rPr>
        <w:t>Se ha formulado un modelo económico para el empleo independiente de mujeres de localidades beduinas en trabajos de costura, bordado y cocina, en que las mujeres comercializan sus productos en ferias especiales y en el extranjero.</w:t>
      </w:r>
      <w:r>
        <w:rPr>
          <w:szCs w:val="24"/>
        </w:rPr>
        <w:t xml:space="preserve"> </w:t>
      </w:r>
      <w:r>
        <w:rPr>
          <w:szCs w:val="24"/>
          <w:lang w:val="es-ES_tradnl"/>
        </w:rPr>
        <w:t>Las mujeres recibirán formación sobre la elaboración de un modelo de organización comercial, la creación de una línea de productos y sobre los medios apropiados de comercialización.</w:t>
      </w:r>
      <w:r>
        <w:rPr>
          <w:szCs w:val="24"/>
        </w:rPr>
        <w:t xml:space="preserve"> </w:t>
      </w:r>
      <w:r>
        <w:rPr>
          <w:szCs w:val="24"/>
          <w:lang w:val="es-ES_tradnl"/>
        </w:rPr>
        <w:t>El proyecto tendrá una duración de tres años, durante los cuales las mujeres abrirán negocios independientes.</w:t>
      </w:r>
      <w:r>
        <w:rPr>
          <w:szCs w:val="24"/>
        </w:rPr>
        <w:t xml:space="preserve"> </w:t>
      </w:r>
      <w:r>
        <w:rPr>
          <w:szCs w:val="24"/>
          <w:lang w:val="es-ES_tradnl"/>
        </w:rPr>
        <w:t>Actualmente el proyecto funciona en Kseife con la participación de 20 mujeres.</w:t>
      </w:r>
    </w:p>
    <w:p w:rsidR="00F92819" w:rsidRDefault="00F92819">
      <w:pPr>
        <w:pStyle w:val="H23G"/>
        <w:rPr>
          <w:szCs w:val="24"/>
        </w:rPr>
      </w:pPr>
      <w:r>
        <w:rPr>
          <w:szCs w:val="24"/>
        </w:rPr>
        <w:tab/>
      </w:r>
      <w:r>
        <w:rPr>
          <w:szCs w:val="24"/>
        </w:rPr>
        <w:tab/>
      </w:r>
      <w:r>
        <w:rPr>
          <w:szCs w:val="24"/>
          <w:lang w:val="es-ES_tradnl"/>
        </w:rPr>
        <w:t>Oportunidades de empleo para las personas con discapacidad</w:t>
      </w:r>
    </w:p>
    <w:p w:rsidR="00F92819" w:rsidRDefault="00F92819">
      <w:pPr>
        <w:pStyle w:val="SingleTxtG"/>
        <w:rPr>
          <w:szCs w:val="24"/>
        </w:rPr>
      </w:pPr>
      <w:r>
        <w:rPr>
          <w:szCs w:val="24"/>
        </w:rPr>
        <w:t>185.</w:t>
      </w:r>
      <w:r>
        <w:rPr>
          <w:szCs w:val="24"/>
        </w:rPr>
        <w:tab/>
      </w:r>
      <w:r>
        <w:rPr>
          <w:szCs w:val="24"/>
          <w:lang w:val="es-ES_tradnl"/>
        </w:rPr>
        <w:t>Con respecto a las oportunidades de empleo para las personas con discapacidad, desde la presentación del informe periódico anterior de Israel se han producido considerables avances legislativos y judiciales para promover la integración de las personas con discapacidad en la población activa y mejorar su proceso de rehabilitación.</w:t>
      </w:r>
      <w:r>
        <w:rPr>
          <w:szCs w:val="24"/>
        </w:rPr>
        <w:t xml:space="preserve"> </w:t>
      </w:r>
      <w:r>
        <w:rPr>
          <w:szCs w:val="24"/>
          <w:lang w:val="es-ES_tradnl"/>
        </w:rPr>
        <w:t>Estos avances se detallan en el artículo 2 anterior.</w:t>
      </w:r>
    </w:p>
    <w:p w:rsidR="00F92819" w:rsidRDefault="00F92819">
      <w:pPr>
        <w:pStyle w:val="SingleTxtG"/>
        <w:rPr>
          <w:szCs w:val="24"/>
        </w:rPr>
      </w:pPr>
      <w:r>
        <w:rPr>
          <w:szCs w:val="24"/>
        </w:rPr>
        <w:t>186.</w:t>
      </w:r>
      <w:r>
        <w:rPr>
          <w:szCs w:val="24"/>
        </w:rPr>
        <w:tab/>
      </w:r>
      <w:r>
        <w:rPr>
          <w:szCs w:val="24"/>
          <w:lang w:val="es-ES_tradnl"/>
        </w:rPr>
        <w:t>Los datos recientes indican una mejora moderada de la tasa de empleo de las personas con discapacidad, especialmente entre quienes tienen discapacidades graves (42% en 2005 frente a 36% en 2002).</w:t>
      </w:r>
    </w:p>
    <w:p w:rsidR="00F92819" w:rsidRDefault="00F92819">
      <w:pPr>
        <w:pStyle w:val="SingleTxtG"/>
        <w:rPr>
          <w:szCs w:val="24"/>
        </w:rPr>
      </w:pPr>
      <w:r>
        <w:rPr>
          <w:szCs w:val="24"/>
        </w:rPr>
        <w:t>187.</w:t>
      </w:r>
      <w:r>
        <w:rPr>
          <w:szCs w:val="24"/>
        </w:rPr>
        <w:tab/>
      </w:r>
      <w:r>
        <w:rPr>
          <w:szCs w:val="24"/>
          <w:lang w:val="es-ES_tradnl"/>
        </w:rPr>
        <w:t xml:space="preserve">Según la Comisión de igualdad de derechos de las personas con discapacidad, los adultos con discapacidad que están en edad laboral (de </w:t>
      </w:r>
      <w:smartTag w:uri="urn:schemas-microsoft-com:office:smarttags" w:element="metricconverter">
        <w:smartTagPr>
          <w:attr w:name="ProductID" w:val="20 a"/>
        </w:smartTagPr>
        <w:r>
          <w:rPr>
            <w:szCs w:val="24"/>
            <w:lang w:val="es-ES_tradnl"/>
          </w:rPr>
          <w:t>20 a</w:t>
        </w:r>
      </w:smartTag>
      <w:r>
        <w:rPr>
          <w:szCs w:val="24"/>
          <w:lang w:val="es-ES_tradnl"/>
        </w:rPr>
        <w:t xml:space="preserve"> 64 años) constituyen el 17,6% de </w:t>
      </w:r>
      <w:smartTag w:uri="urn:schemas-microsoft-com:office:smarttags" w:element="PersonName">
        <w:smartTagPr>
          <w:attr w:name="ProductID" w:val="la poblaci￳n. Su"/>
        </w:smartTagPr>
        <w:r>
          <w:rPr>
            <w:szCs w:val="24"/>
            <w:lang w:val="es-ES_tradnl"/>
          </w:rPr>
          <w:t>la población.</w:t>
        </w:r>
        <w:r>
          <w:rPr>
            <w:szCs w:val="24"/>
          </w:rPr>
          <w:t xml:space="preserve"> Su</w:t>
        </w:r>
      </w:smartTag>
      <w:r>
        <w:rPr>
          <w:szCs w:val="24"/>
          <w:lang w:val="es-ES_tradnl"/>
        </w:rPr>
        <w:t xml:space="preserve"> tasa de empleo es más baja que la del resto de la población, especialmente entre las personas con discapacidad grave, lo que contribuye a aumentar los niveles de pobreza y exclusión social.</w:t>
      </w:r>
      <w:r>
        <w:rPr>
          <w:szCs w:val="24"/>
        </w:rPr>
        <w:t xml:space="preserve"> </w:t>
      </w:r>
      <w:r>
        <w:rPr>
          <w:szCs w:val="24"/>
          <w:lang w:val="es-ES_tradnl"/>
        </w:rPr>
        <w:t>Además, la tasa de desempleo entre la población discapacitada es muy alta, especialmente entre las personas con discapacidad grave.</w:t>
      </w:r>
    </w:p>
    <w:p w:rsidR="00F92819" w:rsidRDefault="00F92819">
      <w:pPr>
        <w:pStyle w:val="Heading1"/>
        <w:keepLines/>
        <w:spacing w:before="240"/>
        <w:rPr>
          <w:szCs w:val="24"/>
        </w:rPr>
      </w:pPr>
      <w:r>
        <w:rPr>
          <w:szCs w:val="24"/>
          <w:lang w:val="es-ES_tradnl"/>
        </w:rPr>
        <w:t>Cuadro 2</w:t>
      </w:r>
    </w:p>
    <w:p w:rsidR="00F92819" w:rsidRDefault="00F92819">
      <w:pPr>
        <w:pStyle w:val="SingleTxtG"/>
        <w:keepNext/>
        <w:keepLines/>
        <w:jc w:val="left"/>
        <w:rPr>
          <w:b/>
          <w:szCs w:val="24"/>
        </w:rPr>
      </w:pPr>
      <w:r>
        <w:rPr>
          <w:b/>
          <w:szCs w:val="24"/>
          <w:lang w:val="es-ES_tradnl"/>
        </w:rPr>
        <w:t>Personas empleadas, personas desempleadas y personas que están fuera de la población activa, por gravedad de la discapacidad, entre 20 y 64 años, 2005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966"/>
        <w:gridCol w:w="1200"/>
        <w:gridCol w:w="1200"/>
        <w:gridCol w:w="2004"/>
      </w:tblGrid>
      <w:tr w:rsidR="00F92819">
        <w:tc>
          <w:tcPr>
            <w:tcW w:w="2966" w:type="dxa"/>
            <w:tcBorders>
              <w:top w:val="single" w:sz="4" w:space="0" w:color="auto"/>
              <w:bottom w:val="single" w:sz="12" w:space="0" w:color="auto"/>
            </w:tcBorders>
            <w:vAlign w:val="bottom"/>
          </w:tcPr>
          <w:p w:rsidR="00F92819" w:rsidRDefault="00F92819">
            <w:pPr>
              <w:keepNext/>
              <w:keepLines/>
              <w:spacing w:before="80" w:after="80" w:line="200" w:lineRule="exact"/>
              <w:rPr>
                <w:szCs w:val="24"/>
              </w:rPr>
            </w:pPr>
            <w:r>
              <w:rPr>
                <w:i/>
                <w:sz w:val="16"/>
                <w:szCs w:val="24"/>
                <w:lang w:val="es-ES_tradnl"/>
              </w:rPr>
              <w:t>Nivel de discapacidad</w:t>
            </w:r>
          </w:p>
        </w:tc>
        <w:tc>
          <w:tcPr>
            <w:tcW w:w="1200" w:type="dxa"/>
            <w:tcBorders>
              <w:top w:val="single" w:sz="4" w:space="0" w:color="auto"/>
              <w:bottom w:val="single" w:sz="12" w:space="0" w:color="auto"/>
            </w:tcBorders>
            <w:vAlign w:val="bottom"/>
          </w:tcPr>
          <w:p w:rsidR="00F92819" w:rsidRDefault="00F92819">
            <w:pPr>
              <w:keepNext/>
              <w:keepLines/>
              <w:spacing w:before="80" w:after="80" w:line="200" w:lineRule="exact"/>
              <w:jc w:val="right"/>
              <w:rPr>
                <w:szCs w:val="24"/>
              </w:rPr>
            </w:pPr>
            <w:r>
              <w:rPr>
                <w:i/>
                <w:sz w:val="16"/>
                <w:szCs w:val="24"/>
                <w:lang w:val="es-ES_tradnl"/>
              </w:rPr>
              <w:t>Personas empleadas</w:t>
            </w:r>
          </w:p>
        </w:tc>
        <w:tc>
          <w:tcPr>
            <w:tcW w:w="1200" w:type="dxa"/>
            <w:tcBorders>
              <w:top w:val="single" w:sz="4" w:space="0" w:color="auto"/>
              <w:bottom w:val="single" w:sz="12" w:space="0" w:color="auto"/>
            </w:tcBorders>
            <w:vAlign w:val="bottom"/>
          </w:tcPr>
          <w:p w:rsidR="00F92819" w:rsidRDefault="00F92819">
            <w:pPr>
              <w:keepNext/>
              <w:keepLines/>
              <w:spacing w:before="80" w:after="80" w:line="200" w:lineRule="exact"/>
              <w:jc w:val="right"/>
              <w:rPr>
                <w:szCs w:val="24"/>
              </w:rPr>
            </w:pPr>
            <w:r>
              <w:rPr>
                <w:i/>
                <w:sz w:val="16"/>
                <w:szCs w:val="24"/>
                <w:lang w:val="es-ES_tradnl"/>
              </w:rPr>
              <w:t>Personas desempleadas</w:t>
            </w:r>
          </w:p>
        </w:tc>
        <w:tc>
          <w:tcPr>
            <w:tcW w:w="2004" w:type="dxa"/>
            <w:tcBorders>
              <w:top w:val="single" w:sz="4" w:space="0" w:color="auto"/>
              <w:bottom w:val="single" w:sz="12" w:space="0" w:color="auto"/>
            </w:tcBorders>
            <w:vAlign w:val="bottom"/>
          </w:tcPr>
          <w:p w:rsidR="00F92819" w:rsidRDefault="00F92819">
            <w:pPr>
              <w:keepNext/>
              <w:keepLines/>
              <w:spacing w:before="80" w:after="80" w:line="200" w:lineRule="exact"/>
              <w:jc w:val="right"/>
              <w:rPr>
                <w:szCs w:val="24"/>
              </w:rPr>
            </w:pPr>
            <w:r>
              <w:rPr>
                <w:i/>
                <w:sz w:val="16"/>
                <w:szCs w:val="24"/>
                <w:lang w:val="es-ES_tradnl"/>
              </w:rPr>
              <w:t>Personas que están fuera</w:t>
            </w:r>
            <w:r>
              <w:rPr>
                <w:i/>
                <w:sz w:val="16"/>
                <w:szCs w:val="24"/>
                <w:lang w:val="es-ES_tradnl"/>
              </w:rPr>
              <w:br/>
              <w:t xml:space="preserve"> de la población activa</w:t>
            </w:r>
          </w:p>
        </w:tc>
      </w:tr>
      <w:tr w:rsidR="00F92819">
        <w:tc>
          <w:tcPr>
            <w:tcW w:w="2966" w:type="dxa"/>
            <w:tcBorders>
              <w:top w:val="single" w:sz="12" w:space="0" w:color="auto"/>
            </w:tcBorders>
            <w:vAlign w:val="bottom"/>
          </w:tcPr>
          <w:p w:rsidR="00F92819" w:rsidRDefault="00F92819">
            <w:pPr>
              <w:keepNext/>
              <w:keepLines/>
              <w:spacing w:before="40" w:after="40" w:line="220" w:lineRule="exact"/>
              <w:rPr>
                <w:szCs w:val="24"/>
              </w:rPr>
            </w:pPr>
            <w:r>
              <w:rPr>
                <w:sz w:val="18"/>
                <w:szCs w:val="24"/>
                <w:lang w:val="es-ES_tradnl"/>
              </w:rPr>
              <w:t>Sin discapacidad</w:t>
            </w:r>
          </w:p>
        </w:tc>
        <w:tc>
          <w:tcPr>
            <w:tcW w:w="1200" w:type="dxa"/>
            <w:tcBorders>
              <w:top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69,3</w:t>
            </w:r>
          </w:p>
        </w:tc>
        <w:tc>
          <w:tcPr>
            <w:tcW w:w="1200" w:type="dxa"/>
            <w:tcBorders>
              <w:top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5,7</w:t>
            </w:r>
          </w:p>
        </w:tc>
        <w:tc>
          <w:tcPr>
            <w:tcW w:w="2004" w:type="dxa"/>
            <w:tcBorders>
              <w:top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25,0</w:t>
            </w:r>
          </w:p>
        </w:tc>
      </w:tr>
      <w:tr w:rsidR="00F92819">
        <w:tc>
          <w:tcPr>
            <w:tcW w:w="2966" w:type="dxa"/>
            <w:vAlign w:val="bottom"/>
          </w:tcPr>
          <w:p w:rsidR="00F92819" w:rsidRDefault="00F92819">
            <w:pPr>
              <w:spacing w:before="40" w:after="40" w:line="220" w:lineRule="exact"/>
              <w:rPr>
                <w:szCs w:val="24"/>
              </w:rPr>
            </w:pPr>
            <w:r>
              <w:rPr>
                <w:sz w:val="18"/>
                <w:szCs w:val="24"/>
                <w:lang w:val="es-ES_tradnl"/>
              </w:rPr>
              <w:t>Con un problema pero sin discapacidad</w:t>
            </w:r>
          </w:p>
        </w:tc>
        <w:tc>
          <w:tcPr>
            <w:tcW w:w="1200" w:type="dxa"/>
            <w:vAlign w:val="bottom"/>
          </w:tcPr>
          <w:p w:rsidR="00F92819" w:rsidRDefault="00F92819">
            <w:pPr>
              <w:spacing w:before="40" w:after="40" w:line="220" w:lineRule="exact"/>
              <w:jc w:val="right"/>
              <w:rPr>
                <w:sz w:val="18"/>
                <w:szCs w:val="24"/>
              </w:rPr>
            </w:pPr>
            <w:r>
              <w:rPr>
                <w:sz w:val="18"/>
                <w:szCs w:val="24"/>
              </w:rPr>
              <w:t>69,9</w:t>
            </w:r>
          </w:p>
        </w:tc>
        <w:tc>
          <w:tcPr>
            <w:tcW w:w="1200" w:type="dxa"/>
            <w:vAlign w:val="bottom"/>
          </w:tcPr>
          <w:p w:rsidR="00F92819" w:rsidRDefault="00F92819">
            <w:pPr>
              <w:spacing w:before="40" w:after="40" w:line="220" w:lineRule="exact"/>
              <w:jc w:val="right"/>
              <w:rPr>
                <w:sz w:val="18"/>
                <w:szCs w:val="24"/>
              </w:rPr>
            </w:pPr>
            <w:r>
              <w:rPr>
                <w:sz w:val="18"/>
                <w:szCs w:val="24"/>
              </w:rPr>
              <w:t>6,2</w:t>
            </w:r>
          </w:p>
        </w:tc>
        <w:tc>
          <w:tcPr>
            <w:tcW w:w="2004" w:type="dxa"/>
            <w:vAlign w:val="bottom"/>
          </w:tcPr>
          <w:p w:rsidR="00F92819" w:rsidRDefault="00F92819">
            <w:pPr>
              <w:spacing w:before="40" w:after="40" w:line="220" w:lineRule="exact"/>
              <w:jc w:val="right"/>
              <w:rPr>
                <w:sz w:val="18"/>
                <w:szCs w:val="24"/>
              </w:rPr>
            </w:pPr>
            <w:r>
              <w:rPr>
                <w:sz w:val="18"/>
                <w:szCs w:val="24"/>
              </w:rPr>
              <w:t>25,8</w:t>
            </w:r>
          </w:p>
        </w:tc>
      </w:tr>
      <w:tr w:rsidR="00F92819">
        <w:tc>
          <w:tcPr>
            <w:tcW w:w="2966" w:type="dxa"/>
            <w:vAlign w:val="bottom"/>
          </w:tcPr>
          <w:p w:rsidR="00F92819" w:rsidRDefault="00F92819">
            <w:pPr>
              <w:spacing w:before="40" w:after="40" w:line="220" w:lineRule="exact"/>
              <w:rPr>
                <w:szCs w:val="24"/>
              </w:rPr>
            </w:pPr>
            <w:r>
              <w:rPr>
                <w:sz w:val="18"/>
                <w:szCs w:val="24"/>
                <w:lang w:val="es-ES_tradnl"/>
              </w:rPr>
              <w:t>Discapacidad moderada</w:t>
            </w:r>
          </w:p>
        </w:tc>
        <w:tc>
          <w:tcPr>
            <w:tcW w:w="1200" w:type="dxa"/>
            <w:vAlign w:val="bottom"/>
          </w:tcPr>
          <w:p w:rsidR="00F92819" w:rsidRDefault="00F92819">
            <w:pPr>
              <w:spacing w:before="40" w:after="40" w:line="220" w:lineRule="exact"/>
              <w:jc w:val="right"/>
              <w:rPr>
                <w:sz w:val="18"/>
                <w:szCs w:val="24"/>
              </w:rPr>
            </w:pPr>
            <w:r>
              <w:rPr>
                <w:sz w:val="18"/>
                <w:szCs w:val="24"/>
              </w:rPr>
              <w:t>52,1</w:t>
            </w:r>
          </w:p>
        </w:tc>
        <w:tc>
          <w:tcPr>
            <w:tcW w:w="1200" w:type="dxa"/>
            <w:vAlign w:val="bottom"/>
          </w:tcPr>
          <w:p w:rsidR="00F92819" w:rsidRDefault="00F92819">
            <w:pPr>
              <w:spacing w:before="40" w:after="40" w:line="220" w:lineRule="exact"/>
              <w:jc w:val="right"/>
              <w:rPr>
                <w:sz w:val="18"/>
                <w:szCs w:val="24"/>
              </w:rPr>
            </w:pPr>
            <w:r>
              <w:rPr>
                <w:sz w:val="18"/>
                <w:szCs w:val="24"/>
              </w:rPr>
              <w:t>6,7</w:t>
            </w:r>
          </w:p>
        </w:tc>
        <w:tc>
          <w:tcPr>
            <w:tcW w:w="2004" w:type="dxa"/>
            <w:vAlign w:val="bottom"/>
          </w:tcPr>
          <w:p w:rsidR="00F92819" w:rsidRDefault="00F92819">
            <w:pPr>
              <w:spacing w:before="40" w:after="40" w:line="220" w:lineRule="exact"/>
              <w:jc w:val="right"/>
              <w:rPr>
                <w:sz w:val="18"/>
                <w:szCs w:val="24"/>
              </w:rPr>
            </w:pPr>
            <w:r>
              <w:rPr>
                <w:sz w:val="18"/>
                <w:szCs w:val="24"/>
              </w:rPr>
              <w:t>41,1</w:t>
            </w:r>
          </w:p>
        </w:tc>
      </w:tr>
      <w:tr w:rsidR="00F92819">
        <w:tc>
          <w:tcPr>
            <w:tcW w:w="2966" w:type="dxa"/>
            <w:tcBorders>
              <w:bottom w:val="single" w:sz="12" w:space="0" w:color="auto"/>
            </w:tcBorders>
            <w:vAlign w:val="bottom"/>
          </w:tcPr>
          <w:p w:rsidR="00F92819" w:rsidRDefault="00F92819">
            <w:pPr>
              <w:spacing w:before="40" w:after="40" w:line="220" w:lineRule="exact"/>
              <w:rPr>
                <w:szCs w:val="24"/>
              </w:rPr>
            </w:pPr>
            <w:r>
              <w:rPr>
                <w:sz w:val="18"/>
                <w:szCs w:val="24"/>
                <w:lang w:val="es-ES_tradnl"/>
              </w:rPr>
              <w:t>Discapacidad grave</w:t>
            </w:r>
          </w:p>
        </w:tc>
        <w:tc>
          <w:tcPr>
            <w:tcW w:w="12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33,4</w:t>
            </w:r>
          </w:p>
        </w:tc>
        <w:tc>
          <w:tcPr>
            <w:tcW w:w="12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8,4</w:t>
            </w:r>
          </w:p>
        </w:tc>
        <w:tc>
          <w:tcPr>
            <w:tcW w:w="2004"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58,1</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Comisión de igualdad de derechos de las personas con discapacidad, personas con discapacidad en Israel, 2007.</w:t>
      </w:r>
    </w:p>
    <w:p w:rsidR="00F92819" w:rsidRDefault="00F92819">
      <w:pPr>
        <w:pStyle w:val="Heading1"/>
        <w:spacing w:before="240"/>
        <w:rPr>
          <w:szCs w:val="24"/>
        </w:rPr>
      </w:pPr>
      <w:r>
        <w:rPr>
          <w:szCs w:val="24"/>
          <w:lang w:val="es-ES_tradnl"/>
        </w:rPr>
        <w:t>Cuadro 3</w:t>
      </w:r>
    </w:p>
    <w:p w:rsidR="00F92819" w:rsidRDefault="00F92819">
      <w:pPr>
        <w:pStyle w:val="SingleTxtG"/>
        <w:jc w:val="left"/>
        <w:rPr>
          <w:b/>
          <w:szCs w:val="24"/>
        </w:rPr>
      </w:pPr>
      <w:r>
        <w:rPr>
          <w:b/>
          <w:szCs w:val="24"/>
          <w:lang w:val="es-ES_tradnl"/>
        </w:rPr>
        <w:t>Personas desempleadas que están fuera de la población activa, entre 20 y 64 años, 2005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5"/>
        <w:gridCol w:w="3685"/>
      </w:tblGrid>
      <w:tr w:rsidR="00F92819">
        <w:tc>
          <w:tcPr>
            <w:tcW w:w="3685" w:type="dxa"/>
            <w:tcBorders>
              <w:top w:val="single" w:sz="4" w:space="0" w:color="auto"/>
              <w:bottom w:val="single" w:sz="12" w:space="0" w:color="auto"/>
            </w:tcBorders>
            <w:vAlign w:val="bottom"/>
          </w:tcPr>
          <w:p w:rsidR="00F92819" w:rsidRDefault="00F92819">
            <w:pPr>
              <w:spacing w:before="80" w:after="80" w:line="200" w:lineRule="exact"/>
              <w:rPr>
                <w:szCs w:val="24"/>
              </w:rPr>
            </w:pPr>
            <w:r>
              <w:rPr>
                <w:i/>
                <w:sz w:val="16"/>
                <w:szCs w:val="24"/>
                <w:lang w:val="es-ES_tradnl"/>
              </w:rPr>
              <w:t>Nivel de discapacidad</w:t>
            </w:r>
          </w:p>
        </w:tc>
        <w:tc>
          <w:tcPr>
            <w:tcW w:w="3685"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Personas desempleadas</w:t>
            </w:r>
          </w:p>
        </w:tc>
      </w:tr>
      <w:tr w:rsidR="00F92819">
        <w:tc>
          <w:tcPr>
            <w:tcW w:w="3685" w:type="dxa"/>
            <w:tcBorders>
              <w:top w:val="single" w:sz="12" w:space="0" w:color="auto"/>
            </w:tcBorders>
            <w:vAlign w:val="bottom"/>
          </w:tcPr>
          <w:p w:rsidR="00F92819" w:rsidRDefault="00F92819">
            <w:pPr>
              <w:spacing w:before="40" w:after="40" w:line="220" w:lineRule="exact"/>
              <w:rPr>
                <w:szCs w:val="24"/>
              </w:rPr>
            </w:pPr>
            <w:r>
              <w:rPr>
                <w:sz w:val="18"/>
                <w:szCs w:val="24"/>
                <w:lang w:val="es-ES_tradnl"/>
              </w:rPr>
              <w:t>Discapacidad grave</w:t>
            </w:r>
          </w:p>
        </w:tc>
        <w:tc>
          <w:tcPr>
            <w:tcW w:w="3685"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20</w:t>
            </w:r>
          </w:p>
        </w:tc>
      </w:tr>
      <w:tr w:rsidR="00F92819">
        <w:tc>
          <w:tcPr>
            <w:tcW w:w="3685" w:type="dxa"/>
            <w:vAlign w:val="bottom"/>
          </w:tcPr>
          <w:p w:rsidR="00F92819" w:rsidRDefault="00F92819">
            <w:pPr>
              <w:spacing w:before="40" w:after="40" w:line="220" w:lineRule="exact"/>
              <w:rPr>
                <w:szCs w:val="24"/>
              </w:rPr>
            </w:pPr>
            <w:r>
              <w:rPr>
                <w:sz w:val="18"/>
                <w:szCs w:val="24"/>
                <w:lang w:val="es-ES_tradnl"/>
              </w:rPr>
              <w:t>Discapacidad moderada</w:t>
            </w:r>
          </w:p>
        </w:tc>
        <w:tc>
          <w:tcPr>
            <w:tcW w:w="3685" w:type="dxa"/>
            <w:vAlign w:val="bottom"/>
          </w:tcPr>
          <w:p w:rsidR="00F92819" w:rsidRDefault="00F92819">
            <w:pPr>
              <w:spacing w:before="40" w:after="40" w:line="220" w:lineRule="exact"/>
              <w:jc w:val="right"/>
              <w:rPr>
                <w:sz w:val="18"/>
                <w:szCs w:val="24"/>
              </w:rPr>
            </w:pPr>
            <w:r>
              <w:rPr>
                <w:sz w:val="18"/>
                <w:szCs w:val="24"/>
              </w:rPr>
              <w:t>11,4</w:t>
            </w:r>
          </w:p>
        </w:tc>
      </w:tr>
      <w:tr w:rsidR="00F92819">
        <w:tc>
          <w:tcPr>
            <w:tcW w:w="3685" w:type="dxa"/>
            <w:vAlign w:val="bottom"/>
          </w:tcPr>
          <w:p w:rsidR="00F92819" w:rsidRDefault="00F92819">
            <w:pPr>
              <w:spacing w:before="40" w:after="40" w:line="220" w:lineRule="exact"/>
              <w:rPr>
                <w:szCs w:val="24"/>
              </w:rPr>
            </w:pPr>
            <w:r>
              <w:rPr>
                <w:sz w:val="18"/>
                <w:szCs w:val="24"/>
                <w:lang w:val="es-ES_tradnl"/>
              </w:rPr>
              <w:t>Con un problema pero sin discapacidad</w:t>
            </w:r>
          </w:p>
        </w:tc>
        <w:tc>
          <w:tcPr>
            <w:tcW w:w="3685" w:type="dxa"/>
            <w:vAlign w:val="bottom"/>
          </w:tcPr>
          <w:p w:rsidR="00F92819" w:rsidRDefault="00F92819">
            <w:pPr>
              <w:spacing w:before="40" w:after="40" w:line="220" w:lineRule="exact"/>
              <w:jc w:val="right"/>
              <w:rPr>
                <w:sz w:val="18"/>
                <w:szCs w:val="24"/>
              </w:rPr>
            </w:pPr>
            <w:r>
              <w:rPr>
                <w:sz w:val="18"/>
                <w:szCs w:val="24"/>
              </w:rPr>
              <w:t>8,4</w:t>
            </w:r>
          </w:p>
        </w:tc>
      </w:tr>
      <w:tr w:rsidR="00F92819">
        <w:tc>
          <w:tcPr>
            <w:tcW w:w="3685" w:type="dxa"/>
            <w:tcBorders>
              <w:bottom w:val="single" w:sz="12" w:space="0" w:color="auto"/>
            </w:tcBorders>
            <w:vAlign w:val="bottom"/>
          </w:tcPr>
          <w:p w:rsidR="00F92819" w:rsidRDefault="00F92819">
            <w:pPr>
              <w:spacing w:before="40" w:after="40" w:line="220" w:lineRule="exact"/>
              <w:rPr>
                <w:szCs w:val="24"/>
              </w:rPr>
            </w:pPr>
            <w:r>
              <w:rPr>
                <w:sz w:val="18"/>
                <w:szCs w:val="24"/>
                <w:lang w:val="es-ES_tradnl"/>
              </w:rPr>
              <w:t>Sin discapacidad</w:t>
            </w:r>
          </w:p>
        </w:tc>
        <w:tc>
          <w:tcPr>
            <w:tcW w:w="3685"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7,6</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Comisión de igualdad de derechos de las personas con discapacidad, personas con discapacidad en Israel, 2007.</w:t>
      </w:r>
    </w:p>
    <w:p w:rsidR="00F92819" w:rsidRDefault="00F92819">
      <w:pPr>
        <w:pStyle w:val="SingleTxtG"/>
        <w:rPr>
          <w:szCs w:val="24"/>
        </w:rPr>
      </w:pPr>
      <w:r>
        <w:rPr>
          <w:szCs w:val="24"/>
        </w:rPr>
        <w:t>188.</w:t>
      </w:r>
      <w:r>
        <w:rPr>
          <w:szCs w:val="24"/>
        </w:rPr>
        <w:tab/>
      </w:r>
      <w:r>
        <w:rPr>
          <w:b/>
          <w:szCs w:val="24"/>
          <w:lang w:val="es-ES_tradnl"/>
        </w:rPr>
        <w:t>Empleo de personas con discapacidad, por género.</w:t>
      </w:r>
      <w:r>
        <w:rPr>
          <w:szCs w:val="24"/>
        </w:rPr>
        <w:t xml:space="preserve"> </w:t>
      </w:r>
      <w:r>
        <w:rPr>
          <w:szCs w:val="24"/>
          <w:lang w:val="es-ES_tradnl"/>
        </w:rPr>
        <w:t>El examen del estado de empleo relativo de los hombres y las mujeres con discapacidades no revela diferencias significativas entre ellos.</w:t>
      </w:r>
    </w:p>
    <w:p w:rsidR="00F92819" w:rsidRDefault="00F92819">
      <w:pPr>
        <w:pStyle w:val="SingleTxtG"/>
        <w:rPr>
          <w:szCs w:val="24"/>
        </w:rPr>
      </w:pPr>
      <w:r>
        <w:rPr>
          <w:szCs w:val="24"/>
        </w:rPr>
        <w:t>189.</w:t>
      </w:r>
      <w:r>
        <w:rPr>
          <w:szCs w:val="24"/>
        </w:rPr>
        <w:tab/>
      </w:r>
      <w:r>
        <w:rPr>
          <w:szCs w:val="24"/>
          <w:lang w:val="es-ES_tradnl"/>
        </w:rPr>
        <w:t>El Instituto Nacional de Seguros</w:t>
      </w:r>
      <w:r>
        <w:rPr>
          <w:szCs w:val="24"/>
        </w:rPr>
        <w:t xml:space="preserve"> </w:t>
      </w:r>
      <w:r>
        <w:rPr>
          <w:szCs w:val="24"/>
          <w:lang w:val="es-ES_tradnl"/>
        </w:rPr>
        <w:t>se encarga del pago de las pensiones a determinados sectores de la población según establecen las leyes y los reglamentos.</w:t>
      </w:r>
      <w:r>
        <w:rPr>
          <w:szCs w:val="24"/>
        </w:rPr>
        <w:t xml:space="preserve"> </w:t>
      </w:r>
      <w:r>
        <w:rPr>
          <w:szCs w:val="24"/>
          <w:lang w:val="es-ES_tradnl"/>
        </w:rPr>
        <w:t>La pensión general de discapacidad está concebida como ingreso mínimo para atender las necesidades cotidianas de las personas con discapacidad.</w:t>
      </w:r>
    </w:p>
    <w:p w:rsidR="00F92819" w:rsidRDefault="00F92819">
      <w:pPr>
        <w:pStyle w:val="Heading1"/>
        <w:spacing w:before="240"/>
        <w:rPr>
          <w:szCs w:val="24"/>
        </w:rPr>
      </w:pPr>
      <w:r>
        <w:rPr>
          <w:szCs w:val="24"/>
          <w:lang w:val="es-ES_tradnl"/>
        </w:rPr>
        <w:t>Cuadro 4</w:t>
      </w:r>
    </w:p>
    <w:p w:rsidR="00F92819" w:rsidRDefault="00F92819">
      <w:pPr>
        <w:pStyle w:val="SingleTxtG"/>
        <w:keepNext/>
        <w:jc w:val="left"/>
        <w:rPr>
          <w:b/>
          <w:szCs w:val="24"/>
        </w:rPr>
      </w:pPr>
      <w:r>
        <w:rPr>
          <w:b/>
          <w:szCs w:val="24"/>
          <w:lang w:val="es-ES_tradnl"/>
        </w:rPr>
        <w:t>Personas con discapacidad en Israel, por gravedad de la discapacidad, empleo y tipo de pensión, entre 20 y 64 años, 2005 (porcentaje)</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466"/>
        <w:gridCol w:w="1200"/>
        <w:gridCol w:w="688"/>
        <w:gridCol w:w="803"/>
        <w:gridCol w:w="809"/>
        <w:gridCol w:w="800"/>
        <w:gridCol w:w="801"/>
        <w:gridCol w:w="803"/>
      </w:tblGrid>
      <w:tr w:rsidR="00F92819">
        <w:trPr>
          <w:tblHeader/>
        </w:trPr>
        <w:tc>
          <w:tcPr>
            <w:tcW w:w="1466" w:type="dxa"/>
            <w:vMerge w:val="restart"/>
            <w:tcBorders>
              <w:top w:val="single" w:sz="4" w:space="0" w:color="auto"/>
            </w:tcBorders>
            <w:vAlign w:val="bottom"/>
          </w:tcPr>
          <w:p w:rsidR="00F92819" w:rsidRDefault="00F92819">
            <w:pPr>
              <w:keepNext/>
              <w:widowControl w:val="0"/>
              <w:spacing w:before="80" w:after="80" w:line="200" w:lineRule="exact"/>
              <w:rPr>
                <w:szCs w:val="24"/>
              </w:rPr>
            </w:pPr>
            <w:r>
              <w:rPr>
                <w:i/>
                <w:sz w:val="16"/>
                <w:szCs w:val="24"/>
                <w:lang w:val="es-ES_tradnl"/>
              </w:rPr>
              <w:t>Tipo de pensión</w:t>
            </w:r>
          </w:p>
        </w:tc>
        <w:tc>
          <w:tcPr>
            <w:tcW w:w="1200" w:type="dxa"/>
            <w:vMerge w:val="restart"/>
            <w:tcBorders>
              <w:top w:val="single" w:sz="4" w:space="0" w:color="auto"/>
            </w:tcBorders>
            <w:vAlign w:val="bottom"/>
          </w:tcPr>
          <w:p w:rsidR="00F92819" w:rsidRDefault="00F92819">
            <w:pPr>
              <w:keepNext/>
              <w:widowControl w:val="0"/>
              <w:spacing w:before="80" w:after="80" w:line="200" w:lineRule="exact"/>
              <w:rPr>
                <w:szCs w:val="24"/>
              </w:rPr>
            </w:pPr>
            <w:r>
              <w:rPr>
                <w:i/>
                <w:sz w:val="16"/>
                <w:szCs w:val="24"/>
                <w:lang w:val="es-ES_tradnl"/>
              </w:rPr>
              <w:t>Gravedad de la discapacidad</w:t>
            </w:r>
          </w:p>
        </w:tc>
        <w:tc>
          <w:tcPr>
            <w:tcW w:w="2300" w:type="dxa"/>
            <w:gridSpan w:val="3"/>
            <w:tcBorders>
              <w:top w:val="single" w:sz="4" w:space="0" w:color="auto"/>
              <w:bottom w:val="single" w:sz="4" w:space="0" w:color="auto"/>
              <w:right w:val="single" w:sz="24" w:space="0" w:color="FFFFFF"/>
            </w:tcBorders>
            <w:vAlign w:val="bottom"/>
          </w:tcPr>
          <w:p w:rsidR="00F92819" w:rsidRDefault="00F92819">
            <w:pPr>
              <w:keepNext/>
              <w:widowControl w:val="0"/>
              <w:spacing w:before="80" w:after="80" w:line="200" w:lineRule="exact"/>
              <w:jc w:val="center"/>
              <w:rPr>
                <w:szCs w:val="24"/>
              </w:rPr>
            </w:pPr>
            <w:r>
              <w:rPr>
                <w:i/>
                <w:sz w:val="16"/>
                <w:szCs w:val="24"/>
                <w:lang w:val="es-ES_tradnl"/>
              </w:rPr>
              <w:t>Personas desempleadas</w:t>
            </w:r>
          </w:p>
        </w:tc>
        <w:tc>
          <w:tcPr>
            <w:tcW w:w="2404" w:type="dxa"/>
            <w:gridSpan w:val="3"/>
            <w:tcBorders>
              <w:top w:val="single" w:sz="4" w:space="0" w:color="auto"/>
              <w:left w:val="single" w:sz="24" w:space="0" w:color="FFFFFF"/>
              <w:bottom w:val="single" w:sz="4" w:space="0" w:color="auto"/>
            </w:tcBorders>
            <w:vAlign w:val="bottom"/>
          </w:tcPr>
          <w:p w:rsidR="00F92819" w:rsidRDefault="00F92819">
            <w:pPr>
              <w:keepNext/>
              <w:widowControl w:val="0"/>
              <w:spacing w:before="80" w:after="80" w:line="200" w:lineRule="exact"/>
              <w:jc w:val="center"/>
              <w:rPr>
                <w:szCs w:val="24"/>
              </w:rPr>
            </w:pPr>
            <w:r>
              <w:rPr>
                <w:i/>
                <w:sz w:val="16"/>
                <w:szCs w:val="24"/>
                <w:lang w:val="es-ES_tradnl"/>
              </w:rPr>
              <w:t>Personas empleadas</w:t>
            </w:r>
          </w:p>
        </w:tc>
      </w:tr>
      <w:tr w:rsidR="00F92819">
        <w:trPr>
          <w:trHeight w:val="759"/>
          <w:tblHeader/>
        </w:trPr>
        <w:tc>
          <w:tcPr>
            <w:tcW w:w="1466" w:type="dxa"/>
            <w:vMerge/>
            <w:vAlign w:val="bottom"/>
          </w:tcPr>
          <w:p w:rsidR="00F92819" w:rsidRDefault="00F92819">
            <w:pPr>
              <w:keepNext/>
              <w:widowControl w:val="0"/>
              <w:spacing w:before="80" w:after="80" w:line="200" w:lineRule="exact"/>
              <w:rPr>
                <w:i/>
                <w:sz w:val="16"/>
                <w:szCs w:val="24"/>
              </w:rPr>
            </w:pPr>
          </w:p>
        </w:tc>
        <w:tc>
          <w:tcPr>
            <w:tcW w:w="1200" w:type="dxa"/>
            <w:vMerge/>
            <w:vAlign w:val="bottom"/>
          </w:tcPr>
          <w:p w:rsidR="00F92819" w:rsidRDefault="00F92819">
            <w:pPr>
              <w:keepNext/>
              <w:widowControl w:val="0"/>
              <w:spacing w:before="80" w:after="80" w:line="200" w:lineRule="exact"/>
              <w:jc w:val="right"/>
              <w:rPr>
                <w:i/>
                <w:sz w:val="16"/>
                <w:szCs w:val="24"/>
              </w:rPr>
            </w:pPr>
          </w:p>
        </w:tc>
        <w:tc>
          <w:tcPr>
            <w:tcW w:w="688" w:type="dxa"/>
            <w:tcBorders>
              <w:top w:val="single" w:sz="4" w:space="0" w:color="auto"/>
            </w:tcBorders>
            <w:vAlign w:val="bottom"/>
          </w:tcPr>
          <w:p w:rsidR="00F92819" w:rsidRDefault="00F92819">
            <w:pPr>
              <w:keepNext/>
              <w:widowControl w:val="0"/>
              <w:spacing w:before="80" w:after="80" w:line="200" w:lineRule="exact"/>
              <w:jc w:val="right"/>
              <w:rPr>
                <w:szCs w:val="24"/>
              </w:rPr>
            </w:pPr>
            <w:r>
              <w:rPr>
                <w:i/>
                <w:sz w:val="16"/>
                <w:szCs w:val="24"/>
                <w:lang w:val="es-ES_tradnl"/>
              </w:rPr>
              <w:t>Que reciben una pensión</w:t>
            </w:r>
          </w:p>
        </w:tc>
        <w:tc>
          <w:tcPr>
            <w:tcW w:w="803" w:type="dxa"/>
            <w:tcBorders>
              <w:top w:val="single" w:sz="4" w:space="0" w:color="auto"/>
            </w:tcBorders>
            <w:vAlign w:val="bottom"/>
          </w:tcPr>
          <w:p w:rsidR="00F92819" w:rsidRDefault="00F92819">
            <w:pPr>
              <w:keepNext/>
              <w:widowControl w:val="0"/>
              <w:spacing w:before="80" w:after="80" w:line="200" w:lineRule="exact"/>
              <w:jc w:val="right"/>
              <w:rPr>
                <w:szCs w:val="24"/>
              </w:rPr>
            </w:pPr>
            <w:r>
              <w:rPr>
                <w:i/>
                <w:sz w:val="16"/>
                <w:szCs w:val="24"/>
                <w:lang w:val="es-ES_tradnl"/>
              </w:rPr>
              <w:t>Que no reciben una pensión</w:t>
            </w:r>
          </w:p>
        </w:tc>
        <w:tc>
          <w:tcPr>
            <w:tcW w:w="809" w:type="dxa"/>
            <w:tcBorders>
              <w:top w:val="single" w:sz="4" w:space="0" w:color="auto"/>
              <w:bottom w:val="single" w:sz="12" w:space="0" w:color="auto"/>
              <w:right w:val="single" w:sz="24" w:space="0" w:color="FFFFFF"/>
            </w:tcBorders>
            <w:vAlign w:val="bottom"/>
          </w:tcPr>
          <w:p w:rsidR="00F92819" w:rsidRDefault="00F92819">
            <w:pPr>
              <w:keepNext/>
              <w:widowControl w:val="0"/>
              <w:spacing w:before="80" w:after="80" w:line="200" w:lineRule="exact"/>
              <w:jc w:val="right"/>
              <w:rPr>
                <w:szCs w:val="24"/>
              </w:rPr>
            </w:pPr>
            <w:r>
              <w:rPr>
                <w:b/>
                <w:i/>
                <w:sz w:val="16"/>
                <w:szCs w:val="24"/>
                <w:lang w:val="es-ES_tradnl"/>
              </w:rPr>
              <w:t>Total</w:t>
            </w:r>
          </w:p>
        </w:tc>
        <w:tc>
          <w:tcPr>
            <w:tcW w:w="800" w:type="dxa"/>
            <w:tcBorders>
              <w:top w:val="single" w:sz="4" w:space="0" w:color="auto"/>
              <w:left w:val="single" w:sz="24" w:space="0" w:color="FFFFFF"/>
            </w:tcBorders>
            <w:vAlign w:val="bottom"/>
          </w:tcPr>
          <w:p w:rsidR="00F92819" w:rsidRDefault="00F92819">
            <w:pPr>
              <w:keepNext/>
              <w:widowControl w:val="0"/>
              <w:spacing w:before="80" w:after="80" w:line="200" w:lineRule="exact"/>
              <w:jc w:val="right"/>
              <w:rPr>
                <w:szCs w:val="24"/>
              </w:rPr>
            </w:pPr>
            <w:r>
              <w:rPr>
                <w:i/>
                <w:sz w:val="16"/>
                <w:szCs w:val="24"/>
                <w:lang w:val="es-ES_tradnl"/>
              </w:rPr>
              <w:t>Que reciben una pensión</w:t>
            </w:r>
          </w:p>
        </w:tc>
        <w:tc>
          <w:tcPr>
            <w:tcW w:w="801" w:type="dxa"/>
            <w:tcBorders>
              <w:top w:val="single" w:sz="4" w:space="0" w:color="auto"/>
            </w:tcBorders>
            <w:vAlign w:val="bottom"/>
          </w:tcPr>
          <w:p w:rsidR="00F92819" w:rsidRDefault="00F92819">
            <w:pPr>
              <w:keepNext/>
              <w:widowControl w:val="0"/>
              <w:spacing w:before="80" w:after="80" w:line="200" w:lineRule="exact"/>
              <w:jc w:val="right"/>
              <w:rPr>
                <w:szCs w:val="24"/>
              </w:rPr>
            </w:pPr>
            <w:r>
              <w:rPr>
                <w:i/>
                <w:sz w:val="16"/>
                <w:szCs w:val="24"/>
                <w:lang w:val="es-ES_tradnl"/>
              </w:rPr>
              <w:t>Que no reciben una pensión</w:t>
            </w:r>
          </w:p>
        </w:tc>
        <w:tc>
          <w:tcPr>
            <w:tcW w:w="803" w:type="dxa"/>
            <w:tcBorders>
              <w:top w:val="single" w:sz="4" w:space="0" w:color="auto"/>
            </w:tcBorders>
            <w:vAlign w:val="bottom"/>
          </w:tcPr>
          <w:p w:rsidR="00F92819" w:rsidRDefault="00F92819">
            <w:pPr>
              <w:keepNext/>
              <w:widowControl w:val="0"/>
              <w:spacing w:before="80" w:after="80" w:line="200" w:lineRule="exact"/>
              <w:jc w:val="right"/>
              <w:rPr>
                <w:szCs w:val="24"/>
              </w:rPr>
            </w:pPr>
            <w:r>
              <w:rPr>
                <w:b/>
                <w:i/>
                <w:sz w:val="16"/>
                <w:szCs w:val="24"/>
                <w:lang w:val="es-ES_tradnl"/>
              </w:rPr>
              <w:t>Total</w:t>
            </w:r>
          </w:p>
        </w:tc>
      </w:tr>
      <w:tr w:rsidR="00F92819">
        <w:tc>
          <w:tcPr>
            <w:tcW w:w="1466" w:type="dxa"/>
            <w:vMerge w:val="restart"/>
            <w:tcBorders>
              <w:top w:val="single" w:sz="12" w:space="0" w:color="auto"/>
            </w:tcBorders>
          </w:tcPr>
          <w:p w:rsidR="00F92819" w:rsidRDefault="00F92819">
            <w:pPr>
              <w:keepNext/>
              <w:widowControl w:val="0"/>
              <w:spacing w:before="40" w:after="40" w:line="220" w:lineRule="exact"/>
              <w:rPr>
                <w:szCs w:val="24"/>
              </w:rPr>
            </w:pPr>
            <w:r>
              <w:rPr>
                <w:sz w:val="18"/>
                <w:szCs w:val="24"/>
                <w:lang w:val="es-ES_tradnl"/>
              </w:rPr>
              <w:t>Pensión general de discapacidad</w:t>
            </w:r>
          </w:p>
        </w:tc>
        <w:tc>
          <w:tcPr>
            <w:tcW w:w="1200" w:type="dxa"/>
            <w:tcBorders>
              <w:top w:val="single" w:sz="12" w:space="0" w:color="auto"/>
            </w:tcBorders>
            <w:vAlign w:val="bottom"/>
          </w:tcPr>
          <w:p w:rsidR="00F92819" w:rsidRDefault="00F92819">
            <w:pPr>
              <w:keepNext/>
              <w:widowControl w:val="0"/>
              <w:spacing w:before="40" w:after="40" w:line="220" w:lineRule="exact"/>
              <w:rPr>
                <w:szCs w:val="24"/>
              </w:rPr>
            </w:pPr>
            <w:r>
              <w:rPr>
                <w:sz w:val="18"/>
                <w:szCs w:val="24"/>
                <w:lang w:val="es-ES_tradnl"/>
              </w:rPr>
              <w:t>Grave</w:t>
            </w:r>
          </w:p>
        </w:tc>
        <w:tc>
          <w:tcPr>
            <w:tcW w:w="688" w:type="dxa"/>
            <w:tcBorders>
              <w:top w:val="single" w:sz="12" w:space="0" w:color="auto"/>
            </w:tcBorders>
            <w:vAlign w:val="bottom"/>
          </w:tcPr>
          <w:p w:rsidR="00F92819" w:rsidRDefault="00F92819">
            <w:pPr>
              <w:keepNext/>
              <w:widowControl w:val="0"/>
              <w:spacing w:before="40" w:after="40" w:line="220" w:lineRule="exact"/>
              <w:jc w:val="right"/>
              <w:rPr>
                <w:sz w:val="18"/>
                <w:szCs w:val="24"/>
              </w:rPr>
            </w:pPr>
            <w:r>
              <w:rPr>
                <w:sz w:val="18"/>
                <w:szCs w:val="24"/>
              </w:rPr>
              <w:t>25,2</w:t>
            </w:r>
          </w:p>
        </w:tc>
        <w:tc>
          <w:tcPr>
            <w:tcW w:w="803" w:type="dxa"/>
            <w:tcBorders>
              <w:top w:val="single" w:sz="12" w:space="0" w:color="auto"/>
            </w:tcBorders>
            <w:vAlign w:val="bottom"/>
          </w:tcPr>
          <w:p w:rsidR="00F92819" w:rsidRDefault="00F92819">
            <w:pPr>
              <w:keepNext/>
              <w:widowControl w:val="0"/>
              <w:spacing w:before="40" w:after="40" w:line="220" w:lineRule="exact"/>
              <w:jc w:val="right"/>
              <w:rPr>
                <w:sz w:val="18"/>
                <w:szCs w:val="24"/>
              </w:rPr>
            </w:pPr>
            <w:r>
              <w:rPr>
                <w:sz w:val="18"/>
                <w:szCs w:val="24"/>
              </w:rPr>
              <w:t>41,3</w:t>
            </w:r>
          </w:p>
        </w:tc>
        <w:tc>
          <w:tcPr>
            <w:tcW w:w="809" w:type="dxa"/>
            <w:tcBorders>
              <w:top w:val="single" w:sz="12" w:space="0" w:color="auto"/>
            </w:tcBorders>
            <w:vAlign w:val="bottom"/>
          </w:tcPr>
          <w:p w:rsidR="00F92819" w:rsidRDefault="00F92819">
            <w:pPr>
              <w:keepNext/>
              <w:widowControl w:val="0"/>
              <w:spacing w:before="40" w:after="40" w:line="220" w:lineRule="exact"/>
              <w:jc w:val="right"/>
              <w:rPr>
                <w:b/>
                <w:sz w:val="18"/>
                <w:szCs w:val="24"/>
              </w:rPr>
            </w:pPr>
            <w:r>
              <w:rPr>
                <w:b/>
                <w:sz w:val="18"/>
                <w:szCs w:val="24"/>
              </w:rPr>
              <w:t>66,5</w:t>
            </w:r>
          </w:p>
        </w:tc>
        <w:tc>
          <w:tcPr>
            <w:tcW w:w="800" w:type="dxa"/>
            <w:tcBorders>
              <w:top w:val="single" w:sz="12" w:space="0" w:color="auto"/>
            </w:tcBorders>
            <w:vAlign w:val="bottom"/>
          </w:tcPr>
          <w:p w:rsidR="00F92819" w:rsidRDefault="00F92819">
            <w:pPr>
              <w:keepNext/>
              <w:widowControl w:val="0"/>
              <w:spacing w:before="40" w:after="40" w:line="220" w:lineRule="exact"/>
              <w:jc w:val="right"/>
              <w:rPr>
                <w:sz w:val="18"/>
                <w:szCs w:val="24"/>
              </w:rPr>
            </w:pPr>
            <w:r>
              <w:rPr>
                <w:sz w:val="18"/>
                <w:szCs w:val="24"/>
              </w:rPr>
              <w:t>3,4</w:t>
            </w:r>
          </w:p>
        </w:tc>
        <w:tc>
          <w:tcPr>
            <w:tcW w:w="801" w:type="dxa"/>
            <w:tcBorders>
              <w:top w:val="single" w:sz="12" w:space="0" w:color="auto"/>
            </w:tcBorders>
            <w:vAlign w:val="bottom"/>
          </w:tcPr>
          <w:p w:rsidR="00F92819" w:rsidRDefault="00F92819">
            <w:pPr>
              <w:keepNext/>
              <w:widowControl w:val="0"/>
              <w:spacing w:before="40" w:after="40" w:line="220" w:lineRule="exact"/>
              <w:jc w:val="right"/>
              <w:rPr>
                <w:sz w:val="18"/>
                <w:szCs w:val="24"/>
              </w:rPr>
            </w:pPr>
            <w:r>
              <w:rPr>
                <w:sz w:val="18"/>
                <w:szCs w:val="24"/>
              </w:rPr>
              <w:t>30</w:t>
            </w:r>
          </w:p>
        </w:tc>
        <w:tc>
          <w:tcPr>
            <w:tcW w:w="803" w:type="dxa"/>
            <w:tcBorders>
              <w:top w:val="single" w:sz="12" w:space="0" w:color="auto"/>
            </w:tcBorders>
            <w:vAlign w:val="bottom"/>
          </w:tcPr>
          <w:p w:rsidR="00F92819" w:rsidRDefault="00F92819">
            <w:pPr>
              <w:keepNext/>
              <w:widowControl w:val="0"/>
              <w:spacing w:before="40" w:after="40" w:line="220" w:lineRule="exact"/>
              <w:jc w:val="right"/>
              <w:rPr>
                <w:b/>
                <w:sz w:val="18"/>
                <w:szCs w:val="24"/>
              </w:rPr>
            </w:pPr>
            <w:r>
              <w:rPr>
                <w:b/>
                <w:sz w:val="18"/>
                <w:szCs w:val="24"/>
              </w:rPr>
              <w:t>33,5</w:t>
            </w:r>
          </w:p>
        </w:tc>
      </w:tr>
      <w:tr w:rsidR="00F92819">
        <w:tc>
          <w:tcPr>
            <w:tcW w:w="1466" w:type="dxa"/>
            <w:vMerge/>
            <w:vAlign w:val="bottom"/>
          </w:tcPr>
          <w:p w:rsidR="00F92819" w:rsidRDefault="00F92819">
            <w:pPr>
              <w:keepNext/>
              <w:widowControl w:val="0"/>
              <w:spacing w:before="40" w:after="40" w:line="220" w:lineRule="exact"/>
              <w:rPr>
                <w:sz w:val="18"/>
                <w:szCs w:val="24"/>
              </w:rPr>
            </w:pPr>
          </w:p>
        </w:tc>
        <w:tc>
          <w:tcPr>
            <w:tcW w:w="1200" w:type="dxa"/>
            <w:tcBorders>
              <w:bottom w:val="single" w:sz="4" w:space="0" w:color="auto"/>
            </w:tcBorders>
            <w:vAlign w:val="bottom"/>
          </w:tcPr>
          <w:p w:rsidR="00F92819" w:rsidRDefault="00F92819">
            <w:pPr>
              <w:keepNext/>
              <w:widowControl w:val="0"/>
              <w:spacing w:before="40" w:after="40" w:line="220" w:lineRule="exact"/>
              <w:rPr>
                <w:szCs w:val="24"/>
              </w:rPr>
            </w:pPr>
            <w:r>
              <w:rPr>
                <w:sz w:val="18"/>
                <w:szCs w:val="24"/>
                <w:lang w:val="es-ES_tradnl"/>
              </w:rPr>
              <w:t>Moderada</w:t>
            </w:r>
          </w:p>
        </w:tc>
        <w:tc>
          <w:tcPr>
            <w:tcW w:w="688" w:type="dxa"/>
            <w:tcBorders>
              <w:bottom w:val="single" w:sz="4" w:space="0" w:color="auto"/>
            </w:tcBorders>
            <w:vAlign w:val="bottom"/>
          </w:tcPr>
          <w:p w:rsidR="00F92819" w:rsidRDefault="00F92819">
            <w:pPr>
              <w:keepNext/>
              <w:widowControl w:val="0"/>
              <w:spacing w:before="40" w:after="40" w:line="220" w:lineRule="exact"/>
              <w:jc w:val="right"/>
              <w:rPr>
                <w:sz w:val="18"/>
                <w:szCs w:val="24"/>
              </w:rPr>
            </w:pPr>
            <w:r>
              <w:rPr>
                <w:sz w:val="18"/>
                <w:szCs w:val="24"/>
              </w:rPr>
              <w:t>9</w:t>
            </w:r>
          </w:p>
        </w:tc>
        <w:tc>
          <w:tcPr>
            <w:tcW w:w="803" w:type="dxa"/>
            <w:tcBorders>
              <w:bottom w:val="single" w:sz="4" w:space="0" w:color="auto"/>
            </w:tcBorders>
            <w:vAlign w:val="bottom"/>
          </w:tcPr>
          <w:p w:rsidR="00F92819" w:rsidRDefault="00F92819">
            <w:pPr>
              <w:keepNext/>
              <w:widowControl w:val="0"/>
              <w:spacing w:before="40" w:after="40" w:line="220" w:lineRule="exact"/>
              <w:jc w:val="right"/>
              <w:rPr>
                <w:sz w:val="18"/>
                <w:szCs w:val="24"/>
              </w:rPr>
            </w:pPr>
            <w:r>
              <w:rPr>
                <w:sz w:val="18"/>
                <w:szCs w:val="24"/>
              </w:rPr>
              <w:t>38,5</w:t>
            </w:r>
          </w:p>
        </w:tc>
        <w:tc>
          <w:tcPr>
            <w:tcW w:w="809" w:type="dxa"/>
            <w:tcBorders>
              <w:bottom w:val="single" w:sz="4" w:space="0" w:color="auto"/>
            </w:tcBorders>
            <w:vAlign w:val="bottom"/>
          </w:tcPr>
          <w:p w:rsidR="00F92819" w:rsidRDefault="00F92819">
            <w:pPr>
              <w:keepNext/>
              <w:widowControl w:val="0"/>
              <w:spacing w:before="40" w:after="40" w:line="220" w:lineRule="exact"/>
              <w:jc w:val="right"/>
              <w:rPr>
                <w:b/>
                <w:sz w:val="18"/>
                <w:szCs w:val="24"/>
              </w:rPr>
            </w:pPr>
            <w:r>
              <w:rPr>
                <w:b/>
                <w:sz w:val="18"/>
                <w:szCs w:val="24"/>
              </w:rPr>
              <w:t>47,5</w:t>
            </w:r>
          </w:p>
        </w:tc>
        <w:tc>
          <w:tcPr>
            <w:tcW w:w="800" w:type="dxa"/>
            <w:tcBorders>
              <w:bottom w:val="single" w:sz="4" w:space="0" w:color="auto"/>
            </w:tcBorders>
            <w:vAlign w:val="bottom"/>
          </w:tcPr>
          <w:p w:rsidR="00F92819" w:rsidRDefault="00F92819">
            <w:pPr>
              <w:keepNext/>
              <w:widowControl w:val="0"/>
              <w:spacing w:before="40" w:after="40" w:line="220" w:lineRule="exact"/>
              <w:jc w:val="right"/>
              <w:rPr>
                <w:sz w:val="18"/>
                <w:szCs w:val="24"/>
              </w:rPr>
            </w:pPr>
            <w:r>
              <w:rPr>
                <w:sz w:val="18"/>
                <w:szCs w:val="24"/>
              </w:rPr>
              <w:t>1,5</w:t>
            </w:r>
          </w:p>
        </w:tc>
        <w:tc>
          <w:tcPr>
            <w:tcW w:w="801" w:type="dxa"/>
            <w:tcBorders>
              <w:bottom w:val="single" w:sz="4" w:space="0" w:color="auto"/>
            </w:tcBorders>
            <w:vAlign w:val="bottom"/>
          </w:tcPr>
          <w:p w:rsidR="00F92819" w:rsidRDefault="00F92819">
            <w:pPr>
              <w:keepNext/>
              <w:widowControl w:val="0"/>
              <w:spacing w:before="40" w:after="40" w:line="220" w:lineRule="exact"/>
              <w:jc w:val="right"/>
              <w:rPr>
                <w:sz w:val="18"/>
                <w:szCs w:val="24"/>
              </w:rPr>
            </w:pPr>
            <w:r>
              <w:rPr>
                <w:sz w:val="18"/>
                <w:szCs w:val="24"/>
              </w:rPr>
              <w:t>51</w:t>
            </w:r>
          </w:p>
        </w:tc>
        <w:tc>
          <w:tcPr>
            <w:tcW w:w="803" w:type="dxa"/>
            <w:tcBorders>
              <w:bottom w:val="single" w:sz="4" w:space="0" w:color="auto"/>
            </w:tcBorders>
            <w:vAlign w:val="bottom"/>
          </w:tcPr>
          <w:p w:rsidR="00F92819" w:rsidRDefault="00F92819">
            <w:pPr>
              <w:keepNext/>
              <w:widowControl w:val="0"/>
              <w:spacing w:before="40" w:after="40" w:line="220" w:lineRule="exact"/>
              <w:jc w:val="right"/>
              <w:rPr>
                <w:b/>
                <w:sz w:val="18"/>
                <w:szCs w:val="24"/>
              </w:rPr>
            </w:pPr>
            <w:r>
              <w:rPr>
                <w:b/>
                <w:sz w:val="18"/>
                <w:szCs w:val="24"/>
              </w:rPr>
              <w:t>52,5</w:t>
            </w:r>
          </w:p>
        </w:tc>
      </w:tr>
      <w:tr w:rsidR="00F92819">
        <w:tc>
          <w:tcPr>
            <w:tcW w:w="1466" w:type="dxa"/>
            <w:vMerge/>
            <w:vAlign w:val="bottom"/>
          </w:tcPr>
          <w:p w:rsidR="00F92819" w:rsidRDefault="00F92819">
            <w:pPr>
              <w:keepNext/>
              <w:widowControl w:val="0"/>
              <w:spacing w:before="40" w:after="40" w:line="220" w:lineRule="exact"/>
              <w:rPr>
                <w:sz w:val="18"/>
                <w:szCs w:val="24"/>
              </w:rPr>
            </w:pPr>
          </w:p>
        </w:tc>
        <w:tc>
          <w:tcPr>
            <w:tcW w:w="1200" w:type="dxa"/>
            <w:tcBorders>
              <w:top w:val="single" w:sz="4" w:space="0" w:color="auto"/>
              <w:bottom w:val="single" w:sz="4" w:space="0" w:color="auto"/>
            </w:tcBorders>
            <w:vAlign w:val="bottom"/>
          </w:tcPr>
          <w:p w:rsidR="00F92819" w:rsidRDefault="00F92819">
            <w:pPr>
              <w:keepNext/>
              <w:widowControl w:val="0"/>
              <w:spacing w:before="80" w:after="80" w:line="220" w:lineRule="exact"/>
              <w:ind w:left="284"/>
              <w:rPr>
                <w:szCs w:val="24"/>
              </w:rPr>
            </w:pPr>
            <w:r>
              <w:rPr>
                <w:b/>
                <w:sz w:val="18"/>
                <w:szCs w:val="24"/>
                <w:lang w:val="es-ES_tradnl"/>
              </w:rPr>
              <w:t>Total</w:t>
            </w:r>
          </w:p>
        </w:tc>
        <w:tc>
          <w:tcPr>
            <w:tcW w:w="688" w:type="dxa"/>
            <w:tcBorders>
              <w:top w:val="single" w:sz="4" w:space="0" w:color="auto"/>
              <w:bottom w:val="single" w:sz="4" w:space="0" w:color="auto"/>
            </w:tcBorders>
            <w:vAlign w:val="bottom"/>
          </w:tcPr>
          <w:p w:rsidR="00F92819" w:rsidRDefault="00F92819">
            <w:pPr>
              <w:keepNext/>
              <w:widowControl w:val="0"/>
              <w:spacing w:before="80" w:after="80" w:line="220" w:lineRule="exact"/>
              <w:jc w:val="right"/>
              <w:rPr>
                <w:b/>
                <w:sz w:val="18"/>
                <w:szCs w:val="24"/>
              </w:rPr>
            </w:pPr>
            <w:r>
              <w:rPr>
                <w:b/>
                <w:sz w:val="18"/>
                <w:szCs w:val="24"/>
              </w:rPr>
              <w:t>15,1</w:t>
            </w:r>
          </w:p>
        </w:tc>
        <w:tc>
          <w:tcPr>
            <w:tcW w:w="803" w:type="dxa"/>
            <w:tcBorders>
              <w:top w:val="single" w:sz="4" w:space="0" w:color="auto"/>
              <w:bottom w:val="single" w:sz="4" w:space="0" w:color="auto"/>
            </w:tcBorders>
            <w:vAlign w:val="bottom"/>
          </w:tcPr>
          <w:p w:rsidR="00F92819" w:rsidRDefault="00F92819">
            <w:pPr>
              <w:keepNext/>
              <w:widowControl w:val="0"/>
              <w:spacing w:before="80" w:after="80" w:line="220" w:lineRule="exact"/>
              <w:jc w:val="right"/>
              <w:rPr>
                <w:b/>
                <w:sz w:val="18"/>
                <w:szCs w:val="24"/>
              </w:rPr>
            </w:pPr>
            <w:r>
              <w:rPr>
                <w:b/>
                <w:sz w:val="18"/>
                <w:szCs w:val="24"/>
              </w:rPr>
              <w:t>39,6</w:t>
            </w:r>
          </w:p>
        </w:tc>
        <w:tc>
          <w:tcPr>
            <w:tcW w:w="809" w:type="dxa"/>
            <w:tcBorders>
              <w:top w:val="single" w:sz="4" w:space="0" w:color="auto"/>
              <w:bottom w:val="single" w:sz="4" w:space="0" w:color="auto"/>
            </w:tcBorders>
            <w:vAlign w:val="bottom"/>
          </w:tcPr>
          <w:p w:rsidR="00F92819" w:rsidRDefault="00F92819">
            <w:pPr>
              <w:keepNext/>
              <w:widowControl w:val="0"/>
              <w:spacing w:before="80" w:after="80" w:line="220" w:lineRule="exact"/>
              <w:jc w:val="right"/>
              <w:rPr>
                <w:b/>
                <w:sz w:val="18"/>
                <w:szCs w:val="24"/>
              </w:rPr>
            </w:pPr>
            <w:r>
              <w:rPr>
                <w:b/>
                <w:sz w:val="18"/>
                <w:szCs w:val="24"/>
              </w:rPr>
              <w:t>54,7</w:t>
            </w:r>
          </w:p>
        </w:tc>
        <w:tc>
          <w:tcPr>
            <w:tcW w:w="800" w:type="dxa"/>
            <w:tcBorders>
              <w:top w:val="single" w:sz="4" w:space="0" w:color="auto"/>
              <w:bottom w:val="single" w:sz="4" w:space="0" w:color="auto"/>
            </w:tcBorders>
            <w:vAlign w:val="bottom"/>
          </w:tcPr>
          <w:p w:rsidR="00F92819" w:rsidRDefault="00F92819">
            <w:pPr>
              <w:keepNext/>
              <w:widowControl w:val="0"/>
              <w:spacing w:before="80" w:after="80" w:line="220" w:lineRule="exact"/>
              <w:jc w:val="right"/>
              <w:rPr>
                <w:b/>
                <w:sz w:val="18"/>
                <w:szCs w:val="24"/>
              </w:rPr>
            </w:pPr>
            <w:r>
              <w:rPr>
                <w:b/>
                <w:sz w:val="18"/>
                <w:szCs w:val="24"/>
              </w:rPr>
              <w:t>2,2</w:t>
            </w:r>
          </w:p>
        </w:tc>
        <w:tc>
          <w:tcPr>
            <w:tcW w:w="801" w:type="dxa"/>
            <w:tcBorders>
              <w:top w:val="single" w:sz="4" w:space="0" w:color="auto"/>
              <w:bottom w:val="single" w:sz="4" w:space="0" w:color="auto"/>
            </w:tcBorders>
            <w:vAlign w:val="bottom"/>
          </w:tcPr>
          <w:p w:rsidR="00F92819" w:rsidRDefault="00F92819">
            <w:pPr>
              <w:keepNext/>
              <w:widowControl w:val="0"/>
              <w:spacing w:before="80" w:after="80" w:line="220" w:lineRule="exact"/>
              <w:jc w:val="right"/>
              <w:rPr>
                <w:b/>
                <w:sz w:val="18"/>
                <w:szCs w:val="24"/>
              </w:rPr>
            </w:pPr>
            <w:r>
              <w:rPr>
                <w:b/>
                <w:sz w:val="18"/>
                <w:szCs w:val="24"/>
              </w:rPr>
              <w:t>43</w:t>
            </w:r>
          </w:p>
        </w:tc>
        <w:tc>
          <w:tcPr>
            <w:tcW w:w="803" w:type="dxa"/>
            <w:tcBorders>
              <w:top w:val="single" w:sz="4" w:space="0" w:color="auto"/>
              <w:bottom w:val="single" w:sz="4" w:space="0" w:color="auto"/>
            </w:tcBorders>
            <w:vAlign w:val="bottom"/>
          </w:tcPr>
          <w:p w:rsidR="00F92819" w:rsidRDefault="00F92819">
            <w:pPr>
              <w:keepNext/>
              <w:widowControl w:val="0"/>
              <w:spacing w:before="80" w:after="80" w:line="220" w:lineRule="exact"/>
              <w:jc w:val="right"/>
              <w:rPr>
                <w:b/>
                <w:sz w:val="18"/>
                <w:szCs w:val="24"/>
              </w:rPr>
            </w:pPr>
            <w:r>
              <w:rPr>
                <w:b/>
                <w:sz w:val="18"/>
                <w:szCs w:val="24"/>
              </w:rPr>
              <w:t>45,3</w:t>
            </w:r>
          </w:p>
        </w:tc>
      </w:tr>
      <w:tr w:rsidR="00F92819">
        <w:tc>
          <w:tcPr>
            <w:tcW w:w="1466" w:type="dxa"/>
            <w:vMerge w:val="restart"/>
          </w:tcPr>
          <w:p w:rsidR="00F92819" w:rsidRDefault="00F92819">
            <w:pPr>
              <w:keepNext/>
              <w:keepLines/>
              <w:spacing w:before="40" w:after="40" w:line="220" w:lineRule="exact"/>
              <w:rPr>
                <w:szCs w:val="24"/>
              </w:rPr>
            </w:pPr>
            <w:r>
              <w:rPr>
                <w:sz w:val="18"/>
                <w:szCs w:val="24"/>
                <w:lang w:val="es-ES_tradnl"/>
              </w:rPr>
              <w:t>Otra pensión del Instituto Nacional de Seguros</w:t>
            </w:r>
          </w:p>
        </w:tc>
        <w:tc>
          <w:tcPr>
            <w:tcW w:w="1200" w:type="dxa"/>
            <w:tcBorders>
              <w:top w:val="single" w:sz="4" w:space="0" w:color="auto"/>
            </w:tcBorders>
            <w:vAlign w:val="bottom"/>
          </w:tcPr>
          <w:p w:rsidR="00F92819" w:rsidRDefault="00F92819">
            <w:pPr>
              <w:keepNext/>
              <w:keepLines/>
              <w:spacing w:before="40" w:after="40" w:line="220" w:lineRule="exact"/>
              <w:rPr>
                <w:szCs w:val="24"/>
              </w:rPr>
            </w:pPr>
            <w:r>
              <w:rPr>
                <w:sz w:val="18"/>
                <w:szCs w:val="24"/>
                <w:lang w:val="es-ES_tradnl"/>
              </w:rPr>
              <w:t>Grave</w:t>
            </w:r>
          </w:p>
        </w:tc>
        <w:tc>
          <w:tcPr>
            <w:tcW w:w="688"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41,3</w:t>
            </w:r>
          </w:p>
        </w:tc>
        <w:tc>
          <w:tcPr>
            <w:tcW w:w="803"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25,2</w:t>
            </w:r>
          </w:p>
        </w:tc>
        <w:tc>
          <w:tcPr>
            <w:tcW w:w="809" w:type="dxa"/>
            <w:tcBorders>
              <w:top w:val="single" w:sz="4" w:space="0" w:color="auto"/>
            </w:tcBorders>
            <w:vAlign w:val="bottom"/>
          </w:tcPr>
          <w:p w:rsidR="00F92819" w:rsidRDefault="00F92819">
            <w:pPr>
              <w:keepNext/>
              <w:keepLines/>
              <w:spacing w:before="40" w:after="40" w:line="220" w:lineRule="exact"/>
              <w:jc w:val="right"/>
              <w:rPr>
                <w:b/>
                <w:sz w:val="18"/>
                <w:szCs w:val="24"/>
              </w:rPr>
            </w:pPr>
            <w:r>
              <w:rPr>
                <w:b/>
                <w:sz w:val="18"/>
                <w:szCs w:val="24"/>
              </w:rPr>
              <w:t>66,5</w:t>
            </w:r>
          </w:p>
        </w:tc>
        <w:tc>
          <w:tcPr>
            <w:tcW w:w="800"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6,2</w:t>
            </w:r>
          </w:p>
        </w:tc>
        <w:tc>
          <w:tcPr>
            <w:tcW w:w="801"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27,3</w:t>
            </w:r>
          </w:p>
        </w:tc>
        <w:tc>
          <w:tcPr>
            <w:tcW w:w="803" w:type="dxa"/>
            <w:tcBorders>
              <w:top w:val="single" w:sz="4" w:space="0" w:color="auto"/>
            </w:tcBorders>
            <w:vAlign w:val="bottom"/>
          </w:tcPr>
          <w:p w:rsidR="00F92819" w:rsidRDefault="00F92819">
            <w:pPr>
              <w:keepNext/>
              <w:keepLines/>
              <w:spacing w:before="40" w:after="40" w:line="220" w:lineRule="exact"/>
              <w:jc w:val="right"/>
              <w:rPr>
                <w:b/>
                <w:sz w:val="18"/>
                <w:szCs w:val="24"/>
              </w:rPr>
            </w:pPr>
            <w:r>
              <w:rPr>
                <w:b/>
                <w:sz w:val="18"/>
                <w:szCs w:val="24"/>
              </w:rPr>
              <w:t>33,5</w:t>
            </w:r>
          </w:p>
        </w:tc>
      </w:tr>
      <w:tr w:rsidR="00F92819">
        <w:tc>
          <w:tcPr>
            <w:tcW w:w="1466" w:type="dxa"/>
            <w:vMerge/>
            <w:vAlign w:val="bottom"/>
          </w:tcPr>
          <w:p w:rsidR="00F92819" w:rsidRDefault="00F92819">
            <w:pPr>
              <w:keepNext/>
              <w:keepLines/>
              <w:spacing w:before="40" w:after="40" w:line="220" w:lineRule="exact"/>
              <w:rPr>
                <w:sz w:val="18"/>
                <w:szCs w:val="24"/>
              </w:rPr>
            </w:pPr>
          </w:p>
        </w:tc>
        <w:tc>
          <w:tcPr>
            <w:tcW w:w="1200" w:type="dxa"/>
            <w:tcBorders>
              <w:bottom w:val="single" w:sz="4" w:space="0" w:color="auto"/>
            </w:tcBorders>
            <w:vAlign w:val="bottom"/>
          </w:tcPr>
          <w:p w:rsidR="00F92819" w:rsidRDefault="00F92819">
            <w:pPr>
              <w:keepNext/>
              <w:keepLines/>
              <w:spacing w:before="40" w:after="40" w:line="220" w:lineRule="exact"/>
              <w:rPr>
                <w:szCs w:val="24"/>
              </w:rPr>
            </w:pPr>
            <w:r>
              <w:rPr>
                <w:sz w:val="18"/>
                <w:szCs w:val="24"/>
                <w:lang w:val="es-ES_tradnl"/>
              </w:rPr>
              <w:t>Moderada</w:t>
            </w:r>
          </w:p>
        </w:tc>
        <w:tc>
          <w:tcPr>
            <w:tcW w:w="688" w:type="dxa"/>
            <w:tcBorders>
              <w:bottom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23,3</w:t>
            </w:r>
          </w:p>
        </w:tc>
        <w:tc>
          <w:tcPr>
            <w:tcW w:w="803" w:type="dxa"/>
            <w:tcBorders>
              <w:bottom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24,2</w:t>
            </w:r>
          </w:p>
        </w:tc>
        <w:tc>
          <w:tcPr>
            <w:tcW w:w="809" w:type="dxa"/>
            <w:tcBorders>
              <w:bottom w:val="single" w:sz="4" w:space="0" w:color="auto"/>
            </w:tcBorders>
            <w:vAlign w:val="bottom"/>
          </w:tcPr>
          <w:p w:rsidR="00F92819" w:rsidRDefault="00F92819">
            <w:pPr>
              <w:keepNext/>
              <w:keepLines/>
              <w:spacing w:before="40" w:after="40" w:line="220" w:lineRule="exact"/>
              <w:jc w:val="right"/>
              <w:rPr>
                <w:b/>
                <w:sz w:val="18"/>
                <w:szCs w:val="24"/>
              </w:rPr>
            </w:pPr>
            <w:r>
              <w:rPr>
                <w:b/>
                <w:sz w:val="18"/>
                <w:szCs w:val="24"/>
              </w:rPr>
              <w:t>47,5</w:t>
            </w:r>
          </w:p>
        </w:tc>
        <w:tc>
          <w:tcPr>
            <w:tcW w:w="800" w:type="dxa"/>
            <w:tcBorders>
              <w:bottom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4,9</w:t>
            </w:r>
          </w:p>
        </w:tc>
        <w:tc>
          <w:tcPr>
            <w:tcW w:w="801" w:type="dxa"/>
            <w:tcBorders>
              <w:bottom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47,6</w:t>
            </w:r>
          </w:p>
        </w:tc>
        <w:tc>
          <w:tcPr>
            <w:tcW w:w="803" w:type="dxa"/>
            <w:tcBorders>
              <w:bottom w:val="single" w:sz="4" w:space="0" w:color="auto"/>
            </w:tcBorders>
            <w:vAlign w:val="bottom"/>
          </w:tcPr>
          <w:p w:rsidR="00F92819" w:rsidRDefault="00F92819">
            <w:pPr>
              <w:keepNext/>
              <w:keepLines/>
              <w:spacing w:before="40" w:after="40" w:line="220" w:lineRule="exact"/>
              <w:jc w:val="right"/>
              <w:rPr>
                <w:b/>
                <w:sz w:val="18"/>
                <w:szCs w:val="24"/>
              </w:rPr>
            </w:pPr>
            <w:r>
              <w:rPr>
                <w:b/>
                <w:sz w:val="18"/>
                <w:szCs w:val="24"/>
              </w:rPr>
              <w:t>52,5</w:t>
            </w:r>
          </w:p>
        </w:tc>
      </w:tr>
      <w:tr w:rsidR="00F92819">
        <w:tc>
          <w:tcPr>
            <w:tcW w:w="1466" w:type="dxa"/>
            <w:vMerge/>
            <w:tcBorders>
              <w:bottom w:val="single" w:sz="12" w:space="0" w:color="auto"/>
            </w:tcBorders>
            <w:vAlign w:val="bottom"/>
          </w:tcPr>
          <w:p w:rsidR="00F92819" w:rsidRDefault="00F92819">
            <w:pPr>
              <w:keepNext/>
              <w:keepLines/>
              <w:spacing w:before="40" w:after="40" w:line="220" w:lineRule="exact"/>
              <w:rPr>
                <w:sz w:val="18"/>
                <w:szCs w:val="24"/>
              </w:rPr>
            </w:pPr>
          </w:p>
        </w:tc>
        <w:tc>
          <w:tcPr>
            <w:tcW w:w="1200" w:type="dxa"/>
            <w:tcBorders>
              <w:top w:val="single" w:sz="4" w:space="0" w:color="auto"/>
              <w:bottom w:val="single" w:sz="12" w:space="0" w:color="auto"/>
            </w:tcBorders>
            <w:vAlign w:val="bottom"/>
          </w:tcPr>
          <w:p w:rsidR="00F92819" w:rsidRDefault="00F92819">
            <w:pPr>
              <w:keepNext/>
              <w:keepLines/>
              <w:spacing w:before="80" w:after="80" w:line="200" w:lineRule="exact"/>
              <w:ind w:left="284"/>
              <w:rPr>
                <w:szCs w:val="24"/>
              </w:rPr>
            </w:pPr>
            <w:r>
              <w:rPr>
                <w:b/>
                <w:sz w:val="18"/>
                <w:szCs w:val="24"/>
                <w:lang w:val="es-ES_tradnl"/>
              </w:rPr>
              <w:t>Total</w:t>
            </w:r>
          </w:p>
        </w:tc>
        <w:tc>
          <w:tcPr>
            <w:tcW w:w="688"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Pr>
            </w:pPr>
            <w:r>
              <w:rPr>
                <w:b/>
                <w:sz w:val="18"/>
                <w:szCs w:val="24"/>
              </w:rPr>
              <w:t>30,1</w:t>
            </w:r>
          </w:p>
        </w:tc>
        <w:tc>
          <w:tcPr>
            <w:tcW w:w="803"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Pr>
            </w:pPr>
            <w:r>
              <w:rPr>
                <w:b/>
                <w:sz w:val="18"/>
                <w:szCs w:val="24"/>
              </w:rPr>
              <w:t>24,6</w:t>
            </w:r>
          </w:p>
        </w:tc>
        <w:tc>
          <w:tcPr>
            <w:tcW w:w="809"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Pr>
            </w:pPr>
            <w:r>
              <w:rPr>
                <w:b/>
                <w:sz w:val="18"/>
                <w:szCs w:val="24"/>
              </w:rPr>
              <w:t>54,7</w:t>
            </w:r>
          </w:p>
        </w:tc>
        <w:tc>
          <w:tcPr>
            <w:tcW w:w="800"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Pr>
            </w:pPr>
            <w:r>
              <w:rPr>
                <w:b/>
                <w:sz w:val="18"/>
                <w:szCs w:val="24"/>
              </w:rPr>
              <w:t>5,4</w:t>
            </w:r>
          </w:p>
        </w:tc>
        <w:tc>
          <w:tcPr>
            <w:tcW w:w="801"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Pr>
            </w:pPr>
            <w:r>
              <w:rPr>
                <w:b/>
                <w:sz w:val="18"/>
                <w:szCs w:val="24"/>
              </w:rPr>
              <w:t>39,9</w:t>
            </w:r>
          </w:p>
        </w:tc>
        <w:tc>
          <w:tcPr>
            <w:tcW w:w="803"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Pr>
            </w:pPr>
            <w:r>
              <w:rPr>
                <w:b/>
                <w:sz w:val="18"/>
                <w:szCs w:val="24"/>
              </w:rPr>
              <w:t>45,3</w:t>
            </w:r>
          </w:p>
        </w:tc>
      </w:tr>
    </w:tbl>
    <w:p w:rsidR="00F92819" w:rsidRDefault="00F92819">
      <w:pPr>
        <w:keepNext/>
        <w:keepLines/>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Comisión de igualdad de derechos de las personas con discapacidad, personas con discapacidad en Israel, 2007.</w:t>
      </w:r>
    </w:p>
    <w:p w:rsidR="00F92819" w:rsidRDefault="00F92819">
      <w:pPr>
        <w:pStyle w:val="SingleTxtG"/>
        <w:rPr>
          <w:szCs w:val="24"/>
        </w:rPr>
      </w:pPr>
      <w:r>
        <w:rPr>
          <w:szCs w:val="24"/>
        </w:rPr>
        <w:t>190.</w:t>
      </w:r>
      <w:r>
        <w:rPr>
          <w:szCs w:val="24"/>
        </w:rPr>
        <w:tab/>
      </w:r>
      <w:r>
        <w:rPr>
          <w:szCs w:val="24"/>
          <w:lang w:val="es-ES_tradnl"/>
        </w:rPr>
        <w:t>Las evaluaciones del ingreso por persona indican que el ingreso medio por persona de los hogares donde vive una persona con discapacidad grave se mantiene en el 60% del de los hogares sin personas discapacitadas y el 70% del de los hogares donde viven personas con discapacidad moderada.</w:t>
      </w:r>
    </w:p>
    <w:p w:rsidR="00F92819" w:rsidRDefault="00F92819">
      <w:pPr>
        <w:pStyle w:val="Heading1"/>
        <w:spacing w:before="240"/>
        <w:rPr>
          <w:szCs w:val="24"/>
        </w:rPr>
      </w:pPr>
      <w:r>
        <w:rPr>
          <w:szCs w:val="24"/>
          <w:lang w:val="es-ES_tradnl"/>
        </w:rPr>
        <w:t>Cuadro 5</w:t>
      </w:r>
    </w:p>
    <w:p w:rsidR="00F92819" w:rsidRDefault="00F92819">
      <w:pPr>
        <w:pStyle w:val="SingleTxtG"/>
        <w:jc w:val="left"/>
        <w:rPr>
          <w:b/>
          <w:szCs w:val="24"/>
        </w:rPr>
      </w:pPr>
      <w:r>
        <w:rPr>
          <w:b/>
          <w:szCs w:val="24"/>
          <w:lang w:val="es-ES_tradnl"/>
        </w:rPr>
        <w:t>Ingreso medio por persona (neto) de las personas con discapacidad, como porcentaje del ingreso de las personas sin enfermedad crónica ni discapacidad, 2002-2006</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966"/>
        <w:gridCol w:w="881"/>
        <w:gridCol w:w="881"/>
        <w:gridCol w:w="881"/>
        <w:gridCol w:w="881"/>
        <w:gridCol w:w="881"/>
      </w:tblGrid>
      <w:tr w:rsidR="00F92819" w:rsidTr="006762F1">
        <w:tc>
          <w:tcPr>
            <w:tcW w:w="2966" w:type="dxa"/>
            <w:tcBorders>
              <w:top w:val="single" w:sz="4" w:space="0" w:color="auto"/>
              <w:bottom w:val="single" w:sz="12" w:space="0" w:color="auto"/>
            </w:tcBorders>
            <w:vAlign w:val="bottom"/>
          </w:tcPr>
          <w:p w:rsidR="00F92819" w:rsidRDefault="00F92819">
            <w:pPr>
              <w:spacing w:before="80" w:after="80" w:line="200" w:lineRule="exact"/>
              <w:rPr>
                <w:szCs w:val="24"/>
              </w:rPr>
            </w:pPr>
            <w:r>
              <w:rPr>
                <w:i/>
                <w:sz w:val="16"/>
                <w:szCs w:val="24"/>
                <w:lang w:val="es-ES_tradnl"/>
              </w:rPr>
              <w:t>Discapacidad</w:t>
            </w:r>
          </w:p>
        </w:tc>
        <w:tc>
          <w:tcPr>
            <w:tcW w:w="881"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2002</w:t>
            </w:r>
          </w:p>
        </w:tc>
        <w:tc>
          <w:tcPr>
            <w:tcW w:w="881"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2003</w:t>
            </w:r>
          </w:p>
        </w:tc>
        <w:tc>
          <w:tcPr>
            <w:tcW w:w="881"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2004</w:t>
            </w:r>
          </w:p>
        </w:tc>
        <w:tc>
          <w:tcPr>
            <w:tcW w:w="881"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2005</w:t>
            </w:r>
          </w:p>
        </w:tc>
        <w:tc>
          <w:tcPr>
            <w:tcW w:w="881"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2006</w:t>
            </w:r>
          </w:p>
        </w:tc>
      </w:tr>
      <w:tr w:rsidR="00F92819" w:rsidTr="006762F1">
        <w:tc>
          <w:tcPr>
            <w:tcW w:w="2966" w:type="dxa"/>
            <w:tcBorders>
              <w:top w:val="single" w:sz="12" w:space="0" w:color="auto"/>
            </w:tcBorders>
            <w:vAlign w:val="bottom"/>
          </w:tcPr>
          <w:p w:rsidR="00F92819" w:rsidRDefault="00F92819">
            <w:pPr>
              <w:spacing w:before="40" w:after="40" w:line="220" w:lineRule="exact"/>
              <w:rPr>
                <w:szCs w:val="24"/>
              </w:rPr>
            </w:pPr>
            <w:r>
              <w:rPr>
                <w:sz w:val="18"/>
                <w:szCs w:val="24"/>
                <w:lang w:val="es-ES_tradnl"/>
              </w:rPr>
              <w:t>Con un problema pero sin discapacidad</w:t>
            </w:r>
          </w:p>
        </w:tc>
        <w:tc>
          <w:tcPr>
            <w:tcW w:w="881"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105</w:t>
            </w:r>
          </w:p>
        </w:tc>
        <w:tc>
          <w:tcPr>
            <w:tcW w:w="881"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112</w:t>
            </w:r>
          </w:p>
        </w:tc>
        <w:tc>
          <w:tcPr>
            <w:tcW w:w="881"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107</w:t>
            </w:r>
          </w:p>
        </w:tc>
        <w:tc>
          <w:tcPr>
            <w:tcW w:w="881"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109</w:t>
            </w:r>
          </w:p>
        </w:tc>
        <w:tc>
          <w:tcPr>
            <w:tcW w:w="881"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110</w:t>
            </w:r>
          </w:p>
        </w:tc>
      </w:tr>
      <w:tr w:rsidR="00F92819" w:rsidTr="006762F1">
        <w:tc>
          <w:tcPr>
            <w:tcW w:w="2966" w:type="dxa"/>
            <w:vAlign w:val="bottom"/>
          </w:tcPr>
          <w:p w:rsidR="00F92819" w:rsidRDefault="00F92819">
            <w:pPr>
              <w:spacing w:before="40" w:after="40" w:line="220" w:lineRule="exact"/>
              <w:rPr>
                <w:szCs w:val="24"/>
              </w:rPr>
            </w:pPr>
            <w:r>
              <w:rPr>
                <w:sz w:val="18"/>
                <w:szCs w:val="24"/>
                <w:lang w:val="es-ES_tradnl"/>
              </w:rPr>
              <w:t>Discapacidad moderada</w:t>
            </w:r>
          </w:p>
        </w:tc>
        <w:tc>
          <w:tcPr>
            <w:tcW w:w="881" w:type="dxa"/>
            <w:vAlign w:val="bottom"/>
          </w:tcPr>
          <w:p w:rsidR="00F92819" w:rsidRDefault="00F92819">
            <w:pPr>
              <w:spacing w:before="40" w:after="40" w:line="220" w:lineRule="exact"/>
              <w:jc w:val="right"/>
              <w:rPr>
                <w:sz w:val="18"/>
                <w:szCs w:val="24"/>
              </w:rPr>
            </w:pPr>
            <w:r>
              <w:rPr>
                <w:sz w:val="18"/>
                <w:szCs w:val="24"/>
              </w:rPr>
              <w:t>84</w:t>
            </w:r>
          </w:p>
        </w:tc>
        <w:tc>
          <w:tcPr>
            <w:tcW w:w="881" w:type="dxa"/>
            <w:vAlign w:val="bottom"/>
          </w:tcPr>
          <w:p w:rsidR="00F92819" w:rsidRDefault="00F92819">
            <w:pPr>
              <w:spacing w:before="40" w:after="40" w:line="220" w:lineRule="exact"/>
              <w:jc w:val="right"/>
              <w:rPr>
                <w:sz w:val="18"/>
                <w:szCs w:val="24"/>
              </w:rPr>
            </w:pPr>
            <w:r>
              <w:rPr>
                <w:sz w:val="18"/>
                <w:szCs w:val="24"/>
              </w:rPr>
              <w:t>84</w:t>
            </w:r>
          </w:p>
        </w:tc>
        <w:tc>
          <w:tcPr>
            <w:tcW w:w="881" w:type="dxa"/>
            <w:vAlign w:val="bottom"/>
          </w:tcPr>
          <w:p w:rsidR="00F92819" w:rsidRDefault="00F92819">
            <w:pPr>
              <w:spacing w:before="40" w:after="40" w:line="220" w:lineRule="exact"/>
              <w:jc w:val="right"/>
              <w:rPr>
                <w:sz w:val="18"/>
                <w:szCs w:val="24"/>
              </w:rPr>
            </w:pPr>
            <w:r>
              <w:rPr>
                <w:sz w:val="18"/>
                <w:szCs w:val="24"/>
              </w:rPr>
              <w:t>84</w:t>
            </w:r>
          </w:p>
        </w:tc>
        <w:tc>
          <w:tcPr>
            <w:tcW w:w="881" w:type="dxa"/>
            <w:vAlign w:val="bottom"/>
          </w:tcPr>
          <w:p w:rsidR="00F92819" w:rsidRDefault="00F92819">
            <w:pPr>
              <w:spacing w:before="40" w:after="40" w:line="220" w:lineRule="exact"/>
              <w:jc w:val="right"/>
              <w:rPr>
                <w:sz w:val="18"/>
                <w:szCs w:val="24"/>
              </w:rPr>
            </w:pPr>
            <w:r>
              <w:rPr>
                <w:sz w:val="18"/>
                <w:szCs w:val="24"/>
              </w:rPr>
              <w:t>83</w:t>
            </w:r>
          </w:p>
        </w:tc>
        <w:tc>
          <w:tcPr>
            <w:tcW w:w="881" w:type="dxa"/>
            <w:vAlign w:val="bottom"/>
          </w:tcPr>
          <w:p w:rsidR="00F92819" w:rsidRDefault="00F92819">
            <w:pPr>
              <w:spacing w:before="40" w:after="40" w:line="220" w:lineRule="exact"/>
              <w:jc w:val="right"/>
              <w:rPr>
                <w:sz w:val="18"/>
                <w:szCs w:val="24"/>
              </w:rPr>
            </w:pPr>
            <w:r>
              <w:rPr>
                <w:sz w:val="18"/>
                <w:szCs w:val="24"/>
              </w:rPr>
              <w:t>85</w:t>
            </w:r>
          </w:p>
        </w:tc>
      </w:tr>
      <w:tr w:rsidR="00F92819" w:rsidTr="006762F1">
        <w:tc>
          <w:tcPr>
            <w:tcW w:w="2966" w:type="dxa"/>
            <w:tcBorders>
              <w:bottom w:val="single" w:sz="12" w:space="0" w:color="auto"/>
            </w:tcBorders>
            <w:vAlign w:val="bottom"/>
          </w:tcPr>
          <w:p w:rsidR="00F92819" w:rsidRDefault="00F92819">
            <w:pPr>
              <w:spacing w:before="40" w:after="40" w:line="220" w:lineRule="exact"/>
              <w:rPr>
                <w:szCs w:val="24"/>
              </w:rPr>
            </w:pPr>
            <w:r>
              <w:rPr>
                <w:sz w:val="18"/>
                <w:szCs w:val="24"/>
                <w:lang w:val="es-ES_tradnl"/>
              </w:rPr>
              <w:t>Discapacidad grave</w:t>
            </w:r>
          </w:p>
        </w:tc>
        <w:tc>
          <w:tcPr>
            <w:tcW w:w="881"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74</w:t>
            </w:r>
          </w:p>
        </w:tc>
        <w:tc>
          <w:tcPr>
            <w:tcW w:w="881"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71</w:t>
            </w:r>
          </w:p>
        </w:tc>
        <w:tc>
          <w:tcPr>
            <w:tcW w:w="881"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66</w:t>
            </w:r>
          </w:p>
        </w:tc>
        <w:tc>
          <w:tcPr>
            <w:tcW w:w="881"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67</w:t>
            </w:r>
          </w:p>
        </w:tc>
        <w:tc>
          <w:tcPr>
            <w:tcW w:w="881"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73</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Comisión de igualdad de derechos de las personas con discapacidad, personas con discapacidad en Israel, 2008.</w:t>
      </w:r>
    </w:p>
    <w:p w:rsidR="00F92819" w:rsidRDefault="00F92819">
      <w:pPr>
        <w:pStyle w:val="SingleTxtG"/>
        <w:rPr>
          <w:szCs w:val="24"/>
        </w:rPr>
      </w:pPr>
      <w:r>
        <w:rPr>
          <w:szCs w:val="24"/>
        </w:rPr>
        <w:t>191.</w:t>
      </w:r>
      <w:r>
        <w:rPr>
          <w:szCs w:val="24"/>
        </w:rPr>
        <w:tab/>
      </w:r>
      <w:r>
        <w:rPr>
          <w:szCs w:val="24"/>
          <w:lang w:val="es-ES_tradnl"/>
        </w:rPr>
        <w:t>En 2005 el Ministerio de Industria, Comercio y Trabajo estableció el Departamento para la integración de las personas con discapacidad en la población activa.</w:t>
      </w:r>
      <w:r>
        <w:rPr>
          <w:szCs w:val="24"/>
        </w:rPr>
        <w:t xml:space="preserve"> </w:t>
      </w:r>
      <w:r>
        <w:rPr>
          <w:szCs w:val="24"/>
          <w:lang w:val="es-ES_tradnl"/>
        </w:rPr>
        <w:t xml:space="preserve">Este Departamento se encarga de promover su integración en el mercado laboral abierto en lugar de recurrir al empleo protegido, por medio, entre otras medidas, de la aplicación del mencionado </w:t>
      </w:r>
      <w:r>
        <w:rPr>
          <w:i/>
          <w:szCs w:val="24"/>
          <w:lang w:val="es-ES_tradnl"/>
        </w:rPr>
        <w:t xml:space="preserve">Reglamento sobre la igualdad de derechos de las personas con discapacidad (participación del Estado en la financiación de las adaptaciones) </w:t>
      </w:r>
      <w:r>
        <w:rPr>
          <w:szCs w:val="24"/>
          <w:lang w:val="es-ES_tradnl"/>
        </w:rPr>
        <w:t xml:space="preserve">y del </w:t>
      </w:r>
      <w:r>
        <w:rPr>
          <w:i/>
          <w:szCs w:val="24"/>
          <w:lang w:val="es-ES_tradnl"/>
        </w:rPr>
        <w:t>Reglamento sobre salario mínimo (salario ajustado para los empleados con discapacidad con una capacidad de trabajo reducida)</w:t>
      </w:r>
      <w:r>
        <w:rPr>
          <w:szCs w:val="24"/>
          <w:lang w:val="es-ES_tradnl"/>
        </w:rPr>
        <w:t>.</w:t>
      </w:r>
    </w:p>
    <w:p w:rsidR="00F92819" w:rsidRDefault="00F92819">
      <w:pPr>
        <w:pStyle w:val="H23G"/>
        <w:rPr>
          <w:szCs w:val="24"/>
        </w:rPr>
      </w:pPr>
      <w:r>
        <w:rPr>
          <w:szCs w:val="24"/>
        </w:rPr>
        <w:tab/>
      </w:r>
      <w:r>
        <w:rPr>
          <w:szCs w:val="24"/>
        </w:rPr>
        <w:tab/>
      </w:r>
      <w:r>
        <w:rPr>
          <w:szCs w:val="24"/>
          <w:lang w:val="es-ES_tradnl"/>
        </w:rPr>
        <w:t>Empleo y libertad individual:</w:t>
      </w:r>
      <w:r>
        <w:rPr>
          <w:szCs w:val="24"/>
        </w:rPr>
        <w:t xml:space="preserve"> </w:t>
      </w:r>
      <w:r>
        <w:rPr>
          <w:szCs w:val="24"/>
          <w:lang w:val="es-ES_tradnl"/>
        </w:rPr>
        <w:t>el derecho al trabajo como derecho constitucional</w:t>
      </w:r>
    </w:p>
    <w:p w:rsidR="00F92819" w:rsidRDefault="00F92819">
      <w:pPr>
        <w:pStyle w:val="SingleTxtG"/>
        <w:rPr>
          <w:szCs w:val="24"/>
        </w:rPr>
      </w:pPr>
      <w:r>
        <w:rPr>
          <w:szCs w:val="24"/>
        </w:rPr>
        <w:t>192.</w:t>
      </w:r>
      <w:r>
        <w:rPr>
          <w:szCs w:val="24"/>
        </w:rPr>
        <w:tab/>
      </w:r>
      <w:r>
        <w:rPr>
          <w:szCs w:val="24"/>
          <w:lang w:val="es-ES_tradnl"/>
        </w:rPr>
        <w:t>Esta cuestión se ha examinado ampliamente en los anteriores informes de Israel</w:t>
      </w:r>
      <w:r>
        <w:rPr>
          <w:szCs w:val="24"/>
        </w:rPr>
        <w:t xml:space="preserve"> </w:t>
      </w:r>
      <w:r>
        <w:rPr>
          <w:szCs w:val="24"/>
          <w:lang w:val="es-ES_tradnl"/>
        </w:rPr>
        <w:t>y no ha habido cambios al respecto desde la presentación del segundo informe periódico.</w:t>
      </w:r>
    </w:p>
    <w:p w:rsidR="00F92819" w:rsidRDefault="00F92819">
      <w:pPr>
        <w:pStyle w:val="H23G"/>
        <w:rPr>
          <w:szCs w:val="24"/>
        </w:rPr>
      </w:pPr>
      <w:r>
        <w:rPr>
          <w:szCs w:val="24"/>
        </w:rPr>
        <w:tab/>
      </w:r>
      <w:r>
        <w:rPr>
          <w:szCs w:val="24"/>
        </w:rPr>
        <w:tab/>
      </w:r>
      <w:r>
        <w:rPr>
          <w:szCs w:val="24"/>
          <w:lang w:val="es-ES_tradnl"/>
        </w:rPr>
        <w:t>El derecho al trabajo como derecho establecido</w:t>
      </w:r>
    </w:p>
    <w:p w:rsidR="00F92819" w:rsidRDefault="00F92819">
      <w:pPr>
        <w:pStyle w:val="SingleTxtG"/>
        <w:rPr>
          <w:szCs w:val="24"/>
        </w:rPr>
      </w:pPr>
      <w:bookmarkStart w:id="6" w:name="OLE_LINK7"/>
      <w:bookmarkStart w:id="7" w:name="OLE_LINK8"/>
      <w:r>
        <w:rPr>
          <w:szCs w:val="24"/>
        </w:rPr>
        <w:t>193.</w:t>
      </w:r>
      <w:r>
        <w:rPr>
          <w:szCs w:val="24"/>
        </w:rPr>
        <w:tab/>
      </w:r>
      <w:r>
        <w:rPr>
          <w:szCs w:val="24"/>
          <w:lang w:val="es-ES_tradnl"/>
        </w:rPr>
        <w:t>Entre los avances en este ámbito, se han introducido varios casos de protección legal de la seguridad en el empleo.</w:t>
      </w:r>
      <w:r>
        <w:rPr>
          <w:szCs w:val="24"/>
        </w:rPr>
        <w:t xml:space="preserve"> </w:t>
      </w:r>
      <w:r>
        <w:rPr>
          <w:szCs w:val="24"/>
          <w:lang w:val="es-ES_tradnl"/>
        </w:rPr>
        <w:t xml:space="preserve">La </w:t>
      </w:r>
      <w:r>
        <w:rPr>
          <w:i/>
          <w:szCs w:val="24"/>
          <w:lang w:val="es-ES_tradnl"/>
        </w:rPr>
        <w:t>Ley del empleo femenino</w:t>
      </w:r>
      <w:r>
        <w:rPr>
          <w:szCs w:val="24"/>
          <w:lang w:val="es-ES_tradnl"/>
        </w:rPr>
        <w:t xml:space="preserve"> se ha reformado varias veces en 2007 y 2008 para asegurar todos los derechos a las mujeres trabajadoras, incluidos los distintos aspectos de la seguridad en el trabajo (detallados a continuación).</w:t>
      </w:r>
    </w:p>
    <w:bookmarkEnd w:id="6"/>
    <w:bookmarkEnd w:id="7"/>
    <w:p w:rsidR="00F92819" w:rsidRDefault="00F92819">
      <w:pPr>
        <w:pStyle w:val="SingleTxtG"/>
        <w:rPr>
          <w:szCs w:val="24"/>
        </w:rPr>
      </w:pPr>
      <w:r>
        <w:rPr>
          <w:szCs w:val="24"/>
        </w:rPr>
        <w:t>194.</w:t>
      </w:r>
      <w:r>
        <w:rPr>
          <w:szCs w:val="24"/>
        </w:rPr>
        <w:tab/>
      </w:r>
      <w:r>
        <w:rPr>
          <w:szCs w:val="24"/>
          <w:lang w:val="es-ES_tradnl"/>
        </w:rPr>
        <w:t xml:space="preserve">Como se detalla en el informe anterior de Israel, expertos y organizaciones de trabajadores han criticado la </w:t>
      </w:r>
      <w:r>
        <w:rPr>
          <w:i/>
          <w:szCs w:val="24"/>
          <w:lang w:val="es-ES_tradnl"/>
        </w:rPr>
        <w:t>Ley de empleo de trabajadores por empresas de trabajo temporal</w:t>
      </w:r>
      <w:r>
        <w:rPr>
          <w:szCs w:val="24"/>
          <w:lang w:val="es-ES_tradnl"/>
        </w:rPr>
        <w:t xml:space="preserve"> de 5756/1996, descrita en el informe inicial de Israel.</w:t>
      </w:r>
      <w:r>
        <w:rPr>
          <w:szCs w:val="24"/>
        </w:rPr>
        <w:t xml:space="preserve"> </w:t>
      </w:r>
      <w:r>
        <w:rPr>
          <w:szCs w:val="24"/>
          <w:lang w:val="es-ES_tradnl"/>
        </w:rPr>
        <w:t>El Tribunal Laboral de Israel también señaló en varias ocasiones defectos en la Ley existente, especialmente en los casos en que el uso de trabajadores temporales se hacía por períodos prolongados.</w:t>
      </w:r>
      <w:r>
        <w:rPr>
          <w:szCs w:val="24"/>
        </w:rPr>
        <w:t xml:space="preserve"> </w:t>
      </w:r>
      <w:r>
        <w:rPr>
          <w:szCs w:val="24"/>
          <w:lang w:val="es-ES_tradnl"/>
        </w:rPr>
        <w:t>Como se menciona en el informe anterior y en respuesta a las cuestiones planteadas, la Ley fue modificada radicalmente en 2000, por la cual se limitan los períodos de empleo de los trabajadores a través de empresas de trabajo temporal y se equiparan los derechos de los trabajadores temporales a los que la empresa usuaria otorga a sus empleados con ocupación y antigüedad similar.</w:t>
      </w:r>
    </w:p>
    <w:p w:rsidR="00F92819" w:rsidRDefault="00F92819">
      <w:pPr>
        <w:pStyle w:val="SingleTxtG"/>
        <w:rPr>
          <w:szCs w:val="24"/>
        </w:rPr>
      </w:pPr>
      <w:r>
        <w:rPr>
          <w:szCs w:val="24"/>
        </w:rPr>
        <w:t>195.</w:t>
      </w:r>
      <w:r>
        <w:rPr>
          <w:szCs w:val="24"/>
        </w:rPr>
        <w:tab/>
      </w:r>
      <w:r>
        <w:rPr>
          <w:szCs w:val="24"/>
          <w:lang w:val="es-ES_tradnl"/>
        </w:rPr>
        <w:t>La enmienda constituyó una reforma importante que afecta aproximadamente al 6% de los asalariados en Israel,</w:t>
      </w:r>
      <w:r>
        <w:rPr>
          <w:szCs w:val="24"/>
        </w:rPr>
        <w:t xml:space="preserve"> </w:t>
      </w:r>
      <w:r>
        <w:rPr>
          <w:szCs w:val="24"/>
          <w:lang w:val="es-ES_tradnl"/>
        </w:rPr>
        <w:t>por lo cual se necesitaba un período de ajuste antes de su entrada en vigor.</w:t>
      </w:r>
      <w:r>
        <w:rPr>
          <w:szCs w:val="24"/>
        </w:rPr>
        <w:t xml:space="preserve"> </w:t>
      </w:r>
      <w:r>
        <w:rPr>
          <w:szCs w:val="24"/>
          <w:lang w:val="es-ES_tradnl"/>
        </w:rPr>
        <w:t>Debido a la complejidad de la situación, que se detalla en el informe anterior de Israel, la disposición sobre la equiparación de derechos de los empleados entró en vigor en julio de 2001, mientras que la disposición sobre la limitación de los períodos de empleo lo hizo en enero de 2008.</w:t>
      </w:r>
    </w:p>
    <w:p w:rsidR="00F92819" w:rsidRDefault="00F92819">
      <w:pPr>
        <w:pStyle w:val="SingleTxtG"/>
        <w:rPr>
          <w:szCs w:val="24"/>
        </w:rPr>
      </w:pPr>
      <w:r>
        <w:rPr>
          <w:szCs w:val="24"/>
        </w:rPr>
        <w:t>196.</w:t>
      </w:r>
      <w:r>
        <w:rPr>
          <w:szCs w:val="24"/>
        </w:rPr>
        <w:tab/>
      </w:r>
      <w:r>
        <w:rPr>
          <w:szCs w:val="24"/>
          <w:lang w:val="es-ES_tradnl"/>
        </w:rPr>
        <w:t>El Ministerio de Industria, Comercio y Trabajo dedica muchos esfuerzos al cumplimiento de la Ley,</w:t>
      </w:r>
      <w:r>
        <w:rPr>
          <w:szCs w:val="24"/>
        </w:rPr>
        <w:t xml:space="preserve"> </w:t>
      </w:r>
      <w:r>
        <w:rPr>
          <w:szCs w:val="24"/>
          <w:lang w:val="es-ES_tradnl"/>
        </w:rPr>
        <w:t>que han resultado en una o varias de las situaciones siguientes para los empleados:</w:t>
      </w:r>
      <w:r>
        <w:rPr>
          <w:szCs w:val="24"/>
        </w:rPr>
        <w:t xml:space="preserve"> </w:t>
      </w:r>
      <w:r>
        <w:rPr>
          <w:szCs w:val="24"/>
          <w:lang w:val="es-ES_tradnl"/>
        </w:rPr>
        <w:t>no renovación de licencias; denegación de licencias; condicionamiento de la emisión de nuevas licencias; mayor uso de garantías financieras como condición previa para la emisión de una licencia; confiscación de la garantía; introducción de condiciones en una licencia existente; anulación de licencias; reembolso por la empresa de las sumas adeudadas a sus empleados; designación de un contador para verificar el cumplimiento por una agencia de determinadas condiciones fiscales (como resultado de la auditoría, puede solicitarse a una agencia que incremente la garantía financiera); acusación penal, principalmente para hacer cumplir la disposición contra la explotación de una empresa sin permiso.</w:t>
      </w:r>
    </w:p>
    <w:p w:rsidR="00F92819" w:rsidRDefault="00F92819">
      <w:pPr>
        <w:pStyle w:val="SingleTxtG"/>
        <w:rPr>
          <w:szCs w:val="24"/>
        </w:rPr>
      </w:pPr>
      <w:r>
        <w:rPr>
          <w:szCs w:val="24"/>
        </w:rPr>
        <w:t>197.</w:t>
      </w:r>
      <w:r>
        <w:rPr>
          <w:szCs w:val="24"/>
        </w:rPr>
        <w:tab/>
      </w:r>
      <w:r>
        <w:rPr>
          <w:szCs w:val="24"/>
          <w:lang w:val="es-ES_tradnl"/>
        </w:rPr>
        <w:t>El 16 de febrero de 2004 se alcanzó un acuerdo colectivo general entre las organizaciones de empleadores y empleados en el sector de contratación temporal,</w:t>
      </w:r>
      <w:r>
        <w:rPr>
          <w:szCs w:val="24"/>
        </w:rPr>
        <w:t xml:space="preserve"> </w:t>
      </w:r>
      <w:r>
        <w:rPr>
          <w:szCs w:val="24"/>
          <w:lang w:val="es-ES_tradnl"/>
        </w:rPr>
        <w:t>cuyo propósito es proteger los derechos de los trabajadores temporales, incluidas las condiciones de empleo y las prestaciones sociales.</w:t>
      </w:r>
      <w:r>
        <w:rPr>
          <w:szCs w:val="24"/>
        </w:rPr>
        <w:t xml:space="preserve"> </w:t>
      </w:r>
      <w:r>
        <w:rPr>
          <w:szCs w:val="24"/>
          <w:lang w:val="es-ES_tradnl"/>
        </w:rPr>
        <w:t>El acuerdo aplica condiciones de empleo como las horas de trabajo, vacaciones anuales, gastos de desplazamiento, prestación por enfermedad, gastos de vestuario, planes de pensiones, contribuciones a fondos comunes de inversiones, etc. Por una orden de ampliación del Ministerio de Industria, Comercio y Turismo, el acuerdo se aplica a todas las empresas de trabajo temporal, aunque no sean miembros de la organización empresarial que firmó el acuerdo.</w:t>
      </w:r>
    </w:p>
    <w:p w:rsidR="00F92819" w:rsidRDefault="00F92819">
      <w:pPr>
        <w:pStyle w:val="SingleTxtG"/>
        <w:rPr>
          <w:szCs w:val="24"/>
        </w:rPr>
      </w:pPr>
      <w:r>
        <w:rPr>
          <w:szCs w:val="24"/>
        </w:rPr>
        <w:t>198.</w:t>
      </w:r>
      <w:r>
        <w:rPr>
          <w:szCs w:val="24"/>
        </w:rPr>
        <w:tab/>
      </w:r>
      <w:r>
        <w:rPr>
          <w:szCs w:val="24"/>
          <w:lang w:val="es-ES_tradnl"/>
        </w:rPr>
        <w:t>Por último, desde el último informe de Israel el número de empresas autorizadas ha disminuido considerablemente hasta 223.</w:t>
      </w:r>
    </w:p>
    <w:p w:rsidR="00F92819" w:rsidRDefault="00F92819">
      <w:pPr>
        <w:pStyle w:val="SingleTxtG"/>
        <w:rPr>
          <w:szCs w:val="24"/>
        </w:rPr>
      </w:pPr>
      <w:r>
        <w:rPr>
          <w:szCs w:val="24"/>
        </w:rPr>
        <w:t>199.</w:t>
      </w:r>
      <w:r>
        <w:rPr>
          <w:szCs w:val="24"/>
        </w:rPr>
        <w:tab/>
      </w:r>
      <w:r>
        <w:rPr>
          <w:szCs w:val="24"/>
          <w:lang w:val="es-ES_tradnl"/>
        </w:rPr>
        <w:t>El 28 de mayo de 2008 el Tribunal Laboral del Distrito de Tel Aviv determinó que los 38 demandantes que habían sido empleados en el Ministerio de Educación a través de diferentes empresas de trabajo temporal deben ser reconocidos como funcionarios desde el comienzo de su empleo en el Ministerio.</w:t>
      </w:r>
      <w:r>
        <w:rPr>
          <w:szCs w:val="24"/>
        </w:rPr>
        <w:t xml:space="preserve"> </w:t>
      </w:r>
      <w:r>
        <w:rPr>
          <w:szCs w:val="24"/>
          <w:lang w:val="es-ES_tradnl"/>
        </w:rPr>
        <w:t>Los demandantes trabajaron amplios períodos en el Ministerio de Educación a través de diferentes empresas de trabajo temporal, fueron aceptados por el Ministerio para dicho trabajo y fueron remitidos a las empresas de trabajo temporal para fijar su salario y sus condiciones oficiales de trabajo.</w:t>
      </w:r>
      <w:r>
        <w:rPr>
          <w:szCs w:val="24"/>
        </w:rPr>
        <w:t xml:space="preserve"> </w:t>
      </w:r>
      <w:r>
        <w:rPr>
          <w:szCs w:val="24"/>
          <w:lang w:val="es-ES_tradnl"/>
        </w:rPr>
        <w:t>El Tribunal determinó que el Estado, como empleador público, se debe a una mayor responsabilidad puesto que, entre otras cosas, sirve como modelo que puede influir en el desarrollo de normas en las relaciones de empleo también en el sector privado.</w:t>
      </w:r>
      <w:r>
        <w:rPr>
          <w:szCs w:val="24"/>
        </w:rPr>
        <w:t xml:space="preserve"> </w:t>
      </w:r>
      <w:r>
        <w:rPr>
          <w:szCs w:val="24"/>
          <w:lang w:val="es-ES_tradnl"/>
        </w:rPr>
        <w:t>Según el Tribunal, los empleados por el Estado durante un período prolongado en un lugar de trabajo junto a funcionarios que realizan un trabajo similar se beneficiarán, no sólo de las mismas condiciones salariales sino también de la misma seguridad en el trabajo e iguales derechos de promoción, incluido el mismo a derecho a competir en concursos internos.</w:t>
      </w:r>
      <w:r>
        <w:rPr>
          <w:szCs w:val="24"/>
        </w:rPr>
        <w:t xml:space="preserve"> </w:t>
      </w:r>
      <w:r>
        <w:rPr>
          <w:szCs w:val="24"/>
          <w:lang w:val="es-ES_tradnl"/>
        </w:rPr>
        <w:t xml:space="preserve">(La.C 6141/03 </w:t>
      </w:r>
      <w:r>
        <w:rPr>
          <w:i/>
          <w:szCs w:val="24"/>
          <w:lang w:val="es-ES_tradnl"/>
        </w:rPr>
        <w:t>Lone Hillwi et. al. c. el Ministerio de Educación del Estado de Israel</w:t>
      </w:r>
      <w:r>
        <w:rPr>
          <w:szCs w:val="24"/>
          <w:lang w:val="es-ES_tradnl"/>
        </w:rPr>
        <w:t xml:space="preserve"> (28 de mayo de 2008)).</w:t>
      </w:r>
    </w:p>
    <w:p w:rsidR="00F92819" w:rsidRDefault="00F92819">
      <w:pPr>
        <w:pStyle w:val="H23G"/>
        <w:rPr>
          <w:szCs w:val="24"/>
        </w:rPr>
      </w:pPr>
      <w:r>
        <w:rPr>
          <w:szCs w:val="24"/>
        </w:rPr>
        <w:tab/>
      </w:r>
      <w:r>
        <w:rPr>
          <w:szCs w:val="24"/>
        </w:rPr>
        <w:tab/>
      </w:r>
      <w:r>
        <w:rPr>
          <w:szCs w:val="24"/>
          <w:lang w:val="es-ES_tradnl"/>
        </w:rPr>
        <w:t>El derecho al trabajo en la jurisprudencia israelí</w:t>
      </w:r>
    </w:p>
    <w:p w:rsidR="00F92819" w:rsidRDefault="00F92819">
      <w:pPr>
        <w:pStyle w:val="SingleTxtG"/>
        <w:rPr>
          <w:szCs w:val="24"/>
        </w:rPr>
      </w:pPr>
      <w:r>
        <w:rPr>
          <w:szCs w:val="24"/>
        </w:rPr>
        <w:t>200.</w:t>
      </w:r>
      <w:r>
        <w:rPr>
          <w:szCs w:val="24"/>
        </w:rPr>
        <w:tab/>
      </w:r>
      <w:r>
        <w:rPr>
          <w:szCs w:val="24"/>
          <w:lang w:val="es-ES_tradnl"/>
        </w:rPr>
        <w:t>Esta cuestión se ha examinado en los anteriores informes de Israel</w:t>
      </w:r>
      <w:r>
        <w:rPr>
          <w:szCs w:val="24"/>
        </w:rPr>
        <w:t xml:space="preserve"> </w:t>
      </w:r>
      <w:r>
        <w:rPr>
          <w:szCs w:val="24"/>
          <w:lang w:val="es-ES_tradnl"/>
        </w:rPr>
        <w:t>y no ha habido cambios al respecto desde la presentación del segundo informe periódico.</w:t>
      </w:r>
    </w:p>
    <w:p w:rsidR="00F92819" w:rsidRDefault="00F92819">
      <w:pPr>
        <w:pStyle w:val="H23G"/>
        <w:rPr>
          <w:szCs w:val="24"/>
        </w:rPr>
      </w:pPr>
      <w:r>
        <w:rPr>
          <w:szCs w:val="24"/>
        </w:rPr>
        <w:tab/>
      </w:r>
      <w:r>
        <w:rPr>
          <w:szCs w:val="24"/>
        </w:rPr>
        <w:tab/>
      </w:r>
      <w:r>
        <w:rPr>
          <w:szCs w:val="24"/>
          <w:lang w:val="es-ES_tradnl"/>
        </w:rPr>
        <w:t>Programas de formación técnica y profesional:</w:t>
      </w:r>
      <w:r>
        <w:rPr>
          <w:szCs w:val="24"/>
        </w:rPr>
        <w:t xml:space="preserve"> </w:t>
      </w:r>
      <w:r>
        <w:rPr>
          <w:szCs w:val="24"/>
          <w:lang w:val="es-ES_tradnl"/>
        </w:rPr>
        <w:t>orientación profesional</w:t>
      </w:r>
    </w:p>
    <w:p w:rsidR="00F92819" w:rsidRDefault="00F92819">
      <w:pPr>
        <w:pStyle w:val="SingleTxtG"/>
        <w:rPr>
          <w:szCs w:val="24"/>
        </w:rPr>
      </w:pPr>
      <w:r>
        <w:rPr>
          <w:szCs w:val="24"/>
        </w:rPr>
        <w:t>201.</w:t>
      </w:r>
      <w:r>
        <w:rPr>
          <w:szCs w:val="24"/>
        </w:rPr>
        <w:tab/>
      </w:r>
      <w:r>
        <w:rPr>
          <w:szCs w:val="24"/>
          <w:lang w:val="es-ES_tradnl"/>
        </w:rPr>
        <w:t>Esta cuestión se ha examinado en los anteriores informes de Israel</w:t>
      </w:r>
      <w:r>
        <w:rPr>
          <w:szCs w:val="24"/>
        </w:rPr>
        <w:t xml:space="preserve"> </w:t>
      </w:r>
      <w:r>
        <w:rPr>
          <w:szCs w:val="24"/>
          <w:lang w:val="es-ES_tradnl"/>
        </w:rPr>
        <w:t>y no ha habido cambios al respecto desde la presentación del segundo informe periódico.</w:t>
      </w:r>
    </w:p>
    <w:p w:rsidR="00F92819" w:rsidRDefault="00F92819">
      <w:pPr>
        <w:pStyle w:val="H23G"/>
        <w:rPr>
          <w:szCs w:val="24"/>
        </w:rPr>
      </w:pPr>
      <w:r>
        <w:rPr>
          <w:szCs w:val="24"/>
        </w:rPr>
        <w:tab/>
      </w:r>
      <w:r>
        <w:rPr>
          <w:szCs w:val="24"/>
        </w:rPr>
        <w:tab/>
      </w:r>
      <w:r>
        <w:rPr>
          <w:szCs w:val="24"/>
          <w:lang w:val="es-ES_tradnl"/>
        </w:rPr>
        <w:t>Formación profesional para adultos y jóvenes patrocinada por el Ministerio de Industria, Comercio y Trabajo</w:t>
      </w:r>
    </w:p>
    <w:p w:rsidR="00F92819" w:rsidRDefault="00F92819">
      <w:pPr>
        <w:pStyle w:val="SingleTxtG"/>
        <w:rPr>
          <w:szCs w:val="24"/>
        </w:rPr>
      </w:pPr>
      <w:r>
        <w:rPr>
          <w:szCs w:val="24"/>
        </w:rPr>
        <w:t>202.</w:t>
      </w:r>
      <w:r>
        <w:rPr>
          <w:szCs w:val="24"/>
        </w:rPr>
        <w:tab/>
      </w:r>
      <w:r>
        <w:rPr>
          <w:szCs w:val="24"/>
          <w:lang w:val="es-ES_tradnl"/>
        </w:rPr>
        <w:t>La Dependencia de Capacitación y Desarrollo de Personal del Ministerio de Industria, Comercio y Trabajo (en adelante:</w:t>
      </w:r>
      <w:r>
        <w:rPr>
          <w:szCs w:val="24"/>
        </w:rPr>
        <w:t xml:space="preserve"> </w:t>
      </w:r>
      <w:r>
        <w:rPr>
          <w:szCs w:val="24"/>
          <w:lang w:val="es-ES_tradnl"/>
        </w:rPr>
        <w:t>“la Dependencia”) ofrece cursos para adultos y jóvenes en tres ámbitos principales:</w:t>
      </w:r>
      <w:r>
        <w:rPr>
          <w:szCs w:val="24"/>
        </w:rPr>
        <w:t xml:space="preserve"> </w:t>
      </w:r>
      <w:r>
        <w:rPr>
          <w:szCs w:val="24"/>
          <w:lang w:val="es-ES_tradnl"/>
        </w:rPr>
        <w:t xml:space="preserve">formación de adultos en cursos diurnos y nocturnos, formación para jóvenes y formación para técnicos e ingenieros prácticos. </w:t>
      </w:r>
    </w:p>
    <w:p w:rsidR="00F92819" w:rsidRDefault="00F92819">
      <w:pPr>
        <w:pStyle w:val="H23G"/>
        <w:rPr>
          <w:szCs w:val="24"/>
        </w:rPr>
      </w:pPr>
      <w:r>
        <w:rPr>
          <w:szCs w:val="24"/>
        </w:rPr>
        <w:tab/>
      </w:r>
      <w:r>
        <w:rPr>
          <w:szCs w:val="24"/>
        </w:rPr>
        <w:tab/>
      </w:r>
      <w:r>
        <w:rPr>
          <w:szCs w:val="24"/>
          <w:lang w:val="es-ES_tradnl"/>
        </w:rPr>
        <w:t>Cursos profesionales para adultos</w:t>
      </w:r>
    </w:p>
    <w:p w:rsidR="00F92819" w:rsidRDefault="00F92819">
      <w:pPr>
        <w:pStyle w:val="SingleTxtG"/>
        <w:rPr>
          <w:szCs w:val="24"/>
        </w:rPr>
      </w:pPr>
      <w:r>
        <w:rPr>
          <w:szCs w:val="24"/>
        </w:rPr>
        <w:t>203.</w:t>
      </w:r>
      <w:r>
        <w:rPr>
          <w:szCs w:val="24"/>
        </w:rPr>
        <w:tab/>
      </w:r>
      <w:r>
        <w:rPr>
          <w:szCs w:val="24"/>
          <w:lang w:val="es-ES_tradnl"/>
        </w:rPr>
        <w:t>La formación profesional para adultos se da como enseñanza diurna, cursos nocturnos complementarios y formación de ingeniería técnica y práctica:</w:t>
      </w:r>
    </w:p>
    <w:p w:rsidR="00F92819" w:rsidRDefault="00F92819">
      <w:pPr>
        <w:pStyle w:val="SingleTxtG"/>
        <w:ind w:left="1701"/>
        <w:rPr>
          <w:szCs w:val="24"/>
        </w:rPr>
      </w:pPr>
      <w:r>
        <w:rPr>
          <w:szCs w:val="24"/>
        </w:rPr>
        <w:t>203.1</w:t>
      </w:r>
      <w:r>
        <w:rPr>
          <w:szCs w:val="24"/>
        </w:rPr>
        <w:tab/>
      </w:r>
      <w:r>
        <w:rPr>
          <w:i/>
          <w:szCs w:val="24"/>
          <w:lang w:val="es-ES_tradnl"/>
        </w:rPr>
        <w:t>Formación diurna</w:t>
      </w:r>
      <w:r>
        <w:rPr>
          <w:szCs w:val="24"/>
          <w:lang w:val="es-ES_tradnl"/>
        </w:rPr>
        <w:t>:</w:t>
      </w:r>
      <w:r>
        <w:rPr>
          <w:szCs w:val="24"/>
        </w:rPr>
        <w:t xml:space="preserve"> </w:t>
      </w:r>
      <w:r>
        <w:rPr>
          <w:szCs w:val="24"/>
          <w:lang w:val="es-ES_tradnl"/>
        </w:rPr>
        <w:t>Destinada a solicitantes de empleo remitidos por el Servicio de Empleo y centrada en las poblaciones que reciben un sostenimiento de la renta, especialmente en profesiones con falta de mano de obra a nivel nacional durante períodos prolongados (por ejemplo, metalurgia, construcción y electricidad).</w:t>
      </w:r>
      <w:r>
        <w:rPr>
          <w:szCs w:val="24"/>
        </w:rPr>
        <w:t xml:space="preserve"> </w:t>
      </w:r>
      <w:r>
        <w:rPr>
          <w:szCs w:val="24"/>
          <w:lang w:val="es-ES_tradnl"/>
        </w:rPr>
        <w:t>La formación es impartida por instructores expertos de institutos de formación profesional, escuelas especializadas y centros de capacitación estatales.</w:t>
      </w:r>
    </w:p>
    <w:p w:rsidR="00F92819" w:rsidRDefault="00F92819">
      <w:pPr>
        <w:pStyle w:val="SingleTxtG"/>
        <w:ind w:left="1701"/>
        <w:rPr>
          <w:szCs w:val="24"/>
        </w:rPr>
      </w:pPr>
      <w:r>
        <w:rPr>
          <w:szCs w:val="24"/>
        </w:rPr>
        <w:t>203.2</w:t>
      </w:r>
      <w:r>
        <w:rPr>
          <w:szCs w:val="24"/>
        </w:rPr>
        <w:tab/>
      </w:r>
      <w:r>
        <w:rPr>
          <w:szCs w:val="24"/>
          <w:lang w:val="es-ES_tradnl"/>
        </w:rPr>
        <w:t>En los últimos años, la Dependencia ha llevado a cabo programas de formación para empleados individuales en el ámbito de “clase en la fábrica” y “clase de prácticas” (véase el cuadro 6 siguiente).</w:t>
      </w:r>
      <w:r>
        <w:rPr>
          <w:szCs w:val="24"/>
        </w:rPr>
        <w:t xml:space="preserve"> </w:t>
      </w:r>
      <w:r>
        <w:rPr>
          <w:szCs w:val="24"/>
          <w:lang w:val="es-ES_tradnl"/>
        </w:rPr>
        <w:t>El programa de “clase en la fábrica” se realiza en colaboración con el empleador y a menudo se imparte en el lugar de trabajo.</w:t>
      </w:r>
      <w:r>
        <w:rPr>
          <w:szCs w:val="24"/>
        </w:rPr>
        <w:t xml:space="preserve"> S</w:t>
      </w:r>
      <w:r w:rsidRPr="00B17DDE">
        <w:rPr>
          <w:noProof/>
          <w:szCs w:val="24"/>
        </w:rPr>
        <w:t>e adapta a las necesidades y requisitos de los empleadores y los participantes se escogen con arreglo a las aptitudes que determina el empleador.</w:t>
      </w:r>
    </w:p>
    <w:p w:rsidR="00F92819" w:rsidRDefault="00F92819">
      <w:pPr>
        <w:pStyle w:val="SingleTxtG"/>
        <w:ind w:left="1701"/>
        <w:rPr>
          <w:szCs w:val="24"/>
        </w:rPr>
      </w:pPr>
      <w:r>
        <w:rPr>
          <w:szCs w:val="24"/>
        </w:rPr>
        <w:t>203.3</w:t>
      </w:r>
      <w:r>
        <w:rPr>
          <w:szCs w:val="24"/>
        </w:rPr>
        <w:tab/>
      </w:r>
      <w:r>
        <w:rPr>
          <w:szCs w:val="24"/>
          <w:lang w:val="es-ES_tradnl"/>
        </w:rPr>
        <w:t>En el programa de clases prácticas, el centro de enseñanza que lleva a cabo el curso se compromete a buscar empleo al 50% de quienes se gradúan.</w:t>
      </w:r>
      <w:r>
        <w:rPr>
          <w:szCs w:val="24"/>
        </w:rPr>
        <w:t xml:space="preserve"> </w:t>
      </w:r>
      <w:r>
        <w:rPr>
          <w:szCs w:val="24"/>
          <w:lang w:val="es-ES_tradnl"/>
        </w:rPr>
        <w:t>La formación dura entre cuatro y doce meses.</w:t>
      </w:r>
    </w:p>
    <w:p w:rsidR="00F92819" w:rsidRDefault="00F92819">
      <w:pPr>
        <w:pStyle w:val="SingleTxtG"/>
        <w:ind w:left="1701"/>
        <w:rPr>
          <w:szCs w:val="24"/>
        </w:rPr>
      </w:pPr>
      <w:r>
        <w:rPr>
          <w:szCs w:val="24"/>
        </w:rPr>
        <w:t>203.4</w:t>
      </w:r>
      <w:r>
        <w:rPr>
          <w:szCs w:val="24"/>
        </w:rPr>
        <w:tab/>
      </w:r>
      <w:r>
        <w:rPr>
          <w:szCs w:val="24"/>
          <w:lang w:val="es-ES_tradnl"/>
        </w:rPr>
        <w:t xml:space="preserve">Otro marco formativo que se da en el lugar de trabajo se denomina “programa de capacitación interno” y exige la contratación de nuevos trabajadores en empleos a jornada completa con el salario mínimo. </w:t>
      </w:r>
    </w:p>
    <w:p w:rsidR="00F92819" w:rsidRDefault="00F92819">
      <w:pPr>
        <w:pStyle w:val="SingleTxtG"/>
        <w:ind w:left="1701"/>
        <w:rPr>
          <w:szCs w:val="24"/>
        </w:rPr>
      </w:pPr>
      <w:r>
        <w:rPr>
          <w:szCs w:val="24"/>
        </w:rPr>
        <w:t>203.5</w:t>
      </w:r>
      <w:r>
        <w:rPr>
          <w:szCs w:val="24"/>
        </w:rPr>
        <w:tab/>
      </w:r>
      <w:r>
        <w:rPr>
          <w:i/>
          <w:szCs w:val="24"/>
          <w:lang w:val="es-ES_tradnl"/>
        </w:rPr>
        <w:t>Escuelas de comercio:</w:t>
      </w:r>
      <w:r>
        <w:rPr>
          <w:szCs w:val="24"/>
          <w:lang w:val="es-ES_tradnl"/>
        </w:rPr>
        <w:t xml:space="preserve"> la formación se lleva a cabo por escuelas reconocidas por el Ministerio de Industria, Comercio y Trabajo y cuya pedagogía supervisa </w:t>
      </w:r>
      <w:smartTag w:uri="urn:schemas-microsoft-com:office:smarttags" w:element="PersonName">
        <w:smartTagPr>
          <w:attr w:name="ProductID" w:val="la Divisi￳n. Imparten"/>
        </w:smartTagPr>
        <w:r>
          <w:rPr>
            <w:szCs w:val="24"/>
            <w:lang w:val="es-ES_tradnl"/>
          </w:rPr>
          <w:t>la División. Imparten</w:t>
        </w:r>
      </w:smartTag>
      <w:r>
        <w:rPr>
          <w:szCs w:val="24"/>
          <w:lang w:val="es-ES_tradnl"/>
        </w:rPr>
        <w:t xml:space="preserve"> enseñanza sobre profesiones para las que existe una demanda económica a nivel nacional.</w:t>
      </w:r>
      <w:r>
        <w:rPr>
          <w:szCs w:val="24"/>
        </w:rPr>
        <w:t xml:space="preserve"> </w:t>
      </w:r>
      <w:r>
        <w:rPr>
          <w:szCs w:val="24"/>
          <w:lang w:val="es-ES_tradnl"/>
        </w:rPr>
        <w:t xml:space="preserve">El programa está dirigido al público en general y los alumnos se hacen cargo de la totalidad del importe de las clases. </w:t>
      </w:r>
    </w:p>
    <w:p w:rsidR="00F92819" w:rsidRDefault="00F92819">
      <w:pPr>
        <w:pStyle w:val="SingleTxtG"/>
        <w:rPr>
          <w:szCs w:val="24"/>
        </w:rPr>
      </w:pPr>
      <w:r>
        <w:rPr>
          <w:szCs w:val="24"/>
          <w:lang w:val="es-ES_tradnl"/>
        </w:rPr>
        <w:t>Cabe señalar que en todos los ámbitos (formación diurna y escuelas de comercio) se realizan exámenes teóricos y prácticos.</w:t>
      </w:r>
      <w:r>
        <w:rPr>
          <w:szCs w:val="24"/>
        </w:rPr>
        <w:t xml:space="preserve"> </w:t>
      </w:r>
      <w:r>
        <w:rPr>
          <w:szCs w:val="24"/>
          <w:lang w:val="es-ES_tradnl"/>
        </w:rPr>
        <w:t>Quienes aprueban los exámenes obtienen un diploma, un certificado profesional o una licencia profesional.</w:t>
      </w:r>
    </w:p>
    <w:p w:rsidR="00F92819" w:rsidRDefault="00F92819">
      <w:pPr>
        <w:pStyle w:val="Heading1"/>
        <w:spacing w:before="240"/>
        <w:rPr>
          <w:szCs w:val="24"/>
        </w:rPr>
      </w:pPr>
      <w:r>
        <w:rPr>
          <w:szCs w:val="24"/>
          <w:lang w:val="es-ES_tradnl"/>
        </w:rPr>
        <w:t>Cuadro 6</w:t>
      </w:r>
    </w:p>
    <w:p w:rsidR="00F92819" w:rsidRDefault="00F92819">
      <w:pPr>
        <w:pStyle w:val="SingleTxtG"/>
        <w:rPr>
          <w:b/>
          <w:szCs w:val="24"/>
        </w:rPr>
      </w:pPr>
      <w:r>
        <w:rPr>
          <w:b/>
          <w:szCs w:val="24"/>
          <w:lang w:val="es-ES_tradnl"/>
        </w:rPr>
        <w:t>Datos comparativos de formaci</w:t>
      </w:r>
      <w:r w:rsidR="009A65F8">
        <w:rPr>
          <w:b/>
          <w:szCs w:val="24"/>
          <w:lang w:val="es-ES_tradnl"/>
        </w:rPr>
        <w:t>ón profesional de adultos, 2002-</w:t>
      </w:r>
      <w:r>
        <w:rPr>
          <w:b/>
          <w:szCs w:val="24"/>
          <w:lang w:val="es-ES_tradnl"/>
        </w:rPr>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10"/>
        <w:gridCol w:w="826"/>
        <w:gridCol w:w="827"/>
        <w:gridCol w:w="827"/>
        <w:gridCol w:w="826"/>
        <w:gridCol w:w="827"/>
        <w:gridCol w:w="827"/>
      </w:tblGrid>
      <w:tr w:rsidR="00F92819">
        <w:trPr>
          <w:tblHeader/>
        </w:trPr>
        <w:tc>
          <w:tcPr>
            <w:tcW w:w="2410" w:type="dxa"/>
            <w:tcBorders>
              <w:top w:val="single" w:sz="4" w:space="0" w:color="auto"/>
              <w:bottom w:val="single" w:sz="12" w:space="0" w:color="auto"/>
            </w:tcBorders>
            <w:vAlign w:val="bottom"/>
          </w:tcPr>
          <w:p w:rsidR="00F92819" w:rsidRDefault="00F92819">
            <w:pPr>
              <w:spacing w:before="80" w:after="80" w:line="200" w:lineRule="exact"/>
              <w:rPr>
                <w:szCs w:val="24"/>
              </w:rPr>
            </w:pPr>
            <w:r>
              <w:rPr>
                <w:i/>
                <w:sz w:val="16"/>
                <w:szCs w:val="24"/>
                <w:lang w:val="es-ES_tradnl"/>
              </w:rPr>
              <w:t>Año</w:t>
            </w:r>
          </w:p>
        </w:tc>
        <w:tc>
          <w:tcPr>
            <w:tcW w:w="826"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2002</w:t>
            </w:r>
          </w:p>
        </w:tc>
        <w:tc>
          <w:tcPr>
            <w:tcW w:w="827"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2003</w:t>
            </w:r>
          </w:p>
        </w:tc>
        <w:tc>
          <w:tcPr>
            <w:tcW w:w="827"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2004</w:t>
            </w:r>
          </w:p>
        </w:tc>
        <w:tc>
          <w:tcPr>
            <w:tcW w:w="826"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2005</w:t>
            </w:r>
          </w:p>
        </w:tc>
        <w:tc>
          <w:tcPr>
            <w:tcW w:w="827"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2006</w:t>
            </w:r>
          </w:p>
        </w:tc>
        <w:tc>
          <w:tcPr>
            <w:tcW w:w="827"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2007</w:t>
            </w:r>
          </w:p>
        </w:tc>
      </w:tr>
      <w:tr w:rsidR="00F92819">
        <w:tc>
          <w:tcPr>
            <w:tcW w:w="2410" w:type="dxa"/>
            <w:tcBorders>
              <w:top w:val="single" w:sz="12" w:space="0" w:color="auto"/>
              <w:bottom w:val="single" w:sz="4" w:space="0" w:color="auto"/>
            </w:tcBorders>
            <w:vAlign w:val="bottom"/>
          </w:tcPr>
          <w:p w:rsidR="00F92819" w:rsidRDefault="00F92819">
            <w:pPr>
              <w:spacing w:before="80" w:after="80" w:line="220" w:lineRule="exact"/>
              <w:ind w:left="284"/>
              <w:rPr>
                <w:szCs w:val="24"/>
              </w:rPr>
            </w:pPr>
            <w:r>
              <w:rPr>
                <w:b/>
                <w:sz w:val="18"/>
                <w:szCs w:val="24"/>
                <w:lang w:val="es-ES_tradnl"/>
              </w:rPr>
              <w:t>Total</w:t>
            </w:r>
          </w:p>
        </w:tc>
        <w:tc>
          <w:tcPr>
            <w:tcW w:w="826"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60 638</w:t>
            </w:r>
          </w:p>
        </w:tc>
        <w:tc>
          <w:tcPr>
            <w:tcW w:w="827"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48 015</w:t>
            </w:r>
          </w:p>
        </w:tc>
        <w:tc>
          <w:tcPr>
            <w:tcW w:w="827"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47 395</w:t>
            </w:r>
          </w:p>
        </w:tc>
        <w:tc>
          <w:tcPr>
            <w:tcW w:w="826"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50 146</w:t>
            </w:r>
          </w:p>
        </w:tc>
        <w:tc>
          <w:tcPr>
            <w:tcW w:w="827"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40 690</w:t>
            </w:r>
          </w:p>
        </w:tc>
        <w:tc>
          <w:tcPr>
            <w:tcW w:w="827"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43 707</w:t>
            </w:r>
          </w:p>
        </w:tc>
      </w:tr>
      <w:tr w:rsidR="00F92819">
        <w:tc>
          <w:tcPr>
            <w:tcW w:w="2410"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Formación diurna</w:t>
            </w:r>
          </w:p>
        </w:tc>
        <w:tc>
          <w:tcPr>
            <w:tcW w:w="826"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28 049</w:t>
            </w:r>
          </w:p>
        </w:tc>
        <w:tc>
          <w:tcPr>
            <w:tcW w:w="827"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15 248</w:t>
            </w:r>
          </w:p>
        </w:tc>
        <w:tc>
          <w:tcPr>
            <w:tcW w:w="827"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12 971</w:t>
            </w:r>
          </w:p>
        </w:tc>
        <w:tc>
          <w:tcPr>
            <w:tcW w:w="826"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9 095</w:t>
            </w:r>
          </w:p>
        </w:tc>
        <w:tc>
          <w:tcPr>
            <w:tcW w:w="827"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6 927</w:t>
            </w:r>
          </w:p>
        </w:tc>
        <w:tc>
          <w:tcPr>
            <w:tcW w:w="827"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3 330</w:t>
            </w:r>
          </w:p>
        </w:tc>
      </w:tr>
      <w:tr w:rsidR="00F92819">
        <w:tc>
          <w:tcPr>
            <w:tcW w:w="2410" w:type="dxa"/>
            <w:vAlign w:val="bottom"/>
          </w:tcPr>
          <w:p w:rsidR="00F92819" w:rsidRDefault="00F92819">
            <w:pPr>
              <w:spacing w:before="40" w:after="40" w:line="220" w:lineRule="exact"/>
              <w:rPr>
                <w:szCs w:val="24"/>
              </w:rPr>
            </w:pPr>
            <w:r>
              <w:rPr>
                <w:sz w:val="18"/>
                <w:szCs w:val="24"/>
                <w:lang w:val="es-ES_tradnl"/>
              </w:rPr>
              <w:t>Reciclaje profesional de académicos</w:t>
            </w:r>
          </w:p>
        </w:tc>
        <w:tc>
          <w:tcPr>
            <w:tcW w:w="826" w:type="dxa"/>
            <w:vAlign w:val="bottom"/>
          </w:tcPr>
          <w:p w:rsidR="00F92819" w:rsidRDefault="00F92819">
            <w:pPr>
              <w:spacing w:before="40" w:after="40" w:line="220" w:lineRule="exact"/>
              <w:jc w:val="right"/>
              <w:rPr>
                <w:sz w:val="18"/>
                <w:szCs w:val="24"/>
              </w:rPr>
            </w:pPr>
            <w:r>
              <w:rPr>
                <w:sz w:val="18"/>
                <w:szCs w:val="24"/>
              </w:rPr>
              <w:t>2 844</w:t>
            </w:r>
          </w:p>
        </w:tc>
        <w:tc>
          <w:tcPr>
            <w:tcW w:w="827" w:type="dxa"/>
            <w:vAlign w:val="bottom"/>
          </w:tcPr>
          <w:p w:rsidR="00F92819" w:rsidRDefault="00F92819">
            <w:pPr>
              <w:spacing w:before="40" w:after="40" w:line="220" w:lineRule="exact"/>
              <w:jc w:val="right"/>
              <w:rPr>
                <w:sz w:val="18"/>
                <w:szCs w:val="24"/>
              </w:rPr>
            </w:pPr>
            <w:r>
              <w:rPr>
                <w:sz w:val="18"/>
                <w:szCs w:val="24"/>
              </w:rPr>
              <w:t>1 940</w:t>
            </w:r>
          </w:p>
        </w:tc>
        <w:tc>
          <w:tcPr>
            <w:tcW w:w="827" w:type="dxa"/>
            <w:vAlign w:val="bottom"/>
          </w:tcPr>
          <w:p w:rsidR="00F92819" w:rsidRDefault="00F92819">
            <w:pPr>
              <w:spacing w:before="40" w:after="40" w:line="220" w:lineRule="exact"/>
              <w:jc w:val="right"/>
              <w:rPr>
                <w:sz w:val="18"/>
                <w:szCs w:val="24"/>
              </w:rPr>
            </w:pPr>
            <w:r>
              <w:rPr>
                <w:sz w:val="18"/>
                <w:szCs w:val="24"/>
              </w:rPr>
              <w:t>806</w:t>
            </w:r>
          </w:p>
        </w:tc>
        <w:tc>
          <w:tcPr>
            <w:tcW w:w="826" w:type="dxa"/>
            <w:vAlign w:val="bottom"/>
          </w:tcPr>
          <w:p w:rsidR="00F92819" w:rsidRDefault="00F92819">
            <w:pPr>
              <w:spacing w:before="40" w:after="40" w:line="220" w:lineRule="exact"/>
              <w:jc w:val="right"/>
              <w:rPr>
                <w:sz w:val="18"/>
                <w:szCs w:val="24"/>
              </w:rPr>
            </w:pPr>
            <w:r>
              <w:rPr>
                <w:sz w:val="18"/>
                <w:szCs w:val="24"/>
              </w:rPr>
              <w:t>771</w:t>
            </w:r>
          </w:p>
        </w:tc>
        <w:tc>
          <w:tcPr>
            <w:tcW w:w="827" w:type="dxa"/>
            <w:vAlign w:val="bottom"/>
          </w:tcPr>
          <w:p w:rsidR="00F92819" w:rsidRDefault="00F92819">
            <w:pPr>
              <w:spacing w:before="40" w:after="40" w:line="220" w:lineRule="exact"/>
              <w:jc w:val="right"/>
              <w:rPr>
                <w:sz w:val="18"/>
                <w:szCs w:val="24"/>
              </w:rPr>
            </w:pPr>
            <w:r>
              <w:rPr>
                <w:sz w:val="18"/>
                <w:szCs w:val="24"/>
              </w:rPr>
              <w:t>472</w:t>
            </w:r>
          </w:p>
        </w:tc>
        <w:tc>
          <w:tcPr>
            <w:tcW w:w="827" w:type="dxa"/>
            <w:vAlign w:val="bottom"/>
          </w:tcPr>
          <w:p w:rsidR="00F92819" w:rsidRDefault="00F92819">
            <w:pPr>
              <w:spacing w:before="40" w:after="40" w:line="220" w:lineRule="exact"/>
              <w:jc w:val="right"/>
              <w:rPr>
                <w:sz w:val="18"/>
                <w:szCs w:val="24"/>
              </w:rPr>
            </w:pPr>
            <w:r>
              <w:rPr>
                <w:sz w:val="18"/>
                <w:szCs w:val="24"/>
              </w:rPr>
              <w:t>225</w:t>
            </w:r>
          </w:p>
        </w:tc>
      </w:tr>
      <w:tr w:rsidR="00F92819">
        <w:tc>
          <w:tcPr>
            <w:tcW w:w="2410" w:type="dxa"/>
            <w:vAlign w:val="bottom"/>
          </w:tcPr>
          <w:p w:rsidR="00F92819" w:rsidRDefault="00F92819">
            <w:pPr>
              <w:spacing w:before="40" w:after="40" w:line="220" w:lineRule="exact"/>
              <w:rPr>
                <w:szCs w:val="24"/>
              </w:rPr>
            </w:pPr>
            <w:r>
              <w:rPr>
                <w:sz w:val="18"/>
                <w:szCs w:val="24"/>
                <w:lang w:val="es-ES_tradnl"/>
              </w:rPr>
              <w:t>Clases con prácticas</w:t>
            </w:r>
            <w:r>
              <w:rPr>
                <w:sz w:val="18"/>
                <w:szCs w:val="24"/>
              </w:rPr>
              <w:tab/>
            </w:r>
          </w:p>
        </w:tc>
        <w:tc>
          <w:tcPr>
            <w:tcW w:w="826" w:type="dxa"/>
            <w:vAlign w:val="bottom"/>
          </w:tcPr>
          <w:p w:rsidR="00F92819" w:rsidRDefault="00F92819">
            <w:pPr>
              <w:spacing w:before="40" w:after="40" w:line="220" w:lineRule="exact"/>
              <w:jc w:val="right"/>
              <w:rPr>
                <w:sz w:val="18"/>
                <w:szCs w:val="24"/>
              </w:rPr>
            </w:pPr>
          </w:p>
        </w:tc>
        <w:tc>
          <w:tcPr>
            <w:tcW w:w="827" w:type="dxa"/>
            <w:vAlign w:val="bottom"/>
          </w:tcPr>
          <w:p w:rsidR="00F92819" w:rsidRDefault="00F92819">
            <w:pPr>
              <w:spacing w:before="40" w:after="40" w:line="220" w:lineRule="exact"/>
              <w:jc w:val="right"/>
              <w:rPr>
                <w:sz w:val="18"/>
                <w:szCs w:val="24"/>
              </w:rPr>
            </w:pPr>
          </w:p>
        </w:tc>
        <w:tc>
          <w:tcPr>
            <w:tcW w:w="827" w:type="dxa"/>
            <w:vAlign w:val="bottom"/>
          </w:tcPr>
          <w:p w:rsidR="00F92819" w:rsidRDefault="00F92819">
            <w:pPr>
              <w:spacing w:before="40" w:after="40" w:line="220" w:lineRule="exact"/>
              <w:jc w:val="right"/>
              <w:rPr>
                <w:sz w:val="18"/>
                <w:szCs w:val="24"/>
              </w:rPr>
            </w:pPr>
            <w:r>
              <w:rPr>
                <w:sz w:val="18"/>
                <w:szCs w:val="24"/>
              </w:rPr>
              <w:t>158</w:t>
            </w:r>
          </w:p>
        </w:tc>
        <w:tc>
          <w:tcPr>
            <w:tcW w:w="826" w:type="dxa"/>
            <w:vAlign w:val="bottom"/>
          </w:tcPr>
          <w:p w:rsidR="00F92819" w:rsidRDefault="00F92819">
            <w:pPr>
              <w:spacing w:before="40" w:after="40" w:line="220" w:lineRule="exact"/>
              <w:jc w:val="right"/>
              <w:rPr>
                <w:sz w:val="18"/>
                <w:szCs w:val="24"/>
              </w:rPr>
            </w:pPr>
            <w:r>
              <w:rPr>
                <w:sz w:val="18"/>
                <w:szCs w:val="24"/>
              </w:rPr>
              <w:t>1 253</w:t>
            </w:r>
          </w:p>
        </w:tc>
        <w:tc>
          <w:tcPr>
            <w:tcW w:w="827" w:type="dxa"/>
            <w:vAlign w:val="bottom"/>
          </w:tcPr>
          <w:p w:rsidR="00F92819" w:rsidRDefault="00F92819">
            <w:pPr>
              <w:spacing w:before="40" w:after="40" w:line="220" w:lineRule="exact"/>
              <w:jc w:val="right"/>
              <w:rPr>
                <w:sz w:val="18"/>
                <w:szCs w:val="24"/>
              </w:rPr>
            </w:pPr>
            <w:r>
              <w:rPr>
                <w:sz w:val="18"/>
                <w:szCs w:val="24"/>
              </w:rPr>
              <w:t>1571</w:t>
            </w:r>
          </w:p>
        </w:tc>
        <w:tc>
          <w:tcPr>
            <w:tcW w:w="827" w:type="dxa"/>
            <w:vAlign w:val="bottom"/>
          </w:tcPr>
          <w:p w:rsidR="00F92819" w:rsidRDefault="00F92819">
            <w:pPr>
              <w:spacing w:before="40" w:after="40" w:line="220" w:lineRule="exact"/>
              <w:jc w:val="right"/>
              <w:rPr>
                <w:sz w:val="18"/>
                <w:szCs w:val="24"/>
              </w:rPr>
            </w:pPr>
            <w:r>
              <w:rPr>
                <w:sz w:val="18"/>
                <w:szCs w:val="24"/>
              </w:rPr>
              <w:t>1 710</w:t>
            </w:r>
          </w:p>
        </w:tc>
      </w:tr>
      <w:tr w:rsidR="00F92819">
        <w:tc>
          <w:tcPr>
            <w:tcW w:w="2410" w:type="dxa"/>
            <w:vAlign w:val="bottom"/>
          </w:tcPr>
          <w:p w:rsidR="00F92819" w:rsidRDefault="00F92819">
            <w:pPr>
              <w:spacing w:before="40" w:after="40" w:line="220" w:lineRule="exact"/>
              <w:rPr>
                <w:szCs w:val="24"/>
              </w:rPr>
            </w:pPr>
            <w:r>
              <w:rPr>
                <w:sz w:val="18"/>
                <w:szCs w:val="24"/>
                <w:lang w:val="es-ES_tradnl"/>
              </w:rPr>
              <w:t>Clases en el lugar de trabajo</w:t>
            </w:r>
          </w:p>
        </w:tc>
        <w:tc>
          <w:tcPr>
            <w:tcW w:w="826" w:type="dxa"/>
            <w:vAlign w:val="bottom"/>
          </w:tcPr>
          <w:p w:rsidR="00F92819" w:rsidRDefault="00F92819">
            <w:pPr>
              <w:spacing w:before="40" w:after="40" w:line="220" w:lineRule="exact"/>
              <w:jc w:val="right"/>
              <w:rPr>
                <w:sz w:val="18"/>
                <w:szCs w:val="24"/>
              </w:rPr>
            </w:pPr>
            <w:r>
              <w:rPr>
                <w:sz w:val="18"/>
                <w:szCs w:val="24"/>
              </w:rPr>
              <w:t>125</w:t>
            </w:r>
          </w:p>
        </w:tc>
        <w:tc>
          <w:tcPr>
            <w:tcW w:w="827" w:type="dxa"/>
            <w:vAlign w:val="bottom"/>
          </w:tcPr>
          <w:p w:rsidR="00F92819" w:rsidRDefault="00F92819">
            <w:pPr>
              <w:spacing w:before="40" w:after="40" w:line="220" w:lineRule="exact"/>
              <w:jc w:val="right"/>
              <w:rPr>
                <w:sz w:val="18"/>
                <w:szCs w:val="24"/>
              </w:rPr>
            </w:pPr>
            <w:r>
              <w:rPr>
                <w:sz w:val="18"/>
                <w:szCs w:val="24"/>
              </w:rPr>
              <w:t>108</w:t>
            </w:r>
          </w:p>
        </w:tc>
        <w:tc>
          <w:tcPr>
            <w:tcW w:w="827" w:type="dxa"/>
            <w:vAlign w:val="bottom"/>
          </w:tcPr>
          <w:p w:rsidR="00F92819" w:rsidRDefault="00F92819">
            <w:pPr>
              <w:spacing w:before="40" w:after="40" w:line="220" w:lineRule="exact"/>
              <w:jc w:val="right"/>
              <w:rPr>
                <w:sz w:val="18"/>
                <w:szCs w:val="24"/>
              </w:rPr>
            </w:pPr>
            <w:r>
              <w:rPr>
                <w:sz w:val="18"/>
                <w:szCs w:val="24"/>
              </w:rPr>
              <w:t>247</w:t>
            </w:r>
          </w:p>
        </w:tc>
        <w:tc>
          <w:tcPr>
            <w:tcW w:w="826" w:type="dxa"/>
            <w:vAlign w:val="bottom"/>
          </w:tcPr>
          <w:p w:rsidR="00F92819" w:rsidRDefault="00F92819">
            <w:pPr>
              <w:spacing w:before="40" w:after="40" w:line="220" w:lineRule="exact"/>
              <w:jc w:val="right"/>
              <w:rPr>
                <w:sz w:val="18"/>
                <w:szCs w:val="24"/>
              </w:rPr>
            </w:pPr>
            <w:r>
              <w:rPr>
                <w:sz w:val="18"/>
                <w:szCs w:val="24"/>
              </w:rPr>
              <w:t>351</w:t>
            </w:r>
          </w:p>
        </w:tc>
        <w:tc>
          <w:tcPr>
            <w:tcW w:w="827" w:type="dxa"/>
            <w:vAlign w:val="bottom"/>
          </w:tcPr>
          <w:p w:rsidR="00F92819" w:rsidRDefault="00F92819">
            <w:pPr>
              <w:spacing w:before="40" w:after="40" w:line="220" w:lineRule="exact"/>
              <w:jc w:val="right"/>
              <w:rPr>
                <w:sz w:val="18"/>
                <w:szCs w:val="24"/>
              </w:rPr>
            </w:pPr>
            <w:r>
              <w:rPr>
                <w:sz w:val="18"/>
                <w:szCs w:val="24"/>
              </w:rPr>
              <w:t>242</w:t>
            </w:r>
          </w:p>
        </w:tc>
        <w:tc>
          <w:tcPr>
            <w:tcW w:w="827" w:type="dxa"/>
            <w:vAlign w:val="bottom"/>
          </w:tcPr>
          <w:p w:rsidR="00F92819" w:rsidRDefault="00F92819">
            <w:pPr>
              <w:spacing w:before="40" w:after="40" w:line="220" w:lineRule="exact"/>
              <w:jc w:val="right"/>
              <w:rPr>
                <w:sz w:val="18"/>
                <w:szCs w:val="24"/>
              </w:rPr>
            </w:pPr>
            <w:r>
              <w:rPr>
                <w:sz w:val="18"/>
                <w:szCs w:val="24"/>
              </w:rPr>
              <w:t>162</w:t>
            </w:r>
          </w:p>
        </w:tc>
      </w:tr>
      <w:tr w:rsidR="00F92819">
        <w:tc>
          <w:tcPr>
            <w:tcW w:w="2410" w:type="dxa"/>
            <w:vAlign w:val="bottom"/>
          </w:tcPr>
          <w:p w:rsidR="00F92819" w:rsidRDefault="00F92819">
            <w:pPr>
              <w:keepNext/>
              <w:keepLines/>
              <w:spacing w:before="40" w:after="40" w:line="220" w:lineRule="exact"/>
              <w:rPr>
                <w:szCs w:val="24"/>
              </w:rPr>
            </w:pPr>
            <w:r>
              <w:rPr>
                <w:sz w:val="18"/>
                <w:szCs w:val="24"/>
                <w:lang w:val="es-ES_tradnl"/>
              </w:rPr>
              <w:t>Capacitación en el empleo</w:t>
            </w:r>
          </w:p>
        </w:tc>
        <w:tc>
          <w:tcPr>
            <w:tcW w:w="826" w:type="dxa"/>
            <w:vAlign w:val="bottom"/>
          </w:tcPr>
          <w:p w:rsidR="00F92819" w:rsidRDefault="00F92819">
            <w:pPr>
              <w:keepNext/>
              <w:keepLines/>
              <w:spacing w:before="40" w:after="40" w:line="220" w:lineRule="exact"/>
              <w:jc w:val="right"/>
              <w:rPr>
                <w:sz w:val="18"/>
                <w:szCs w:val="24"/>
              </w:rPr>
            </w:pPr>
          </w:p>
        </w:tc>
        <w:tc>
          <w:tcPr>
            <w:tcW w:w="827" w:type="dxa"/>
            <w:vAlign w:val="bottom"/>
          </w:tcPr>
          <w:p w:rsidR="00F92819" w:rsidRDefault="00F92819">
            <w:pPr>
              <w:keepNext/>
              <w:keepLines/>
              <w:spacing w:before="40" w:after="40" w:line="220" w:lineRule="exact"/>
              <w:jc w:val="right"/>
              <w:rPr>
                <w:sz w:val="18"/>
                <w:szCs w:val="24"/>
              </w:rPr>
            </w:pPr>
            <w:r>
              <w:rPr>
                <w:sz w:val="18"/>
                <w:szCs w:val="24"/>
              </w:rPr>
              <w:t>401</w:t>
            </w:r>
          </w:p>
        </w:tc>
        <w:tc>
          <w:tcPr>
            <w:tcW w:w="827" w:type="dxa"/>
            <w:vAlign w:val="bottom"/>
          </w:tcPr>
          <w:p w:rsidR="00F92819" w:rsidRDefault="00F92819">
            <w:pPr>
              <w:keepNext/>
              <w:keepLines/>
              <w:spacing w:before="40" w:after="40" w:line="220" w:lineRule="exact"/>
              <w:jc w:val="right"/>
              <w:rPr>
                <w:sz w:val="18"/>
                <w:szCs w:val="24"/>
              </w:rPr>
            </w:pPr>
            <w:r>
              <w:rPr>
                <w:sz w:val="18"/>
                <w:szCs w:val="24"/>
              </w:rPr>
              <w:t>301</w:t>
            </w:r>
          </w:p>
        </w:tc>
        <w:tc>
          <w:tcPr>
            <w:tcW w:w="826" w:type="dxa"/>
            <w:vAlign w:val="bottom"/>
          </w:tcPr>
          <w:p w:rsidR="00F92819" w:rsidRDefault="00F92819">
            <w:pPr>
              <w:keepNext/>
              <w:keepLines/>
              <w:spacing w:before="40" w:after="40" w:line="220" w:lineRule="exact"/>
              <w:jc w:val="right"/>
              <w:rPr>
                <w:sz w:val="18"/>
                <w:szCs w:val="24"/>
              </w:rPr>
            </w:pPr>
            <w:r>
              <w:rPr>
                <w:sz w:val="18"/>
                <w:szCs w:val="24"/>
              </w:rPr>
              <w:t>115</w:t>
            </w:r>
          </w:p>
        </w:tc>
        <w:tc>
          <w:tcPr>
            <w:tcW w:w="827" w:type="dxa"/>
            <w:vAlign w:val="bottom"/>
          </w:tcPr>
          <w:p w:rsidR="00F92819" w:rsidRDefault="00F92819">
            <w:pPr>
              <w:keepNext/>
              <w:keepLines/>
              <w:spacing w:before="40" w:after="40" w:line="220" w:lineRule="exact"/>
              <w:jc w:val="right"/>
              <w:rPr>
                <w:sz w:val="18"/>
                <w:szCs w:val="24"/>
              </w:rPr>
            </w:pPr>
            <w:r>
              <w:rPr>
                <w:sz w:val="18"/>
                <w:szCs w:val="24"/>
              </w:rPr>
              <w:t>206</w:t>
            </w:r>
          </w:p>
        </w:tc>
        <w:tc>
          <w:tcPr>
            <w:tcW w:w="827" w:type="dxa"/>
            <w:vAlign w:val="bottom"/>
          </w:tcPr>
          <w:p w:rsidR="00F92819" w:rsidRDefault="00F92819">
            <w:pPr>
              <w:keepNext/>
              <w:keepLines/>
              <w:spacing w:before="40" w:after="40" w:line="220" w:lineRule="exact"/>
              <w:jc w:val="right"/>
              <w:rPr>
                <w:sz w:val="18"/>
                <w:szCs w:val="24"/>
              </w:rPr>
            </w:pPr>
            <w:r>
              <w:rPr>
                <w:sz w:val="18"/>
                <w:szCs w:val="24"/>
              </w:rPr>
              <w:t>131</w:t>
            </w:r>
          </w:p>
        </w:tc>
      </w:tr>
      <w:tr w:rsidR="00F92819">
        <w:tc>
          <w:tcPr>
            <w:tcW w:w="2410" w:type="dxa"/>
            <w:tcBorders>
              <w:bottom w:val="single" w:sz="12" w:space="0" w:color="auto"/>
            </w:tcBorders>
            <w:vAlign w:val="bottom"/>
          </w:tcPr>
          <w:p w:rsidR="00F92819" w:rsidRDefault="00F92819">
            <w:pPr>
              <w:keepNext/>
              <w:keepLines/>
              <w:spacing w:before="40" w:after="40" w:line="220" w:lineRule="exact"/>
              <w:rPr>
                <w:szCs w:val="24"/>
              </w:rPr>
            </w:pPr>
            <w:r>
              <w:rPr>
                <w:sz w:val="18"/>
                <w:szCs w:val="24"/>
                <w:lang w:val="es-ES_tradnl"/>
              </w:rPr>
              <w:t>Estudios complementarios y cursos nocturnos</w:t>
            </w:r>
          </w:p>
        </w:tc>
        <w:tc>
          <w:tcPr>
            <w:tcW w:w="826"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29 620</w:t>
            </w:r>
          </w:p>
        </w:tc>
        <w:tc>
          <w:tcPr>
            <w:tcW w:w="827"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30 318</w:t>
            </w:r>
          </w:p>
        </w:tc>
        <w:tc>
          <w:tcPr>
            <w:tcW w:w="827"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32 912</w:t>
            </w:r>
          </w:p>
        </w:tc>
        <w:tc>
          <w:tcPr>
            <w:tcW w:w="826"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38 561</w:t>
            </w:r>
          </w:p>
        </w:tc>
        <w:tc>
          <w:tcPr>
            <w:tcW w:w="827"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31 272</w:t>
            </w:r>
          </w:p>
        </w:tc>
        <w:tc>
          <w:tcPr>
            <w:tcW w:w="827"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38 149</w:t>
            </w:r>
          </w:p>
        </w:tc>
      </w:tr>
    </w:tbl>
    <w:p w:rsidR="00F92819" w:rsidRDefault="00F92819">
      <w:pPr>
        <w:keepNext/>
        <w:keepLines/>
        <w:spacing w:before="120" w:after="240"/>
        <w:ind w:left="1134" w:right="1134" w:firstLine="170"/>
        <w:rPr>
          <w:szCs w:val="24"/>
        </w:rPr>
      </w:pPr>
      <w:r>
        <w:rPr>
          <w:i/>
          <w:sz w:val="18"/>
          <w:szCs w:val="24"/>
          <w:lang w:val="es-ES_tradnl"/>
        </w:rPr>
        <w:t>Fuente:</w:t>
      </w:r>
      <w:r>
        <w:rPr>
          <w:sz w:val="18"/>
          <w:szCs w:val="24"/>
        </w:rPr>
        <w:t xml:space="preserve"> Ministerio</w:t>
      </w:r>
      <w:r>
        <w:rPr>
          <w:sz w:val="18"/>
          <w:szCs w:val="24"/>
          <w:lang w:val="es-ES_tradnl"/>
        </w:rPr>
        <w:t xml:space="preserve"> de Industria, Comercio y Trabajo, 2008.</w:t>
      </w:r>
    </w:p>
    <w:p w:rsidR="00F92819" w:rsidRDefault="00F92819">
      <w:pPr>
        <w:pStyle w:val="H23G"/>
        <w:rPr>
          <w:szCs w:val="24"/>
        </w:rPr>
      </w:pPr>
      <w:r>
        <w:rPr>
          <w:szCs w:val="24"/>
        </w:rPr>
        <w:tab/>
      </w:r>
      <w:r>
        <w:rPr>
          <w:szCs w:val="24"/>
        </w:rPr>
        <w:tab/>
      </w:r>
      <w:r>
        <w:rPr>
          <w:szCs w:val="24"/>
          <w:lang w:val="es-ES_tradnl"/>
        </w:rPr>
        <w:t>Escuelas de formación profesional para jóvenes</w:t>
      </w:r>
    </w:p>
    <w:p w:rsidR="00F92819" w:rsidRDefault="00F92819">
      <w:pPr>
        <w:pStyle w:val="SingleTxtG"/>
        <w:rPr>
          <w:szCs w:val="24"/>
        </w:rPr>
      </w:pPr>
      <w:r>
        <w:rPr>
          <w:szCs w:val="24"/>
        </w:rPr>
        <w:t>204.</w:t>
      </w:r>
      <w:r>
        <w:rPr>
          <w:szCs w:val="24"/>
        </w:rPr>
        <w:tab/>
      </w:r>
      <w:r>
        <w:rPr>
          <w:szCs w:val="24"/>
          <w:lang w:val="es-ES_tradnl"/>
        </w:rPr>
        <w:t>Los programas de formación profesional para jóvenes están encaminados a adquirir una profesión combinando teoría y práctica profesional.</w:t>
      </w:r>
      <w:r>
        <w:rPr>
          <w:szCs w:val="24"/>
        </w:rPr>
        <w:t xml:space="preserve"> </w:t>
      </w:r>
      <w:r>
        <w:rPr>
          <w:szCs w:val="24"/>
          <w:lang w:val="es-ES_tradnl"/>
        </w:rPr>
        <w:t>El Ministerio de Industria, Comercio y Trabajo facilita la formación profesional de jóvenes en 70 sectores distintos.</w:t>
      </w:r>
    </w:p>
    <w:p w:rsidR="00F92819" w:rsidRDefault="00F92819">
      <w:pPr>
        <w:pStyle w:val="SingleTxtG"/>
        <w:rPr>
          <w:szCs w:val="24"/>
        </w:rPr>
      </w:pPr>
      <w:r>
        <w:rPr>
          <w:szCs w:val="24"/>
        </w:rPr>
        <w:t>205.</w:t>
      </w:r>
      <w:r>
        <w:rPr>
          <w:szCs w:val="24"/>
        </w:rPr>
        <w:tab/>
      </w:r>
      <w:r>
        <w:rPr>
          <w:szCs w:val="24"/>
          <w:lang w:val="es-ES_tradnl"/>
        </w:rPr>
        <w:t>En 2007, 14.200 alumnos asistieron a 71 centros de formación profesional supervisados por el Ministerio, de los cuales 11.555 (81,4%) eran chicos y 2.641 (18,6%) eran chicas.</w:t>
      </w:r>
      <w:r>
        <w:rPr>
          <w:szCs w:val="24"/>
        </w:rPr>
        <w:t xml:space="preserve"> </w:t>
      </w:r>
      <w:r>
        <w:rPr>
          <w:szCs w:val="24"/>
          <w:lang w:val="es-ES_tradnl"/>
        </w:rPr>
        <w:t>55,6% de los alumnos eran judíos, 28,7% eran musulmanes, 3,7% eran drusos y 3,2%, cristianos.</w:t>
      </w:r>
    </w:p>
    <w:p w:rsidR="00F92819" w:rsidRDefault="00F92819">
      <w:pPr>
        <w:pStyle w:val="SingleTxtG"/>
        <w:rPr>
          <w:szCs w:val="24"/>
        </w:rPr>
      </w:pPr>
      <w:r>
        <w:rPr>
          <w:szCs w:val="24"/>
        </w:rPr>
        <w:t>206.</w:t>
      </w:r>
      <w:r>
        <w:rPr>
          <w:szCs w:val="24"/>
        </w:rPr>
        <w:tab/>
      </w:r>
      <w:r>
        <w:rPr>
          <w:szCs w:val="24"/>
          <w:lang w:val="es-ES_tradnl"/>
        </w:rPr>
        <w:t>Los sectores de formación más destacados en 2007 fueron los de automoción, electricidad y electrónica, administración y metalurgia.</w:t>
      </w:r>
    </w:p>
    <w:p w:rsidR="00F92819" w:rsidRDefault="00F92819">
      <w:pPr>
        <w:pStyle w:val="H23G"/>
        <w:rPr>
          <w:szCs w:val="24"/>
        </w:rPr>
      </w:pPr>
      <w:r>
        <w:rPr>
          <w:szCs w:val="24"/>
        </w:rPr>
        <w:tab/>
      </w:r>
      <w:r>
        <w:rPr>
          <w:szCs w:val="24"/>
        </w:rPr>
        <w:tab/>
      </w:r>
      <w:r>
        <w:rPr>
          <w:szCs w:val="24"/>
          <w:lang w:val="es-ES_tradnl"/>
        </w:rPr>
        <w:t>Formación de técnicos e ingenieros prácticos</w:t>
      </w:r>
    </w:p>
    <w:p w:rsidR="00F92819" w:rsidRDefault="00F92819">
      <w:pPr>
        <w:pStyle w:val="SingleTxtG"/>
        <w:rPr>
          <w:szCs w:val="24"/>
        </w:rPr>
      </w:pPr>
      <w:r>
        <w:rPr>
          <w:szCs w:val="24"/>
        </w:rPr>
        <w:t>207.</w:t>
      </w:r>
      <w:r>
        <w:rPr>
          <w:szCs w:val="24"/>
        </w:rPr>
        <w:tab/>
      </w:r>
      <w:r>
        <w:rPr>
          <w:szCs w:val="24"/>
          <w:lang w:val="es-ES_tradnl"/>
        </w:rPr>
        <w:t>Como se detalla en el anterior informe de Israel, la formación de técnicos e ingenieros prácticos está a cargo del Instituto Nacional de Formación Tecnológica (MAHAT), dentro del Ministerio de Industria, Comercio y Trabajo.</w:t>
      </w:r>
      <w:r>
        <w:rPr>
          <w:szCs w:val="24"/>
        </w:rPr>
        <w:t xml:space="preserve"> </w:t>
      </w:r>
      <w:r>
        <w:rPr>
          <w:szCs w:val="24"/>
          <w:lang w:val="es-ES_tradnl"/>
        </w:rPr>
        <w:t>El programa se lleva a cabo con la asistencia de 80 institutos de formación profesional de todo el país.</w:t>
      </w:r>
      <w:r>
        <w:rPr>
          <w:szCs w:val="24"/>
        </w:rPr>
        <w:t xml:space="preserve"> </w:t>
      </w:r>
      <w:r>
        <w:rPr>
          <w:szCs w:val="24"/>
          <w:lang w:val="es-ES_tradnl"/>
        </w:rPr>
        <w:t>El Instituto constituye también el marco oficial para el suministro de servicios pedagógicos a dichos institutos (programas de estudio, supervisión, exámenes y otorgamiento de diplomas a los graduados).</w:t>
      </w:r>
    </w:p>
    <w:p w:rsidR="00F92819" w:rsidRDefault="00F92819">
      <w:pPr>
        <w:pStyle w:val="SingleTxtG"/>
        <w:rPr>
          <w:szCs w:val="24"/>
        </w:rPr>
      </w:pPr>
      <w:r>
        <w:rPr>
          <w:szCs w:val="24"/>
        </w:rPr>
        <w:t>208.</w:t>
      </w:r>
      <w:r>
        <w:rPr>
          <w:szCs w:val="24"/>
        </w:rPr>
        <w:tab/>
      </w:r>
      <w:r>
        <w:rPr>
          <w:szCs w:val="24"/>
          <w:lang w:val="es-ES_tradnl"/>
        </w:rPr>
        <w:t>El MAHAT ofrece programas especiales para ayudar a las poblaciones débiles,</w:t>
      </w:r>
      <w:r>
        <w:rPr>
          <w:szCs w:val="24"/>
        </w:rPr>
        <w:t xml:space="preserve"> </w:t>
      </w:r>
      <w:r>
        <w:rPr>
          <w:szCs w:val="24"/>
          <w:lang w:val="es-ES_tradnl"/>
        </w:rPr>
        <w:t>como la comunidad judía ultraortodoxa (especialmente mujeres), las familias monoparentales (especialmente mujeres), los beduinos y los nuevos inmigrantes con necesidad de reciclarse profesionalmente, para que puedan integrarse más fácilmente en la población activa.</w:t>
      </w:r>
    </w:p>
    <w:p w:rsidR="00F92819" w:rsidRDefault="00F92819">
      <w:pPr>
        <w:pStyle w:val="SingleTxtG"/>
        <w:rPr>
          <w:szCs w:val="24"/>
        </w:rPr>
      </w:pPr>
      <w:r>
        <w:rPr>
          <w:szCs w:val="24"/>
        </w:rPr>
        <w:t>209.</w:t>
      </w:r>
      <w:r>
        <w:rPr>
          <w:szCs w:val="24"/>
        </w:rPr>
        <w:tab/>
      </w:r>
      <w:r>
        <w:rPr>
          <w:szCs w:val="24"/>
          <w:lang w:val="es-ES_tradnl"/>
        </w:rPr>
        <w:t>Durante 2007 el MAHAT acreditó a 21.197 técnicos e ingenieros prácticos (frente a 29.715 en 2006).</w:t>
      </w:r>
    </w:p>
    <w:p w:rsidR="00F92819" w:rsidRDefault="00F92819">
      <w:pPr>
        <w:pStyle w:val="H23G"/>
        <w:jc w:val="both"/>
        <w:rPr>
          <w:szCs w:val="24"/>
        </w:rPr>
      </w:pPr>
      <w:r>
        <w:rPr>
          <w:szCs w:val="24"/>
        </w:rPr>
        <w:tab/>
      </w:r>
      <w:r>
        <w:rPr>
          <w:szCs w:val="24"/>
        </w:rPr>
        <w:tab/>
      </w:r>
      <w:r>
        <w:rPr>
          <w:szCs w:val="24"/>
          <w:lang w:val="es-ES_tradnl"/>
        </w:rPr>
        <w:t>Programas integrales del Ministerio de Industria, Comercio y Trabajo y el sector de la alta tecnología</w:t>
      </w:r>
    </w:p>
    <w:p w:rsidR="00F92819" w:rsidRDefault="00F92819">
      <w:pPr>
        <w:pStyle w:val="SingleTxtG"/>
        <w:rPr>
          <w:szCs w:val="24"/>
        </w:rPr>
      </w:pPr>
      <w:r>
        <w:rPr>
          <w:szCs w:val="24"/>
        </w:rPr>
        <w:t>210.</w:t>
      </w:r>
      <w:r>
        <w:rPr>
          <w:szCs w:val="24"/>
        </w:rPr>
        <w:tab/>
      </w:r>
      <w:r>
        <w:rPr>
          <w:szCs w:val="24"/>
          <w:lang w:val="es-ES_tradnl"/>
        </w:rPr>
        <w:t>Como parte del proyecto integral del Ministerio y el sector de la alta tecnología que se detalla en el informe anterior de Israel, se creó un sitio web para ofrecer información a las instituciones interesadas en capacitar técnicos e ingenieros prácticos, así como a estudiantes potenciales interesados en estas esferas.</w:t>
      </w:r>
    </w:p>
    <w:p w:rsidR="00F92819" w:rsidRDefault="00F92819">
      <w:pPr>
        <w:pStyle w:val="H23G"/>
        <w:rPr>
          <w:szCs w:val="24"/>
        </w:rPr>
      </w:pPr>
      <w:r>
        <w:rPr>
          <w:szCs w:val="24"/>
        </w:rPr>
        <w:tab/>
      </w:r>
      <w:r>
        <w:rPr>
          <w:szCs w:val="24"/>
        </w:rPr>
        <w:tab/>
      </w:r>
      <w:r>
        <w:rPr>
          <w:szCs w:val="24"/>
          <w:lang w:val="es-ES_tradnl"/>
        </w:rPr>
        <w:t>Formación profesional de la mujer</w:t>
      </w:r>
    </w:p>
    <w:p w:rsidR="00F92819" w:rsidRDefault="00F92819">
      <w:pPr>
        <w:pStyle w:val="SingleTxtG"/>
        <w:rPr>
          <w:szCs w:val="24"/>
        </w:rPr>
      </w:pPr>
      <w:r>
        <w:rPr>
          <w:szCs w:val="24"/>
        </w:rPr>
        <w:t>211.</w:t>
      </w:r>
      <w:r>
        <w:rPr>
          <w:szCs w:val="24"/>
        </w:rPr>
        <w:tab/>
      </w:r>
      <w:r>
        <w:rPr>
          <w:szCs w:val="24"/>
          <w:lang w:val="es-ES_tradnl"/>
        </w:rPr>
        <w:t>Como ya se señaló en el informe anterior de Israel con respecto a la participación femenina en la población activa, dos grupos —las mujeres judías ultraortodoxas y las mujeres árabes— necesitan medidas y programas especiales debido a los factores religiosos y culturales que afectan a su potencial entrada en el mercado de trabajo.</w:t>
      </w:r>
    </w:p>
    <w:p w:rsidR="00F92819" w:rsidRDefault="00F92819">
      <w:pPr>
        <w:pStyle w:val="SingleTxtG"/>
        <w:rPr>
          <w:szCs w:val="24"/>
        </w:rPr>
      </w:pPr>
      <w:r>
        <w:rPr>
          <w:szCs w:val="24"/>
        </w:rPr>
        <w:t>212.</w:t>
      </w:r>
      <w:r>
        <w:rPr>
          <w:szCs w:val="24"/>
        </w:rPr>
        <w:tab/>
      </w:r>
      <w:r>
        <w:rPr>
          <w:szCs w:val="24"/>
          <w:lang w:val="es-ES_tradnl"/>
        </w:rPr>
        <w:t xml:space="preserve">En la esfera de la formación profesional, se sigue aplicando la política de asignar presupuestos especiales a la capacitación de </w:t>
      </w:r>
      <w:smartTag w:uri="urn:schemas-microsoft-com:office:smarttags" w:element="PersonName">
        <w:smartTagPr>
          <w:attr w:name="ProductID" w:val="la mujer. Algunos"/>
        </w:smartTagPr>
        <w:r>
          <w:rPr>
            <w:szCs w:val="24"/>
            <w:lang w:val="es-ES_tradnl"/>
          </w:rPr>
          <w:t>la mujer.</w:t>
        </w:r>
        <w:r>
          <w:rPr>
            <w:szCs w:val="24"/>
          </w:rPr>
          <w:t xml:space="preserve"> </w:t>
        </w:r>
        <w:r>
          <w:rPr>
            <w:szCs w:val="24"/>
            <w:lang w:val="es-ES_tradnl"/>
          </w:rPr>
          <w:t>Algunos</w:t>
        </w:r>
      </w:smartTag>
      <w:r>
        <w:rPr>
          <w:szCs w:val="24"/>
          <w:lang w:val="es-ES_tradnl"/>
        </w:rPr>
        <w:t xml:space="preserve"> de los programas especiales están destinados a las mujeres en general, mientras que otros están destinados específicamente a los grupos más vulnerables de mujeres.</w:t>
      </w:r>
    </w:p>
    <w:p w:rsidR="00F92819" w:rsidRDefault="00F92819">
      <w:pPr>
        <w:pStyle w:val="SingleTxtG"/>
        <w:rPr>
          <w:szCs w:val="24"/>
        </w:rPr>
      </w:pPr>
      <w:r>
        <w:rPr>
          <w:szCs w:val="24"/>
        </w:rPr>
        <w:t>213.</w:t>
      </w:r>
      <w:r>
        <w:rPr>
          <w:szCs w:val="24"/>
        </w:rPr>
        <w:tab/>
      </w:r>
      <w:r>
        <w:rPr>
          <w:szCs w:val="24"/>
          <w:lang w:val="es-ES_tradnl"/>
        </w:rPr>
        <w:t>El Departamento para el Adelanto de la Mujer dentro del Ministerio de Industria, Comercio y Trabajo se esfuerza por aumentar la empleabilidad de las mujeres y, por consiguiente, su independencia económica.</w:t>
      </w:r>
      <w:r>
        <w:rPr>
          <w:szCs w:val="24"/>
        </w:rPr>
        <w:t xml:space="preserve"> </w:t>
      </w:r>
      <w:r>
        <w:rPr>
          <w:szCs w:val="24"/>
          <w:lang w:val="es-ES_tradnl"/>
        </w:rPr>
        <w:t>Algunas de las iniciativas del Departamento son:</w:t>
      </w:r>
    </w:p>
    <w:p w:rsidR="00F92819" w:rsidRDefault="00F92819">
      <w:pPr>
        <w:pStyle w:val="SingleTxtG"/>
        <w:rPr>
          <w:szCs w:val="24"/>
        </w:rPr>
      </w:pPr>
      <w:r>
        <w:rPr>
          <w:szCs w:val="24"/>
        </w:rPr>
        <w:tab/>
      </w:r>
      <w:r>
        <w:rPr>
          <w:szCs w:val="24"/>
          <w:lang w:val="es-ES_tradnl"/>
        </w:rPr>
        <w:t>a)</w:t>
      </w:r>
      <w:r>
        <w:rPr>
          <w:szCs w:val="24"/>
        </w:rPr>
        <w:tab/>
      </w:r>
      <w:r>
        <w:rPr>
          <w:i/>
          <w:szCs w:val="24"/>
          <w:lang w:val="es-ES_tradnl"/>
        </w:rPr>
        <w:t>Talleres sobre autonomía propia y sobre capacidad empresarial</w:t>
      </w:r>
      <w:r>
        <w:rPr>
          <w:szCs w:val="24"/>
          <w:lang w:val="es-ES_tradnl"/>
        </w:rPr>
        <w:t>, en los que participan las nuevas inmigrantes, las mujeres árabes y las mujeres ultraortodoxas.</w:t>
      </w:r>
      <w:r>
        <w:rPr>
          <w:szCs w:val="24"/>
        </w:rPr>
        <w:t xml:space="preserve"> </w:t>
      </w:r>
      <w:r>
        <w:rPr>
          <w:szCs w:val="24"/>
          <w:lang w:val="es-ES_tradnl"/>
        </w:rPr>
        <w:t>Estos talleres se centran también en las competencias laborales especializados y en otros cursos de reciclaje profesional.</w:t>
      </w:r>
    </w:p>
    <w:p w:rsidR="00F92819" w:rsidRDefault="00F92819">
      <w:pPr>
        <w:pStyle w:val="SingleTxtG"/>
        <w:rPr>
          <w:szCs w:val="24"/>
        </w:rPr>
      </w:pPr>
      <w:r>
        <w:rPr>
          <w:szCs w:val="24"/>
          <w:lang w:val="es-ES_tradnl"/>
        </w:rPr>
        <w:t>Entre los años 2002 y 2007 se organizaron 370 talleres, en los que participaron unas 6.500 mujeres.</w:t>
      </w:r>
      <w:r>
        <w:rPr>
          <w:szCs w:val="24"/>
        </w:rPr>
        <w:t xml:space="preserve"> </w:t>
      </w:r>
      <w:r>
        <w:rPr>
          <w:szCs w:val="24"/>
          <w:lang w:val="es-ES_tradnl"/>
        </w:rPr>
        <w:t>Las participantes dicen que ha mejorado la imagen que tienen de sí mismas, su autonomía personal y profesional y su valoración del mercado laboral,</w:t>
      </w:r>
      <w:r>
        <w:rPr>
          <w:szCs w:val="24"/>
        </w:rPr>
        <w:t xml:space="preserve"> </w:t>
      </w:r>
      <w:r>
        <w:rPr>
          <w:szCs w:val="24"/>
          <w:lang w:val="es-ES_tradnl"/>
        </w:rPr>
        <w:t>conocen y comprenden mejor los distintos aspectos de la creación de una pequeña empresa.</w:t>
      </w:r>
      <w:r>
        <w:rPr>
          <w:szCs w:val="24"/>
        </w:rPr>
        <w:t xml:space="preserve"> </w:t>
      </w:r>
      <w:r>
        <w:rPr>
          <w:szCs w:val="24"/>
          <w:lang w:val="es-ES_tradnl"/>
        </w:rPr>
        <w:t>Por regla general, las participantes en los talleres obtienen también asistencia profesional continua.</w:t>
      </w:r>
      <w:r>
        <w:rPr>
          <w:szCs w:val="24"/>
        </w:rPr>
        <w:t xml:space="preserve"> </w:t>
      </w:r>
      <w:r>
        <w:rPr>
          <w:szCs w:val="24"/>
          <w:lang w:val="es-ES_tradnl"/>
        </w:rPr>
        <w:t>Estas mujeres emprenden distintas actividades cuando finalizan los talleres; así, por ejemplo, continúan sus estudios, asisten a clases de hebreo o de formación profesional, obtienen un empleo o realizan alguna actividad de voluntariado.</w:t>
      </w:r>
    </w:p>
    <w:p w:rsidR="00F92819" w:rsidRDefault="00F92819">
      <w:pPr>
        <w:pStyle w:val="SingleTxtG"/>
        <w:rPr>
          <w:szCs w:val="24"/>
        </w:rPr>
      </w:pPr>
      <w:r>
        <w:rPr>
          <w:szCs w:val="24"/>
        </w:rPr>
        <w:tab/>
      </w:r>
      <w:r>
        <w:rPr>
          <w:szCs w:val="24"/>
          <w:lang w:val="es-ES_tradnl"/>
        </w:rPr>
        <w:t>b)</w:t>
      </w:r>
      <w:r>
        <w:rPr>
          <w:szCs w:val="24"/>
        </w:rPr>
        <w:tab/>
      </w:r>
      <w:r>
        <w:rPr>
          <w:i/>
          <w:szCs w:val="24"/>
          <w:lang w:val="es-ES_tradnl"/>
        </w:rPr>
        <w:t>Programas para la integración de los cabezas de familias monoparentales en la población activa</w:t>
      </w:r>
      <w:r>
        <w:rPr>
          <w:szCs w:val="24"/>
          <w:lang w:val="es-ES_tradnl"/>
        </w:rPr>
        <w:t>:</w:t>
      </w:r>
      <w:r>
        <w:rPr>
          <w:szCs w:val="24"/>
        </w:rPr>
        <w:t xml:space="preserve"> </w:t>
      </w:r>
      <w:r>
        <w:rPr>
          <w:szCs w:val="24"/>
          <w:lang w:val="es-ES_tradnl"/>
        </w:rPr>
        <w:t>entre los años 2003 y 2005 el Ministerio de Industria, Comercio y Trabajo inició un programa destinado a cabezas de familias monoparentales que reciben subsidios o pensiones de alimentos del Instituto Nacional de Seguros, con el fin de integrarlos en la población activa.</w:t>
      </w:r>
      <w:r>
        <w:rPr>
          <w:szCs w:val="24"/>
        </w:rPr>
        <w:t xml:space="preserve"> </w:t>
      </w:r>
      <w:r>
        <w:rPr>
          <w:szCs w:val="24"/>
          <w:lang w:val="es-ES_tradnl"/>
        </w:rPr>
        <w:t>Se inició de forma experimental y posteriormente se incorporó al programa ordinario a largo plazo del Ministerio.</w:t>
      </w:r>
      <w:r>
        <w:rPr>
          <w:szCs w:val="24"/>
        </w:rPr>
        <w:t xml:space="preserve"> </w:t>
      </w:r>
      <w:r>
        <w:rPr>
          <w:szCs w:val="24"/>
          <w:lang w:val="es-ES_tradnl"/>
        </w:rPr>
        <w:t>Ofrece asistencia para la financiación del cuidado del niño, mediante la subvención del pago de programas vespertinos y de guarderías.</w:t>
      </w:r>
      <w:r>
        <w:rPr>
          <w:szCs w:val="24"/>
        </w:rPr>
        <w:t xml:space="preserve"> </w:t>
      </w:r>
      <w:r>
        <w:rPr>
          <w:szCs w:val="24"/>
          <w:lang w:val="es-ES_tradnl"/>
        </w:rPr>
        <w:t>Asimismo, se conceden ayudas económicas para servicios de guardería en horarios alternativos y durante las vacaciones de verano.</w:t>
      </w:r>
      <w:r>
        <w:rPr>
          <w:szCs w:val="24"/>
        </w:rPr>
        <w:t xml:space="preserve"> </w:t>
      </w:r>
      <w:r>
        <w:rPr>
          <w:szCs w:val="24"/>
          <w:lang w:val="es-ES_tradnl"/>
        </w:rPr>
        <w:t>El programa también aborda aspectos de formación profesional, mediante un sistema de vales para cursos reconocidos por la Dependencia de Capacitación y Desarrollo de Personal.</w:t>
      </w:r>
    </w:p>
    <w:p w:rsidR="00F92819" w:rsidRDefault="00F92819">
      <w:pPr>
        <w:pStyle w:val="SingleTxtG"/>
        <w:rPr>
          <w:szCs w:val="24"/>
        </w:rPr>
      </w:pPr>
      <w:r>
        <w:rPr>
          <w:szCs w:val="24"/>
          <w:lang w:val="es-ES_tradnl"/>
        </w:rPr>
        <w:t>En agosto de 2008 la Dependencia comenzó a ofrecer un servicio de consultoría profesional para ayudar a identificar los cursos de formación y los servicios de colocación laboral apropiados según las necesidades personales y las aptitudes profesionales de los participantes en el programa.</w:t>
      </w:r>
      <w:r>
        <w:rPr>
          <w:szCs w:val="24"/>
        </w:rPr>
        <w:t xml:space="preserve"> </w:t>
      </w:r>
      <w:r>
        <w:rPr>
          <w:szCs w:val="24"/>
          <w:lang w:val="es-ES_tradnl"/>
        </w:rPr>
        <w:t>En 2008 se iniciará otro programa para alentar a los cabezas de familias monoparentales a participar en el programa de fomento del desarrollo de sus capacidades empresariales y, por tanto, su aptitud para crear pequeñas empresas.</w:t>
      </w:r>
    </w:p>
    <w:p w:rsidR="00F92819" w:rsidRDefault="00F92819">
      <w:pPr>
        <w:pStyle w:val="SingleTxtG"/>
        <w:rPr>
          <w:szCs w:val="24"/>
        </w:rPr>
      </w:pPr>
      <w:r>
        <w:rPr>
          <w:szCs w:val="24"/>
          <w:lang w:val="es-ES_tradnl"/>
        </w:rPr>
        <w:t>El 1</w:t>
      </w:r>
      <w:r w:rsidR="009A65F8">
        <w:rPr>
          <w:szCs w:val="24"/>
          <w:lang w:val="es-ES_tradnl"/>
        </w:rPr>
        <w:t>º</w:t>
      </w:r>
      <w:r>
        <w:rPr>
          <w:szCs w:val="24"/>
          <w:lang w:val="es-ES_tradnl"/>
        </w:rPr>
        <w:t xml:space="preserve"> de septiembre de 2008 el Ministerio de Industria, Comercio y Trabajo puso en marcha otro programa piloto en cuyo marco se crearán centros de formación para cabezas de familias monoparentales que reciben subsidios o pensiones de alimentos.</w:t>
      </w:r>
      <w:r>
        <w:rPr>
          <w:szCs w:val="24"/>
        </w:rPr>
        <w:t xml:space="preserve"> </w:t>
      </w:r>
      <w:r>
        <w:rPr>
          <w:szCs w:val="24"/>
          <w:lang w:val="es-ES_tradnl"/>
        </w:rPr>
        <w:t>En los cursos organizados en estos centros, los participantes adquirirán conocimientos que les permitirán incorporarse o reincorporarse en el mercado laboral.</w:t>
      </w:r>
      <w:r>
        <w:rPr>
          <w:szCs w:val="24"/>
        </w:rPr>
        <w:t xml:space="preserve"> </w:t>
      </w:r>
      <w:r>
        <w:rPr>
          <w:szCs w:val="24"/>
          <w:lang w:val="es-ES_tradnl"/>
        </w:rPr>
        <w:t>Después de un curso de dos meses de duración, se remitirá a los participantes a cursos de formación específica o a empleos que se ajusten a sus aptitudes profesionales.</w:t>
      </w:r>
    </w:p>
    <w:p w:rsidR="00F92819" w:rsidRDefault="00F92819">
      <w:pPr>
        <w:pStyle w:val="SingleTxtG"/>
        <w:rPr>
          <w:szCs w:val="24"/>
        </w:rPr>
      </w:pPr>
      <w:r>
        <w:rPr>
          <w:szCs w:val="24"/>
        </w:rPr>
        <w:tab/>
      </w:r>
      <w:r>
        <w:rPr>
          <w:szCs w:val="24"/>
          <w:lang w:val="es-ES_tradnl"/>
        </w:rPr>
        <w:t>c)</w:t>
      </w:r>
      <w:r>
        <w:rPr>
          <w:szCs w:val="24"/>
        </w:rPr>
        <w:tab/>
      </w:r>
      <w:r>
        <w:rPr>
          <w:i/>
          <w:szCs w:val="24"/>
          <w:lang w:val="es-ES_tradnl"/>
        </w:rPr>
        <w:t>Cursos de capacitación empresarial y creación de pequeñas empresas</w:t>
      </w:r>
      <w:r>
        <w:rPr>
          <w:szCs w:val="24"/>
          <w:lang w:val="es-ES_tradnl"/>
        </w:rPr>
        <w:t>:</w:t>
      </w:r>
      <w:r>
        <w:rPr>
          <w:szCs w:val="24"/>
        </w:rPr>
        <w:t xml:space="preserve"> </w:t>
      </w:r>
      <w:r>
        <w:rPr>
          <w:szCs w:val="24"/>
          <w:lang w:val="es-ES_tradnl"/>
        </w:rPr>
        <w:t>cursos para mujeres con espíritu empresarial y/o planes de negocio, pero sin acceso a formación debido a obstáculos de orden económico, geográfico o cultural.</w:t>
      </w:r>
      <w:r>
        <w:rPr>
          <w:szCs w:val="24"/>
        </w:rPr>
        <w:t xml:space="preserve"> </w:t>
      </w:r>
      <w:r>
        <w:rPr>
          <w:szCs w:val="24"/>
          <w:lang w:val="es-ES_tradnl"/>
        </w:rPr>
        <w:t>La formación aumenta sus posibilidades de crear una empresa viable y de mejorar su situación económica.</w:t>
      </w:r>
      <w:r>
        <w:rPr>
          <w:szCs w:val="24"/>
        </w:rPr>
        <w:t xml:space="preserve"> </w:t>
      </w:r>
      <w:r>
        <w:rPr>
          <w:szCs w:val="24"/>
          <w:lang w:val="es-ES_tradnl"/>
        </w:rPr>
        <w:t xml:space="preserve">Los cursos son impartidos por el Ministerio de Industria, Comercio y Trabajo y </w:t>
      </w:r>
      <w:smartTag w:uri="urn:schemas-microsoft-com:office:smarttags" w:element="PersonName">
        <w:smartTagPr>
          <w:attr w:name="ProductID" w:val="la Direcci￳n Israel￭"/>
        </w:smartTagPr>
        <w:r>
          <w:rPr>
            <w:szCs w:val="24"/>
            <w:lang w:val="es-ES_tradnl"/>
          </w:rPr>
          <w:t>la Dirección Israelí</w:t>
        </w:r>
      </w:smartTag>
      <w:r>
        <w:rPr>
          <w:szCs w:val="24"/>
          <w:lang w:val="es-ES_tradnl"/>
        </w:rPr>
        <w:t xml:space="preserve"> para las Pequeñas y Medianas Empresas, por medio de 24 Centros para la Promoción de </w:t>
      </w:r>
      <w:smartTag w:uri="urn:schemas-microsoft-com:office:smarttags" w:element="PersonName">
        <w:smartTagPr>
          <w:attr w:name="ProductID" w:val="la Capacidad Empresarial"/>
        </w:smartTagPr>
        <w:r>
          <w:rPr>
            <w:szCs w:val="24"/>
            <w:lang w:val="es-ES_tradnl"/>
          </w:rPr>
          <w:t>la Capacidad Empresarial</w:t>
        </w:r>
      </w:smartTag>
      <w:r>
        <w:rPr>
          <w:szCs w:val="24"/>
        </w:rPr>
        <w:t xml:space="preserve"> </w:t>
      </w:r>
      <w:r>
        <w:rPr>
          <w:szCs w:val="24"/>
          <w:lang w:val="es-ES_tradnl"/>
        </w:rPr>
        <w:t>repartidos por todo el país.</w:t>
      </w:r>
      <w:r>
        <w:rPr>
          <w:szCs w:val="24"/>
        </w:rPr>
        <w:t xml:space="preserve"> </w:t>
      </w:r>
      <w:r>
        <w:rPr>
          <w:szCs w:val="24"/>
          <w:lang w:val="es-ES_tradnl"/>
        </w:rPr>
        <w:t>Además de formación, estos centros también ofrecen asistencia y asesoramiento durante el proceso de creación de una pequeña empresa.</w:t>
      </w:r>
    </w:p>
    <w:p w:rsidR="00F92819" w:rsidRDefault="00F92819">
      <w:pPr>
        <w:pStyle w:val="SingleTxtG"/>
        <w:rPr>
          <w:szCs w:val="24"/>
        </w:rPr>
      </w:pPr>
      <w:r>
        <w:rPr>
          <w:szCs w:val="24"/>
        </w:rPr>
        <w:t>214.</w:t>
      </w:r>
      <w:r>
        <w:rPr>
          <w:szCs w:val="24"/>
        </w:rPr>
        <w:tab/>
      </w:r>
      <w:r>
        <w:rPr>
          <w:b/>
          <w:szCs w:val="24"/>
          <w:lang w:val="es-ES_tradnl"/>
        </w:rPr>
        <w:t>Formación profesional para mujeres árabes</w:t>
      </w:r>
      <w:r>
        <w:rPr>
          <w:szCs w:val="24"/>
          <w:lang w:val="es-ES_tradnl"/>
        </w:rPr>
        <w:t>.</w:t>
      </w:r>
      <w:r>
        <w:rPr>
          <w:szCs w:val="24"/>
        </w:rPr>
        <w:t xml:space="preserve"> </w:t>
      </w:r>
      <w:r>
        <w:rPr>
          <w:szCs w:val="24"/>
          <w:lang w:val="es-ES_tradnl"/>
        </w:rPr>
        <w:t>La tasa de empleo entre las mujeres árabes ha aumentado en los últimos años, pero sigue siendo relativamente baja.</w:t>
      </w:r>
      <w:r>
        <w:rPr>
          <w:szCs w:val="24"/>
        </w:rPr>
        <w:t xml:space="preserve"> </w:t>
      </w:r>
      <w:r>
        <w:rPr>
          <w:szCs w:val="24"/>
          <w:lang w:val="es-ES_tradnl"/>
        </w:rPr>
        <w:t>La educación académica y la formación profesional son los factores más importantes para la integración de las mujeres árabes en la población activa, pero persisten diversos obstáculos que impiden su incorporación en los sistemas de enseñanza y capacitación, a saber,</w:t>
      </w:r>
      <w:r>
        <w:rPr>
          <w:szCs w:val="24"/>
        </w:rPr>
        <w:t xml:space="preserve"> e</w:t>
      </w:r>
      <w:r>
        <w:rPr>
          <w:i/>
          <w:szCs w:val="24"/>
          <w:lang w:val="es-ES_tradnl"/>
        </w:rPr>
        <w:t>ducación</w:t>
      </w:r>
      <w:r>
        <w:rPr>
          <w:szCs w:val="24"/>
          <w:lang w:val="es-ES_tradnl"/>
        </w:rPr>
        <w:t>: las profesiones tradicionales están siendo sustituidas por profesiones que exigen conocimientos técnicos específicos; el estudio de muchas profesiones técnicas requiere conocimientos en matemáticas e inglés; y b</w:t>
      </w:r>
      <w:r>
        <w:rPr>
          <w:i/>
          <w:szCs w:val="24"/>
          <w:lang w:val="es-ES_tradnl"/>
        </w:rPr>
        <w:t>arreras sociales y culturales</w:t>
      </w:r>
      <w:r>
        <w:rPr>
          <w:szCs w:val="24"/>
          <w:lang w:val="es-ES_tradnl"/>
        </w:rPr>
        <w:t>: la actitud tradicional y los estigmas culturales entre la población árabe definen los límites aceptables para viajar sin compañía a la escuela y al trabajo.</w:t>
      </w:r>
      <w:r>
        <w:rPr>
          <w:szCs w:val="24"/>
        </w:rPr>
        <w:t xml:space="preserve"> </w:t>
      </w:r>
      <w:r>
        <w:rPr>
          <w:szCs w:val="24"/>
          <w:lang w:val="es-ES_tradnl"/>
        </w:rPr>
        <w:t>A menudo, las mujeres árabes son reacias a asistir a cursos que exigen desplazarse a otras ciudades y</w:t>
      </w:r>
      <w:r>
        <w:rPr>
          <w:szCs w:val="24"/>
        </w:rPr>
        <w:t xml:space="preserve"> </w:t>
      </w:r>
      <w:r>
        <w:rPr>
          <w:szCs w:val="24"/>
          <w:lang w:val="es-ES_tradnl"/>
        </w:rPr>
        <w:t>donde viven no pueden estudiarse todos los cursos de formación profesional debido a la falta de un marco adecuado, de candidatas y de futuras oportunidades laborales.</w:t>
      </w:r>
    </w:p>
    <w:p w:rsidR="00F92819" w:rsidRDefault="00F92819">
      <w:pPr>
        <w:pStyle w:val="SingleTxtG"/>
        <w:rPr>
          <w:szCs w:val="24"/>
        </w:rPr>
      </w:pPr>
      <w:r>
        <w:rPr>
          <w:szCs w:val="24"/>
        </w:rPr>
        <w:t>215.</w:t>
      </w:r>
      <w:r>
        <w:rPr>
          <w:szCs w:val="24"/>
        </w:rPr>
        <w:tab/>
      </w:r>
      <w:r>
        <w:rPr>
          <w:szCs w:val="24"/>
          <w:lang w:val="es-ES_tradnl"/>
        </w:rPr>
        <w:t>Habida cuenta de lo anterior, muchas mujeres árabes asisten a cursos “tradicionales” impartidos a nivel local y que posiblemente les permitirán cumplir los requisitos que exigen los trabajos locales, tanto a jornada completa como a media jornada.</w:t>
      </w:r>
      <w:r>
        <w:rPr>
          <w:szCs w:val="24"/>
        </w:rPr>
        <w:t xml:space="preserve"> </w:t>
      </w:r>
      <w:r>
        <w:rPr>
          <w:szCs w:val="24"/>
          <w:lang w:val="es-ES_tradnl"/>
        </w:rPr>
        <w:t>No ocurre lo mismo, sin embargo, en esferas como la educación, la informática, el diseño gráfico o en la de los peritos o los ingenieros técnicos.</w:t>
      </w:r>
      <w:r>
        <w:rPr>
          <w:szCs w:val="24"/>
        </w:rPr>
        <w:t xml:space="preserve"> </w:t>
      </w:r>
      <w:r>
        <w:rPr>
          <w:szCs w:val="24"/>
          <w:lang w:val="es-ES_tradnl"/>
        </w:rPr>
        <w:t>Además, las oportunidades laborales en estas esferas, en algunas ciudades, son muy limitadas.</w:t>
      </w:r>
    </w:p>
    <w:p w:rsidR="00F92819" w:rsidRDefault="00F92819">
      <w:pPr>
        <w:pStyle w:val="SingleTxtG"/>
        <w:rPr>
          <w:szCs w:val="24"/>
        </w:rPr>
      </w:pPr>
      <w:r>
        <w:rPr>
          <w:szCs w:val="24"/>
        </w:rPr>
        <w:t>216.</w:t>
      </w:r>
      <w:r>
        <w:rPr>
          <w:szCs w:val="24"/>
        </w:rPr>
        <w:tab/>
      </w:r>
      <w:r>
        <w:rPr>
          <w:szCs w:val="24"/>
          <w:lang w:val="es-ES_tradnl"/>
        </w:rPr>
        <w:t xml:space="preserve">A este respecto, en 2006 se puso en práctica un programa de educación para coordinadores del Proyecto para el Adelanto de </w:t>
      </w:r>
      <w:smartTag w:uri="urn:schemas-microsoft-com:office:smarttags" w:element="PersonName">
        <w:smartTagPr>
          <w:attr w:name="ProductID" w:val="la Poblaci￳n Beduina"/>
        </w:smartTagPr>
        <w:r>
          <w:rPr>
            <w:szCs w:val="24"/>
            <w:lang w:val="es-ES_tradnl"/>
          </w:rPr>
          <w:t>la Población Beduina</w:t>
        </w:r>
      </w:smartTag>
      <w:r>
        <w:rPr>
          <w:szCs w:val="24"/>
          <w:lang w:val="es-ES_tradnl"/>
        </w:rPr>
        <w:t xml:space="preserve"> en el Norte, en que se trataron las cuestiones de las barreras sociales y culturales, la motivación, la reunión de candidatos y la perseverancia en la formación profesional.</w:t>
      </w:r>
      <w:r>
        <w:rPr>
          <w:szCs w:val="24"/>
        </w:rPr>
        <w:t xml:space="preserve"> </w:t>
      </w:r>
      <w:r>
        <w:rPr>
          <w:szCs w:val="24"/>
          <w:lang w:val="es-ES_tradnl"/>
        </w:rPr>
        <w:t>Además, para corregir la situación actual, el Ministerio de Industria, Comercio y Trabajo, las autoridades locales, los servicios sociales, los institutos de formación profesional y los empleadores desarrollan actividades conjuntas para dar formación profesional y generar puestos de trabajo más factibles para las mujeres árabes.</w:t>
      </w:r>
    </w:p>
    <w:p w:rsidR="00F92819" w:rsidRDefault="00F92819">
      <w:pPr>
        <w:pStyle w:val="SingleTxtG"/>
        <w:rPr>
          <w:szCs w:val="24"/>
        </w:rPr>
      </w:pPr>
      <w:r>
        <w:rPr>
          <w:szCs w:val="24"/>
        </w:rPr>
        <w:t>217.</w:t>
      </w:r>
      <w:r>
        <w:rPr>
          <w:szCs w:val="24"/>
        </w:rPr>
        <w:tab/>
      </w:r>
      <w:r>
        <w:rPr>
          <w:szCs w:val="24"/>
          <w:lang w:val="es-ES_tradnl"/>
        </w:rPr>
        <w:t>Además del sistema general de formación que ofrece el Ministerio de Industria, Comercio y Trabajo, hay programas especiales para las mujeres árabes, encaminados a cubrir lagunas y a aumentar la participación de las mujeres en cursos de formación.</w:t>
      </w:r>
    </w:p>
    <w:p w:rsidR="00F92819" w:rsidRDefault="00F92819">
      <w:pPr>
        <w:pStyle w:val="SingleTxtG"/>
        <w:rPr>
          <w:szCs w:val="24"/>
        </w:rPr>
      </w:pPr>
      <w:r>
        <w:rPr>
          <w:szCs w:val="24"/>
        </w:rPr>
        <w:t>218.</w:t>
      </w:r>
      <w:r>
        <w:rPr>
          <w:szCs w:val="24"/>
        </w:rPr>
        <w:tab/>
      </w:r>
      <w:r>
        <w:rPr>
          <w:b/>
          <w:szCs w:val="24"/>
          <w:lang w:val="es-ES_tradnl"/>
        </w:rPr>
        <w:t>Guarderías diurnas: localidades árabes y beduinas.</w:t>
      </w:r>
      <w:r>
        <w:rPr>
          <w:szCs w:val="24"/>
        </w:rPr>
        <w:t xml:space="preserve"> </w:t>
      </w:r>
      <w:r>
        <w:rPr>
          <w:szCs w:val="24"/>
          <w:lang w:val="es-ES_tradnl"/>
        </w:rPr>
        <w:t>Las mujeres árabes se consideran las principales cuidadoras de los niños; este es uno de los factores que explican el bajo porcentaje de mujeres que participan en la población activa.</w:t>
      </w:r>
      <w:r>
        <w:rPr>
          <w:szCs w:val="24"/>
        </w:rPr>
        <w:t xml:space="preserve"> </w:t>
      </w:r>
      <w:r>
        <w:rPr>
          <w:szCs w:val="24"/>
          <w:lang w:val="es-ES_tradnl"/>
        </w:rPr>
        <w:t>A través de la Dirección para el Adelanto de la Mujer, el Gobierno ha realizado grandes esfuerzos por aumentar la sensibilización entre las mujeres sobre sus propias opciones profesionales y realización personal.</w:t>
      </w:r>
      <w:r>
        <w:rPr>
          <w:szCs w:val="24"/>
        </w:rPr>
        <w:t xml:space="preserve"> </w:t>
      </w:r>
      <w:r>
        <w:rPr>
          <w:szCs w:val="24"/>
          <w:lang w:val="es-ES_tradnl"/>
        </w:rPr>
        <w:t>En los últimos años, el aumento de la participación de las mujeres árabes, incluidas las beduinas, en la población activa ha creado la necesidad de guarderías y jardines de infancia.</w:t>
      </w:r>
      <w:r>
        <w:rPr>
          <w:szCs w:val="24"/>
        </w:rPr>
        <w:t xml:space="preserve"> </w:t>
      </w:r>
      <w:r>
        <w:rPr>
          <w:szCs w:val="24"/>
          <w:lang w:val="es-ES_tradnl"/>
        </w:rPr>
        <w:t>El Gobierno ha tratado de satisfacer estas necesidades.</w:t>
      </w:r>
    </w:p>
    <w:p w:rsidR="00F92819" w:rsidRDefault="00F92819">
      <w:pPr>
        <w:pStyle w:val="SingleTxtG"/>
        <w:rPr>
          <w:szCs w:val="24"/>
        </w:rPr>
      </w:pPr>
      <w:r>
        <w:rPr>
          <w:szCs w:val="24"/>
        </w:rPr>
        <w:t>219.</w:t>
      </w:r>
      <w:r>
        <w:rPr>
          <w:szCs w:val="24"/>
        </w:rPr>
        <w:tab/>
      </w:r>
      <w:r>
        <w:rPr>
          <w:szCs w:val="24"/>
          <w:lang w:val="es-ES_tradnl"/>
        </w:rPr>
        <w:t>Dentro de la política del Ministerio de Construcción y Vivienda se trabaja en la construcción de guarderías en todo el país a razón de una por cada 1.600 viviendas.</w:t>
      </w:r>
      <w:r>
        <w:rPr>
          <w:szCs w:val="24"/>
        </w:rPr>
        <w:t xml:space="preserve"> </w:t>
      </w:r>
      <w:r>
        <w:rPr>
          <w:szCs w:val="24"/>
          <w:lang w:val="es-ES_tradnl"/>
        </w:rPr>
        <w:t>Se han construido dos guarderías en la ciudad beduina de Rahat</w:t>
      </w:r>
      <w:r>
        <w:rPr>
          <w:szCs w:val="24"/>
        </w:rPr>
        <w:t xml:space="preserve"> </w:t>
      </w:r>
      <w:r>
        <w:rPr>
          <w:szCs w:val="24"/>
          <w:lang w:val="es-ES_tradnl"/>
        </w:rPr>
        <w:t>y otras 14 nuevas guarderías están en fase de construcción:</w:t>
      </w:r>
      <w:r>
        <w:rPr>
          <w:szCs w:val="24"/>
        </w:rPr>
        <w:t xml:space="preserve"> </w:t>
      </w:r>
      <w:r>
        <w:rPr>
          <w:szCs w:val="24"/>
          <w:lang w:val="es-ES_tradnl"/>
        </w:rPr>
        <w:t>9 en la zona norte, 4 en la zona centro y 1 en Jerusalén.</w:t>
      </w:r>
    </w:p>
    <w:p w:rsidR="00F92819" w:rsidRDefault="00F92819">
      <w:pPr>
        <w:pStyle w:val="SingleTxtG"/>
        <w:rPr>
          <w:szCs w:val="24"/>
        </w:rPr>
      </w:pPr>
      <w:r>
        <w:rPr>
          <w:szCs w:val="24"/>
        </w:rPr>
        <w:t>220.</w:t>
      </w:r>
      <w:r>
        <w:rPr>
          <w:szCs w:val="24"/>
        </w:rPr>
        <w:tab/>
      </w:r>
      <w:r>
        <w:rPr>
          <w:szCs w:val="24"/>
          <w:lang w:val="es-ES_tradnl"/>
        </w:rPr>
        <w:t xml:space="preserve">El sistema consta de 2.200 jardines de infancia (de </w:t>
      </w:r>
      <w:smartTag w:uri="urn:schemas-microsoft-com:office:smarttags" w:element="metricconverter">
        <w:smartTagPr>
          <w:attr w:name="ProductID" w:val="0 a"/>
        </w:smartTagPr>
        <w:r>
          <w:rPr>
            <w:szCs w:val="24"/>
            <w:lang w:val="es-ES_tradnl"/>
          </w:rPr>
          <w:t>0 a</w:t>
        </w:r>
      </w:smartTag>
      <w:r>
        <w:rPr>
          <w:szCs w:val="24"/>
          <w:lang w:val="es-ES_tradnl"/>
        </w:rPr>
        <w:t xml:space="preserve"> 3 años), 900 de ellos en las localidades árabes, que acogen a 1.500 niños de madres que trabajan y 3.000 niños de madres con necesidades de atención social.</w:t>
      </w:r>
      <w:r>
        <w:rPr>
          <w:szCs w:val="24"/>
        </w:rPr>
        <w:t xml:space="preserve"> </w:t>
      </w:r>
      <w:r>
        <w:rPr>
          <w:szCs w:val="24"/>
          <w:lang w:val="es-ES_tradnl"/>
        </w:rPr>
        <w:t>Además, las guarderías diurnas de los municipios árabes acogen a otros 1.000 niños.</w:t>
      </w:r>
      <w:r>
        <w:rPr>
          <w:szCs w:val="24"/>
        </w:rPr>
        <w:t xml:space="preserve"> </w:t>
      </w:r>
      <w:r>
        <w:rPr>
          <w:szCs w:val="24"/>
          <w:lang w:val="es-ES_tradnl"/>
        </w:rPr>
        <w:t>Estos jardines de infancia y guarderías diurnas permiten a las madres trabajar, y constituyen una fuente de ingresos para las mujeres que los administran.</w:t>
      </w:r>
    </w:p>
    <w:p w:rsidR="00F92819" w:rsidRDefault="00F92819">
      <w:pPr>
        <w:pStyle w:val="SingleTxtG"/>
        <w:rPr>
          <w:szCs w:val="24"/>
        </w:rPr>
      </w:pPr>
      <w:r>
        <w:rPr>
          <w:szCs w:val="24"/>
        </w:rPr>
        <w:t>221.</w:t>
      </w:r>
      <w:r>
        <w:rPr>
          <w:szCs w:val="24"/>
        </w:rPr>
        <w:tab/>
      </w:r>
      <w:r>
        <w:rPr>
          <w:szCs w:val="24"/>
          <w:lang w:val="es-ES_tradnl"/>
        </w:rPr>
        <w:t>En 2007 el Gobierno asignó fondos para la construcción de 150 edificios destinados a guarderías, 17 de los cuales en municipios árabes.</w:t>
      </w:r>
    </w:p>
    <w:p w:rsidR="00F92819" w:rsidRDefault="00F92819">
      <w:pPr>
        <w:pStyle w:val="H23G"/>
        <w:rPr>
          <w:szCs w:val="24"/>
        </w:rPr>
      </w:pPr>
      <w:r>
        <w:rPr>
          <w:szCs w:val="24"/>
        </w:rPr>
        <w:tab/>
      </w:r>
      <w:r>
        <w:rPr>
          <w:szCs w:val="24"/>
        </w:rPr>
        <w:tab/>
      </w:r>
      <w:r>
        <w:rPr>
          <w:szCs w:val="24"/>
          <w:lang w:val="es-ES_tradnl"/>
        </w:rPr>
        <w:t>Oportunidades de empleo en categorías determinadas de trabajadores:</w:t>
      </w:r>
      <w:r>
        <w:rPr>
          <w:szCs w:val="24"/>
        </w:rPr>
        <w:t xml:space="preserve"> </w:t>
      </w:r>
      <w:r>
        <w:rPr>
          <w:szCs w:val="24"/>
          <w:lang w:val="es-ES_tradnl"/>
        </w:rPr>
        <w:t>prohibición de discriminación</w:t>
      </w:r>
    </w:p>
    <w:p w:rsidR="00F92819" w:rsidRDefault="00F92819">
      <w:pPr>
        <w:pStyle w:val="SingleTxtG"/>
        <w:rPr>
          <w:szCs w:val="24"/>
        </w:rPr>
      </w:pPr>
      <w:r>
        <w:rPr>
          <w:szCs w:val="24"/>
        </w:rPr>
        <w:t>222.</w:t>
      </w:r>
      <w:r>
        <w:rPr>
          <w:szCs w:val="24"/>
        </w:rPr>
        <w:tab/>
      </w:r>
      <w:r>
        <w:rPr>
          <w:szCs w:val="24"/>
          <w:lang w:val="es-ES_tradnl"/>
        </w:rPr>
        <w:t>En julio de 2004 se estableció la Dirección de Aplicación de las Leyes y de Reglamentación del Ministerio de Industria, Comercio y Trabajo (en adelante:</w:t>
      </w:r>
      <w:r>
        <w:rPr>
          <w:szCs w:val="24"/>
        </w:rPr>
        <w:t xml:space="preserve"> </w:t>
      </w:r>
      <w:r>
        <w:rPr>
          <w:szCs w:val="24"/>
          <w:lang w:val="es-ES_tradnl"/>
        </w:rPr>
        <w:t>“la Dirección”).</w:t>
      </w:r>
      <w:r>
        <w:rPr>
          <w:szCs w:val="24"/>
        </w:rPr>
        <w:t xml:space="preserve"> </w:t>
      </w:r>
      <w:r>
        <w:rPr>
          <w:szCs w:val="24"/>
          <w:lang w:val="es-ES_tradnl"/>
        </w:rPr>
        <w:t xml:space="preserve">La Dirección se encarga de aplicar y regular 17 leyes laborales que protegen a los trabajadores en Israel, incluida la </w:t>
      </w:r>
      <w:r>
        <w:rPr>
          <w:i/>
          <w:szCs w:val="24"/>
          <w:lang w:val="es-ES_tradnl"/>
        </w:rPr>
        <w:t>Ley de igualdad de oportunidades de empleo</w:t>
      </w:r>
      <w:r>
        <w:rPr>
          <w:szCs w:val="24"/>
          <w:lang w:val="es-ES_tradnl"/>
        </w:rPr>
        <w:t>.</w:t>
      </w:r>
      <w:r>
        <w:rPr>
          <w:szCs w:val="24"/>
        </w:rPr>
        <w:t xml:space="preserve"> </w:t>
      </w:r>
      <w:r>
        <w:rPr>
          <w:szCs w:val="24"/>
          <w:lang w:val="es-ES_tradnl"/>
        </w:rPr>
        <w:t>Los datos que se ofrecen a continuación se refieren al período entre 2004 y 2007.</w:t>
      </w:r>
    </w:p>
    <w:p w:rsidR="00F92819" w:rsidRDefault="00F92819">
      <w:pPr>
        <w:pStyle w:val="SingleTxtG"/>
        <w:rPr>
          <w:szCs w:val="24"/>
        </w:rPr>
      </w:pPr>
      <w:r>
        <w:rPr>
          <w:szCs w:val="24"/>
        </w:rPr>
        <w:t>223.</w:t>
      </w:r>
      <w:r>
        <w:rPr>
          <w:szCs w:val="24"/>
        </w:rPr>
        <w:tab/>
      </w:r>
      <w:r>
        <w:rPr>
          <w:szCs w:val="24"/>
          <w:lang w:val="es-ES_tradnl"/>
        </w:rPr>
        <w:t>En 2004 se iniciaron 460 investigaciones y se impusieron 120 multas administrativas.</w:t>
      </w:r>
      <w:r>
        <w:rPr>
          <w:szCs w:val="24"/>
        </w:rPr>
        <w:t xml:space="preserve"> </w:t>
      </w:r>
      <w:r>
        <w:rPr>
          <w:szCs w:val="24"/>
          <w:lang w:val="es-ES_tradnl"/>
        </w:rPr>
        <w:t>En 2005, 146 investigaciones y 44 multas.</w:t>
      </w:r>
      <w:r>
        <w:rPr>
          <w:szCs w:val="24"/>
        </w:rPr>
        <w:t xml:space="preserve"> </w:t>
      </w:r>
      <w:r>
        <w:rPr>
          <w:szCs w:val="24"/>
          <w:lang w:val="es-ES_tradnl"/>
        </w:rPr>
        <w:t>En 2006, 187 y 59, respectivamente.</w:t>
      </w:r>
      <w:r>
        <w:rPr>
          <w:szCs w:val="24"/>
        </w:rPr>
        <w:t xml:space="preserve"> </w:t>
      </w:r>
      <w:r>
        <w:rPr>
          <w:szCs w:val="24"/>
          <w:lang w:val="es-ES_tradnl"/>
        </w:rPr>
        <w:t>En 2007 se iniciaron 84 investigaciones y se impuso una multa administrativa.</w:t>
      </w:r>
    </w:p>
    <w:p w:rsidR="00F92819" w:rsidRDefault="00F92819">
      <w:pPr>
        <w:pStyle w:val="H23G"/>
        <w:rPr>
          <w:szCs w:val="24"/>
        </w:rPr>
      </w:pPr>
      <w:r>
        <w:rPr>
          <w:szCs w:val="24"/>
        </w:rPr>
        <w:tab/>
      </w:r>
      <w:r>
        <w:rPr>
          <w:szCs w:val="24"/>
        </w:rPr>
        <w:tab/>
      </w:r>
      <w:r>
        <w:rPr>
          <w:szCs w:val="24"/>
          <w:lang w:val="es-ES_tradnl"/>
        </w:rPr>
        <w:t>Situación de hecho:</w:t>
      </w:r>
      <w:r>
        <w:rPr>
          <w:szCs w:val="24"/>
        </w:rPr>
        <w:t xml:space="preserve"> </w:t>
      </w:r>
      <w:r>
        <w:rPr>
          <w:szCs w:val="24"/>
          <w:lang w:val="es-ES_tradnl"/>
        </w:rPr>
        <w:t>empleo</w:t>
      </w:r>
    </w:p>
    <w:p w:rsidR="00F92819" w:rsidRDefault="00F92819">
      <w:pPr>
        <w:pStyle w:val="SingleTxtG"/>
        <w:rPr>
          <w:szCs w:val="24"/>
        </w:rPr>
      </w:pPr>
      <w:r>
        <w:rPr>
          <w:szCs w:val="24"/>
        </w:rPr>
        <w:t>224.</w:t>
      </w:r>
      <w:r>
        <w:rPr>
          <w:szCs w:val="24"/>
        </w:rPr>
        <w:tab/>
      </w:r>
      <w:r>
        <w:rPr>
          <w:szCs w:val="24"/>
          <w:lang w:val="es-ES_tradnl"/>
        </w:rPr>
        <w:t>Se presentan a continuación datos correspondientes a 2007 sobre personas empleadas, por género y grupo de población.</w:t>
      </w:r>
    </w:p>
    <w:p w:rsidR="00F92819" w:rsidRDefault="00F92819">
      <w:pPr>
        <w:pStyle w:val="Heading1"/>
        <w:keepLines/>
        <w:spacing w:before="240"/>
        <w:rPr>
          <w:szCs w:val="24"/>
        </w:rPr>
      </w:pPr>
      <w:r>
        <w:rPr>
          <w:szCs w:val="24"/>
          <w:lang w:val="es-ES_tradnl"/>
        </w:rPr>
        <w:t>Cuadro 7</w:t>
      </w:r>
    </w:p>
    <w:p w:rsidR="00F92819" w:rsidRDefault="00F92819">
      <w:pPr>
        <w:pStyle w:val="SingleTxtG"/>
        <w:keepLines/>
        <w:rPr>
          <w:b/>
          <w:szCs w:val="24"/>
        </w:rPr>
      </w:pPr>
      <w:r>
        <w:rPr>
          <w:b/>
          <w:szCs w:val="24"/>
          <w:lang w:val="es-ES_tradnl"/>
        </w:rPr>
        <w:t>Personas empleadas en 2007, por género y grupo de población</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56"/>
        <w:gridCol w:w="2457"/>
        <w:gridCol w:w="2457"/>
      </w:tblGrid>
      <w:tr w:rsidR="00F92819">
        <w:trPr>
          <w:tblHeader/>
        </w:trPr>
        <w:tc>
          <w:tcPr>
            <w:tcW w:w="2456" w:type="dxa"/>
            <w:tcBorders>
              <w:top w:val="single" w:sz="4" w:space="0" w:color="auto"/>
              <w:bottom w:val="single" w:sz="12" w:space="0" w:color="auto"/>
            </w:tcBorders>
            <w:vAlign w:val="bottom"/>
          </w:tcPr>
          <w:p w:rsidR="00F92819" w:rsidRDefault="00F92819">
            <w:pPr>
              <w:keepLines/>
              <w:spacing w:before="80" w:after="80" w:line="200" w:lineRule="exact"/>
              <w:rPr>
                <w:i/>
                <w:sz w:val="16"/>
                <w:szCs w:val="24"/>
              </w:rPr>
            </w:pPr>
          </w:p>
        </w:tc>
        <w:tc>
          <w:tcPr>
            <w:tcW w:w="2457" w:type="dxa"/>
            <w:tcBorders>
              <w:top w:val="single" w:sz="4" w:space="0" w:color="auto"/>
              <w:bottom w:val="single" w:sz="12" w:space="0" w:color="auto"/>
            </w:tcBorders>
            <w:vAlign w:val="bottom"/>
          </w:tcPr>
          <w:p w:rsidR="00F92819" w:rsidRDefault="00F92819">
            <w:pPr>
              <w:keepLines/>
              <w:spacing w:before="80" w:after="80" w:line="200" w:lineRule="exact"/>
              <w:jc w:val="right"/>
              <w:rPr>
                <w:szCs w:val="24"/>
              </w:rPr>
            </w:pPr>
            <w:r>
              <w:rPr>
                <w:i/>
                <w:sz w:val="16"/>
                <w:szCs w:val="24"/>
                <w:lang w:val="es-ES_tradnl"/>
              </w:rPr>
              <w:t>Miles</w:t>
            </w:r>
          </w:p>
        </w:tc>
        <w:tc>
          <w:tcPr>
            <w:tcW w:w="2457" w:type="dxa"/>
            <w:tcBorders>
              <w:top w:val="single" w:sz="4" w:space="0" w:color="auto"/>
              <w:bottom w:val="single" w:sz="12" w:space="0" w:color="auto"/>
            </w:tcBorders>
            <w:vAlign w:val="bottom"/>
          </w:tcPr>
          <w:p w:rsidR="00F92819" w:rsidRDefault="005B559E">
            <w:pPr>
              <w:keepLines/>
              <w:spacing w:before="80" w:after="80" w:line="200" w:lineRule="exact"/>
              <w:jc w:val="right"/>
              <w:rPr>
                <w:szCs w:val="24"/>
              </w:rPr>
            </w:pPr>
            <w:r>
              <w:rPr>
                <w:i/>
                <w:sz w:val="16"/>
                <w:szCs w:val="24"/>
                <w:lang w:val="es-ES_tradnl"/>
              </w:rPr>
              <w:t>Porcentaje</w:t>
            </w:r>
          </w:p>
        </w:tc>
      </w:tr>
      <w:tr w:rsidR="00F92819">
        <w:tc>
          <w:tcPr>
            <w:tcW w:w="2456" w:type="dxa"/>
            <w:tcBorders>
              <w:top w:val="single" w:sz="12" w:space="0" w:color="auto"/>
            </w:tcBorders>
            <w:vAlign w:val="bottom"/>
          </w:tcPr>
          <w:p w:rsidR="00F92819" w:rsidRDefault="00F92819">
            <w:pPr>
              <w:keepLines/>
              <w:spacing w:before="40" w:after="40" w:line="220" w:lineRule="exact"/>
              <w:rPr>
                <w:szCs w:val="24"/>
              </w:rPr>
            </w:pPr>
            <w:r>
              <w:rPr>
                <w:sz w:val="18"/>
                <w:szCs w:val="24"/>
                <w:lang w:val="es-ES_tradnl"/>
              </w:rPr>
              <w:t>Todas las personas empleadas</w:t>
            </w:r>
          </w:p>
        </w:tc>
        <w:tc>
          <w:tcPr>
            <w:tcW w:w="2457" w:type="dxa"/>
            <w:tcBorders>
              <w:top w:val="single" w:sz="12" w:space="0" w:color="auto"/>
            </w:tcBorders>
            <w:vAlign w:val="bottom"/>
          </w:tcPr>
          <w:p w:rsidR="00F92819" w:rsidRDefault="00F92819">
            <w:pPr>
              <w:keepLines/>
              <w:spacing w:before="40" w:after="40" w:line="220" w:lineRule="exact"/>
              <w:jc w:val="right"/>
              <w:rPr>
                <w:sz w:val="18"/>
                <w:szCs w:val="24"/>
              </w:rPr>
            </w:pPr>
            <w:r>
              <w:rPr>
                <w:sz w:val="18"/>
                <w:szCs w:val="24"/>
              </w:rPr>
              <w:t>2 682,0</w:t>
            </w:r>
          </w:p>
        </w:tc>
        <w:tc>
          <w:tcPr>
            <w:tcW w:w="2457" w:type="dxa"/>
            <w:tcBorders>
              <w:top w:val="single" w:sz="12" w:space="0" w:color="auto"/>
            </w:tcBorders>
            <w:vAlign w:val="bottom"/>
          </w:tcPr>
          <w:p w:rsidR="00F92819" w:rsidRDefault="00F92819">
            <w:pPr>
              <w:keepLines/>
              <w:spacing w:before="40" w:after="40" w:line="220" w:lineRule="exact"/>
              <w:jc w:val="right"/>
              <w:rPr>
                <w:sz w:val="18"/>
                <w:szCs w:val="24"/>
              </w:rPr>
            </w:pPr>
            <w:r>
              <w:rPr>
                <w:sz w:val="18"/>
                <w:szCs w:val="24"/>
              </w:rPr>
              <w:t>100,0</w:t>
            </w:r>
          </w:p>
        </w:tc>
      </w:tr>
      <w:tr w:rsidR="00F92819">
        <w:tc>
          <w:tcPr>
            <w:tcW w:w="2456" w:type="dxa"/>
            <w:vAlign w:val="bottom"/>
          </w:tcPr>
          <w:p w:rsidR="00F92819" w:rsidRDefault="00F92819">
            <w:pPr>
              <w:keepLines/>
              <w:spacing w:before="40" w:after="40" w:line="220" w:lineRule="exact"/>
              <w:rPr>
                <w:szCs w:val="24"/>
              </w:rPr>
            </w:pPr>
            <w:r>
              <w:rPr>
                <w:sz w:val="18"/>
                <w:szCs w:val="24"/>
                <w:lang w:val="es-ES_tradnl"/>
              </w:rPr>
              <w:t>Hombres</w:t>
            </w:r>
          </w:p>
        </w:tc>
        <w:tc>
          <w:tcPr>
            <w:tcW w:w="2457" w:type="dxa"/>
            <w:vAlign w:val="bottom"/>
          </w:tcPr>
          <w:p w:rsidR="00F92819" w:rsidRDefault="00F92819">
            <w:pPr>
              <w:keepLines/>
              <w:spacing w:before="40" w:after="40" w:line="220" w:lineRule="exact"/>
              <w:jc w:val="right"/>
              <w:rPr>
                <w:sz w:val="18"/>
                <w:szCs w:val="24"/>
              </w:rPr>
            </w:pPr>
            <w:r>
              <w:rPr>
                <w:sz w:val="18"/>
                <w:szCs w:val="24"/>
              </w:rPr>
              <w:t>1 441,9</w:t>
            </w:r>
          </w:p>
        </w:tc>
        <w:tc>
          <w:tcPr>
            <w:tcW w:w="2457" w:type="dxa"/>
            <w:vAlign w:val="bottom"/>
          </w:tcPr>
          <w:p w:rsidR="00F92819" w:rsidRDefault="00F92819">
            <w:pPr>
              <w:keepLines/>
              <w:spacing w:before="40" w:after="40" w:line="220" w:lineRule="exact"/>
              <w:jc w:val="right"/>
              <w:rPr>
                <w:sz w:val="18"/>
                <w:szCs w:val="24"/>
              </w:rPr>
            </w:pPr>
            <w:r>
              <w:rPr>
                <w:sz w:val="18"/>
                <w:szCs w:val="24"/>
              </w:rPr>
              <w:t>53,8</w:t>
            </w:r>
          </w:p>
        </w:tc>
      </w:tr>
      <w:tr w:rsidR="00F92819">
        <w:tc>
          <w:tcPr>
            <w:tcW w:w="2456" w:type="dxa"/>
            <w:vAlign w:val="bottom"/>
          </w:tcPr>
          <w:p w:rsidR="00F92819" w:rsidRDefault="00F92819">
            <w:pPr>
              <w:keepLines/>
              <w:spacing w:before="40" w:after="40" w:line="220" w:lineRule="exact"/>
              <w:rPr>
                <w:szCs w:val="24"/>
              </w:rPr>
            </w:pPr>
            <w:r>
              <w:rPr>
                <w:sz w:val="18"/>
                <w:szCs w:val="24"/>
                <w:lang w:val="es-ES_tradnl"/>
              </w:rPr>
              <w:t>Mujeres</w:t>
            </w:r>
          </w:p>
        </w:tc>
        <w:tc>
          <w:tcPr>
            <w:tcW w:w="2457" w:type="dxa"/>
            <w:vAlign w:val="bottom"/>
          </w:tcPr>
          <w:p w:rsidR="00F92819" w:rsidRDefault="00F92819">
            <w:pPr>
              <w:keepLines/>
              <w:spacing w:before="40" w:after="40" w:line="220" w:lineRule="exact"/>
              <w:jc w:val="right"/>
              <w:rPr>
                <w:sz w:val="18"/>
                <w:szCs w:val="24"/>
              </w:rPr>
            </w:pPr>
            <w:r>
              <w:rPr>
                <w:sz w:val="18"/>
                <w:szCs w:val="24"/>
              </w:rPr>
              <w:t>1 240,1</w:t>
            </w:r>
          </w:p>
        </w:tc>
        <w:tc>
          <w:tcPr>
            <w:tcW w:w="2457" w:type="dxa"/>
            <w:vAlign w:val="bottom"/>
          </w:tcPr>
          <w:p w:rsidR="00F92819" w:rsidRDefault="00F92819">
            <w:pPr>
              <w:keepLines/>
              <w:spacing w:before="40" w:after="40" w:line="220" w:lineRule="exact"/>
              <w:jc w:val="right"/>
              <w:rPr>
                <w:sz w:val="18"/>
                <w:szCs w:val="24"/>
              </w:rPr>
            </w:pPr>
            <w:r>
              <w:rPr>
                <w:sz w:val="18"/>
                <w:szCs w:val="24"/>
              </w:rPr>
              <w:t>46,2</w:t>
            </w:r>
          </w:p>
        </w:tc>
      </w:tr>
      <w:tr w:rsidR="00F92819">
        <w:tc>
          <w:tcPr>
            <w:tcW w:w="2456" w:type="dxa"/>
            <w:vAlign w:val="bottom"/>
          </w:tcPr>
          <w:p w:rsidR="00F92819" w:rsidRDefault="00F92819">
            <w:pPr>
              <w:keepLines/>
              <w:spacing w:before="40" w:after="40" w:line="220" w:lineRule="exact"/>
              <w:rPr>
                <w:szCs w:val="24"/>
              </w:rPr>
            </w:pPr>
            <w:r>
              <w:rPr>
                <w:sz w:val="18"/>
                <w:szCs w:val="24"/>
                <w:lang w:val="es-ES_tradnl"/>
              </w:rPr>
              <w:t>Judíos</w:t>
            </w:r>
          </w:p>
        </w:tc>
        <w:tc>
          <w:tcPr>
            <w:tcW w:w="2457" w:type="dxa"/>
            <w:vAlign w:val="bottom"/>
          </w:tcPr>
          <w:p w:rsidR="00F92819" w:rsidRDefault="00F92819">
            <w:pPr>
              <w:keepLines/>
              <w:spacing w:before="40" w:after="40" w:line="220" w:lineRule="exact"/>
              <w:jc w:val="right"/>
              <w:rPr>
                <w:sz w:val="18"/>
                <w:szCs w:val="24"/>
              </w:rPr>
            </w:pPr>
            <w:r>
              <w:rPr>
                <w:sz w:val="18"/>
                <w:szCs w:val="24"/>
              </w:rPr>
              <w:t>2 291,6</w:t>
            </w:r>
          </w:p>
        </w:tc>
        <w:tc>
          <w:tcPr>
            <w:tcW w:w="2457" w:type="dxa"/>
            <w:vAlign w:val="bottom"/>
          </w:tcPr>
          <w:p w:rsidR="00F92819" w:rsidRDefault="00F92819">
            <w:pPr>
              <w:keepLines/>
              <w:spacing w:before="40" w:after="40" w:line="220" w:lineRule="exact"/>
              <w:jc w:val="right"/>
              <w:rPr>
                <w:sz w:val="18"/>
                <w:szCs w:val="24"/>
              </w:rPr>
            </w:pPr>
            <w:r>
              <w:rPr>
                <w:sz w:val="18"/>
                <w:szCs w:val="24"/>
              </w:rPr>
              <w:t>85,4</w:t>
            </w:r>
          </w:p>
        </w:tc>
      </w:tr>
      <w:tr w:rsidR="00F92819">
        <w:tc>
          <w:tcPr>
            <w:tcW w:w="2456" w:type="dxa"/>
            <w:tcBorders>
              <w:bottom w:val="single" w:sz="12" w:space="0" w:color="auto"/>
            </w:tcBorders>
            <w:vAlign w:val="bottom"/>
          </w:tcPr>
          <w:p w:rsidR="00F92819" w:rsidRDefault="00F92819">
            <w:pPr>
              <w:keepLines/>
              <w:spacing w:before="40" w:after="40" w:line="220" w:lineRule="exact"/>
              <w:rPr>
                <w:szCs w:val="24"/>
              </w:rPr>
            </w:pPr>
            <w:r>
              <w:rPr>
                <w:sz w:val="18"/>
                <w:szCs w:val="24"/>
                <w:lang w:val="es-ES_tradnl"/>
              </w:rPr>
              <w:t>Árabes y otros</w:t>
            </w:r>
          </w:p>
        </w:tc>
        <w:tc>
          <w:tcPr>
            <w:tcW w:w="2457" w:type="dxa"/>
            <w:tcBorders>
              <w:bottom w:val="single" w:sz="12" w:space="0" w:color="auto"/>
            </w:tcBorders>
            <w:vAlign w:val="bottom"/>
          </w:tcPr>
          <w:p w:rsidR="00F92819" w:rsidRDefault="00F92819">
            <w:pPr>
              <w:keepLines/>
              <w:spacing w:before="40" w:after="40" w:line="220" w:lineRule="exact"/>
              <w:jc w:val="right"/>
              <w:rPr>
                <w:sz w:val="18"/>
                <w:szCs w:val="24"/>
              </w:rPr>
            </w:pPr>
            <w:r>
              <w:rPr>
                <w:sz w:val="18"/>
                <w:szCs w:val="24"/>
              </w:rPr>
              <w:t>390,4</w:t>
            </w:r>
          </w:p>
        </w:tc>
        <w:tc>
          <w:tcPr>
            <w:tcW w:w="2457" w:type="dxa"/>
            <w:tcBorders>
              <w:bottom w:val="single" w:sz="12" w:space="0" w:color="auto"/>
            </w:tcBorders>
            <w:vAlign w:val="bottom"/>
          </w:tcPr>
          <w:p w:rsidR="00F92819" w:rsidRDefault="00F92819">
            <w:pPr>
              <w:keepLines/>
              <w:spacing w:before="40" w:after="40" w:line="220" w:lineRule="exact"/>
              <w:jc w:val="right"/>
              <w:rPr>
                <w:sz w:val="18"/>
                <w:szCs w:val="24"/>
              </w:rPr>
            </w:pPr>
            <w:r>
              <w:rPr>
                <w:sz w:val="18"/>
                <w:szCs w:val="24"/>
              </w:rPr>
              <w:t>14,6</w:t>
            </w:r>
          </w:p>
        </w:tc>
      </w:tr>
    </w:tbl>
    <w:p w:rsidR="00F92819" w:rsidRDefault="00F92819">
      <w:pPr>
        <w:keepLines/>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de Israel, Compendio de Estadísticas de Israel, 2008.</w:t>
      </w:r>
    </w:p>
    <w:p w:rsidR="00F92819" w:rsidRDefault="00F92819">
      <w:pPr>
        <w:pStyle w:val="SingleTxtG"/>
        <w:rPr>
          <w:szCs w:val="24"/>
        </w:rPr>
      </w:pPr>
      <w:r>
        <w:rPr>
          <w:szCs w:val="24"/>
        </w:rPr>
        <w:t>225.</w:t>
      </w:r>
      <w:r>
        <w:rPr>
          <w:szCs w:val="24"/>
        </w:rPr>
        <w:tab/>
      </w:r>
      <w:r>
        <w:rPr>
          <w:szCs w:val="24"/>
          <w:lang w:val="es-ES_tradnl"/>
        </w:rPr>
        <w:t>En el cuadro que figura a continuación se presentan datos correspondientes a 2007 sobre las personas empleadas por ocupación, por género y grupo de población.</w:t>
      </w:r>
      <w:r>
        <w:rPr>
          <w:szCs w:val="24"/>
        </w:rPr>
        <w:t xml:space="preserve"> </w:t>
      </w:r>
      <w:r>
        <w:rPr>
          <w:szCs w:val="24"/>
          <w:lang w:val="es-ES_tradnl"/>
        </w:rPr>
        <w:t>Los datos indican que en 2007 el 31,9</w:t>
      </w:r>
      <w:r w:rsidR="005B559E">
        <w:rPr>
          <w:szCs w:val="24"/>
          <w:lang w:val="es-ES_tradnl"/>
        </w:rPr>
        <w:t>%</w:t>
      </w:r>
      <w:r>
        <w:rPr>
          <w:szCs w:val="24"/>
          <w:lang w:val="es-ES_tradnl"/>
        </w:rPr>
        <w:t xml:space="preserve"> de los judíos israelíes empleados trabajaban en ocupaciones académicas, profesionales y técnicas, el 38,4% eran empleados de oficina y vendedores, mientras que casi el 16% eran trabajadores cualificados en la agricultura, la manufactura, la construcción y otros sectores.</w:t>
      </w:r>
      <w:r>
        <w:rPr>
          <w:szCs w:val="24"/>
        </w:rPr>
        <w:t xml:space="preserve"> </w:t>
      </w:r>
      <w:r>
        <w:rPr>
          <w:szCs w:val="24"/>
          <w:lang w:val="es-ES_tradnl"/>
        </w:rPr>
        <w:t>Los trabajadores no cualificados representaban el 6,4%.</w:t>
      </w:r>
    </w:p>
    <w:p w:rsidR="00F92819" w:rsidRDefault="00F92819">
      <w:pPr>
        <w:pStyle w:val="SingleTxtG"/>
        <w:rPr>
          <w:szCs w:val="24"/>
        </w:rPr>
      </w:pPr>
      <w:r>
        <w:rPr>
          <w:szCs w:val="24"/>
        </w:rPr>
        <w:t>226.</w:t>
      </w:r>
      <w:r>
        <w:rPr>
          <w:szCs w:val="24"/>
        </w:rPr>
        <w:tab/>
      </w:r>
      <w:r>
        <w:rPr>
          <w:szCs w:val="24"/>
          <w:lang w:val="es-ES_tradnl"/>
        </w:rPr>
        <w:t>Entre la población árabe israelí, el 19,2% trabajaban en ocupaciones académicas, profesionales y técnicas, el 23.7% eran empleados de oficina y vendedores, y prácticamente el 42 % eran trabajadores cualificados en la agricultura, la manufactura, la construcción y otros sectores.</w:t>
      </w:r>
      <w:r>
        <w:rPr>
          <w:szCs w:val="24"/>
        </w:rPr>
        <w:t xml:space="preserve"> </w:t>
      </w:r>
      <w:r>
        <w:rPr>
          <w:szCs w:val="24"/>
          <w:lang w:val="es-ES_tradnl"/>
        </w:rPr>
        <w:t>Los trabajadores no cualificados representaban el 13%.</w:t>
      </w:r>
    </w:p>
    <w:p w:rsidR="00F92819" w:rsidRDefault="00F92819">
      <w:pPr>
        <w:pStyle w:val="Heading1"/>
        <w:spacing w:before="240"/>
        <w:rPr>
          <w:szCs w:val="24"/>
        </w:rPr>
      </w:pPr>
      <w:r>
        <w:rPr>
          <w:szCs w:val="24"/>
          <w:lang w:val="es-ES_tradnl"/>
        </w:rPr>
        <w:t>Cuadro 8</w:t>
      </w:r>
    </w:p>
    <w:p w:rsidR="00F92819" w:rsidRDefault="00F92819">
      <w:pPr>
        <w:pStyle w:val="SingleTxtG"/>
        <w:rPr>
          <w:b/>
          <w:szCs w:val="24"/>
        </w:rPr>
      </w:pPr>
      <w:r>
        <w:rPr>
          <w:b/>
          <w:szCs w:val="24"/>
          <w:lang w:val="es-ES_tradnl"/>
        </w:rPr>
        <w:t>Personas empleadas, por ocupación, género y grupo de población,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694"/>
        <w:gridCol w:w="779"/>
        <w:gridCol w:w="779"/>
        <w:gridCol w:w="780"/>
        <w:gridCol w:w="779"/>
        <w:gridCol w:w="779"/>
        <w:gridCol w:w="780"/>
      </w:tblGrid>
      <w:tr w:rsidR="00F92819">
        <w:trPr>
          <w:tblHeader/>
        </w:trPr>
        <w:tc>
          <w:tcPr>
            <w:tcW w:w="2694" w:type="dxa"/>
            <w:vMerge w:val="restart"/>
            <w:tcBorders>
              <w:top w:val="single" w:sz="4" w:space="0" w:color="auto"/>
              <w:right w:val="single" w:sz="24" w:space="0" w:color="FFFFFF"/>
            </w:tcBorders>
            <w:vAlign w:val="bottom"/>
          </w:tcPr>
          <w:p w:rsidR="00F92819" w:rsidRDefault="00F92819">
            <w:pPr>
              <w:spacing w:before="80" w:after="80" w:line="200" w:lineRule="exact"/>
              <w:rPr>
                <w:szCs w:val="24"/>
              </w:rPr>
            </w:pPr>
            <w:r>
              <w:rPr>
                <w:i/>
                <w:sz w:val="16"/>
                <w:szCs w:val="24"/>
                <w:lang w:val="es-ES_tradnl"/>
              </w:rPr>
              <w:t>Ocupación</w:t>
            </w:r>
          </w:p>
        </w:tc>
        <w:tc>
          <w:tcPr>
            <w:tcW w:w="2338" w:type="dxa"/>
            <w:gridSpan w:val="3"/>
            <w:tcBorders>
              <w:top w:val="single" w:sz="4" w:space="0" w:color="auto"/>
              <w:left w:val="single" w:sz="24" w:space="0" w:color="FFFFFF"/>
              <w:bottom w:val="single" w:sz="4" w:space="0" w:color="auto"/>
              <w:right w:val="single" w:sz="24" w:space="0" w:color="FFFFFF"/>
            </w:tcBorders>
          </w:tcPr>
          <w:p w:rsidR="00F92819" w:rsidRDefault="00F92819">
            <w:pPr>
              <w:spacing w:before="80" w:after="80" w:line="200" w:lineRule="exact"/>
              <w:jc w:val="center"/>
              <w:rPr>
                <w:szCs w:val="24"/>
              </w:rPr>
            </w:pPr>
            <w:r>
              <w:rPr>
                <w:i/>
                <w:sz w:val="16"/>
                <w:szCs w:val="24"/>
                <w:lang w:val="es-ES_tradnl"/>
              </w:rPr>
              <w:t>En miles</w:t>
            </w:r>
          </w:p>
        </w:tc>
        <w:tc>
          <w:tcPr>
            <w:tcW w:w="2338" w:type="dxa"/>
            <w:gridSpan w:val="3"/>
            <w:tcBorders>
              <w:top w:val="single" w:sz="4" w:space="0" w:color="auto"/>
              <w:left w:val="single" w:sz="24" w:space="0" w:color="FFFFFF"/>
              <w:bottom w:val="single" w:sz="4" w:space="0" w:color="auto"/>
            </w:tcBorders>
          </w:tcPr>
          <w:p w:rsidR="00F92819" w:rsidRDefault="00F92819">
            <w:pPr>
              <w:spacing w:before="80" w:after="80" w:line="200" w:lineRule="exact"/>
              <w:jc w:val="center"/>
              <w:rPr>
                <w:szCs w:val="24"/>
              </w:rPr>
            </w:pPr>
            <w:r>
              <w:rPr>
                <w:i/>
                <w:sz w:val="16"/>
                <w:szCs w:val="24"/>
                <w:lang w:val="es-ES_tradnl"/>
              </w:rPr>
              <w:t>Distribución porcentual</w:t>
            </w:r>
          </w:p>
        </w:tc>
      </w:tr>
      <w:tr w:rsidR="00F92819">
        <w:trPr>
          <w:tblHeader/>
        </w:trPr>
        <w:tc>
          <w:tcPr>
            <w:tcW w:w="2694" w:type="dxa"/>
            <w:vMerge/>
            <w:tcBorders>
              <w:bottom w:val="single" w:sz="12" w:space="0" w:color="auto"/>
              <w:right w:val="single" w:sz="24" w:space="0" w:color="FFFFFF"/>
            </w:tcBorders>
            <w:vAlign w:val="bottom"/>
          </w:tcPr>
          <w:p w:rsidR="00F92819" w:rsidRDefault="00F92819">
            <w:pPr>
              <w:spacing w:before="80" w:after="80" w:line="200" w:lineRule="exact"/>
              <w:rPr>
                <w:i/>
                <w:sz w:val="16"/>
                <w:szCs w:val="24"/>
              </w:rPr>
            </w:pPr>
          </w:p>
        </w:tc>
        <w:tc>
          <w:tcPr>
            <w:tcW w:w="779" w:type="dxa"/>
            <w:tcBorders>
              <w:top w:val="single" w:sz="4" w:space="0" w:color="auto"/>
              <w:left w:val="single" w:sz="24" w:space="0" w:color="FFFFFF"/>
              <w:bottom w:val="single" w:sz="12" w:space="0" w:color="auto"/>
            </w:tcBorders>
          </w:tcPr>
          <w:p w:rsidR="00F92819" w:rsidRDefault="00F92819">
            <w:pPr>
              <w:spacing w:before="80" w:after="80" w:line="200" w:lineRule="exact"/>
              <w:jc w:val="right"/>
              <w:rPr>
                <w:szCs w:val="24"/>
              </w:rPr>
            </w:pPr>
            <w:r>
              <w:rPr>
                <w:b/>
                <w:i/>
                <w:sz w:val="16"/>
                <w:szCs w:val="24"/>
                <w:lang w:val="es-ES_tradnl"/>
              </w:rPr>
              <w:t>Total</w:t>
            </w:r>
          </w:p>
        </w:tc>
        <w:tc>
          <w:tcPr>
            <w:tcW w:w="779" w:type="dxa"/>
            <w:tcBorders>
              <w:top w:val="single" w:sz="4" w:space="0" w:color="auto"/>
              <w:bottom w:val="single" w:sz="12" w:space="0" w:color="auto"/>
            </w:tcBorders>
          </w:tcPr>
          <w:p w:rsidR="00F92819" w:rsidRDefault="00F92819">
            <w:pPr>
              <w:spacing w:before="80" w:after="80" w:line="200" w:lineRule="exact"/>
              <w:jc w:val="right"/>
              <w:rPr>
                <w:szCs w:val="24"/>
              </w:rPr>
            </w:pPr>
            <w:r>
              <w:rPr>
                <w:i/>
                <w:sz w:val="16"/>
                <w:szCs w:val="24"/>
                <w:lang w:val="es-ES_tradnl"/>
              </w:rPr>
              <w:t>Hombres</w:t>
            </w:r>
          </w:p>
        </w:tc>
        <w:tc>
          <w:tcPr>
            <w:tcW w:w="780" w:type="dxa"/>
            <w:tcBorders>
              <w:top w:val="single" w:sz="4" w:space="0" w:color="auto"/>
              <w:bottom w:val="single" w:sz="12" w:space="0" w:color="auto"/>
              <w:right w:val="single" w:sz="24" w:space="0" w:color="FFFFFF"/>
            </w:tcBorders>
          </w:tcPr>
          <w:p w:rsidR="00F92819" w:rsidRDefault="00F92819">
            <w:pPr>
              <w:spacing w:before="80" w:after="80" w:line="200" w:lineRule="exact"/>
              <w:jc w:val="right"/>
              <w:rPr>
                <w:szCs w:val="24"/>
              </w:rPr>
            </w:pPr>
            <w:r>
              <w:rPr>
                <w:i/>
                <w:sz w:val="16"/>
                <w:szCs w:val="24"/>
                <w:lang w:val="es-ES_tradnl"/>
              </w:rPr>
              <w:t>Mujeres</w:t>
            </w:r>
          </w:p>
        </w:tc>
        <w:tc>
          <w:tcPr>
            <w:tcW w:w="779" w:type="dxa"/>
            <w:tcBorders>
              <w:top w:val="single" w:sz="4" w:space="0" w:color="auto"/>
              <w:left w:val="single" w:sz="24" w:space="0" w:color="FFFFFF"/>
              <w:bottom w:val="single" w:sz="12" w:space="0" w:color="auto"/>
            </w:tcBorders>
          </w:tcPr>
          <w:p w:rsidR="00F92819" w:rsidRDefault="00F92819">
            <w:pPr>
              <w:spacing w:before="80" w:after="80" w:line="200" w:lineRule="exact"/>
              <w:jc w:val="right"/>
              <w:rPr>
                <w:szCs w:val="24"/>
              </w:rPr>
            </w:pPr>
            <w:r>
              <w:rPr>
                <w:b/>
                <w:i/>
                <w:sz w:val="16"/>
                <w:szCs w:val="24"/>
                <w:lang w:val="es-ES_tradnl"/>
              </w:rPr>
              <w:t>Total</w:t>
            </w:r>
          </w:p>
        </w:tc>
        <w:tc>
          <w:tcPr>
            <w:tcW w:w="779" w:type="dxa"/>
            <w:tcBorders>
              <w:top w:val="single" w:sz="4" w:space="0" w:color="auto"/>
              <w:bottom w:val="single" w:sz="12" w:space="0" w:color="auto"/>
            </w:tcBorders>
          </w:tcPr>
          <w:p w:rsidR="00F92819" w:rsidRDefault="00F92819">
            <w:pPr>
              <w:spacing w:before="80" w:after="80" w:line="200" w:lineRule="exact"/>
              <w:jc w:val="right"/>
              <w:rPr>
                <w:szCs w:val="24"/>
              </w:rPr>
            </w:pPr>
            <w:r>
              <w:rPr>
                <w:i/>
                <w:sz w:val="16"/>
                <w:szCs w:val="24"/>
                <w:lang w:val="es-ES_tradnl"/>
              </w:rPr>
              <w:t>Hombres</w:t>
            </w:r>
          </w:p>
        </w:tc>
        <w:tc>
          <w:tcPr>
            <w:tcW w:w="780" w:type="dxa"/>
            <w:tcBorders>
              <w:top w:val="single" w:sz="4" w:space="0" w:color="auto"/>
              <w:bottom w:val="single" w:sz="12" w:space="0" w:color="auto"/>
            </w:tcBorders>
          </w:tcPr>
          <w:p w:rsidR="00F92819" w:rsidRDefault="00F92819">
            <w:pPr>
              <w:spacing w:before="80" w:after="80" w:line="200" w:lineRule="exact"/>
              <w:jc w:val="right"/>
              <w:rPr>
                <w:szCs w:val="24"/>
              </w:rPr>
            </w:pPr>
            <w:r>
              <w:rPr>
                <w:i/>
                <w:sz w:val="16"/>
                <w:szCs w:val="24"/>
                <w:lang w:val="es-ES_tradnl"/>
              </w:rPr>
              <w:t>Mujeres</w:t>
            </w:r>
          </w:p>
        </w:tc>
      </w:tr>
      <w:tr w:rsidR="00F92819">
        <w:tc>
          <w:tcPr>
            <w:tcW w:w="2694" w:type="dxa"/>
            <w:tcBorders>
              <w:top w:val="single" w:sz="12" w:space="0" w:color="auto"/>
              <w:bottom w:val="single" w:sz="4" w:space="0" w:color="auto"/>
            </w:tcBorders>
          </w:tcPr>
          <w:p w:rsidR="00F92819" w:rsidRDefault="00F92819">
            <w:pPr>
              <w:spacing w:before="80" w:after="80" w:line="200" w:lineRule="exact"/>
              <w:rPr>
                <w:szCs w:val="24"/>
              </w:rPr>
            </w:pPr>
            <w:r>
              <w:rPr>
                <w:i/>
                <w:sz w:val="16"/>
                <w:szCs w:val="24"/>
                <w:lang w:val="es-ES_tradnl"/>
              </w:rPr>
              <w:t>Todos los trabajadores</w:t>
            </w:r>
          </w:p>
        </w:tc>
        <w:tc>
          <w:tcPr>
            <w:tcW w:w="779"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p>
        </w:tc>
        <w:tc>
          <w:tcPr>
            <w:tcW w:w="779"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p>
        </w:tc>
        <w:tc>
          <w:tcPr>
            <w:tcW w:w="780"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p>
        </w:tc>
        <w:tc>
          <w:tcPr>
            <w:tcW w:w="779" w:type="dxa"/>
            <w:tcBorders>
              <w:top w:val="single" w:sz="12" w:space="0" w:color="auto"/>
              <w:bottom w:val="single" w:sz="4" w:space="0" w:color="auto"/>
            </w:tcBorders>
          </w:tcPr>
          <w:p w:rsidR="00F92819" w:rsidRDefault="00F92819">
            <w:pPr>
              <w:spacing w:before="80" w:after="80" w:line="220" w:lineRule="exact"/>
              <w:jc w:val="right"/>
              <w:rPr>
                <w:b/>
                <w:sz w:val="18"/>
                <w:szCs w:val="24"/>
              </w:rPr>
            </w:pPr>
          </w:p>
        </w:tc>
        <w:tc>
          <w:tcPr>
            <w:tcW w:w="779" w:type="dxa"/>
            <w:tcBorders>
              <w:top w:val="single" w:sz="12" w:space="0" w:color="auto"/>
              <w:bottom w:val="single" w:sz="4" w:space="0" w:color="auto"/>
            </w:tcBorders>
          </w:tcPr>
          <w:p w:rsidR="00F92819" w:rsidRDefault="00F92819">
            <w:pPr>
              <w:spacing w:before="80" w:after="80" w:line="220" w:lineRule="exact"/>
              <w:jc w:val="right"/>
              <w:rPr>
                <w:b/>
                <w:sz w:val="18"/>
                <w:szCs w:val="24"/>
              </w:rPr>
            </w:pPr>
          </w:p>
        </w:tc>
        <w:tc>
          <w:tcPr>
            <w:tcW w:w="780" w:type="dxa"/>
            <w:tcBorders>
              <w:top w:val="single" w:sz="12" w:space="0" w:color="auto"/>
              <w:bottom w:val="single" w:sz="4" w:space="0" w:color="auto"/>
            </w:tcBorders>
          </w:tcPr>
          <w:p w:rsidR="00F92819" w:rsidRDefault="00F92819">
            <w:pPr>
              <w:spacing w:before="80" w:after="80" w:line="220" w:lineRule="exact"/>
              <w:jc w:val="right"/>
              <w:rPr>
                <w:b/>
                <w:sz w:val="18"/>
                <w:szCs w:val="24"/>
              </w:rPr>
            </w:pPr>
          </w:p>
        </w:tc>
      </w:tr>
      <w:tr w:rsidR="00F92819">
        <w:tc>
          <w:tcPr>
            <w:tcW w:w="2694" w:type="dxa"/>
            <w:tcBorders>
              <w:top w:val="single" w:sz="4" w:space="0" w:color="auto"/>
              <w:bottom w:val="single" w:sz="4" w:space="0" w:color="auto"/>
            </w:tcBorders>
          </w:tcPr>
          <w:p w:rsidR="00F92819" w:rsidRDefault="00F92819">
            <w:pPr>
              <w:spacing w:before="80" w:after="80" w:line="220" w:lineRule="exact"/>
              <w:ind w:left="284"/>
              <w:rPr>
                <w:szCs w:val="24"/>
              </w:rPr>
            </w:pPr>
            <w:r>
              <w:rPr>
                <w:b/>
                <w:sz w:val="18"/>
                <w:szCs w:val="24"/>
                <w:lang w:val="es-ES_tradnl"/>
              </w:rPr>
              <w:t>Total</w:t>
            </w:r>
          </w:p>
        </w:tc>
        <w:tc>
          <w:tcPr>
            <w:tcW w:w="77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2 682</w:t>
            </w:r>
          </w:p>
        </w:tc>
        <w:tc>
          <w:tcPr>
            <w:tcW w:w="77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1 441,9</w:t>
            </w:r>
          </w:p>
        </w:tc>
        <w:tc>
          <w:tcPr>
            <w:tcW w:w="78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1 240</w:t>
            </w:r>
          </w:p>
        </w:tc>
        <w:tc>
          <w:tcPr>
            <w:tcW w:w="779" w:type="dxa"/>
            <w:tcBorders>
              <w:top w:val="single" w:sz="4" w:space="0" w:color="auto"/>
              <w:bottom w:val="single" w:sz="4" w:space="0" w:color="auto"/>
            </w:tcBorders>
          </w:tcPr>
          <w:p w:rsidR="00F92819" w:rsidRDefault="00F92819">
            <w:pPr>
              <w:spacing w:before="80" w:after="80" w:line="220" w:lineRule="exact"/>
              <w:jc w:val="right"/>
              <w:rPr>
                <w:b/>
                <w:sz w:val="18"/>
                <w:szCs w:val="24"/>
              </w:rPr>
            </w:pPr>
            <w:r>
              <w:rPr>
                <w:b/>
                <w:sz w:val="18"/>
                <w:szCs w:val="24"/>
              </w:rPr>
              <w:t>100</w:t>
            </w:r>
          </w:p>
        </w:tc>
        <w:tc>
          <w:tcPr>
            <w:tcW w:w="779" w:type="dxa"/>
            <w:tcBorders>
              <w:top w:val="single" w:sz="4" w:space="0" w:color="auto"/>
              <w:bottom w:val="single" w:sz="4" w:space="0" w:color="auto"/>
            </w:tcBorders>
          </w:tcPr>
          <w:p w:rsidR="00F92819" w:rsidRDefault="00F92819">
            <w:pPr>
              <w:spacing w:before="80" w:after="80" w:line="220" w:lineRule="exact"/>
              <w:jc w:val="right"/>
              <w:rPr>
                <w:b/>
                <w:sz w:val="18"/>
                <w:szCs w:val="24"/>
              </w:rPr>
            </w:pPr>
            <w:r>
              <w:rPr>
                <w:b/>
                <w:sz w:val="18"/>
                <w:szCs w:val="24"/>
              </w:rPr>
              <w:t>100</w:t>
            </w:r>
          </w:p>
        </w:tc>
        <w:tc>
          <w:tcPr>
            <w:tcW w:w="780" w:type="dxa"/>
            <w:tcBorders>
              <w:top w:val="single" w:sz="4" w:space="0" w:color="auto"/>
              <w:bottom w:val="single" w:sz="4" w:space="0" w:color="auto"/>
            </w:tcBorders>
          </w:tcPr>
          <w:p w:rsidR="00F92819" w:rsidRDefault="00F92819">
            <w:pPr>
              <w:spacing w:before="80" w:after="80" w:line="220" w:lineRule="exact"/>
              <w:jc w:val="right"/>
              <w:rPr>
                <w:b/>
                <w:sz w:val="18"/>
                <w:szCs w:val="24"/>
              </w:rPr>
            </w:pPr>
            <w:r>
              <w:rPr>
                <w:b/>
                <w:sz w:val="18"/>
                <w:szCs w:val="24"/>
              </w:rPr>
              <w:t>100</w:t>
            </w:r>
          </w:p>
        </w:tc>
      </w:tr>
      <w:tr w:rsidR="00F92819">
        <w:tc>
          <w:tcPr>
            <w:tcW w:w="2694" w:type="dxa"/>
            <w:tcBorders>
              <w:top w:val="single" w:sz="4" w:space="0" w:color="auto"/>
            </w:tcBorders>
          </w:tcPr>
          <w:p w:rsidR="00F92819" w:rsidRDefault="00F92819">
            <w:pPr>
              <w:spacing w:before="40" w:after="40" w:line="220" w:lineRule="exact"/>
              <w:rPr>
                <w:szCs w:val="24"/>
              </w:rPr>
            </w:pPr>
            <w:r>
              <w:rPr>
                <w:sz w:val="18"/>
                <w:szCs w:val="24"/>
                <w:lang w:val="es-ES_tradnl"/>
              </w:rPr>
              <w:t>Profesiones académicas</w:t>
            </w:r>
          </w:p>
        </w:tc>
        <w:tc>
          <w:tcPr>
            <w:tcW w:w="779"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374,7</w:t>
            </w:r>
          </w:p>
        </w:tc>
        <w:tc>
          <w:tcPr>
            <w:tcW w:w="77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193,5</w:t>
            </w:r>
          </w:p>
        </w:tc>
        <w:tc>
          <w:tcPr>
            <w:tcW w:w="78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181,2</w:t>
            </w:r>
          </w:p>
        </w:tc>
        <w:tc>
          <w:tcPr>
            <w:tcW w:w="779"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14,0</w:t>
            </w:r>
          </w:p>
        </w:tc>
        <w:tc>
          <w:tcPr>
            <w:tcW w:w="77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13,4</w:t>
            </w:r>
          </w:p>
        </w:tc>
        <w:tc>
          <w:tcPr>
            <w:tcW w:w="78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14,6</w:t>
            </w:r>
          </w:p>
        </w:tc>
      </w:tr>
      <w:tr w:rsidR="00F92819">
        <w:tc>
          <w:tcPr>
            <w:tcW w:w="2694" w:type="dxa"/>
          </w:tcPr>
          <w:p w:rsidR="00F92819" w:rsidRDefault="00F92819">
            <w:pPr>
              <w:spacing w:before="40" w:after="40" w:line="220" w:lineRule="exact"/>
              <w:rPr>
                <w:szCs w:val="24"/>
              </w:rPr>
            </w:pPr>
            <w:r>
              <w:rPr>
                <w:sz w:val="18"/>
                <w:szCs w:val="24"/>
                <w:lang w:val="es-ES_tradnl"/>
              </w:rPr>
              <w:t>Otros profesionales y técnicos</w:t>
            </w:r>
          </w:p>
        </w:tc>
        <w:tc>
          <w:tcPr>
            <w:tcW w:w="779" w:type="dxa"/>
            <w:vAlign w:val="bottom"/>
          </w:tcPr>
          <w:p w:rsidR="00F92819" w:rsidRDefault="00F92819">
            <w:pPr>
              <w:spacing w:before="40" w:after="40" w:line="220" w:lineRule="exact"/>
              <w:jc w:val="right"/>
              <w:rPr>
                <w:b/>
                <w:sz w:val="18"/>
                <w:szCs w:val="24"/>
              </w:rPr>
            </w:pPr>
            <w:r>
              <w:rPr>
                <w:b/>
                <w:sz w:val="18"/>
                <w:szCs w:val="24"/>
              </w:rPr>
              <w:t>421,9</w:t>
            </w:r>
          </w:p>
        </w:tc>
        <w:tc>
          <w:tcPr>
            <w:tcW w:w="779" w:type="dxa"/>
            <w:vAlign w:val="bottom"/>
          </w:tcPr>
          <w:p w:rsidR="00F92819" w:rsidRDefault="00F92819">
            <w:pPr>
              <w:spacing w:before="40" w:after="40" w:line="220" w:lineRule="exact"/>
              <w:jc w:val="right"/>
              <w:rPr>
                <w:sz w:val="18"/>
                <w:szCs w:val="24"/>
              </w:rPr>
            </w:pPr>
            <w:r>
              <w:rPr>
                <w:sz w:val="18"/>
                <w:szCs w:val="24"/>
              </w:rPr>
              <w:t>172,6</w:t>
            </w:r>
          </w:p>
        </w:tc>
        <w:tc>
          <w:tcPr>
            <w:tcW w:w="780" w:type="dxa"/>
            <w:vAlign w:val="bottom"/>
          </w:tcPr>
          <w:p w:rsidR="00F92819" w:rsidRDefault="00F92819">
            <w:pPr>
              <w:spacing w:before="40" w:after="40" w:line="220" w:lineRule="exact"/>
              <w:jc w:val="right"/>
              <w:rPr>
                <w:sz w:val="18"/>
                <w:szCs w:val="24"/>
              </w:rPr>
            </w:pPr>
            <w:r>
              <w:rPr>
                <w:sz w:val="18"/>
                <w:szCs w:val="24"/>
              </w:rPr>
              <w:t>249,3</w:t>
            </w:r>
          </w:p>
        </w:tc>
        <w:tc>
          <w:tcPr>
            <w:tcW w:w="779" w:type="dxa"/>
            <w:vAlign w:val="bottom"/>
          </w:tcPr>
          <w:p w:rsidR="00F92819" w:rsidRDefault="00F92819">
            <w:pPr>
              <w:spacing w:before="40" w:after="40" w:line="220" w:lineRule="exact"/>
              <w:jc w:val="right"/>
              <w:rPr>
                <w:b/>
                <w:sz w:val="18"/>
                <w:szCs w:val="24"/>
              </w:rPr>
            </w:pPr>
            <w:r>
              <w:rPr>
                <w:b/>
                <w:sz w:val="18"/>
                <w:szCs w:val="24"/>
              </w:rPr>
              <w:t>15,7</w:t>
            </w:r>
          </w:p>
        </w:tc>
        <w:tc>
          <w:tcPr>
            <w:tcW w:w="779" w:type="dxa"/>
            <w:vAlign w:val="bottom"/>
          </w:tcPr>
          <w:p w:rsidR="00F92819" w:rsidRDefault="00F92819">
            <w:pPr>
              <w:spacing w:before="40" w:after="40" w:line="220" w:lineRule="exact"/>
              <w:jc w:val="right"/>
              <w:rPr>
                <w:sz w:val="18"/>
                <w:szCs w:val="24"/>
              </w:rPr>
            </w:pPr>
            <w:r>
              <w:rPr>
                <w:sz w:val="18"/>
                <w:szCs w:val="24"/>
              </w:rPr>
              <w:t>12</w:t>
            </w:r>
          </w:p>
        </w:tc>
        <w:tc>
          <w:tcPr>
            <w:tcW w:w="780" w:type="dxa"/>
            <w:vAlign w:val="bottom"/>
          </w:tcPr>
          <w:p w:rsidR="00F92819" w:rsidRDefault="00F92819">
            <w:pPr>
              <w:spacing w:before="40" w:after="40" w:line="220" w:lineRule="exact"/>
              <w:jc w:val="right"/>
              <w:rPr>
                <w:sz w:val="18"/>
                <w:szCs w:val="24"/>
              </w:rPr>
            </w:pPr>
            <w:r>
              <w:rPr>
                <w:sz w:val="18"/>
                <w:szCs w:val="24"/>
              </w:rPr>
              <w:t>20,1</w:t>
            </w:r>
          </w:p>
        </w:tc>
      </w:tr>
      <w:tr w:rsidR="00F92819">
        <w:tc>
          <w:tcPr>
            <w:tcW w:w="2694" w:type="dxa"/>
          </w:tcPr>
          <w:p w:rsidR="00F92819" w:rsidRDefault="00F92819">
            <w:pPr>
              <w:spacing w:before="40" w:after="40" w:line="220" w:lineRule="exact"/>
              <w:rPr>
                <w:szCs w:val="24"/>
              </w:rPr>
            </w:pPr>
            <w:r>
              <w:rPr>
                <w:sz w:val="18"/>
                <w:szCs w:val="24"/>
                <w:lang w:val="es-ES_tradnl"/>
              </w:rPr>
              <w:t>Administradores</w:t>
            </w:r>
          </w:p>
        </w:tc>
        <w:tc>
          <w:tcPr>
            <w:tcW w:w="779" w:type="dxa"/>
            <w:vAlign w:val="bottom"/>
          </w:tcPr>
          <w:p w:rsidR="00F92819" w:rsidRDefault="00F92819">
            <w:pPr>
              <w:spacing w:before="40" w:after="40" w:line="220" w:lineRule="exact"/>
              <w:jc w:val="right"/>
              <w:rPr>
                <w:b/>
                <w:sz w:val="18"/>
                <w:szCs w:val="24"/>
              </w:rPr>
            </w:pPr>
            <w:r>
              <w:rPr>
                <w:b/>
                <w:sz w:val="18"/>
                <w:szCs w:val="24"/>
              </w:rPr>
              <w:t>174,2</w:t>
            </w:r>
          </w:p>
        </w:tc>
        <w:tc>
          <w:tcPr>
            <w:tcW w:w="779" w:type="dxa"/>
            <w:vAlign w:val="bottom"/>
          </w:tcPr>
          <w:p w:rsidR="00F92819" w:rsidRDefault="00F92819">
            <w:pPr>
              <w:spacing w:before="40" w:after="40" w:line="220" w:lineRule="exact"/>
              <w:jc w:val="right"/>
              <w:rPr>
                <w:sz w:val="18"/>
                <w:szCs w:val="24"/>
              </w:rPr>
            </w:pPr>
            <w:r>
              <w:rPr>
                <w:sz w:val="18"/>
                <w:szCs w:val="24"/>
              </w:rPr>
              <w:t>124,3</w:t>
            </w:r>
          </w:p>
        </w:tc>
        <w:tc>
          <w:tcPr>
            <w:tcW w:w="780" w:type="dxa"/>
            <w:vAlign w:val="bottom"/>
          </w:tcPr>
          <w:p w:rsidR="00F92819" w:rsidRDefault="00F92819">
            <w:pPr>
              <w:spacing w:before="40" w:after="40" w:line="220" w:lineRule="exact"/>
              <w:jc w:val="right"/>
              <w:rPr>
                <w:sz w:val="18"/>
                <w:szCs w:val="24"/>
              </w:rPr>
            </w:pPr>
            <w:r>
              <w:rPr>
                <w:sz w:val="18"/>
                <w:szCs w:val="24"/>
              </w:rPr>
              <w:t>49,8</w:t>
            </w:r>
          </w:p>
        </w:tc>
        <w:tc>
          <w:tcPr>
            <w:tcW w:w="779" w:type="dxa"/>
            <w:vAlign w:val="bottom"/>
          </w:tcPr>
          <w:p w:rsidR="00F92819" w:rsidRDefault="00F92819">
            <w:pPr>
              <w:spacing w:before="40" w:after="40" w:line="220" w:lineRule="exact"/>
              <w:jc w:val="right"/>
              <w:rPr>
                <w:b/>
                <w:sz w:val="18"/>
                <w:szCs w:val="24"/>
              </w:rPr>
            </w:pPr>
            <w:r>
              <w:rPr>
                <w:b/>
                <w:sz w:val="18"/>
                <w:szCs w:val="24"/>
              </w:rPr>
              <w:t>6,5</w:t>
            </w:r>
          </w:p>
        </w:tc>
        <w:tc>
          <w:tcPr>
            <w:tcW w:w="779" w:type="dxa"/>
            <w:vAlign w:val="bottom"/>
          </w:tcPr>
          <w:p w:rsidR="00F92819" w:rsidRDefault="00F92819">
            <w:pPr>
              <w:spacing w:before="40" w:after="40" w:line="220" w:lineRule="exact"/>
              <w:jc w:val="right"/>
              <w:rPr>
                <w:sz w:val="18"/>
                <w:szCs w:val="24"/>
              </w:rPr>
            </w:pPr>
            <w:r>
              <w:rPr>
                <w:sz w:val="18"/>
                <w:szCs w:val="24"/>
              </w:rPr>
              <w:t>8,6</w:t>
            </w:r>
          </w:p>
        </w:tc>
        <w:tc>
          <w:tcPr>
            <w:tcW w:w="780" w:type="dxa"/>
            <w:vAlign w:val="bottom"/>
          </w:tcPr>
          <w:p w:rsidR="00F92819" w:rsidRDefault="00F92819">
            <w:pPr>
              <w:spacing w:before="40" w:after="40" w:line="220" w:lineRule="exact"/>
              <w:jc w:val="right"/>
              <w:rPr>
                <w:sz w:val="18"/>
                <w:szCs w:val="24"/>
              </w:rPr>
            </w:pPr>
            <w:r>
              <w:rPr>
                <w:sz w:val="18"/>
                <w:szCs w:val="24"/>
              </w:rPr>
              <w:t>4</w:t>
            </w:r>
          </w:p>
        </w:tc>
      </w:tr>
      <w:tr w:rsidR="00F92819">
        <w:tc>
          <w:tcPr>
            <w:tcW w:w="2694" w:type="dxa"/>
          </w:tcPr>
          <w:p w:rsidR="00F92819" w:rsidRDefault="00F92819">
            <w:pPr>
              <w:spacing w:before="40" w:after="40" w:line="220" w:lineRule="exact"/>
              <w:rPr>
                <w:szCs w:val="24"/>
              </w:rPr>
            </w:pPr>
            <w:r>
              <w:rPr>
                <w:sz w:val="18"/>
                <w:szCs w:val="24"/>
                <w:lang w:val="es-ES_tradnl"/>
              </w:rPr>
              <w:t>Oficinistas</w:t>
            </w:r>
          </w:p>
        </w:tc>
        <w:tc>
          <w:tcPr>
            <w:tcW w:w="779" w:type="dxa"/>
            <w:vAlign w:val="bottom"/>
          </w:tcPr>
          <w:p w:rsidR="00F92819" w:rsidRDefault="00F92819">
            <w:pPr>
              <w:spacing w:before="40" w:after="40" w:line="220" w:lineRule="exact"/>
              <w:jc w:val="right"/>
              <w:rPr>
                <w:b/>
                <w:sz w:val="18"/>
                <w:szCs w:val="24"/>
              </w:rPr>
            </w:pPr>
            <w:r>
              <w:rPr>
                <w:b/>
                <w:sz w:val="18"/>
                <w:szCs w:val="24"/>
              </w:rPr>
              <w:t>426,2</w:t>
            </w:r>
          </w:p>
        </w:tc>
        <w:tc>
          <w:tcPr>
            <w:tcW w:w="779" w:type="dxa"/>
            <w:vAlign w:val="bottom"/>
          </w:tcPr>
          <w:p w:rsidR="00F92819" w:rsidRDefault="00F92819">
            <w:pPr>
              <w:spacing w:before="40" w:after="40" w:line="220" w:lineRule="exact"/>
              <w:jc w:val="right"/>
              <w:rPr>
                <w:sz w:val="18"/>
                <w:szCs w:val="24"/>
              </w:rPr>
            </w:pPr>
            <w:r>
              <w:rPr>
                <w:sz w:val="18"/>
                <w:szCs w:val="24"/>
              </w:rPr>
              <w:t>111,2</w:t>
            </w:r>
          </w:p>
        </w:tc>
        <w:tc>
          <w:tcPr>
            <w:tcW w:w="780" w:type="dxa"/>
            <w:vAlign w:val="bottom"/>
          </w:tcPr>
          <w:p w:rsidR="00F92819" w:rsidRDefault="00F92819">
            <w:pPr>
              <w:spacing w:before="40" w:after="40" w:line="220" w:lineRule="exact"/>
              <w:jc w:val="right"/>
              <w:rPr>
                <w:sz w:val="18"/>
                <w:szCs w:val="24"/>
              </w:rPr>
            </w:pPr>
            <w:r>
              <w:rPr>
                <w:sz w:val="18"/>
                <w:szCs w:val="24"/>
              </w:rPr>
              <w:t>315</w:t>
            </w:r>
          </w:p>
        </w:tc>
        <w:tc>
          <w:tcPr>
            <w:tcW w:w="779" w:type="dxa"/>
            <w:vAlign w:val="bottom"/>
          </w:tcPr>
          <w:p w:rsidR="00F92819" w:rsidRDefault="00F92819">
            <w:pPr>
              <w:spacing w:before="40" w:after="40" w:line="220" w:lineRule="exact"/>
              <w:jc w:val="right"/>
              <w:rPr>
                <w:b/>
                <w:sz w:val="18"/>
                <w:szCs w:val="24"/>
              </w:rPr>
            </w:pPr>
            <w:r>
              <w:rPr>
                <w:b/>
                <w:sz w:val="18"/>
                <w:szCs w:val="24"/>
              </w:rPr>
              <w:t>15,9</w:t>
            </w:r>
          </w:p>
        </w:tc>
        <w:tc>
          <w:tcPr>
            <w:tcW w:w="779" w:type="dxa"/>
            <w:vAlign w:val="bottom"/>
          </w:tcPr>
          <w:p w:rsidR="00F92819" w:rsidRDefault="00F92819">
            <w:pPr>
              <w:spacing w:before="40" w:after="40" w:line="220" w:lineRule="exact"/>
              <w:jc w:val="right"/>
              <w:rPr>
                <w:sz w:val="18"/>
                <w:szCs w:val="24"/>
              </w:rPr>
            </w:pPr>
            <w:r>
              <w:rPr>
                <w:sz w:val="18"/>
                <w:szCs w:val="24"/>
              </w:rPr>
              <w:t>7,7</w:t>
            </w:r>
          </w:p>
        </w:tc>
        <w:tc>
          <w:tcPr>
            <w:tcW w:w="780" w:type="dxa"/>
            <w:vAlign w:val="bottom"/>
          </w:tcPr>
          <w:p w:rsidR="00F92819" w:rsidRDefault="00F92819">
            <w:pPr>
              <w:spacing w:before="40" w:after="40" w:line="220" w:lineRule="exact"/>
              <w:jc w:val="right"/>
              <w:rPr>
                <w:sz w:val="18"/>
                <w:szCs w:val="24"/>
              </w:rPr>
            </w:pPr>
            <w:r>
              <w:rPr>
                <w:sz w:val="18"/>
                <w:szCs w:val="24"/>
              </w:rPr>
              <w:t>25,4</w:t>
            </w:r>
          </w:p>
        </w:tc>
      </w:tr>
      <w:tr w:rsidR="00F92819">
        <w:tc>
          <w:tcPr>
            <w:tcW w:w="2694" w:type="dxa"/>
          </w:tcPr>
          <w:p w:rsidR="00F92819" w:rsidRDefault="00F92819">
            <w:pPr>
              <w:spacing w:before="40" w:after="40" w:line="220" w:lineRule="exact"/>
              <w:rPr>
                <w:szCs w:val="24"/>
              </w:rPr>
            </w:pPr>
            <w:r>
              <w:rPr>
                <w:sz w:val="18"/>
                <w:szCs w:val="24"/>
                <w:lang w:val="es-ES_tradnl"/>
              </w:rPr>
              <w:t>Agentes, vendedores y trabajadores del sector de servicios</w:t>
            </w:r>
          </w:p>
        </w:tc>
        <w:tc>
          <w:tcPr>
            <w:tcW w:w="779" w:type="dxa"/>
            <w:vAlign w:val="bottom"/>
          </w:tcPr>
          <w:p w:rsidR="00F92819" w:rsidRDefault="00F92819">
            <w:pPr>
              <w:spacing w:before="40" w:after="40" w:line="220" w:lineRule="exact"/>
              <w:jc w:val="right"/>
              <w:rPr>
                <w:b/>
                <w:sz w:val="18"/>
                <w:szCs w:val="24"/>
              </w:rPr>
            </w:pPr>
            <w:r>
              <w:rPr>
                <w:b/>
                <w:sz w:val="18"/>
                <w:szCs w:val="24"/>
              </w:rPr>
              <w:t>539,7</w:t>
            </w:r>
          </w:p>
        </w:tc>
        <w:tc>
          <w:tcPr>
            <w:tcW w:w="779" w:type="dxa"/>
            <w:vAlign w:val="bottom"/>
          </w:tcPr>
          <w:p w:rsidR="00F92819" w:rsidRDefault="00F92819">
            <w:pPr>
              <w:spacing w:before="40" w:after="40" w:line="220" w:lineRule="exact"/>
              <w:jc w:val="right"/>
              <w:rPr>
                <w:sz w:val="18"/>
                <w:szCs w:val="24"/>
              </w:rPr>
            </w:pPr>
            <w:r>
              <w:rPr>
                <w:sz w:val="18"/>
                <w:szCs w:val="24"/>
              </w:rPr>
              <w:t>244,8</w:t>
            </w:r>
          </w:p>
        </w:tc>
        <w:tc>
          <w:tcPr>
            <w:tcW w:w="780" w:type="dxa"/>
            <w:vAlign w:val="bottom"/>
          </w:tcPr>
          <w:p w:rsidR="00F92819" w:rsidRDefault="00F92819">
            <w:pPr>
              <w:spacing w:before="40" w:after="40" w:line="220" w:lineRule="exact"/>
              <w:jc w:val="right"/>
              <w:rPr>
                <w:sz w:val="18"/>
                <w:szCs w:val="24"/>
              </w:rPr>
            </w:pPr>
            <w:r>
              <w:rPr>
                <w:sz w:val="18"/>
                <w:szCs w:val="24"/>
              </w:rPr>
              <w:t>294,9</w:t>
            </w:r>
          </w:p>
        </w:tc>
        <w:tc>
          <w:tcPr>
            <w:tcW w:w="779" w:type="dxa"/>
            <w:vAlign w:val="bottom"/>
          </w:tcPr>
          <w:p w:rsidR="00F92819" w:rsidRDefault="00F92819">
            <w:pPr>
              <w:spacing w:before="40" w:after="40" w:line="220" w:lineRule="exact"/>
              <w:jc w:val="right"/>
              <w:rPr>
                <w:b/>
                <w:sz w:val="18"/>
                <w:szCs w:val="24"/>
              </w:rPr>
            </w:pPr>
            <w:r>
              <w:rPr>
                <w:b/>
                <w:sz w:val="18"/>
                <w:szCs w:val="24"/>
              </w:rPr>
              <w:t>20,1</w:t>
            </w:r>
          </w:p>
        </w:tc>
        <w:tc>
          <w:tcPr>
            <w:tcW w:w="779" w:type="dxa"/>
            <w:vAlign w:val="bottom"/>
          </w:tcPr>
          <w:p w:rsidR="00F92819" w:rsidRDefault="00F92819">
            <w:pPr>
              <w:spacing w:before="40" w:after="40" w:line="220" w:lineRule="exact"/>
              <w:jc w:val="right"/>
              <w:rPr>
                <w:sz w:val="18"/>
                <w:szCs w:val="24"/>
              </w:rPr>
            </w:pPr>
            <w:r>
              <w:rPr>
                <w:sz w:val="18"/>
                <w:szCs w:val="24"/>
              </w:rPr>
              <w:t>17</w:t>
            </w:r>
          </w:p>
        </w:tc>
        <w:tc>
          <w:tcPr>
            <w:tcW w:w="780" w:type="dxa"/>
            <w:vAlign w:val="bottom"/>
          </w:tcPr>
          <w:p w:rsidR="00F92819" w:rsidRDefault="00F92819">
            <w:pPr>
              <w:spacing w:before="40" w:after="40" w:line="220" w:lineRule="exact"/>
              <w:jc w:val="right"/>
              <w:rPr>
                <w:sz w:val="18"/>
                <w:szCs w:val="24"/>
              </w:rPr>
            </w:pPr>
            <w:r>
              <w:rPr>
                <w:sz w:val="18"/>
                <w:szCs w:val="24"/>
              </w:rPr>
              <w:t>23,8</w:t>
            </w:r>
          </w:p>
        </w:tc>
      </w:tr>
      <w:tr w:rsidR="00F92819">
        <w:tc>
          <w:tcPr>
            <w:tcW w:w="2694" w:type="dxa"/>
          </w:tcPr>
          <w:p w:rsidR="00F92819" w:rsidRDefault="00F92819">
            <w:pPr>
              <w:spacing w:before="40" w:after="40" w:line="220" w:lineRule="exact"/>
              <w:rPr>
                <w:szCs w:val="24"/>
              </w:rPr>
            </w:pPr>
            <w:r>
              <w:rPr>
                <w:sz w:val="18"/>
                <w:szCs w:val="24"/>
                <w:lang w:val="es-ES_tradnl"/>
              </w:rPr>
              <w:t>Trabajadores agrícolas cualificados</w:t>
            </w:r>
          </w:p>
        </w:tc>
        <w:tc>
          <w:tcPr>
            <w:tcW w:w="779" w:type="dxa"/>
            <w:vAlign w:val="bottom"/>
          </w:tcPr>
          <w:p w:rsidR="00F92819" w:rsidRDefault="00F92819">
            <w:pPr>
              <w:spacing w:before="40" w:after="40" w:line="220" w:lineRule="exact"/>
              <w:jc w:val="right"/>
              <w:rPr>
                <w:b/>
                <w:sz w:val="18"/>
                <w:szCs w:val="24"/>
              </w:rPr>
            </w:pPr>
            <w:r>
              <w:rPr>
                <w:b/>
                <w:sz w:val="18"/>
                <w:szCs w:val="24"/>
              </w:rPr>
              <w:t>32,3</w:t>
            </w:r>
          </w:p>
        </w:tc>
        <w:tc>
          <w:tcPr>
            <w:tcW w:w="779" w:type="dxa"/>
            <w:vAlign w:val="bottom"/>
          </w:tcPr>
          <w:p w:rsidR="00F92819" w:rsidRDefault="00F92819">
            <w:pPr>
              <w:spacing w:before="40" w:after="40" w:line="220" w:lineRule="exact"/>
              <w:jc w:val="right"/>
              <w:rPr>
                <w:sz w:val="18"/>
                <w:szCs w:val="24"/>
              </w:rPr>
            </w:pPr>
            <w:r>
              <w:rPr>
                <w:sz w:val="18"/>
                <w:szCs w:val="24"/>
              </w:rPr>
              <w:t>29,1</w:t>
            </w:r>
          </w:p>
        </w:tc>
        <w:tc>
          <w:tcPr>
            <w:tcW w:w="780" w:type="dxa"/>
            <w:vAlign w:val="bottom"/>
          </w:tcPr>
          <w:p w:rsidR="00F92819" w:rsidRDefault="00F92819">
            <w:pPr>
              <w:spacing w:before="40" w:after="40" w:line="220" w:lineRule="exact"/>
              <w:jc w:val="right"/>
              <w:rPr>
                <w:sz w:val="18"/>
                <w:szCs w:val="24"/>
              </w:rPr>
            </w:pPr>
            <w:r>
              <w:rPr>
                <w:sz w:val="18"/>
                <w:szCs w:val="24"/>
              </w:rPr>
              <w:t>3,3</w:t>
            </w:r>
          </w:p>
        </w:tc>
        <w:tc>
          <w:tcPr>
            <w:tcW w:w="779" w:type="dxa"/>
            <w:vAlign w:val="bottom"/>
          </w:tcPr>
          <w:p w:rsidR="00F92819" w:rsidRDefault="00F92819">
            <w:pPr>
              <w:spacing w:before="40" w:after="40" w:line="220" w:lineRule="exact"/>
              <w:jc w:val="right"/>
              <w:rPr>
                <w:b/>
                <w:sz w:val="18"/>
                <w:szCs w:val="24"/>
              </w:rPr>
            </w:pPr>
            <w:r>
              <w:rPr>
                <w:b/>
                <w:sz w:val="18"/>
                <w:szCs w:val="24"/>
              </w:rPr>
              <w:t>1,2</w:t>
            </w:r>
          </w:p>
        </w:tc>
        <w:tc>
          <w:tcPr>
            <w:tcW w:w="779" w:type="dxa"/>
            <w:vAlign w:val="bottom"/>
          </w:tcPr>
          <w:p w:rsidR="00F92819" w:rsidRDefault="00F92819">
            <w:pPr>
              <w:spacing w:before="40" w:after="40" w:line="220" w:lineRule="exact"/>
              <w:jc w:val="right"/>
              <w:rPr>
                <w:sz w:val="18"/>
                <w:szCs w:val="24"/>
              </w:rPr>
            </w:pPr>
            <w:r>
              <w:rPr>
                <w:sz w:val="18"/>
                <w:szCs w:val="24"/>
              </w:rPr>
              <w:t>2</w:t>
            </w:r>
          </w:p>
        </w:tc>
        <w:tc>
          <w:tcPr>
            <w:tcW w:w="780" w:type="dxa"/>
            <w:vAlign w:val="bottom"/>
          </w:tcPr>
          <w:p w:rsidR="00F92819" w:rsidRDefault="00F92819">
            <w:pPr>
              <w:spacing w:before="40" w:after="40" w:line="220" w:lineRule="exact"/>
              <w:jc w:val="right"/>
              <w:rPr>
                <w:sz w:val="18"/>
                <w:szCs w:val="24"/>
              </w:rPr>
            </w:pPr>
            <w:r>
              <w:rPr>
                <w:sz w:val="18"/>
                <w:szCs w:val="24"/>
              </w:rPr>
              <w:t>0,3</w:t>
            </w:r>
          </w:p>
        </w:tc>
      </w:tr>
      <w:tr w:rsidR="00F92819">
        <w:tc>
          <w:tcPr>
            <w:tcW w:w="2694" w:type="dxa"/>
          </w:tcPr>
          <w:p w:rsidR="00F92819" w:rsidRDefault="00F92819">
            <w:pPr>
              <w:spacing w:before="40" w:after="40" w:line="220" w:lineRule="exact"/>
              <w:rPr>
                <w:szCs w:val="24"/>
              </w:rPr>
            </w:pPr>
            <w:r>
              <w:rPr>
                <w:sz w:val="18"/>
                <w:szCs w:val="24"/>
                <w:lang w:val="es-ES_tradnl"/>
              </w:rPr>
              <w:t>Trabajadores cualificados en la manufactura, la construcción y otras</w:t>
            </w:r>
          </w:p>
        </w:tc>
        <w:tc>
          <w:tcPr>
            <w:tcW w:w="779" w:type="dxa"/>
            <w:vAlign w:val="bottom"/>
          </w:tcPr>
          <w:p w:rsidR="00F92819" w:rsidRDefault="00F92819">
            <w:pPr>
              <w:spacing w:before="40" w:after="40" w:line="220" w:lineRule="exact"/>
              <w:jc w:val="right"/>
              <w:rPr>
                <w:b/>
                <w:sz w:val="18"/>
                <w:szCs w:val="24"/>
              </w:rPr>
            </w:pPr>
            <w:r>
              <w:rPr>
                <w:b/>
                <w:sz w:val="18"/>
                <w:szCs w:val="24"/>
              </w:rPr>
              <w:t>483,3</w:t>
            </w:r>
          </w:p>
        </w:tc>
        <w:tc>
          <w:tcPr>
            <w:tcW w:w="779" w:type="dxa"/>
            <w:vAlign w:val="bottom"/>
          </w:tcPr>
          <w:p w:rsidR="00F92819" w:rsidRDefault="00F92819">
            <w:pPr>
              <w:spacing w:before="40" w:after="40" w:line="220" w:lineRule="exact"/>
              <w:jc w:val="right"/>
              <w:rPr>
                <w:sz w:val="18"/>
                <w:szCs w:val="24"/>
              </w:rPr>
            </w:pPr>
            <w:r>
              <w:rPr>
                <w:sz w:val="18"/>
                <w:szCs w:val="24"/>
              </w:rPr>
              <w:t>433,5</w:t>
            </w:r>
          </w:p>
        </w:tc>
        <w:tc>
          <w:tcPr>
            <w:tcW w:w="780" w:type="dxa"/>
            <w:vAlign w:val="bottom"/>
          </w:tcPr>
          <w:p w:rsidR="00F92819" w:rsidRDefault="00F92819">
            <w:pPr>
              <w:spacing w:before="40" w:after="40" w:line="220" w:lineRule="exact"/>
              <w:jc w:val="right"/>
              <w:rPr>
                <w:sz w:val="18"/>
                <w:szCs w:val="24"/>
              </w:rPr>
            </w:pPr>
            <w:r>
              <w:rPr>
                <w:sz w:val="18"/>
                <w:szCs w:val="24"/>
              </w:rPr>
              <w:t>49,9</w:t>
            </w:r>
          </w:p>
        </w:tc>
        <w:tc>
          <w:tcPr>
            <w:tcW w:w="779" w:type="dxa"/>
            <w:vAlign w:val="bottom"/>
          </w:tcPr>
          <w:p w:rsidR="00F92819" w:rsidRDefault="00F92819">
            <w:pPr>
              <w:spacing w:before="40" w:after="40" w:line="220" w:lineRule="exact"/>
              <w:jc w:val="right"/>
              <w:rPr>
                <w:b/>
                <w:sz w:val="18"/>
                <w:szCs w:val="24"/>
              </w:rPr>
            </w:pPr>
            <w:r>
              <w:rPr>
                <w:b/>
                <w:sz w:val="18"/>
                <w:szCs w:val="24"/>
              </w:rPr>
              <w:t>18</w:t>
            </w:r>
          </w:p>
        </w:tc>
        <w:tc>
          <w:tcPr>
            <w:tcW w:w="779" w:type="dxa"/>
            <w:vAlign w:val="bottom"/>
          </w:tcPr>
          <w:p w:rsidR="00F92819" w:rsidRDefault="00F92819">
            <w:pPr>
              <w:spacing w:before="40" w:after="40" w:line="220" w:lineRule="exact"/>
              <w:jc w:val="right"/>
              <w:rPr>
                <w:sz w:val="18"/>
                <w:szCs w:val="24"/>
              </w:rPr>
            </w:pPr>
            <w:r>
              <w:rPr>
                <w:sz w:val="18"/>
                <w:szCs w:val="24"/>
              </w:rPr>
              <w:t>30,1</w:t>
            </w:r>
          </w:p>
        </w:tc>
        <w:tc>
          <w:tcPr>
            <w:tcW w:w="780" w:type="dxa"/>
            <w:vAlign w:val="bottom"/>
          </w:tcPr>
          <w:p w:rsidR="00F92819" w:rsidRDefault="00F92819">
            <w:pPr>
              <w:spacing w:before="40" w:after="40" w:line="220" w:lineRule="exact"/>
              <w:jc w:val="right"/>
              <w:rPr>
                <w:sz w:val="18"/>
                <w:szCs w:val="24"/>
              </w:rPr>
            </w:pPr>
            <w:r>
              <w:rPr>
                <w:sz w:val="18"/>
                <w:szCs w:val="24"/>
              </w:rPr>
              <w:t>4</w:t>
            </w:r>
          </w:p>
        </w:tc>
      </w:tr>
      <w:tr w:rsidR="00F92819">
        <w:tc>
          <w:tcPr>
            <w:tcW w:w="2694" w:type="dxa"/>
          </w:tcPr>
          <w:p w:rsidR="00F92819" w:rsidRDefault="00F92819">
            <w:pPr>
              <w:spacing w:before="40" w:after="40" w:line="220" w:lineRule="exact"/>
              <w:rPr>
                <w:szCs w:val="24"/>
              </w:rPr>
            </w:pPr>
            <w:r>
              <w:rPr>
                <w:sz w:val="18"/>
                <w:szCs w:val="24"/>
                <w:lang w:val="es-ES_tradnl"/>
              </w:rPr>
              <w:t>Trabajadores no cualificados</w:t>
            </w:r>
          </w:p>
        </w:tc>
        <w:tc>
          <w:tcPr>
            <w:tcW w:w="779" w:type="dxa"/>
            <w:vAlign w:val="bottom"/>
          </w:tcPr>
          <w:p w:rsidR="00F92819" w:rsidRDefault="00F92819">
            <w:pPr>
              <w:spacing w:before="40" w:after="40" w:line="220" w:lineRule="exact"/>
              <w:jc w:val="right"/>
              <w:rPr>
                <w:b/>
                <w:sz w:val="18"/>
                <w:szCs w:val="24"/>
              </w:rPr>
            </w:pPr>
            <w:r>
              <w:rPr>
                <w:b/>
                <w:sz w:val="18"/>
                <w:szCs w:val="24"/>
              </w:rPr>
              <w:t>199,6</w:t>
            </w:r>
          </w:p>
        </w:tc>
        <w:tc>
          <w:tcPr>
            <w:tcW w:w="779" w:type="dxa"/>
            <w:vAlign w:val="bottom"/>
          </w:tcPr>
          <w:p w:rsidR="00F92819" w:rsidRDefault="00F92819">
            <w:pPr>
              <w:spacing w:before="40" w:after="40" w:line="220" w:lineRule="exact"/>
              <w:jc w:val="right"/>
              <w:rPr>
                <w:sz w:val="18"/>
                <w:szCs w:val="24"/>
              </w:rPr>
            </w:pPr>
            <w:r>
              <w:rPr>
                <w:sz w:val="18"/>
                <w:szCs w:val="24"/>
              </w:rPr>
              <w:t>111,9</w:t>
            </w:r>
          </w:p>
        </w:tc>
        <w:tc>
          <w:tcPr>
            <w:tcW w:w="780" w:type="dxa"/>
            <w:vAlign w:val="bottom"/>
          </w:tcPr>
          <w:p w:rsidR="00F92819" w:rsidRDefault="00F92819">
            <w:pPr>
              <w:spacing w:before="40" w:after="40" w:line="220" w:lineRule="exact"/>
              <w:jc w:val="right"/>
              <w:rPr>
                <w:sz w:val="18"/>
                <w:szCs w:val="24"/>
              </w:rPr>
            </w:pPr>
            <w:r>
              <w:rPr>
                <w:sz w:val="18"/>
                <w:szCs w:val="24"/>
              </w:rPr>
              <w:t>87,6</w:t>
            </w:r>
          </w:p>
        </w:tc>
        <w:tc>
          <w:tcPr>
            <w:tcW w:w="779" w:type="dxa"/>
            <w:vAlign w:val="bottom"/>
          </w:tcPr>
          <w:p w:rsidR="00F92819" w:rsidRDefault="00F92819">
            <w:pPr>
              <w:spacing w:before="40" w:after="40" w:line="220" w:lineRule="exact"/>
              <w:jc w:val="right"/>
              <w:rPr>
                <w:b/>
                <w:sz w:val="18"/>
                <w:szCs w:val="24"/>
              </w:rPr>
            </w:pPr>
            <w:r>
              <w:rPr>
                <w:b/>
                <w:sz w:val="18"/>
                <w:szCs w:val="24"/>
              </w:rPr>
              <w:t>7,4</w:t>
            </w:r>
          </w:p>
        </w:tc>
        <w:tc>
          <w:tcPr>
            <w:tcW w:w="779" w:type="dxa"/>
            <w:vAlign w:val="bottom"/>
          </w:tcPr>
          <w:p w:rsidR="00F92819" w:rsidRDefault="00F92819">
            <w:pPr>
              <w:spacing w:before="40" w:after="40" w:line="220" w:lineRule="exact"/>
              <w:jc w:val="right"/>
              <w:rPr>
                <w:sz w:val="18"/>
                <w:szCs w:val="24"/>
              </w:rPr>
            </w:pPr>
            <w:r>
              <w:rPr>
                <w:sz w:val="18"/>
                <w:szCs w:val="24"/>
              </w:rPr>
              <w:t>7,8</w:t>
            </w:r>
          </w:p>
        </w:tc>
        <w:tc>
          <w:tcPr>
            <w:tcW w:w="780" w:type="dxa"/>
            <w:vAlign w:val="bottom"/>
          </w:tcPr>
          <w:p w:rsidR="00F92819" w:rsidRDefault="00F92819">
            <w:pPr>
              <w:spacing w:before="40" w:after="40" w:line="220" w:lineRule="exact"/>
              <w:jc w:val="right"/>
              <w:rPr>
                <w:sz w:val="18"/>
                <w:szCs w:val="24"/>
              </w:rPr>
            </w:pPr>
            <w:r>
              <w:rPr>
                <w:sz w:val="18"/>
                <w:szCs w:val="24"/>
              </w:rPr>
              <w:t>7,1</w:t>
            </w:r>
          </w:p>
        </w:tc>
      </w:tr>
      <w:tr w:rsidR="00F92819">
        <w:tc>
          <w:tcPr>
            <w:tcW w:w="2694" w:type="dxa"/>
            <w:tcBorders>
              <w:bottom w:val="single" w:sz="4" w:space="0" w:color="auto"/>
            </w:tcBorders>
          </w:tcPr>
          <w:p w:rsidR="00F92819" w:rsidRDefault="00F92819">
            <w:pPr>
              <w:spacing w:before="40" w:after="40" w:line="220" w:lineRule="exact"/>
              <w:rPr>
                <w:szCs w:val="24"/>
              </w:rPr>
            </w:pPr>
            <w:r>
              <w:rPr>
                <w:sz w:val="18"/>
                <w:szCs w:val="24"/>
                <w:lang w:val="es-ES_tradnl"/>
              </w:rPr>
              <w:t>Desconocida</w:t>
            </w:r>
          </w:p>
        </w:tc>
        <w:tc>
          <w:tcPr>
            <w:tcW w:w="779" w:type="dxa"/>
            <w:tcBorders>
              <w:bottom w:val="single" w:sz="4" w:space="0" w:color="auto"/>
            </w:tcBorders>
            <w:vAlign w:val="bottom"/>
          </w:tcPr>
          <w:p w:rsidR="00F92819" w:rsidRDefault="00F92819">
            <w:pPr>
              <w:spacing w:before="40" w:after="40" w:line="220" w:lineRule="exact"/>
              <w:jc w:val="right"/>
              <w:rPr>
                <w:b/>
                <w:sz w:val="18"/>
                <w:szCs w:val="24"/>
              </w:rPr>
            </w:pPr>
            <w:r>
              <w:rPr>
                <w:b/>
                <w:sz w:val="18"/>
                <w:szCs w:val="24"/>
              </w:rPr>
              <w:t>30,1</w:t>
            </w:r>
          </w:p>
        </w:tc>
        <w:tc>
          <w:tcPr>
            <w:tcW w:w="77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21</w:t>
            </w:r>
          </w:p>
        </w:tc>
        <w:tc>
          <w:tcPr>
            <w:tcW w:w="78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9,1</w:t>
            </w:r>
          </w:p>
        </w:tc>
        <w:tc>
          <w:tcPr>
            <w:tcW w:w="779" w:type="dxa"/>
            <w:tcBorders>
              <w:bottom w:val="single" w:sz="4" w:space="0" w:color="auto"/>
            </w:tcBorders>
            <w:vAlign w:val="bottom"/>
          </w:tcPr>
          <w:p w:rsidR="00F92819" w:rsidRDefault="00F92819">
            <w:pPr>
              <w:spacing w:before="40" w:after="40" w:line="220" w:lineRule="exact"/>
              <w:jc w:val="right"/>
              <w:rPr>
                <w:b/>
                <w:sz w:val="18"/>
                <w:szCs w:val="24"/>
              </w:rPr>
            </w:pPr>
            <w:r>
              <w:rPr>
                <w:b/>
                <w:sz w:val="18"/>
                <w:szCs w:val="24"/>
              </w:rPr>
              <w:t>1,1</w:t>
            </w:r>
          </w:p>
        </w:tc>
        <w:tc>
          <w:tcPr>
            <w:tcW w:w="77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1,5</w:t>
            </w:r>
          </w:p>
        </w:tc>
        <w:tc>
          <w:tcPr>
            <w:tcW w:w="78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0,7</w:t>
            </w:r>
          </w:p>
        </w:tc>
      </w:tr>
      <w:tr w:rsidR="00F92819">
        <w:tc>
          <w:tcPr>
            <w:tcW w:w="2694" w:type="dxa"/>
            <w:tcBorders>
              <w:top w:val="single" w:sz="4" w:space="0" w:color="auto"/>
              <w:bottom w:val="single" w:sz="4" w:space="0" w:color="auto"/>
            </w:tcBorders>
          </w:tcPr>
          <w:p w:rsidR="00F92819" w:rsidRDefault="00F92819">
            <w:pPr>
              <w:keepNext/>
              <w:keepLines/>
              <w:spacing w:before="80" w:after="80" w:line="200" w:lineRule="exact"/>
              <w:rPr>
                <w:szCs w:val="24"/>
              </w:rPr>
            </w:pPr>
            <w:r>
              <w:rPr>
                <w:i/>
                <w:sz w:val="16"/>
                <w:szCs w:val="24"/>
                <w:lang w:val="es-ES_tradnl"/>
              </w:rPr>
              <w:t>Judíos</w:t>
            </w:r>
          </w:p>
        </w:tc>
        <w:tc>
          <w:tcPr>
            <w:tcW w:w="779" w:type="dxa"/>
            <w:tcBorders>
              <w:top w:val="single" w:sz="4" w:space="0" w:color="auto"/>
              <w:bottom w:val="single" w:sz="4" w:space="0" w:color="auto"/>
            </w:tcBorders>
          </w:tcPr>
          <w:p w:rsidR="00F92819" w:rsidRDefault="00F92819">
            <w:pPr>
              <w:keepNext/>
              <w:keepLines/>
              <w:spacing w:before="80" w:after="80" w:line="200" w:lineRule="exact"/>
              <w:rPr>
                <w:sz w:val="18"/>
                <w:szCs w:val="24"/>
              </w:rPr>
            </w:pPr>
          </w:p>
        </w:tc>
        <w:tc>
          <w:tcPr>
            <w:tcW w:w="779" w:type="dxa"/>
            <w:tcBorders>
              <w:top w:val="single" w:sz="4" w:space="0" w:color="auto"/>
              <w:bottom w:val="single" w:sz="4" w:space="0" w:color="auto"/>
            </w:tcBorders>
          </w:tcPr>
          <w:p w:rsidR="00F92819" w:rsidRDefault="00F92819">
            <w:pPr>
              <w:keepNext/>
              <w:keepLines/>
              <w:spacing w:before="80" w:after="80" w:line="200" w:lineRule="exact"/>
              <w:rPr>
                <w:sz w:val="18"/>
                <w:szCs w:val="24"/>
              </w:rPr>
            </w:pPr>
          </w:p>
        </w:tc>
        <w:tc>
          <w:tcPr>
            <w:tcW w:w="780" w:type="dxa"/>
            <w:tcBorders>
              <w:top w:val="single" w:sz="4" w:space="0" w:color="auto"/>
              <w:bottom w:val="single" w:sz="4" w:space="0" w:color="auto"/>
            </w:tcBorders>
          </w:tcPr>
          <w:p w:rsidR="00F92819" w:rsidRDefault="00F92819">
            <w:pPr>
              <w:keepNext/>
              <w:keepLines/>
              <w:spacing w:before="80" w:after="80" w:line="200" w:lineRule="exact"/>
              <w:rPr>
                <w:sz w:val="18"/>
                <w:szCs w:val="24"/>
              </w:rPr>
            </w:pPr>
          </w:p>
        </w:tc>
        <w:tc>
          <w:tcPr>
            <w:tcW w:w="779" w:type="dxa"/>
            <w:tcBorders>
              <w:top w:val="single" w:sz="4" w:space="0" w:color="auto"/>
              <w:bottom w:val="single" w:sz="4" w:space="0" w:color="auto"/>
            </w:tcBorders>
          </w:tcPr>
          <w:p w:rsidR="00F92819" w:rsidRDefault="00F92819">
            <w:pPr>
              <w:keepNext/>
              <w:keepLines/>
              <w:spacing w:before="80" w:after="80" w:line="200" w:lineRule="exact"/>
              <w:rPr>
                <w:sz w:val="18"/>
                <w:szCs w:val="24"/>
              </w:rPr>
            </w:pPr>
          </w:p>
        </w:tc>
        <w:tc>
          <w:tcPr>
            <w:tcW w:w="779" w:type="dxa"/>
            <w:tcBorders>
              <w:top w:val="single" w:sz="4" w:space="0" w:color="auto"/>
              <w:bottom w:val="single" w:sz="4" w:space="0" w:color="auto"/>
            </w:tcBorders>
          </w:tcPr>
          <w:p w:rsidR="00F92819" w:rsidRDefault="00F92819">
            <w:pPr>
              <w:keepNext/>
              <w:keepLines/>
              <w:spacing w:before="80" w:after="80" w:line="200" w:lineRule="exact"/>
              <w:rPr>
                <w:sz w:val="18"/>
                <w:szCs w:val="24"/>
              </w:rPr>
            </w:pPr>
          </w:p>
        </w:tc>
        <w:tc>
          <w:tcPr>
            <w:tcW w:w="780" w:type="dxa"/>
            <w:tcBorders>
              <w:top w:val="single" w:sz="4" w:space="0" w:color="auto"/>
              <w:bottom w:val="single" w:sz="4" w:space="0" w:color="auto"/>
            </w:tcBorders>
          </w:tcPr>
          <w:p w:rsidR="00F92819" w:rsidRDefault="00F92819">
            <w:pPr>
              <w:keepNext/>
              <w:keepLines/>
              <w:spacing w:before="80" w:after="80" w:line="200" w:lineRule="exact"/>
              <w:rPr>
                <w:sz w:val="18"/>
                <w:szCs w:val="24"/>
              </w:rPr>
            </w:pPr>
          </w:p>
        </w:tc>
      </w:tr>
      <w:tr w:rsidR="00F92819">
        <w:tc>
          <w:tcPr>
            <w:tcW w:w="2694" w:type="dxa"/>
            <w:tcBorders>
              <w:top w:val="single" w:sz="4" w:space="0" w:color="auto"/>
              <w:bottom w:val="single" w:sz="4" w:space="0" w:color="auto"/>
            </w:tcBorders>
          </w:tcPr>
          <w:p w:rsidR="00F92819" w:rsidRDefault="00F92819">
            <w:pPr>
              <w:keepNext/>
              <w:keepLines/>
              <w:spacing w:before="80" w:after="80" w:line="220" w:lineRule="exact"/>
              <w:ind w:left="284"/>
              <w:rPr>
                <w:szCs w:val="24"/>
              </w:rPr>
            </w:pPr>
            <w:r>
              <w:rPr>
                <w:b/>
                <w:sz w:val="18"/>
                <w:szCs w:val="24"/>
                <w:lang w:val="es-ES_tradnl"/>
              </w:rPr>
              <w:t>Total</w:t>
            </w:r>
          </w:p>
        </w:tc>
        <w:tc>
          <w:tcPr>
            <w:tcW w:w="779" w:type="dxa"/>
            <w:tcBorders>
              <w:top w:val="single" w:sz="4"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2 291,6</w:t>
            </w:r>
          </w:p>
        </w:tc>
        <w:tc>
          <w:tcPr>
            <w:tcW w:w="779" w:type="dxa"/>
            <w:tcBorders>
              <w:top w:val="single" w:sz="4"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1 162,4</w:t>
            </w:r>
          </w:p>
        </w:tc>
        <w:tc>
          <w:tcPr>
            <w:tcW w:w="780" w:type="dxa"/>
            <w:tcBorders>
              <w:top w:val="single" w:sz="4"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1 129,2</w:t>
            </w:r>
          </w:p>
        </w:tc>
        <w:tc>
          <w:tcPr>
            <w:tcW w:w="779" w:type="dxa"/>
            <w:tcBorders>
              <w:top w:val="single" w:sz="4" w:space="0" w:color="auto"/>
              <w:bottom w:val="single" w:sz="4" w:space="0" w:color="auto"/>
            </w:tcBorders>
          </w:tcPr>
          <w:p w:rsidR="00F92819" w:rsidRDefault="00F92819">
            <w:pPr>
              <w:keepNext/>
              <w:keepLines/>
              <w:spacing w:before="80" w:after="80" w:line="220" w:lineRule="exact"/>
              <w:jc w:val="right"/>
              <w:rPr>
                <w:b/>
                <w:sz w:val="18"/>
                <w:szCs w:val="24"/>
              </w:rPr>
            </w:pPr>
            <w:r>
              <w:rPr>
                <w:b/>
                <w:sz w:val="18"/>
                <w:szCs w:val="24"/>
              </w:rPr>
              <w:t>100</w:t>
            </w:r>
          </w:p>
        </w:tc>
        <w:tc>
          <w:tcPr>
            <w:tcW w:w="779" w:type="dxa"/>
            <w:tcBorders>
              <w:top w:val="single" w:sz="4" w:space="0" w:color="auto"/>
              <w:bottom w:val="single" w:sz="4" w:space="0" w:color="auto"/>
            </w:tcBorders>
          </w:tcPr>
          <w:p w:rsidR="00F92819" w:rsidRDefault="00F92819">
            <w:pPr>
              <w:keepNext/>
              <w:keepLines/>
              <w:spacing w:before="80" w:after="80" w:line="220" w:lineRule="exact"/>
              <w:jc w:val="right"/>
              <w:rPr>
                <w:b/>
                <w:sz w:val="18"/>
                <w:szCs w:val="24"/>
              </w:rPr>
            </w:pPr>
            <w:r>
              <w:rPr>
                <w:b/>
                <w:sz w:val="18"/>
                <w:szCs w:val="24"/>
              </w:rPr>
              <w:t>100</w:t>
            </w:r>
          </w:p>
        </w:tc>
        <w:tc>
          <w:tcPr>
            <w:tcW w:w="780" w:type="dxa"/>
            <w:tcBorders>
              <w:top w:val="single" w:sz="4" w:space="0" w:color="auto"/>
              <w:bottom w:val="single" w:sz="4" w:space="0" w:color="auto"/>
            </w:tcBorders>
          </w:tcPr>
          <w:p w:rsidR="00F92819" w:rsidRDefault="00F92819">
            <w:pPr>
              <w:keepNext/>
              <w:keepLines/>
              <w:spacing w:before="80" w:after="80" w:line="220" w:lineRule="exact"/>
              <w:jc w:val="right"/>
              <w:rPr>
                <w:b/>
                <w:sz w:val="18"/>
                <w:szCs w:val="24"/>
              </w:rPr>
            </w:pPr>
            <w:r>
              <w:rPr>
                <w:b/>
                <w:sz w:val="18"/>
                <w:szCs w:val="24"/>
              </w:rPr>
              <w:t>100</w:t>
            </w:r>
          </w:p>
        </w:tc>
      </w:tr>
      <w:tr w:rsidR="00F92819">
        <w:tc>
          <w:tcPr>
            <w:tcW w:w="2694" w:type="dxa"/>
            <w:tcBorders>
              <w:top w:val="single" w:sz="4" w:space="0" w:color="auto"/>
            </w:tcBorders>
          </w:tcPr>
          <w:p w:rsidR="00F92819" w:rsidRDefault="00F92819">
            <w:pPr>
              <w:keepNext/>
              <w:keepLines/>
              <w:spacing w:before="40" w:after="40" w:line="220" w:lineRule="exact"/>
              <w:rPr>
                <w:szCs w:val="24"/>
              </w:rPr>
            </w:pPr>
            <w:r>
              <w:rPr>
                <w:sz w:val="18"/>
                <w:szCs w:val="24"/>
                <w:lang w:val="es-ES_tradnl"/>
              </w:rPr>
              <w:t>Profesiones académicas</w:t>
            </w:r>
          </w:p>
        </w:tc>
        <w:tc>
          <w:tcPr>
            <w:tcW w:w="779" w:type="dxa"/>
            <w:tcBorders>
              <w:top w:val="single" w:sz="4" w:space="0" w:color="auto"/>
            </w:tcBorders>
            <w:vAlign w:val="bottom"/>
          </w:tcPr>
          <w:p w:rsidR="00F92819" w:rsidRDefault="00F92819">
            <w:pPr>
              <w:keepNext/>
              <w:keepLines/>
              <w:spacing w:before="40" w:after="40" w:line="220" w:lineRule="exact"/>
              <w:jc w:val="right"/>
              <w:rPr>
                <w:b/>
                <w:sz w:val="18"/>
                <w:szCs w:val="24"/>
              </w:rPr>
            </w:pPr>
            <w:r>
              <w:rPr>
                <w:b/>
                <w:sz w:val="18"/>
                <w:szCs w:val="24"/>
              </w:rPr>
              <w:t>347,3</w:t>
            </w:r>
          </w:p>
        </w:tc>
        <w:tc>
          <w:tcPr>
            <w:tcW w:w="779"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176,5</w:t>
            </w:r>
          </w:p>
        </w:tc>
        <w:tc>
          <w:tcPr>
            <w:tcW w:w="780"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170,8</w:t>
            </w:r>
          </w:p>
        </w:tc>
        <w:tc>
          <w:tcPr>
            <w:tcW w:w="779" w:type="dxa"/>
            <w:tcBorders>
              <w:top w:val="single" w:sz="4" w:space="0" w:color="auto"/>
            </w:tcBorders>
            <w:vAlign w:val="bottom"/>
          </w:tcPr>
          <w:p w:rsidR="00F92819" w:rsidRDefault="00F92819">
            <w:pPr>
              <w:keepNext/>
              <w:keepLines/>
              <w:spacing w:before="40" w:after="40" w:line="220" w:lineRule="exact"/>
              <w:jc w:val="right"/>
              <w:rPr>
                <w:b/>
                <w:sz w:val="18"/>
                <w:szCs w:val="24"/>
              </w:rPr>
            </w:pPr>
            <w:r>
              <w:rPr>
                <w:b/>
                <w:sz w:val="18"/>
                <w:szCs w:val="24"/>
              </w:rPr>
              <w:t>15,2</w:t>
            </w:r>
          </w:p>
        </w:tc>
        <w:tc>
          <w:tcPr>
            <w:tcW w:w="779"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15,2</w:t>
            </w:r>
          </w:p>
        </w:tc>
        <w:tc>
          <w:tcPr>
            <w:tcW w:w="780"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15,2</w:t>
            </w:r>
          </w:p>
        </w:tc>
      </w:tr>
      <w:tr w:rsidR="00F92819">
        <w:tc>
          <w:tcPr>
            <w:tcW w:w="2694" w:type="dxa"/>
          </w:tcPr>
          <w:p w:rsidR="00F92819" w:rsidRDefault="00F92819">
            <w:pPr>
              <w:spacing w:before="40" w:after="40" w:line="220" w:lineRule="exact"/>
              <w:rPr>
                <w:szCs w:val="24"/>
              </w:rPr>
            </w:pPr>
            <w:r>
              <w:rPr>
                <w:sz w:val="18"/>
                <w:szCs w:val="24"/>
                <w:lang w:val="es-ES_tradnl"/>
              </w:rPr>
              <w:t>Otros profesionales y técnicos</w:t>
            </w:r>
          </w:p>
        </w:tc>
        <w:tc>
          <w:tcPr>
            <w:tcW w:w="779" w:type="dxa"/>
            <w:vAlign w:val="bottom"/>
          </w:tcPr>
          <w:p w:rsidR="00F92819" w:rsidRDefault="00F92819">
            <w:pPr>
              <w:spacing w:before="40" w:after="40" w:line="220" w:lineRule="exact"/>
              <w:jc w:val="right"/>
              <w:rPr>
                <w:b/>
                <w:sz w:val="18"/>
                <w:szCs w:val="24"/>
              </w:rPr>
            </w:pPr>
            <w:r>
              <w:rPr>
                <w:b/>
                <w:sz w:val="18"/>
                <w:szCs w:val="24"/>
              </w:rPr>
              <w:t>376,6</w:t>
            </w:r>
          </w:p>
        </w:tc>
        <w:tc>
          <w:tcPr>
            <w:tcW w:w="779" w:type="dxa"/>
            <w:vAlign w:val="bottom"/>
          </w:tcPr>
          <w:p w:rsidR="00F92819" w:rsidRDefault="00F92819">
            <w:pPr>
              <w:spacing w:before="40" w:after="40" w:line="220" w:lineRule="exact"/>
              <w:jc w:val="right"/>
              <w:rPr>
                <w:sz w:val="18"/>
                <w:szCs w:val="24"/>
              </w:rPr>
            </w:pPr>
            <w:r>
              <w:rPr>
                <w:sz w:val="18"/>
                <w:szCs w:val="24"/>
              </w:rPr>
              <w:t>155,1</w:t>
            </w:r>
          </w:p>
        </w:tc>
        <w:tc>
          <w:tcPr>
            <w:tcW w:w="780" w:type="dxa"/>
            <w:vAlign w:val="bottom"/>
          </w:tcPr>
          <w:p w:rsidR="00F92819" w:rsidRDefault="00F92819">
            <w:pPr>
              <w:spacing w:before="40" w:after="40" w:line="220" w:lineRule="exact"/>
              <w:jc w:val="right"/>
              <w:rPr>
                <w:sz w:val="18"/>
                <w:szCs w:val="24"/>
              </w:rPr>
            </w:pPr>
            <w:r>
              <w:rPr>
                <w:sz w:val="18"/>
                <w:szCs w:val="24"/>
              </w:rPr>
              <w:t>221,5</w:t>
            </w:r>
          </w:p>
        </w:tc>
        <w:tc>
          <w:tcPr>
            <w:tcW w:w="779" w:type="dxa"/>
            <w:vAlign w:val="bottom"/>
          </w:tcPr>
          <w:p w:rsidR="00F92819" w:rsidRDefault="00F92819">
            <w:pPr>
              <w:spacing w:before="40" w:after="40" w:line="220" w:lineRule="exact"/>
              <w:jc w:val="right"/>
              <w:rPr>
                <w:b/>
                <w:sz w:val="18"/>
                <w:szCs w:val="24"/>
              </w:rPr>
            </w:pPr>
            <w:r>
              <w:rPr>
                <w:b/>
                <w:sz w:val="18"/>
                <w:szCs w:val="24"/>
              </w:rPr>
              <w:t>16,4</w:t>
            </w:r>
          </w:p>
        </w:tc>
        <w:tc>
          <w:tcPr>
            <w:tcW w:w="779" w:type="dxa"/>
            <w:vAlign w:val="bottom"/>
          </w:tcPr>
          <w:p w:rsidR="00F92819" w:rsidRDefault="00F92819">
            <w:pPr>
              <w:spacing w:before="40" w:after="40" w:line="220" w:lineRule="exact"/>
              <w:jc w:val="right"/>
              <w:rPr>
                <w:sz w:val="18"/>
                <w:szCs w:val="24"/>
              </w:rPr>
            </w:pPr>
            <w:r>
              <w:rPr>
                <w:sz w:val="18"/>
                <w:szCs w:val="24"/>
              </w:rPr>
              <w:t>13,3</w:t>
            </w:r>
          </w:p>
        </w:tc>
        <w:tc>
          <w:tcPr>
            <w:tcW w:w="780" w:type="dxa"/>
            <w:vAlign w:val="bottom"/>
          </w:tcPr>
          <w:p w:rsidR="00F92819" w:rsidRDefault="00F92819">
            <w:pPr>
              <w:spacing w:before="40" w:after="40" w:line="220" w:lineRule="exact"/>
              <w:jc w:val="right"/>
              <w:rPr>
                <w:sz w:val="18"/>
                <w:szCs w:val="24"/>
              </w:rPr>
            </w:pPr>
            <w:r>
              <w:rPr>
                <w:sz w:val="18"/>
                <w:szCs w:val="24"/>
              </w:rPr>
              <w:t>19,6</w:t>
            </w:r>
          </w:p>
        </w:tc>
      </w:tr>
      <w:tr w:rsidR="00F92819">
        <w:tc>
          <w:tcPr>
            <w:tcW w:w="2694" w:type="dxa"/>
          </w:tcPr>
          <w:p w:rsidR="00F92819" w:rsidRDefault="00F92819">
            <w:pPr>
              <w:spacing w:before="40" w:after="40" w:line="220" w:lineRule="exact"/>
              <w:rPr>
                <w:szCs w:val="24"/>
              </w:rPr>
            </w:pPr>
            <w:r>
              <w:rPr>
                <w:sz w:val="18"/>
                <w:szCs w:val="24"/>
                <w:lang w:val="es-ES_tradnl"/>
              </w:rPr>
              <w:t>Administradores</w:t>
            </w:r>
          </w:p>
        </w:tc>
        <w:tc>
          <w:tcPr>
            <w:tcW w:w="779" w:type="dxa"/>
            <w:vAlign w:val="bottom"/>
          </w:tcPr>
          <w:p w:rsidR="00F92819" w:rsidRDefault="00F92819">
            <w:pPr>
              <w:spacing w:before="40" w:after="40" w:line="220" w:lineRule="exact"/>
              <w:jc w:val="right"/>
              <w:rPr>
                <w:b/>
                <w:sz w:val="18"/>
                <w:szCs w:val="24"/>
              </w:rPr>
            </w:pPr>
            <w:r>
              <w:rPr>
                <w:b/>
                <w:sz w:val="18"/>
                <w:szCs w:val="24"/>
              </w:rPr>
              <w:t>166,3</w:t>
            </w:r>
          </w:p>
        </w:tc>
        <w:tc>
          <w:tcPr>
            <w:tcW w:w="779" w:type="dxa"/>
            <w:vAlign w:val="bottom"/>
          </w:tcPr>
          <w:p w:rsidR="00F92819" w:rsidRDefault="00F92819">
            <w:pPr>
              <w:spacing w:before="40" w:after="40" w:line="220" w:lineRule="exact"/>
              <w:jc w:val="right"/>
              <w:rPr>
                <w:sz w:val="18"/>
                <w:szCs w:val="24"/>
              </w:rPr>
            </w:pPr>
            <w:r>
              <w:rPr>
                <w:sz w:val="18"/>
                <w:szCs w:val="24"/>
              </w:rPr>
              <w:t>117,8</w:t>
            </w:r>
          </w:p>
        </w:tc>
        <w:tc>
          <w:tcPr>
            <w:tcW w:w="780" w:type="dxa"/>
            <w:vAlign w:val="bottom"/>
          </w:tcPr>
          <w:p w:rsidR="00F92819" w:rsidRDefault="00F92819">
            <w:pPr>
              <w:spacing w:before="40" w:after="40" w:line="220" w:lineRule="exact"/>
              <w:jc w:val="right"/>
              <w:rPr>
                <w:sz w:val="18"/>
                <w:szCs w:val="24"/>
              </w:rPr>
            </w:pPr>
            <w:r>
              <w:rPr>
                <w:sz w:val="18"/>
                <w:szCs w:val="24"/>
              </w:rPr>
              <w:t>48,4</w:t>
            </w:r>
          </w:p>
        </w:tc>
        <w:tc>
          <w:tcPr>
            <w:tcW w:w="779" w:type="dxa"/>
            <w:vAlign w:val="bottom"/>
          </w:tcPr>
          <w:p w:rsidR="00F92819" w:rsidRDefault="00F92819">
            <w:pPr>
              <w:spacing w:before="40" w:after="40" w:line="220" w:lineRule="exact"/>
              <w:jc w:val="right"/>
              <w:rPr>
                <w:b/>
                <w:sz w:val="18"/>
                <w:szCs w:val="24"/>
              </w:rPr>
            </w:pPr>
            <w:r>
              <w:rPr>
                <w:b/>
                <w:sz w:val="18"/>
                <w:szCs w:val="24"/>
              </w:rPr>
              <w:t>7,3</w:t>
            </w:r>
          </w:p>
        </w:tc>
        <w:tc>
          <w:tcPr>
            <w:tcW w:w="779" w:type="dxa"/>
            <w:vAlign w:val="bottom"/>
          </w:tcPr>
          <w:p w:rsidR="00F92819" w:rsidRDefault="00F92819">
            <w:pPr>
              <w:spacing w:before="40" w:after="40" w:line="220" w:lineRule="exact"/>
              <w:jc w:val="right"/>
              <w:rPr>
                <w:sz w:val="18"/>
                <w:szCs w:val="24"/>
              </w:rPr>
            </w:pPr>
            <w:r>
              <w:rPr>
                <w:sz w:val="18"/>
                <w:szCs w:val="24"/>
              </w:rPr>
              <w:t>10,1</w:t>
            </w:r>
          </w:p>
        </w:tc>
        <w:tc>
          <w:tcPr>
            <w:tcW w:w="780" w:type="dxa"/>
            <w:vAlign w:val="bottom"/>
          </w:tcPr>
          <w:p w:rsidR="00F92819" w:rsidRDefault="00F92819">
            <w:pPr>
              <w:spacing w:before="40" w:after="40" w:line="220" w:lineRule="exact"/>
              <w:jc w:val="right"/>
              <w:rPr>
                <w:sz w:val="18"/>
                <w:szCs w:val="24"/>
              </w:rPr>
            </w:pPr>
            <w:r>
              <w:rPr>
                <w:sz w:val="18"/>
                <w:szCs w:val="24"/>
              </w:rPr>
              <w:t>4,3</w:t>
            </w:r>
          </w:p>
        </w:tc>
      </w:tr>
      <w:tr w:rsidR="00F92819">
        <w:tc>
          <w:tcPr>
            <w:tcW w:w="2694" w:type="dxa"/>
          </w:tcPr>
          <w:p w:rsidR="00F92819" w:rsidRDefault="00F92819">
            <w:pPr>
              <w:spacing w:before="40" w:after="40" w:line="220" w:lineRule="exact"/>
              <w:rPr>
                <w:szCs w:val="24"/>
              </w:rPr>
            </w:pPr>
            <w:r>
              <w:rPr>
                <w:sz w:val="18"/>
                <w:szCs w:val="24"/>
                <w:lang w:val="es-ES_tradnl"/>
              </w:rPr>
              <w:t>Oficinistas</w:t>
            </w:r>
          </w:p>
        </w:tc>
        <w:tc>
          <w:tcPr>
            <w:tcW w:w="779" w:type="dxa"/>
            <w:vAlign w:val="bottom"/>
          </w:tcPr>
          <w:p w:rsidR="00F92819" w:rsidRDefault="00F92819">
            <w:pPr>
              <w:spacing w:before="40" w:after="40" w:line="220" w:lineRule="exact"/>
              <w:jc w:val="right"/>
              <w:rPr>
                <w:b/>
                <w:sz w:val="18"/>
                <w:szCs w:val="24"/>
              </w:rPr>
            </w:pPr>
            <w:r>
              <w:rPr>
                <w:b/>
                <w:sz w:val="18"/>
                <w:szCs w:val="24"/>
              </w:rPr>
              <w:t>397,3</w:t>
            </w:r>
          </w:p>
        </w:tc>
        <w:tc>
          <w:tcPr>
            <w:tcW w:w="779" w:type="dxa"/>
            <w:vAlign w:val="bottom"/>
          </w:tcPr>
          <w:p w:rsidR="00F92819" w:rsidRDefault="00F92819">
            <w:pPr>
              <w:spacing w:before="40" w:after="40" w:line="220" w:lineRule="exact"/>
              <w:jc w:val="right"/>
              <w:rPr>
                <w:sz w:val="18"/>
                <w:szCs w:val="24"/>
              </w:rPr>
            </w:pPr>
            <w:r>
              <w:rPr>
                <w:sz w:val="18"/>
                <w:szCs w:val="24"/>
              </w:rPr>
              <w:t>100,1</w:t>
            </w:r>
          </w:p>
        </w:tc>
        <w:tc>
          <w:tcPr>
            <w:tcW w:w="780" w:type="dxa"/>
            <w:vAlign w:val="bottom"/>
          </w:tcPr>
          <w:p w:rsidR="00F92819" w:rsidRDefault="00F92819">
            <w:pPr>
              <w:spacing w:before="40" w:after="40" w:line="220" w:lineRule="exact"/>
              <w:jc w:val="right"/>
              <w:rPr>
                <w:sz w:val="18"/>
                <w:szCs w:val="24"/>
              </w:rPr>
            </w:pPr>
            <w:r>
              <w:rPr>
                <w:sz w:val="18"/>
                <w:szCs w:val="24"/>
              </w:rPr>
              <w:t>297,2</w:t>
            </w:r>
          </w:p>
        </w:tc>
        <w:tc>
          <w:tcPr>
            <w:tcW w:w="779" w:type="dxa"/>
            <w:vAlign w:val="bottom"/>
          </w:tcPr>
          <w:p w:rsidR="00F92819" w:rsidRDefault="00F92819">
            <w:pPr>
              <w:spacing w:before="40" w:after="40" w:line="220" w:lineRule="exact"/>
              <w:jc w:val="right"/>
              <w:rPr>
                <w:b/>
                <w:sz w:val="18"/>
                <w:szCs w:val="24"/>
              </w:rPr>
            </w:pPr>
            <w:r>
              <w:rPr>
                <w:b/>
                <w:sz w:val="18"/>
                <w:szCs w:val="24"/>
              </w:rPr>
              <w:t>17,3</w:t>
            </w:r>
          </w:p>
        </w:tc>
        <w:tc>
          <w:tcPr>
            <w:tcW w:w="779" w:type="dxa"/>
            <w:vAlign w:val="bottom"/>
          </w:tcPr>
          <w:p w:rsidR="00F92819" w:rsidRDefault="00F92819">
            <w:pPr>
              <w:spacing w:before="40" w:after="40" w:line="220" w:lineRule="exact"/>
              <w:jc w:val="right"/>
              <w:rPr>
                <w:sz w:val="18"/>
                <w:szCs w:val="24"/>
              </w:rPr>
            </w:pPr>
            <w:r>
              <w:rPr>
                <w:sz w:val="18"/>
                <w:szCs w:val="24"/>
              </w:rPr>
              <w:t>8,6</w:t>
            </w:r>
          </w:p>
        </w:tc>
        <w:tc>
          <w:tcPr>
            <w:tcW w:w="780" w:type="dxa"/>
            <w:vAlign w:val="bottom"/>
          </w:tcPr>
          <w:p w:rsidR="00F92819" w:rsidRDefault="00F92819">
            <w:pPr>
              <w:spacing w:before="40" w:after="40" w:line="220" w:lineRule="exact"/>
              <w:jc w:val="right"/>
              <w:rPr>
                <w:sz w:val="18"/>
                <w:szCs w:val="24"/>
              </w:rPr>
            </w:pPr>
            <w:r>
              <w:rPr>
                <w:sz w:val="18"/>
                <w:szCs w:val="24"/>
              </w:rPr>
              <w:t>26,3</w:t>
            </w:r>
          </w:p>
        </w:tc>
      </w:tr>
      <w:tr w:rsidR="00F92819">
        <w:tc>
          <w:tcPr>
            <w:tcW w:w="2694" w:type="dxa"/>
          </w:tcPr>
          <w:p w:rsidR="00F92819" w:rsidRDefault="00F92819">
            <w:pPr>
              <w:spacing w:before="40" w:after="40" w:line="220" w:lineRule="exact"/>
              <w:rPr>
                <w:szCs w:val="24"/>
              </w:rPr>
            </w:pPr>
            <w:r>
              <w:rPr>
                <w:sz w:val="18"/>
                <w:szCs w:val="24"/>
                <w:lang w:val="es-ES_tradnl"/>
              </w:rPr>
              <w:t>Agentes, vendedores y trabajadores del sector de servicios</w:t>
            </w:r>
          </w:p>
        </w:tc>
        <w:tc>
          <w:tcPr>
            <w:tcW w:w="779" w:type="dxa"/>
            <w:vAlign w:val="bottom"/>
          </w:tcPr>
          <w:p w:rsidR="00F92819" w:rsidRDefault="00F92819">
            <w:pPr>
              <w:spacing w:before="40" w:after="40" w:line="220" w:lineRule="exact"/>
              <w:jc w:val="right"/>
              <w:rPr>
                <w:b/>
                <w:sz w:val="18"/>
                <w:szCs w:val="24"/>
              </w:rPr>
            </w:pPr>
            <w:r>
              <w:rPr>
                <w:b/>
                <w:sz w:val="18"/>
                <w:szCs w:val="24"/>
              </w:rPr>
              <w:t>473,9</w:t>
            </w:r>
          </w:p>
        </w:tc>
        <w:tc>
          <w:tcPr>
            <w:tcW w:w="779" w:type="dxa"/>
            <w:vAlign w:val="bottom"/>
          </w:tcPr>
          <w:p w:rsidR="00F92819" w:rsidRDefault="00F92819">
            <w:pPr>
              <w:spacing w:before="40" w:after="40" w:line="220" w:lineRule="exact"/>
              <w:jc w:val="right"/>
              <w:rPr>
                <w:sz w:val="18"/>
                <w:szCs w:val="24"/>
              </w:rPr>
            </w:pPr>
            <w:r>
              <w:rPr>
                <w:sz w:val="18"/>
                <w:szCs w:val="24"/>
              </w:rPr>
              <w:t>207,1</w:t>
            </w:r>
          </w:p>
        </w:tc>
        <w:tc>
          <w:tcPr>
            <w:tcW w:w="780" w:type="dxa"/>
            <w:vAlign w:val="bottom"/>
          </w:tcPr>
          <w:p w:rsidR="00F92819" w:rsidRDefault="00F92819">
            <w:pPr>
              <w:spacing w:before="40" w:after="40" w:line="220" w:lineRule="exact"/>
              <w:jc w:val="right"/>
              <w:rPr>
                <w:sz w:val="18"/>
                <w:szCs w:val="24"/>
              </w:rPr>
            </w:pPr>
            <w:r>
              <w:rPr>
                <w:sz w:val="18"/>
                <w:szCs w:val="24"/>
              </w:rPr>
              <w:t>266,7</w:t>
            </w:r>
          </w:p>
        </w:tc>
        <w:tc>
          <w:tcPr>
            <w:tcW w:w="779" w:type="dxa"/>
            <w:vAlign w:val="bottom"/>
          </w:tcPr>
          <w:p w:rsidR="00F92819" w:rsidRDefault="00F92819">
            <w:pPr>
              <w:spacing w:before="40" w:after="40" w:line="220" w:lineRule="exact"/>
              <w:jc w:val="right"/>
              <w:rPr>
                <w:b/>
                <w:sz w:val="18"/>
                <w:szCs w:val="24"/>
              </w:rPr>
            </w:pPr>
            <w:r>
              <w:rPr>
                <w:b/>
                <w:sz w:val="18"/>
                <w:szCs w:val="24"/>
              </w:rPr>
              <w:t>20,7</w:t>
            </w:r>
          </w:p>
        </w:tc>
        <w:tc>
          <w:tcPr>
            <w:tcW w:w="779" w:type="dxa"/>
            <w:vAlign w:val="bottom"/>
          </w:tcPr>
          <w:p w:rsidR="00F92819" w:rsidRDefault="00F92819">
            <w:pPr>
              <w:spacing w:before="40" w:after="40" w:line="220" w:lineRule="exact"/>
              <w:jc w:val="right"/>
              <w:rPr>
                <w:sz w:val="18"/>
                <w:szCs w:val="24"/>
              </w:rPr>
            </w:pPr>
            <w:r>
              <w:rPr>
                <w:sz w:val="18"/>
                <w:szCs w:val="24"/>
              </w:rPr>
              <w:t>17,8</w:t>
            </w:r>
          </w:p>
        </w:tc>
        <w:tc>
          <w:tcPr>
            <w:tcW w:w="780" w:type="dxa"/>
            <w:vAlign w:val="bottom"/>
          </w:tcPr>
          <w:p w:rsidR="00F92819" w:rsidRDefault="00F92819">
            <w:pPr>
              <w:spacing w:before="40" w:after="40" w:line="220" w:lineRule="exact"/>
              <w:jc w:val="right"/>
              <w:rPr>
                <w:sz w:val="18"/>
                <w:szCs w:val="24"/>
              </w:rPr>
            </w:pPr>
            <w:r>
              <w:rPr>
                <w:sz w:val="18"/>
                <w:szCs w:val="24"/>
              </w:rPr>
              <w:t>23,6</w:t>
            </w:r>
          </w:p>
        </w:tc>
      </w:tr>
      <w:tr w:rsidR="00F92819">
        <w:tc>
          <w:tcPr>
            <w:tcW w:w="2694" w:type="dxa"/>
          </w:tcPr>
          <w:p w:rsidR="00F92819" w:rsidRDefault="00F92819">
            <w:pPr>
              <w:spacing w:before="40" w:after="40" w:line="220" w:lineRule="exact"/>
              <w:rPr>
                <w:szCs w:val="24"/>
              </w:rPr>
            </w:pPr>
            <w:r>
              <w:rPr>
                <w:sz w:val="18"/>
                <w:szCs w:val="24"/>
                <w:lang w:val="es-ES_tradnl"/>
              </w:rPr>
              <w:t>Trabajadores agrícolas cualificados</w:t>
            </w:r>
          </w:p>
        </w:tc>
        <w:tc>
          <w:tcPr>
            <w:tcW w:w="779" w:type="dxa"/>
            <w:vAlign w:val="bottom"/>
          </w:tcPr>
          <w:p w:rsidR="00F92819" w:rsidRDefault="00F92819">
            <w:pPr>
              <w:spacing w:before="40" w:after="40" w:line="220" w:lineRule="exact"/>
              <w:jc w:val="right"/>
              <w:rPr>
                <w:b/>
                <w:sz w:val="18"/>
                <w:szCs w:val="24"/>
              </w:rPr>
            </w:pPr>
            <w:r>
              <w:rPr>
                <w:b/>
                <w:sz w:val="18"/>
                <w:szCs w:val="24"/>
              </w:rPr>
              <w:t>25,7</w:t>
            </w:r>
          </w:p>
        </w:tc>
        <w:tc>
          <w:tcPr>
            <w:tcW w:w="779" w:type="dxa"/>
            <w:vAlign w:val="bottom"/>
          </w:tcPr>
          <w:p w:rsidR="00F92819" w:rsidRDefault="00F92819">
            <w:pPr>
              <w:spacing w:before="40" w:after="40" w:line="220" w:lineRule="exact"/>
              <w:jc w:val="right"/>
              <w:rPr>
                <w:sz w:val="18"/>
                <w:szCs w:val="24"/>
              </w:rPr>
            </w:pPr>
            <w:r>
              <w:rPr>
                <w:sz w:val="18"/>
                <w:szCs w:val="24"/>
              </w:rPr>
              <w:t>22,9</w:t>
            </w:r>
          </w:p>
        </w:tc>
        <w:tc>
          <w:tcPr>
            <w:tcW w:w="780" w:type="dxa"/>
            <w:vAlign w:val="bottom"/>
          </w:tcPr>
          <w:p w:rsidR="00F92819" w:rsidRDefault="00F92819">
            <w:pPr>
              <w:spacing w:before="40" w:after="40" w:line="220" w:lineRule="exact"/>
              <w:jc w:val="right"/>
              <w:rPr>
                <w:sz w:val="18"/>
                <w:szCs w:val="24"/>
              </w:rPr>
            </w:pPr>
            <w:r>
              <w:rPr>
                <w:sz w:val="18"/>
                <w:szCs w:val="24"/>
              </w:rPr>
              <w:t>2,9</w:t>
            </w:r>
          </w:p>
        </w:tc>
        <w:tc>
          <w:tcPr>
            <w:tcW w:w="779" w:type="dxa"/>
            <w:vAlign w:val="bottom"/>
          </w:tcPr>
          <w:p w:rsidR="00F92819" w:rsidRDefault="00F92819">
            <w:pPr>
              <w:spacing w:before="40" w:after="40" w:line="220" w:lineRule="exact"/>
              <w:jc w:val="right"/>
              <w:rPr>
                <w:b/>
                <w:sz w:val="18"/>
                <w:szCs w:val="24"/>
              </w:rPr>
            </w:pPr>
            <w:r>
              <w:rPr>
                <w:b/>
                <w:sz w:val="18"/>
                <w:szCs w:val="24"/>
              </w:rPr>
              <w:t>1,1</w:t>
            </w:r>
          </w:p>
        </w:tc>
        <w:tc>
          <w:tcPr>
            <w:tcW w:w="779" w:type="dxa"/>
            <w:vAlign w:val="bottom"/>
          </w:tcPr>
          <w:p w:rsidR="00F92819" w:rsidRDefault="00F92819">
            <w:pPr>
              <w:spacing w:before="40" w:after="40" w:line="220" w:lineRule="exact"/>
              <w:jc w:val="right"/>
              <w:rPr>
                <w:sz w:val="18"/>
                <w:szCs w:val="24"/>
              </w:rPr>
            </w:pPr>
            <w:r>
              <w:rPr>
                <w:sz w:val="18"/>
                <w:szCs w:val="24"/>
              </w:rPr>
              <w:t>2</w:t>
            </w:r>
          </w:p>
        </w:tc>
        <w:tc>
          <w:tcPr>
            <w:tcW w:w="780" w:type="dxa"/>
            <w:vAlign w:val="bottom"/>
          </w:tcPr>
          <w:p w:rsidR="00F92819" w:rsidRDefault="00F92819">
            <w:pPr>
              <w:spacing w:before="40" w:after="40" w:line="220" w:lineRule="exact"/>
              <w:jc w:val="right"/>
              <w:rPr>
                <w:sz w:val="18"/>
                <w:szCs w:val="24"/>
              </w:rPr>
            </w:pPr>
            <w:r>
              <w:rPr>
                <w:sz w:val="18"/>
                <w:szCs w:val="24"/>
              </w:rPr>
              <w:t>0,3</w:t>
            </w:r>
          </w:p>
        </w:tc>
      </w:tr>
      <w:tr w:rsidR="00F92819">
        <w:tc>
          <w:tcPr>
            <w:tcW w:w="2694" w:type="dxa"/>
          </w:tcPr>
          <w:p w:rsidR="00F92819" w:rsidRDefault="00F92819">
            <w:pPr>
              <w:spacing w:before="40" w:after="40" w:line="220" w:lineRule="exact"/>
              <w:rPr>
                <w:szCs w:val="24"/>
              </w:rPr>
            </w:pPr>
            <w:r>
              <w:rPr>
                <w:sz w:val="18"/>
                <w:szCs w:val="24"/>
                <w:lang w:val="es-ES_tradnl"/>
              </w:rPr>
              <w:t>Trabajadores cualificados en la manufactura, la construcción y otras</w:t>
            </w:r>
          </w:p>
        </w:tc>
        <w:tc>
          <w:tcPr>
            <w:tcW w:w="779" w:type="dxa"/>
            <w:vAlign w:val="bottom"/>
          </w:tcPr>
          <w:p w:rsidR="00F92819" w:rsidRDefault="00F92819">
            <w:pPr>
              <w:spacing w:before="40" w:after="40" w:line="220" w:lineRule="exact"/>
              <w:jc w:val="right"/>
              <w:rPr>
                <w:b/>
                <w:sz w:val="18"/>
                <w:szCs w:val="24"/>
              </w:rPr>
            </w:pPr>
            <w:r>
              <w:rPr>
                <w:b/>
                <w:sz w:val="18"/>
                <w:szCs w:val="24"/>
              </w:rPr>
              <w:t>333,6</w:t>
            </w:r>
          </w:p>
        </w:tc>
        <w:tc>
          <w:tcPr>
            <w:tcW w:w="779" w:type="dxa"/>
            <w:vAlign w:val="bottom"/>
          </w:tcPr>
          <w:p w:rsidR="00F92819" w:rsidRDefault="00F92819">
            <w:pPr>
              <w:spacing w:before="40" w:after="40" w:line="220" w:lineRule="exact"/>
              <w:jc w:val="right"/>
              <w:rPr>
                <w:sz w:val="18"/>
                <w:szCs w:val="24"/>
              </w:rPr>
            </w:pPr>
            <w:r>
              <w:rPr>
                <w:sz w:val="18"/>
                <w:szCs w:val="24"/>
              </w:rPr>
              <w:t>291,3</w:t>
            </w:r>
          </w:p>
        </w:tc>
        <w:tc>
          <w:tcPr>
            <w:tcW w:w="780" w:type="dxa"/>
            <w:vAlign w:val="bottom"/>
          </w:tcPr>
          <w:p w:rsidR="00F92819" w:rsidRDefault="00F92819">
            <w:pPr>
              <w:spacing w:before="40" w:after="40" w:line="220" w:lineRule="exact"/>
              <w:jc w:val="right"/>
              <w:rPr>
                <w:sz w:val="18"/>
                <w:szCs w:val="24"/>
              </w:rPr>
            </w:pPr>
            <w:r>
              <w:rPr>
                <w:sz w:val="18"/>
                <w:szCs w:val="24"/>
              </w:rPr>
              <w:t>42,2</w:t>
            </w:r>
          </w:p>
        </w:tc>
        <w:tc>
          <w:tcPr>
            <w:tcW w:w="779" w:type="dxa"/>
            <w:vAlign w:val="bottom"/>
          </w:tcPr>
          <w:p w:rsidR="00F92819" w:rsidRDefault="00F92819">
            <w:pPr>
              <w:spacing w:before="40" w:after="40" w:line="220" w:lineRule="exact"/>
              <w:jc w:val="right"/>
              <w:rPr>
                <w:b/>
                <w:sz w:val="18"/>
                <w:szCs w:val="24"/>
              </w:rPr>
            </w:pPr>
            <w:r>
              <w:rPr>
                <w:b/>
                <w:sz w:val="18"/>
                <w:szCs w:val="24"/>
              </w:rPr>
              <w:t>14,6</w:t>
            </w:r>
          </w:p>
        </w:tc>
        <w:tc>
          <w:tcPr>
            <w:tcW w:w="779" w:type="dxa"/>
            <w:vAlign w:val="bottom"/>
          </w:tcPr>
          <w:p w:rsidR="00F92819" w:rsidRDefault="00F92819">
            <w:pPr>
              <w:spacing w:before="40" w:after="40" w:line="220" w:lineRule="exact"/>
              <w:jc w:val="right"/>
              <w:rPr>
                <w:sz w:val="18"/>
                <w:szCs w:val="24"/>
              </w:rPr>
            </w:pPr>
            <w:r>
              <w:rPr>
                <w:sz w:val="18"/>
                <w:szCs w:val="24"/>
              </w:rPr>
              <w:t>25,1</w:t>
            </w:r>
          </w:p>
        </w:tc>
        <w:tc>
          <w:tcPr>
            <w:tcW w:w="780" w:type="dxa"/>
            <w:vAlign w:val="bottom"/>
          </w:tcPr>
          <w:p w:rsidR="00F92819" w:rsidRDefault="00F92819">
            <w:pPr>
              <w:spacing w:before="40" w:after="40" w:line="220" w:lineRule="exact"/>
              <w:jc w:val="right"/>
              <w:rPr>
                <w:sz w:val="18"/>
                <w:szCs w:val="24"/>
              </w:rPr>
            </w:pPr>
            <w:r>
              <w:rPr>
                <w:sz w:val="18"/>
                <w:szCs w:val="24"/>
              </w:rPr>
              <w:t>3,7</w:t>
            </w:r>
          </w:p>
        </w:tc>
      </w:tr>
      <w:tr w:rsidR="00F92819">
        <w:tc>
          <w:tcPr>
            <w:tcW w:w="2694" w:type="dxa"/>
          </w:tcPr>
          <w:p w:rsidR="00F92819" w:rsidRDefault="00F92819">
            <w:pPr>
              <w:spacing w:before="40" w:after="40" w:line="220" w:lineRule="exact"/>
              <w:rPr>
                <w:szCs w:val="24"/>
              </w:rPr>
            </w:pPr>
            <w:r>
              <w:rPr>
                <w:sz w:val="18"/>
                <w:szCs w:val="24"/>
                <w:lang w:val="es-ES_tradnl"/>
              </w:rPr>
              <w:t>Trabajadores no cualificados</w:t>
            </w:r>
          </w:p>
        </w:tc>
        <w:tc>
          <w:tcPr>
            <w:tcW w:w="779" w:type="dxa"/>
            <w:vAlign w:val="bottom"/>
          </w:tcPr>
          <w:p w:rsidR="00F92819" w:rsidRDefault="00F92819">
            <w:pPr>
              <w:spacing w:before="40" w:after="40" w:line="220" w:lineRule="exact"/>
              <w:jc w:val="right"/>
              <w:rPr>
                <w:b/>
                <w:sz w:val="18"/>
                <w:szCs w:val="24"/>
              </w:rPr>
            </w:pPr>
            <w:r>
              <w:rPr>
                <w:b/>
                <w:sz w:val="18"/>
                <w:szCs w:val="24"/>
              </w:rPr>
              <w:t>144,6</w:t>
            </w:r>
          </w:p>
        </w:tc>
        <w:tc>
          <w:tcPr>
            <w:tcW w:w="779" w:type="dxa"/>
            <w:vAlign w:val="bottom"/>
          </w:tcPr>
          <w:p w:rsidR="00F92819" w:rsidRDefault="00F92819">
            <w:pPr>
              <w:spacing w:before="40" w:after="40" w:line="220" w:lineRule="exact"/>
              <w:jc w:val="right"/>
              <w:rPr>
                <w:sz w:val="18"/>
                <w:szCs w:val="24"/>
              </w:rPr>
            </w:pPr>
            <w:r>
              <w:rPr>
                <w:sz w:val="18"/>
                <w:szCs w:val="24"/>
              </w:rPr>
              <w:t>74,1</w:t>
            </w:r>
          </w:p>
        </w:tc>
        <w:tc>
          <w:tcPr>
            <w:tcW w:w="780" w:type="dxa"/>
            <w:vAlign w:val="bottom"/>
          </w:tcPr>
          <w:p w:rsidR="00F92819" w:rsidRDefault="00F92819">
            <w:pPr>
              <w:spacing w:before="40" w:after="40" w:line="220" w:lineRule="exact"/>
              <w:jc w:val="right"/>
              <w:rPr>
                <w:sz w:val="18"/>
                <w:szCs w:val="24"/>
              </w:rPr>
            </w:pPr>
            <w:r>
              <w:rPr>
                <w:sz w:val="18"/>
                <w:szCs w:val="24"/>
              </w:rPr>
              <w:t>70,5</w:t>
            </w:r>
          </w:p>
        </w:tc>
        <w:tc>
          <w:tcPr>
            <w:tcW w:w="779" w:type="dxa"/>
            <w:vAlign w:val="bottom"/>
          </w:tcPr>
          <w:p w:rsidR="00F92819" w:rsidRDefault="00F92819">
            <w:pPr>
              <w:spacing w:before="40" w:after="40" w:line="220" w:lineRule="exact"/>
              <w:jc w:val="right"/>
              <w:rPr>
                <w:b/>
                <w:sz w:val="18"/>
                <w:szCs w:val="24"/>
              </w:rPr>
            </w:pPr>
            <w:r>
              <w:rPr>
                <w:b/>
                <w:sz w:val="18"/>
                <w:szCs w:val="24"/>
              </w:rPr>
              <w:t>6,3</w:t>
            </w:r>
          </w:p>
        </w:tc>
        <w:tc>
          <w:tcPr>
            <w:tcW w:w="779" w:type="dxa"/>
            <w:vAlign w:val="bottom"/>
          </w:tcPr>
          <w:p w:rsidR="00F92819" w:rsidRDefault="00F92819">
            <w:pPr>
              <w:spacing w:before="40" w:after="40" w:line="220" w:lineRule="exact"/>
              <w:jc w:val="right"/>
              <w:rPr>
                <w:sz w:val="18"/>
                <w:szCs w:val="24"/>
              </w:rPr>
            </w:pPr>
            <w:r>
              <w:rPr>
                <w:sz w:val="18"/>
                <w:szCs w:val="24"/>
              </w:rPr>
              <w:t>6,4</w:t>
            </w:r>
          </w:p>
        </w:tc>
        <w:tc>
          <w:tcPr>
            <w:tcW w:w="780" w:type="dxa"/>
            <w:vAlign w:val="bottom"/>
          </w:tcPr>
          <w:p w:rsidR="00F92819" w:rsidRDefault="00F92819">
            <w:pPr>
              <w:spacing w:before="40" w:after="40" w:line="220" w:lineRule="exact"/>
              <w:jc w:val="right"/>
              <w:rPr>
                <w:sz w:val="18"/>
                <w:szCs w:val="24"/>
              </w:rPr>
            </w:pPr>
            <w:r>
              <w:rPr>
                <w:sz w:val="18"/>
                <w:szCs w:val="24"/>
              </w:rPr>
              <w:t>6,2</w:t>
            </w:r>
          </w:p>
        </w:tc>
      </w:tr>
      <w:tr w:rsidR="00F92819">
        <w:tc>
          <w:tcPr>
            <w:tcW w:w="2694" w:type="dxa"/>
          </w:tcPr>
          <w:p w:rsidR="00F92819" w:rsidRDefault="00F92819">
            <w:pPr>
              <w:spacing w:before="40" w:after="40" w:line="220" w:lineRule="exact"/>
              <w:rPr>
                <w:szCs w:val="24"/>
              </w:rPr>
            </w:pPr>
            <w:r>
              <w:rPr>
                <w:sz w:val="18"/>
                <w:szCs w:val="24"/>
                <w:lang w:val="es-ES_tradnl"/>
              </w:rPr>
              <w:t>Desconocida</w:t>
            </w:r>
          </w:p>
        </w:tc>
        <w:tc>
          <w:tcPr>
            <w:tcW w:w="779" w:type="dxa"/>
            <w:vAlign w:val="bottom"/>
          </w:tcPr>
          <w:p w:rsidR="00F92819" w:rsidRDefault="00F92819">
            <w:pPr>
              <w:spacing w:before="40" w:after="40" w:line="220" w:lineRule="exact"/>
              <w:jc w:val="right"/>
              <w:rPr>
                <w:b/>
                <w:sz w:val="18"/>
                <w:szCs w:val="24"/>
              </w:rPr>
            </w:pPr>
            <w:r>
              <w:rPr>
                <w:b/>
                <w:sz w:val="18"/>
                <w:szCs w:val="24"/>
              </w:rPr>
              <w:t>26,3</w:t>
            </w:r>
          </w:p>
        </w:tc>
        <w:tc>
          <w:tcPr>
            <w:tcW w:w="779" w:type="dxa"/>
            <w:vAlign w:val="bottom"/>
          </w:tcPr>
          <w:p w:rsidR="00F92819" w:rsidRDefault="00F92819">
            <w:pPr>
              <w:spacing w:before="40" w:after="40" w:line="220" w:lineRule="exact"/>
              <w:jc w:val="right"/>
              <w:rPr>
                <w:sz w:val="18"/>
                <w:szCs w:val="24"/>
              </w:rPr>
            </w:pPr>
            <w:r>
              <w:rPr>
                <w:sz w:val="18"/>
                <w:szCs w:val="24"/>
              </w:rPr>
              <w:t>17,4</w:t>
            </w:r>
          </w:p>
        </w:tc>
        <w:tc>
          <w:tcPr>
            <w:tcW w:w="780" w:type="dxa"/>
            <w:vAlign w:val="bottom"/>
          </w:tcPr>
          <w:p w:rsidR="00F92819" w:rsidRDefault="00F92819">
            <w:pPr>
              <w:spacing w:before="40" w:after="40" w:line="220" w:lineRule="exact"/>
              <w:jc w:val="right"/>
              <w:rPr>
                <w:sz w:val="18"/>
                <w:szCs w:val="24"/>
              </w:rPr>
            </w:pPr>
            <w:r>
              <w:rPr>
                <w:sz w:val="18"/>
                <w:szCs w:val="24"/>
              </w:rPr>
              <w:t>8,9</w:t>
            </w:r>
          </w:p>
        </w:tc>
        <w:tc>
          <w:tcPr>
            <w:tcW w:w="779" w:type="dxa"/>
            <w:vAlign w:val="bottom"/>
          </w:tcPr>
          <w:p w:rsidR="00F92819" w:rsidRDefault="00F92819">
            <w:pPr>
              <w:spacing w:before="40" w:after="40" w:line="220" w:lineRule="exact"/>
              <w:jc w:val="right"/>
              <w:rPr>
                <w:b/>
                <w:sz w:val="18"/>
                <w:szCs w:val="24"/>
              </w:rPr>
            </w:pPr>
            <w:r>
              <w:rPr>
                <w:b/>
                <w:sz w:val="18"/>
                <w:szCs w:val="24"/>
              </w:rPr>
              <w:t>1,2</w:t>
            </w:r>
          </w:p>
        </w:tc>
        <w:tc>
          <w:tcPr>
            <w:tcW w:w="779" w:type="dxa"/>
            <w:vAlign w:val="bottom"/>
          </w:tcPr>
          <w:p w:rsidR="00F92819" w:rsidRDefault="00F92819">
            <w:pPr>
              <w:spacing w:before="40" w:after="40" w:line="220" w:lineRule="exact"/>
              <w:jc w:val="right"/>
              <w:rPr>
                <w:sz w:val="18"/>
                <w:szCs w:val="24"/>
              </w:rPr>
            </w:pPr>
            <w:r>
              <w:rPr>
                <w:sz w:val="18"/>
                <w:szCs w:val="24"/>
              </w:rPr>
              <w:t>1,5</w:t>
            </w:r>
          </w:p>
        </w:tc>
        <w:tc>
          <w:tcPr>
            <w:tcW w:w="780" w:type="dxa"/>
            <w:vAlign w:val="bottom"/>
          </w:tcPr>
          <w:p w:rsidR="00F92819" w:rsidRDefault="00F92819">
            <w:pPr>
              <w:spacing w:before="40" w:after="40" w:line="220" w:lineRule="exact"/>
              <w:jc w:val="right"/>
              <w:rPr>
                <w:sz w:val="18"/>
                <w:szCs w:val="24"/>
              </w:rPr>
            </w:pPr>
            <w:r>
              <w:rPr>
                <w:sz w:val="18"/>
                <w:szCs w:val="24"/>
              </w:rPr>
              <w:t>0,8</w:t>
            </w:r>
          </w:p>
        </w:tc>
      </w:tr>
      <w:tr w:rsidR="00F92819">
        <w:tc>
          <w:tcPr>
            <w:tcW w:w="2694" w:type="dxa"/>
            <w:tcBorders>
              <w:bottom w:val="single" w:sz="4" w:space="0" w:color="auto"/>
            </w:tcBorders>
          </w:tcPr>
          <w:p w:rsidR="00F92819" w:rsidRDefault="00F92819">
            <w:pPr>
              <w:spacing w:before="80" w:after="80" w:line="200" w:lineRule="exact"/>
              <w:rPr>
                <w:szCs w:val="24"/>
              </w:rPr>
            </w:pPr>
            <w:r>
              <w:rPr>
                <w:i/>
                <w:sz w:val="16"/>
                <w:szCs w:val="24"/>
                <w:lang w:val="es-ES_tradnl"/>
              </w:rPr>
              <w:t>Árabes y otros</w:t>
            </w:r>
          </w:p>
        </w:tc>
        <w:tc>
          <w:tcPr>
            <w:tcW w:w="779" w:type="dxa"/>
            <w:tcBorders>
              <w:bottom w:val="single" w:sz="4" w:space="0" w:color="auto"/>
            </w:tcBorders>
          </w:tcPr>
          <w:p w:rsidR="00F92819" w:rsidRDefault="00F92819">
            <w:pPr>
              <w:spacing w:before="80" w:after="80" w:line="220" w:lineRule="exact"/>
              <w:jc w:val="right"/>
              <w:rPr>
                <w:b/>
                <w:sz w:val="18"/>
                <w:szCs w:val="24"/>
              </w:rPr>
            </w:pPr>
          </w:p>
        </w:tc>
        <w:tc>
          <w:tcPr>
            <w:tcW w:w="779" w:type="dxa"/>
            <w:tcBorders>
              <w:bottom w:val="single" w:sz="4" w:space="0" w:color="auto"/>
            </w:tcBorders>
          </w:tcPr>
          <w:p w:rsidR="00F92819" w:rsidRDefault="00F92819">
            <w:pPr>
              <w:spacing w:before="80" w:after="80" w:line="220" w:lineRule="exact"/>
              <w:jc w:val="right"/>
              <w:rPr>
                <w:sz w:val="18"/>
                <w:szCs w:val="24"/>
              </w:rPr>
            </w:pPr>
          </w:p>
        </w:tc>
        <w:tc>
          <w:tcPr>
            <w:tcW w:w="780" w:type="dxa"/>
            <w:tcBorders>
              <w:bottom w:val="single" w:sz="4" w:space="0" w:color="auto"/>
            </w:tcBorders>
          </w:tcPr>
          <w:p w:rsidR="00F92819" w:rsidRDefault="00F92819">
            <w:pPr>
              <w:spacing w:before="80" w:after="80" w:line="220" w:lineRule="exact"/>
              <w:jc w:val="right"/>
              <w:rPr>
                <w:sz w:val="18"/>
                <w:szCs w:val="24"/>
              </w:rPr>
            </w:pPr>
          </w:p>
        </w:tc>
        <w:tc>
          <w:tcPr>
            <w:tcW w:w="779" w:type="dxa"/>
            <w:tcBorders>
              <w:bottom w:val="single" w:sz="4" w:space="0" w:color="auto"/>
            </w:tcBorders>
          </w:tcPr>
          <w:p w:rsidR="00F92819" w:rsidRDefault="00F92819">
            <w:pPr>
              <w:spacing w:before="80" w:after="80" w:line="220" w:lineRule="exact"/>
              <w:jc w:val="right"/>
              <w:rPr>
                <w:b/>
                <w:sz w:val="18"/>
                <w:szCs w:val="24"/>
              </w:rPr>
            </w:pPr>
          </w:p>
        </w:tc>
        <w:tc>
          <w:tcPr>
            <w:tcW w:w="779" w:type="dxa"/>
            <w:tcBorders>
              <w:bottom w:val="single" w:sz="4" w:space="0" w:color="auto"/>
            </w:tcBorders>
          </w:tcPr>
          <w:p w:rsidR="00F92819" w:rsidRDefault="00F92819">
            <w:pPr>
              <w:spacing w:before="80" w:after="80" w:line="220" w:lineRule="exact"/>
              <w:jc w:val="right"/>
              <w:rPr>
                <w:sz w:val="18"/>
                <w:szCs w:val="24"/>
              </w:rPr>
            </w:pPr>
          </w:p>
        </w:tc>
        <w:tc>
          <w:tcPr>
            <w:tcW w:w="780" w:type="dxa"/>
            <w:tcBorders>
              <w:bottom w:val="single" w:sz="4" w:space="0" w:color="auto"/>
            </w:tcBorders>
          </w:tcPr>
          <w:p w:rsidR="00F92819" w:rsidRDefault="00F92819">
            <w:pPr>
              <w:spacing w:before="80" w:after="80" w:line="220" w:lineRule="exact"/>
              <w:jc w:val="right"/>
              <w:rPr>
                <w:sz w:val="18"/>
                <w:szCs w:val="24"/>
              </w:rPr>
            </w:pPr>
          </w:p>
        </w:tc>
      </w:tr>
      <w:tr w:rsidR="00F92819">
        <w:tc>
          <w:tcPr>
            <w:tcW w:w="2694" w:type="dxa"/>
            <w:tcBorders>
              <w:top w:val="single" w:sz="4" w:space="0" w:color="auto"/>
              <w:bottom w:val="single" w:sz="4" w:space="0" w:color="auto"/>
            </w:tcBorders>
          </w:tcPr>
          <w:p w:rsidR="00F92819" w:rsidRDefault="00F92819">
            <w:pPr>
              <w:spacing w:before="80" w:after="80" w:line="220" w:lineRule="exact"/>
              <w:ind w:left="284"/>
              <w:rPr>
                <w:szCs w:val="24"/>
              </w:rPr>
            </w:pPr>
            <w:r>
              <w:rPr>
                <w:b/>
                <w:sz w:val="18"/>
                <w:szCs w:val="24"/>
                <w:lang w:val="es-ES_tradnl"/>
              </w:rPr>
              <w:t>Total</w:t>
            </w:r>
          </w:p>
        </w:tc>
        <w:tc>
          <w:tcPr>
            <w:tcW w:w="77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390,4</w:t>
            </w:r>
          </w:p>
        </w:tc>
        <w:tc>
          <w:tcPr>
            <w:tcW w:w="77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279,5</w:t>
            </w:r>
          </w:p>
        </w:tc>
        <w:tc>
          <w:tcPr>
            <w:tcW w:w="78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110,9</w:t>
            </w:r>
          </w:p>
        </w:tc>
        <w:tc>
          <w:tcPr>
            <w:tcW w:w="779" w:type="dxa"/>
            <w:tcBorders>
              <w:top w:val="single" w:sz="4" w:space="0" w:color="auto"/>
              <w:bottom w:val="single" w:sz="4" w:space="0" w:color="auto"/>
            </w:tcBorders>
          </w:tcPr>
          <w:p w:rsidR="00F92819" w:rsidRDefault="00F92819">
            <w:pPr>
              <w:spacing w:before="80" w:after="80" w:line="220" w:lineRule="exact"/>
              <w:jc w:val="right"/>
              <w:rPr>
                <w:b/>
                <w:sz w:val="18"/>
                <w:szCs w:val="24"/>
              </w:rPr>
            </w:pPr>
            <w:r>
              <w:rPr>
                <w:b/>
                <w:sz w:val="18"/>
                <w:szCs w:val="24"/>
              </w:rPr>
              <w:t>100</w:t>
            </w:r>
          </w:p>
        </w:tc>
        <w:tc>
          <w:tcPr>
            <w:tcW w:w="779" w:type="dxa"/>
            <w:tcBorders>
              <w:top w:val="single" w:sz="4" w:space="0" w:color="auto"/>
              <w:bottom w:val="single" w:sz="4" w:space="0" w:color="auto"/>
            </w:tcBorders>
          </w:tcPr>
          <w:p w:rsidR="00F92819" w:rsidRDefault="00F92819">
            <w:pPr>
              <w:spacing w:before="80" w:after="80" w:line="220" w:lineRule="exact"/>
              <w:jc w:val="right"/>
              <w:rPr>
                <w:b/>
                <w:sz w:val="18"/>
                <w:szCs w:val="24"/>
              </w:rPr>
            </w:pPr>
            <w:r>
              <w:rPr>
                <w:b/>
                <w:sz w:val="18"/>
                <w:szCs w:val="24"/>
              </w:rPr>
              <w:t>100</w:t>
            </w:r>
          </w:p>
        </w:tc>
        <w:tc>
          <w:tcPr>
            <w:tcW w:w="780" w:type="dxa"/>
            <w:tcBorders>
              <w:top w:val="single" w:sz="4" w:space="0" w:color="auto"/>
              <w:bottom w:val="single" w:sz="4" w:space="0" w:color="auto"/>
            </w:tcBorders>
          </w:tcPr>
          <w:p w:rsidR="00F92819" w:rsidRDefault="00F92819">
            <w:pPr>
              <w:spacing w:before="80" w:after="80" w:line="220" w:lineRule="exact"/>
              <w:jc w:val="right"/>
              <w:rPr>
                <w:b/>
                <w:sz w:val="18"/>
                <w:szCs w:val="24"/>
              </w:rPr>
            </w:pPr>
            <w:r>
              <w:rPr>
                <w:b/>
                <w:sz w:val="18"/>
                <w:szCs w:val="24"/>
              </w:rPr>
              <w:t>100</w:t>
            </w:r>
          </w:p>
        </w:tc>
      </w:tr>
      <w:tr w:rsidR="00F92819">
        <w:tc>
          <w:tcPr>
            <w:tcW w:w="2694" w:type="dxa"/>
            <w:tcBorders>
              <w:top w:val="single" w:sz="4" w:space="0" w:color="auto"/>
            </w:tcBorders>
          </w:tcPr>
          <w:p w:rsidR="00F92819" w:rsidRDefault="00F92819">
            <w:pPr>
              <w:spacing w:before="40" w:after="40" w:line="220" w:lineRule="exact"/>
              <w:rPr>
                <w:szCs w:val="24"/>
              </w:rPr>
            </w:pPr>
            <w:r>
              <w:rPr>
                <w:sz w:val="18"/>
                <w:szCs w:val="24"/>
                <w:lang w:val="es-ES_tradnl"/>
              </w:rPr>
              <w:t>Profesiones académicas</w:t>
            </w:r>
          </w:p>
        </w:tc>
        <w:tc>
          <w:tcPr>
            <w:tcW w:w="779"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27,4</w:t>
            </w:r>
          </w:p>
        </w:tc>
        <w:tc>
          <w:tcPr>
            <w:tcW w:w="77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17</w:t>
            </w:r>
          </w:p>
        </w:tc>
        <w:tc>
          <w:tcPr>
            <w:tcW w:w="78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10,4</w:t>
            </w:r>
          </w:p>
        </w:tc>
        <w:tc>
          <w:tcPr>
            <w:tcW w:w="779"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7</w:t>
            </w:r>
          </w:p>
        </w:tc>
        <w:tc>
          <w:tcPr>
            <w:tcW w:w="77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6,1</w:t>
            </w:r>
          </w:p>
        </w:tc>
        <w:tc>
          <w:tcPr>
            <w:tcW w:w="78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9,4</w:t>
            </w:r>
          </w:p>
        </w:tc>
      </w:tr>
      <w:tr w:rsidR="00F92819">
        <w:tc>
          <w:tcPr>
            <w:tcW w:w="2694" w:type="dxa"/>
          </w:tcPr>
          <w:p w:rsidR="00F92819" w:rsidRDefault="00F92819">
            <w:pPr>
              <w:spacing w:before="40" w:after="40" w:line="220" w:lineRule="exact"/>
              <w:rPr>
                <w:szCs w:val="24"/>
              </w:rPr>
            </w:pPr>
            <w:r>
              <w:rPr>
                <w:sz w:val="18"/>
                <w:szCs w:val="24"/>
                <w:lang w:val="es-ES_tradnl"/>
              </w:rPr>
              <w:t>Otros profesionales y técnicos</w:t>
            </w:r>
          </w:p>
        </w:tc>
        <w:tc>
          <w:tcPr>
            <w:tcW w:w="779" w:type="dxa"/>
            <w:vAlign w:val="bottom"/>
          </w:tcPr>
          <w:p w:rsidR="00F92819" w:rsidRDefault="00F92819">
            <w:pPr>
              <w:spacing w:before="40" w:after="40" w:line="220" w:lineRule="exact"/>
              <w:jc w:val="right"/>
              <w:rPr>
                <w:b/>
                <w:sz w:val="18"/>
                <w:szCs w:val="24"/>
              </w:rPr>
            </w:pPr>
            <w:r>
              <w:rPr>
                <w:b/>
                <w:sz w:val="18"/>
                <w:szCs w:val="24"/>
              </w:rPr>
              <w:t>45,4</w:t>
            </w:r>
          </w:p>
        </w:tc>
        <w:tc>
          <w:tcPr>
            <w:tcW w:w="779" w:type="dxa"/>
            <w:vAlign w:val="bottom"/>
          </w:tcPr>
          <w:p w:rsidR="00F92819" w:rsidRDefault="00F92819">
            <w:pPr>
              <w:spacing w:before="40" w:after="40" w:line="220" w:lineRule="exact"/>
              <w:jc w:val="right"/>
              <w:rPr>
                <w:sz w:val="18"/>
                <w:szCs w:val="24"/>
              </w:rPr>
            </w:pPr>
            <w:r>
              <w:rPr>
                <w:sz w:val="18"/>
                <w:szCs w:val="24"/>
              </w:rPr>
              <w:t>17,5</w:t>
            </w:r>
          </w:p>
        </w:tc>
        <w:tc>
          <w:tcPr>
            <w:tcW w:w="780" w:type="dxa"/>
            <w:vAlign w:val="bottom"/>
          </w:tcPr>
          <w:p w:rsidR="00F92819" w:rsidRDefault="00F92819">
            <w:pPr>
              <w:spacing w:before="40" w:after="40" w:line="220" w:lineRule="exact"/>
              <w:jc w:val="right"/>
              <w:rPr>
                <w:sz w:val="18"/>
                <w:szCs w:val="24"/>
              </w:rPr>
            </w:pPr>
            <w:r>
              <w:rPr>
                <w:sz w:val="18"/>
                <w:szCs w:val="24"/>
              </w:rPr>
              <w:t>27,8</w:t>
            </w:r>
          </w:p>
        </w:tc>
        <w:tc>
          <w:tcPr>
            <w:tcW w:w="779" w:type="dxa"/>
            <w:vAlign w:val="bottom"/>
          </w:tcPr>
          <w:p w:rsidR="00F92819" w:rsidRDefault="00F92819">
            <w:pPr>
              <w:spacing w:before="40" w:after="40" w:line="220" w:lineRule="exact"/>
              <w:jc w:val="right"/>
              <w:rPr>
                <w:b/>
                <w:sz w:val="18"/>
                <w:szCs w:val="24"/>
              </w:rPr>
            </w:pPr>
            <w:r>
              <w:rPr>
                <w:b/>
                <w:sz w:val="18"/>
                <w:szCs w:val="24"/>
              </w:rPr>
              <w:t>11,6</w:t>
            </w:r>
          </w:p>
        </w:tc>
        <w:tc>
          <w:tcPr>
            <w:tcW w:w="779" w:type="dxa"/>
            <w:vAlign w:val="bottom"/>
          </w:tcPr>
          <w:p w:rsidR="00F92819" w:rsidRDefault="00F92819">
            <w:pPr>
              <w:spacing w:before="40" w:after="40" w:line="220" w:lineRule="exact"/>
              <w:jc w:val="right"/>
              <w:rPr>
                <w:sz w:val="18"/>
                <w:szCs w:val="24"/>
              </w:rPr>
            </w:pPr>
            <w:r>
              <w:rPr>
                <w:sz w:val="18"/>
                <w:szCs w:val="24"/>
              </w:rPr>
              <w:t>6,3</w:t>
            </w:r>
          </w:p>
        </w:tc>
        <w:tc>
          <w:tcPr>
            <w:tcW w:w="780" w:type="dxa"/>
            <w:vAlign w:val="bottom"/>
          </w:tcPr>
          <w:p w:rsidR="00F92819" w:rsidRDefault="00F92819">
            <w:pPr>
              <w:spacing w:before="40" w:after="40" w:line="220" w:lineRule="exact"/>
              <w:jc w:val="right"/>
              <w:rPr>
                <w:sz w:val="18"/>
                <w:szCs w:val="24"/>
              </w:rPr>
            </w:pPr>
            <w:r>
              <w:rPr>
                <w:sz w:val="18"/>
                <w:szCs w:val="24"/>
              </w:rPr>
              <w:t>25,1</w:t>
            </w:r>
          </w:p>
        </w:tc>
      </w:tr>
      <w:tr w:rsidR="00F92819">
        <w:tc>
          <w:tcPr>
            <w:tcW w:w="2694" w:type="dxa"/>
          </w:tcPr>
          <w:p w:rsidR="00F92819" w:rsidRDefault="00F92819">
            <w:pPr>
              <w:spacing w:before="40" w:after="40" w:line="220" w:lineRule="exact"/>
              <w:rPr>
                <w:szCs w:val="24"/>
              </w:rPr>
            </w:pPr>
            <w:r>
              <w:rPr>
                <w:sz w:val="18"/>
                <w:szCs w:val="24"/>
                <w:lang w:val="es-ES_tradnl"/>
              </w:rPr>
              <w:t>Administradores</w:t>
            </w:r>
          </w:p>
        </w:tc>
        <w:tc>
          <w:tcPr>
            <w:tcW w:w="779" w:type="dxa"/>
            <w:vAlign w:val="bottom"/>
          </w:tcPr>
          <w:p w:rsidR="00F92819" w:rsidRDefault="00F92819">
            <w:pPr>
              <w:spacing w:before="40" w:after="40" w:line="220" w:lineRule="exact"/>
              <w:jc w:val="right"/>
              <w:rPr>
                <w:b/>
                <w:sz w:val="18"/>
                <w:szCs w:val="24"/>
              </w:rPr>
            </w:pPr>
            <w:r>
              <w:rPr>
                <w:b/>
                <w:sz w:val="18"/>
                <w:szCs w:val="24"/>
              </w:rPr>
              <w:t>7,9</w:t>
            </w:r>
          </w:p>
        </w:tc>
        <w:tc>
          <w:tcPr>
            <w:tcW w:w="779" w:type="dxa"/>
            <w:vAlign w:val="bottom"/>
          </w:tcPr>
          <w:p w:rsidR="00F92819" w:rsidRDefault="00F92819">
            <w:pPr>
              <w:spacing w:before="40" w:after="40" w:line="220" w:lineRule="exact"/>
              <w:jc w:val="right"/>
              <w:rPr>
                <w:sz w:val="18"/>
                <w:szCs w:val="24"/>
              </w:rPr>
            </w:pPr>
            <w:r>
              <w:rPr>
                <w:sz w:val="18"/>
                <w:szCs w:val="24"/>
              </w:rPr>
              <w:t>6,5</w:t>
            </w:r>
          </w:p>
        </w:tc>
        <w:tc>
          <w:tcPr>
            <w:tcW w:w="780" w:type="dxa"/>
            <w:vAlign w:val="bottom"/>
          </w:tcPr>
          <w:p w:rsidR="00F92819" w:rsidRDefault="00F92819">
            <w:pPr>
              <w:spacing w:before="40" w:after="40" w:line="220" w:lineRule="exact"/>
              <w:jc w:val="right"/>
              <w:rPr>
                <w:sz w:val="18"/>
                <w:szCs w:val="24"/>
              </w:rPr>
            </w:pPr>
            <w:r>
              <w:rPr>
                <w:sz w:val="18"/>
                <w:szCs w:val="24"/>
              </w:rPr>
              <w:t>1,4</w:t>
            </w:r>
          </w:p>
        </w:tc>
        <w:tc>
          <w:tcPr>
            <w:tcW w:w="779" w:type="dxa"/>
            <w:vAlign w:val="bottom"/>
          </w:tcPr>
          <w:p w:rsidR="00F92819" w:rsidRDefault="00F92819">
            <w:pPr>
              <w:spacing w:before="40" w:after="40" w:line="220" w:lineRule="exact"/>
              <w:jc w:val="right"/>
              <w:rPr>
                <w:b/>
                <w:sz w:val="18"/>
                <w:szCs w:val="24"/>
              </w:rPr>
            </w:pPr>
            <w:r>
              <w:rPr>
                <w:b/>
                <w:sz w:val="18"/>
                <w:szCs w:val="24"/>
              </w:rPr>
              <w:t>2</w:t>
            </w:r>
          </w:p>
        </w:tc>
        <w:tc>
          <w:tcPr>
            <w:tcW w:w="779" w:type="dxa"/>
            <w:vAlign w:val="bottom"/>
          </w:tcPr>
          <w:p w:rsidR="00F92819" w:rsidRDefault="00F92819">
            <w:pPr>
              <w:spacing w:before="40" w:after="40" w:line="220" w:lineRule="exact"/>
              <w:jc w:val="right"/>
              <w:rPr>
                <w:sz w:val="18"/>
                <w:szCs w:val="24"/>
              </w:rPr>
            </w:pPr>
            <w:r>
              <w:rPr>
                <w:sz w:val="18"/>
                <w:szCs w:val="24"/>
              </w:rPr>
              <w:t>2,3</w:t>
            </w:r>
          </w:p>
        </w:tc>
        <w:tc>
          <w:tcPr>
            <w:tcW w:w="780" w:type="dxa"/>
            <w:vAlign w:val="bottom"/>
          </w:tcPr>
          <w:p w:rsidR="00F92819" w:rsidRDefault="00F92819">
            <w:pPr>
              <w:spacing w:before="40" w:after="40" w:line="220" w:lineRule="exact"/>
              <w:jc w:val="right"/>
              <w:rPr>
                <w:sz w:val="18"/>
                <w:szCs w:val="24"/>
              </w:rPr>
            </w:pPr>
            <w:r>
              <w:rPr>
                <w:sz w:val="18"/>
                <w:szCs w:val="24"/>
              </w:rPr>
              <w:t>1,2</w:t>
            </w:r>
          </w:p>
        </w:tc>
      </w:tr>
      <w:tr w:rsidR="00F92819">
        <w:tc>
          <w:tcPr>
            <w:tcW w:w="2694" w:type="dxa"/>
          </w:tcPr>
          <w:p w:rsidR="00F92819" w:rsidRDefault="00F92819">
            <w:pPr>
              <w:spacing w:before="40" w:after="40" w:line="220" w:lineRule="exact"/>
              <w:rPr>
                <w:szCs w:val="24"/>
              </w:rPr>
            </w:pPr>
            <w:r>
              <w:rPr>
                <w:sz w:val="18"/>
                <w:szCs w:val="24"/>
                <w:lang w:val="es-ES_tradnl"/>
              </w:rPr>
              <w:t>Oficinistas</w:t>
            </w:r>
          </w:p>
        </w:tc>
        <w:tc>
          <w:tcPr>
            <w:tcW w:w="779" w:type="dxa"/>
            <w:vAlign w:val="bottom"/>
          </w:tcPr>
          <w:p w:rsidR="00F92819" w:rsidRDefault="00F92819">
            <w:pPr>
              <w:spacing w:before="40" w:after="40" w:line="220" w:lineRule="exact"/>
              <w:jc w:val="right"/>
              <w:rPr>
                <w:b/>
                <w:sz w:val="18"/>
                <w:szCs w:val="24"/>
              </w:rPr>
            </w:pPr>
            <w:r>
              <w:rPr>
                <w:b/>
                <w:sz w:val="18"/>
                <w:szCs w:val="24"/>
              </w:rPr>
              <w:t>28,9</w:t>
            </w:r>
          </w:p>
        </w:tc>
        <w:tc>
          <w:tcPr>
            <w:tcW w:w="779" w:type="dxa"/>
            <w:vAlign w:val="bottom"/>
          </w:tcPr>
          <w:p w:rsidR="00F92819" w:rsidRDefault="00F92819">
            <w:pPr>
              <w:spacing w:before="40" w:after="40" w:line="220" w:lineRule="exact"/>
              <w:jc w:val="right"/>
              <w:rPr>
                <w:sz w:val="18"/>
                <w:szCs w:val="24"/>
              </w:rPr>
            </w:pPr>
            <w:r>
              <w:rPr>
                <w:sz w:val="18"/>
                <w:szCs w:val="24"/>
              </w:rPr>
              <w:t>11,1</w:t>
            </w:r>
          </w:p>
        </w:tc>
        <w:tc>
          <w:tcPr>
            <w:tcW w:w="780" w:type="dxa"/>
            <w:vAlign w:val="bottom"/>
          </w:tcPr>
          <w:p w:rsidR="00F92819" w:rsidRDefault="00F92819">
            <w:pPr>
              <w:spacing w:before="40" w:after="40" w:line="220" w:lineRule="exact"/>
              <w:jc w:val="right"/>
              <w:rPr>
                <w:sz w:val="18"/>
                <w:szCs w:val="24"/>
              </w:rPr>
            </w:pPr>
            <w:r>
              <w:rPr>
                <w:sz w:val="18"/>
                <w:szCs w:val="24"/>
              </w:rPr>
              <w:t>17,8</w:t>
            </w:r>
          </w:p>
        </w:tc>
        <w:tc>
          <w:tcPr>
            <w:tcW w:w="779" w:type="dxa"/>
            <w:vAlign w:val="bottom"/>
          </w:tcPr>
          <w:p w:rsidR="00F92819" w:rsidRDefault="00F92819">
            <w:pPr>
              <w:spacing w:before="40" w:after="40" w:line="220" w:lineRule="exact"/>
              <w:jc w:val="right"/>
              <w:rPr>
                <w:b/>
                <w:sz w:val="18"/>
                <w:szCs w:val="24"/>
              </w:rPr>
            </w:pPr>
            <w:r>
              <w:rPr>
                <w:b/>
                <w:sz w:val="18"/>
                <w:szCs w:val="24"/>
              </w:rPr>
              <w:t>7,4</w:t>
            </w:r>
          </w:p>
        </w:tc>
        <w:tc>
          <w:tcPr>
            <w:tcW w:w="779" w:type="dxa"/>
            <w:vAlign w:val="bottom"/>
          </w:tcPr>
          <w:p w:rsidR="00F92819" w:rsidRDefault="00F92819">
            <w:pPr>
              <w:spacing w:before="40" w:after="40" w:line="220" w:lineRule="exact"/>
              <w:jc w:val="right"/>
              <w:rPr>
                <w:sz w:val="18"/>
                <w:szCs w:val="24"/>
              </w:rPr>
            </w:pPr>
            <w:r>
              <w:rPr>
                <w:sz w:val="18"/>
                <w:szCs w:val="24"/>
              </w:rPr>
              <w:t>4</w:t>
            </w:r>
          </w:p>
        </w:tc>
        <w:tc>
          <w:tcPr>
            <w:tcW w:w="780" w:type="dxa"/>
            <w:vAlign w:val="bottom"/>
          </w:tcPr>
          <w:p w:rsidR="00F92819" w:rsidRDefault="00F92819">
            <w:pPr>
              <w:spacing w:before="40" w:after="40" w:line="220" w:lineRule="exact"/>
              <w:jc w:val="right"/>
              <w:rPr>
                <w:sz w:val="18"/>
                <w:szCs w:val="24"/>
              </w:rPr>
            </w:pPr>
            <w:r>
              <w:rPr>
                <w:sz w:val="18"/>
                <w:szCs w:val="24"/>
              </w:rPr>
              <w:t>16</w:t>
            </w:r>
          </w:p>
        </w:tc>
      </w:tr>
      <w:tr w:rsidR="00F92819">
        <w:tc>
          <w:tcPr>
            <w:tcW w:w="2694" w:type="dxa"/>
          </w:tcPr>
          <w:p w:rsidR="00F92819" w:rsidRDefault="00F92819">
            <w:pPr>
              <w:spacing w:before="40" w:after="40" w:line="220" w:lineRule="exact"/>
              <w:rPr>
                <w:szCs w:val="24"/>
              </w:rPr>
            </w:pPr>
            <w:r>
              <w:rPr>
                <w:sz w:val="18"/>
                <w:szCs w:val="24"/>
                <w:lang w:val="es-ES_tradnl"/>
              </w:rPr>
              <w:t>Agentes, vendedores y trabajadores del sector de servicios</w:t>
            </w:r>
          </w:p>
        </w:tc>
        <w:tc>
          <w:tcPr>
            <w:tcW w:w="779" w:type="dxa"/>
            <w:vAlign w:val="bottom"/>
          </w:tcPr>
          <w:p w:rsidR="00F92819" w:rsidRDefault="00F92819">
            <w:pPr>
              <w:spacing w:before="40" w:after="40" w:line="220" w:lineRule="exact"/>
              <w:jc w:val="right"/>
              <w:rPr>
                <w:b/>
                <w:sz w:val="18"/>
                <w:szCs w:val="24"/>
              </w:rPr>
            </w:pPr>
            <w:r>
              <w:rPr>
                <w:b/>
                <w:sz w:val="18"/>
                <w:szCs w:val="24"/>
              </w:rPr>
              <w:t>65,8</w:t>
            </w:r>
          </w:p>
        </w:tc>
        <w:tc>
          <w:tcPr>
            <w:tcW w:w="779" w:type="dxa"/>
            <w:vAlign w:val="bottom"/>
          </w:tcPr>
          <w:p w:rsidR="00F92819" w:rsidRDefault="00F92819">
            <w:pPr>
              <w:spacing w:before="40" w:after="40" w:line="220" w:lineRule="exact"/>
              <w:jc w:val="right"/>
              <w:rPr>
                <w:sz w:val="18"/>
                <w:szCs w:val="24"/>
              </w:rPr>
            </w:pPr>
            <w:r>
              <w:rPr>
                <w:sz w:val="18"/>
                <w:szCs w:val="24"/>
              </w:rPr>
              <w:t>37,6</w:t>
            </w:r>
          </w:p>
        </w:tc>
        <w:tc>
          <w:tcPr>
            <w:tcW w:w="780" w:type="dxa"/>
            <w:vAlign w:val="bottom"/>
          </w:tcPr>
          <w:p w:rsidR="00F92819" w:rsidRDefault="00F92819">
            <w:pPr>
              <w:spacing w:before="40" w:after="40" w:line="220" w:lineRule="exact"/>
              <w:jc w:val="right"/>
              <w:rPr>
                <w:sz w:val="18"/>
                <w:szCs w:val="24"/>
              </w:rPr>
            </w:pPr>
            <w:r>
              <w:rPr>
                <w:sz w:val="18"/>
                <w:szCs w:val="24"/>
              </w:rPr>
              <w:t>28,2</w:t>
            </w:r>
          </w:p>
        </w:tc>
        <w:tc>
          <w:tcPr>
            <w:tcW w:w="779" w:type="dxa"/>
            <w:vAlign w:val="bottom"/>
          </w:tcPr>
          <w:p w:rsidR="00F92819" w:rsidRDefault="00F92819">
            <w:pPr>
              <w:spacing w:before="40" w:after="40" w:line="220" w:lineRule="exact"/>
              <w:jc w:val="right"/>
              <w:rPr>
                <w:b/>
                <w:sz w:val="18"/>
                <w:szCs w:val="24"/>
              </w:rPr>
            </w:pPr>
            <w:r>
              <w:rPr>
                <w:b/>
                <w:sz w:val="18"/>
                <w:szCs w:val="24"/>
              </w:rPr>
              <w:t>16,9</w:t>
            </w:r>
          </w:p>
        </w:tc>
        <w:tc>
          <w:tcPr>
            <w:tcW w:w="779" w:type="dxa"/>
            <w:vAlign w:val="bottom"/>
          </w:tcPr>
          <w:p w:rsidR="00F92819" w:rsidRDefault="00F92819">
            <w:pPr>
              <w:spacing w:before="40" w:after="40" w:line="220" w:lineRule="exact"/>
              <w:jc w:val="right"/>
              <w:rPr>
                <w:sz w:val="18"/>
                <w:szCs w:val="24"/>
              </w:rPr>
            </w:pPr>
            <w:r>
              <w:rPr>
                <w:sz w:val="18"/>
                <w:szCs w:val="24"/>
              </w:rPr>
              <w:t>13,5</w:t>
            </w:r>
          </w:p>
        </w:tc>
        <w:tc>
          <w:tcPr>
            <w:tcW w:w="780" w:type="dxa"/>
            <w:vAlign w:val="bottom"/>
          </w:tcPr>
          <w:p w:rsidR="00F92819" w:rsidRDefault="00F92819">
            <w:pPr>
              <w:spacing w:before="40" w:after="40" w:line="220" w:lineRule="exact"/>
              <w:jc w:val="right"/>
              <w:rPr>
                <w:sz w:val="18"/>
                <w:szCs w:val="24"/>
              </w:rPr>
            </w:pPr>
            <w:r>
              <w:rPr>
                <w:sz w:val="18"/>
                <w:szCs w:val="24"/>
              </w:rPr>
              <w:t>25,4</w:t>
            </w:r>
          </w:p>
        </w:tc>
      </w:tr>
      <w:tr w:rsidR="00F92819">
        <w:tc>
          <w:tcPr>
            <w:tcW w:w="2694" w:type="dxa"/>
          </w:tcPr>
          <w:p w:rsidR="00F92819" w:rsidRDefault="00F92819">
            <w:pPr>
              <w:spacing w:before="40" w:after="40" w:line="220" w:lineRule="exact"/>
              <w:rPr>
                <w:szCs w:val="24"/>
              </w:rPr>
            </w:pPr>
            <w:r>
              <w:rPr>
                <w:sz w:val="18"/>
                <w:szCs w:val="24"/>
                <w:lang w:val="es-ES_tradnl"/>
              </w:rPr>
              <w:t>Trabajadores agrícolas cualificados</w:t>
            </w:r>
          </w:p>
        </w:tc>
        <w:tc>
          <w:tcPr>
            <w:tcW w:w="779" w:type="dxa"/>
            <w:vAlign w:val="bottom"/>
          </w:tcPr>
          <w:p w:rsidR="00F92819" w:rsidRDefault="00F92819">
            <w:pPr>
              <w:spacing w:before="40" w:after="40" w:line="220" w:lineRule="exact"/>
              <w:jc w:val="right"/>
              <w:rPr>
                <w:b/>
                <w:sz w:val="18"/>
                <w:szCs w:val="24"/>
              </w:rPr>
            </w:pPr>
            <w:r>
              <w:rPr>
                <w:b/>
                <w:sz w:val="18"/>
                <w:szCs w:val="24"/>
              </w:rPr>
              <w:t>6,6</w:t>
            </w:r>
          </w:p>
        </w:tc>
        <w:tc>
          <w:tcPr>
            <w:tcW w:w="779" w:type="dxa"/>
            <w:vAlign w:val="bottom"/>
          </w:tcPr>
          <w:p w:rsidR="00F92819" w:rsidRDefault="00F92819">
            <w:pPr>
              <w:spacing w:before="40" w:after="40" w:line="220" w:lineRule="exact"/>
              <w:jc w:val="right"/>
              <w:rPr>
                <w:sz w:val="18"/>
                <w:szCs w:val="24"/>
              </w:rPr>
            </w:pPr>
            <w:r>
              <w:rPr>
                <w:sz w:val="18"/>
                <w:szCs w:val="24"/>
              </w:rPr>
              <w:t>6,2</w:t>
            </w:r>
          </w:p>
        </w:tc>
        <w:tc>
          <w:tcPr>
            <w:tcW w:w="780" w:type="dxa"/>
            <w:vAlign w:val="bottom"/>
          </w:tcPr>
          <w:p w:rsidR="00F92819" w:rsidRDefault="00F92819">
            <w:pPr>
              <w:spacing w:before="40" w:after="40" w:line="220" w:lineRule="exact"/>
              <w:jc w:val="right"/>
              <w:rPr>
                <w:sz w:val="18"/>
                <w:szCs w:val="24"/>
              </w:rPr>
            </w:pPr>
            <w:r>
              <w:rPr>
                <w:sz w:val="18"/>
                <w:szCs w:val="24"/>
              </w:rPr>
              <w:t>0</w:t>
            </w:r>
          </w:p>
        </w:tc>
        <w:tc>
          <w:tcPr>
            <w:tcW w:w="779" w:type="dxa"/>
            <w:vAlign w:val="bottom"/>
          </w:tcPr>
          <w:p w:rsidR="00F92819" w:rsidRDefault="00F92819">
            <w:pPr>
              <w:spacing w:before="40" w:after="40" w:line="220" w:lineRule="exact"/>
              <w:jc w:val="right"/>
              <w:rPr>
                <w:b/>
                <w:sz w:val="18"/>
                <w:szCs w:val="24"/>
              </w:rPr>
            </w:pPr>
            <w:r>
              <w:rPr>
                <w:b/>
                <w:sz w:val="18"/>
                <w:szCs w:val="24"/>
              </w:rPr>
              <w:t>1,7</w:t>
            </w:r>
          </w:p>
        </w:tc>
        <w:tc>
          <w:tcPr>
            <w:tcW w:w="779" w:type="dxa"/>
            <w:vAlign w:val="bottom"/>
          </w:tcPr>
          <w:p w:rsidR="00F92819" w:rsidRDefault="00F92819">
            <w:pPr>
              <w:spacing w:before="40" w:after="40" w:line="220" w:lineRule="exact"/>
              <w:jc w:val="right"/>
              <w:rPr>
                <w:sz w:val="18"/>
                <w:szCs w:val="24"/>
              </w:rPr>
            </w:pPr>
            <w:r>
              <w:rPr>
                <w:sz w:val="18"/>
                <w:szCs w:val="24"/>
              </w:rPr>
              <w:t>2,2</w:t>
            </w:r>
          </w:p>
        </w:tc>
        <w:tc>
          <w:tcPr>
            <w:tcW w:w="780" w:type="dxa"/>
            <w:vAlign w:val="bottom"/>
          </w:tcPr>
          <w:p w:rsidR="00F92819" w:rsidRDefault="00F92819">
            <w:pPr>
              <w:spacing w:before="40" w:after="40" w:line="220" w:lineRule="exact"/>
              <w:jc w:val="right"/>
              <w:rPr>
                <w:sz w:val="18"/>
                <w:szCs w:val="24"/>
              </w:rPr>
            </w:pPr>
            <w:r>
              <w:rPr>
                <w:sz w:val="18"/>
                <w:szCs w:val="24"/>
              </w:rPr>
              <w:t>0</w:t>
            </w:r>
          </w:p>
        </w:tc>
      </w:tr>
      <w:tr w:rsidR="00F92819">
        <w:tc>
          <w:tcPr>
            <w:tcW w:w="2694" w:type="dxa"/>
          </w:tcPr>
          <w:p w:rsidR="00F92819" w:rsidRDefault="00F92819">
            <w:pPr>
              <w:spacing w:before="40" w:after="40" w:line="220" w:lineRule="exact"/>
              <w:rPr>
                <w:szCs w:val="24"/>
              </w:rPr>
            </w:pPr>
            <w:r>
              <w:rPr>
                <w:sz w:val="18"/>
                <w:szCs w:val="24"/>
                <w:lang w:val="es-ES_tradnl"/>
              </w:rPr>
              <w:t>Trabajadores cualificados en la manufactura, la construcción y otras</w:t>
            </w:r>
          </w:p>
        </w:tc>
        <w:tc>
          <w:tcPr>
            <w:tcW w:w="779" w:type="dxa"/>
            <w:vAlign w:val="bottom"/>
          </w:tcPr>
          <w:p w:rsidR="00F92819" w:rsidRDefault="00F92819">
            <w:pPr>
              <w:spacing w:before="40" w:after="40" w:line="220" w:lineRule="exact"/>
              <w:jc w:val="right"/>
              <w:rPr>
                <w:b/>
                <w:sz w:val="18"/>
                <w:szCs w:val="24"/>
              </w:rPr>
            </w:pPr>
            <w:r>
              <w:rPr>
                <w:b/>
                <w:sz w:val="18"/>
                <w:szCs w:val="24"/>
              </w:rPr>
              <w:t>149,8</w:t>
            </w:r>
          </w:p>
        </w:tc>
        <w:tc>
          <w:tcPr>
            <w:tcW w:w="779" w:type="dxa"/>
            <w:vAlign w:val="bottom"/>
          </w:tcPr>
          <w:p w:rsidR="00F92819" w:rsidRDefault="00F92819">
            <w:pPr>
              <w:spacing w:before="40" w:after="40" w:line="220" w:lineRule="exact"/>
              <w:jc w:val="right"/>
              <w:rPr>
                <w:sz w:val="18"/>
                <w:szCs w:val="24"/>
              </w:rPr>
            </w:pPr>
            <w:r>
              <w:rPr>
                <w:sz w:val="18"/>
                <w:szCs w:val="24"/>
              </w:rPr>
              <w:t>142,1</w:t>
            </w:r>
          </w:p>
        </w:tc>
        <w:tc>
          <w:tcPr>
            <w:tcW w:w="780" w:type="dxa"/>
            <w:vAlign w:val="bottom"/>
          </w:tcPr>
          <w:p w:rsidR="00F92819" w:rsidRDefault="00F92819">
            <w:pPr>
              <w:spacing w:before="40" w:after="40" w:line="220" w:lineRule="exact"/>
              <w:jc w:val="right"/>
              <w:rPr>
                <w:sz w:val="18"/>
                <w:szCs w:val="24"/>
              </w:rPr>
            </w:pPr>
            <w:r>
              <w:rPr>
                <w:sz w:val="18"/>
                <w:szCs w:val="24"/>
              </w:rPr>
              <w:t>7,6</w:t>
            </w:r>
          </w:p>
        </w:tc>
        <w:tc>
          <w:tcPr>
            <w:tcW w:w="779" w:type="dxa"/>
            <w:vAlign w:val="bottom"/>
          </w:tcPr>
          <w:p w:rsidR="00F92819" w:rsidRDefault="00F92819">
            <w:pPr>
              <w:spacing w:before="40" w:after="40" w:line="220" w:lineRule="exact"/>
              <w:jc w:val="right"/>
              <w:rPr>
                <w:b/>
                <w:sz w:val="18"/>
                <w:szCs w:val="24"/>
              </w:rPr>
            </w:pPr>
            <w:r>
              <w:rPr>
                <w:b/>
                <w:sz w:val="18"/>
                <w:szCs w:val="24"/>
              </w:rPr>
              <w:t>38,4</w:t>
            </w:r>
          </w:p>
        </w:tc>
        <w:tc>
          <w:tcPr>
            <w:tcW w:w="779" w:type="dxa"/>
            <w:vAlign w:val="bottom"/>
          </w:tcPr>
          <w:p w:rsidR="00F92819" w:rsidRDefault="00F92819">
            <w:pPr>
              <w:spacing w:before="40" w:after="40" w:line="220" w:lineRule="exact"/>
              <w:jc w:val="right"/>
              <w:rPr>
                <w:sz w:val="18"/>
                <w:szCs w:val="24"/>
              </w:rPr>
            </w:pPr>
            <w:r>
              <w:rPr>
                <w:sz w:val="18"/>
                <w:szCs w:val="24"/>
              </w:rPr>
              <w:t>50,9</w:t>
            </w:r>
          </w:p>
        </w:tc>
        <w:tc>
          <w:tcPr>
            <w:tcW w:w="780" w:type="dxa"/>
            <w:vAlign w:val="bottom"/>
          </w:tcPr>
          <w:p w:rsidR="00F92819" w:rsidRDefault="00F92819">
            <w:pPr>
              <w:spacing w:before="40" w:after="40" w:line="220" w:lineRule="exact"/>
              <w:jc w:val="right"/>
              <w:rPr>
                <w:sz w:val="18"/>
                <w:szCs w:val="24"/>
              </w:rPr>
            </w:pPr>
            <w:r>
              <w:rPr>
                <w:sz w:val="18"/>
                <w:szCs w:val="24"/>
              </w:rPr>
              <w:t>6,9</w:t>
            </w:r>
          </w:p>
        </w:tc>
      </w:tr>
      <w:tr w:rsidR="00F92819">
        <w:tc>
          <w:tcPr>
            <w:tcW w:w="2694" w:type="dxa"/>
          </w:tcPr>
          <w:p w:rsidR="00F92819" w:rsidRDefault="00F92819">
            <w:pPr>
              <w:spacing w:before="40" w:after="40" w:line="220" w:lineRule="exact"/>
              <w:rPr>
                <w:szCs w:val="24"/>
              </w:rPr>
            </w:pPr>
            <w:r>
              <w:rPr>
                <w:sz w:val="18"/>
                <w:szCs w:val="24"/>
                <w:lang w:val="es-ES_tradnl"/>
              </w:rPr>
              <w:t>Trabajadores no cualificados</w:t>
            </w:r>
          </w:p>
        </w:tc>
        <w:tc>
          <w:tcPr>
            <w:tcW w:w="779" w:type="dxa"/>
            <w:vAlign w:val="bottom"/>
          </w:tcPr>
          <w:p w:rsidR="00F92819" w:rsidRDefault="00F92819">
            <w:pPr>
              <w:spacing w:before="40" w:after="40" w:line="220" w:lineRule="exact"/>
              <w:jc w:val="right"/>
              <w:rPr>
                <w:b/>
                <w:sz w:val="18"/>
                <w:szCs w:val="24"/>
              </w:rPr>
            </w:pPr>
            <w:r>
              <w:rPr>
                <w:b/>
                <w:sz w:val="18"/>
                <w:szCs w:val="24"/>
              </w:rPr>
              <w:t>55</w:t>
            </w:r>
          </w:p>
        </w:tc>
        <w:tc>
          <w:tcPr>
            <w:tcW w:w="779" w:type="dxa"/>
            <w:vAlign w:val="bottom"/>
          </w:tcPr>
          <w:p w:rsidR="00F92819" w:rsidRDefault="00F92819">
            <w:pPr>
              <w:spacing w:before="40" w:after="40" w:line="220" w:lineRule="exact"/>
              <w:jc w:val="right"/>
              <w:rPr>
                <w:sz w:val="18"/>
                <w:szCs w:val="24"/>
              </w:rPr>
            </w:pPr>
            <w:r>
              <w:rPr>
                <w:sz w:val="18"/>
                <w:szCs w:val="24"/>
              </w:rPr>
              <w:t>37,8</w:t>
            </w:r>
          </w:p>
        </w:tc>
        <w:tc>
          <w:tcPr>
            <w:tcW w:w="780" w:type="dxa"/>
            <w:vAlign w:val="bottom"/>
          </w:tcPr>
          <w:p w:rsidR="00F92819" w:rsidRDefault="00F92819">
            <w:pPr>
              <w:spacing w:before="40" w:after="40" w:line="220" w:lineRule="exact"/>
              <w:jc w:val="right"/>
              <w:rPr>
                <w:sz w:val="18"/>
                <w:szCs w:val="24"/>
              </w:rPr>
            </w:pPr>
            <w:r>
              <w:rPr>
                <w:sz w:val="18"/>
                <w:szCs w:val="24"/>
              </w:rPr>
              <w:t>17,5</w:t>
            </w:r>
          </w:p>
        </w:tc>
        <w:tc>
          <w:tcPr>
            <w:tcW w:w="779" w:type="dxa"/>
            <w:vAlign w:val="bottom"/>
          </w:tcPr>
          <w:p w:rsidR="00F92819" w:rsidRDefault="00F92819">
            <w:pPr>
              <w:spacing w:before="40" w:after="40" w:line="220" w:lineRule="exact"/>
              <w:jc w:val="right"/>
              <w:rPr>
                <w:b/>
                <w:sz w:val="18"/>
                <w:szCs w:val="24"/>
              </w:rPr>
            </w:pPr>
            <w:r>
              <w:rPr>
                <w:b/>
                <w:sz w:val="18"/>
                <w:szCs w:val="24"/>
              </w:rPr>
              <w:t>14,1</w:t>
            </w:r>
          </w:p>
        </w:tc>
        <w:tc>
          <w:tcPr>
            <w:tcW w:w="779" w:type="dxa"/>
            <w:vAlign w:val="bottom"/>
          </w:tcPr>
          <w:p w:rsidR="00F92819" w:rsidRDefault="00F92819">
            <w:pPr>
              <w:spacing w:before="40" w:after="40" w:line="220" w:lineRule="exact"/>
              <w:jc w:val="right"/>
              <w:rPr>
                <w:sz w:val="18"/>
                <w:szCs w:val="24"/>
              </w:rPr>
            </w:pPr>
            <w:r>
              <w:rPr>
                <w:sz w:val="18"/>
                <w:szCs w:val="24"/>
              </w:rPr>
              <w:t>13,5</w:t>
            </w:r>
          </w:p>
        </w:tc>
        <w:tc>
          <w:tcPr>
            <w:tcW w:w="780" w:type="dxa"/>
            <w:vAlign w:val="bottom"/>
          </w:tcPr>
          <w:p w:rsidR="00F92819" w:rsidRDefault="00F92819">
            <w:pPr>
              <w:spacing w:before="40" w:after="40" w:line="220" w:lineRule="exact"/>
              <w:jc w:val="right"/>
              <w:rPr>
                <w:sz w:val="18"/>
                <w:szCs w:val="24"/>
              </w:rPr>
            </w:pPr>
            <w:r>
              <w:rPr>
                <w:sz w:val="18"/>
                <w:szCs w:val="24"/>
              </w:rPr>
              <w:t>15,5</w:t>
            </w:r>
          </w:p>
        </w:tc>
      </w:tr>
      <w:tr w:rsidR="00F92819">
        <w:tc>
          <w:tcPr>
            <w:tcW w:w="2694" w:type="dxa"/>
            <w:tcBorders>
              <w:bottom w:val="single" w:sz="12" w:space="0" w:color="auto"/>
            </w:tcBorders>
          </w:tcPr>
          <w:p w:rsidR="00F92819" w:rsidRDefault="00F92819">
            <w:pPr>
              <w:spacing w:before="40" w:after="40" w:line="220" w:lineRule="exact"/>
              <w:rPr>
                <w:szCs w:val="24"/>
              </w:rPr>
            </w:pPr>
            <w:r>
              <w:rPr>
                <w:sz w:val="18"/>
                <w:szCs w:val="24"/>
                <w:lang w:val="es-ES_tradnl"/>
              </w:rPr>
              <w:t>Desconocida</w:t>
            </w:r>
          </w:p>
        </w:tc>
        <w:tc>
          <w:tcPr>
            <w:tcW w:w="779" w:type="dxa"/>
            <w:tcBorders>
              <w:bottom w:val="single" w:sz="12" w:space="0" w:color="auto"/>
            </w:tcBorders>
            <w:vAlign w:val="bottom"/>
          </w:tcPr>
          <w:p w:rsidR="00F92819" w:rsidRDefault="00F92819">
            <w:pPr>
              <w:spacing w:before="40" w:after="40" w:line="220" w:lineRule="exact"/>
              <w:jc w:val="right"/>
              <w:rPr>
                <w:b/>
                <w:sz w:val="18"/>
                <w:szCs w:val="24"/>
              </w:rPr>
            </w:pPr>
            <w:r>
              <w:rPr>
                <w:b/>
                <w:sz w:val="18"/>
                <w:szCs w:val="24"/>
              </w:rPr>
              <w:t>3,8</w:t>
            </w:r>
          </w:p>
        </w:tc>
        <w:tc>
          <w:tcPr>
            <w:tcW w:w="77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3,6</w:t>
            </w:r>
          </w:p>
        </w:tc>
        <w:tc>
          <w:tcPr>
            <w:tcW w:w="78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0,2</w:t>
            </w:r>
          </w:p>
        </w:tc>
        <w:tc>
          <w:tcPr>
            <w:tcW w:w="779" w:type="dxa"/>
            <w:tcBorders>
              <w:bottom w:val="single" w:sz="12" w:space="0" w:color="auto"/>
            </w:tcBorders>
            <w:vAlign w:val="bottom"/>
          </w:tcPr>
          <w:p w:rsidR="00F92819" w:rsidRDefault="00F92819">
            <w:pPr>
              <w:spacing w:before="40" w:after="40" w:line="220" w:lineRule="exact"/>
              <w:jc w:val="right"/>
              <w:rPr>
                <w:b/>
                <w:sz w:val="18"/>
                <w:szCs w:val="24"/>
              </w:rPr>
            </w:pPr>
            <w:r>
              <w:rPr>
                <w:b/>
                <w:sz w:val="18"/>
                <w:szCs w:val="24"/>
              </w:rPr>
              <w:t>1</w:t>
            </w:r>
          </w:p>
        </w:tc>
        <w:tc>
          <w:tcPr>
            <w:tcW w:w="77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1,3</w:t>
            </w:r>
          </w:p>
        </w:tc>
        <w:tc>
          <w:tcPr>
            <w:tcW w:w="780" w:type="dxa"/>
            <w:tcBorders>
              <w:bottom w:val="single" w:sz="12" w:space="0" w:color="auto"/>
            </w:tcBorders>
            <w:vAlign w:val="bottom"/>
          </w:tcPr>
          <w:p w:rsidR="00F92819" w:rsidRDefault="00F92819">
            <w:pPr>
              <w:spacing w:before="40" w:after="40" w:line="220" w:lineRule="exact"/>
              <w:jc w:val="right"/>
              <w:rPr>
                <w:sz w:val="18"/>
                <w:szCs w:val="24"/>
                <w:rtl/>
              </w:rPr>
            </w:pPr>
            <w:r>
              <w:rPr>
                <w:sz w:val="18"/>
                <w:szCs w:val="24"/>
              </w:rPr>
              <w:t>0,2</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Ministerio de Industria, Comercio y Trabajo, 2008.</w:t>
      </w:r>
    </w:p>
    <w:p w:rsidR="00F92819" w:rsidRDefault="00F92819">
      <w:pPr>
        <w:pStyle w:val="H23G"/>
        <w:rPr>
          <w:szCs w:val="24"/>
        </w:rPr>
      </w:pPr>
      <w:r>
        <w:rPr>
          <w:szCs w:val="24"/>
        </w:rPr>
        <w:tab/>
      </w:r>
      <w:r>
        <w:rPr>
          <w:szCs w:val="24"/>
        </w:rPr>
        <w:tab/>
      </w:r>
      <w:r>
        <w:rPr>
          <w:szCs w:val="24"/>
          <w:lang w:val="es-ES_tradnl"/>
        </w:rPr>
        <w:t>Trabajadores extranjeros</w:t>
      </w:r>
    </w:p>
    <w:p w:rsidR="00F92819" w:rsidRDefault="00F92819">
      <w:pPr>
        <w:pStyle w:val="SingleTxtG"/>
        <w:rPr>
          <w:szCs w:val="24"/>
        </w:rPr>
      </w:pPr>
      <w:r>
        <w:rPr>
          <w:szCs w:val="24"/>
        </w:rPr>
        <w:t>227.</w:t>
      </w:r>
      <w:r>
        <w:rPr>
          <w:szCs w:val="24"/>
        </w:rPr>
        <w:tab/>
      </w:r>
      <w:r>
        <w:rPr>
          <w:szCs w:val="24"/>
          <w:lang w:val="es-ES_tradnl"/>
        </w:rPr>
        <w:t>Israel es país de destino de trabajadores migratorios de Asia, Europa oriental y África.</w:t>
      </w:r>
      <w:r>
        <w:rPr>
          <w:szCs w:val="24"/>
        </w:rPr>
        <w:t xml:space="preserve"> </w:t>
      </w:r>
      <w:r>
        <w:rPr>
          <w:szCs w:val="24"/>
          <w:lang w:val="es-ES_tradnl"/>
        </w:rPr>
        <w:t>Los principales países de origen de los trabajadores extranjeros en Israel son</w:t>
      </w:r>
      <w:r>
        <w:rPr>
          <w:szCs w:val="24"/>
        </w:rPr>
        <w:t xml:space="preserve"> </w:t>
      </w:r>
      <w:r>
        <w:rPr>
          <w:szCs w:val="24"/>
          <w:lang w:val="es-ES_tradnl"/>
        </w:rPr>
        <w:t>China, Filipinas y Tailandia.</w:t>
      </w:r>
      <w:r>
        <w:rPr>
          <w:szCs w:val="24"/>
        </w:rPr>
        <w:t xml:space="preserve"> </w:t>
      </w:r>
      <w:r>
        <w:rPr>
          <w:szCs w:val="24"/>
          <w:lang w:val="es-ES_tradnl"/>
        </w:rPr>
        <w:t>En 2007 el Ministerio de Industria, Comercio y Trabajo expidió 92.344 permisos para el empleo de trabajadores extranjeros en varios sectores permitidos (enfermería, 51.744; agricultura, 28.500; construcción, 12.000; industria, 1.100; restaurantes, 900).</w:t>
      </w:r>
    </w:p>
    <w:p w:rsidR="00F92819" w:rsidRDefault="00F92819">
      <w:pPr>
        <w:pStyle w:val="SingleTxtG"/>
        <w:rPr>
          <w:szCs w:val="24"/>
        </w:rPr>
      </w:pPr>
      <w:r>
        <w:rPr>
          <w:szCs w:val="24"/>
        </w:rPr>
        <w:t>228.</w:t>
      </w:r>
      <w:r>
        <w:rPr>
          <w:szCs w:val="24"/>
        </w:rPr>
        <w:tab/>
      </w:r>
      <w:r>
        <w:rPr>
          <w:szCs w:val="24"/>
          <w:lang w:val="es-ES_tradnl"/>
        </w:rPr>
        <w:t>Los trabajadores migratorios vienen a Israel en busca de empleo movidos principalmente por las condiciones económicas difíciles y el bajo nivel de los salarios del país de origen,</w:t>
      </w:r>
      <w:r>
        <w:rPr>
          <w:szCs w:val="24"/>
        </w:rPr>
        <w:t xml:space="preserve"> </w:t>
      </w:r>
      <w:r>
        <w:rPr>
          <w:szCs w:val="24"/>
          <w:lang w:val="es-ES_tradnl"/>
        </w:rPr>
        <w:t>con la esperanza de ganar salarios altos y asegurarse un futuro económico sólido al regresar a sus países de origen.</w:t>
      </w:r>
      <w:r>
        <w:rPr>
          <w:szCs w:val="24"/>
        </w:rPr>
        <w:t xml:space="preserve"> </w:t>
      </w:r>
      <w:r>
        <w:rPr>
          <w:szCs w:val="24"/>
          <w:lang w:val="es-ES_tradnl"/>
        </w:rPr>
        <w:t>Algunos entran en Israel ilegalmente cruzando la frontera sur de Israel o por los aeropuertos, usando un visado falso o una identidad judía falsa.</w:t>
      </w:r>
      <w:r>
        <w:rPr>
          <w:szCs w:val="24"/>
        </w:rPr>
        <w:t xml:space="preserve"> </w:t>
      </w:r>
      <w:r>
        <w:rPr>
          <w:szCs w:val="24"/>
          <w:lang w:val="es-ES_tradnl"/>
        </w:rPr>
        <w:t>La vulnerabilidad de estas personas las expone al riesgo de ser explotadas para obtener ganancias fáciles,</w:t>
      </w:r>
      <w:r>
        <w:rPr>
          <w:szCs w:val="24"/>
        </w:rPr>
        <w:t xml:space="preserve"> </w:t>
      </w:r>
      <w:r>
        <w:rPr>
          <w:szCs w:val="24"/>
          <w:lang w:val="es-ES_tradnl"/>
        </w:rPr>
        <w:t>que puede agravarse con exigencias de pagar sumas elevadas a intermediarios en el país de origen.</w:t>
      </w:r>
    </w:p>
    <w:p w:rsidR="00F92819" w:rsidRDefault="00F92819">
      <w:pPr>
        <w:pStyle w:val="SingleTxtG"/>
        <w:rPr>
          <w:szCs w:val="24"/>
        </w:rPr>
      </w:pPr>
      <w:r>
        <w:rPr>
          <w:szCs w:val="24"/>
        </w:rPr>
        <w:t>229.</w:t>
      </w:r>
      <w:r>
        <w:rPr>
          <w:szCs w:val="24"/>
        </w:rPr>
        <w:tab/>
      </w:r>
      <w:r>
        <w:rPr>
          <w:szCs w:val="24"/>
          <w:lang w:val="es-ES_tradnl"/>
        </w:rPr>
        <w:t xml:space="preserve">Actualmente los empleadores pueden ser procesados por infracción de las leyes laborales de Israel, incluida la </w:t>
      </w:r>
      <w:r>
        <w:rPr>
          <w:i/>
          <w:szCs w:val="24"/>
          <w:lang w:val="es-ES_tradnl"/>
        </w:rPr>
        <w:t>Ley de los trabajadores extranjeros</w:t>
      </w:r>
      <w:r>
        <w:rPr>
          <w:szCs w:val="24"/>
          <w:lang w:val="es-ES_tradnl"/>
        </w:rPr>
        <w:t xml:space="preserve"> de 5751/1991 que, como se menciona en el informe anterior de Israel, se revisó en 2000 para asegurar la protección de los derechos de los trabajadores extranjeros.</w:t>
      </w:r>
    </w:p>
    <w:p w:rsidR="00F92819" w:rsidRDefault="00F92819">
      <w:pPr>
        <w:pStyle w:val="SingleTxtG"/>
        <w:rPr>
          <w:szCs w:val="24"/>
        </w:rPr>
      </w:pPr>
      <w:r>
        <w:rPr>
          <w:szCs w:val="24"/>
        </w:rPr>
        <w:t>230.</w:t>
      </w:r>
      <w:r>
        <w:rPr>
          <w:szCs w:val="24"/>
        </w:rPr>
        <w:tab/>
      </w:r>
      <w:r>
        <w:rPr>
          <w:szCs w:val="24"/>
          <w:lang w:val="es-ES_tradnl"/>
        </w:rPr>
        <w:t xml:space="preserve">La </w:t>
      </w:r>
      <w:r>
        <w:rPr>
          <w:i/>
          <w:szCs w:val="24"/>
          <w:lang w:val="es-ES_tradnl"/>
        </w:rPr>
        <w:t xml:space="preserve">Ley del servicio de empleo (Enmienda </w:t>
      </w:r>
      <w:r w:rsidR="00713E0E">
        <w:rPr>
          <w:i/>
          <w:szCs w:val="24"/>
          <w:lang w:val="es-ES_tradnl"/>
        </w:rPr>
        <w:t>Nº</w:t>
      </w:r>
      <w:r>
        <w:rPr>
          <w:i/>
          <w:szCs w:val="24"/>
          <w:lang w:val="es-ES_tradnl"/>
        </w:rPr>
        <w:t xml:space="preserve"> 14)</w:t>
      </w:r>
      <w:r>
        <w:rPr>
          <w:szCs w:val="24"/>
          <w:lang w:val="es-ES_tradnl"/>
        </w:rPr>
        <w:t xml:space="preserve"> de 5764/2004 penaliza con prisión de hasta seis meses y/o multa de hasta 200.000 nuevos sheqalim (55.054 dólares de los EE.UU.) el cobro ilícito de derechos de contratación excesivos a los trabajadores extranjeros.</w:t>
      </w:r>
      <w:r>
        <w:rPr>
          <w:szCs w:val="24"/>
        </w:rPr>
        <w:t xml:space="preserve"> </w:t>
      </w:r>
      <w:r>
        <w:rPr>
          <w:szCs w:val="24"/>
          <w:lang w:val="es-ES_tradnl"/>
        </w:rPr>
        <w:t xml:space="preserve">La enmienda también se aplica a una orden temporal (en vigor hasta junio de 2009) a la </w:t>
      </w:r>
      <w:r>
        <w:rPr>
          <w:i/>
          <w:szCs w:val="24"/>
          <w:lang w:val="es-ES_tradnl"/>
        </w:rPr>
        <w:t>Ley de prohibición del blanqueo de dinero</w:t>
      </w:r>
      <w:r>
        <w:rPr>
          <w:szCs w:val="24"/>
          <w:lang w:val="es-ES_tradnl"/>
        </w:rPr>
        <w:t xml:space="preserve"> de 5760/2000, que declara delito el cobro de derechos excesivos.</w:t>
      </w:r>
    </w:p>
    <w:p w:rsidR="00F92819" w:rsidRDefault="00F92819">
      <w:pPr>
        <w:pStyle w:val="SingleTxtG"/>
        <w:rPr>
          <w:szCs w:val="24"/>
        </w:rPr>
      </w:pPr>
      <w:r>
        <w:rPr>
          <w:szCs w:val="24"/>
        </w:rPr>
        <w:t>231.</w:t>
      </w:r>
      <w:r>
        <w:rPr>
          <w:szCs w:val="24"/>
        </w:rPr>
        <w:tab/>
      </w:r>
      <w:r>
        <w:rPr>
          <w:szCs w:val="24"/>
          <w:lang w:val="es-ES_tradnl"/>
        </w:rPr>
        <w:t xml:space="preserve">El </w:t>
      </w:r>
      <w:r>
        <w:rPr>
          <w:i/>
          <w:szCs w:val="24"/>
          <w:lang w:val="es-ES_tradnl"/>
        </w:rPr>
        <w:t>Reglamento sobre el servicio de empleo (derechos de contratación)</w:t>
      </w:r>
      <w:r>
        <w:rPr>
          <w:szCs w:val="24"/>
          <w:lang w:val="es-ES_tradnl"/>
        </w:rPr>
        <w:t xml:space="preserve"> de 5766/2006</w:t>
      </w:r>
      <w:r>
        <w:rPr>
          <w:b/>
          <w:szCs w:val="24"/>
          <w:lang w:val="es-ES_tradnl"/>
        </w:rPr>
        <w:t xml:space="preserve"> </w:t>
      </w:r>
      <w:r>
        <w:rPr>
          <w:szCs w:val="24"/>
          <w:lang w:val="es-ES_tradnl"/>
        </w:rPr>
        <w:t>limita los derechos de contratación que puede exigir una agencia de contratación de Israel a 3.135 nuevos sheqalim (unos 825 dólares de los EE.UU.) o al 88% del salario mensual mínimo, menos cualquier suma que el trabajador ya haya pagado a una agencia de contratación extranjera.</w:t>
      </w:r>
      <w:r>
        <w:rPr>
          <w:szCs w:val="24"/>
        </w:rPr>
        <w:t xml:space="preserve"> </w:t>
      </w:r>
      <w:r>
        <w:rPr>
          <w:szCs w:val="24"/>
          <w:lang w:val="es-ES_tradnl"/>
        </w:rPr>
        <w:t>No obstante, la agencia puede legítimamente cobrar al trabajador extranjero un reembolso del costo del pasaje aéreo del país de origen a Israel.</w:t>
      </w:r>
      <w:r>
        <w:rPr>
          <w:szCs w:val="24"/>
        </w:rPr>
        <w:t xml:space="preserve"> </w:t>
      </w:r>
      <w:r>
        <w:rPr>
          <w:szCs w:val="24"/>
          <w:lang w:val="es-ES_tradnl"/>
        </w:rPr>
        <w:t>El Reglamento también fija las condiciones en que se permite cobrar los derechos, por ejemplo que debe haber un contrato detallado entre la agencia y el trabajador.</w:t>
      </w:r>
      <w:r>
        <w:rPr>
          <w:szCs w:val="24"/>
        </w:rPr>
        <w:t xml:space="preserve"> </w:t>
      </w:r>
      <w:r>
        <w:rPr>
          <w:szCs w:val="24"/>
          <w:lang w:val="es-ES_tradnl"/>
        </w:rPr>
        <w:t>Además, el Reglamento indica las circunstancias en que la agencia de contratación debe reembolsar las sumas cobradas al trabajador extranjero.</w:t>
      </w:r>
    </w:p>
    <w:p w:rsidR="00F92819" w:rsidRDefault="00F92819">
      <w:pPr>
        <w:pStyle w:val="SingleTxtG"/>
        <w:rPr>
          <w:szCs w:val="24"/>
        </w:rPr>
      </w:pPr>
      <w:r>
        <w:rPr>
          <w:szCs w:val="24"/>
        </w:rPr>
        <w:t>232.</w:t>
      </w:r>
      <w:r>
        <w:rPr>
          <w:szCs w:val="24"/>
        </w:rPr>
        <w:tab/>
      </w:r>
      <w:r>
        <w:rPr>
          <w:szCs w:val="24"/>
          <w:lang w:val="es-ES_tradnl"/>
        </w:rPr>
        <w:t xml:space="preserve">El </w:t>
      </w:r>
      <w:r>
        <w:rPr>
          <w:i/>
          <w:szCs w:val="24"/>
          <w:lang w:val="es-ES_tradnl"/>
        </w:rPr>
        <w:t>Reglamento sobre el servicio de empleo (suministro de información)</w:t>
      </w:r>
      <w:r>
        <w:rPr>
          <w:szCs w:val="24"/>
          <w:lang w:val="es-ES_tradnl"/>
        </w:rPr>
        <w:t xml:space="preserve"> de 5766/2006 exige que la agencia de contratación suministre a los trabajadores extranjeros toda la información pertinente sobre los derechos y obligaciones de los trabajadores extranjeros en Israel, por ejemplo información sobre los derechos de contratación permitidos, etc.</w:t>
      </w:r>
    </w:p>
    <w:p w:rsidR="00F92819" w:rsidRDefault="00F92819">
      <w:pPr>
        <w:pStyle w:val="SingleTxtG"/>
        <w:rPr>
          <w:szCs w:val="24"/>
        </w:rPr>
      </w:pPr>
      <w:r>
        <w:rPr>
          <w:szCs w:val="24"/>
        </w:rPr>
        <w:t>233.</w:t>
      </w:r>
      <w:r>
        <w:rPr>
          <w:szCs w:val="24"/>
        </w:rPr>
        <w:tab/>
      </w:r>
      <w:r>
        <w:rPr>
          <w:b/>
          <w:szCs w:val="24"/>
          <w:lang w:val="es-ES_tradnl"/>
        </w:rPr>
        <w:t>Estadísticas de investigaciones y multas:</w:t>
      </w:r>
    </w:p>
    <w:p w:rsidR="00F92819" w:rsidRDefault="00F92819">
      <w:pPr>
        <w:pStyle w:val="SingleTxtG"/>
        <w:ind w:left="1701"/>
        <w:rPr>
          <w:szCs w:val="24"/>
        </w:rPr>
      </w:pPr>
      <w:r>
        <w:rPr>
          <w:szCs w:val="24"/>
        </w:rPr>
        <w:t>233.1</w:t>
      </w:r>
      <w:r>
        <w:rPr>
          <w:szCs w:val="24"/>
        </w:rPr>
        <w:tab/>
      </w:r>
      <w:r>
        <w:rPr>
          <w:szCs w:val="24"/>
          <w:lang w:val="es-ES_tradnl"/>
        </w:rPr>
        <w:t xml:space="preserve">Número de multas impuestas a empleadores de trabajadores extranjeros por infringir la Ley de los trabajadores extranjeros por la División de Aplicación de las Leyes del Departamento de Trabajadores Extranjeros: </w:t>
      </w:r>
      <w:r>
        <w:rPr>
          <w:szCs w:val="24"/>
        </w:rPr>
        <w:t>2002: 1.847; 2003: 1.816; 2004: 7.996; 2005: 8.356; 2006: 8.111; 2007: 3.565.</w:t>
      </w:r>
    </w:p>
    <w:p w:rsidR="00F92819" w:rsidRDefault="00F92819">
      <w:pPr>
        <w:pStyle w:val="SingleTxtG"/>
        <w:ind w:left="1701"/>
        <w:rPr>
          <w:szCs w:val="24"/>
        </w:rPr>
      </w:pPr>
      <w:r>
        <w:rPr>
          <w:szCs w:val="24"/>
        </w:rPr>
        <w:t>233.2</w:t>
      </w:r>
      <w:r>
        <w:rPr>
          <w:szCs w:val="24"/>
        </w:rPr>
        <w:tab/>
      </w:r>
      <w:r>
        <w:rPr>
          <w:szCs w:val="24"/>
          <w:lang w:val="es-ES_tradnl"/>
        </w:rPr>
        <w:t>Importe de las multas impuestas por la División de Aplicación de las Leyes del Departamento de Trabajadores Extranjeros:</w:t>
      </w:r>
      <w:r>
        <w:rPr>
          <w:szCs w:val="24"/>
        </w:rPr>
        <w:t xml:space="preserve"> </w:t>
      </w:r>
      <w:r>
        <w:rPr>
          <w:szCs w:val="24"/>
          <w:lang w:val="es-ES_tradnl"/>
        </w:rPr>
        <w:t>2002: 865.300 nuevos sheqalim (233.864 dólares de los EE.UU.); 2003: 34.191.000 nuevos sheqalim (9.240.810 dólares de los EE.UU.); 2004: 118.625.500 nuevos sheqalim (32.060.945 dólares de los EE.UU.); 2005: 131.592.000 nuevos sheqalim (35.565.405 dólares de los EE.UU.); 2006, 169.830.900 nuevos sheqalim (45.900.243 dólares de los EE.UU.); 2007, 64.358.000 nuevos sheqalim (17.394.054 dólares de los EE.UU.).</w:t>
      </w:r>
    </w:p>
    <w:p w:rsidR="00F92819" w:rsidRDefault="00F92819">
      <w:pPr>
        <w:pStyle w:val="SingleTxtG"/>
        <w:ind w:left="1701"/>
        <w:rPr>
          <w:szCs w:val="24"/>
        </w:rPr>
      </w:pPr>
      <w:r>
        <w:rPr>
          <w:szCs w:val="24"/>
        </w:rPr>
        <w:t>233.3</w:t>
      </w:r>
      <w:r>
        <w:rPr>
          <w:szCs w:val="24"/>
        </w:rPr>
        <w:tab/>
      </w:r>
      <w:r>
        <w:rPr>
          <w:szCs w:val="24"/>
          <w:lang w:val="es-ES_tradnl"/>
        </w:rPr>
        <w:t>Número de investigaciones iniciadas contra empleadores de trabajadores extranjeros:</w:t>
      </w:r>
      <w:r>
        <w:rPr>
          <w:szCs w:val="24"/>
        </w:rPr>
        <w:t xml:space="preserve"> 2002: 4.073; 2003: 8.496; 2004: 9.834; 2005: 4.170; 2006: 3.743; 2007: 3.111.</w:t>
      </w:r>
    </w:p>
    <w:p w:rsidR="00F92819" w:rsidRDefault="00F92819">
      <w:pPr>
        <w:pStyle w:val="SingleTxtG"/>
        <w:rPr>
          <w:szCs w:val="24"/>
        </w:rPr>
      </w:pPr>
      <w:r>
        <w:rPr>
          <w:szCs w:val="24"/>
        </w:rPr>
        <w:t>234.</w:t>
      </w:r>
      <w:r>
        <w:rPr>
          <w:szCs w:val="24"/>
        </w:rPr>
        <w:tab/>
      </w:r>
      <w:r>
        <w:rPr>
          <w:szCs w:val="24"/>
          <w:lang w:val="es-ES_tradnl"/>
        </w:rPr>
        <w:t xml:space="preserve">A continuación figura un ejemplo de una decisión 2008 sobre el rigor con el cual los tribunales y las autoridades contemplan las infracciones de la </w:t>
      </w:r>
      <w:r>
        <w:rPr>
          <w:i/>
          <w:szCs w:val="24"/>
          <w:lang w:val="es-ES_tradnl"/>
        </w:rPr>
        <w:t>Ley de los trabajadores extranjeros</w:t>
      </w:r>
      <w:r>
        <w:rPr>
          <w:szCs w:val="24"/>
          <w:lang w:val="es-ES_tradnl"/>
        </w:rPr>
        <w:t xml:space="preserve"> en lo concierne a los derechos de los trabajadores extranjeros.</w:t>
      </w:r>
      <w:r>
        <w:rPr>
          <w:szCs w:val="24"/>
        </w:rPr>
        <w:t xml:space="preserve"> </w:t>
      </w:r>
      <w:r>
        <w:rPr>
          <w:szCs w:val="24"/>
          <w:lang w:val="es-ES_tradnl"/>
        </w:rPr>
        <w:t>El 17 de julio de 2008 el Tribunal Laboral de Israel aceptó la apelación del Estado sobre la indulgencia de la pena impuesta a los acusados, quienes fueron declarados culpables de emplear a un trabajador extranjero sin una licencia legal, sin concertarle un seguro médico, sin facilitarle un contrato en un idioma que entendiese y sin especificar la información de su salario ni de las retenciones practicadas.</w:t>
      </w:r>
      <w:r>
        <w:rPr>
          <w:szCs w:val="24"/>
        </w:rPr>
        <w:t xml:space="preserve"> </w:t>
      </w:r>
      <w:r>
        <w:rPr>
          <w:szCs w:val="24"/>
          <w:lang w:val="es-ES_tradnl"/>
        </w:rPr>
        <w:t xml:space="preserve">Después de trabajar durante sólo un mes, el trabajador resultó herido en un accidente de trabajo (que más tarde se definió como accidente de tráfico debido a la implicación de una carretilla elevadora), fue trasladado en ambulancia al hospital pero su admisión fue anónima porque la empresa empleadora negó conocer su filiación y negó su relación con </w:t>
      </w:r>
      <w:smartTag w:uri="urn:schemas-microsoft-com:office:smarttags" w:element="PersonName">
        <w:smartTagPr>
          <w:attr w:name="ProductID" w:val="la empresa. El Tribunal"/>
        </w:smartTagPr>
        <w:r>
          <w:rPr>
            <w:szCs w:val="24"/>
            <w:lang w:val="es-ES_tradnl"/>
          </w:rPr>
          <w:t>la empresa.</w:t>
        </w:r>
        <w:r>
          <w:rPr>
            <w:szCs w:val="24"/>
          </w:rPr>
          <w:t xml:space="preserve"> </w:t>
        </w:r>
        <w:r>
          <w:rPr>
            <w:szCs w:val="24"/>
            <w:lang w:val="es-ES_tradnl"/>
          </w:rPr>
          <w:t>El Tribunal</w:t>
        </w:r>
      </w:smartTag>
      <w:r>
        <w:rPr>
          <w:szCs w:val="24"/>
          <w:lang w:val="es-ES_tradnl"/>
        </w:rPr>
        <w:t xml:space="preserve"> Laboral del Distrito impuso una multa poco severa de 50.000 nuevos sheqalim (13.157 dólares de los EE.UU.) a la empresa y 15.000 nuevos sheqalim (3.947 dólares de los EE.UU.) a su administrador, puesto que determinó que el empleo fue únicamente durante un período corto y no suponía enriquecimiento personal para los inculpados, ni había condenas anteriores.</w:t>
      </w:r>
    </w:p>
    <w:p w:rsidR="00F92819" w:rsidRDefault="00F92819">
      <w:pPr>
        <w:pStyle w:val="SingleTxtG"/>
        <w:rPr>
          <w:szCs w:val="24"/>
        </w:rPr>
      </w:pPr>
      <w:r>
        <w:rPr>
          <w:szCs w:val="24"/>
        </w:rPr>
        <w:t>235.</w:t>
      </w:r>
      <w:r>
        <w:rPr>
          <w:szCs w:val="24"/>
        </w:rPr>
        <w:tab/>
      </w:r>
      <w:r>
        <w:rPr>
          <w:szCs w:val="24"/>
          <w:lang w:val="es-ES_tradnl"/>
        </w:rPr>
        <w:t xml:space="preserve">El Estado recurrió la indulgencia de la multa, que constituía sólo el 15% de la pena máxima estipulada en la </w:t>
      </w:r>
      <w:r>
        <w:rPr>
          <w:i/>
          <w:szCs w:val="24"/>
          <w:lang w:val="es-ES_tradnl"/>
        </w:rPr>
        <w:t>Ley de los trabajadores extranjeros</w:t>
      </w:r>
      <w:r>
        <w:rPr>
          <w:szCs w:val="24"/>
          <w:lang w:val="es-ES_tradnl"/>
        </w:rPr>
        <w:t>, alegando que no reflejaba la gravedad de los delitos, puesto que los acusados eludieron su responsabilidad como empleadores y abandonaron al trabajador sin respaldo económico ni apoyo en un momento de apuro e incertidumbre que equivalía a poner en peligro su salud.</w:t>
      </w:r>
      <w:r>
        <w:rPr>
          <w:szCs w:val="24"/>
        </w:rPr>
        <w:t xml:space="preserve"> </w:t>
      </w:r>
      <w:r>
        <w:rPr>
          <w:szCs w:val="24"/>
          <w:lang w:val="es-ES_tradnl"/>
        </w:rPr>
        <w:t>El Tribunal Laboral de Israel admitió el recurso e impuso una multa de 150.000 nuevos sheqalim (39.473 dólares de los EE.UU.) a la empresa y una multa de 45.000 nuevos sheqalim (11.842 dólares de los EE.UU.) al administrador (Cr.</w:t>
      </w:r>
      <w:r>
        <w:rPr>
          <w:szCs w:val="24"/>
        </w:rPr>
        <w:t xml:space="preserve"> </w:t>
      </w:r>
      <w:r>
        <w:rPr>
          <w:szCs w:val="24"/>
          <w:lang w:val="es-ES_tradnl"/>
        </w:rPr>
        <w:t xml:space="preserve">A 27/07 </w:t>
      </w:r>
      <w:r>
        <w:rPr>
          <w:i/>
          <w:szCs w:val="24"/>
          <w:lang w:val="es-ES_tradnl"/>
        </w:rPr>
        <w:t xml:space="preserve">El Estado de Israel c. </w:t>
      </w:r>
      <w:smartTag w:uri="urn:schemas-microsoft-com:office:smarttags" w:element="PersonName">
        <w:smartTagPr>
          <w:attr w:name="ProductID" w:val="la Thesa Import"/>
        </w:smartTagPr>
        <w:r>
          <w:rPr>
            <w:i/>
            <w:szCs w:val="24"/>
            <w:lang w:val="es-ES_tradnl"/>
          </w:rPr>
          <w:t>la Thesa Import</w:t>
        </w:r>
      </w:smartTag>
      <w:r>
        <w:rPr>
          <w:i/>
          <w:szCs w:val="24"/>
          <w:lang w:val="es-ES_tradnl"/>
        </w:rPr>
        <w:t xml:space="preserve"> and Export of Wood Inc.</w:t>
      </w:r>
      <w:r>
        <w:rPr>
          <w:szCs w:val="24"/>
          <w:lang w:val="es-ES_tradnl"/>
        </w:rPr>
        <w:t xml:space="preserve"> et al.</w:t>
      </w:r>
      <w:r>
        <w:rPr>
          <w:szCs w:val="24"/>
        </w:rPr>
        <w:t xml:space="preserve"> </w:t>
      </w:r>
      <w:r>
        <w:rPr>
          <w:szCs w:val="24"/>
          <w:lang w:val="es-ES_tradnl"/>
        </w:rPr>
        <w:t>(21 de mayo de 2008)).</w:t>
      </w:r>
    </w:p>
    <w:p w:rsidR="00F92819" w:rsidRDefault="00F92819">
      <w:pPr>
        <w:pStyle w:val="SingleTxtG"/>
        <w:rPr>
          <w:szCs w:val="24"/>
        </w:rPr>
      </w:pPr>
      <w:r>
        <w:rPr>
          <w:szCs w:val="24"/>
        </w:rPr>
        <w:t>236.</w:t>
      </w:r>
      <w:r>
        <w:rPr>
          <w:szCs w:val="24"/>
        </w:rPr>
        <w:tab/>
      </w:r>
      <w:r>
        <w:rPr>
          <w:b/>
          <w:szCs w:val="24"/>
          <w:lang w:val="es-ES_tradnl"/>
        </w:rPr>
        <w:t>Revocación de permisos para emplear trabajadores extranjeros.</w:t>
      </w:r>
      <w:r>
        <w:rPr>
          <w:szCs w:val="24"/>
        </w:rPr>
        <w:t xml:space="preserve"> </w:t>
      </w:r>
      <w:r>
        <w:rPr>
          <w:szCs w:val="24"/>
          <w:lang w:val="es-ES_tradnl"/>
        </w:rPr>
        <w:t>En 2007, en el sector de la enfermería, se revocaron los permisos de 20 empleadores y se restringieron o se condicionaron los permisos de otros 21.</w:t>
      </w:r>
      <w:r>
        <w:rPr>
          <w:szCs w:val="24"/>
        </w:rPr>
        <w:t xml:space="preserve"> </w:t>
      </w:r>
      <w:r>
        <w:rPr>
          <w:szCs w:val="24"/>
          <w:lang w:val="es-ES_tradnl"/>
        </w:rPr>
        <w:t>En el sector agrícola se revocó la totalidad o parte de los permisos de 14 empleadores y se restringieron o se condicionaron los permisos de otros 4.</w:t>
      </w:r>
      <w:r>
        <w:rPr>
          <w:szCs w:val="24"/>
        </w:rPr>
        <w:t xml:space="preserve"> </w:t>
      </w:r>
      <w:r>
        <w:rPr>
          <w:szCs w:val="24"/>
          <w:lang w:val="es-ES_tradnl"/>
        </w:rPr>
        <w:t>En el sector de la restauración, se revocó el permiso de un empleador y se restituyó posteriormente bajo apercibimiento una vez subsanadas las anomalías detectadas. En el sector industrial se revocó la totalidad o parte de los permisos de 2 empleadores y se restringieron o se condicionaron los permisos de otros 3.</w:t>
      </w:r>
      <w:r>
        <w:rPr>
          <w:szCs w:val="24"/>
        </w:rPr>
        <w:t xml:space="preserve"> </w:t>
      </w:r>
      <w:r>
        <w:rPr>
          <w:szCs w:val="24"/>
          <w:lang w:val="es-ES_tradnl"/>
        </w:rPr>
        <w:t xml:space="preserve">En el sector de la construcción, se revocó el permiso de una empresa de trabajo temporal que empleaba a trabajadores extranjeros y una parte de los fondos garantizados por obligaciones que la empresa había suscrito con el Ministerio fue transferida a los trabajadores de la empresa que no habían recibido sus salarios. </w:t>
      </w:r>
    </w:p>
    <w:p w:rsidR="00F92819" w:rsidRDefault="00F92819">
      <w:pPr>
        <w:pStyle w:val="SingleTxtG"/>
        <w:rPr>
          <w:szCs w:val="24"/>
        </w:rPr>
      </w:pPr>
      <w:r>
        <w:rPr>
          <w:szCs w:val="24"/>
        </w:rPr>
        <w:t>237.</w:t>
      </w:r>
      <w:r>
        <w:rPr>
          <w:szCs w:val="24"/>
        </w:rPr>
        <w:tab/>
      </w:r>
      <w:r>
        <w:rPr>
          <w:b/>
          <w:szCs w:val="24"/>
          <w:lang w:val="es-ES_tradnl"/>
        </w:rPr>
        <w:t>Acciones contra empresas de contratación.</w:t>
      </w:r>
      <w:r>
        <w:rPr>
          <w:szCs w:val="24"/>
        </w:rPr>
        <w:t xml:space="preserve"> </w:t>
      </w:r>
      <w:r>
        <w:rPr>
          <w:szCs w:val="24"/>
          <w:lang w:val="es-ES_tradnl"/>
        </w:rPr>
        <w:t>Durante 2007 el Ministerio de Industria, Comercio y Trabajo inspeccionó unas 50 empresas de contratación con licencia y con permiso especial para contratar trabajadores extranjeros.</w:t>
      </w:r>
    </w:p>
    <w:p w:rsidR="00F92819" w:rsidRDefault="00F92819">
      <w:pPr>
        <w:pStyle w:val="Bullet1G"/>
        <w:suppressAutoHyphens/>
        <w:rPr>
          <w:szCs w:val="24"/>
        </w:rPr>
      </w:pPr>
      <w:r>
        <w:rPr>
          <w:szCs w:val="24"/>
          <w:lang w:val="es-ES_tradnl"/>
        </w:rPr>
        <w:t>En 42 casos, tanto las licencias como los permisos de las empresas fueron revocados;</w:t>
      </w:r>
    </w:p>
    <w:p w:rsidR="00F92819" w:rsidRDefault="00F92819">
      <w:pPr>
        <w:pStyle w:val="Bullet1G"/>
        <w:suppressAutoHyphens/>
        <w:rPr>
          <w:szCs w:val="24"/>
        </w:rPr>
      </w:pPr>
      <w:r>
        <w:rPr>
          <w:szCs w:val="24"/>
          <w:lang w:val="es-ES_tradnl"/>
        </w:rPr>
        <w:t>En 4 casos, los permisos concedidos a las empresas para contratar trabajadores extranjeros fueron revocados durante un período determinado;</w:t>
      </w:r>
    </w:p>
    <w:p w:rsidR="00F92819" w:rsidRDefault="00F92819">
      <w:pPr>
        <w:pStyle w:val="Bullet1G"/>
        <w:suppressAutoHyphens/>
        <w:rPr>
          <w:szCs w:val="24"/>
        </w:rPr>
      </w:pPr>
      <w:r>
        <w:rPr>
          <w:szCs w:val="24"/>
          <w:lang w:val="es-ES_tradnl"/>
        </w:rPr>
        <w:t>En 4 casos se revocaron indefinidamente los permisos concedidos a las empresas para contratar trabajadores extranjeros y se concedió un permiso a prueba.</w:t>
      </w:r>
    </w:p>
    <w:p w:rsidR="00F92819" w:rsidRDefault="00F92819">
      <w:pPr>
        <w:pStyle w:val="SingleTxtG"/>
        <w:rPr>
          <w:szCs w:val="24"/>
        </w:rPr>
      </w:pPr>
      <w:r>
        <w:rPr>
          <w:szCs w:val="24"/>
          <w:lang w:val="es-ES_tradnl"/>
        </w:rPr>
        <w:t>Las revocaciones fueron debidas a los siguientes motivos:</w:t>
      </w:r>
      <w:r>
        <w:rPr>
          <w:szCs w:val="24"/>
        </w:rPr>
        <w:t xml:space="preserve"> </w:t>
      </w:r>
      <w:r>
        <w:rPr>
          <w:szCs w:val="24"/>
          <w:lang w:val="es-ES_tradnl"/>
        </w:rPr>
        <w:t>cobro ilegal de derechos a los trabajadores extranjeros, contratación de trabajadores realizada en colaboración con una empresa sin licencia, falsificación de informes de asistentes sociales, transferencia ilegal de trabajadores extranjeros e introducción de un trabajador extranjero en Israel contraviniendo las condiciones del permiso.</w:t>
      </w:r>
    </w:p>
    <w:p w:rsidR="00F92819" w:rsidRDefault="00F92819">
      <w:pPr>
        <w:pStyle w:val="SingleTxtG"/>
        <w:rPr>
          <w:szCs w:val="24"/>
        </w:rPr>
      </w:pPr>
      <w:r>
        <w:rPr>
          <w:szCs w:val="24"/>
          <w:lang w:val="es-ES_tradnl"/>
        </w:rPr>
        <w:t>Siete agencias recurrieron la revocación de su licencia o permiso al Tribunal Laboral del Distrito y sus recursos no fueron admitidos.</w:t>
      </w:r>
    </w:p>
    <w:p w:rsidR="00F92819" w:rsidRDefault="00F92819">
      <w:pPr>
        <w:pStyle w:val="SingleTxtG"/>
        <w:rPr>
          <w:szCs w:val="24"/>
        </w:rPr>
      </w:pPr>
      <w:r>
        <w:rPr>
          <w:szCs w:val="24"/>
        </w:rPr>
        <w:t>238.</w:t>
      </w:r>
      <w:r>
        <w:rPr>
          <w:szCs w:val="24"/>
        </w:rPr>
        <w:tab/>
      </w:r>
      <w:r>
        <w:rPr>
          <w:b/>
          <w:szCs w:val="24"/>
          <w:lang w:val="es-ES_tradnl"/>
        </w:rPr>
        <w:t>Difusión de información sobre derechos entre los trabajadores extranjeros.</w:t>
      </w:r>
      <w:r>
        <w:rPr>
          <w:szCs w:val="24"/>
        </w:rPr>
        <w:t xml:space="preserve"> </w:t>
      </w:r>
      <w:r>
        <w:rPr>
          <w:szCs w:val="24"/>
          <w:lang w:val="es-ES_tradnl"/>
        </w:rPr>
        <w:t>El Ministerio de Industria, Comercio y Trabajo publicó un folleto especial en inglés, ruso, rumano, turco, tailandés y chino sobre los derechos de los trabajadores (“</w:t>
      </w:r>
      <w:r>
        <w:rPr>
          <w:i/>
          <w:szCs w:val="24"/>
          <w:lang w:val="es-ES_tradnl"/>
        </w:rPr>
        <w:t>Zchuton</w:t>
      </w:r>
      <w:r>
        <w:rPr>
          <w:szCs w:val="24"/>
          <w:lang w:val="es-ES_tradnl"/>
        </w:rPr>
        <w:t xml:space="preserve">”) para el colectivo de trabajadores extranjeros en el sector de </w:t>
      </w:r>
      <w:smartTag w:uri="urn:schemas-microsoft-com:office:smarttags" w:element="PersonName">
        <w:smartTagPr>
          <w:attr w:name="ProductID" w:val="la construcci￳n. El"/>
        </w:smartTagPr>
        <w:r>
          <w:rPr>
            <w:szCs w:val="24"/>
            <w:lang w:val="es-ES_tradnl"/>
          </w:rPr>
          <w:t>la construcción.</w:t>
        </w:r>
        <w:r>
          <w:rPr>
            <w:szCs w:val="24"/>
          </w:rPr>
          <w:t xml:space="preserve"> </w:t>
        </w:r>
        <w:r>
          <w:rPr>
            <w:szCs w:val="24"/>
            <w:lang w:val="es-ES_tradnl"/>
          </w:rPr>
          <w:t>El</w:t>
        </w:r>
      </w:smartTag>
      <w:r>
        <w:rPr>
          <w:szCs w:val="24"/>
          <w:lang w:val="es-ES_tradnl"/>
        </w:rPr>
        <w:t xml:space="preserve"> “</w:t>
      </w:r>
      <w:r>
        <w:rPr>
          <w:i/>
          <w:szCs w:val="24"/>
          <w:lang w:val="es-ES_tradnl"/>
        </w:rPr>
        <w:t>Zchuton</w:t>
      </w:r>
      <w:r>
        <w:rPr>
          <w:szCs w:val="24"/>
          <w:lang w:val="es-ES_tradnl"/>
        </w:rPr>
        <w:t>” indica a los trabajadores que deben dirigirse a la Defensora del Pueblo (véase a continuación) en todo caso de infracción de los derechos explicados en el folleto.</w:t>
      </w:r>
    </w:p>
    <w:p w:rsidR="00F92819" w:rsidRDefault="00F92819">
      <w:pPr>
        <w:pStyle w:val="SingleTxtG"/>
        <w:rPr>
          <w:b/>
          <w:szCs w:val="24"/>
        </w:rPr>
      </w:pPr>
      <w:r>
        <w:rPr>
          <w:szCs w:val="24"/>
        </w:rPr>
        <w:t>239.</w:t>
      </w:r>
      <w:r>
        <w:rPr>
          <w:szCs w:val="24"/>
        </w:rPr>
        <w:tab/>
      </w:r>
      <w:r>
        <w:rPr>
          <w:szCs w:val="24"/>
          <w:lang w:val="es-ES_tradnl"/>
        </w:rPr>
        <w:t>Las empresas de trabajo temporal con licencia que emplean trabajadores extranjeros en el sector de la construcción están obligadas a repartir el “</w:t>
      </w:r>
      <w:r>
        <w:rPr>
          <w:i/>
          <w:szCs w:val="24"/>
          <w:lang w:val="es-ES_tradnl"/>
        </w:rPr>
        <w:t>Zchuton</w:t>
      </w:r>
      <w:r>
        <w:rPr>
          <w:szCs w:val="24"/>
          <w:lang w:val="es-ES_tradnl"/>
        </w:rPr>
        <w:t>” especial para el ramo de la construcción a cada trabajador extranjero que emplean, y los administradores de las empresas deben suministrar al Departamento de Trabajadores Extranjeros del Ministerio de Industria, Comercio y Trabajo una declaración jurada conforme se responsabilizan personalmente de la distribución del “</w:t>
      </w:r>
      <w:r>
        <w:rPr>
          <w:i/>
          <w:szCs w:val="24"/>
          <w:lang w:val="es-ES_tradnl"/>
        </w:rPr>
        <w:t>Zchuton</w:t>
      </w:r>
      <w:r>
        <w:rPr>
          <w:szCs w:val="24"/>
          <w:lang w:val="es-ES_tradnl"/>
        </w:rPr>
        <w:t>” a cada trabajador.</w:t>
      </w:r>
    </w:p>
    <w:p w:rsidR="00F92819" w:rsidRDefault="00F92819">
      <w:pPr>
        <w:pStyle w:val="SingleTxtG"/>
        <w:rPr>
          <w:szCs w:val="24"/>
        </w:rPr>
      </w:pPr>
      <w:r>
        <w:rPr>
          <w:szCs w:val="24"/>
        </w:rPr>
        <w:t>240.</w:t>
      </w:r>
      <w:r>
        <w:rPr>
          <w:szCs w:val="24"/>
        </w:rPr>
        <w:tab/>
      </w:r>
      <w:r>
        <w:rPr>
          <w:szCs w:val="24"/>
          <w:lang w:val="es-ES_tradnl"/>
        </w:rPr>
        <w:t xml:space="preserve">Además, como se detalla anteriormente, el </w:t>
      </w:r>
      <w:r>
        <w:rPr>
          <w:i/>
          <w:szCs w:val="24"/>
          <w:lang w:val="es-ES_tradnl"/>
        </w:rPr>
        <w:t>Reglamento sobre el servicio de empleo (suministro de información)</w:t>
      </w:r>
      <w:r>
        <w:rPr>
          <w:szCs w:val="24"/>
          <w:lang w:val="es-ES_tradnl"/>
        </w:rPr>
        <w:t xml:space="preserve"> de 5766/2006 exige que la agencia de contratación suministre a los trabajadores extranjeros toda la información pertinente sobre sus derechos y obligaciones como trabajadores extranjeros en Israel (por ejemplo, sobre las tarifas de los derechos de contratación permitidos, etc.).</w:t>
      </w:r>
    </w:p>
    <w:p w:rsidR="00F92819" w:rsidRDefault="00F92819">
      <w:pPr>
        <w:pStyle w:val="SingleTxtG"/>
        <w:rPr>
          <w:szCs w:val="24"/>
        </w:rPr>
      </w:pPr>
      <w:r>
        <w:rPr>
          <w:szCs w:val="24"/>
        </w:rPr>
        <w:t>241.</w:t>
      </w:r>
      <w:r>
        <w:rPr>
          <w:szCs w:val="24"/>
        </w:rPr>
        <w:tab/>
      </w:r>
      <w:r>
        <w:rPr>
          <w:szCs w:val="24"/>
          <w:lang w:val="es-ES_tradnl"/>
        </w:rPr>
        <w:t>Además, en el sitio web del Ministerio de Industria, Comercio y Trabajo se publica, en inglés, hebreo, chino, tailandés, ruso, rumano y turco, un folleto que explica los derechos laborales generales de los trabajadores extranjeros en Israel.</w:t>
      </w:r>
      <w:r>
        <w:rPr>
          <w:szCs w:val="24"/>
        </w:rPr>
        <w:t xml:space="preserve"> </w:t>
      </w:r>
      <w:r>
        <w:rPr>
          <w:szCs w:val="24"/>
          <w:lang w:val="es-ES_tradnl"/>
        </w:rPr>
        <w:t>El Ministerio del Interior también entrega el folleto a cada trabajador extranjero que llega al aeropuerto Ben Gurion.</w:t>
      </w:r>
    </w:p>
    <w:p w:rsidR="00F92819" w:rsidRDefault="00F92819">
      <w:pPr>
        <w:pStyle w:val="SingleTxtG"/>
        <w:rPr>
          <w:szCs w:val="24"/>
        </w:rPr>
      </w:pPr>
      <w:r>
        <w:rPr>
          <w:szCs w:val="24"/>
        </w:rPr>
        <w:t>242.</w:t>
      </w:r>
      <w:r>
        <w:rPr>
          <w:szCs w:val="24"/>
        </w:rPr>
        <w:tab/>
      </w:r>
      <w:r>
        <w:rPr>
          <w:szCs w:val="24"/>
          <w:lang w:val="es-ES_tradnl"/>
        </w:rPr>
        <w:t>La Embajada de Israel en Tailandia ha aplicado otro método de difundir información:</w:t>
      </w:r>
      <w:r>
        <w:rPr>
          <w:szCs w:val="24"/>
        </w:rPr>
        <w:t xml:space="preserve"> </w:t>
      </w:r>
      <w:r>
        <w:rPr>
          <w:szCs w:val="24"/>
          <w:lang w:val="es-ES_tradnl"/>
        </w:rPr>
        <w:t>en colaboración con el Ministerio de Industria, Comercio y Trabajo de Israel y el Ministerio de Trabajo de Tailandia, se ha publicado un folleto que explica los derechos de los trabajadores extranjeros en Israel.</w:t>
      </w:r>
      <w:r>
        <w:rPr>
          <w:szCs w:val="24"/>
        </w:rPr>
        <w:t xml:space="preserve"> </w:t>
      </w:r>
      <w:r>
        <w:rPr>
          <w:szCs w:val="24"/>
          <w:lang w:val="es-ES_tradnl"/>
        </w:rPr>
        <w:t>El folleto da información en tailandés sobre los derechos de los trabajadores en relación con el trabajo y la seguridad social, e incluye otra información, como números de teléfono útiles, establecimientos que ofrecen tratamiento médico y hebreo básico.</w:t>
      </w:r>
      <w:r>
        <w:rPr>
          <w:szCs w:val="24"/>
        </w:rPr>
        <w:t xml:space="preserve"> </w:t>
      </w:r>
      <w:r>
        <w:rPr>
          <w:szCs w:val="24"/>
          <w:lang w:val="es-ES_tradnl"/>
        </w:rPr>
        <w:t>El folleto se adjunta al pasaporte de cada trabajador que recibe un visado.</w:t>
      </w:r>
    </w:p>
    <w:p w:rsidR="00F92819" w:rsidRDefault="00F92819">
      <w:pPr>
        <w:pStyle w:val="SingleTxtG"/>
        <w:rPr>
          <w:szCs w:val="24"/>
        </w:rPr>
      </w:pPr>
      <w:r>
        <w:rPr>
          <w:szCs w:val="24"/>
        </w:rPr>
        <w:t>243.</w:t>
      </w:r>
      <w:r>
        <w:rPr>
          <w:szCs w:val="24"/>
        </w:rPr>
        <w:tab/>
      </w:r>
      <w:r>
        <w:rPr>
          <w:b/>
          <w:szCs w:val="24"/>
          <w:lang w:val="es-ES_tradnl"/>
        </w:rPr>
        <w:t>Seguro médico.</w:t>
      </w:r>
      <w:r>
        <w:rPr>
          <w:szCs w:val="24"/>
        </w:rPr>
        <w:t xml:space="preserve"> </w:t>
      </w:r>
      <w:r>
        <w:rPr>
          <w:szCs w:val="24"/>
          <w:lang w:val="es-ES_tradnl"/>
        </w:rPr>
        <w:t xml:space="preserve">La </w:t>
      </w:r>
      <w:r>
        <w:rPr>
          <w:i/>
          <w:szCs w:val="24"/>
          <w:lang w:val="es-ES_tradnl"/>
        </w:rPr>
        <w:t>Ley de los trabajadores extranjeros</w:t>
      </w:r>
      <w:r>
        <w:rPr>
          <w:szCs w:val="24"/>
          <w:lang w:val="es-ES_tradnl"/>
        </w:rPr>
        <w:t xml:space="preserve"> requiere que los empleadores aporten un seguro médico amplio para los empleados que sean trabajadores extranjeros y los que no cumplan esta obligación pueden ser objeto de proceso penal.</w:t>
      </w:r>
    </w:p>
    <w:p w:rsidR="00F92819" w:rsidRDefault="00F92819">
      <w:pPr>
        <w:pStyle w:val="SingleTxtG"/>
        <w:rPr>
          <w:szCs w:val="24"/>
        </w:rPr>
      </w:pPr>
      <w:r>
        <w:rPr>
          <w:szCs w:val="24"/>
        </w:rPr>
        <w:t>244.</w:t>
      </w:r>
      <w:r>
        <w:rPr>
          <w:szCs w:val="24"/>
        </w:rPr>
        <w:tab/>
      </w:r>
      <w:r>
        <w:rPr>
          <w:szCs w:val="24"/>
          <w:lang w:val="es-ES_tradnl"/>
        </w:rPr>
        <w:t xml:space="preserve">Se ha nombrado en el Ministerio de Industria, Comercio y Trabajo una </w:t>
      </w:r>
      <w:r>
        <w:rPr>
          <w:b/>
          <w:szCs w:val="24"/>
          <w:lang w:val="es-ES_tradnl"/>
        </w:rPr>
        <w:t>Defensora del Pueblo para recibir denuncias de trabajadores extranjeros</w:t>
      </w:r>
      <w:r>
        <w:rPr>
          <w:szCs w:val="24"/>
          <w:lang w:val="es-ES_tradnl"/>
        </w:rPr>
        <w:t>.</w:t>
      </w:r>
      <w:r>
        <w:rPr>
          <w:szCs w:val="24"/>
        </w:rPr>
        <w:t xml:space="preserve"> </w:t>
      </w:r>
      <w:r>
        <w:rPr>
          <w:szCs w:val="24"/>
          <w:lang w:val="es-ES_tradnl"/>
        </w:rPr>
        <w:t>Su mandato es proteger los derechos de los trabajadores extranjeros empleados en Israel y atender las denuncias de trabajadores extranjeros, empleadores, ciudadanos, ONG, asociaciones y medios de información.</w:t>
      </w:r>
      <w:r>
        <w:rPr>
          <w:szCs w:val="24"/>
        </w:rPr>
        <w:t xml:space="preserve"> </w:t>
      </w:r>
      <w:r>
        <w:rPr>
          <w:szCs w:val="24"/>
          <w:lang w:val="es-ES_tradnl"/>
        </w:rPr>
        <w:t>La Defensora del Pueblo está facultada para recomendar que la División de Aplicación de las Leyes haga una investigación y también para iniciar procedimientos administrativos.</w:t>
      </w:r>
      <w:r>
        <w:rPr>
          <w:szCs w:val="24"/>
        </w:rPr>
        <w:t xml:space="preserve"> </w:t>
      </w:r>
      <w:r>
        <w:rPr>
          <w:szCs w:val="24"/>
          <w:lang w:val="es-ES_tradnl"/>
        </w:rPr>
        <w:t>La Defensora del Pueblo ejerce una función de coordinación fundamental al recibir denuncias y decidir si se trata de infracciones de la legislación reglamentaria o de delitos de esclavitud, trabajo forzoso o trata de personas. Posteriormente los remite a la autoridad pertinente (el Ministerio de Industria, Comercio y Trabajo si se trata de una infracción reglamentaria y a la Policía si se trata de un delito de trata de personas, esclavitud o trabajo forzoso).</w:t>
      </w:r>
    </w:p>
    <w:p w:rsidR="00F92819" w:rsidRDefault="00F92819">
      <w:pPr>
        <w:pStyle w:val="SingleTxtG"/>
        <w:rPr>
          <w:szCs w:val="24"/>
        </w:rPr>
      </w:pPr>
      <w:r>
        <w:rPr>
          <w:szCs w:val="24"/>
        </w:rPr>
        <w:t>245.</w:t>
      </w:r>
      <w:r>
        <w:rPr>
          <w:szCs w:val="24"/>
        </w:rPr>
        <w:tab/>
      </w:r>
      <w:r>
        <w:rPr>
          <w:b/>
          <w:szCs w:val="24"/>
          <w:lang w:val="es-ES_tradnl"/>
        </w:rPr>
        <w:t>Acuerdos bilaterales.</w:t>
      </w:r>
      <w:r>
        <w:rPr>
          <w:szCs w:val="24"/>
        </w:rPr>
        <w:t xml:space="preserve"> </w:t>
      </w:r>
      <w:r>
        <w:rPr>
          <w:szCs w:val="24"/>
          <w:lang w:val="es-ES_tradnl"/>
        </w:rPr>
        <w:t xml:space="preserve">La resolución del Gobierno </w:t>
      </w:r>
      <w:r w:rsidR="00713E0E">
        <w:rPr>
          <w:szCs w:val="24"/>
          <w:lang w:val="es-ES_tradnl"/>
        </w:rPr>
        <w:t>Nº</w:t>
      </w:r>
      <w:r>
        <w:rPr>
          <w:szCs w:val="24"/>
          <w:lang w:val="es-ES_tradnl"/>
        </w:rPr>
        <w:t xml:space="preserve"> 2211 de fecha 12 de agosto de 2007 ordena al Ministerio de Industria, Comercio y Trabajo y al Ministerio de Asuntos Exteriores que promuevan acuerdos bilaterales con los países de origen de los trabajadores extranjeros y consideren la inclusión en esos acuerdos de las directivas de </w:t>
      </w:r>
      <w:smartTag w:uri="urn:schemas-microsoft-com:office:smarttags" w:element="PersonName">
        <w:smartTagPr>
          <w:attr w:name="ProductID" w:val="la Organizaci￳n Internacional"/>
        </w:smartTagPr>
        <w:r>
          <w:rPr>
            <w:szCs w:val="24"/>
            <w:lang w:val="es-ES_tradnl"/>
          </w:rPr>
          <w:t>la Organización Internacional</w:t>
        </w:r>
      </w:smartTag>
      <w:r>
        <w:rPr>
          <w:szCs w:val="24"/>
          <w:lang w:val="es-ES_tradnl"/>
        </w:rPr>
        <w:t xml:space="preserve"> para las Migraciones (OIM) sobre la supervisión del proceso de contratación para eliminar prácticas de contratación ilegales.</w:t>
      </w:r>
      <w:r>
        <w:rPr>
          <w:szCs w:val="24"/>
        </w:rPr>
        <w:t xml:space="preserve"> </w:t>
      </w:r>
      <w:r>
        <w:rPr>
          <w:szCs w:val="24"/>
          <w:lang w:val="es-ES_tradnl"/>
        </w:rPr>
        <w:t>Tras esta resolución se creó una comisión interministerial</w:t>
      </w:r>
      <w:r>
        <w:rPr>
          <w:szCs w:val="24"/>
        </w:rPr>
        <w:t xml:space="preserve"> </w:t>
      </w:r>
      <w:r>
        <w:rPr>
          <w:szCs w:val="24"/>
          <w:lang w:val="es-ES_tradnl"/>
        </w:rPr>
        <w:t>que consolidó un proyecto de acuerdo que fue enviado a la OIM para su estudio y enviado después al Gobierno Tailandés para conocer su opinión.</w:t>
      </w:r>
      <w:r>
        <w:rPr>
          <w:szCs w:val="24"/>
        </w:rPr>
        <w:t xml:space="preserve"> </w:t>
      </w:r>
      <w:r>
        <w:rPr>
          <w:szCs w:val="24"/>
          <w:lang w:val="es-ES_tradnl"/>
        </w:rPr>
        <w:t>En el futuro el Gobierno tiene intención de proponer el acuerdo a los principales países de origen de los trabajadores extranjeros.</w:t>
      </w:r>
    </w:p>
    <w:p w:rsidR="00F92819" w:rsidRDefault="00F92819">
      <w:pPr>
        <w:pStyle w:val="H23G"/>
        <w:rPr>
          <w:szCs w:val="24"/>
        </w:rPr>
      </w:pPr>
      <w:r>
        <w:rPr>
          <w:szCs w:val="24"/>
        </w:rPr>
        <w:tab/>
      </w:r>
      <w:r>
        <w:rPr>
          <w:szCs w:val="24"/>
        </w:rPr>
        <w:tab/>
      </w:r>
      <w:r>
        <w:rPr>
          <w:szCs w:val="24"/>
          <w:lang w:val="es-ES_tradnl"/>
        </w:rPr>
        <w:t>Trata de personas</w:t>
      </w:r>
    </w:p>
    <w:p w:rsidR="00F92819" w:rsidRDefault="00F92819">
      <w:pPr>
        <w:pStyle w:val="SingleTxtG"/>
        <w:rPr>
          <w:szCs w:val="24"/>
        </w:rPr>
      </w:pPr>
      <w:r>
        <w:rPr>
          <w:szCs w:val="24"/>
        </w:rPr>
        <w:t>246.</w:t>
      </w:r>
      <w:r>
        <w:rPr>
          <w:szCs w:val="24"/>
        </w:rPr>
        <w:tab/>
      </w:r>
      <w:r>
        <w:rPr>
          <w:szCs w:val="24"/>
          <w:lang w:val="es-ES_tradnl"/>
        </w:rPr>
        <w:t xml:space="preserve">El 29 de octubre de 2006 entró en vigor la </w:t>
      </w:r>
      <w:r>
        <w:rPr>
          <w:i/>
          <w:szCs w:val="24"/>
          <w:lang w:val="es-ES_tradnl"/>
        </w:rPr>
        <w:t>Ley contra la trata de personas</w:t>
      </w:r>
      <w:r>
        <w:rPr>
          <w:szCs w:val="24"/>
          <w:lang w:val="es-ES_tradnl"/>
        </w:rPr>
        <w:t xml:space="preserve"> de 5766/2006,</w:t>
      </w:r>
      <w:r>
        <w:rPr>
          <w:szCs w:val="24"/>
        </w:rPr>
        <w:t xml:space="preserve"> </w:t>
      </w:r>
      <w:r>
        <w:rPr>
          <w:szCs w:val="24"/>
          <w:lang w:val="es-ES_tradnl"/>
        </w:rPr>
        <w:t>que tipifica de forma amplia el delito de trata con diversos fines ilícitos:</w:t>
      </w:r>
      <w:r>
        <w:rPr>
          <w:szCs w:val="24"/>
        </w:rPr>
        <w:t xml:space="preserve"> </w:t>
      </w:r>
      <w:r>
        <w:rPr>
          <w:szCs w:val="24"/>
          <w:lang w:val="es-ES_tradnl"/>
        </w:rPr>
        <w:t>prostitución, delitos sexuales, esclavitud o trabajo forzoso, extracción de órganos, pornografía y uso del cuerpo de una persona para dar a luz un hijo que luego se le quita.</w:t>
      </w:r>
      <w:r>
        <w:rPr>
          <w:szCs w:val="24"/>
        </w:rPr>
        <w:t xml:space="preserve"> </w:t>
      </w:r>
      <w:r>
        <w:rPr>
          <w:szCs w:val="24"/>
          <w:lang w:val="es-ES_tradnl"/>
        </w:rPr>
        <w:t>El delito se castiga con una pena de 16 años de prisión, o de 20 años si se comete contra un menor.</w:t>
      </w:r>
      <w:r>
        <w:rPr>
          <w:szCs w:val="24"/>
        </w:rPr>
        <w:t xml:space="preserve"> </w:t>
      </w:r>
      <w:r>
        <w:rPr>
          <w:szCs w:val="24"/>
          <w:lang w:val="es-ES_tradnl"/>
        </w:rPr>
        <w:t>La Ley incluye una variedad completa de delitos para tener en cuenta los grados de explotación:</w:t>
      </w:r>
      <w:r>
        <w:rPr>
          <w:szCs w:val="24"/>
        </w:rPr>
        <w:t xml:space="preserve"> </w:t>
      </w:r>
      <w:r>
        <w:rPr>
          <w:szCs w:val="24"/>
          <w:lang w:val="es-ES_tradnl"/>
        </w:rPr>
        <w:t>esclavitud, 16 años de prisión; trata para esclavitud o trabajo forzoso, 16 años de prisión; trabajo forzoso, siete años de prisión; explotación de poblaciones vulnerables, tres años de prisión.</w:t>
      </w:r>
      <w:r>
        <w:rPr>
          <w:szCs w:val="24"/>
        </w:rPr>
        <w:t xml:space="preserve"> </w:t>
      </w:r>
      <w:r>
        <w:rPr>
          <w:szCs w:val="24"/>
          <w:lang w:val="es-ES_tradnl"/>
        </w:rPr>
        <w:t>Por primera vez, Israel tipifica un delito de esclavitud y un delito amplio de trabajo forzoso que conlleva penas mayores e impone penas más severas por la explotación de poblaciones vulnerables.</w:t>
      </w:r>
      <w:r>
        <w:rPr>
          <w:szCs w:val="24"/>
        </w:rPr>
        <w:t xml:space="preserve"> </w:t>
      </w:r>
      <w:r>
        <w:rPr>
          <w:szCs w:val="24"/>
          <w:lang w:val="es-ES_tradnl"/>
        </w:rPr>
        <w:t>La nueva legislación refleja un enfoque que requiere la integración de una serie de herramientas y actores para combatir la trata de personas</w:t>
      </w:r>
      <w:r>
        <w:rPr>
          <w:szCs w:val="24"/>
        </w:rPr>
        <w:t xml:space="preserve"> </w:t>
      </w:r>
      <w:r>
        <w:rPr>
          <w:szCs w:val="24"/>
          <w:lang w:val="es-ES_tradnl"/>
        </w:rPr>
        <w:t>y también subraya la prohibición de todas las formas de esclavitud y del trabajo forzoso.</w:t>
      </w:r>
    </w:p>
    <w:p w:rsidR="00F92819" w:rsidRDefault="00F92819">
      <w:pPr>
        <w:pStyle w:val="SingleTxtG"/>
        <w:rPr>
          <w:szCs w:val="24"/>
        </w:rPr>
      </w:pPr>
      <w:r>
        <w:rPr>
          <w:szCs w:val="24"/>
        </w:rPr>
        <w:t>247.</w:t>
      </w:r>
      <w:r>
        <w:rPr>
          <w:szCs w:val="24"/>
        </w:rPr>
        <w:tab/>
      </w:r>
      <w:r>
        <w:rPr>
          <w:szCs w:val="24"/>
          <w:lang w:val="es-ES_tradnl"/>
        </w:rPr>
        <w:t>Con respecto a la trata encaminada a la esclavitud o al trabajo forzoso, se han tipificado los siguientes delitos:</w:t>
      </w:r>
      <w:r>
        <w:rPr>
          <w:szCs w:val="24"/>
        </w:rPr>
        <w:t xml:space="preserve"> </w:t>
      </w:r>
      <w:r>
        <w:rPr>
          <w:szCs w:val="24"/>
          <w:lang w:val="es-ES_tradnl"/>
        </w:rPr>
        <w:t xml:space="preserve">trata de seres humanos para la esclavitud o el trabajo forzoso (art. 377A a) de </w:t>
      </w:r>
      <w:smartTag w:uri="urn:schemas-microsoft-com:office:smarttags" w:element="PersonName">
        <w:smartTagPr>
          <w:attr w:name="ProductID" w:val="la Ley Penal"/>
        </w:smartTagPr>
        <w:r>
          <w:rPr>
            <w:szCs w:val="24"/>
            <w:lang w:val="es-ES_tradnl"/>
          </w:rPr>
          <w:t xml:space="preserve">la </w:t>
        </w:r>
        <w:r>
          <w:rPr>
            <w:i/>
            <w:szCs w:val="24"/>
            <w:lang w:val="es-ES_tradnl"/>
          </w:rPr>
          <w:t>Ley Penal</w:t>
        </w:r>
      </w:smartTag>
      <w:r>
        <w:rPr>
          <w:szCs w:val="24"/>
          <w:lang w:val="es-ES_tradnl"/>
        </w:rPr>
        <w:t xml:space="preserve">), tener a una persona en condiciones de esclavitud (art. 375A de </w:t>
      </w:r>
      <w:smartTag w:uri="urn:schemas-microsoft-com:office:smarttags" w:element="PersonName">
        <w:smartTagPr>
          <w:attr w:name="ProductID" w:val="la Ley Penal"/>
        </w:smartTagPr>
        <w:r>
          <w:rPr>
            <w:szCs w:val="24"/>
            <w:lang w:val="es-ES_tradnl"/>
          </w:rPr>
          <w:t xml:space="preserve">la </w:t>
        </w:r>
        <w:r>
          <w:rPr>
            <w:i/>
            <w:szCs w:val="24"/>
            <w:lang w:val="es-ES_tradnl"/>
          </w:rPr>
          <w:t>Ley Penal</w:t>
        </w:r>
      </w:smartTag>
      <w:r>
        <w:rPr>
          <w:szCs w:val="24"/>
          <w:lang w:val="es-ES_tradnl"/>
        </w:rPr>
        <w:t xml:space="preserve">), trabajo forzoso (art. 376 de </w:t>
      </w:r>
      <w:smartTag w:uri="urn:schemas-microsoft-com:office:smarttags" w:element="PersonName">
        <w:smartTagPr>
          <w:attr w:name="ProductID" w:val="la Ley Penal"/>
        </w:smartTagPr>
        <w:r>
          <w:rPr>
            <w:szCs w:val="24"/>
            <w:lang w:val="es-ES_tradnl"/>
          </w:rPr>
          <w:t xml:space="preserve">la </w:t>
        </w:r>
        <w:r>
          <w:rPr>
            <w:i/>
            <w:szCs w:val="24"/>
            <w:lang w:val="es-ES_tradnl"/>
          </w:rPr>
          <w:t>Ley Penal</w:t>
        </w:r>
      </w:smartTag>
      <w:r>
        <w:rPr>
          <w:szCs w:val="24"/>
          <w:lang w:val="es-ES_tradnl"/>
        </w:rPr>
        <w:t xml:space="preserve">) y explotación de poblaciones vulnerables (art. 431 de </w:t>
      </w:r>
      <w:smartTag w:uri="urn:schemas-microsoft-com:office:smarttags" w:element="PersonName">
        <w:smartTagPr>
          <w:attr w:name="ProductID" w:val="la Ley Penal"/>
        </w:smartTagPr>
        <w:r>
          <w:rPr>
            <w:szCs w:val="24"/>
            <w:lang w:val="es-ES_tradnl"/>
          </w:rPr>
          <w:t xml:space="preserve">la </w:t>
        </w:r>
        <w:r>
          <w:rPr>
            <w:i/>
            <w:szCs w:val="24"/>
            <w:lang w:val="es-ES_tradnl"/>
          </w:rPr>
          <w:t>Ley Penal</w:t>
        </w:r>
      </w:smartTag>
      <w:r>
        <w:rPr>
          <w:szCs w:val="24"/>
          <w:lang w:val="es-ES_tradnl"/>
        </w:rPr>
        <w:t>).</w:t>
      </w:r>
      <w:r>
        <w:rPr>
          <w:szCs w:val="24"/>
        </w:rPr>
        <w:t xml:space="preserve"> </w:t>
      </w:r>
      <w:r>
        <w:rPr>
          <w:szCs w:val="24"/>
          <w:lang w:val="es-ES_tradnl"/>
        </w:rPr>
        <w:t>Además, el delito de secuestro se ha ampliado para incluir dos nuevos delitos:</w:t>
      </w:r>
      <w:r>
        <w:rPr>
          <w:szCs w:val="24"/>
        </w:rPr>
        <w:t xml:space="preserve"> </w:t>
      </w:r>
      <w:r>
        <w:rPr>
          <w:szCs w:val="24"/>
          <w:lang w:val="es-ES_tradnl"/>
        </w:rPr>
        <w:t xml:space="preserve">1) el secuestro con fines de esclavitud o trabajo forzoso y sacar a una persona de los límites de un Estado (arts. 374A y 370 de </w:t>
      </w:r>
      <w:smartTag w:uri="urn:schemas-microsoft-com:office:smarttags" w:element="PersonName">
        <w:smartTagPr>
          <w:attr w:name="ProductID" w:val="la Ley Penal"/>
        </w:smartTagPr>
        <w:r>
          <w:rPr>
            <w:szCs w:val="24"/>
            <w:lang w:val="es-ES_tradnl"/>
          </w:rPr>
          <w:t xml:space="preserve">la </w:t>
        </w:r>
        <w:r>
          <w:rPr>
            <w:i/>
            <w:szCs w:val="24"/>
            <w:lang w:val="es-ES_tradnl"/>
          </w:rPr>
          <w:t>Ley Penal</w:t>
        </w:r>
      </w:smartTag>
      <w:r>
        <w:rPr>
          <w:szCs w:val="24"/>
          <w:lang w:val="es-ES_tradnl"/>
        </w:rPr>
        <w:t xml:space="preserve">) y 2) hacer que una persona salga de un Estado para reducirla a la prostitución o a la esclavitud (art. 376A de </w:t>
      </w:r>
      <w:smartTag w:uri="urn:schemas-microsoft-com:office:smarttags" w:element="PersonName">
        <w:smartTagPr>
          <w:attr w:name="ProductID" w:val="la Ley Penal"/>
        </w:smartTagPr>
        <w:r>
          <w:rPr>
            <w:szCs w:val="24"/>
            <w:lang w:val="es-ES_tradnl"/>
          </w:rPr>
          <w:t xml:space="preserve">la </w:t>
        </w:r>
        <w:r>
          <w:rPr>
            <w:i/>
            <w:szCs w:val="24"/>
            <w:lang w:val="es-ES_tradnl"/>
          </w:rPr>
          <w:t>Ley Penal</w:t>
        </w:r>
      </w:smartTag>
      <w:r>
        <w:rPr>
          <w:szCs w:val="24"/>
          <w:lang w:val="es-ES_tradnl"/>
        </w:rPr>
        <w:t>).</w:t>
      </w:r>
    </w:p>
    <w:p w:rsidR="00F92819" w:rsidRDefault="00F92819">
      <w:pPr>
        <w:pStyle w:val="SingleTxtG"/>
        <w:rPr>
          <w:szCs w:val="24"/>
        </w:rPr>
      </w:pPr>
      <w:r>
        <w:rPr>
          <w:szCs w:val="24"/>
        </w:rPr>
        <w:t>248.</w:t>
      </w:r>
      <w:r>
        <w:rPr>
          <w:szCs w:val="24"/>
        </w:rPr>
        <w:tab/>
      </w:r>
      <w:r>
        <w:rPr>
          <w:szCs w:val="24"/>
          <w:lang w:val="es-ES_tradnl"/>
        </w:rPr>
        <w:t xml:space="preserve">Estos delitos existen junto a diversos delitos fijados en la legislación para proteger a los trabajadores extranjeros, por ejemplo la </w:t>
      </w:r>
      <w:r>
        <w:rPr>
          <w:i/>
          <w:szCs w:val="24"/>
          <w:lang w:val="es-ES_tradnl"/>
        </w:rPr>
        <w:t>Ley de los trabajadores extranjeros</w:t>
      </w:r>
      <w:r>
        <w:rPr>
          <w:szCs w:val="24"/>
          <w:lang w:val="es-ES_tradnl"/>
        </w:rPr>
        <w:t xml:space="preserve"> y la </w:t>
      </w:r>
      <w:r>
        <w:rPr>
          <w:i/>
          <w:szCs w:val="24"/>
          <w:lang w:val="es-ES_tradnl"/>
        </w:rPr>
        <w:t>Ley del servicio de empleo</w:t>
      </w:r>
      <w:r>
        <w:rPr>
          <w:szCs w:val="24"/>
          <w:lang w:val="es-ES_tradnl"/>
        </w:rPr>
        <w:t xml:space="preserve"> de 5719/1959.</w:t>
      </w:r>
      <w:r>
        <w:rPr>
          <w:szCs w:val="24"/>
        </w:rPr>
        <w:t xml:space="preserve"> </w:t>
      </w:r>
      <w:r>
        <w:rPr>
          <w:szCs w:val="24"/>
          <w:lang w:val="es-ES_tradnl"/>
        </w:rPr>
        <w:t xml:space="preserve">Pero la inclusión en </w:t>
      </w:r>
      <w:smartTag w:uri="urn:schemas-microsoft-com:office:smarttags" w:element="PersonName">
        <w:smartTagPr>
          <w:attr w:name="ProductID" w:val="la Ley Penal"/>
        </w:smartTagPr>
        <w:r>
          <w:rPr>
            <w:szCs w:val="24"/>
            <w:lang w:val="es-ES_tradnl"/>
          </w:rPr>
          <w:t>la Ley Penal</w:t>
        </w:r>
      </w:smartTag>
      <w:r>
        <w:rPr>
          <w:szCs w:val="24"/>
          <w:lang w:val="es-ES_tradnl"/>
        </w:rPr>
        <w:t xml:space="preserve"> les da un grado mayor de criminalidad y expresa mejor la condena moral de la sociedad.</w:t>
      </w:r>
    </w:p>
    <w:p w:rsidR="00F92819" w:rsidRDefault="00F92819">
      <w:pPr>
        <w:pStyle w:val="H1G"/>
        <w:ind w:firstLine="0"/>
        <w:rPr>
          <w:szCs w:val="24"/>
        </w:rPr>
      </w:pPr>
      <w:r>
        <w:rPr>
          <w:szCs w:val="24"/>
          <w:lang w:val="es-ES_tradnl"/>
        </w:rPr>
        <w:t>Artículo 7</w:t>
      </w:r>
      <w:r>
        <w:rPr>
          <w:szCs w:val="24"/>
          <w:lang w:val="es-ES_tradnl"/>
        </w:rPr>
        <w:br/>
        <w:t>Derecho a condiciones de trabajo equitativas y satisfactorias</w:t>
      </w:r>
    </w:p>
    <w:p w:rsidR="00F92819" w:rsidRDefault="00F92819">
      <w:pPr>
        <w:pStyle w:val="H23G"/>
        <w:rPr>
          <w:szCs w:val="24"/>
        </w:rPr>
      </w:pPr>
      <w:r>
        <w:rPr>
          <w:szCs w:val="24"/>
        </w:rPr>
        <w:tab/>
      </w:r>
      <w:r>
        <w:rPr>
          <w:szCs w:val="24"/>
        </w:rPr>
        <w:tab/>
      </w:r>
      <w:r>
        <w:rPr>
          <w:szCs w:val="24"/>
          <w:lang w:val="es-ES_tradnl"/>
        </w:rPr>
        <w:t>Convenciones internacionales pertinentes obligatorias para Israel</w:t>
      </w:r>
    </w:p>
    <w:p w:rsidR="00F92819" w:rsidRDefault="00F92819">
      <w:pPr>
        <w:pStyle w:val="SingleTxtG"/>
        <w:rPr>
          <w:szCs w:val="24"/>
        </w:rPr>
      </w:pPr>
      <w:r>
        <w:rPr>
          <w:szCs w:val="24"/>
        </w:rPr>
        <w:t>249.</w:t>
      </w:r>
      <w:r>
        <w:rPr>
          <w:szCs w:val="24"/>
        </w:rPr>
        <w:tab/>
      </w:r>
      <w:r>
        <w:rPr>
          <w:szCs w:val="24"/>
          <w:lang w:val="es-ES_tradnl"/>
        </w:rPr>
        <w:t>Desde su informe anterior en virtud del Pacto, Israel presentó informes actualizados con arreglo a los siguientes convenios de la OIT:</w:t>
      </w:r>
    </w:p>
    <w:p w:rsidR="00F92819" w:rsidRDefault="00F92819">
      <w:pPr>
        <w:pStyle w:val="Bullet1G"/>
        <w:suppressAutoHyphens/>
        <w:rPr>
          <w:szCs w:val="24"/>
        </w:rPr>
      </w:pPr>
      <w:r>
        <w:rPr>
          <w:szCs w:val="24"/>
          <w:lang w:val="es-ES_tradnl"/>
        </w:rPr>
        <w:t>Convenio sobre la igualdad de trato (indemnización por accidente), 1925 (</w:t>
      </w:r>
      <w:r w:rsidR="00713E0E">
        <w:rPr>
          <w:szCs w:val="24"/>
          <w:lang w:val="es-ES_tradnl"/>
        </w:rPr>
        <w:t>Nº</w:t>
      </w:r>
      <w:r>
        <w:rPr>
          <w:szCs w:val="24"/>
          <w:lang w:val="es-ES_tradnl"/>
        </w:rPr>
        <w:t xml:space="preserve"> 19), correspondiente al período 2001</w:t>
      </w:r>
      <w:r w:rsidR="001D63DF">
        <w:rPr>
          <w:szCs w:val="24"/>
          <w:lang w:val="es-ES_tradnl"/>
        </w:rPr>
        <w:t>-</w:t>
      </w:r>
      <w:r>
        <w:rPr>
          <w:szCs w:val="24"/>
          <w:lang w:val="es-ES_tradnl"/>
        </w:rPr>
        <w:t>2006;</w:t>
      </w:r>
    </w:p>
    <w:p w:rsidR="00F92819" w:rsidRDefault="00F92819">
      <w:pPr>
        <w:pStyle w:val="Bullet1G"/>
        <w:suppressAutoHyphens/>
        <w:rPr>
          <w:szCs w:val="24"/>
        </w:rPr>
      </w:pPr>
      <w:r>
        <w:rPr>
          <w:szCs w:val="24"/>
          <w:lang w:val="es-ES_tradnl"/>
        </w:rPr>
        <w:t>Convenio sobre la libertad sindical y la protección del derecho de sindicación, 1948 (</w:t>
      </w:r>
      <w:r w:rsidR="00713E0E">
        <w:rPr>
          <w:szCs w:val="24"/>
          <w:lang w:val="es-ES_tradnl"/>
        </w:rPr>
        <w:t>Nº</w:t>
      </w:r>
      <w:r>
        <w:rPr>
          <w:szCs w:val="24"/>
          <w:lang w:val="es-ES_tradnl"/>
        </w:rPr>
        <w:t xml:space="preserve"> 87), correspondiente al bienio 2005</w:t>
      </w:r>
      <w:r w:rsidR="001D63DF">
        <w:rPr>
          <w:szCs w:val="24"/>
          <w:lang w:val="es-ES_tradnl"/>
        </w:rPr>
        <w:t>-</w:t>
      </w:r>
      <w:r>
        <w:rPr>
          <w:szCs w:val="24"/>
          <w:lang w:val="es-ES_tradnl"/>
        </w:rPr>
        <w:t>2006;</w:t>
      </w:r>
    </w:p>
    <w:p w:rsidR="00F92819" w:rsidRDefault="00F92819">
      <w:pPr>
        <w:pStyle w:val="Bullet1G"/>
        <w:suppressAutoHyphens/>
        <w:rPr>
          <w:szCs w:val="24"/>
        </w:rPr>
      </w:pPr>
      <w:r>
        <w:rPr>
          <w:szCs w:val="24"/>
          <w:lang w:val="es-ES_tradnl"/>
        </w:rPr>
        <w:t>Convenio sobre los trabajadores migratorios (revisado), 1949 (</w:t>
      </w:r>
      <w:r w:rsidR="00713E0E">
        <w:rPr>
          <w:szCs w:val="24"/>
          <w:lang w:val="es-ES_tradnl"/>
        </w:rPr>
        <w:t>Nº</w:t>
      </w:r>
      <w:r>
        <w:rPr>
          <w:szCs w:val="24"/>
          <w:lang w:val="es-ES_tradnl"/>
        </w:rPr>
        <w:t xml:space="preserve"> 97), correspondiente al período 2001</w:t>
      </w:r>
      <w:r w:rsidR="001D63DF">
        <w:rPr>
          <w:szCs w:val="24"/>
          <w:lang w:val="es-ES_tradnl"/>
        </w:rPr>
        <w:t>-</w:t>
      </w:r>
      <w:r>
        <w:rPr>
          <w:szCs w:val="24"/>
          <w:lang w:val="es-ES_tradnl"/>
        </w:rPr>
        <w:t>2006;</w:t>
      </w:r>
    </w:p>
    <w:p w:rsidR="00F92819" w:rsidRDefault="00F92819">
      <w:pPr>
        <w:pStyle w:val="Bullet1G"/>
        <w:suppressAutoHyphens/>
        <w:rPr>
          <w:szCs w:val="24"/>
        </w:rPr>
      </w:pPr>
      <w:r>
        <w:rPr>
          <w:szCs w:val="24"/>
          <w:lang w:val="es-ES_tradnl"/>
        </w:rPr>
        <w:t>Convenio sobre el derecho de sindicación y negociación colectiva, 1949 (</w:t>
      </w:r>
      <w:r w:rsidR="00713E0E">
        <w:rPr>
          <w:szCs w:val="24"/>
          <w:lang w:val="es-ES_tradnl"/>
        </w:rPr>
        <w:t>Nº</w:t>
      </w:r>
      <w:r>
        <w:rPr>
          <w:szCs w:val="24"/>
          <w:lang w:val="es-ES_tradnl"/>
        </w:rPr>
        <w:t xml:space="preserve"> 98), correspondiente al bienio 2005</w:t>
      </w:r>
      <w:r w:rsidR="001D63DF">
        <w:rPr>
          <w:szCs w:val="24"/>
          <w:lang w:val="es-ES_tradnl"/>
        </w:rPr>
        <w:t>-</w:t>
      </w:r>
      <w:r>
        <w:rPr>
          <w:szCs w:val="24"/>
          <w:lang w:val="es-ES_tradnl"/>
        </w:rPr>
        <w:t>2006;</w:t>
      </w:r>
    </w:p>
    <w:p w:rsidR="00F92819" w:rsidRDefault="00F92819">
      <w:pPr>
        <w:pStyle w:val="Bullet1G"/>
        <w:suppressAutoHyphens/>
        <w:rPr>
          <w:szCs w:val="24"/>
        </w:rPr>
      </w:pPr>
      <w:r>
        <w:rPr>
          <w:szCs w:val="24"/>
          <w:lang w:val="es-ES_tradnl"/>
        </w:rPr>
        <w:t>Convenio sobre igualdad de remuneración, 1951 (</w:t>
      </w:r>
      <w:r w:rsidR="00713E0E">
        <w:rPr>
          <w:szCs w:val="24"/>
          <w:lang w:val="es-ES_tradnl"/>
        </w:rPr>
        <w:t>Nº</w:t>
      </w:r>
      <w:r>
        <w:rPr>
          <w:szCs w:val="24"/>
          <w:lang w:val="es-ES_tradnl"/>
        </w:rPr>
        <w:t xml:space="preserve"> 100), correspondiente al bienio 2005</w:t>
      </w:r>
      <w:r w:rsidR="001D63DF">
        <w:rPr>
          <w:szCs w:val="24"/>
          <w:lang w:val="es-ES_tradnl"/>
        </w:rPr>
        <w:t>-</w:t>
      </w:r>
      <w:r>
        <w:rPr>
          <w:szCs w:val="24"/>
          <w:lang w:val="es-ES_tradnl"/>
        </w:rPr>
        <w:t>2006;</w:t>
      </w:r>
    </w:p>
    <w:p w:rsidR="00F92819" w:rsidRDefault="00F92819">
      <w:pPr>
        <w:pStyle w:val="Bullet1G"/>
        <w:suppressAutoHyphens/>
        <w:rPr>
          <w:szCs w:val="24"/>
        </w:rPr>
      </w:pPr>
      <w:r>
        <w:rPr>
          <w:szCs w:val="24"/>
          <w:lang w:val="es-ES_tradnl"/>
        </w:rPr>
        <w:t>Convenio sobre la seguridad social (norma mínima), 1952 (</w:t>
      </w:r>
      <w:r w:rsidR="00713E0E">
        <w:rPr>
          <w:szCs w:val="24"/>
          <w:lang w:val="es-ES_tradnl"/>
        </w:rPr>
        <w:t>Nº</w:t>
      </w:r>
      <w:r>
        <w:rPr>
          <w:szCs w:val="24"/>
          <w:lang w:val="es-ES_tradnl"/>
        </w:rPr>
        <w:t xml:space="preserve"> 102), correspondiente al período 2001</w:t>
      </w:r>
      <w:r w:rsidR="001D63DF">
        <w:rPr>
          <w:szCs w:val="24"/>
          <w:lang w:val="es-ES_tradnl"/>
        </w:rPr>
        <w:t>-</w:t>
      </w:r>
      <w:r>
        <w:rPr>
          <w:szCs w:val="24"/>
          <w:lang w:val="es-ES_tradnl"/>
        </w:rPr>
        <w:t>2006;</w:t>
      </w:r>
    </w:p>
    <w:p w:rsidR="00F92819" w:rsidRDefault="00F92819">
      <w:pPr>
        <w:pStyle w:val="Bullet1G"/>
        <w:suppressAutoHyphens/>
        <w:rPr>
          <w:szCs w:val="24"/>
        </w:rPr>
      </w:pPr>
      <w:r>
        <w:rPr>
          <w:szCs w:val="24"/>
          <w:lang w:val="es-ES_tradnl"/>
        </w:rPr>
        <w:t>Convenio sobre la discriminación (empleo y ocupación), 1958 (</w:t>
      </w:r>
      <w:r w:rsidR="00713E0E">
        <w:rPr>
          <w:szCs w:val="24"/>
          <w:lang w:val="es-ES_tradnl"/>
        </w:rPr>
        <w:t>Nº</w:t>
      </w:r>
      <w:r>
        <w:rPr>
          <w:szCs w:val="24"/>
          <w:lang w:val="es-ES_tradnl"/>
        </w:rPr>
        <w:t xml:space="preserve"> 111), correspondiente al bienio 2005</w:t>
      </w:r>
      <w:r w:rsidR="001D63DF">
        <w:rPr>
          <w:szCs w:val="24"/>
          <w:lang w:val="es-ES_tradnl"/>
        </w:rPr>
        <w:t>-</w:t>
      </w:r>
      <w:r>
        <w:rPr>
          <w:szCs w:val="24"/>
          <w:lang w:val="es-ES_tradnl"/>
        </w:rPr>
        <w:t>2006;</w:t>
      </w:r>
    </w:p>
    <w:p w:rsidR="00F92819" w:rsidRDefault="00F92819">
      <w:pPr>
        <w:pStyle w:val="Bullet1G"/>
        <w:suppressAutoHyphens/>
        <w:rPr>
          <w:szCs w:val="24"/>
        </w:rPr>
      </w:pPr>
      <w:r>
        <w:rPr>
          <w:szCs w:val="24"/>
          <w:lang w:val="es-ES_tradnl"/>
        </w:rPr>
        <w:t>Convenio sobre la igualdad de trato (seguridad social), 1962 (</w:t>
      </w:r>
      <w:r w:rsidR="00713E0E">
        <w:rPr>
          <w:szCs w:val="24"/>
          <w:lang w:val="es-ES_tradnl"/>
        </w:rPr>
        <w:t>Nº</w:t>
      </w:r>
      <w:r>
        <w:rPr>
          <w:szCs w:val="24"/>
          <w:lang w:val="es-ES_tradnl"/>
        </w:rPr>
        <w:t xml:space="preserve"> 118), correspondiente al período 2001</w:t>
      </w:r>
      <w:r w:rsidR="001D63DF">
        <w:rPr>
          <w:szCs w:val="24"/>
          <w:lang w:val="es-ES_tradnl"/>
        </w:rPr>
        <w:t>-</w:t>
      </w:r>
      <w:r>
        <w:rPr>
          <w:szCs w:val="24"/>
          <w:lang w:val="es-ES_tradnl"/>
        </w:rPr>
        <w:t>2006;</w:t>
      </w:r>
    </w:p>
    <w:p w:rsidR="00F92819" w:rsidRDefault="00F92819">
      <w:pPr>
        <w:pStyle w:val="Bullet1G"/>
        <w:suppressAutoHyphens/>
        <w:rPr>
          <w:szCs w:val="24"/>
        </w:rPr>
      </w:pPr>
      <w:r>
        <w:rPr>
          <w:szCs w:val="24"/>
          <w:lang w:val="es-ES_tradnl"/>
        </w:rPr>
        <w:t>Convenio sobre la política de empleo, 1964 (</w:t>
      </w:r>
      <w:r w:rsidR="00713E0E">
        <w:rPr>
          <w:szCs w:val="24"/>
          <w:lang w:val="es-ES_tradnl"/>
        </w:rPr>
        <w:t>Nº</w:t>
      </w:r>
      <w:r>
        <w:rPr>
          <w:szCs w:val="24"/>
          <w:lang w:val="es-ES_tradnl"/>
        </w:rPr>
        <w:t xml:space="preserve"> 122), correspondiente al bienio 2005</w:t>
      </w:r>
      <w:r w:rsidR="001D63DF">
        <w:rPr>
          <w:szCs w:val="24"/>
          <w:lang w:val="es-ES_tradnl"/>
        </w:rPr>
        <w:t>-</w:t>
      </w:r>
      <w:r>
        <w:rPr>
          <w:szCs w:val="24"/>
          <w:lang w:val="es-ES_tradnl"/>
        </w:rPr>
        <w:t>2006;</w:t>
      </w:r>
    </w:p>
    <w:p w:rsidR="00F92819" w:rsidRDefault="00F92819" w:rsidP="00713E0E">
      <w:pPr>
        <w:pStyle w:val="Bullet1G"/>
        <w:suppressAutoHyphens/>
        <w:rPr>
          <w:szCs w:val="24"/>
        </w:rPr>
      </w:pPr>
      <w:r>
        <w:rPr>
          <w:szCs w:val="24"/>
          <w:lang w:val="es-ES_tradnl"/>
        </w:rPr>
        <w:t>Convenio sobre la prohibición de las peores formas de trabajo infantil, 1999 (</w:t>
      </w:r>
      <w:r w:rsidR="00713E0E">
        <w:rPr>
          <w:szCs w:val="24"/>
          <w:lang w:val="es-ES_tradnl"/>
        </w:rPr>
        <w:t>Nº </w:t>
      </w:r>
      <w:r>
        <w:rPr>
          <w:szCs w:val="24"/>
          <w:lang w:val="es-ES_tradnl"/>
        </w:rPr>
        <w:t>182), correspondiente al año 2006;</w:t>
      </w:r>
    </w:p>
    <w:p w:rsidR="00F92819" w:rsidRDefault="00F92819">
      <w:pPr>
        <w:pStyle w:val="Bullet1G"/>
        <w:suppressAutoHyphens/>
        <w:rPr>
          <w:szCs w:val="24"/>
        </w:rPr>
      </w:pPr>
      <w:r>
        <w:rPr>
          <w:szCs w:val="24"/>
          <w:lang w:val="es-ES_tradnl"/>
        </w:rPr>
        <w:t>Convenio sobre el trabajo forzoso, 1930 (</w:t>
      </w:r>
      <w:r w:rsidR="00713E0E">
        <w:rPr>
          <w:szCs w:val="24"/>
          <w:lang w:val="es-ES_tradnl"/>
        </w:rPr>
        <w:t>Nº</w:t>
      </w:r>
      <w:r>
        <w:rPr>
          <w:szCs w:val="24"/>
          <w:lang w:val="es-ES_tradnl"/>
        </w:rPr>
        <w:t xml:space="preserve"> 29), correspondiente al año 2005;</w:t>
      </w:r>
    </w:p>
    <w:p w:rsidR="00F92819" w:rsidRDefault="00F92819">
      <w:pPr>
        <w:pStyle w:val="Bullet1G"/>
        <w:suppressAutoHyphens/>
        <w:rPr>
          <w:szCs w:val="24"/>
        </w:rPr>
      </w:pPr>
      <w:r>
        <w:rPr>
          <w:szCs w:val="24"/>
          <w:lang w:val="es-ES_tradnl"/>
        </w:rPr>
        <w:t>Convenio sobre el examen médico de los menores (industria), 1946 (</w:t>
      </w:r>
      <w:r w:rsidR="00713E0E">
        <w:rPr>
          <w:szCs w:val="24"/>
          <w:lang w:val="es-ES_tradnl"/>
        </w:rPr>
        <w:t>Nº</w:t>
      </w:r>
      <w:r>
        <w:rPr>
          <w:szCs w:val="24"/>
          <w:lang w:val="es-ES_tradnl"/>
        </w:rPr>
        <w:t xml:space="preserve"> 77), correspondiente al período 2001</w:t>
      </w:r>
      <w:r w:rsidR="001D63DF">
        <w:rPr>
          <w:szCs w:val="24"/>
          <w:lang w:val="es-ES_tradnl"/>
        </w:rPr>
        <w:t>-</w:t>
      </w:r>
      <w:r>
        <w:rPr>
          <w:szCs w:val="24"/>
          <w:lang w:val="es-ES_tradnl"/>
        </w:rPr>
        <w:t>2005;</w:t>
      </w:r>
    </w:p>
    <w:p w:rsidR="00F92819" w:rsidRDefault="00F92819">
      <w:pPr>
        <w:pStyle w:val="Bullet1G"/>
        <w:suppressAutoHyphens/>
        <w:rPr>
          <w:szCs w:val="24"/>
        </w:rPr>
      </w:pPr>
      <w:r>
        <w:rPr>
          <w:szCs w:val="24"/>
          <w:lang w:val="es-ES_tradnl"/>
        </w:rPr>
        <w:t>Convenio sobre el examen médico de los menores (trabajos no industriales), 1946 (</w:t>
      </w:r>
      <w:r w:rsidR="00713E0E">
        <w:rPr>
          <w:szCs w:val="24"/>
          <w:lang w:val="es-ES_tradnl"/>
        </w:rPr>
        <w:t>Nº</w:t>
      </w:r>
      <w:r>
        <w:rPr>
          <w:szCs w:val="24"/>
          <w:lang w:val="es-ES_tradnl"/>
        </w:rPr>
        <w:t xml:space="preserve"> 78), correspondiente al período 2001</w:t>
      </w:r>
      <w:r w:rsidR="001D63DF">
        <w:rPr>
          <w:szCs w:val="24"/>
          <w:lang w:val="es-ES_tradnl"/>
        </w:rPr>
        <w:t>-</w:t>
      </w:r>
      <w:r>
        <w:rPr>
          <w:szCs w:val="24"/>
          <w:lang w:val="es-ES_tradnl"/>
        </w:rPr>
        <w:t>2005;</w:t>
      </w:r>
    </w:p>
    <w:p w:rsidR="00F92819" w:rsidRDefault="00F92819">
      <w:pPr>
        <w:pStyle w:val="Bullet1G"/>
        <w:suppressAutoHyphens/>
        <w:rPr>
          <w:szCs w:val="24"/>
        </w:rPr>
      </w:pPr>
      <w:r>
        <w:rPr>
          <w:szCs w:val="24"/>
          <w:lang w:val="es-ES_tradnl"/>
        </w:rPr>
        <w:t>Convenio sobre el trabajo nocturno de los menores (trabajos no industriales), 1946 (</w:t>
      </w:r>
      <w:r w:rsidR="00713E0E">
        <w:rPr>
          <w:szCs w:val="24"/>
          <w:lang w:val="es-ES_tradnl"/>
        </w:rPr>
        <w:t>Nº</w:t>
      </w:r>
      <w:r>
        <w:rPr>
          <w:szCs w:val="24"/>
          <w:lang w:val="es-ES_tradnl"/>
        </w:rPr>
        <w:t xml:space="preserve"> 79), correspondiente al bienio 2004</w:t>
      </w:r>
      <w:r w:rsidR="001D63DF">
        <w:rPr>
          <w:szCs w:val="24"/>
          <w:lang w:val="es-ES_tradnl"/>
        </w:rPr>
        <w:t>-</w:t>
      </w:r>
      <w:r>
        <w:rPr>
          <w:szCs w:val="24"/>
          <w:lang w:val="es-ES_tradnl"/>
        </w:rPr>
        <w:t>2005;</w:t>
      </w:r>
    </w:p>
    <w:p w:rsidR="00F92819" w:rsidRDefault="00F92819">
      <w:pPr>
        <w:pStyle w:val="Bullet1G"/>
        <w:suppressAutoHyphens/>
        <w:rPr>
          <w:szCs w:val="24"/>
        </w:rPr>
      </w:pPr>
      <w:r>
        <w:rPr>
          <w:szCs w:val="24"/>
          <w:lang w:val="es-ES_tradnl"/>
        </w:rPr>
        <w:t>Convenio sobre la inspección del trabajo, 1947 (</w:t>
      </w:r>
      <w:r w:rsidR="00713E0E">
        <w:rPr>
          <w:szCs w:val="24"/>
          <w:lang w:val="es-ES_tradnl"/>
        </w:rPr>
        <w:t>Nº</w:t>
      </w:r>
      <w:r>
        <w:rPr>
          <w:szCs w:val="24"/>
          <w:lang w:val="es-ES_tradnl"/>
        </w:rPr>
        <w:t xml:space="preserve"> 81), correspondiente al bienio 2004-2005;</w:t>
      </w:r>
    </w:p>
    <w:p w:rsidR="00F92819" w:rsidRDefault="00F92819" w:rsidP="00713E0E">
      <w:pPr>
        <w:pStyle w:val="Bullet1G"/>
        <w:suppressAutoHyphens/>
        <w:rPr>
          <w:szCs w:val="24"/>
        </w:rPr>
      </w:pPr>
      <w:r>
        <w:rPr>
          <w:szCs w:val="24"/>
          <w:lang w:val="es-ES_tradnl"/>
        </w:rPr>
        <w:t>Convenio (revisado) sobre el trabajo nocturno de los menores (industria), 1948 (</w:t>
      </w:r>
      <w:r w:rsidR="00713E0E">
        <w:rPr>
          <w:szCs w:val="24"/>
          <w:lang w:val="es-ES_tradnl"/>
        </w:rPr>
        <w:t>Nº</w:t>
      </w:r>
      <w:r w:rsidR="00713E0E">
        <w:t> </w:t>
      </w:r>
      <w:r>
        <w:rPr>
          <w:szCs w:val="24"/>
          <w:lang w:val="es-ES_tradnl"/>
        </w:rPr>
        <w:t>90), correspondiente al período 2001</w:t>
      </w:r>
      <w:r w:rsidR="001D63DF">
        <w:rPr>
          <w:szCs w:val="24"/>
          <w:lang w:val="es-ES_tradnl"/>
        </w:rPr>
        <w:t>-</w:t>
      </w:r>
      <w:r>
        <w:rPr>
          <w:szCs w:val="24"/>
          <w:lang w:val="es-ES_tradnl"/>
        </w:rPr>
        <w:t>2005;</w:t>
      </w:r>
    </w:p>
    <w:p w:rsidR="00F92819" w:rsidRDefault="00F92819">
      <w:pPr>
        <w:pStyle w:val="Bullet1G"/>
        <w:suppressAutoHyphens/>
        <w:rPr>
          <w:szCs w:val="24"/>
        </w:rPr>
      </w:pPr>
      <w:r>
        <w:rPr>
          <w:szCs w:val="24"/>
          <w:lang w:val="es-ES_tradnl"/>
        </w:rPr>
        <w:t>Convenio sobre la protección del salario, 1949 (</w:t>
      </w:r>
      <w:r w:rsidR="00713E0E">
        <w:rPr>
          <w:szCs w:val="24"/>
          <w:lang w:val="es-ES_tradnl"/>
        </w:rPr>
        <w:t>Nº</w:t>
      </w:r>
      <w:r>
        <w:rPr>
          <w:szCs w:val="24"/>
          <w:lang w:val="es-ES_tradnl"/>
        </w:rPr>
        <w:t xml:space="preserve"> 95), correspondiente al período 2001-2005;</w:t>
      </w:r>
    </w:p>
    <w:p w:rsidR="00F92819" w:rsidRDefault="00F92819">
      <w:pPr>
        <w:pStyle w:val="Bullet1G"/>
        <w:suppressAutoHyphens/>
        <w:rPr>
          <w:szCs w:val="24"/>
        </w:rPr>
      </w:pPr>
      <w:r>
        <w:rPr>
          <w:szCs w:val="24"/>
          <w:lang w:val="es-ES_tradnl"/>
        </w:rPr>
        <w:t>Convenio sobre las cláusulas de trabajo (contratos celebrados por las autoridades públicas), 1949 (</w:t>
      </w:r>
      <w:r w:rsidR="00713E0E">
        <w:rPr>
          <w:szCs w:val="24"/>
          <w:lang w:val="es-ES_tradnl"/>
        </w:rPr>
        <w:t>Nº</w:t>
      </w:r>
      <w:r>
        <w:rPr>
          <w:szCs w:val="24"/>
          <w:lang w:val="es-ES_tradnl"/>
        </w:rPr>
        <w:t xml:space="preserve"> 94), correspondiente al bienio 2004-2005;</w:t>
      </w:r>
    </w:p>
    <w:p w:rsidR="00F92819" w:rsidRDefault="00F92819">
      <w:pPr>
        <w:pStyle w:val="Bullet1G"/>
        <w:suppressAutoHyphens/>
        <w:rPr>
          <w:szCs w:val="24"/>
        </w:rPr>
      </w:pPr>
      <w:r>
        <w:rPr>
          <w:szCs w:val="24"/>
          <w:lang w:val="es-ES_tradnl"/>
        </w:rPr>
        <w:t>Convenio sobre la abolición del trabajo forzoso, 1957 (</w:t>
      </w:r>
      <w:r w:rsidR="00713E0E">
        <w:rPr>
          <w:szCs w:val="24"/>
          <w:lang w:val="es-ES_tradnl"/>
        </w:rPr>
        <w:t>Nº</w:t>
      </w:r>
      <w:r>
        <w:rPr>
          <w:szCs w:val="24"/>
          <w:lang w:val="es-ES_tradnl"/>
        </w:rPr>
        <w:t xml:space="preserve"> 105), correspondiente al bienio 2004-2005;</w:t>
      </w:r>
    </w:p>
    <w:p w:rsidR="00F92819" w:rsidRDefault="00F92819">
      <w:pPr>
        <w:pStyle w:val="Bullet1G"/>
        <w:suppressAutoHyphens/>
        <w:rPr>
          <w:szCs w:val="24"/>
        </w:rPr>
      </w:pPr>
      <w:r>
        <w:rPr>
          <w:szCs w:val="24"/>
          <w:lang w:val="es-ES_tradnl"/>
        </w:rPr>
        <w:t>Convenio sobre la edad mínima, 1973 (</w:t>
      </w:r>
      <w:r w:rsidR="00713E0E">
        <w:rPr>
          <w:szCs w:val="24"/>
          <w:lang w:val="es-ES_tradnl"/>
        </w:rPr>
        <w:t>Nº</w:t>
      </w:r>
      <w:r>
        <w:rPr>
          <w:szCs w:val="24"/>
          <w:lang w:val="es-ES_tradnl"/>
        </w:rPr>
        <w:t xml:space="preserve"> 138), correspondiente al bienio 2004-2005;</w:t>
      </w:r>
    </w:p>
    <w:p w:rsidR="00F92819" w:rsidRDefault="00F92819">
      <w:pPr>
        <w:pStyle w:val="Bullet1G"/>
        <w:suppressAutoHyphens/>
        <w:rPr>
          <w:szCs w:val="24"/>
        </w:rPr>
      </w:pPr>
      <w:r>
        <w:rPr>
          <w:szCs w:val="24"/>
          <w:lang w:val="es-ES_tradnl"/>
        </w:rPr>
        <w:t>Convenio sobre las organizaciones de trabajos rurales, 1975 (</w:t>
      </w:r>
      <w:r w:rsidR="00713E0E">
        <w:rPr>
          <w:szCs w:val="24"/>
          <w:lang w:val="es-ES_tradnl"/>
        </w:rPr>
        <w:t>Nº</w:t>
      </w:r>
      <w:r>
        <w:rPr>
          <w:szCs w:val="24"/>
          <w:lang w:val="es-ES_tradnl"/>
        </w:rPr>
        <w:t xml:space="preserve"> 141), correspondiente al período 2001-2005.</w:t>
      </w:r>
    </w:p>
    <w:p w:rsidR="00F92819" w:rsidRDefault="00F92819">
      <w:pPr>
        <w:pStyle w:val="H23G"/>
        <w:rPr>
          <w:szCs w:val="24"/>
        </w:rPr>
      </w:pPr>
      <w:r>
        <w:rPr>
          <w:szCs w:val="24"/>
        </w:rPr>
        <w:tab/>
      </w:r>
      <w:r>
        <w:rPr>
          <w:szCs w:val="24"/>
        </w:rPr>
        <w:tab/>
      </w:r>
      <w:r>
        <w:rPr>
          <w:szCs w:val="24"/>
          <w:lang w:val="es-ES_tradnl"/>
        </w:rPr>
        <w:t>Remuneración</w:t>
      </w:r>
    </w:p>
    <w:p w:rsidR="00F92819" w:rsidRDefault="00F92819">
      <w:pPr>
        <w:pStyle w:val="H23G"/>
        <w:rPr>
          <w:szCs w:val="24"/>
        </w:rPr>
      </w:pPr>
      <w:r>
        <w:rPr>
          <w:szCs w:val="24"/>
        </w:rPr>
        <w:tab/>
      </w:r>
      <w:r>
        <w:rPr>
          <w:szCs w:val="24"/>
        </w:rPr>
        <w:tab/>
      </w:r>
      <w:r>
        <w:rPr>
          <w:szCs w:val="24"/>
          <w:lang w:val="es-ES_tradnl"/>
        </w:rPr>
        <w:t>Métodos para establecer los salarios</w:t>
      </w:r>
    </w:p>
    <w:p w:rsidR="00F92819" w:rsidRDefault="00F92819">
      <w:pPr>
        <w:pStyle w:val="SingleTxtG"/>
        <w:rPr>
          <w:szCs w:val="24"/>
        </w:rPr>
      </w:pPr>
      <w:r>
        <w:rPr>
          <w:szCs w:val="24"/>
        </w:rPr>
        <w:t>250.</w:t>
      </w:r>
      <w:r>
        <w:rPr>
          <w:szCs w:val="24"/>
        </w:rPr>
        <w:tab/>
      </w:r>
      <w:r>
        <w:rPr>
          <w:szCs w:val="24"/>
          <w:lang w:val="es-ES_tradnl"/>
        </w:rPr>
        <w:t>Esta cuestión se ha examinado en los anteriores informes de Israel</w:t>
      </w:r>
      <w:r>
        <w:rPr>
          <w:szCs w:val="24"/>
        </w:rPr>
        <w:t xml:space="preserve"> </w:t>
      </w:r>
      <w:r>
        <w:rPr>
          <w:szCs w:val="24"/>
          <w:lang w:val="es-ES_tradnl"/>
        </w:rPr>
        <w:t>y no ha habido cambios al respecto desde la presentación del segundo informe periódico.</w:t>
      </w:r>
    </w:p>
    <w:p w:rsidR="00F92819" w:rsidRDefault="00F92819">
      <w:pPr>
        <w:pStyle w:val="H23G"/>
        <w:rPr>
          <w:szCs w:val="24"/>
        </w:rPr>
      </w:pPr>
      <w:r>
        <w:rPr>
          <w:szCs w:val="24"/>
        </w:rPr>
        <w:tab/>
      </w:r>
      <w:r>
        <w:rPr>
          <w:szCs w:val="24"/>
        </w:rPr>
        <w:tab/>
      </w:r>
      <w:r>
        <w:rPr>
          <w:szCs w:val="24"/>
          <w:lang w:val="es-ES_tradnl"/>
        </w:rPr>
        <w:t>Salario mínimo</w:t>
      </w:r>
    </w:p>
    <w:p w:rsidR="00F92819" w:rsidRDefault="00F92819">
      <w:pPr>
        <w:pStyle w:val="SingleTxtG"/>
        <w:rPr>
          <w:szCs w:val="24"/>
        </w:rPr>
      </w:pPr>
      <w:r>
        <w:rPr>
          <w:szCs w:val="24"/>
        </w:rPr>
        <w:t>251.</w:t>
      </w:r>
      <w:r>
        <w:rPr>
          <w:szCs w:val="24"/>
        </w:rPr>
        <w:tab/>
      </w:r>
      <w:r>
        <w:rPr>
          <w:szCs w:val="24"/>
          <w:lang w:val="es-ES_tradnl"/>
        </w:rPr>
        <w:t xml:space="preserve">El número de horas de trabajo semanales con paga ordinaria es de 43 horas, de conformidad con la </w:t>
      </w:r>
      <w:r>
        <w:rPr>
          <w:i/>
          <w:szCs w:val="24"/>
          <w:lang w:val="es-ES_tradnl"/>
        </w:rPr>
        <w:t>Ley de salario mínimo</w:t>
      </w:r>
      <w:r>
        <w:rPr>
          <w:szCs w:val="24"/>
          <w:lang w:val="es-ES_tradnl"/>
        </w:rPr>
        <w:t xml:space="preserve"> de 5747/1987.</w:t>
      </w:r>
      <w:r>
        <w:rPr>
          <w:szCs w:val="24"/>
        </w:rPr>
        <w:t xml:space="preserve"> </w:t>
      </w:r>
      <w:r>
        <w:rPr>
          <w:szCs w:val="24"/>
          <w:lang w:val="es-ES_tradnl"/>
        </w:rPr>
        <w:t>El salario mínimo se revisa todos los años el 1º de abril y constituye el 47,5% del salario medio.</w:t>
      </w:r>
      <w:r>
        <w:rPr>
          <w:szCs w:val="24"/>
        </w:rPr>
        <w:t xml:space="preserve"> </w:t>
      </w:r>
      <w:r>
        <w:rPr>
          <w:szCs w:val="24"/>
          <w:lang w:val="es-ES_tradnl"/>
        </w:rPr>
        <w:t xml:space="preserve">El 19 de junio de 2006 el Knesset aprobó la </w:t>
      </w:r>
      <w:r>
        <w:rPr>
          <w:i/>
          <w:szCs w:val="24"/>
          <w:lang w:val="es-ES_tradnl"/>
        </w:rPr>
        <w:t>Ley de salario mínimo (Aumento del salario mínimo) (Orden temporal)</w:t>
      </w:r>
      <w:r>
        <w:rPr>
          <w:szCs w:val="24"/>
          <w:lang w:val="es-ES_tradnl"/>
        </w:rPr>
        <w:t xml:space="preserve"> de 5768/2006, con el objetivo de aumentar gradualmente el salario mínimo.</w:t>
      </w:r>
      <w:r>
        <w:rPr>
          <w:szCs w:val="24"/>
        </w:rPr>
        <w:t xml:space="preserve"> </w:t>
      </w:r>
      <w:r>
        <w:rPr>
          <w:szCs w:val="24"/>
          <w:lang w:val="es-ES_tradnl"/>
        </w:rPr>
        <w:t>La Orden temporal estableció un salario mínimo que constituye más del 47,5% del salario medio.</w:t>
      </w:r>
      <w:r>
        <w:rPr>
          <w:szCs w:val="24"/>
        </w:rPr>
        <w:t xml:space="preserve"> </w:t>
      </w:r>
      <w:r>
        <w:rPr>
          <w:szCs w:val="24"/>
          <w:lang w:val="es-ES_tradnl"/>
        </w:rPr>
        <w:t xml:space="preserve">De conformidad con la </w:t>
      </w:r>
      <w:r>
        <w:rPr>
          <w:i/>
          <w:szCs w:val="24"/>
          <w:lang w:val="es-ES_tradnl"/>
        </w:rPr>
        <w:t>Orden temporal</w:t>
      </w:r>
      <w:r>
        <w:rPr>
          <w:szCs w:val="24"/>
          <w:lang w:val="es-ES_tradnl"/>
        </w:rPr>
        <w:t>, en el período entre el 1º de junio de 2006 y el 31 de marzo de 2007, el salario mínimo mensual era de 3.585 nuevos sheqalim (943 dólares de los EE.UU.); entre el 1º de abril de 2007 y el 30 de junio de 2008, era de 3.710 nuevos sheqalim (976 dólares de los EE.UU.), y a 1º de julio de 2008, 3.850 nuevos sheqalim (1.013 dólares de los EE.UU.).</w:t>
      </w:r>
      <w:r>
        <w:rPr>
          <w:szCs w:val="24"/>
        </w:rPr>
        <w:t xml:space="preserve"> </w:t>
      </w:r>
      <w:r>
        <w:rPr>
          <w:szCs w:val="24"/>
          <w:lang w:val="es-ES_tradnl"/>
        </w:rPr>
        <w:t>La Orden temporal continuará en vigor hasta que la suma de 3.850 nuevos sheqalim (1.013 dólares de los EE.UU.) sea inferior al 47,5% del salario medio.</w:t>
      </w:r>
      <w:r>
        <w:rPr>
          <w:szCs w:val="24"/>
        </w:rPr>
        <w:t xml:space="preserve"> </w:t>
      </w:r>
      <w:r>
        <w:rPr>
          <w:szCs w:val="24"/>
          <w:lang w:val="es-ES_tradnl"/>
        </w:rPr>
        <w:t>Dicha cantidad se revisará en abril de 2009.</w:t>
      </w:r>
    </w:p>
    <w:p w:rsidR="00F92819" w:rsidRDefault="00F92819">
      <w:pPr>
        <w:pStyle w:val="H23G"/>
        <w:rPr>
          <w:szCs w:val="24"/>
        </w:rPr>
      </w:pPr>
      <w:r>
        <w:rPr>
          <w:szCs w:val="24"/>
        </w:rPr>
        <w:tab/>
      </w:r>
      <w:r>
        <w:rPr>
          <w:szCs w:val="24"/>
        </w:rPr>
        <w:tab/>
      </w:r>
      <w:r>
        <w:rPr>
          <w:szCs w:val="24"/>
          <w:lang w:val="es-ES_tradnl"/>
        </w:rPr>
        <w:t>Cumplimiento de la Ley de salario mínimo</w:t>
      </w:r>
    </w:p>
    <w:p w:rsidR="00F92819" w:rsidRDefault="00F92819">
      <w:pPr>
        <w:pStyle w:val="SingleTxtG"/>
        <w:rPr>
          <w:szCs w:val="24"/>
        </w:rPr>
      </w:pPr>
      <w:r>
        <w:rPr>
          <w:szCs w:val="24"/>
        </w:rPr>
        <w:t>252.</w:t>
      </w:r>
      <w:r>
        <w:rPr>
          <w:szCs w:val="24"/>
        </w:rPr>
        <w:tab/>
      </w:r>
      <w:r>
        <w:rPr>
          <w:szCs w:val="24"/>
          <w:lang w:val="es-ES_tradnl"/>
        </w:rPr>
        <w:t xml:space="preserve">La </w:t>
      </w:r>
      <w:r>
        <w:rPr>
          <w:i/>
          <w:szCs w:val="24"/>
          <w:lang w:val="es-ES_tradnl"/>
        </w:rPr>
        <w:t>Ley de salario mínimo</w:t>
      </w:r>
      <w:r>
        <w:rPr>
          <w:szCs w:val="24"/>
          <w:lang w:val="es-ES_tradnl"/>
        </w:rPr>
        <w:t xml:space="preserve"> se ha reformado varias veces desde el informe periódico anterior de Israel.</w:t>
      </w:r>
      <w:r>
        <w:rPr>
          <w:szCs w:val="24"/>
        </w:rPr>
        <w:t xml:space="preserve"> </w:t>
      </w:r>
      <w:r>
        <w:rPr>
          <w:szCs w:val="24"/>
          <w:lang w:val="es-ES_tradnl"/>
        </w:rPr>
        <w:t>En 2002 se modificó para que pudiera imputarse responsabilidad penal y civil de conformidad con la Ley, en situaciones relativas a una empresa de trabajo temporal, un empleador y un empleado.</w:t>
      </w:r>
      <w:r>
        <w:rPr>
          <w:szCs w:val="24"/>
        </w:rPr>
        <w:t xml:space="preserve"> </w:t>
      </w:r>
      <w:r>
        <w:rPr>
          <w:szCs w:val="24"/>
          <w:lang w:val="es-ES_tradnl"/>
        </w:rPr>
        <w:t xml:space="preserve">La Ley establece circunstancias específicas en que se puede imponer sanciones por responsabilidad penal y/o civil directamente al empleador real y/o a la empresa de trabajo temporal. Además, la enmienda obliga al empleador a publicar un aviso sobre los derechos de los trabajadores de conformidad con la </w:t>
      </w:r>
      <w:r>
        <w:rPr>
          <w:i/>
          <w:szCs w:val="24"/>
          <w:lang w:val="es-ES_tradnl"/>
        </w:rPr>
        <w:t>Ley de salario mínimo</w:t>
      </w:r>
      <w:r>
        <w:rPr>
          <w:szCs w:val="24"/>
          <w:lang w:val="es-ES_tradnl"/>
        </w:rPr>
        <w:t>.</w:t>
      </w:r>
    </w:p>
    <w:p w:rsidR="00F92819" w:rsidRDefault="00F92819">
      <w:pPr>
        <w:pStyle w:val="SingleTxtG"/>
        <w:rPr>
          <w:szCs w:val="24"/>
        </w:rPr>
      </w:pPr>
      <w:r>
        <w:rPr>
          <w:szCs w:val="24"/>
        </w:rPr>
        <w:t>253.</w:t>
      </w:r>
      <w:r>
        <w:rPr>
          <w:szCs w:val="24"/>
        </w:rPr>
        <w:tab/>
      </w:r>
      <w:r>
        <w:rPr>
          <w:szCs w:val="24"/>
          <w:lang w:val="es-ES_tradnl"/>
        </w:rPr>
        <w:t>En una enmienda de 2006 se modificó la definición de “salario mínimo mensual” para aumentar el nivel del salario mínimo, como se detalla anteriormente.</w:t>
      </w:r>
    </w:p>
    <w:p w:rsidR="00F92819" w:rsidRDefault="00F92819">
      <w:pPr>
        <w:pStyle w:val="SingleTxtG"/>
        <w:rPr>
          <w:szCs w:val="24"/>
        </w:rPr>
      </w:pPr>
      <w:r>
        <w:rPr>
          <w:szCs w:val="24"/>
        </w:rPr>
        <w:t>254.</w:t>
      </w:r>
      <w:r>
        <w:rPr>
          <w:szCs w:val="24"/>
        </w:rPr>
        <w:tab/>
      </w:r>
      <w:r>
        <w:rPr>
          <w:szCs w:val="24"/>
          <w:lang w:val="es-ES_tradnl"/>
        </w:rPr>
        <w:t xml:space="preserve">La Dirección de Aplicación de las Leyes y Reglamentación se estableció en julio de 2004 dentro del Ministerio de Industria, Comercio y Trabajo para aplicar de forma eficiente las disposiciones de </w:t>
      </w:r>
      <w:smartTag w:uri="urn:schemas-microsoft-com:office:smarttags" w:element="PersonName">
        <w:smartTagPr>
          <w:attr w:name="ProductID" w:val="la Ley. Antes"/>
        </w:smartTagPr>
        <w:r>
          <w:rPr>
            <w:szCs w:val="24"/>
            <w:lang w:val="es-ES_tradnl"/>
          </w:rPr>
          <w:t>la Ley.</w:t>
        </w:r>
        <w:r>
          <w:rPr>
            <w:szCs w:val="24"/>
          </w:rPr>
          <w:t xml:space="preserve"> </w:t>
        </w:r>
        <w:r>
          <w:rPr>
            <w:szCs w:val="24"/>
            <w:lang w:val="es-ES_tradnl"/>
          </w:rPr>
          <w:t>Antes</w:t>
        </w:r>
      </w:smartTag>
      <w:r>
        <w:rPr>
          <w:szCs w:val="24"/>
          <w:lang w:val="es-ES_tradnl"/>
        </w:rPr>
        <w:t xml:space="preserve"> de su creación, cuatro departamentos distintos del Ministerio de Industria, Comercio y Trabajo eran responsables del cumplimiento de varias leyes sociolaborales.</w:t>
      </w:r>
      <w:r>
        <w:rPr>
          <w:szCs w:val="24"/>
        </w:rPr>
        <w:t xml:space="preserve"> </w:t>
      </w:r>
      <w:smartTag w:uri="urn:schemas-microsoft-com:office:smarttags" w:element="PersonName">
        <w:smartTagPr>
          <w:attr w:name="ProductID" w:val="La nueva Direcci￳n"/>
        </w:smartTagPr>
        <w:r>
          <w:rPr>
            <w:szCs w:val="24"/>
            <w:lang w:val="es-ES_tradnl"/>
          </w:rPr>
          <w:t>La nueva Dirección</w:t>
        </w:r>
      </w:smartTag>
      <w:r>
        <w:rPr>
          <w:szCs w:val="24"/>
          <w:lang w:val="es-ES_tradnl"/>
        </w:rPr>
        <w:t xml:space="preserve"> centralizó las autoridades de cumplimiento y concesión de licencias de este ámbito, excepto las leyes sobre trabajadores extranjeros, que se tramitan en el Departamento de Trabajadores Extranjeros.</w:t>
      </w:r>
      <w:r>
        <w:rPr>
          <w:szCs w:val="24"/>
        </w:rPr>
        <w:t xml:space="preserve"> </w:t>
      </w:r>
      <w:r>
        <w:rPr>
          <w:szCs w:val="24"/>
          <w:lang w:val="es-ES_tradnl"/>
        </w:rPr>
        <w:t>Los inspectores de cumplimiento han recibido formación para aplicar todas las leyes laborales.</w:t>
      </w:r>
    </w:p>
    <w:p w:rsidR="00F92819" w:rsidRDefault="00F92819">
      <w:pPr>
        <w:pStyle w:val="SingleTxtG"/>
        <w:rPr>
          <w:szCs w:val="24"/>
        </w:rPr>
      </w:pPr>
      <w:r>
        <w:rPr>
          <w:szCs w:val="24"/>
        </w:rPr>
        <w:t>255.</w:t>
      </w:r>
      <w:r>
        <w:rPr>
          <w:szCs w:val="24"/>
        </w:rPr>
        <w:tab/>
      </w:r>
      <w:r>
        <w:rPr>
          <w:szCs w:val="24"/>
          <w:lang w:val="es-ES_tradnl"/>
        </w:rPr>
        <w:t>Las medidas para hacer cumplir la ley se realizan a través de las actividades siguientes:</w:t>
      </w:r>
    </w:p>
    <w:p w:rsidR="00F92819" w:rsidRDefault="00F92819">
      <w:pPr>
        <w:pStyle w:val="SingleTxtG"/>
        <w:ind w:left="1701"/>
        <w:rPr>
          <w:szCs w:val="24"/>
        </w:rPr>
      </w:pPr>
      <w:r>
        <w:rPr>
          <w:szCs w:val="24"/>
        </w:rPr>
        <w:t>1)</w:t>
      </w:r>
      <w:r>
        <w:rPr>
          <w:szCs w:val="24"/>
        </w:rPr>
        <w:tab/>
      </w:r>
      <w:r>
        <w:rPr>
          <w:szCs w:val="24"/>
          <w:lang w:val="es-ES_tradnl"/>
        </w:rPr>
        <w:t>Investigación de las denuncias presentadas ante la Dirección;</w:t>
      </w:r>
    </w:p>
    <w:p w:rsidR="00F92819" w:rsidRDefault="00F92819">
      <w:pPr>
        <w:pStyle w:val="SingleTxtG"/>
        <w:ind w:left="1701"/>
        <w:rPr>
          <w:szCs w:val="24"/>
        </w:rPr>
      </w:pPr>
      <w:r>
        <w:rPr>
          <w:szCs w:val="24"/>
        </w:rPr>
        <w:t>2)</w:t>
      </w:r>
      <w:r>
        <w:rPr>
          <w:szCs w:val="24"/>
        </w:rPr>
        <w:tab/>
      </w:r>
      <w:r>
        <w:rPr>
          <w:szCs w:val="24"/>
          <w:lang w:val="es-ES_tradnl"/>
        </w:rPr>
        <w:t>Supervisión por iniciativa propia, mediante la realización de inspecciones in situ en lugares de trabajo de todo el país;</w:t>
      </w:r>
    </w:p>
    <w:p w:rsidR="00F92819" w:rsidRDefault="00F92819">
      <w:pPr>
        <w:pStyle w:val="SingleTxtG"/>
        <w:ind w:left="1701"/>
        <w:rPr>
          <w:szCs w:val="24"/>
        </w:rPr>
      </w:pPr>
      <w:r>
        <w:rPr>
          <w:szCs w:val="24"/>
        </w:rPr>
        <w:t>3)</w:t>
      </w:r>
      <w:r>
        <w:rPr>
          <w:szCs w:val="24"/>
        </w:rPr>
        <w:tab/>
      </w:r>
      <w:r>
        <w:rPr>
          <w:szCs w:val="24"/>
          <w:lang w:val="es-ES_tradnl"/>
        </w:rPr>
        <w:t>Aumento de la conciencia entre las poblaciones que necesitan la protección de la Dirección, así como entre los empleadores.</w:t>
      </w:r>
    </w:p>
    <w:p w:rsidR="00F92819" w:rsidRDefault="00F92819">
      <w:pPr>
        <w:pStyle w:val="SingleTxtG"/>
        <w:rPr>
          <w:szCs w:val="24"/>
        </w:rPr>
      </w:pPr>
      <w:r>
        <w:rPr>
          <w:szCs w:val="24"/>
        </w:rPr>
        <w:t>256.</w:t>
      </w:r>
      <w:r>
        <w:rPr>
          <w:szCs w:val="24"/>
        </w:rPr>
        <w:tab/>
      </w:r>
      <w:r>
        <w:rPr>
          <w:szCs w:val="24"/>
          <w:lang w:val="es-ES_tradnl"/>
        </w:rPr>
        <w:t>Los empleadores que infringen la Ley pueden ser multados o sentenciados con prisión.</w:t>
      </w:r>
      <w:r>
        <w:rPr>
          <w:szCs w:val="24"/>
        </w:rPr>
        <w:t xml:space="preserve"> </w:t>
      </w:r>
      <w:r>
        <w:rPr>
          <w:szCs w:val="24"/>
          <w:lang w:val="es-ES_tradnl"/>
        </w:rPr>
        <w:t xml:space="preserve">Además, los empleados pueden demandar al empleador y exigir la compensación de la diferencia entre el salario real pagado y el salario establecido por ley. </w:t>
      </w:r>
    </w:p>
    <w:p w:rsidR="00F92819" w:rsidRDefault="00F92819">
      <w:pPr>
        <w:pStyle w:val="SingleTxtG"/>
        <w:rPr>
          <w:szCs w:val="24"/>
        </w:rPr>
      </w:pPr>
      <w:r>
        <w:rPr>
          <w:szCs w:val="24"/>
        </w:rPr>
        <w:t>257.</w:t>
      </w:r>
      <w:r>
        <w:rPr>
          <w:szCs w:val="24"/>
        </w:rPr>
        <w:tab/>
      </w:r>
      <w:r>
        <w:rPr>
          <w:szCs w:val="24"/>
          <w:lang w:val="es-ES_tradnl"/>
        </w:rPr>
        <w:t>La ley cubre a todos los trabajadores:</w:t>
      </w:r>
      <w:r>
        <w:rPr>
          <w:szCs w:val="24"/>
        </w:rPr>
        <w:t xml:space="preserve"> </w:t>
      </w:r>
      <w:r>
        <w:rPr>
          <w:szCs w:val="24"/>
          <w:lang w:val="es-ES_tradnl"/>
        </w:rPr>
        <w:t>adultos, trabajadores adolescentes, trabajadores palestinos, trabajadores extranjeros y trabajadores contratados por empresas de trabajo temporal.</w:t>
      </w:r>
      <w:r>
        <w:rPr>
          <w:szCs w:val="24"/>
        </w:rPr>
        <w:t xml:space="preserve"> </w:t>
      </w:r>
      <w:r>
        <w:rPr>
          <w:szCs w:val="24"/>
          <w:lang w:val="es-ES_tradnl"/>
        </w:rPr>
        <w:t xml:space="preserve">A continuación se ofrecen datos sobre el cumplimiento de la </w:t>
      </w:r>
      <w:r>
        <w:rPr>
          <w:i/>
          <w:szCs w:val="24"/>
          <w:lang w:val="es-ES_tradnl"/>
        </w:rPr>
        <w:t>Ley de salario mínimo</w:t>
      </w:r>
      <w:r>
        <w:rPr>
          <w:szCs w:val="24"/>
          <w:lang w:val="es-ES_tradnl"/>
        </w:rPr>
        <w:t>.</w:t>
      </w:r>
    </w:p>
    <w:p w:rsidR="00F92819" w:rsidRDefault="00F92819">
      <w:pPr>
        <w:pStyle w:val="Heading1"/>
        <w:spacing w:before="240"/>
        <w:rPr>
          <w:szCs w:val="24"/>
        </w:rPr>
      </w:pPr>
      <w:r>
        <w:rPr>
          <w:szCs w:val="24"/>
          <w:lang w:val="es-ES_tradnl"/>
        </w:rPr>
        <w:t>Cuadro 9</w:t>
      </w:r>
    </w:p>
    <w:p w:rsidR="00F92819" w:rsidRDefault="00F92819">
      <w:pPr>
        <w:pStyle w:val="SingleTxtG"/>
        <w:rPr>
          <w:b/>
          <w:szCs w:val="24"/>
        </w:rPr>
      </w:pPr>
      <w:r>
        <w:rPr>
          <w:b/>
          <w:szCs w:val="24"/>
          <w:lang w:val="es-ES_tradnl"/>
        </w:rPr>
        <w:t>Informe sobre el cumplimiento de</w:t>
      </w:r>
      <w:r w:rsidR="00BF7677">
        <w:rPr>
          <w:b/>
          <w:szCs w:val="24"/>
          <w:lang w:val="es-ES_tradnl"/>
        </w:rPr>
        <w:t xml:space="preserve"> la Ley de salario mínimo (2005-</w:t>
      </w:r>
      <w:r>
        <w:rPr>
          <w:b/>
          <w:szCs w:val="24"/>
          <w:lang w:val="es-ES_tradnl"/>
        </w:rPr>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841"/>
        <w:gridCol w:w="1843"/>
        <w:gridCol w:w="1843"/>
        <w:gridCol w:w="1843"/>
      </w:tblGrid>
      <w:tr w:rsidR="00F92819">
        <w:tc>
          <w:tcPr>
            <w:tcW w:w="1841" w:type="dxa"/>
            <w:tcBorders>
              <w:top w:val="single" w:sz="4" w:space="0" w:color="auto"/>
              <w:bottom w:val="single" w:sz="12" w:space="0" w:color="auto"/>
            </w:tcBorders>
            <w:vAlign w:val="bottom"/>
          </w:tcPr>
          <w:p w:rsidR="00F92819" w:rsidRDefault="00F92819">
            <w:pPr>
              <w:spacing w:before="80" w:after="80" w:line="200" w:lineRule="exact"/>
              <w:rPr>
                <w:szCs w:val="24"/>
              </w:rPr>
            </w:pPr>
            <w:r>
              <w:rPr>
                <w:i/>
                <w:sz w:val="16"/>
                <w:szCs w:val="24"/>
                <w:lang w:val="es-ES_tradnl"/>
              </w:rPr>
              <w:t>Año</w:t>
            </w:r>
          </w:p>
        </w:tc>
        <w:tc>
          <w:tcPr>
            <w:tcW w:w="1843"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Investigaciones iniciadas</w:t>
            </w:r>
          </w:p>
        </w:tc>
        <w:tc>
          <w:tcPr>
            <w:tcW w:w="1843"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Con conclusiones</w:t>
            </w:r>
          </w:p>
        </w:tc>
        <w:tc>
          <w:tcPr>
            <w:tcW w:w="1843"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Sin conclusiones</w:t>
            </w:r>
          </w:p>
        </w:tc>
      </w:tr>
      <w:tr w:rsidR="00F92819">
        <w:tc>
          <w:tcPr>
            <w:tcW w:w="1841" w:type="dxa"/>
            <w:tcBorders>
              <w:top w:val="single" w:sz="12" w:space="0" w:color="auto"/>
            </w:tcBorders>
            <w:vAlign w:val="bottom"/>
          </w:tcPr>
          <w:p w:rsidR="00F92819" w:rsidRDefault="00F92819">
            <w:pPr>
              <w:spacing w:before="40" w:after="40" w:line="220" w:lineRule="exact"/>
              <w:rPr>
                <w:sz w:val="18"/>
                <w:szCs w:val="24"/>
              </w:rPr>
            </w:pPr>
            <w:r>
              <w:rPr>
                <w:sz w:val="18"/>
                <w:szCs w:val="24"/>
              </w:rPr>
              <w:t>2005</w:t>
            </w:r>
          </w:p>
        </w:tc>
        <w:tc>
          <w:tcPr>
            <w:tcW w:w="1843"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290</w:t>
            </w:r>
          </w:p>
        </w:tc>
        <w:tc>
          <w:tcPr>
            <w:tcW w:w="1843"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161</w:t>
            </w:r>
          </w:p>
        </w:tc>
        <w:tc>
          <w:tcPr>
            <w:tcW w:w="1843"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129</w:t>
            </w:r>
          </w:p>
        </w:tc>
      </w:tr>
      <w:tr w:rsidR="00F92819">
        <w:tc>
          <w:tcPr>
            <w:tcW w:w="1841" w:type="dxa"/>
            <w:vAlign w:val="bottom"/>
          </w:tcPr>
          <w:p w:rsidR="00F92819" w:rsidRDefault="00F92819">
            <w:pPr>
              <w:spacing w:before="40" w:after="40" w:line="220" w:lineRule="exact"/>
              <w:rPr>
                <w:sz w:val="18"/>
                <w:szCs w:val="24"/>
              </w:rPr>
            </w:pPr>
            <w:r>
              <w:rPr>
                <w:sz w:val="18"/>
                <w:szCs w:val="24"/>
              </w:rPr>
              <w:t>2006</w:t>
            </w:r>
          </w:p>
        </w:tc>
        <w:tc>
          <w:tcPr>
            <w:tcW w:w="1843" w:type="dxa"/>
            <w:vAlign w:val="bottom"/>
          </w:tcPr>
          <w:p w:rsidR="00F92819" w:rsidRDefault="00F92819">
            <w:pPr>
              <w:spacing w:before="40" w:after="40" w:line="220" w:lineRule="exact"/>
              <w:jc w:val="right"/>
              <w:rPr>
                <w:sz w:val="18"/>
                <w:szCs w:val="24"/>
              </w:rPr>
            </w:pPr>
            <w:r>
              <w:rPr>
                <w:sz w:val="18"/>
                <w:szCs w:val="24"/>
              </w:rPr>
              <w:t>401</w:t>
            </w:r>
          </w:p>
        </w:tc>
        <w:tc>
          <w:tcPr>
            <w:tcW w:w="1843" w:type="dxa"/>
            <w:vAlign w:val="bottom"/>
          </w:tcPr>
          <w:p w:rsidR="00F92819" w:rsidRDefault="00F92819">
            <w:pPr>
              <w:spacing w:before="40" w:after="40" w:line="220" w:lineRule="exact"/>
              <w:jc w:val="right"/>
              <w:rPr>
                <w:sz w:val="18"/>
                <w:szCs w:val="24"/>
              </w:rPr>
            </w:pPr>
            <w:r>
              <w:rPr>
                <w:sz w:val="18"/>
                <w:szCs w:val="24"/>
              </w:rPr>
              <w:t>237</w:t>
            </w:r>
          </w:p>
        </w:tc>
        <w:tc>
          <w:tcPr>
            <w:tcW w:w="1843" w:type="dxa"/>
            <w:vAlign w:val="bottom"/>
          </w:tcPr>
          <w:p w:rsidR="00F92819" w:rsidRDefault="00F92819">
            <w:pPr>
              <w:spacing w:before="40" w:after="40" w:line="220" w:lineRule="exact"/>
              <w:jc w:val="right"/>
              <w:rPr>
                <w:sz w:val="18"/>
                <w:szCs w:val="24"/>
              </w:rPr>
            </w:pPr>
            <w:r>
              <w:rPr>
                <w:sz w:val="18"/>
                <w:szCs w:val="24"/>
              </w:rPr>
              <w:t>164</w:t>
            </w:r>
          </w:p>
        </w:tc>
      </w:tr>
      <w:tr w:rsidR="00F92819">
        <w:tc>
          <w:tcPr>
            <w:tcW w:w="1841" w:type="dxa"/>
            <w:tcBorders>
              <w:bottom w:val="single" w:sz="12" w:space="0" w:color="auto"/>
            </w:tcBorders>
            <w:vAlign w:val="bottom"/>
          </w:tcPr>
          <w:p w:rsidR="00F92819" w:rsidRDefault="00F92819">
            <w:pPr>
              <w:spacing w:before="40" w:after="40" w:line="220" w:lineRule="exact"/>
              <w:rPr>
                <w:sz w:val="18"/>
                <w:szCs w:val="24"/>
              </w:rPr>
            </w:pPr>
            <w:r>
              <w:rPr>
                <w:sz w:val="18"/>
                <w:szCs w:val="24"/>
              </w:rPr>
              <w:t>2007</w:t>
            </w:r>
          </w:p>
        </w:tc>
        <w:tc>
          <w:tcPr>
            <w:tcW w:w="1843"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390</w:t>
            </w:r>
          </w:p>
        </w:tc>
        <w:tc>
          <w:tcPr>
            <w:tcW w:w="1843"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247</w:t>
            </w:r>
          </w:p>
        </w:tc>
        <w:tc>
          <w:tcPr>
            <w:tcW w:w="1843"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143</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Ministerio de Industria, Comercio y Trabajo, 2008.</w:t>
      </w:r>
    </w:p>
    <w:p w:rsidR="00F92819" w:rsidRDefault="00F92819">
      <w:pPr>
        <w:pStyle w:val="SingleTxtG"/>
        <w:spacing w:before="240"/>
        <w:rPr>
          <w:szCs w:val="24"/>
        </w:rPr>
      </w:pPr>
      <w:r>
        <w:rPr>
          <w:szCs w:val="24"/>
        </w:rPr>
        <w:t>258.</w:t>
      </w:r>
      <w:r>
        <w:rPr>
          <w:szCs w:val="24"/>
        </w:rPr>
        <w:tab/>
      </w:r>
      <w:r>
        <w:rPr>
          <w:szCs w:val="24"/>
          <w:lang w:val="es-ES_tradnl"/>
        </w:rPr>
        <w:t>Según la información del Ministerio de Industria, Comercio y Trabajo, se iniciaron 767 investigaciones en 2004 y se impusieron 291 multas administrativas.</w:t>
      </w:r>
      <w:r>
        <w:rPr>
          <w:szCs w:val="24"/>
        </w:rPr>
        <w:t xml:space="preserve"> </w:t>
      </w:r>
      <w:r>
        <w:rPr>
          <w:szCs w:val="24"/>
          <w:lang w:val="es-ES_tradnl"/>
        </w:rPr>
        <w:t>En 2005, se iniciaron 243 investigaciones y se impusieron 213 multas administrativas; en 2006, 395 investigaciones 99 multas administrativas y en 2007, 357 y 60, respectivamente.</w:t>
      </w:r>
    </w:p>
    <w:p w:rsidR="00F92819" w:rsidRDefault="00F92819">
      <w:pPr>
        <w:pStyle w:val="SingleTxtG"/>
        <w:rPr>
          <w:szCs w:val="24"/>
        </w:rPr>
      </w:pPr>
      <w:r>
        <w:rPr>
          <w:szCs w:val="24"/>
        </w:rPr>
        <w:t>259.</w:t>
      </w:r>
      <w:r>
        <w:rPr>
          <w:szCs w:val="24"/>
        </w:rPr>
        <w:tab/>
      </w:r>
      <w:r>
        <w:rPr>
          <w:szCs w:val="24"/>
          <w:lang w:val="es-ES_tradnl"/>
        </w:rPr>
        <w:t xml:space="preserve">El 4 de febrero de 2007 el Gobierno consolidó la resolución </w:t>
      </w:r>
      <w:r w:rsidR="00713E0E">
        <w:rPr>
          <w:szCs w:val="24"/>
          <w:lang w:val="es-ES_tradnl"/>
        </w:rPr>
        <w:t>Nº</w:t>
      </w:r>
      <w:r>
        <w:rPr>
          <w:szCs w:val="24"/>
          <w:lang w:val="es-ES_tradnl"/>
        </w:rPr>
        <w:t xml:space="preserve"> 1134 encaminada a reducir las diferencias socioeconómicas en la sociedad israelí y aumentar la participación en la población activa.</w:t>
      </w:r>
      <w:r>
        <w:rPr>
          <w:szCs w:val="24"/>
        </w:rPr>
        <w:t xml:space="preserve"> </w:t>
      </w:r>
      <w:r>
        <w:rPr>
          <w:szCs w:val="24"/>
          <w:lang w:val="es-ES_tradnl"/>
        </w:rPr>
        <w:t xml:space="preserve">Entre las medidas determinadas por la resolución está la mejora de la capacidad de la Dirección de Aplicación de las Leyes y Reglamentación para exigir el cumplimiento, a través de: </w:t>
      </w:r>
    </w:p>
    <w:p w:rsidR="00F92819" w:rsidRDefault="00F92819">
      <w:pPr>
        <w:pStyle w:val="SingleTxtG"/>
        <w:ind w:left="1701"/>
        <w:rPr>
          <w:szCs w:val="24"/>
        </w:rPr>
      </w:pPr>
      <w:r>
        <w:rPr>
          <w:szCs w:val="24"/>
        </w:rPr>
        <w:t>259.1</w:t>
      </w:r>
      <w:r>
        <w:rPr>
          <w:szCs w:val="24"/>
        </w:rPr>
        <w:tab/>
      </w:r>
      <w:r>
        <w:rPr>
          <w:szCs w:val="24"/>
          <w:lang w:val="es-ES_tradnl"/>
        </w:rPr>
        <w:t>Ampliación considerable del personal de la Dirección.</w:t>
      </w:r>
    </w:p>
    <w:p w:rsidR="00F92819" w:rsidRDefault="00F92819">
      <w:pPr>
        <w:pStyle w:val="SingleTxtG"/>
        <w:ind w:left="1701"/>
        <w:rPr>
          <w:szCs w:val="24"/>
        </w:rPr>
      </w:pPr>
      <w:r>
        <w:rPr>
          <w:szCs w:val="24"/>
        </w:rPr>
        <w:t>259.2</w:t>
      </w:r>
      <w:r>
        <w:rPr>
          <w:szCs w:val="24"/>
        </w:rPr>
        <w:tab/>
      </w:r>
      <w:r>
        <w:rPr>
          <w:szCs w:val="24"/>
          <w:lang w:val="es-ES_tradnl"/>
        </w:rPr>
        <w:t>Mejora de la capacidad tecnológica (computadorizada) y aumento del presupuesto asignado para inspecciones a través de externalización.</w:t>
      </w:r>
    </w:p>
    <w:p w:rsidR="00F92819" w:rsidRDefault="00F92819">
      <w:pPr>
        <w:pStyle w:val="SingleTxtG"/>
        <w:ind w:left="1701"/>
        <w:rPr>
          <w:szCs w:val="24"/>
        </w:rPr>
      </w:pPr>
      <w:r>
        <w:rPr>
          <w:szCs w:val="24"/>
        </w:rPr>
        <w:t>259.3</w:t>
      </w:r>
      <w:r>
        <w:rPr>
          <w:szCs w:val="24"/>
        </w:rPr>
        <w:tab/>
      </w:r>
      <w:r>
        <w:rPr>
          <w:szCs w:val="24"/>
          <w:lang w:val="es-ES_tradnl"/>
        </w:rPr>
        <w:t>Establecimiento de un mecanismo, en coordinación con las organizaciones del trabajo, para facilitar la tramitación rápida y eficiente de las denuncias presentadas contra los empleadores.</w:t>
      </w:r>
    </w:p>
    <w:p w:rsidR="00F92819" w:rsidRDefault="00F92819">
      <w:pPr>
        <w:pStyle w:val="SingleTxtG"/>
        <w:ind w:left="1701"/>
        <w:rPr>
          <w:szCs w:val="24"/>
        </w:rPr>
      </w:pPr>
      <w:r>
        <w:rPr>
          <w:szCs w:val="24"/>
        </w:rPr>
        <w:t>259.4</w:t>
      </w:r>
      <w:r>
        <w:rPr>
          <w:szCs w:val="24"/>
        </w:rPr>
        <w:tab/>
      </w:r>
      <w:r>
        <w:rPr>
          <w:szCs w:val="24"/>
          <w:lang w:val="es-ES_tradnl"/>
        </w:rPr>
        <w:t>Aumento de la sensibilización entre los empleados y el público en lo que concierne a las disposiciones de la Ley.</w:t>
      </w:r>
    </w:p>
    <w:p w:rsidR="00F92819" w:rsidRDefault="00F92819">
      <w:pPr>
        <w:pStyle w:val="SingleTxtG"/>
        <w:rPr>
          <w:szCs w:val="24"/>
        </w:rPr>
      </w:pPr>
      <w:r>
        <w:rPr>
          <w:szCs w:val="24"/>
        </w:rPr>
        <w:t>260.</w:t>
      </w:r>
      <w:r>
        <w:rPr>
          <w:szCs w:val="24"/>
        </w:rPr>
        <w:tab/>
      </w:r>
      <w:r>
        <w:rPr>
          <w:szCs w:val="24"/>
          <w:lang w:val="es-ES_tradnl"/>
        </w:rPr>
        <w:t>Recientemente el Tribunal del Distrito de Tel Aviv, constituido como Tribunal Administrativo, reafirmó la importancia de proteger los derechos de los trabajadores al anular una licitación organizada por la municipalidad de Bat-Yam ante la preocupación porque la empresa adjudicataria no pudiese cumplir sus obligaciones en materia de derechos de los trabajadores.</w:t>
      </w:r>
      <w:r>
        <w:rPr>
          <w:szCs w:val="24"/>
        </w:rPr>
        <w:t xml:space="preserve"> </w:t>
      </w:r>
      <w:r>
        <w:rPr>
          <w:szCs w:val="24"/>
          <w:lang w:val="es-ES_tradnl"/>
        </w:rPr>
        <w:t>El Tribunal sostuvo que “aceptar una oferta que no permite proteger los derechos mínimos de los trabajadores constituye un alejamiento de la esfera de lo razonable, puesto que es inadmisible una situación en que una autoridad pública contribuye a un procedimiento ilícito.”</w:t>
      </w:r>
      <w:r>
        <w:rPr>
          <w:szCs w:val="24"/>
        </w:rPr>
        <w:t xml:space="preserve"> </w:t>
      </w:r>
      <w:r>
        <w:rPr>
          <w:szCs w:val="24"/>
          <w:lang w:val="es-ES_tradnl"/>
        </w:rPr>
        <w:t>El Tribunal sostuvo además que:</w:t>
      </w:r>
      <w:r>
        <w:rPr>
          <w:szCs w:val="24"/>
        </w:rPr>
        <w:t xml:space="preserve"> </w:t>
      </w:r>
      <w:r>
        <w:rPr>
          <w:szCs w:val="24"/>
          <w:lang w:val="es-ES_tradnl"/>
        </w:rPr>
        <w:t>“El asunto de que se trata es una licitación para suministrar servicios de limpieza, donde el componente principal es el salario de los empleados.</w:t>
      </w:r>
      <w:r>
        <w:rPr>
          <w:szCs w:val="24"/>
        </w:rPr>
        <w:t xml:space="preserve"> </w:t>
      </w:r>
      <w:r>
        <w:rPr>
          <w:szCs w:val="24"/>
          <w:lang w:val="es-ES_tradnl"/>
        </w:rPr>
        <w:t xml:space="preserve">La experiencia demuestra que estos trabajadores, en cualquier caso, reciben un salario mínimo y no hay margen para menoscabar aún más sus derechos; y en una oferta en detrimento del costo es más probable que los trabajadores asuman la carga del ‘costo’ del déficit y no el empleador, puesto que se parte de la base de que la intención de proveer de un </w:t>
      </w:r>
      <w:smartTag w:uri="urn:schemas-microsoft-com:office:smarttags" w:element="PersonName">
        <w:smartTagPr>
          <w:attr w:name="ProductID" w:val="servicio es"/>
        </w:smartTagPr>
        <w:r>
          <w:rPr>
            <w:szCs w:val="24"/>
            <w:lang w:val="es-ES_tradnl"/>
          </w:rPr>
          <w:t>servicio es</w:t>
        </w:r>
      </w:smartTag>
      <w:r>
        <w:rPr>
          <w:szCs w:val="24"/>
          <w:lang w:val="es-ES_tradnl"/>
        </w:rPr>
        <w:t xml:space="preserve"> obtener beneficios y tiene la facultad de hacer recaer el perjuicio resultante de la licitación sobre el trabajador.”</w:t>
      </w:r>
      <w:r>
        <w:rPr>
          <w:szCs w:val="24"/>
        </w:rPr>
        <w:t xml:space="preserve"> </w:t>
      </w:r>
      <w:r>
        <w:rPr>
          <w:szCs w:val="24"/>
          <w:lang w:val="es-ES_tradnl"/>
        </w:rPr>
        <w:t xml:space="preserve">(Ad.P 1464/07 </w:t>
      </w:r>
      <w:r>
        <w:rPr>
          <w:i/>
          <w:szCs w:val="24"/>
          <w:lang w:val="es-ES_tradnl"/>
        </w:rPr>
        <w:t>Perah Hashaked Inc. c. la Municipalidad de Bat-Yam et. al.</w:t>
      </w:r>
      <w:r>
        <w:rPr>
          <w:szCs w:val="24"/>
          <w:lang w:val="es-ES_tradnl"/>
        </w:rPr>
        <w:t xml:space="preserve"> (14 de abril de 2008)).</w:t>
      </w:r>
    </w:p>
    <w:p w:rsidR="00F92819" w:rsidRDefault="00F92819">
      <w:pPr>
        <w:pStyle w:val="SingleTxtG"/>
        <w:rPr>
          <w:szCs w:val="24"/>
        </w:rPr>
      </w:pPr>
      <w:r>
        <w:rPr>
          <w:szCs w:val="24"/>
        </w:rPr>
        <w:t>261.</w:t>
      </w:r>
      <w:r>
        <w:rPr>
          <w:szCs w:val="24"/>
        </w:rPr>
        <w:tab/>
      </w:r>
      <w:r>
        <w:rPr>
          <w:szCs w:val="24"/>
          <w:lang w:val="es-ES_tradnl"/>
        </w:rPr>
        <w:t>En otra sentencia reciente el Tribunal Laboral del Distrito determinó que no pagar a los trabajadores el salario mínimo al que tienen derecho, puntualmente según lo estipulado por ley, constituía un delito cometido por el empleador.</w:t>
      </w:r>
      <w:r>
        <w:rPr>
          <w:szCs w:val="24"/>
        </w:rPr>
        <w:t xml:space="preserve"> </w:t>
      </w:r>
      <w:r>
        <w:rPr>
          <w:szCs w:val="24"/>
          <w:lang w:val="es-ES_tradnl"/>
        </w:rPr>
        <w:t xml:space="preserve">En este caso, el empleador no pagó el salario a sus empleados y en lugar de ello les dio pequeñas sumas de dinero de bolsillo. </w:t>
      </w:r>
      <w:r>
        <w:rPr>
          <w:szCs w:val="24"/>
        </w:rPr>
        <w:t xml:space="preserve"> </w:t>
      </w:r>
      <w:r>
        <w:rPr>
          <w:szCs w:val="24"/>
          <w:lang w:val="es-ES_tradnl"/>
        </w:rPr>
        <w:t xml:space="preserve">El empleador adujo que cumplió la exigencia de pagar el salario mínimo aunque con retraso, por lo que no procedía un delito de conformidad con la </w:t>
      </w:r>
      <w:r>
        <w:rPr>
          <w:i/>
          <w:szCs w:val="24"/>
          <w:lang w:val="es-ES_tradnl"/>
        </w:rPr>
        <w:t>Ley de salario mínimo</w:t>
      </w:r>
      <w:r>
        <w:rPr>
          <w:szCs w:val="24"/>
          <w:lang w:val="es-ES_tradnl"/>
        </w:rPr>
        <w:t>.</w:t>
      </w:r>
      <w:r>
        <w:rPr>
          <w:szCs w:val="24"/>
        </w:rPr>
        <w:t xml:space="preserve"> </w:t>
      </w:r>
      <w:r>
        <w:rPr>
          <w:szCs w:val="24"/>
          <w:lang w:val="es-ES_tradnl"/>
        </w:rPr>
        <w:t xml:space="preserve">El empleador también alegó que la </w:t>
      </w:r>
      <w:r>
        <w:rPr>
          <w:i/>
          <w:szCs w:val="24"/>
          <w:lang w:val="es-ES_tradnl"/>
        </w:rPr>
        <w:t>Ley de salario mínimo</w:t>
      </w:r>
      <w:r>
        <w:rPr>
          <w:szCs w:val="24"/>
          <w:lang w:val="es-ES_tradnl"/>
        </w:rPr>
        <w:t xml:space="preserve"> no determinaba el tiempo del pago.</w:t>
      </w:r>
      <w:r>
        <w:rPr>
          <w:szCs w:val="24"/>
        </w:rPr>
        <w:t xml:space="preserve"> </w:t>
      </w:r>
      <w:r>
        <w:rPr>
          <w:szCs w:val="24"/>
          <w:lang w:val="es-ES_tradnl"/>
        </w:rPr>
        <w:t>El Tribunal subrayó que la determinación del salario mínimo es una base fundamental para toda política encaminada a combatir la pobreza y satisfacer las necesidades de los trabajadores y sus familias.</w:t>
      </w:r>
      <w:r>
        <w:rPr>
          <w:szCs w:val="24"/>
        </w:rPr>
        <w:t xml:space="preserve"> </w:t>
      </w:r>
      <w:r>
        <w:rPr>
          <w:szCs w:val="24"/>
          <w:lang w:val="es-ES_tradnl"/>
        </w:rPr>
        <w:t>La finalidad básica de la determinación del salario mínimo es asegurar a los empleados contratados la protección social necesaria.</w:t>
      </w:r>
      <w:r>
        <w:rPr>
          <w:szCs w:val="24"/>
        </w:rPr>
        <w:t xml:space="preserve"> </w:t>
      </w:r>
      <w:r>
        <w:rPr>
          <w:szCs w:val="24"/>
          <w:lang w:val="es-ES_tradnl"/>
        </w:rPr>
        <w:t>Según el Tribunal, la finalidad de la Ley y la intención del legislador se detallan en las notas explicativas de la ley, según las cuales:</w:t>
      </w:r>
      <w:r>
        <w:rPr>
          <w:szCs w:val="24"/>
        </w:rPr>
        <w:t xml:space="preserve"> </w:t>
      </w:r>
      <w:r>
        <w:rPr>
          <w:szCs w:val="24"/>
          <w:lang w:val="es-ES_tradnl"/>
        </w:rPr>
        <w:t>“[…] la singularidad de la sociedad israelí desde el principio de su génesis es la seguridad de unas condiciones de vida dignas para todos.</w:t>
      </w:r>
      <w:r>
        <w:rPr>
          <w:szCs w:val="24"/>
        </w:rPr>
        <w:t xml:space="preserve"> </w:t>
      </w:r>
      <w:r>
        <w:rPr>
          <w:szCs w:val="24"/>
          <w:lang w:val="es-ES_tradnl"/>
        </w:rPr>
        <w:t>La sociedad grabó su enseña, después de una difícil lucha, para asegurar el derecho de una persona que trabaja a ganarse la vida con su trabajo y a vivir de él con dignidad, como una persona orgullosa de trabajar y no como una persona a cargo del bienestar social.”</w:t>
      </w:r>
      <w:r>
        <w:rPr>
          <w:szCs w:val="24"/>
        </w:rPr>
        <w:t xml:space="preserve"> </w:t>
      </w:r>
      <w:r>
        <w:rPr>
          <w:szCs w:val="24"/>
          <w:lang w:val="es-ES_tradnl"/>
        </w:rPr>
        <w:t xml:space="preserve">El legislador también estipula este principio en el artículo 14 de la </w:t>
      </w:r>
      <w:r>
        <w:rPr>
          <w:i/>
          <w:szCs w:val="24"/>
          <w:lang w:val="es-ES_tradnl"/>
        </w:rPr>
        <w:t>Ley de salario mínimo</w:t>
      </w:r>
      <w:r>
        <w:rPr>
          <w:szCs w:val="24"/>
          <w:lang w:val="es-ES_tradnl"/>
        </w:rPr>
        <w:t xml:space="preserve"> según el cual no pagar el salario mínimo al empleado constituye un delito (</w:t>
      </w:r>
      <w:r>
        <w:rPr>
          <w:i/>
          <w:szCs w:val="24"/>
          <w:lang w:val="es-ES_tradnl"/>
        </w:rPr>
        <w:t>Cr.</w:t>
      </w:r>
      <w:r>
        <w:rPr>
          <w:i/>
          <w:szCs w:val="24"/>
        </w:rPr>
        <w:t xml:space="preserve"> </w:t>
      </w:r>
      <w:r>
        <w:rPr>
          <w:szCs w:val="24"/>
          <w:lang w:val="es-ES_tradnl"/>
        </w:rPr>
        <w:t xml:space="preserve">R (Tel Aviv) 420/06 </w:t>
      </w:r>
      <w:r>
        <w:rPr>
          <w:i/>
          <w:szCs w:val="24"/>
          <w:lang w:val="es-ES_tradnl"/>
        </w:rPr>
        <w:t xml:space="preserve">El Ministerio de Industria, Comercio y Trabajo del Estado de Israel c. </w:t>
      </w:r>
      <w:smartTag w:uri="urn:schemas-microsoft-com:office:smarttags" w:element="PersonName">
        <w:smartTagPr>
          <w:attr w:name="ProductID" w:val="la Sega Enterprise"/>
        </w:smartTagPr>
        <w:r>
          <w:rPr>
            <w:i/>
            <w:szCs w:val="24"/>
            <w:lang w:val="es-ES_tradnl"/>
          </w:rPr>
          <w:t>la Sega Enterprise</w:t>
        </w:r>
      </w:smartTag>
      <w:r>
        <w:rPr>
          <w:i/>
          <w:szCs w:val="24"/>
          <w:lang w:val="es-ES_tradnl"/>
        </w:rPr>
        <w:t xml:space="preserve"> (1996) Inc.</w:t>
      </w:r>
      <w:r>
        <w:rPr>
          <w:szCs w:val="24"/>
          <w:lang w:val="es-ES_tradnl"/>
        </w:rPr>
        <w:t xml:space="preserve"> (26 de junio de 2008)).</w:t>
      </w:r>
    </w:p>
    <w:p w:rsidR="00F92819" w:rsidRDefault="00F92819">
      <w:pPr>
        <w:pStyle w:val="H23G"/>
        <w:rPr>
          <w:szCs w:val="24"/>
        </w:rPr>
      </w:pPr>
      <w:r>
        <w:rPr>
          <w:szCs w:val="24"/>
        </w:rPr>
        <w:tab/>
      </w:r>
      <w:r>
        <w:rPr>
          <w:szCs w:val="24"/>
        </w:rPr>
        <w:tab/>
      </w:r>
      <w:r>
        <w:rPr>
          <w:szCs w:val="24"/>
          <w:lang w:val="es-ES_tradnl"/>
        </w:rPr>
        <w:t>Cumplimiento de la legislación laboral en las localidades árabes</w:t>
      </w:r>
    </w:p>
    <w:p w:rsidR="00F92819" w:rsidRDefault="00F92819">
      <w:pPr>
        <w:pStyle w:val="SingleTxtG"/>
        <w:rPr>
          <w:szCs w:val="24"/>
        </w:rPr>
      </w:pPr>
      <w:r>
        <w:rPr>
          <w:szCs w:val="24"/>
        </w:rPr>
        <w:t>262.</w:t>
      </w:r>
      <w:r>
        <w:rPr>
          <w:szCs w:val="24"/>
        </w:rPr>
        <w:tab/>
      </w:r>
      <w:r>
        <w:rPr>
          <w:szCs w:val="24"/>
          <w:lang w:val="es-ES_tradnl"/>
        </w:rPr>
        <w:t>En 2005, el programa de trabajo anual de la Dirección de Aplicación de las Leyes y Reglamentación se concentró en tres objetivos principales:</w:t>
      </w:r>
      <w:r>
        <w:rPr>
          <w:szCs w:val="24"/>
        </w:rPr>
        <w:t xml:space="preserve"> </w:t>
      </w:r>
      <w:r>
        <w:rPr>
          <w:szCs w:val="24"/>
          <w:lang w:val="es-ES_tradnl"/>
        </w:rPr>
        <w:t>empleadores y empleados de la población árabe, empleadores de nuevos inmigrantes y empresas del sector de la seguridad.</w:t>
      </w:r>
    </w:p>
    <w:p w:rsidR="00F92819" w:rsidRDefault="00F92819">
      <w:pPr>
        <w:pStyle w:val="SingleTxtG"/>
        <w:rPr>
          <w:szCs w:val="24"/>
        </w:rPr>
      </w:pPr>
      <w:r>
        <w:rPr>
          <w:szCs w:val="24"/>
        </w:rPr>
        <w:t>263.</w:t>
      </w:r>
      <w:r>
        <w:rPr>
          <w:szCs w:val="24"/>
        </w:rPr>
        <w:tab/>
      </w:r>
      <w:r>
        <w:rPr>
          <w:szCs w:val="24"/>
          <w:lang w:val="es-ES_tradnl"/>
        </w:rPr>
        <w:t xml:space="preserve">Un obstáculo importante para la aplicación de la legislación laboral en los puestos de trabajo árabes es la falta de voluntad de la población local de cooperar con el Ministerio, principalmente debido al miedo a perder su fuente de ingresos. </w:t>
      </w:r>
    </w:p>
    <w:p w:rsidR="00F92819" w:rsidRDefault="00F92819">
      <w:pPr>
        <w:pStyle w:val="SingleTxtG"/>
        <w:rPr>
          <w:szCs w:val="24"/>
        </w:rPr>
      </w:pPr>
      <w:r>
        <w:rPr>
          <w:szCs w:val="24"/>
        </w:rPr>
        <w:t>264.</w:t>
      </w:r>
      <w:r>
        <w:rPr>
          <w:szCs w:val="24"/>
        </w:rPr>
        <w:tab/>
      </w:r>
      <w:r>
        <w:rPr>
          <w:szCs w:val="24"/>
          <w:lang w:val="es-ES_tradnl"/>
        </w:rPr>
        <w:t>En diciembre de 2004 la Dirección inició una campaña piloto de sensibilización a gran escala sobre la legislación laboral,</w:t>
      </w:r>
      <w:r>
        <w:rPr>
          <w:szCs w:val="24"/>
        </w:rPr>
        <w:t xml:space="preserve"> </w:t>
      </w:r>
      <w:r>
        <w:rPr>
          <w:szCs w:val="24"/>
          <w:lang w:val="es-ES_tradnl"/>
        </w:rPr>
        <w:t>que se llevó a cabo en la ciudad árabe de Shfara’m, con una población de 30.000 musulmanes y cristianos.</w:t>
      </w:r>
      <w:r>
        <w:rPr>
          <w:szCs w:val="24"/>
        </w:rPr>
        <w:t xml:space="preserve"> </w:t>
      </w:r>
      <w:r>
        <w:rPr>
          <w:szCs w:val="24"/>
          <w:lang w:val="es-ES_tradnl"/>
        </w:rPr>
        <w:t>La Dirección coordinó encuentros y reuniones con empleadores y empleados, así como con 1.300 alumnos de instituto en Shfara’m y también visitó 50 puestos de trabajo.</w:t>
      </w:r>
      <w:r>
        <w:rPr>
          <w:szCs w:val="24"/>
        </w:rPr>
        <w:t xml:space="preserve"> </w:t>
      </w:r>
      <w:r>
        <w:rPr>
          <w:szCs w:val="24"/>
          <w:lang w:val="es-ES_tradnl"/>
        </w:rPr>
        <w:t>Durante estos encuentros, la Dirección conoció el nivel de sensibilización del público en relación con sus derechos en materia de legislación laboral, les informó sobre estos derechos y distribuyó información escrita en árabe.</w:t>
      </w:r>
    </w:p>
    <w:p w:rsidR="00F92819" w:rsidRDefault="00F92819">
      <w:pPr>
        <w:pStyle w:val="SingleTxtG"/>
        <w:rPr>
          <w:szCs w:val="24"/>
        </w:rPr>
      </w:pPr>
      <w:r>
        <w:rPr>
          <w:szCs w:val="24"/>
        </w:rPr>
        <w:t>265.</w:t>
      </w:r>
      <w:r>
        <w:rPr>
          <w:szCs w:val="24"/>
        </w:rPr>
        <w:tab/>
      </w:r>
      <w:r>
        <w:rPr>
          <w:szCs w:val="24"/>
          <w:lang w:val="es-ES_tradnl"/>
        </w:rPr>
        <w:t>En el curso de estas reuniones, la Dirección reparó en varios empleadores problemáticos y les apercibió de la forma debida.</w:t>
      </w:r>
      <w:r>
        <w:rPr>
          <w:szCs w:val="24"/>
        </w:rPr>
        <w:t xml:space="preserve"> </w:t>
      </w:r>
      <w:r>
        <w:rPr>
          <w:szCs w:val="24"/>
          <w:lang w:val="es-ES_tradnl"/>
        </w:rPr>
        <w:t>En mayo de 2005 la Dirección realizó inspecciones de 25 puestos de trabajo para examinar la situación allí</w:t>
      </w:r>
      <w:r>
        <w:rPr>
          <w:szCs w:val="24"/>
        </w:rPr>
        <w:t xml:space="preserve"> </w:t>
      </w:r>
      <w:r>
        <w:rPr>
          <w:szCs w:val="24"/>
          <w:lang w:val="es-ES_tradnl"/>
        </w:rPr>
        <w:t>y tuvo muy poca o ninguna colaboración de la población local, particularmente de las empleadas.</w:t>
      </w:r>
      <w:r>
        <w:rPr>
          <w:szCs w:val="24"/>
        </w:rPr>
        <w:t xml:space="preserve"> </w:t>
      </w:r>
      <w:r>
        <w:rPr>
          <w:szCs w:val="24"/>
          <w:lang w:val="es-ES_tradnl"/>
        </w:rPr>
        <w:t>Además del temor a perder sus empleos, muchas de estas mujeres tienen vínculos familiares con sus empleadores y, por consiguiente, son aún más reacias a quejarse.</w:t>
      </w:r>
    </w:p>
    <w:p w:rsidR="00F92819" w:rsidRDefault="00F92819">
      <w:pPr>
        <w:pStyle w:val="SingleTxtG"/>
        <w:rPr>
          <w:szCs w:val="24"/>
        </w:rPr>
      </w:pPr>
      <w:r>
        <w:rPr>
          <w:szCs w:val="24"/>
        </w:rPr>
        <w:t>266.</w:t>
      </w:r>
      <w:r>
        <w:rPr>
          <w:szCs w:val="24"/>
        </w:rPr>
        <w:tab/>
      </w:r>
      <w:r>
        <w:rPr>
          <w:szCs w:val="24"/>
          <w:lang w:val="es-ES_tradnl"/>
        </w:rPr>
        <w:t>Durante 2008 la Dirección llevó a cabo proyectos similares en las ciudades árabes de Yrka y Joulis.</w:t>
      </w:r>
      <w:r>
        <w:rPr>
          <w:szCs w:val="24"/>
        </w:rPr>
        <w:t xml:space="preserve"> </w:t>
      </w:r>
      <w:r>
        <w:rPr>
          <w:szCs w:val="24"/>
          <w:lang w:val="es-ES_tradnl"/>
        </w:rPr>
        <w:t>Además, 15 jóvenes árabes de ambos sexos han empezado hace poco a realizar el servicio civil nacional en el marco de la Dirección,</w:t>
      </w:r>
      <w:r>
        <w:rPr>
          <w:szCs w:val="24"/>
        </w:rPr>
        <w:t xml:space="preserve"> </w:t>
      </w:r>
      <w:r>
        <w:rPr>
          <w:szCs w:val="24"/>
          <w:lang w:val="es-ES_tradnl"/>
        </w:rPr>
        <w:t>durante el cual realizan actividades de sensibilización sobre las leyes laborales entre la población árabe de todo el país.</w:t>
      </w:r>
    </w:p>
    <w:p w:rsidR="00F92819" w:rsidRDefault="00F92819">
      <w:pPr>
        <w:pStyle w:val="SingleTxtG"/>
        <w:rPr>
          <w:szCs w:val="24"/>
        </w:rPr>
      </w:pPr>
      <w:r>
        <w:rPr>
          <w:szCs w:val="24"/>
        </w:rPr>
        <w:t>267.</w:t>
      </w:r>
      <w:r>
        <w:rPr>
          <w:szCs w:val="24"/>
        </w:rPr>
        <w:tab/>
      </w:r>
      <w:r>
        <w:rPr>
          <w:szCs w:val="24"/>
          <w:lang w:val="es-ES_tradnl"/>
        </w:rPr>
        <w:t xml:space="preserve">La Dirección preparó folletos sobre la </w:t>
      </w:r>
      <w:r>
        <w:rPr>
          <w:i/>
          <w:szCs w:val="24"/>
          <w:lang w:val="es-ES_tradnl"/>
        </w:rPr>
        <w:t>Ley de salario mínimo</w:t>
      </w:r>
      <w:r>
        <w:rPr>
          <w:szCs w:val="24"/>
          <w:lang w:val="es-ES_tradnl"/>
        </w:rPr>
        <w:t xml:space="preserve"> y la </w:t>
      </w:r>
      <w:r>
        <w:rPr>
          <w:i/>
          <w:szCs w:val="24"/>
          <w:lang w:val="es-ES_tradnl"/>
        </w:rPr>
        <w:t>Ley de empleo juvenil</w:t>
      </w:r>
      <w:r>
        <w:rPr>
          <w:szCs w:val="24"/>
          <w:lang w:val="es-ES_tradnl"/>
        </w:rPr>
        <w:t xml:space="preserve"> de 5713/1953, los tradujo al árabe</w:t>
      </w:r>
      <w:r>
        <w:rPr>
          <w:szCs w:val="24"/>
        </w:rPr>
        <w:t xml:space="preserve"> </w:t>
      </w:r>
      <w:r>
        <w:rPr>
          <w:szCs w:val="24"/>
          <w:lang w:val="es-ES_tradnl"/>
        </w:rPr>
        <w:t>y distribuyó miles de ellos entre la población árabe.</w:t>
      </w:r>
      <w:r>
        <w:rPr>
          <w:szCs w:val="24"/>
        </w:rPr>
        <w:t xml:space="preserve"> </w:t>
      </w:r>
      <w:r>
        <w:rPr>
          <w:szCs w:val="24"/>
          <w:lang w:val="es-ES_tradnl"/>
        </w:rPr>
        <w:t xml:space="preserve">Además, en Nazareth se realizó una campaña de aplicación de la ley centrada en la </w:t>
      </w:r>
      <w:r>
        <w:rPr>
          <w:i/>
          <w:szCs w:val="24"/>
          <w:lang w:val="es-ES_tradnl"/>
        </w:rPr>
        <w:t>Ley de empleo juvenil</w:t>
      </w:r>
      <w:r>
        <w:rPr>
          <w:szCs w:val="24"/>
          <w:lang w:val="es-ES_tradnl"/>
        </w:rPr>
        <w:t>.</w:t>
      </w:r>
    </w:p>
    <w:p w:rsidR="00F92819" w:rsidRDefault="00F92819">
      <w:pPr>
        <w:pStyle w:val="SingleTxtG"/>
        <w:rPr>
          <w:szCs w:val="24"/>
        </w:rPr>
      </w:pPr>
      <w:r>
        <w:rPr>
          <w:szCs w:val="24"/>
        </w:rPr>
        <w:t>268.</w:t>
      </w:r>
      <w:r>
        <w:rPr>
          <w:szCs w:val="24"/>
        </w:rPr>
        <w:tab/>
      </w:r>
      <w:r>
        <w:rPr>
          <w:szCs w:val="24"/>
          <w:lang w:val="es-ES_tradnl"/>
        </w:rPr>
        <w:t xml:space="preserve">En abril de 2005 el Tribunal del Distrito de Haifa ordenó a una empresa de mercadotecnia y a su director pagar 150.000 nuevos sheqalim (40.500 dólares de los EE.UU.) como indemnización a una empleada por infracción de la </w:t>
      </w:r>
      <w:r>
        <w:rPr>
          <w:i/>
          <w:szCs w:val="24"/>
          <w:lang w:val="es-ES_tradnl"/>
        </w:rPr>
        <w:t>Ley de salario mínimo</w:t>
      </w:r>
      <w:r>
        <w:rPr>
          <w:szCs w:val="24"/>
          <w:lang w:val="es-ES_tradnl"/>
        </w:rPr>
        <w:t>. La M.I.RA. Panorama, situada en la aldea drusa de Usfiya, pagaba a sus empleadas aproximadamente la mitad del salario mínimo horario.</w:t>
      </w:r>
      <w:r>
        <w:rPr>
          <w:szCs w:val="24"/>
        </w:rPr>
        <w:t xml:space="preserve"> </w:t>
      </w:r>
      <w:r>
        <w:rPr>
          <w:szCs w:val="24"/>
          <w:lang w:val="es-ES_tradnl"/>
        </w:rPr>
        <w:t xml:space="preserve">El Tribunal subrayó la gravedad de cualquier violación de la </w:t>
      </w:r>
      <w:r>
        <w:rPr>
          <w:i/>
          <w:szCs w:val="24"/>
          <w:lang w:val="es-ES_tradnl"/>
        </w:rPr>
        <w:t>Ley de salario mínimo</w:t>
      </w:r>
      <w:r>
        <w:rPr>
          <w:szCs w:val="24"/>
          <w:lang w:val="es-ES_tradnl"/>
        </w:rPr>
        <w:t xml:space="preserve"> así como la importancia de la disuasión de cualquier incumplimiento de este tipo y concluyó su veredicto afirmando que las infracciones de la </w:t>
      </w:r>
      <w:r>
        <w:rPr>
          <w:i/>
          <w:szCs w:val="24"/>
          <w:lang w:val="es-ES_tradnl"/>
        </w:rPr>
        <w:t>Ley de salario mínimo</w:t>
      </w:r>
      <w:r>
        <w:rPr>
          <w:szCs w:val="24"/>
          <w:lang w:val="es-ES_tradnl"/>
        </w:rPr>
        <w:t xml:space="preserve"> constituyen un agravio para la dignidad del trabajador como persona.</w:t>
      </w:r>
      <w:r>
        <w:rPr>
          <w:szCs w:val="24"/>
        </w:rPr>
        <w:t xml:space="preserve"> </w:t>
      </w:r>
      <w:r>
        <w:rPr>
          <w:szCs w:val="24"/>
          <w:lang w:val="es-ES_tradnl"/>
        </w:rPr>
        <w:t xml:space="preserve">(C. 88/03 </w:t>
      </w:r>
      <w:r>
        <w:rPr>
          <w:i/>
          <w:szCs w:val="24"/>
          <w:lang w:val="es-ES_tradnl"/>
        </w:rPr>
        <w:t>El Ministerio de Industria, Comercio y Trabajo c. la M.I.RA. Panorama</w:t>
      </w:r>
      <w:r>
        <w:rPr>
          <w:szCs w:val="24"/>
          <w:lang w:val="es-ES_tradnl"/>
        </w:rPr>
        <w:t xml:space="preserve"> (3 de abril de 2005)).</w:t>
      </w:r>
    </w:p>
    <w:p w:rsidR="00F92819" w:rsidRDefault="00F92819">
      <w:pPr>
        <w:pStyle w:val="H23G"/>
        <w:rPr>
          <w:szCs w:val="24"/>
        </w:rPr>
      </w:pPr>
      <w:r>
        <w:rPr>
          <w:szCs w:val="24"/>
        </w:rPr>
        <w:tab/>
      </w:r>
      <w:r>
        <w:rPr>
          <w:szCs w:val="24"/>
        </w:rPr>
        <w:tab/>
      </w:r>
      <w:r>
        <w:rPr>
          <w:szCs w:val="24"/>
          <w:lang w:val="es-ES_tradnl"/>
        </w:rPr>
        <w:t>Igual remuneración por un trabajo de igual valor</w:t>
      </w:r>
    </w:p>
    <w:p w:rsidR="00F92819" w:rsidRDefault="00F92819">
      <w:pPr>
        <w:pStyle w:val="SingleTxtG"/>
        <w:rPr>
          <w:szCs w:val="24"/>
        </w:rPr>
      </w:pPr>
      <w:r>
        <w:rPr>
          <w:szCs w:val="24"/>
        </w:rPr>
        <w:t>269.</w:t>
      </w:r>
      <w:r>
        <w:rPr>
          <w:szCs w:val="24"/>
        </w:rPr>
        <w:tab/>
      </w:r>
      <w:r>
        <w:rPr>
          <w:szCs w:val="24"/>
          <w:lang w:val="es-ES_tradnl"/>
        </w:rPr>
        <w:t xml:space="preserve">Siguen existiendo diferencias entre los sueldos del hombre y de </w:t>
      </w:r>
      <w:smartTag w:uri="urn:schemas-microsoft-com:office:smarttags" w:element="PersonName">
        <w:smartTagPr>
          <w:attr w:name="ProductID" w:val="la mujer. Seg￺n"/>
        </w:smartTagPr>
        <w:r>
          <w:rPr>
            <w:szCs w:val="24"/>
            <w:lang w:val="es-ES_tradnl"/>
          </w:rPr>
          <w:t>la mujer.</w:t>
        </w:r>
        <w:r>
          <w:rPr>
            <w:szCs w:val="24"/>
          </w:rPr>
          <w:t xml:space="preserve"> </w:t>
        </w:r>
        <w:r>
          <w:rPr>
            <w:szCs w:val="24"/>
            <w:lang w:val="es-ES_tradnl"/>
          </w:rPr>
          <w:t>Según</w:t>
        </w:r>
      </w:smartTag>
      <w:r>
        <w:rPr>
          <w:szCs w:val="24"/>
          <w:lang w:val="es-ES_tradnl"/>
        </w:rPr>
        <w:t xml:space="preserve"> datos recientes (2006), los hombres reciben por término medio unos ingresos que son superiores en un 57% a los de las mujeres.</w:t>
      </w:r>
    </w:p>
    <w:p w:rsidR="00F92819" w:rsidRDefault="00F92819">
      <w:pPr>
        <w:pStyle w:val="SingleTxtG"/>
        <w:rPr>
          <w:szCs w:val="24"/>
        </w:rPr>
      </w:pPr>
      <w:r>
        <w:rPr>
          <w:szCs w:val="24"/>
        </w:rPr>
        <w:t>270.</w:t>
      </w:r>
      <w:r>
        <w:rPr>
          <w:szCs w:val="24"/>
        </w:rPr>
        <w:tab/>
      </w:r>
      <w:r>
        <w:rPr>
          <w:szCs w:val="24"/>
          <w:lang w:val="es-ES_tradnl"/>
        </w:rPr>
        <w:t>Una explicación para esta diferencia es el menor número de horas de trabajo (o menor disponibilidad para trabajar) de las mujeres.</w:t>
      </w:r>
      <w:r>
        <w:rPr>
          <w:szCs w:val="24"/>
        </w:rPr>
        <w:t xml:space="preserve"> </w:t>
      </w:r>
      <w:r>
        <w:rPr>
          <w:szCs w:val="24"/>
          <w:lang w:val="es-ES_tradnl"/>
        </w:rPr>
        <w:t>En 2006, los hombres empleados trabajaban una media de 46 horas semanales, frente a las 35 horas a la semana que trabajaban las mujeres empleadas, una diferencia del 31%.</w:t>
      </w:r>
      <w:r>
        <w:rPr>
          <w:szCs w:val="24"/>
        </w:rPr>
        <w:t xml:space="preserve"> </w:t>
      </w:r>
      <w:r>
        <w:rPr>
          <w:szCs w:val="24"/>
          <w:lang w:val="es-ES_tradnl"/>
        </w:rPr>
        <w:t>Sin embargo, en 2006 los ingresos medios de las mujeres por hora eran de 37,1 nuevos sheqalim (10,02 dólares de los EE.UU.) y los de los hombres de 44,8 nuevos sheqalim (12,1 dólares de los EE.UU.), una diferencia del 21% que por sí misma indica que no puede atribuirse exclusivamente al número de horas trabajadas.</w:t>
      </w:r>
    </w:p>
    <w:p w:rsidR="00F92819" w:rsidRDefault="00F92819">
      <w:pPr>
        <w:pStyle w:val="SingleTxtG"/>
        <w:rPr>
          <w:szCs w:val="24"/>
        </w:rPr>
      </w:pPr>
      <w:r>
        <w:rPr>
          <w:szCs w:val="24"/>
        </w:rPr>
        <w:t>271.</w:t>
      </w:r>
      <w:r>
        <w:rPr>
          <w:szCs w:val="24"/>
        </w:rPr>
        <w:tab/>
      </w:r>
      <w:r>
        <w:rPr>
          <w:szCs w:val="24"/>
          <w:lang w:val="es-ES_tradnl"/>
        </w:rPr>
        <w:t>En 2006 el sueldo medio por hora de las mujeres era el 80,5% del de los hombres. Por ocupación, los sueldos por hora siguen siendo más altos, en relación con los hombres, en la categoría de “otros profesionales y técnicos” (86,5%).</w:t>
      </w:r>
      <w:r>
        <w:rPr>
          <w:szCs w:val="24"/>
        </w:rPr>
        <w:t xml:space="preserve"> </w:t>
      </w:r>
      <w:r>
        <w:rPr>
          <w:szCs w:val="24"/>
          <w:lang w:val="es-ES_tradnl"/>
        </w:rPr>
        <w:t>Las mujeres ganan menos, en relación con los hombres, entre los trabajadores cualificados en la industria y la construcción (92,3%).</w:t>
      </w:r>
    </w:p>
    <w:p w:rsidR="00F92819" w:rsidRDefault="00F92819">
      <w:pPr>
        <w:pStyle w:val="Heading1"/>
        <w:spacing w:before="240"/>
        <w:rPr>
          <w:szCs w:val="24"/>
        </w:rPr>
      </w:pPr>
      <w:r>
        <w:rPr>
          <w:szCs w:val="24"/>
          <w:lang w:val="es-ES_tradnl"/>
        </w:rPr>
        <w:t>Cuadro 10</w:t>
      </w:r>
    </w:p>
    <w:p w:rsidR="00F92819" w:rsidRDefault="00F92819">
      <w:pPr>
        <w:pStyle w:val="SingleTxtG"/>
        <w:jc w:val="left"/>
        <w:rPr>
          <w:szCs w:val="24"/>
        </w:rPr>
      </w:pPr>
      <w:r>
        <w:rPr>
          <w:b/>
          <w:szCs w:val="24"/>
          <w:lang w:val="es-ES_tradnl"/>
        </w:rPr>
        <w:t>Trabajadores asalariados urbanos:</w:t>
      </w:r>
      <w:r>
        <w:rPr>
          <w:b/>
          <w:szCs w:val="24"/>
        </w:rPr>
        <w:t xml:space="preserve"> </w:t>
      </w:r>
      <w:r>
        <w:rPr>
          <w:b/>
          <w:szCs w:val="24"/>
          <w:lang w:val="es-ES_tradnl"/>
        </w:rPr>
        <w:t>sueldos por hora de las mujeres en porcentaje de los sueldos por hora de los hombres en 1995, 1998 y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6"/>
        <w:gridCol w:w="1228"/>
        <w:gridCol w:w="1228"/>
        <w:gridCol w:w="1228"/>
      </w:tblGrid>
      <w:tr w:rsidR="00F92819">
        <w:trPr>
          <w:tblHeader/>
        </w:trPr>
        <w:tc>
          <w:tcPr>
            <w:tcW w:w="3686" w:type="dxa"/>
            <w:vMerge w:val="restart"/>
            <w:tcBorders>
              <w:top w:val="single" w:sz="4" w:space="0" w:color="auto"/>
            </w:tcBorders>
            <w:vAlign w:val="bottom"/>
          </w:tcPr>
          <w:p w:rsidR="00F92819" w:rsidRDefault="00F92819">
            <w:pPr>
              <w:spacing w:before="80" w:after="80" w:line="200" w:lineRule="exact"/>
              <w:rPr>
                <w:i/>
                <w:sz w:val="16"/>
                <w:szCs w:val="24"/>
              </w:rPr>
            </w:pPr>
          </w:p>
        </w:tc>
        <w:tc>
          <w:tcPr>
            <w:tcW w:w="3684" w:type="dxa"/>
            <w:gridSpan w:val="3"/>
            <w:tcBorders>
              <w:top w:val="single" w:sz="4" w:space="0" w:color="auto"/>
              <w:bottom w:val="single" w:sz="4" w:space="0" w:color="auto"/>
            </w:tcBorders>
            <w:vAlign w:val="bottom"/>
          </w:tcPr>
          <w:p w:rsidR="00F92819" w:rsidRDefault="00943B28">
            <w:pPr>
              <w:spacing w:before="80" w:after="80" w:line="200" w:lineRule="atLeast"/>
              <w:jc w:val="center"/>
              <w:rPr>
                <w:i/>
                <w:sz w:val="16"/>
                <w:szCs w:val="16"/>
              </w:rPr>
            </w:pPr>
            <w:r>
              <w:rPr>
                <w:i/>
                <w:sz w:val="16"/>
                <w:szCs w:val="16"/>
                <w:lang w:val="es-ES_tradnl"/>
              </w:rPr>
              <w:t>Porcentaje</w:t>
            </w:r>
          </w:p>
        </w:tc>
      </w:tr>
      <w:tr w:rsidR="00F92819">
        <w:trPr>
          <w:tblHeader/>
        </w:trPr>
        <w:tc>
          <w:tcPr>
            <w:tcW w:w="3686" w:type="dxa"/>
            <w:vMerge/>
            <w:tcBorders>
              <w:bottom w:val="single" w:sz="12" w:space="0" w:color="auto"/>
            </w:tcBorders>
            <w:vAlign w:val="bottom"/>
          </w:tcPr>
          <w:p w:rsidR="00F92819" w:rsidRDefault="00F92819">
            <w:pPr>
              <w:spacing w:before="40" w:after="40" w:line="220" w:lineRule="exact"/>
              <w:rPr>
                <w:sz w:val="18"/>
                <w:szCs w:val="24"/>
              </w:rPr>
            </w:pPr>
          </w:p>
        </w:tc>
        <w:tc>
          <w:tcPr>
            <w:tcW w:w="1228" w:type="dxa"/>
            <w:tcBorders>
              <w:top w:val="single" w:sz="4" w:space="0" w:color="auto"/>
              <w:bottom w:val="single" w:sz="12" w:space="0" w:color="auto"/>
            </w:tcBorders>
            <w:vAlign w:val="bottom"/>
          </w:tcPr>
          <w:p w:rsidR="00F92819" w:rsidRDefault="00F92819">
            <w:pPr>
              <w:spacing w:before="80" w:after="80" w:line="200" w:lineRule="atLeast"/>
              <w:jc w:val="right"/>
              <w:rPr>
                <w:i/>
                <w:sz w:val="16"/>
                <w:szCs w:val="16"/>
              </w:rPr>
            </w:pPr>
            <w:r>
              <w:rPr>
                <w:i/>
                <w:sz w:val="16"/>
                <w:szCs w:val="16"/>
              </w:rPr>
              <w:t>1995</w:t>
            </w:r>
          </w:p>
        </w:tc>
        <w:tc>
          <w:tcPr>
            <w:tcW w:w="1228" w:type="dxa"/>
            <w:tcBorders>
              <w:top w:val="single" w:sz="4" w:space="0" w:color="auto"/>
              <w:bottom w:val="single" w:sz="12" w:space="0" w:color="auto"/>
            </w:tcBorders>
            <w:vAlign w:val="bottom"/>
          </w:tcPr>
          <w:p w:rsidR="00F92819" w:rsidRDefault="00F92819">
            <w:pPr>
              <w:spacing w:before="80" w:after="80" w:line="200" w:lineRule="atLeast"/>
              <w:jc w:val="right"/>
              <w:rPr>
                <w:i/>
                <w:sz w:val="16"/>
                <w:szCs w:val="16"/>
              </w:rPr>
            </w:pPr>
            <w:r>
              <w:rPr>
                <w:i/>
                <w:sz w:val="16"/>
                <w:szCs w:val="16"/>
              </w:rPr>
              <w:t>1998</w:t>
            </w:r>
          </w:p>
        </w:tc>
        <w:tc>
          <w:tcPr>
            <w:tcW w:w="1228" w:type="dxa"/>
            <w:tcBorders>
              <w:top w:val="single" w:sz="4" w:space="0" w:color="auto"/>
              <w:bottom w:val="single" w:sz="12" w:space="0" w:color="auto"/>
            </w:tcBorders>
            <w:vAlign w:val="bottom"/>
          </w:tcPr>
          <w:p w:rsidR="00F92819" w:rsidRDefault="00F92819">
            <w:pPr>
              <w:spacing w:before="80" w:after="80" w:line="200" w:lineRule="atLeast"/>
              <w:jc w:val="right"/>
              <w:rPr>
                <w:i/>
                <w:sz w:val="16"/>
                <w:szCs w:val="16"/>
              </w:rPr>
            </w:pPr>
            <w:r>
              <w:rPr>
                <w:i/>
                <w:sz w:val="16"/>
                <w:szCs w:val="16"/>
              </w:rPr>
              <w:t>2006</w:t>
            </w:r>
          </w:p>
        </w:tc>
      </w:tr>
      <w:tr w:rsidR="00F92819">
        <w:tc>
          <w:tcPr>
            <w:tcW w:w="3686" w:type="dxa"/>
            <w:tcBorders>
              <w:top w:val="single" w:sz="12" w:space="0" w:color="auto"/>
              <w:bottom w:val="single" w:sz="4" w:space="0" w:color="auto"/>
            </w:tcBorders>
            <w:vAlign w:val="bottom"/>
          </w:tcPr>
          <w:p w:rsidR="00F92819" w:rsidRDefault="00F92819">
            <w:pPr>
              <w:spacing w:before="80" w:after="80" w:line="220" w:lineRule="exact"/>
              <w:ind w:left="284"/>
              <w:rPr>
                <w:szCs w:val="24"/>
              </w:rPr>
            </w:pPr>
            <w:r>
              <w:rPr>
                <w:b/>
                <w:sz w:val="18"/>
                <w:szCs w:val="24"/>
                <w:lang w:val="es-ES_tradnl"/>
              </w:rPr>
              <w:t>Total</w:t>
            </w:r>
          </w:p>
        </w:tc>
        <w:tc>
          <w:tcPr>
            <w:tcW w:w="1228"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80,7</w:t>
            </w:r>
          </w:p>
        </w:tc>
        <w:tc>
          <w:tcPr>
            <w:tcW w:w="1228"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82,9</w:t>
            </w:r>
          </w:p>
        </w:tc>
        <w:tc>
          <w:tcPr>
            <w:tcW w:w="1228"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80,5</w:t>
            </w:r>
          </w:p>
        </w:tc>
      </w:tr>
      <w:tr w:rsidR="00F92819">
        <w:tc>
          <w:tcPr>
            <w:tcW w:w="3686" w:type="dxa"/>
            <w:tcBorders>
              <w:top w:val="single" w:sz="4" w:space="0" w:color="auto"/>
            </w:tcBorders>
            <w:vAlign w:val="bottom"/>
          </w:tcPr>
          <w:p w:rsidR="00F92819" w:rsidRDefault="00F92819">
            <w:pPr>
              <w:spacing w:before="40" w:after="40" w:line="220" w:lineRule="exact"/>
              <w:rPr>
                <w:szCs w:val="24"/>
              </w:rPr>
            </w:pPr>
            <w:r>
              <w:rPr>
                <w:i/>
                <w:sz w:val="16"/>
                <w:szCs w:val="24"/>
                <w:lang w:val="es-ES_tradnl"/>
              </w:rPr>
              <w:t>Ocupación</w:t>
            </w:r>
          </w:p>
        </w:tc>
        <w:tc>
          <w:tcPr>
            <w:tcW w:w="1228" w:type="dxa"/>
            <w:tcBorders>
              <w:top w:val="single" w:sz="4" w:space="0" w:color="auto"/>
            </w:tcBorders>
            <w:vAlign w:val="bottom"/>
          </w:tcPr>
          <w:p w:rsidR="00F92819" w:rsidRDefault="00F92819">
            <w:pPr>
              <w:spacing w:before="40" w:after="40" w:line="220" w:lineRule="exact"/>
              <w:jc w:val="right"/>
              <w:rPr>
                <w:sz w:val="18"/>
                <w:szCs w:val="24"/>
              </w:rPr>
            </w:pPr>
          </w:p>
        </w:tc>
        <w:tc>
          <w:tcPr>
            <w:tcW w:w="1228" w:type="dxa"/>
            <w:tcBorders>
              <w:top w:val="single" w:sz="4" w:space="0" w:color="auto"/>
            </w:tcBorders>
            <w:vAlign w:val="bottom"/>
          </w:tcPr>
          <w:p w:rsidR="00F92819" w:rsidRDefault="00F92819">
            <w:pPr>
              <w:spacing w:before="40" w:after="40" w:line="220" w:lineRule="exact"/>
              <w:jc w:val="right"/>
              <w:rPr>
                <w:sz w:val="18"/>
                <w:szCs w:val="24"/>
              </w:rPr>
            </w:pPr>
          </w:p>
        </w:tc>
        <w:tc>
          <w:tcPr>
            <w:tcW w:w="1228" w:type="dxa"/>
            <w:tcBorders>
              <w:top w:val="single" w:sz="4" w:space="0" w:color="auto"/>
            </w:tcBorders>
            <w:vAlign w:val="bottom"/>
          </w:tcPr>
          <w:p w:rsidR="00F92819" w:rsidRDefault="00F92819">
            <w:pPr>
              <w:spacing w:before="40" w:after="40" w:line="220" w:lineRule="exact"/>
              <w:jc w:val="right"/>
              <w:rPr>
                <w:sz w:val="18"/>
                <w:szCs w:val="24"/>
              </w:rPr>
            </w:pPr>
          </w:p>
        </w:tc>
      </w:tr>
      <w:tr w:rsidR="00F92819">
        <w:tc>
          <w:tcPr>
            <w:tcW w:w="3686" w:type="dxa"/>
            <w:vAlign w:val="bottom"/>
          </w:tcPr>
          <w:p w:rsidR="00F92819" w:rsidRDefault="00F92819">
            <w:pPr>
              <w:spacing w:before="40" w:after="40" w:line="220" w:lineRule="exact"/>
              <w:rPr>
                <w:szCs w:val="24"/>
              </w:rPr>
            </w:pPr>
            <w:r>
              <w:rPr>
                <w:sz w:val="18"/>
                <w:szCs w:val="24"/>
                <w:lang w:val="es-ES_tradnl"/>
              </w:rPr>
              <w:t>Profesionales académicos</w:t>
            </w:r>
          </w:p>
        </w:tc>
        <w:tc>
          <w:tcPr>
            <w:tcW w:w="1228" w:type="dxa"/>
            <w:vAlign w:val="bottom"/>
          </w:tcPr>
          <w:p w:rsidR="00F92819" w:rsidRDefault="00F92819">
            <w:pPr>
              <w:spacing w:before="40" w:after="40" w:line="220" w:lineRule="exact"/>
              <w:jc w:val="right"/>
              <w:rPr>
                <w:sz w:val="18"/>
                <w:szCs w:val="24"/>
              </w:rPr>
            </w:pPr>
            <w:r>
              <w:rPr>
                <w:sz w:val="18"/>
                <w:szCs w:val="24"/>
              </w:rPr>
              <w:t>79,4</w:t>
            </w:r>
          </w:p>
        </w:tc>
        <w:tc>
          <w:tcPr>
            <w:tcW w:w="1228" w:type="dxa"/>
            <w:vAlign w:val="bottom"/>
          </w:tcPr>
          <w:p w:rsidR="00F92819" w:rsidRDefault="00F92819">
            <w:pPr>
              <w:spacing w:before="40" w:after="40" w:line="220" w:lineRule="exact"/>
              <w:jc w:val="right"/>
              <w:rPr>
                <w:sz w:val="18"/>
                <w:szCs w:val="24"/>
              </w:rPr>
            </w:pPr>
            <w:r>
              <w:rPr>
                <w:sz w:val="18"/>
                <w:szCs w:val="24"/>
              </w:rPr>
              <w:t>85,7</w:t>
            </w:r>
          </w:p>
        </w:tc>
        <w:tc>
          <w:tcPr>
            <w:tcW w:w="1228" w:type="dxa"/>
            <w:vAlign w:val="bottom"/>
          </w:tcPr>
          <w:p w:rsidR="00F92819" w:rsidRDefault="00F92819">
            <w:pPr>
              <w:spacing w:before="40" w:after="40" w:line="220" w:lineRule="exact"/>
              <w:jc w:val="right"/>
              <w:rPr>
                <w:sz w:val="18"/>
                <w:szCs w:val="24"/>
              </w:rPr>
            </w:pPr>
            <w:r>
              <w:rPr>
                <w:sz w:val="18"/>
                <w:szCs w:val="24"/>
              </w:rPr>
              <w:t>74,9</w:t>
            </w:r>
          </w:p>
        </w:tc>
      </w:tr>
      <w:tr w:rsidR="00F92819">
        <w:tc>
          <w:tcPr>
            <w:tcW w:w="3686" w:type="dxa"/>
            <w:vAlign w:val="bottom"/>
          </w:tcPr>
          <w:p w:rsidR="00F92819" w:rsidRDefault="00F92819">
            <w:pPr>
              <w:spacing w:before="40" w:after="40" w:line="220" w:lineRule="exact"/>
              <w:rPr>
                <w:szCs w:val="24"/>
              </w:rPr>
            </w:pPr>
            <w:r>
              <w:rPr>
                <w:sz w:val="18"/>
                <w:szCs w:val="24"/>
                <w:lang w:val="es-ES_tradnl"/>
              </w:rPr>
              <w:t>Otros profesionales y técnicos</w:t>
            </w:r>
          </w:p>
        </w:tc>
        <w:tc>
          <w:tcPr>
            <w:tcW w:w="1228" w:type="dxa"/>
            <w:vAlign w:val="bottom"/>
          </w:tcPr>
          <w:p w:rsidR="00F92819" w:rsidRDefault="00F92819">
            <w:pPr>
              <w:spacing w:before="40" w:after="40" w:line="220" w:lineRule="exact"/>
              <w:jc w:val="right"/>
              <w:rPr>
                <w:sz w:val="18"/>
                <w:szCs w:val="24"/>
              </w:rPr>
            </w:pPr>
            <w:r>
              <w:rPr>
                <w:sz w:val="18"/>
                <w:szCs w:val="24"/>
              </w:rPr>
              <w:t>89,5</w:t>
            </w:r>
          </w:p>
        </w:tc>
        <w:tc>
          <w:tcPr>
            <w:tcW w:w="1228" w:type="dxa"/>
            <w:vAlign w:val="bottom"/>
          </w:tcPr>
          <w:p w:rsidR="00F92819" w:rsidRDefault="00F92819">
            <w:pPr>
              <w:spacing w:before="40" w:after="40" w:line="220" w:lineRule="exact"/>
              <w:jc w:val="right"/>
              <w:rPr>
                <w:sz w:val="18"/>
                <w:szCs w:val="24"/>
              </w:rPr>
            </w:pPr>
            <w:r>
              <w:rPr>
                <w:sz w:val="18"/>
                <w:szCs w:val="24"/>
              </w:rPr>
              <w:t>89,1</w:t>
            </w:r>
          </w:p>
        </w:tc>
        <w:tc>
          <w:tcPr>
            <w:tcW w:w="1228" w:type="dxa"/>
            <w:vAlign w:val="bottom"/>
          </w:tcPr>
          <w:p w:rsidR="00F92819" w:rsidRDefault="00F92819">
            <w:pPr>
              <w:spacing w:before="40" w:after="40" w:line="220" w:lineRule="exact"/>
              <w:jc w:val="right"/>
              <w:rPr>
                <w:sz w:val="18"/>
                <w:szCs w:val="24"/>
              </w:rPr>
            </w:pPr>
            <w:r>
              <w:rPr>
                <w:sz w:val="18"/>
                <w:szCs w:val="24"/>
              </w:rPr>
              <w:t>86,5</w:t>
            </w:r>
          </w:p>
        </w:tc>
      </w:tr>
      <w:tr w:rsidR="00F92819">
        <w:tc>
          <w:tcPr>
            <w:tcW w:w="3686" w:type="dxa"/>
            <w:vAlign w:val="bottom"/>
          </w:tcPr>
          <w:p w:rsidR="00F92819" w:rsidRDefault="00F92819">
            <w:pPr>
              <w:spacing w:before="40" w:after="40" w:line="220" w:lineRule="exact"/>
              <w:rPr>
                <w:szCs w:val="24"/>
              </w:rPr>
            </w:pPr>
            <w:r>
              <w:rPr>
                <w:sz w:val="18"/>
                <w:szCs w:val="24"/>
                <w:lang w:val="es-ES_tradnl"/>
              </w:rPr>
              <w:t>Administradores</w:t>
            </w:r>
          </w:p>
        </w:tc>
        <w:tc>
          <w:tcPr>
            <w:tcW w:w="1228" w:type="dxa"/>
            <w:vAlign w:val="bottom"/>
          </w:tcPr>
          <w:p w:rsidR="00F92819" w:rsidRDefault="00F92819">
            <w:pPr>
              <w:spacing w:before="40" w:after="40" w:line="220" w:lineRule="exact"/>
              <w:jc w:val="right"/>
              <w:rPr>
                <w:sz w:val="18"/>
                <w:szCs w:val="24"/>
              </w:rPr>
            </w:pPr>
            <w:r>
              <w:rPr>
                <w:sz w:val="18"/>
                <w:szCs w:val="24"/>
              </w:rPr>
              <w:t>75,3</w:t>
            </w:r>
          </w:p>
        </w:tc>
        <w:tc>
          <w:tcPr>
            <w:tcW w:w="1228" w:type="dxa"/>
            <w:vAlign w:val="bottom"/>
          </w:tcPr>
          <w:p w:rsidR="00F92819" w:rsidRDefault="00F92819">
            <w:pPr>
              <w:spacing w:before="40" w:after="40" w:line="220" w:lineRule="exact"/>
              <w:jc w:val="right"/>
              <w:rPr>
                <w:sz w:val="18"/>
                <w:szCs w:val="24"/>
              </w:rPr>
            </w:pPr>
            <w:r>
              <w:rPr>
                <w:sz w:val="18"/>
                <w:szCs w:val="24"/>
              </w:rPr>
              <w:t>75,4</w:t>
            </w:r>
          </w:p>
        </w:tc>
        <w:tc>
          <w:tcPr>
            <w:tcW w:w="1228" w:type="dxa"/>
            <w:vAlign w:val="bottom"/>
          </w:tcPr>
          <w:p w:rsidR="00F92819" w:rsidRDefault="00F92819">
            <w:pPr>
              <w:spacing w:before="40" w:after="40" w:line="220" w:lineRule="exact"/>
              <w:jc w:val="right"/>
              <w:rPr>
                <w:sz w:val="18"/>
                <w:szCs w:val="24"/>
              </w:rPr>
            </w:pPr>
            <w:r>
              <w:rPr>
                <w:sz w:val="18"/>
                <w:szCs w:val="24"/>
              </w:rPr>
              <w:t>89,9</w:t>
            </w:r>
          </w:p>
        </w:tc>
      </w:tr>
      <w:tr w:rsidR="00F92819">
        <w:tc>
          <w:tcPr>
            <w:tcW w:w="3686" w:type="dxa"/>
            <w:vAlign w:val="bottom"/>
          </w:tcPr>
          <w:p w:rsidR="00F92819" w:rsidRDefault="00F92819">
            <w:pPr>
              <w:spacing w:before="40" w:after="40" w:line="220" w:lineRule="exact"/>
              <w:rPr>
                <w:szCs w:val="24"/>
              </w:rPr>
            </w:pPr>
            <w:r>
              <w:rPr>
                <w:sz w:val="18"/>
                <w:szCs w:val="24"/>
                <w:lang w:val="es-ES_tradnl"/>
              </w:rPr>
              <w:t>Oficinistas</w:t>
            </w:r>
          </w:p>
        </w:tc>
        <w:tc>
          <w:tcPr>
            <w:tcW w:w="1228" w:type="dxa"/>
            <w:vAlign w:val="bottom"/>
          </w:tcPr>
          <w:p w:rsidR="00F92819" w:rsidRDefault="00F92819">
            <w:pPr>
              <w:spacing w:before="40" w:after="40" w:line="220" w:lineRule="exact"/>
              <w:jc w:val="right"/>
              <w:rPr>
                <w:sz w:val="18"/>
                <w:szCs w:val="24"/>
              </w:rPr>
            </w:pPr>
            <w:r>
              <w:rPr>
                <w:sz w:val="18"/>
                <w:szCs w:val="24"/>
              </w:rPr>
              <w:t>75,8</w:t>
            </w:r>
          </w:p>
        </w:tc>
        <w:tc>
          <w:tcPr>
            <w:tcW w:w="1228" w:type="dxa"/>
            <w:vAlign w:val="bottom"/>
          </w:tcPr>
          <w:p w:rsidR="00F92819" w:rsidRDefault="00F92819">
            <w:pPr>
              <w:spacing w:before="40" w:after="40" w:line="220" w:lineRule="exact"/>
              <w:jc w:val="right"/>
              <w:rPr>
                <w:sz w:val="18"/>
                <w:szCs w:val="24"/>
              </w:rPr>
            </w:pPr>
            <w:r>
              <w:rPr>
                <w:sz w:val="18"/>
                <w:szCs w:val="24"/>
              </w:rPr>
              <w:t>70,3</w:t>
            </w:r>
          </w:p>
        </w:tc>
        <w:tc>
          <w:tcPr>
            <w:tcW w:w="1228" w:type="dxa"/>
            <w:vAlign w:val="bottom"/>
          </w:tcPr>
          <w:p w:rsidR="00F92819" w:rsidRDefault="00F92819">
            <w:pPr>
              <w:spacing w:before="40" w:after="40" w:line="220" w:lineRule="exact"/>
              <w:jc w:val="right"/>
              <w:rPr>
                <w:sz w:val="18"/>
                <w:szCs w:val="24"/>
              </w:rPr>
            </w:pPr>
            <w:r>
              <w:rPr>
                <w:sz w:val="18"/>
                <w:szCs w:val="24"/>
              </w:rPr>
              <w:t>79,9</w:t>
            </w:r>
          </w:p>
        </w:tc>
      </w:tr>
      <w:tr w:rsidR="00F92819">
        <w:tc>
          <w:tcPr>
            <w:tcW w:w="3686" w:type="dxa"/>
            <w:vAlign w:val="bottom"/>
          </w:tcPr>
          <w:p w:rsidR="00F92819" w:rsidRDefault="00F92819">
            <w:pPr>
              <w:spacing w:before="40" w:after="40" w:line="220" w:lineRule="exact"/>
              <w:rPr>
                <w:szCs w:val="24"/>
              </w:rPr>
            </w:pPr>
            <w:r>
              <w:rPr>
                <w:sz w:val="18"/>
                <w:szCs w:val="24"/>
                <w:lang w:val="es-ES_tradnl"/>
              </w:rPr>
              <w:t>Trabajadores en ventas y servicios</w:t>
            </w:r>
          </w:p>
        </w:tc>
        <w:tc>
          <w:tcPr>
            <w:tcW w:w="1228" w:type="dxa"/>
            <w:vAlign w:val="bottom"/>
          </w:tcPr>
          <w:p w:rsidR="00F92819" w:rsidRDefault="00F92819">
            <w:pPr>
              <w:spacing w:before="40" w:after="40" w:line="220" w:lineRule="exact"/>
              <w:jc w:val="right"/>
              <w:rPr>
                <w:sz w:val="18"/>
                <w:szCs w:val="24"/>
              </w:rPr>
            </w:pPr>
            <w:r>
              <w:rPr>
                <w:sz w:val="18"/>
                <w:szCs w:val="24"/>
              </w:rPr>
              <w:t>64,2</w:t>
            </w:r>
          </w:p>
        </w:tc>
        <w:tc>
          <w:tcPr>
            <w:tcW w:w="1228" w:type="dxa"/>
            <w:vAlign w:val="bottom"/>
          </w:tcPr>
          <w:p w:rsidR="00F92819" w:rsidRDefault="00F92819">
            <w:pPr>
              <w:spacing w:before="40" w:after="40" w:line="220" w:lineRule="exact"/>
              <w:jc w:val="right"/>
              <w:rPr>
                <w:sz w:val="18"/>
                <w:szCs w:val="24"/>
              </w:rPr>
            </w:pPr>
            <w:r>
              <w:rPr>
                <w:sz w:val="18"/>
                <w:szCs w:val="24"/>
              </w:rPr>
              <w:t>71,0</w:t>
            </w:r>
          </w:p>
        </w:tc>
        <w:tc>
          <w:tcPr>
            <w:tcW w:w="1228" w:type="dxa"/>
            <w:vAlign w:val="bottom"/>
          </w:tcPr>
          <w:p w:rsidR="00F92819" w:rsidRDefault="00F92819">
            <w:pPr>
              <w:spacing w:before="40" w:after="40" w:line="220" w:lineRule="exact"/>
              <w:jc w:val="right"/>
              <w:rPr>
                <w:sz w:val="18"/>
                <w:szCs w:val="24"/>
              </w:rPr>
            </w:pPr>
            <w:r>
              <w:rPr>
                <w:sz w:val="18"/>
                <w:szCs w:val="24"/>
              </w:rPr>
              <w:t>73,7</w:t>
            </w:r>
          </w:p>
        </w:tc>
      </w:tr>
      <w:tr w:rsidR="00F92819">
        <w:tc>
          <w:tcPr>
            <w:tcW w:w="3686" w:type="dxa"/>
            <w:vAlign w:val="bottom"/>
          </w:tcPr>
          <w:p w:rsidR="00F92819" w:rsidRDefault="00F92819">
            <w:pPr>
              <w:spacing w:before="40" w:after="40" w:line="220" w:lineRule="exact"/>
              <w:rPr>
                <w:szCs w:val="24"/>
              </w:rPr>
            </w:pPr>
            <w:r>
              <w:rPr>
                <w:sz w:val="18"/>
                <w:szCs w:val="24"/>
                <w:lang w:val="es-ES_tradnl"/>
              </w:rPr>
              <w:t>Trabajadores cualificados en la industria y la construcción</w:t>
            </w:r>
          </w:p>
        </w:tc>
        <w:tc>
          <w:tcPr>
            <w:tcW w:w="1228" w:type="dxa"/>
            <w:vAlign w:val="bottom"/>
          </w:tcPr>
          <w:p w:rsidR="00F92819" w:rsidRDefault="00F92819">
            <w:pPr>
              <w:spacing w:before="40" w:after="40" w:line="220" w:lineRule="exact"/>
              <w:jc w:val="right"/>
              <w:rPr>
                <w:sz w:val="18"/>
                <w:szCs w:val="24"/>
              </w:rPr>
            </w:pPr>
            <w:r>
              <w:rPr>
                <w:sz w:val="18"/>
                <w:szCs w:val="24"/>
              </w:rPr>
              <w:t>56,9</w:t>
            </w:r>
          </w:p>
        </w:tc>
        <w:tc>
          <w:tcPr>
            <w:tcW w:w="1228" w:type="dxa"/>
            <w:vAlign w:val="bottom"/>
          </w:tcPr>
          <w:p w:rsidR="00F92819" w:rsidRDefault="00F92819">
            <w:pPr>
              <w:spacing w:before="40" w:after="40" w:line="220" w:lineRule="exact"/>
              <w:jc w:val="right"/>
              <w:rPr>
                <w:sz w:val="18"/>
                <w:szCs w:val="24"/>
              </w:rPr>
            </w:pPr>
            <w:r>
              <w:rPr>
                <w:sz w:val="18"/>
                <w:szCs w:val="24"/>
              </w:rPr>
              <w:t>63,0</w:t>
            </w:r>
          </w:p>
        </w:tc>
        <w:tc>
          <w:tcPr>
            <w:tcW w:w="1228" w:type="dxa"/>
            <w:vAlign w:val="bottom"/>
          </w:tcPr>
          <w:p w:rsidR="00F92819" w:rsidRDefault="00F92819">
            <w:pPr>
              <w:spacing w:before="40" w:after="40" w:line="220" w:lineRule="exact"/>
              <w:jc w:val="right"/>
              <w:rPr>
                <w:sz w:val="18"/>
                <w:szCs w:val="24"/>
              </w:rPr>
            </w:pPr>
            <w:r>
              <w:rPr>
                <w:sz w:val="18"/>
                <w:szCs w:val="24"/>
              </w:rPr>
              <w:t>92,3</w:t>
            </w:r>
          </w:p>
        </w:tc>
      </w:tr>
      <w:tr w:rsidR="00F92819">
        <w:tc>
          <w:tcPr>
            <w:tcW w:w="3686" w:type="dxa"/>
            <w:tcBorders>
              <w:bottom w:val="single" w:sz="12" w:space="0" w:color="auto"/>
            </w:tcBorders>
            <w:vAlign w:val="bottom"/>
          </w:tcPr>
          <w:p w:rsidR="00F92819" w:rsidRDefault="00F92819">
            <w:pPr>
              <w:spacing w:before="40" w:after="40" w:line="220" w:lineRule="exact"/>
              <w:rPr>
                <w:szCs w:val="24"/>
              </w:rPr>
            </w:pPr>
            <w:r>
              <w:rPr>
                <w:sz w:val="18"/>
                <w:szCs w:val="24"/>
                <w:lang w:val="es-ES_tradnl"/>
              </w:rPr>
              <w:t>Trabajadores no cualificados</w:t>
            </w:r>
          </w:p>
        </w:tc>
        <w:tc>
          <w:tcPr>
            <w:tcW w:w="122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78,3</w:t>
            </w:r>
          </w:p>
        </w:tc>
        <w:tc>
          <w:tcPr>
            <w:tcW w:w="122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77,9</w:t>
            </w:r>
          </w:p>
        </w:tc>
        <w:tc>
          <w:tcPr>
            <w:tcW w:w="122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73,2</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de Israel, Estudio sobre los ingresos, 1995, 1998 y 2006.</w:t>
      </w:r>
    </w:p>
    <w:p w:rsidR="00F92819" w:rsidRDefault="00F92819">
      <w:pPr>
        <w:pStyle w:val="SingleTxtG"/>
        <w:spacing w:before="240"/>
        <w:rPr>
          <w:szCs w:val="24"/>
        </w:rPr>
      </w:pPr>
      <w:r>
        <w:rPr>
          <w:szCs w:val="24"/>
        </w:rPr>
        <w:t>272.</w:t>
      </w:r>
      <w:r>
        <w:rPr>
          <w:szCs w:val="24"/>
        </w:rPr>
        <w:tab/>
      </w:r>
      <w:r>
        <w:rPr>
          <w:szCs w:val="24"/>
          <w:lang w:val="es-ES_tradnl"/>
        </w:rPr>
        <w:t>Las empleadas árabes ganaban un 8% más por hora que los hombres árabes.</w:t>
      </w:r>
      <w:r>
        <w:rPr>
          <w:szCs w:val="24"/>
        </w:rPr>
        <w:t xml:space="preserve"> </w:t>
      </w:r>
      <w:r>
        <w:rPr>
          <w:szCs w:val="24"/>
          <w:lang w:val="es-ES_tradnl"/>
        </w:rPr>
        <w:t>Por lo que respecta al sueldo mensual bruto, los sueldos de los hombres árabes eran más altos en un 35% que los sueldos de las mujeres árabes.</w:t>
      </w:r>
      <w:r>
        <w:rPr>
          <w:szCs w:val="24"/>
        </w:rPr>
        <w:t xml:space="preserve"> </w:t>
      </w:r>
      <w:r>
        <w:rPr>
          <w:szCs w:val="24"/>
          <w:lang w:val="es-ES_tradnl"/>
        </w:rPr>
        <w:t>La diferencia en el sueldo mensual se debe a la diferencia entre las horas de trabajo de los hombres y las de las mujeres, que supone un promedio de 15 horas mensuales.</w:t>
      </w:r>
    </w:p>
    <w:p w:rsidR="00F92819" w:rsidRDefault="00F92819">
      <w:pPr>
        <w:pStyle w:val="SingleTxtG"/>
        <w:rPr>
          <w:szCs w:val="24"/>
        </w:rPr>
      </w:pPr>
      <w:r>
        <w:rPr>
          <w:szCs w:val="24"/>
        </w:rPr>
        <w:t>273.</w:t>
      </w:r>
      <w:r>
        <w:rPr>
          <w:szCs w:val="24"/>
        </w:rPr>
        <w:tab/>
      </w:r>
      <w:r>
        <w:rPr>
          <w:szCs w:val="24"/>
          <w:lang w:val="es-ES_tradnl"/>
        </w:rPr>
        <w:t>El 35% de las mujeres árabes con trabajo están empleadas en profesiones académicas, independientes y técnicas, el 27% como funcionarias administrativas y un máximo del 25% en servicios de ventas y en agencias, en comparación con los hombres árabes: el 27% empleados en profesiones académicas, independientes y técnicas y el 35% como profesionales y no profesionales.</w:t>
      </w:r>
    </w:p>
    <w:p w:rsidR="00F92819" w:rsidRDefault="00F92819">
      <w:pPr>
        <w:pStyle w:val="SingleTxtG"/>
        <w:rPr>
          <w:szCs w:val="24"/>
        </w:rPr>
      </w:pPr>
      <w:r>
        <w:rPr>
          <w:szCs w:val="24"/>
        </w:rPr>
        <w:t>274.</w:t>
      </w:r>
      <w:r>
        <w:rPr>
          <w:szCs w:val="24"/>
        </w:rPr>
        <w:tab/>
      </w:r>
      <w:r>
        <w:rPr>
          <w:szCs w:val="24"/>
          <w:lang w:val="es-ES_tradnl"/>
        </w:rPr>
        <w:t xml:space="preserve">Un informe reciente del Servicio de Acuerdos sobre Salarios y Laborales del Ministerio de Hacienda sobre los costos salariales en la administración pública muestra una tendencia a reducir las diferencias salariales entre empleados y empleadas de la administración pública. </w:t>
      </w:r>
    </w:p>
    <w:p w:rsidR="00F92819" w:rsidRDefault="00F92819">
      <w:pPr>
        <w:pStyle w:val="SingleTxtG"/>
        <w:rPr>
          <w:szCs w:val="24"/>
        </w:rPr>
      </w:pPr>
      <w:r>
        <w:rPr>
          <w:szCs w:val="24"/>
        </w:rPr>
        <w:t>275.</w:t>
      </w:r>
      <w:r>
        <w:rPr>
          <w:szCs w:val="24"/>
        </w:rPr>
        <w:tab/>
      </w:r>
      <w:r>
        <w:rPr>
          <w:szCs w:val="24"/>
          <w:lang w:val="es-ES_tradnl"/>
        </w:rPr>
        <w:t>Se compararon los sueldos de hombres y mujeres en la administración pública en distintas categorías mediante un análisis comparativo de dos períodos:</w:t>
      </w:r>
      <w:r>
        <w:rPr>
          <w:szCs w:val="24"/>
        </w:rPr>
        <w:t xml:space="preserve"> </w:t>
      </w:r>
      <w:r>
        <w:rPr>
          <w:szCs w:val="24"/>
          <w:lang w:val="es-ES_tradnl"/>
        </w:rPr>
        <w:t>noviembre de 2006 frente a mayo de 2002 y noviembre de 2006 frente a mayo de 1997. Cabe destacar que noviembre y mayo son meses en que no se pagan complementos salariales especiales (por una sola vez).</w:t>
      </w:r>
      <w:r>
        <w:rPr>
          <w:szCs w:val="24"/>
        </w:rPr>
        <w:t xml:space="preserve"> </w:t>
      </w:r>
      <w:r>
        <w:rPr>
          <w:szCs w:val="24"/>
          <w:lang w:val="es-ES_tradnl"/>
        </w:rPr>
        <w:t>Los datos salariales examinados fueron los siguientes:</w:t>
      </w:r>
      <w:r>
        <w:rPr>
          <w:szCs w:val="24"/>
        </w:rPr>
        <w:t xml:space="preserve"> </w:t>
      </w:r>
      <w:r>
        <w:rPr>
          <w:szCs w:val="24"/>
          <w:lang w:val="es-ES_tradnl"/>
        </w:rPr>
        <w:t>número de puestos, salario medio pensionable, promedio de horas extraordinarias, reembolso medio de gastos y salario bruto medio.</w:t>
      </w:r>
    </w:p>
    <w:p w:rsidR="00F92819" w:rsidRDefault="00F92819">
      <w:pPr>
        <w:pStyle w:val="SingleTxtG"/>
        <w:rPr>
          <w:szCs w:val="24"/>
        </w:rPr>
      </w:pPr>
      <w:r>
        <w:rPr>
          <w:szCs w:val="24"/>
        </w:rPr>
        <w:t>276.</w:t>
      </w:r>
      <w:r>
        <w:rPr>
          <w:szCs w:val="24"/>
        </w:rPr>
        <w:tab/>
      </w:r>
      <w:r>
        <w:rPr>
          <w:szCs w:val="24"/>
          <w:lang w:val="es-ES_tradnl"/>
        </w:rPr>
        <w:t>El fenómeno más significativo que tuvo lugar en estos períodos fue el crecimiento relativo del número de mujeres empleadas en la administración pública en comparación con el número de hombres, y la reducción considerable de la diferencia de reembolso de gastos entre mujeres y hombres, una tendencia que siguió en 2007.</w:t>
      </w:r>
    </w:p>
    <w:p w:rsidR="00F92819" w:rsidRDefault="00F92819">
      <w:pPr>
        <w:pStyle w:val="SingleTxtG"/>
        <w:rPr>
          <w:szCs w:val="24"/>
        </w:rPr>
      </w:pPr>
      <w:r>
        <w:rPr>
          <w:szCs w:val="24"/>
        </w:rPr>
        <w:t>277.</w:t>
      </w:r>
      <w:r>
        <w:rPr>
          <w:szCs w:val="24"/>
        </w:rPr>
        <w:tab/>
      </w:r>
      <w:r>
        <w:rPr>
          <w:szCs w:val="24"/>
          <w:lang w:val="es-ES_tradnl"/>
        </w:rPr>
        <w:t>En comparación con 1997, los datos indican que la diferencia entre empleados y empleadas en lo que respecta a las horas extraordinarias ha aumentado un 3%.</w:t>
      </w:r>
      <w:r>
        <w:rPr>
          <w:szCs w:val="24"/>
        </w:rPr>
        <w:t xml:space="preserve"> </w:t>
      </w:r>
      <w:r>
        <w:rPr>
          <w:szCs w:val="24"/>
          <w:lang w:val="es-ES_tradnl"/>
        </w:rPr>
        <w:t>En los tres elementos restantes se redujeron las diferencias, a saber:</w:t>
      </w:r>
      <w:r>
        <w:rPr>
          <w:szCs w:val="24"/>
        </w:rPr>
        <w:t xml:space="preserve"> </w:t>
      </w:r>
      <w:r>
        <w:rPr>
          <w:szCs w:val="24"/>
          <w:lang w:val="es-ES_tradnl"/>
        </w:rPr>
        <w:t>a una tasa del 2% para el salario pensionable, a una tasa del 15% para el reembolso de gastos y a una tasa del 3% en el salario bruto.</w:t>
      </w:r>
    </w:p>
    <w:p w:rsidR="00F92819" w:rsidRDefault="00F92819">
      <w:pPr>
        <w:pStyle w:val="SingleTxtG"/>
        <w:rPr>
          <w:szCs w:val="24"/>
        </w:rPr>
      </w:pPr>
      <w:r>
        <w:rPr>
          <w:szCs w:val="24"/>
        </w:rPr>
        <w:t>278.</w:t>
      </w:r>
      <w:r>
        <w:rPr>
          <w:szCs w:val="24"/>
        </w:rPr>
        <w:tab/>
      </w:r>
      <w:r>
        <w:rPr>
          <w:szCs w:val="24"/>
          <w:lang w:val="es-ES_tradnl"/>
        </w:rPr>
        <w:t>Sobre los empleados en puestos de dirección, los datos revelan que en un período de nueve años la relación de puestos ocupados por hombres frente a los puestos de mujeres se redujo considerablemente, lo cual significa que se emplean más mujeres en la categoría de dirección. En todos los índices salariales distintos de las horas extraordinarias se produjo una reducción de las diferencias.</w:t>
      </w:r>
      <w:r>
        <w:rPr>
          <w:szCs w:val="24"/>
        </w:rPr>
        <w:t xml:space="preserve"> </w:t>
      </w:r>
      <w:r>
        <w:rPr>
          <w:szCs w:val="24"/>
          <w:lang w:val="es-ES_tradnl"/>
        </w:rPr>
        <w:t>La diferencia solamente aumentó en relación con el trabajo en horas extraordinarias, a una tasa del 5%.</w:t>
      </w:r>
      <w:r>
        <w:rPr>
          <w:szCs w:val="24"/>
        </w:rPr>
        <w:t xml:space="preserve"> </w:t>
      </w:r>
      <w:r>
        <w:rPr>
          <w:szCs w:val="24"/>
          <w:lang w:val="es-ES_tradnl"/>
        </w:rPr>
        <w:t>Cabe destacar la reducción notable del apartado correspondiente al reembolso de gastos (15%).</w:t>
      </w:r>
    </w:p>
    <w:p w:rsidR="00F92819" w:rsidRDefault="00F92819">
      <w:pPr>
        <w:pStyle w:val="SingleTxtG"/>
        <w:rPr>
          <w:szCs w:val="24"/>
        </w:rPr>
      </w:pPr>
      <w:r>
        <w:rPr>
          <w:szCs w:val="24"/>
        </w:rPr>
        <w:t>279.</w:t>
      </w:r>
      <w:r>
        <w:rPr>
          <w:szCs w:val="24"/>
        </w:rPr>
        <w:tab/>
      </w:r>
      <w:r>
        <w:rPr>
          <w:szCs w:val="24"/>
          <w:lang w:val="es-ES_tradnl"/>
        </w:rPr>
        <w:t>Debe notarse que una parte significativa de la diferencia existente se deriva de la colocación en las distintas categorías.</w:t>
      </w:r>
      <w:r>
        <w:rPr>
          <w:szCs w:val="24"/>
        </w:rPr>
        <w:t xml:space="preserve"> </w:t>
      </w:r>
      <w:r>
        <w:rPr>
          <w:szCs w:val="24"/>
          <w:lang w:val="es-ES_tradnl"/>
        </w:rPr>
        <w:t>Evidentemente, el puesto y la categoría influyen considerablemente en el salario. Dado que la mayoría de las empleadas de la administración pública ocupan puestos administrativos, y por consiguiente categorías inferiores a las de los empleados, sus salarios son más bajos.</w:t>
      </w:r>
    </w:p>
    <w:p w:rsidR="00F92819" w:rsidRDefault="00F92819">
      <w:pPr>
        <w:pStyle w:val="SingleTxtG"/>
        <w:rPr>
          <w:szCs w:val="24"/>
        </w:rPr>
      </w:pPr>
      <w:r>
        <w:rPr>
          <w:szCs w:val="24"/>
        </w:rPr>
        <w:t>280.</w:t>
      </w:r>
      <w:r>
        <w:rPr>
          <w:szCs w:val="24"/>
        </w:rPr>
        <w:tab/>
      </w:r>
      <w:r>
        <w:rPr>
          <w:szCs w:val="24"/>
          <w:lang w:val="es-ES_tradnl"/>
        </w:rPr>
        <w:t>Como en otros aspectos de la protección de la igualdad, el órgano judicial de Israel participa de forma activa. En octubre de 2002 el Tribunal Superior de Justicia emitió su veredicto en la solicitud sobre el caso de Eytana Niv que se detalla en el informe anterior de Israel.</w:t>
      </w:r>
      <w:r>
        <w:rPr>
          <w:szCs w:val="24"/>
        </w:rPr>
        <w:t xml:space="preserve"> </w:t>
      </w:r>
      <w:r>
        <w:rPr>
          <w:szCs w:val="24"/>
          <w:lang w:val="es-ES_tradnl"/>
        </w:rPr>
        <w:t>El fallo trata de las disposiciones relativas a la jubilación anticipada de los empleados del Fondo, que preveía beneficios preferentes para los empleados hasta cumplir 65 años, mientras que a las empleadas otorgaba estos beneficios únicamente hasta cumplir 60 años. El Tribunal definió la discriminación como “un trato desigual e injusto dado a personas iguales”.</w:t>
      </w:r>
      <w:r>
        <w:rPr>
          <w:szCs w:val="24"/>
        </w:rPr>
        <w:t xml:space="preserve"> </w:t>
      </w:r>
      <w:r>
        <w:rPr>
          <w:szCs w:val="24"/>
          <w:lang w:val="es-ES_tradnl"/>
        </w:rPr>
        <w:t>El Tribunal estipulaba, en consecuencia, que el Fondo debe otorgar a las mujeres los mismos derechos que a los hombres en el marco de las disposiciones de jubilación y que el Fondo discriminaba a las demandantes.</w:t>
      </w:r>
      <w:r>
        <w:rPr>
          <w:szCs w:val="24"/>
        </w:rPr>
        <w:t xml:space="preserve"> </w:t>
      </w:r>
      <w:r>
        <w:rPr>
          <w:szCs w:val="24"/>
          <w:lang w:val="es-ES_tradnl"/>
        </w:rPr>
        <w:t>El Tribunal declaró asimismo que la igualdad es un valor fundamental en el sistema jurídico israelí y que la discriminación basada en el género es una de las formas más graves de discriminación.</w:t>
      </w:r>
      <w:r>
        <w:rPr>
          <w:szCs w:val="24"/>
        </w:rPr>
        <w:t xml:space="preserve"> </w:t>
      </w:r>
      <w:r>
        <w:rPr>
          <w:szCs w:val="24"/>
          <w:lang w:val="es-ES_tradnl"/>
        </w:rPr>
        <w:t>El Estado de Israel, a lo largo de los años, aseguró la igualdad entre los géneros y sólo consideraciones excepcionales justificarían no aplicarla.</w:t>
      </w:r>
      <w:r>
        <w:rPr>
          <w:szCs w:val="24"/>
        </w:rPr>
        <w:t xml:space="preserve"> </w:t>
      </w:r>
      <w:r>
        <w:rPr>
          <w:szCs w:val="24"/>
          <w:lang w:val="es-ES_tradnl"/>
        </w:rPr>
        <w:t>La discriminación contra las mujeres es evidentemente contraria al orden público y esencialmente nula.</w:t>
      </w:r>
      <w:r>
        <w:rPr>
          <w:szCs w:val="24"/>
        </w:rPr>
        <w:t xml:space="preserve"> </w:t>
      </w:r>
      <w:r>
        <w:rPr>
          <w:szCs w:val="24"/>
          <w:lang w:val="es-ES_tradnl"/>
        </w:rPr>
        <w:t>Posteriormente el Tribunal ordenó la supresión de las disposiciones discriminatorias relativas a la jubilación anticipada (H.C.J 6845/00</w:t>
      </w:r>
      <w:r>
        <w:rPr>
          <w:i/>
          <w:szCs w:val="24"/>
          <w:lang w:val="es-ES_tradnl"/>
        </w:rPr>
        <w:t xml:space="preserve"> Eitana Niv et. al. c. The Klalit Health Fund</w:t>
      </w:r>
      <w:r>
        <w:rPr>
          <w:szCs w:val="24"/>
          <w:lang w:val="es-ES_tradnl"/>
        </w:rPr>
        <w:t xml:space="preserve"> (9 de octubre de 2002)).</w:t>
      </w:r>
    </w:p>
    <w:p w:rsidR="00F92819" w:rsidRDefault="00F92819">
      <w:pPr>
        <w:pStyle w:val="SingleTxtG"/>
        <w:rPr>
          <w:szCs w:val="24"/>
        </w:rPr>
      </w:pPr>
      <w:r>
        <w:rPr>
          <w:szCs w:val="24"/>
        </w:rPr>
        <w:t>281.</w:t>
      </w:r>
      <w:r>
        <w:rPr>
          <w:szCs w:val="24"/>
        </w:rPr>
        <w:tab/>
      </w:r>
      <w:r>
        <w:rPr>
          <w:szCs w:val="24"/>
          <w:lang w:val="es-ES_tradnl"/>
        </w:rPr>
        <w:t>El 26 de julio de 2007, al desestimar un recurso de una ex empleada que afirmaba haber sido objeto de discriminación en cuanto a sueldo y prestaciones de jubilación, el Tribunal Laboral de Israel subrayó que la prohibición de la discriminación deriva del principio de igualdad y está establecida en la</w:t>
      </w:r>
      <w:r>
        <w:rPr>
          <w:i/>
          <w:szCs w:val="24"/>
          <w:lang w:val="es-ES_tradnl"/>
        </w:rPr>
        <w:t xml:space="preserve"> Ley de igualdad de remuneración para los trabajadores y trabajadoras</w:t>
      </w:r>
      <w:r>
        <w:rPr>
          <w:szCs w:val="24"/>
          <w:lang w:val="es-ES_tradnl"/>
        </w:rPr>
        <w:t xml:space="preserve"> de 5724/1964 y la </w:t>
      </w:r>
      <w:r>
        <w:rPr>
          <w:i/>
          <w:szCs w:val="24"/>
          <w:lang w:val="es-ES_tradnl"/>
        </w:rPr>
        <w:t>Ley de igualdad de oportunidades de empleo</w:t>
      </w:r>
      <w:r>
        <w:rPr>
          <w:szCs w:val="24"/>
          <w:lang w:val="es-ES_tradnl"/>
        </w:rPr>
        <w:t>.</w:t>
      </w:r>
    </w:p>
    <w:p w:rsidR="00F92819" w:rsidRDefault="00F92819">
      <w:pPr>
        <w:pStyle w:val="SingleTxtG"/>
        <w:rPr>
          <w:szCs w:val="24"/>
        </w:rPr>
      </w:pPr>
      <w:r>
        <w:rPr>
          <w:szCs w:val="24"/>
          <w:lang w:val="es-ES_tradnl"/>
        </w:rPr>
        <w:t>En este caso, una ex empleada del Knesset afirmaba haber sido objeto de discriminación en cuanto a sueldo y prestaciones de jubilación con respecto a sus colegas varones.</w:t>
      </w:r>
      <w:r>
        <w:rPr>
          <w:szCs w:val="24"/>
        </w:rPr>
        <w:t xml:space="preserve"> </w:t>
      </w:r>
      <w:r>
        <w:rPr>
          <w:szCs w:val="24"/>
          <w:lang w:val="es-ES_tradnl"/>
        </w:rPr>
        <w:t xml:space="preserve">El Tribunal consideró que la apelante no había probado que hubiera sido objeto de discriminación con respecto a sus colegas varones, ni sobre la base de la </w:t>
      </w:r>
      <w:r>
        <w:rPr>
          <w:i/>
          <w:szCs w:val="24"/>
          <w:lang w:val="es-ES_tradnl"/>
        </w:rPr>
        <w:t>Ley de igualdad de remuneración para los trabajadores y trabajadoras</w:t>
      </w:r>
      <w:r>
        <w:rPr>
          <w:szCs w:val="24"/>
          <w:lang w:val="es-ES_tradnl"/>
        </w:rPr>
        <w:t xml:space="preserve"> ni sobre la base de la </w:t>
      </w:r>
      <w:r>
        <w:rPr>
          <w:i/>
          <w:szCs w:val="24"/>
          <w:lang w:val="es-ES_tradnl"/>
        </w:rPr>
        <w:t>Ley de igualdad de oportunidades de empleo</w:t>
      </w:r>
      <w:r>
        <w:rPr>
          <w:szCs w:val="24"/>
          <w:lang w:val="es-ES_tradnl"/>
        </w:rPr>
        <w:t>, puesto que no demostró que hubiera ninguna relación entre la discriminación alegada y el hecho de ser mujer.</w:t>
      </w:r>
      <w:r>
        <w:rPr>
          <w:szCs w:val="24"/>
        </w:rPr>
        <w:t xml:space="preserve"> </w:t>
      </w:r>
      <w:r>
        <w:rPr>
          <w:szCs w:val="24"/>
          <w:lang w:val="es-ES_tradnl"/>
        </w:rPr>
        <w:t xml:space="preserve">(La.A. 222/06 </w:t>
      </w:r>
      <w:r>
        <w:rPr>
          <w:i/>
          <w:szCs w:val="24"/>
          <w:lang w:val="es-ES_tradnl"/>
        </w:rPr>
        <w:t>Shoshana Kerem c. el Estado de Israel</w:t>
      </w:r>
      <w:r>
        <w:rPr>
          <w:szCs w:val="24"/>
          <w:lang w:val="es-ES_tradnl"/>
        </w:rPr>
        <w:t>).</w:t>
      </w:r>
    </w:p>
    <w:p w:rsidR="00F92819" w:rsidRDefault="00F92819">
      <w:pPr>
        <w:pStyle w:val="SingleTxtG"/>
        <w:rPr>
          <w:szCs w:val="24"/>
        </w:rPr>
      </w:pPr>
      <w:r>
        <w:rPr>
          <w:szCs w:val="24"/>
        </w:rPr>
        <w:t>282.</w:t>
      </w:r>
      <w:r>
        <w:rPr>
          <w:szCs w:val="24"/>
        </w:rPr>
        <w:tab/>
      </w:r>
      <w:r>
        <w:rPr>
          <w:szCs w:val="24"/>
          <w:lang w:val="es-ES_tradnl"/>
        </w:rPr>
        <w:t>El 20 de noviembre de 2007 el Tribunal Laboral de Israel decidió que la “libertad de contratación” no justificaba una discriminación como la demostrada por el pago de sueldos diferentes a los hombres y a las mujeres por un trabajo igual.</w:t>
      </w:r>
      <w:r>
        <w:rPr>
          <w:szCs w:val="24"/>
        </w:rPr>
        <w:t xml:space="preserve"> </w:t>
      </w:r>
      <w:r>
        <w:rPr>
          <w:szCs w:val="24"/>
          <w:lang w:val="es-ES_tradnl"/>
        </w:rPr>
        <w:t xml:space="preserve">El tribunal declaró que en tales casos el principio de igualdad prevalecía sobre la libertad de contratación (L.A 1156/04 </w:t>
      </w:r>
      <w:r>
        <w:rPr>
          <w:i/>
          <w:szCs w:val="24"/>
          <w:lang w:val="es-ES_tradnl"/>
        </w:rPr>
        <w:t xml:space="preserve">Orit Goren c. </w:t>
      </w:r>
      <w:smartTag w:uri="urn:schemas-microsoft-com:office:smarttags" w:element="PersonName">
        <w:smartTagPr>
          <w:attr w:name="ProductID" w:val="la Home Center"/>
        </w:smartTagPr>
        <w:r>
          <w:rPr>
            <w:i/>
            <w:szCs w:val="24"/>
            <w:lang w:val="es-ES_tradnl"/>
          </w:rPr>
          <w:t>la Home Center</w:t>
        </w:r>
      </w:smartTag>
      <w:r>
        <w:rPr>
          <w:i/>
          <w:szCs w:val="24"/>
          <w:lang w:val="es-ES_tradnl"/>
        </w:rPr>
        <w:t xml:space="preserve"> (Do It Yourself) Ltd.</w:t>
      </w:r>
      <w:r>
        <w:rPr>
          <w:szCs w:val="24"/>
          <w:lang w:val="es-ES_tradnl"/>
        </w:rPr>
        <w:t>).</w:t>
      </w:r>
      <w:r>
        <w:rPr>
          <w:szCs w:val="24"/>
        </w:rPr>
        <w:t xml:space="preserve"> </w:t>
      </w:r>
      <w:r>
        <w:rPr>
          <w:szCs w:val="24"/>
          <w:lang w:val="es-ES_tradnl"/>
        </w:rPr>
        <w:t>En este caso, la demandante había dimitido al cabo de cuatro meses de trabajo, después de que el empleador negara su afirmación de que padecía discriminación en el sueldo.</w:t>
      </w:r>
      <w:r>
        <w:rPr>
          <w:szCs w:val="24"/>
        </w:rPr>
        <w:t xml:space="preserve"> </w:t>
      </w:r>
      <w:r>
        <w:rPr>
          <w:szCs w:val="24"/>
          <w:lang w:val="es-ES_tradnl"/>
        </w:rPr>
        <w:t>La demandante había comparado su sueldo con el de un colega varón que recibía 1.500 nuevos sheqalim (405 dólares de los EE.UU.) más que ella, aunque ambos desempeñaban el mismo trabajo.</w:t>
      </w:r>
      <w:r>
        <w:rPr>
          <w:szCs w:val="24"/>
        </w:rPr>
        <w:t xml:space="preserve"> </w:t>
      </w:r>
      <w:r>
        <w:rPr>
          <w:szCs w:val="24"/>
          <w:lang w:val="es-ES_tradnl"/>
        </w:rPr>
        <w:t>El demandado respondió que la diferencia de sueldo se debía a las negociaciones que se llevaban a cabo con todos los trabajadores antes de la contratación, durante las cuales la demandante había pedido menos remuneración que el otro empleado.</w:t>
      </w:r>
      <w:r>
        <w:rPr>
          <w:szCs w:val="24"/>
        </w:rPr>
        <w:t xml:space="preserve"> </w:t>
      </w:r>
      <w:r>
        <w:rPr>
          <w:szCs w:val="24"/>
          <w:lang w:val="es-ES_tradnl"/>
        </w:rPr>
        <w:t>El tribunal inferior falló que no había justificación de la diferencia entre el sueldo que se pagaba a la demandante y el que se pagaba a su colega, y afirmó que la demandante había sido objeto de discriminación sólo por razón de su género.</w:t>
      </w:r>
    </w:p>
    <w:p w:rsidR="00F92819" w:rsidRDefault="00F92819">
      <w:pPr>
        <w:pStyle w:val="SingleTxtG"/>
        <w:rPr>
          <w:szCs w:val="24"/>
        </w:rPr>
      </w:pPr>
      <w:r>
        <w:rPr>
          <w:szCs w:val="24"/>
          <w:lang w:val="es-ES_tradnl"/>
        </w:rPr>
        <w:t xml:space="preserve">El Tribunal Laboral de Israel rechazó la afirmación de que la “libertad de contratación” justificara la discriminación en el sueldo, aprobó por unanimidad la decisión del tribunal inferior y concedió una indemnización de 7.000 nuevos sheqalim (1.891,9 dólares de los EE.UU.) a la demandante por sus cuatro meses de trabajo, sobre la base de la </w:t>
      </w:r>
      <w:r>
        <w:rPr>
          <w:i/>
          <w:szCs w:val="24"/>
          <w:lang w:val="es-ES_tradnl"/>
        </w:rPr>
        <w:t>Ley de igualdad de remuneración para los trabajadores y trabajadoras</w:t>
      </w:r>
      <w:r>
        <w:rPr>
          <w:szCs w:val="24"/>
          <w:lang w:val="es-ES_tradnl"/>
        </w:rPr>
        <w:t>.</w:t>
      </w:r>
      <w:r>
        <w:rPr>
          <w:szCs w:val="24"/>
        </w:rPr>
        <w:t xml:space="preserve"> </w:t>
      </w:r>
      <w:r>
        <w:rPr>
          <w:szCs w:val="24"/>
          <w:lang w:val="es-ES_tradnl"/>
        </w:rPr>
        <w:t xml:space="preserve">Sin embargo, la mayoría del Tribunal, a diferencia del tribunal inferior, opinó que como la diferencia de sueldo era resultado de negociaciones anteriores al empleo, la demandante no había padecido discriminación en el sentido de la </w:t>
      </w:r>
      <w:r>
        <w:rPr>
          <w:i/>
          <w:szCs w:val="24"/>
          <w:lang w:val="es-ES_tradnl"/>
        </w:rPr>
        <w:t>Ley de igualdad de oportunidades en el empleo</w:t>
      </w:r>
      <w:r>
        <w:rPr>
          <w:szCs w:val="24"/>
          <w:lang w:val="es-ES_tradnl"/>
        </w:rPr>
        <w:t xml:space="preserve"> y, por tanto, no tenía derecho a indemnización por daños no pecuniarios.</w:t>
      </w:r>
      <w:r>
        <w:rPr>
          <w:szCs w:val="24"/>
        </w:rPr>
        <w:t xml:space="preserve"> </w:t>
      </w:r>
      <w:r>
        <w:rPr>
          <w:szCs w:val="24"/>
          <w:lang w:val="es-ES_tradnl"/>
        </w:rPr>
        <w:t xml:space="preserve">No obstante, el Presidente del Tribunal Laboral de Israel disintió de la mayoría y argumentó que no había diferencia en el grado de prueba necesario para la concesión de una indemnización por la infracción de las dos leyes y aceptó el fallo del tribunal inferior, concediendo indemnización adicional a la demandante sobre la base de la </w:t>
      </w:r>
      <w:r>
        <w:rPr>
          <w:i/>
          <w:szCs w:val="24"/>
          <w:lang w:val="es-ES_tradnl"/>
        </w:rPr>
        <w:t>Ley de igualdad de oportunidades de empleo</w:t>
      </w:r>
      <w:r>
        <w:rPr>
          <w:szCs w:val="24"/>
          <w:lang w:val="es-ES_tradnl"/>
        </w:rPr>
        <w:t>.</w:t>
      </w:r>
    </w:p>
    <w:p w:rsidR="00F92819" w:rsidRDefault="00F92819">
      <w:pPr>
        <w:pStyle w:val="SingleTxtG"/>
        <w:rPr>
          <w:szCs w:val="24"/>
        </w:rPr>
      </w:pPr>
      <w:r>
        <w:rPr>
          <w:szCs w:val="24"/>
        </w:rPr>
        <w:t>283.</w:t>
      </w:r>
      <w:r>
        <w:rPr>
          <w:szCs w:val="24"/>
        </w:rPr>
        <w:tab/>
      </w:r>
      <w:r>
        <w:rPr>
          <w:szCs w:val="24"/>
          <w:lang w:val="es-ES_tradnl"/>
        </w:rPr>
        <w:t xml:space="preserve">En noviembre de 2003 el Tribunal Laboral de Be’er-Sheva adoptó una decisión a favor de una empleada que recibió un salario inferior al de sus homólogos masculinos (La. 1576/99 </w:t>
      </w:r>
      <w:r>
        <w:rPr>
          <w:i/>
          <w:szCs w:val="24"/>
          <w:lang w:val="es-ES_tradnl"/>
        </w:rPr>
        <w:t xml:space="preserve">Simmy Niddam c. </w:t>
      </w:r>
      <w:smartTag w:uri="urn:schemas-microsoft-com:office:smarttags" w:element="PersonName">
        <w:smartTagPr>
          <w:attr w:name="ProductID" w:val="la Rally Electricity"/>
        </w:smartTagPr>
        <w:r>
          <w:rPr>
            <w:i/>
            <w:szCs w:val="24"/>
            <w:lang w:val="es-ES_tradnl"/>
          </w:rPr>
          <w:t>la Rally Electricity</w:t>
        </w:r>
      </w:smartTag>
      <w:r>
        <w:rPr>
          <w:i/>
          <w:szCs w:val="24"/>
          <w:lang w:val="es-ES_tradnl"/>
        </w:rPr>
        <w:t xml:space="preserve"> and Electronics Ltd</w:t>
      </w:r>
      <w:r>
        <w:rPr>
          <w:szCs w:val="24"/>
          <w:lang w:val="es-ES_tradnl"/>
        </w:rPr>
        <w:t xml:space="preserve"> (3 de noviembre de 2003)).</w:t>
      </w:r>
      <w:r>
        <w:rPr>
          <w:szCs w:val="24"/>
        </w:rPr>
        <w:t xml:space="preserve"> </w:t>
      </w:r>
      <w:r>
        <w:rPr>
          <w:szCs w:val="24"/>
          <w:lang w:val="es-ES_tradnl"/>
        </w:rPr>
        <w:t>El Tribunal otorgó a la demandante todas las prestaciones sociales junto con una indemnización por la aflicción que se le había causado por una suma de 30.000 nuevos sheqalim (unos 8.100 dólares de los EE.UU.).</w:t>
      </w:r>
    </w:p>
    <w:p w:rsidR="00F92819" w:rsidRDefault="00F92819">
      <w:pPr>
        <w:pStyle w:val="H23G"/>
        <w:rPr>
          <w:szCs w:val="24"/>
        </w:rPr>
      </w:pPr>
      <w:r>
        <w:rPr>
          <w:szCs w:val="24"/>
        </w:rPr>
        <w:tab/>
      </w:r>
      <w:r>
        <w:rPr>
          <w:szCs w:val="24"/>
        </w:rPr>
        <w:tab/>
      </w:r>
      <w:r>
        <w:rPr>
          <w:szCs w:val="24"/>
          <w:lang w:val="es-ES_tradnl"/>
        </w:rPr>
        <w:t>Distribución de los ingresos de los empleados</w:t>
      </w:r>
    </w:p>
    <w:p w:rsidR="00F92819" w:rsidRDefault="00F92819">
      <w:pPr>
        <w:pStyle w:val="SingleTxtG"/>
        <w:rPr>
          <w:szCs w:val="24"/>
        </w:rPr>
      </w:pPr>
      <w:r>
        <w:rPr>
          <w:szCs w:val="24"/>
        </w:rPr>
        <w:t>284.</w:t>
      </w:r>
      <w:r>
        <w:rPr>
          <w:szCs w:val="24"/>
        </w:rPr>
        <w:tab/>
      </w:r>
      <w:r>
        <w:rPr>
          <w:szCs w:val="24"/>
          <w:lang w:val="es-ES_tradnl"/>
        </w:rPr>
        <w:t>A continuación se dan los datos sobre la distribución de los ingresos de 2007.</w:t>
      </w:r>
    </w:p>
    <w:p w:rsidR="00F92819" w:rsidRDefault="00F92819" w:rsidP="005D0AA3">
      <w:pPr>
        <w:pStyle w:val="Heading1"/>
        <w:spacing w:before="240"/>
        <w:rPr>
          <w:szCs w:val="24"/>
        </w:rPr>
      </w:pPr>
      <w:r>
        <w:rPr>
          <w:szCs w:val="24"/>
          <w:lang w:val="es-ES_tradnl"/>
        </w:rPr>
        <w:t>Cuadro 11</w:t>
      </w:r>
    </w:p>
    <w:p w:rsidR="00F92819" w:rsidRDefault="00F92819" w:rsidP="005D0AA3">
      <w:pPr>
        <w:pStyle w:val="SingleTxtG"/>
        <w:keepNext/>
        <w:rPr>
          <w:szCs w:val="24"/>
        </w:rPr>
      </w:pPr>
      <w:r>
        <w:rPr>
          <w:b/>
          <w:szCs w:val="24"/>
          <w:lang w:val="es-ES_tradnl"/>
        </w:rPr>
        <w:t>Ingresos brutos por empleado, por ocupación y género,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366"/>
        <w:gridCol w:w="1001"/>
        <w:gridCol w:w="1001"/>
        <w:gridCol w:w="1001"/>
        <w:gridCol w:w="1001"/>
      </w:tblGrid>
      <w:tr w:rsidR="00F92819">
        <w:trPr>
          <w:tblHeader/>
        </w:trPr>
        <w:tc>
          <w:tcPr>
            <w:tcW w:w="3366" w:type="dxa"/>
            <w:tcBorders>
              <w:top w:val="single" w:sz="4" w:space="0" w:color="auto"/>
              <w:bottom w:val="single" w:sz="12" w:space="0" w:color="auto"/>
            </w:tcBorders>
            <w:vAlign w:val="bottom"/>
          </w:tcPr>
          <w:p w:rsidR="00F92819" w:rsidRDefault="00F92819">
            <w:pPr>
              <w:spacing w:before="80" w:after="80" w:line="200" w:lineRule="exact"/>
              <w:rPr>
                <w:i/>
                <w:sz w:val="16"/>
                <w:szCs w:val="24"/>
              </w:rPr>
            </w:pPr>
          </w:p>
        </w:tc>
        <w:tc>
          <w:tcPr>
            <w:tcW w:w="1001"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Empleados (en miles)</w:t>
            </w:r>
          </w:p>
        </w:tc>
        <w:tc>
          <w:tcPr>
            <w:tcW w:w="1001"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Ingresos brutos (nuevos sheqalim mensuales)</w:t>
            </w:r>
          </w:p>
        </w:tc>
        <w:tc>
          <w:tcPr>
            <w:tcW w:w="1001"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Ingresos brutos (nuevos sheqalim por hora de trabajo)</w:t>
            </w:r>
          </w:p>
        </w:tc>
        <w:tc>
          <w:tcPr>
            <w:tcW w:w="1001"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Horas de trabajo por semana</w:t>
            </w:r>
          </w:p>
        </w:tc>
      </w:tr>
      <w:tr w:rsidR="00F92819">
        <w:tc>
          <w:tcPr>
            <w:tcW w:w="3366" w:type="dxa"/>
            <w:tcBorders>
              <w:top w:val="single" w:sz="12" w:space="0" w:color="auto"/>
            </w:tcBorders>
            <w:vAlign w:val="bottom"/>
          </w:tcPr>
          <w:p w:rsidR="00F92819" w:rsidRDefault="00F92819">
            <w:pPr>
              <w:spacing w:before="40" w:after="40" w:line="220" w:lineRule="exact"/>
              <w:rPr>
                <w:szCs w:val="24"/>
              </w:rPr>
            </w:pPr>
            <w:r>
              <w:rPr>
                <w:i/>
                <w:sz w:val="16"/>
                <w:szCs w:val="24"/>
                <w:lang w:val="es-ES_tradnl"/>
              </w:rPr>
              <w:t>Todos los empleados</w:t>
            </w:r>
          </w:p>
        </w:tc>
        <w:tc>
          <w:tcPr>
            <w:tcW w:w="1001" w:type="dxa"/>
            <w:tcBorders>
              <w:top w:val="single" w:sz="12" w:space="0" w:color="auto"/>
            </w:tcBorders>
            <w:vAlign w:val="bottom"/>
          </w:tcPr>
          <w:p w:rsidR="00F92819" w:rsidRDefault="00F92819">
            <w:pPr>
              <w:spacing w:before="40" w:after="40" w:line="220" w:lineRule="exact"/>
              <w:jc w:val="right"/>
              <w:rPr>
                <w:sz w:val="18"/>
                <w:szCs w:val="24"/>
              </w:rPr>
            </w:pPr>
          </w:p>
        </w:tc>
        <w:tc>
          <w:tcPr>
            <w:tcW w:w="1001" w:type="dxa"/>
            <w:tcBorders>
              <w:top w:val="single" w:sz="12" w:space="0" w:color="auto"/>
            </w:tcBorders>
            <w:vAlign w:val="bottom"/>
          </w:tcPr>
          <w:p w:rsidR="00F92819" w:rsidRDefault="00F92819">
            <w:pPr>
              <w:spacing w:before="40" w:after="40" w:line="220" w:lineRule="exact"/>
              <w:jc w:val="right"/>
              <w:rPr>
                <w:sz w:val="18"/>
                <w:szCs w:val="24"/>
              </w:rPr>
            </w:pPr>
          </w:p>
        </w:tc>
        <w:tc>
          <w:tcPr>
            <w:tcW w:w="1001" w:type="dxa"/>
            <w:tcBorders>
              <w:top w:val="single" w:sz="12" w:space="0" w:color="auto"/>
            </w:tcBorders>
            <w:vAlign w:val="bottom"/>
          </w:tcPr>
          <w:p w:rsidR="00F92819" w:rsidRDefault="00F92819">
            <w:pPr>
              <w:spacing w:before="40" w:after="40" w:line="220" w:lineRule="exact"/>
              <w:jc w:val="right"/>
              <w:rPr>
                <w:sz w:val="18"/>
                <w:szCs w:val="24"/>
              </w:rPr>
            </w:pPr>
          </w:p>
        </w:tc>
        <w:tc>
          <w:tcPr>
            <w:tcW w:w="1001" w:type="dxa"/>
            <w:tcBorders>
              <w:top w:val="single" w:sz="12" w:space="0" w:color="auto"/>
            </w:tcBorders>
            <w:vAlign w:val="bottom"/>
          </w:tcPr>
          <w:p w:rsidR="00F92819" w:rsidRDefault="00F92819">
            <w:pPr>
              <w:spacing w:before="40" w:after="40" w:line="220" w:lineRule="exact"/>
              <w:jc w:val="right"/>
              <w:rPr>
                <w:sz w:val="18"/>
                <w:szCs w:val="24"/>
              </w:rPr>
            </w:pPr>
          </w:p>
        </w:tc>
      </w:tr>
      <w:tr w:rsidR="00F92819">
        <w:tc>
          <w:tcPr>
            <w:tcW w:w="3366" w:type="dxa"/>
            <w:vAlign w:val="bottom"/>
          </w:tcPr>
          <w:p w:rsidR="00F92819" w:rsidRDefault="00F92819">
            <w:pPr>
              <w:spacing w:before="40" w:after="40" w:line="220" w:lineRule="exact"/>
              <w:rPr>
                <w:szCs w:val="24"/>
              </w:rPr>
            </w:pPr>
            <w:r>
              <w:rPr>
                <w:sz w:val="18"/>
                <w:szCs w:val="24"/>
                <w:lang w:val="es-ES_tradnl"/>
              </w:rPr>
              <w:t>Profesionales académicos</w:t>
            </w:r>
          </w:p>
        </w:tc>
        <w:tc>
          <w:tcPr>
            <w:tcW w:w="1001" w:type="dxa"/>
            <w:vAlign w:val="bottom"/>
          </w:tcPr>
          <w:p w:rsidR="00F92819" w:rsidRDefault="00F92819">
            <w:pPr>
              <w:spacing w:before="40" w:after="40" w:line="220" w:lineRule="exact"/>
              <w:jc w:val="right"/>
              <w:rPr>
                <w:sz w:val="18"/>
                <w:szCs w:val="24"/>
              </w:rPr>
            </w:pPr>
            <w:r>
              <w:rPr>
                <w:sz w:val="18"/>
                <w:szCs w:val="24"/>
              </w:rPr>
              <w:t>296</w:t>
            </w:r>
          </w:p>
        </w:tc>
        <w:tc>
          <w:tcPr>
            <w:tcW w:w="1001" w:type="dxa"/>
            <w:vAlign w:val="bottom"/>
          </w:tcPr>
          <w:p w:rsidR="00F92819" w:rsidRDefault="00F92819">
            <w:pPr>
              <w:spacing w:before="40" w:after="40" w:line="220" w:lineRule="exact"/>
              <w:jc w:val="right"/>
              <w:rPr>
                <w:sz w:val="18"/>
                <w:szCs w:val="24"/>
              </w:rPr>
            </w:pPr>
            <w:r>
              <w:rPr>
                <w:sz w:val="18"/>
                <w:szCs w:val="24"/>
              </w:rPr>
              <w:t>12 672</w:t>
            </w:r>
          </w:p>
        </w:tc>
        <w:tc>
          <w:tcPr>
            <w:tcW w:w="1001" w:type="dxa"/>
            <w:vAlign w:val="bottom"/>
          </w:tcPr>
          <w:p w:rsidR="00F92819" w:rsidRDefault="00F92819">
            <w:pPr>
              <w:spacing w:before="40" w:after="40" w:line="220" w:lineRule="exact"/>
              <w:jc w:val="right"/>
              <w:rPr>
                <w:sz w:val="18"/>
                <w:szCs w:val="24"/>
              </w:rPr>
            </w:pPr>
            <w:r>
              <w:rPr>
                <w:sz w:val="18"/>
                <w:szCs w:val="24"/>
              </w:rPr>
              <w:t>73,2</w:t>
            </w:r>
          </w:p>
        </w:tc>
        <w:tc>
          <w:tcPr>
            <w:tcW w:w="1001" w:type="dxa"/>
            <w:vAlign w:val="bottom"/>
          </w:tcPr>
          <w:p w:rsidR="00F92819" w:rsidRDefault="00F92819">
            <w:pPr>
              <w:spacing w:before="40" w:after="40" w:line="220" w:lineRule="exact"/>
              <w:jc w:val="right"/>
              <w:rPr>
                <w:sz w:val="18"/>
                <w:szCs w:val="24"/>
              </w:rPr>
            </w:pPr>
            <w:r>
              <w:rPr>
                <w:sz w:val="18"/>
                <w:szCs w:val="24"/>
              </w:rPr>
              <w:t>40,9</w:t>
            </w:r>
          </w:p>
        </w:tc>
      </w:tr>
      <w:tr w:rsidR="00F92819">
        <w:tc>
          <w:tcPr>
            <w:tcW w:w="3366" w:type="dxa"/>
            <w:vAlign w:val="bottom"/>
          </w:tcPr>
          <w:p w:rsidR="00F92819" w:rsidRDefault="00F92819">
            <w:pPr>
              <w:spacing w:before="40" w:after="40" w:line="220" w:lineRule="exact"/>
              <w:rPr>
                <w:szCs w:val="24"/>
              </w:rPr>
            </w:pPr>
            <w:r>
              <w:rPr>
                <w:sz w:val="18"/>
                <w:szCs w:val="24"/>
                <w:lang w:val="es-ES_tradnl"/>
              </w:rPr>
              <w:t>Profesionales asociados y técnicos</w:t>
            </w:r>
          </w:p>
        </w:tc>
        <w:tc>
          <w:tcPr>
            <w:tcW w:w="1001" w:type="dxa"/>
            <w:vAlign w:val="bottom"/>
          </w:tcPr>
          <w:p w:rsidR="00F92819" w:rsidRDefault="00F92819">
            <w:pPr>
              <w:spacing w:before="40" w:after="40" w:line="220" w:lineRule="exact"/>
              <w:jc w:val="right"/>
              <w:rPr>
                <w:sz w:val="18"/>
                <w:szCs w:val="24"/>
              </w:rPr>
            </w:pPr>
            <w:r>
              <w:rPr>
                <w:sz w:val="18"/>
                <w:szCs w:val="24"/>
              </w:rPr>
              <w:t>363,4</w:t>
            </w:r>
          </w:p>
        </w:tc>
        <w:tc>
          <w:tcPr>
            <w:tcW w:w="1001" w:type="dxa"/>
            <w:vAlign w:val="bottom"/>
          </w:tcPr>
          <w:p w:rsidR="00F92819" w:rsidRDefault="00F92819">
            <w:pPr>
              <w:spacing w:before="40" w:after="40" w:line="220" w:lineRule="exact"/>
              <w:jc w:val="right"/>
              <w:rPr>
                <w:sz w:val="18"/>
                <w:szCs w:val="24"/>
              </w:rPr>
            </w:pPr>
            <w:r>
              <w:rPr>
                <w:sz w:val="18"/>
                <w:szCs w:val="24"/>
              </w:rPr>
              <w:t>7 732</w:t>
            </w:r>
          </w:p>
        </w:tc>
        <w:tc>
          <w:tcPr>
            <w:tcW w:w="1001" w:type="dxa"/>
            <w:vAlign w:val="bottom"/>
          </w:tcPr>
          <w:p w:rsidR="00F92819" w:rsidRDefault="00F92819">
            <w:pPr>
              <w:spacing w:before="40" w:after="40" w:line="220" w:lineRule="exact"/>
              <w:jc w:val="right"/>
              <w:rPr>
                <w:sz w:val="18"/>
                <w:szCs w:val="24"/>
              </w:rPr>
            </w:pPr>
            <w:r>
              <w:rPr>
                <w:sz w:val="18"/>
                <w:szCs w:val="24"/>
              </w:rPr>
              <w:t>51,3</w:t>
            </w:r>
          </w:p>
        </w:tc>
        <w:tc>
          <w:tcPr>
            <w:tcW w:w="1001" w:type="dxa"/>
            <w:vAlign w:val="bottom"/>
          </w:tcPr>
          <w:p w:rsidR="00F92819" w:rsidRDefault="00F92819">
            <w:pPr>
              <w:spacing w:before="40" w:after="40" w:line="220" w:lineRule="exact"/>
              <w:jc w:val="right"/>
              <w:rPr>
                <w:sz w:val="18"/>
                <w:szCs w:val="24"/>
              </w:rPr>
            </w:pPr>
            <w:r>
              <w:rPr>
                <w:sz w:val="18"/>
                <w:szCs w:val="24"/>
              </w:rPr>
              <w:t>35,9</w:t>
            </w:r>
          </w:p>
        </w:tc>
      </w:tr>
      <w:tr w:rsidR="00F92819">
        <w:tc>
          <w:tcPr>
            <w:tcW w:w="3366" w:type="dxa"/>
            <w:vAlign w:val="bottom"/>
          </w:tcPr>
          <w:p w:rsidR="00F92819" w:rsidRDefault="00F92819">
            <w:pPr>
              <w:spacing w:before="40" w:after="40" w:line="220" w:lineRule="exact"/>
              <w:rPr>
                <w:szCs w:val="24"/>
              </w:rPr>
            </w:pPr>
            <w:r>
              <w:rPr>
                <w:sz w:val="18"/>
                <w:szCs w:val="24"/>
                <w:lang w:val="es-ES_tradnl"/>
              </w:rPr>
              <w:t>Administradores</w:t>
            </w:r>
          </w:p>
        </w:tc>
        <w:tc>
          <w:tcPr>
            <w:tcW w:w="1001" w:type="dxa"/>
            <w:vAlign w:val="bottom"/>
          </w:tcPr>
          <w:p w:rsidR="00F92819" w:rsidRDefault="00F92819">
            <w:pPr>
              <w:spacing w:before="40" w:after="40" w:line="220" w:lineRule="exact"/>
              <w:jc w:val="right"/>
              <w:rPr>
                <w:sz w:val="18"/>
                <w:szCs w:val="24"/>
              </w:rPr>
            </w:pPr>
            <w:r>
              <w:rPr>
                <w:sz w:val="18"/>
                <w:szCs w:val="24"/>
              </w:rPr>
              <w:t>130,3</w:t>
            </w:r>
          </w:p>
        </w:tc>
        <w:tc>
          <w:tcPr>
            <w:tcW w:w="1001" w:type="dxa"/>
            <w:vAlign w:val="bottom"/>
          </w:tcPr>
          <w:p w:rsidR="00F92819" w:rsidRDefault="00F92819">
            <w:pPr>
              <w:spacing w:before="40" w:after="40" w:line="220" w:lineRule="exact"/>
              <w:jc w:val="right"/>
              <w:rPr>
                <w:sz w:val="18"/>
                <w:szCs w:val="24"/>
              </w:rPr>
            </w:pPr>
            <w:r>
              <w:rPr>
                <w:sz w:val="18"/>
                <w:szCs w:val="24"/>
              </w:rPr>
              <w:t>16 993</w:t>
            </w:r>
          </w:p>
        </w:tc>
        <w:tc>
          <w:tcPr>
            <w:tcW w:w="1001" w:type="dxa"/>
            <w:vAlign w:val="bottom"/>
          </w:tcPr>
          <w:p w:rsidR="00F92819" w:rsidRDefault="00F92819">
            <w:pPr>
              <w:spacing w:before="40" w:after="40" w:line="220" w:lineRule="exact"/>
              <w:jc w:val="right"/>
              <w:rPr>
                <w:sz w:val="18"/>
                <w:szCs w:val="24"/>
              </w:rPr>
            </w:pPr>
            <w:r>
              <w:rPr>
                <w:sz w:val="18"/>
                <w:szCs w:val="24"/>
              </w:rPr>
              <w:t>80,6</w:t>
            </w:r>
          </w:p>
        </w:tc>
        <w:tc>
          <w:tcPr>
            <w:tcW w:w="1001" w:type="dxa"/>
            <w:vAlign w:val="bottom"/>
          </w:tcPr>
          <w:p w:rsidR="00F92819" w:rsidRDefault="00F92819">
            <w:pPr>
              <w:spacing w:before="40" w:after="40" w:line="220" w:lineRule="exact"/>
              <w:jc w:val="right"/>
              <w:rPr>
                <w:sz w:val="18"/>
                <w:szCs w:val="24"/>
              </w:rPr>
            </w:pPr>
            <w:r>
              <w:rPr>
                <w:sz w:val="18"/>
                <w:szCs w:val="24"/>
              </w:rPr>
              <w:t>49,4</w:t>
            </w:r>
          </w:p>
        </w:tc>
      </w:tr>
      <w:tr w:rsidR="00F92819">
        <w:tc>
          <w:tcPr>
            <w:tcW w:w="3366" w:type="dxa"/>
            <w:vAlign w:val="bottom"/>
          </w:tcPr>
          <w:p w:rsidR="00F92819" w:rsidRDefault="00F92819">
            <w:pPr>
              <w:spacing w:before="40" w:after="40" w:line="220" w:lineRule="exact"/>
              <w:rPr>
                <w:szCs w:val="24"/>
              </w:rPr>
            </w:pPr>
            <w:r>
              <w:rPr>
                <w:sz w:val="18"/>
                <w:szCs w:val="24"/>
                <w:lang w:val="es-ES_tradnl"/>
              </w:rPr>
              <w:t>Oficinistas</w:t>
            </w:r>
          </w:p>
        </w:tc>
        <w:tc>
          <w:tcPr>
            <w:tcW w:w="1001" w:type="dxa"/>
            <w:vAlign w:val="bottom"/>
          </w:tcPr>
          <w:p w:rsidR="00F92819" w:rsidRDefault="00F92819">
            <w:pPr>
              <w:spacing w:before="40" w:after="40" w:line="220" w:lineRule="exact"/>
              <w:jc w:val="right"/>
              <w:rPr>
                <w:sz w:val="18"/>
                <w:szCs w:val="24"/>
              </w:rPr>
            </w:pPr>
            <w:r>
              <w:rPr>
                <w:sz w:val="18"/>
                <w:szCs w:val="24"/>
              </w:rPr>
              <w:t>424,3</w:t>
            </w:r>
          </w:p>
        </w:tc>
        <w:tc>
          <w:tcPr>
            <w:tcW w:w="1001" w:type="dxa"/>
            <w:vAlign w:val="bottom"/>
          </w:tcPr>
          <w:p w:rsidR="00F92819" w:rsidRDefault="00F92819">
            <w:pPr>
              <w:spacing w:before="40" w:after="40" w:line="220" w:lineRule="exact"/>
              <w:jc w:val="right"/>
              <w:rPr>
                <w:sz w:val="18"/>
                <w:szCs w:val="24"/>
              </w:rPr>
            </w:pPr>
            <w:r>
              <w:rPr>
                <w:sz w:val="18"/>
                <w:szCs w:val="24"/>
              </w:rPr>
              <w:t>6 499</w:t>
            </w:r>
          </w:p>
        </w:tc>
        <w:tc>
          <w:tcPr>
            <w:tcW w:w="1001" w:type="dxa"/>
            <w:vAlign w:val="bottom"/>
          </w:tcPr>
          <w:p w:rsidR="00F92819" w:rsidRDefault="00F92819">
            <w:pPr>
              <w:spacing w:before="40" w:after="40" w:line="220" w:lineRule="exact"/>
              <w:jc w:val="right"/>
              <w:rPr>
                <w:sz w:val="18"/>
                <w:szCs w:val="24"/>
              </w:rPr>
            </w:pPr>
            <w:r>
              <w:rPr>
                <w:sz w:val="18"/>
                <w:szCs w:val="24"/>
              </w:rPr>
              <w:t>39,6</w:t>
            </w:r>
          </w:p>
        </w:tc>
        <w:tc>
          <w:tcPr>
            <w:tcW w:w="1001" w:type="dxa"/>
            <w:vAlign w:val="bottom"/>
          </w:tcPr>
          <w:p w:rsidR="00F92819" w:rsidRDefault="00F92819">
            <w:pPr>
              <w:spacing w:before="40" w:after="40" w:line="220" w:lineRule="exact"/>
              <w:jc w:val="right"/>
              <w:rPr>
                <w:sz w:val="18"/>
                <w:szCs w:val="24"/>
              </w:rPr>
            </w:pPr>
            <w:r>
              <w:rPr>
                <w:sz w:val="18"/>
                <w:szCs w:val="24"/>
              </w:rPr>
              <w:t>39,2</w:t>
            </w:r>
          </w:p>
        </w:tc>
      </w:tr>
      <w:tr w:rsidR="00F92819">
        <w:tc>
          <w:tcPr>
            <w:tcW w:w="3366" w:type="dxa"/>
            <w:vAlign w:val="bottom"/>
          </w:tcPr>
          <w:p w:rsidR="00F92819" w:rsidRDefault="00F92819">
            <w:pPr>
              <w:spacing w:before="40" w:after="40" w:line="220" w:lineRule="exact"/>
              <w:rPr>
                <w:szCs w:val="24"/>
              </w:rPr>
            </w:pPr>
            <w:r>
              <w:rPr>
                <w:sz w:val="18"/>
                <w:szCs w:val="24"/>
                <w:lang w:val="es-ES_tradnl"/>
              </w:rPr>
              <w:t>Agentes, vendedores y trabajadores del sector de los servicios</w:t>
            </w:r>
          </w:p>
        </w:tc>
        <w:tc>
          <w:tcPr>
            <w:tcW w:w="1001" w:type="dxa"/>
            <w:vAlign w:val="bottom"/>
          </w:tcPr>
          <w:p w:rsidR="00F92819" w:rsidRDefault="00F92819">
            <w:pPr>
              <w:spacing w:before="40" w:after="40" w:line="220" w:lineRule="exact"/>
              <w:jc w:val="right"/>
              <w:rPr>
                <w:sz w:val="18"/>
                <w:szCs w:val="24"/>
              </w:rPr>
            </w:pPr>
            <w:r>
              <w:rPr>
                <w:sz w:val="18"/>
                <w:szCs w:val="24"/>
              </w:rPr>
              <w:t>442,4</w:t>
            </w:r>
          </w:p>
        </w:tc>
        <w:tc>
          <w:tcPr>
            <w:tcW w:w="1001" w:type="dxa"/>
            <w:vAlign w:val="bottom"/>
          </w:tcPr>
          <w:p w:rsidR="00F92819" w:rsidRDefault="00F92819">
            <w:pPr>
              <w:spacing w:before="40" w:after="40" w:line="220" w:lineRule="exact"/>
              <w:jc w:val="right"/>
              <w:rPr>
                <w:sz w:val="18"/>
                <w:szCs w:val="24"/>
              </w:rPr>
            </w:pPr>
            <w:r>
              <w:rPr>
                <w:sz w:val="18"/>
                <w:szCs w:val="24"/>
              </w:rPr>
              <w:t>5 007</w:t>
            </w:r>
          </w:p>
        </w:tc>
        <w:tc>
          <w:tcPr>
            <w:tcW w:w="1001" w:type="dxa"/>
            <w:vAlign w:val="bottom"/>
          </w:tcPr>
          <w:p w:rsidR="00F92819" w:rsidRDefault="00F92819">
            <w:pPr>
              <w:spacing w:before="40" w:after="40" w:line="220" w:lineRule="exact"/>
              <w:jc w:val="right"/>
              <w:rPr>
                <w:sz w:val="18"/>
                <w:szCs w:val="24"/>
              </w:rPr>
            </w:pPr>
            <w:r>
              <w:rPr>
                <w:sz w:val="18"/>
                <w:szCs w:val="24"/>
              </w:rPr>
              <w:t>31,6</w:t>
            </w:r>
          </w:p>
        </w:tc>
        <w:tc>
          <w:tcPr>
            <w:tcW w:w="1001" w:type="dxa"/>
            <w:vAlign w:val="bottom"/>
          </w:tcPr>
          <w:p w:rsidR="00F92819" w:rsidRDefault="00F92819">
            <w:pPr>
              <w:spacing w:before="40" w:after="40" w:line="220" w:lineRule="exact"/>
              <w:jc w:val="right"/>
              <w:rPr>
                <w:sz w:val="18"/>
                <w:szCs w:val="24"/>
              </w:rPr>
            </w:pPr>
            <w:r>
              <w:rPr>
                <w:sz w:val="18"/>
                <w:szCs w:val="24"/>
              </w:rPr>
              <w:t>38,5</w:t>
            </w:r>
          </w:p>
        </w:tc>
      </w:tr>
      <w:tr w:rsidR="00F92819">
        <w:tc>
          <w:tcPr>
            <w:tcW w:w="3366" w:type="dxa"/>
            <w:vAlign w:val="bottom"/>
          </w:tcPr>
          <w:p w:rsidR="00F92819" w:rsidRDefault="00F92819">
            <w:pPr>
              <w:spacing w:before="40" w:after="40" w:line="220" w:lineRule="exact"/>
              <w:rPr>
                <w:szCs w:val="24"/>
              </w:rPr>
            </w:pPr>
            <w:r>
              <w:rPr>
                <w:sz w:val="18"/>
                <w:szCs w:val="24"/>
                <w:lang w:val="es-ES_tradnl"/>
              </w:rPr>
              <w:t>Trabajadores cualificados</w:t>
            </w:r>
          </w:p>
        </w:tc>
        <w:tc>
          <w:tcPr>
            <w:tcW w:w="1001" w:type="dxa"/>
            <w:vAlign w:val="bottom"/>
          </w:tcPr>
          <w:p w:rsidR="00F92819" w:rsidRDefault="00F92819">
            <w:pPr>
              <w:spacing w:before="40" w:after="40" w:line="220" w:lineRule="exact"/>
              <w:jc w:val="right"/>
              <w:rPr>
                <w:sz w:val="18"/>
                <w:szCs w:val="24"/>
              </w:rPr>
            </w:pPr>
            <w:r>
              <w:rPr>
                <w:sz w:val="18"/>
                <w:szCs w:val="24"/>
              </w:rPr>
              <w:t>419,9</w:t>
            </w:r>
          </w:p>
        </w:tc>
        <w:tc>
          <w:tcPr>
            <w:tcW w:w="1001" w:type="dxa"/>
            <w:vAlign w:val="bottom"/>
          </w:tcPr>
          <w:p w:rsidR="00F92819" w:rsidRDefault="00F92819">
            <w:pPr>
              <w:spacing w:before="40" w:after="40" w:line="220" w:lineRule="exact"/>
              <w:jc w:val="right"/>
              <w:rPr>
                <w:sz w:val="18"/>
                <w:szCs w:val="24"/>
              </w:rPr>
            </w:pPr>
            <w:r>
              <w:rPr>
                <w:sz w:val="18"/>
                <w:szCs w:val="24"/>
              </w:rPr>
              <w:t>6 573</w:t>
            </w:r>
          </w:p>
        </w:tc>
        <w:tc>
          <w:tcPr>
            <w:tcW w:w="1001" w:type="dxa"/>
            <w:vAlign w:val="bottom"/>
          </w:tcPr>
          <w:p w:rsidR="00F92819" w:rsidRDefault="00F92819">
            <w:pPr>
              <w:spacing w:before="40" w:after="40" w:line="220" w:lineRule="exact"/>
              <w:jc w:val="right"/>
              <w:rPr>
                <w:sz w:val="18"/>
                <w:szCs w:val="24"/>
              </w:rPr>
            </w:pPr>
            <w:r>
              <w:rPr>
                <w:sz w:val="18"/>
                <w:szCs w:val="24"/>
              </w:rPr>
              <w:t>33,4</w:t>
            </w:r>
          </w:p>
        </w:tc>
        <w:tc>
          <w:tcPr>
            <w:tcW w:w="1001" w:type="dxa"/>
            <w:vAlign w:val="bottom"/>
          </w:tcPr>
          <w:p w:rsidR="00F92819" w:rsidRDefault="00F92819">
            <w:pPr>
              <w:spacing w:before="40" w:after="40" w:line="220" w:lineRule="exact"/>
              <w:jc w:val="right"/>
              <w:rPr>
                <w:sz w:val="18"/>
                <w:szCs w:val="24"/>
              </w:rPr>
            </w:pPr>
            <w:r>
              <w:rPr>
                <w:sz w:val="18"/>
                <w:szCs w:val="24"/>
              </w:rPr>
              <w:t>47</w:t>
            </w:r>
          </w:p>
        </w:tc>
      </w:tr>
      <w:tr w:rsidR="00F92819">
        <w:tc>
          <w:tcPr>
            <w:tcW w:w="3366" w:type="dxa"/>
            <w:tcBorders>
              <w:bottom w:val="single" w:sz="4" w:space="0" w:color="auto"/>
            </w:tcBorders>
            <w:vAlign w:val="bottom"/>
          </w:tcPr>
          <w:p w:rsidR="00F92819" w:rsidRDefault="00F92819">
            <w:pPr>
              <w:spacing w:before="40" w:after="40" w:line="220" w:lineRule="exact"/>
              <w:rPr>
                <w:szCs w:val="24"/>
              </w:rPr>
            </w:pPr>
            <w:r>
              <w:rPr>
                <w:sz w:val="18"/>
                <w:szCs w:val="24"/>
                <w:lang w:val="es-ES_tradnl"/>
              </w:rPr>
              <w:t>Trabajadores no cualificados</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192,3</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3 753</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25,1</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36,9</w:t>
            </w:r>
          </w:p>
        </w:tc>
      </w:tr>
      <w:tr w:rsidR="00F92819">
        <w:tc>
          <w:tcPr>
            <w:tcW w:w="3366" w:type="dxa"/>
            <w:tcBorders>
              <w:top w:val="single" w:sz="4" w:space="0" w:color="auto"/>
              <w:bottom w:val="single" w:sz="4" w:space="0" w:color="auto"/>
            </w:tcBorders>
            <w:vAlign w:val="bottom"/>
          </w:tcPr>
          <w:p w:rsidR="00F92819" w:rsidRDefault="00F92819">
            <w:pPr>
              <w:spacing w:before="80" w:after="80" w:line="220" w:lineRule="exact"/>
              <w:ind w:left="284"/>
              <w:rPr>
                <w:szCs w:val="24"/>
              </w:rPr>
            </w:pPr>
            <w:r>
              <w:rPr>
                <w:b/>
                <w:sz w:val="18"/>
                <w:szCs w:val="24"/>
                <w:lang w:val="es-ES_tradnl"/>
              </w:rPr>
              <w:t>Total</w:t>
            </w:r>
          </w:p>
        </w:tc>
        <w:tc>
          <w:tcPr>
            <w:tcW w:w="1001"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2 326,8</w:t>
            </w:r>
          </w:p>
        </w:tc>
        <w:tc>
          <w:tcPr>
            <w:tcW w:w="1001"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7 662</w:t>
            </w:r>
          </w:p>
        </w:tc>
        <w:tc>
          <w:tcPr>
            <w:tcW w:w="1001"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44,9</w:t>
            </w:r>
          </w:p>
        </w:tc>
        <w:tc>
          <w:tcPr>
            <w:tcW w:w="1001"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40,8</w:t>
            </w:r>
          </w:p>
        </w:tc>
      </w:tr>
      <w:tr w:rsidR="00F92819">
        <w:tc>
          <w:tcPr>
            <w:tcW w:w="3366" w:type="dxa"/>
            <w:tcBorders>
              <w:top w:val="single" w:sz="4" w:space="0" w:color="auto"/>
            </w:tcBorders>
            <w:vAlign w:val="bottom"/>
          </w:tcPr>
          <w:p w:rsidR="00F92819" w:rsidRDefault="00F92819">
            <w:pPr>
              <w:spacing w:before="80" w:after="80" w:line="200" w:lineRule="exact"/>
              <w:rPr>
                <w:szCs w:val="24"/>
              </w:rPr>
            </w:pPr>
            <w:r>
              <w:rPr>
                <w:i/>
                <w:sz w:val="16"/>
                <w:szCs w:val="24"/>
                <w:lang w:val="es-ES_tradnl"/>
              </w:rPr>
              <w:t>Hombres</w:t>
            </w:r>
          </w:p>
        </w:tc>
        <w:tc>
          <w:tcPr>
            <w:tcW w:w="1001" w:type="dxa"/>
            <w:tcBorders>
              <w:top w:val="single" w:sz="4" w:space="0" w:color="auto"/>
            </w:tcBorders>
            <w:vAlign w:val="bottom"/>
          </w:tcPr>
          <w:p w:rsidR="00F92819" w:rsidRDefault="00F92819">
            <w:pPr>
              <w:spacing w:before="80" w:after="80" w:line="200" w:lineRule="exact"/>
              <w:rPr>
                <w:sz w:val="18"/>
                <w:szCs w:val="24"/>
              </w:rPr>
            </w:pPr>
          </w:p>
        </w:tc>
        <w:tc>
          <w:tcPr>
            <w:tcW w:w="1001" w:type="dxa"/>
            <w:tcBorders>
              <w:top w:val="single" w:sz="4" w:space="0" w:color="auto"/>
            </w:tcBorders>
            <w:vAlign w:val="bottom"/>
          </w:tcPr>
          <w:p w:rsidR="00F92819" w:rsidRDefault="00F92819">
            <w:pPr>
              <w:spacing w:before="80" w:after="80" w:line="200" w:lineRule="exact"/>
              <w:rPr>
                <w:sz w:val="18"/>
                <w:szCs w:val="24"/>
              </w:rPr>
            </w:pPr>
          </w:p>
        </w:tc>
        <w:tc>
          <w:tcPr>
            <w:tcW w:w="1001" w:type="dxa"/>
            <w:tcBorders>
              <w:top w:val="single" w:sz="4" w:space="0" w:color="auto"/>
            </w:tcBorders>
            <w:vAlign w:val="bottom"/>
          </w:tcPr>
          <w:p w:rsidR="00F92819" w:rsidRDefault="00F92819">
            <w:pPr>
              <w:spacing w:before="80" w:after="80" w:line="200" w:lineRule="exact"/>
              <w:rPr>
                <w:sz w:val="18"/>
                <w:szCs w:val="24"/>
              </w:rPr>
            </w:pPr>
          </w:p>
        </w:tc>
        <w:tc>
          <w:tcPr>
            <w:tcW w:w="1001" w:type="dxa"/>
            <w:tcBorders>
              <w:top w:val="single" w:sz="4" w:space="0" w:color="auto"/>
            </w:tcBorders>
            <w:vAlign w:val="bottom"/>
          </w:tcPr>
          <w:p w:rsidR="00F92819" w:rsidRDefault="00F92819">
            <w:pPr>
              <w:spacing w:before="80" w:after="80" w:line="200" w:lineRule="exact"/>
              <w:rPr>
                <w:sz w:val="18"/>
                <w:szCs w:val="24"/>
              </w:rPr>
            </w:pPr>
          </w:p>
        </w:tc>
      </w:tr>
      <w:tr w:rsidR="00F92819">
        <w:tc>
          <w:tcPr>
            <w:tcW w:w="3366" w:type="dxa"/>
            <w:vAlign w:val="bottom"/>
          </w:tcPr>
          <w:p w:rsidR="00F92819" w:rsidRDefault="00F92819">
            <w:pPr>
              <w:spacing w:before="40" w:after="40" w:line="220" w:lineRule="exact"/>
              <w:rPr>
                <w:szCs w:val="24"/>
              </w:rPr>
            </w:pPr>
            <w:r>
              <w:rPr>
                <w:sz w:val="18"/>
                <w:szCs w:val="24"/>
                <w:lang w:val="es-ES_tradnl"/>
              </w:rPr>
              <w:t>Profesionales académicos</w:t>
            </w:r>
          </w:p>
        </w:tc>
        <w:tc>
          <w:tcPr>
            <w:tcW w:w="1001" w:type="dxa"/>
            <w:vAlign w:val="bottom"/>
          </w:tcPr>
          <w:p w:rsidR="00F92819" w:rsidRDefault="00F92819">
            <w:pPr>
              <w:spacing w:before="40" w:after="40" w:line="220" w:lineRule="exact"/>
              <w:jc w:val="right"/>
              <w:rPr>
                <w:sz w:val="18"/>
                <w:szCs w:val="24"/>
              </w:rPr>
            </w:pPr>
            <w:r>
              <w:rPr>
                <w:sz w:val="18"/>
                <w:szCs w:val="24"/>
              </w:rPr>
              <w:t>147,6</w:t>
            </w:r>
          </w:p>
        </w:tc>
        <w:tc>
          <w:tcPr>
            <w:tcW w:w="1001" w:type="dxa"/>
            <w:vAlign w:val="bottom"/>
          </w:tcPr>
          <w:p w:rsidR="00F92819" w:rsidRDefault="00F92819">
            <w:pPr>
              <w:spacing w:before="40" w:after="40" w:line="220" w:lineRule="exact"/>
              <w:jc w:val="right"/>
              <w:rPr>
                <w:sz w:val="18"/>
                <w:szCs w:val="24"/>
              </w:rPr>
            </w:pPr>
            <w:r>
              <w:rPr>
                <w:sz w:val="18"/>
                <w:szCs w:val="24"/>
              </w:rPr>
              <w:t>15 775</w:t>
            </w:r>
          </w:p>
        </w:tc>
        <w:tc>
          <w:tcPr>
            <w:tcW w:w="1001" w:type="dxa"/>
            <w:vAlign w:val="bottom"/>
          </w:tcPr>
          <w:p w:rsidR="00F92819" w:rsidRDefault="00F92819">
            <w:pPr>
              <w:spacing w:before="40" w:after="40" w:line="220" w:lineRule="exact"/>
              <w:jc w:val="right"/>
              <w:rPr>
                <w:sz w:val="18"/>
                <w:szCs w:val="24"/>
              </w:rPr>
            </w:pPr>
            <w:r>
              <w:rPr>
                <w:sz w:val="18"/>
                <w:szCs w:val="24"/>
              </w:rPr>
              <w:t>80,8</w:t>
            </w:r>
          </w:p>
        </w:tc>
        <w:tc>
          <w:tcPr>
            <w:tcW w:w="1001" w:type="dxa"/>
            <w:vAlign w:val="bottom"/>
          </w:tcPr>
          <w:p w:rsidR="00F92819" w:rsidRDefault="00F92819">
            <w:pPr>
              <w:spacing w:before="40" w:after="40" w:line="220" w:lineRule="exact"/>
              <w:jc w:val="right"/>
              <w:rPr>
                <w:sz w:val="18"/>
                <w:szCs w:val="24"/>
              </w:rPr>
            </w:pPr>
            <w:r>
              <w:rPr>
                <w:sz w:val="18"/>
                <w:szCs w:val="24"/>
              </w:rPr>
              <w:t>45,6</w:t>
            </w:r>
          </w:p>
        </w:tc>
      </w:tr>
      <w:tr w:rsidR="00F92819">
        <w:tc>
          <w:tcPr>
            <w:tcW w:w="3366" w:type="dxa"/>
            <w:vAlign w:val="bottom"/>
          </w:tcPr>
          <w:p w:rsidR="00F92819" w:rsidRDefault="00F92819">
            <w:pPr>
              <w:spacing w:before="40" w:after="40" w:line="220" w:lineRule="exact"/>
              <w:rPr>
                <w:szCs w:val="24"/>
              </w:rPr>
            </w:pPr>
            <w:r>
              <w:rPr>
                <w:sz w:val="18"/>
                <w:szCs w:val="24"/>
                <w:lang w:val="es-ES_tradnl"/>
              </w:rPr>
              <w:t>Profesionales asociados y técnicos</w:t>
            </w:r>
          </w:p>
        </w:tc>
        <w:tc>
          <w:tcPr>
            <w:tcW w:w="1001" w:type="dxa"/>
            <w:vAlign w:val="bottom"/>
          </w:tcPr>
          <w:p w:rsidR="00F92819" w:rsidRDefault="00F92819">
            <w:pPr>
              <w:spacing w:before="40" w:after="40" w:line="220" w:lineRule="exact"/>
              <w:jc w:val="right"/>
              <w:rPr>
                <w:sz w:val="18"/>
                <w:szCs w:val="24"/>
              </w:rPr>
            </w:pPr>
            <w:r>
              <w:rPr>
                <w:sz w:val="18"/>
                <w:szCs w:val="24"/>
              </w:rPr>
              <w:t>145,5</w:t>
            </w:r>
          </w:p>
        </w:tc>
        <w:tc>
          <w:tcPr>
            <w:tcW w:w="1001" w:type="dxa"/>
            <w:vAlign w:val="bottom"/>
          </w:tcPr>
          <w:p w:rsidR="00F92819" w:rsidRDefault="00F92819">
            <w:pPr>
              <w:spacing w:before="40" w:after="40" w:line="220" w:lineRule="exact"/>
              <w:jc w:val="right"/>
              <w:rPr>
                <w:sz w:val="18"/>
                <w:szCs w:val="24"/>
              </w:rPr>
            </w:pPr>
            <w:r>
              <w:rPr>
                <w:sz w:val="18"/>
                <w:szCs w:val="24"/>
              </w:rPr>
              <w:t>9 937</w:t>
            </w:r>
          </w:p>
        </w:tc>
        <w:tc>
          <w:tcPr>
            <w:tcW w:w="1001" w:type="dxa"/>
            <w:vAlign w:val="bottom"/>
          </w:tcPr>
          <w:p w:rsidR="00F92819" w:rsidRDefault="00F92819">
            <w:pPr>
              <w:spacing w:before="40" w:after="40" w:line="220" w:lineRule="exact"/>
              <w:jc w:val="right"/>
              <w:rPr>
                <w:sz w:val="18"/>
                <w:szCs w:val="24"/>
              </w:rPr>
            </w:pPr>
            <w:r>
              <w:rPr>
                <w:sz w:val="18"/>
                <w:szCs w:val="24"/>
              </w:rPr>
              <w:t>56,3</w:t>
            </w:r>
          </w:p>
        </w:tc>
        <w:tc>
          <w:tcPr>
            <w:tcW w:w="1001" w:type="dxa"/>
            <w:vAlign w:val="bottom"/>
          </w:tcPr>
          <w:p w:rsidR="00F92819" w:rsidRDefault="00F92819">
            <w:pPr>
              <w:spacing w:before="40" w:after="40" w:line="220" w:lineRule="exact"/>
              <w:jc w:val="right"/>
              <w:rPr>
                <w:sz w:val="18"/>
                <w:szCs w:val="24"/>
              </w:rPr>
            </w:pPr>
            <w:r>
              <w:rPr>
                <w:sz w:val="18"/>
                <w:szCs w:val="24"/>
              </w:rPr>
              <w:t>41,5</w:t>
            </w:r>
          </w:p>
        </w:tc>
      </w:tr>
      <w:tr w:rsidR="00F92819">
        <w:tc>
          <w:tcPr>
            <w:tcW w:w="3366" w:type="dxa"/>
            <w:vAlign w:val="bottom"/>
          </w:tcPr>
          <w:p w:rsidR="00F92819" w:rsidRDefault="00F92819">
            <w:pPr>
              <w:spacing w:before="40" w:after="40" w:line="220" w:lineRule="exact"/>
              <w:rPr>
                <w:szCs w:val="24"/>
              </w:rPr>
            </w:pPr>
            <w:r>
              <w:rPr>
                <w:sz w:val="18"/>
                <w:szCs w:val="24"/>
                <w:lang w:val="es-ES_tradnl"/>
              </w:rPr>
              <w:t>Administradores</w:t>
            </w:r>
          </w:p>
        </w:tc>
        <w:tc>
          <w:tcPr>
            <w:tcW w:w="1001" w:type="dxa"/>
            <w:vAlign w:val="bottom"/>
          </w:tcPr>
          <w:p w:rsidR="00F92819" w:rsidRDefault="00F92819">
            <w:pPr>
              <w:spacing w:before="40" w:after="40" w:line="220" w:lineRule="exact"/>
              <w:jc w:val="right"/>
              <w:rPr>
                <w:sz w:val="18"/>
                <w:szCs w:val="24"/>
              </w:rPr>
            </w:pPr>
            <w:r>
              <w:rPr>
                <w:sz w:val="18"/>
                <w:szCs w:val="24"/>
              </w:rPr>
              <w:t>93,0</w:t>
            </w:r>
          </w:p>
        </w:tc>
        <w:tc>
          <w:tcPr>
            <w:tcW w:w="1001" w:type="dxa"/>
            <w:vAlign w:val="bottom"/>
          </w:tcPr>
          <w:p w:rsidR="00F92819" w:rsidRDefault="00F92819">
            <w:pPr>
              <w:spacing w:before="40" w:after="40" w:line="220" w:lineRule="exact"/>
              <w:jc w:val="right"/>
              <w:rPr>
                <w:sz w:val="18"/>
                <w:szCs w:val="24"/>
              </w:rPr>
            </w:pPr>
            <w:r>
              <w:rPr>
                <w:sz w:val="18"/>
                <w:szCs w:val="24"/>
              </w:rPr>
              <w:t>18 527</w:t>
            </w:r>
          </w:p>
        </w:tc>
        <w:tc>
          <w:tcPr>
            <w:tcW w:w="1001" w:type="dxa"/>
            <w:vAlign w:val="bottom"/>
          </w:tcPr>
          <w:p w:rsidR="00F92819" w:rsidRDefault="00F92819">
            <w:pPr>
              <w:spacing w:before="40" w:after="40" w:line="220" w:lineRule="exact"/>
              <w:jc w:val="right"/>
              <w:rPr>
                <w:sz w:val="18"/>
                <w:szCs w:val="24"/>
              </w:rPr>
            </w:pPr>
            <w:r>
              <w:rPr>
                <w:sz w:val="18"/>
                <w:szCs w:val="24"/>
              </w:rPr>
              <w:t>83,1</w:t>
            </w:r>
          </w:p>
        </w:tc>
        <w:tc>
          <w:tcPr>
            <w:tcW w:w="1001" w:type="dxa"/>
            <w:vAlign w:val="bottom"/>
          </w:tcPr>
          <w:p w:rsidR="00F92819" w:rsidRDefault="00F92819">
            <w:pPr>
              <w:spacing w:before="40" w:after="40" w:line="220" w:lineRule="exact"/>
              <w:jc w:val="right"/>
              <w:rPr>
                <w:sz w:val="18"/>
                <w:szCs w:val="24"/>
              </w:rPr>
            </w:pPr>
            <w:r>
              <w:rPr>
                <w:sz w:val="18"/>
                <w:szCs w:val="24"/>
              </w:rPr>
              <w:t>51,9</w:t>
            </w:r>
          </w:p>
        </w:tc>
      </w:tr>
      <w:tr w:rsidR="00F92819">
        <w:tc>
          <w:tcPr>
            <w:tcW w:w="3366" w:type="dxa"/>
            <w:vAlign w:val="bottom"/>
          </w:tcPr>
          <w:p w:rsidR="00F92819" w:rsidRDefault="00F92819">
            <w:pPr>
              <w:spacing w:before="40" w:after="40" w:line="220" w:lineRule="exact"/>
              <w:rPr>
                <w:szCs w:val="24"/>
              </w:rPr>
            </w:pPr>
            <w:r>
              <w:rPr>
                <w:sz w:val="18"/>
                <w:szCs w:val="24"/>
                <w:lang w:val="es-ES_tradnl"/>
              </w:rPr>
              <w:t>Oficinistas</w:t>
            </w:r>
          </w:p>
        </w:tc>
        <w:tc>
          <w:tcPr>
            <w:tcW w:w="1001" w:type="dxa"/>
            <w:vAlign w:val="bottom"/>
          </w:tcPr>
          <w:p w:rsidR="00F92819" w:rsidRDefault="00F92819">
            <w:pPr>
              <w:spacing w:before="40" w:after="40" w:line="220" w:lineRule="exact"/>
              <w:jc w:val="right"/>
              <w:rPr>
                <w:sz w:val="18"/>
                <w:szCs w:val="24"/>
              </w:rPr>
            </w:pPr>
            <w:r>
              <w:rPr>
                <w:sz w:val="18"/>
                <w:szCs w:val="24"/>
              </w:rPr>
              <w:t>107,7</w:t>
            </w:r>
          </w:p>
        </w:tc>
        <w:tc>
          <w:tcPr>
            <w:tcW w:w="1001" w:type="dxa"/>
            <w:vAlign w:val="bottom"/>
          </w:tcPr>
          <w:p w:rsidR="00F92819" w:rsidRDefault="00F92819">
            <w:pPr>
              <w:spacing w:before="40" w:after="40" w:line="220" w:lineRule="exact"/>
              <w:jc w:val="right"/>
              <w:rPr>
                <w:sz w:val="18"/>
                <w:szCs w:val="24"/>
              </w:rPr>
            </w:pPr>
            <w:r>
              <w:rPr>
                <w:sz w:val="18"/>
                <w:szCs w:val="24"/>
              </w:rPr>
              <w:t>8 383</w:t>
            </w:r>
          </w:p>
        </w:tc>
        <w:tc>
          <w:tcPr>
            <w:tcW w:w="1001" w:type="dxa"/>
            <w:vAlign w:val="bottom"/>
          </w:tcPr>
          <w:p w:rsidR="00F92819" w:rsidRDefault="00F92819">
            <w:pPr>
              <w:spacing w:before="40" w:after="40" w:line="220" w:lineRule="exact"/>
              <w:jc w:val="right"/>
              <w:rPr>
                <w:sz w:val="18"/>
                <w:szCs w:val="24"/>
              </w:rPr>
            </w:pPr>
            <w:r>
              <w:rPr>
                <w:sz w:val="18"/>
                <w:szCs w:val="24"/>
              </w:rPr>
              <w:t>44,1</w:t>
            </w:r>
          </w:p>
        </w:tc>
        <w:tc>
          <w:tcPr>
            <w:tcW w:w="1001" w:type="dxa"/>
            <w:vAlign w:val="bottom"/>
          </w:tcPr>
          <w:p w:rsidR="00F92819" w:rsidRDefault="00F92819">
            <w:pPr>
              <w:spacing w:before="40" w:after="40" w:line="220" w:lineRule="exact"/>
              <w:jc w:val="right"/>
              <w:rPr>
                <w:sz w:val="18"/>
                <w:szCs w:val="24"/>
              </w:rPr>
            </w:pPr>
            <w:r>
              <w:rPr>
                <w:sz w:val="18"/>
                <w:szCs w:val="24"/>
              </w:rPr>
              <w:t>44,9</w:t>
            </w:r>
          </w:p>
        </w:tc>
      </w:tr>
      <w:tr w:rsidR="00F92819">
        <w:tc>
          <w:tcPr>
            <w:tcW w:w="3366" w:type="dxa"/>
            <w:vAlign w:val="bottom"/>
          </w:tcPr>
          <w:p w:rsidR="00F92819" w:rsidRDefault="00F92819">
            <w:pPr>
              <w:spacing w:before="40" w:after="40" w:line="220" w:lineRule="exact"/>
              <w:rPr>
                <w:szCs w:val="24"/>
              </w:rPr>
            </w:pPr>
            <w:r>
              <w:rPr>
                <w:sz w:val="18"/>
                <w:szCs w:val="24"/>
                <w:lang w:val="es-ES_tradnl"/>
              </w:rPr>
              <w:t>Agentes, vendedores y trabajadores del sector de los servicios</w:t>
            </w:r>
          </w:p>
        </w:tc>
        <w:tc>
          <w:tcPr>
            <w:tcW w:w="1001" w:type="dxa"/>
            <w:vAlign w:val="bottom"/>
          </w:tcPr>
          <w:p w:rsidR="00F92819" w:rsidRDefault="00F92819">
            <w:pPr>
              <w:spacing w:before="40" w:after="40" w:line="220" w:lineRule="exact"/>
              <w:jc w:val="right"/>
              <w:rPr>
                <w:sz w:val="18"/>
                <w:szCs w:val="24"/>
              </w:rPr>
            </w:pPr>
            <w:r>
              <w:rPr>
                <w:sz w:val="18"/>
                <w:szCs w:val="24"/>
              </w:rPr>
              <w:t>184,5</w:t>
            </w:r>
          </w:p>
        </w:tc>
        <w:tc>
          <w:tcPr>
            <w:tcW w:w="1001" w:type="dxa"/>
            <w:vAlign w:val="bottom"/>
          </w:tcPr>
          <w:p w:rsidR="00F92819" w:rsidRDefault="00F92819">
            <w:pPr>
              <w:spacing w:before="40" w:after="40" w:line="220" w:lineRule="exact"/>
              <w:jc w:val="right"/>
              <w:rPr>
                <w:sz w:val="18"/>
                <w:szCs w:val="24"/>
              </w:rPr>
            </w:pPr>
            <w:r>
              <w:rPr>
                <w:sz w:val="18"/>
                <w:szCs w:val="24"/>
              </w:rPr>
              <w:t>6 688</w:t>
            </w:r>
          </w:p>
        </w:tc>
        <w:tc>
          <w:tcPr>
            <w:tcW w:w="1001" w:type="dxa"/>
            <w:vAlign w:val="bottom"/>
          </w:tcPr>
          <w:p w:rsidR="00F92819" w:rsidRDefault="00F92819">
            <w:pPr>
              <w:spacing w:before="40" w:after="40" w:line="220" w:lineRule="exact"/>
              <w:jc w:val="right"/>
              <w:rPr>
                <w:sz w:val="18"/>
                <w:szCs w:val="24"/>
              </w:rPr>
            </w:pPr>
            <w:r>
              <w:rPr>
                <w:sz w:val="18"/>
                <w:szCs w:val="24"/>
              </w:rPr>
              <w:t>36,2</w:t>
            </w:r>
          </w:p>
        </w:tc>
        <w:tc>
          <w:tcPr>
            <w:tcW w:w="1001" w:type="dxa"/>
            <w:vAlign w:val="bottom"/>
          </w:tcPr>
          <w:p w:rsidR="00F92819" w:rsidRDefault="00F92819">
            <w:pPr>
              <w:spacing w:before="40" w:after="40" w:line="220" w:lineRule="exact"/>
              <w:jc w:val="right"/>
              <w:rPr>
                <w:sz w:val="18"/>
                <w:szCs w:val="24"/>
              </w:rPr>
            </w:pPr>
            <w:r>
              <w:rPr>
                <w:sz w:val="18"/>
                <w:szCs w:val="24"/>
              </w:rPr>
              <w:t>44,4</w:t>
            </w:r>
          </w:p>
        </w:tc>
      </w:tr>
      <w:tr w:rsidR="00F92819">
        <w:tc>
          <w:tcPr>
            <w:tcW w:w="3366" w:type="dxa"/>
            <w:vAlign w:val="bottom"/>
          </w:tcPr>
          <w:p w:rsidR="00F92819" w:rsidRDefault="00F92819">
            <w:pPr>
              <w:spacing w:before="40" w:after="40" w:line="220" w:lineRule="exact"/>
              <w:rPr>
                <w:szCs w:val="24"/>
              </w:rPr>
            </w:pPr>
            <w:r>
              <w:rPr>
                <w:sz w:val="18"/>
                <w:szCs w:val="24"/>
                <w:lang w:val="es-ES_tradnl"/>
              </w:rPr>
              <w:t>Trabajadores cualificados</w:t>
            </w:r>
          </w:p>
        </w:tc>
        <w:tc>
          <w:tcPr>
            <w:tcW w:w="1001" w:type="dxa"/>
            <w:vAlign w:val="bottom"/>
          </w:tcPr>
          <w:p w:rsidR="00F92819" w:rsidRDefault="00F92819">
            <w:pPr>
              <w:spacing w:before="40" w:after="40" w:line="220" w:lineRule="exact"/>
              <w:jc w:val="right"/>
              <w:rPr>
                <w:sz w:val="18"/>
                <w:szCs w:val="24"/>
              </w:rPr>
            </w:pPr>
            <w:r>
              <w:rPr>
                <w:sz w:val="18"/>
                <w:szCs w:val="24"/>
              </w:rPr>
              <w:t>372,6</w:t>
            </w:r>
          </w:p>
        </w:tc>
        <w:tc>
          <w:tcPr>
            <w:tcW w:w="1001" w:type="dxa"/>
            <w:vAlign w:val="bottom"/>
          </w:tcPr>
          <w:p w:rsidR="00F92819" w:rsidRDefault="00F92819">
            <w:pPr>
              <w:spacing w:before="40" w:after="40" w:line="220" w:lineRule="exact"/>
              <w:jc w:val="right"/>
              <w:rPr>
                <w:sz w:val="18"/>
                <w:szCs w:val="24"/>
              </w:rPr>
            </w:pPr>
            <w:r>
              <w:rPr>
                <w:sz w:val="18"/>
                <w:szCs w:val="24"/>
              </w:rPr>
              <w:t>6 801</w:t>
            </w:r>
          </w:p>
        </w:tc>
        <w:tc>
          <w:tcPr>
            <w:tcW w:w="1001" w:type="dxa"/>
            <w:vAlign w:val="bottom"/>
          </w:tcPr>
          <w:p w:rsidR="00F92819" w:rsidRDefault="00F92819">
            <w:pPr>
              <w:spacing w:before="40" w:after="40" w:line="220" w:lineRule="exact"/>
              <w:jc w:val="right"/>
              <w:rPr>
                <w:sz w:val="18"/>
                <w:szCs w:val="24"/>
              </w:rPr>
            </w:pPr>
            <w:r>
              <w:rPr>
                <w:sz w:val="18"/>
                <w:szCs w:val="24"/>
              </w:rPr>
              <w:t>34,1</w:t>
            </w:r>
          </w:p>
        </w:tc>
        <w:tc>
          <w:tcPr>
            <w:tcW w:w="1001" w:type="dxa"/>
            <w:vAlign w:val="bottom"/>
          </w:tcPr>
          <w:p w:rsidR="00F92819" w:rsidRDefault="00F92819">
            <w:pPr>
              <w:spacing w:before="40" w:after="40" w:line="220" w:lineRule="exact"/>
              <w:jc w:val="right"/>
              <w:rPr>
                <w:sz w:val="18"/>
                <w:szCs w:val="24"/>
              </w:rPr>
            </w:pPr>
            <w:r>
              <w:rPr>
                <w:sz w:val="18"/>
                <w:szCs w:val="24"/>
              </w:rPr>
              <w:t>47,5</w:t>
            </w:r>
          </w:p>
        </w:tc>
      </w:tr>
      <w:tr w:rsidR="00F92819">
        <w:tc>
          <w:tcPr>
            <w:tcW w:w="3366" w:type="dxa"/>
            <w:tcBorders>
              <w:bottom w:val="single" w:sz="4" w:space="0" w:color="auto"/>
            </w:tcBorders>
            <w:vAlign w:val="bottom"/>
          </w:tcPr>
          <w:p w:rsidR="00F92819" w:rsidRDefault="00F92819">
            <w:pPr>
              <w:spacing w:before="40" w:after="40" w:line="220" w:lineRule="exact"/>
              <w:rPr>
                <w:szCs w:val="24"/>
              </w:rPr>
            </w:pPr>
            <w:r>
              <w:rPr>
                <w:sz w:val="18"/>
                <w:szCs w:val="24"/>
                <w:lang w:val="es-ES_tradnl"/>
              </w:rPr>
              <w:t>Trabajadores no cualificados</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106,2</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4 354</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26,2</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41</w:t>
            </w:r>
          </w:p>
        </w:tc>
      </w:tr>
      <w:tr w:rsidR="00F92819">
        <w:tc>
          <w:tcPr>
            <w:tcW w:w="3366" w:type="dxa"/>
            <w:tcBorders>
              <w:top w:val="single" w:sz="4" w:space="0" w:color="auto"/>
              <w:bottom w:val="single" w:sz="4" w:space="0" w:color="auto"/>
            </w:tcBorders>
            <w:vAlign w:val="bottom"/>
          </w:tcPr>
          <w:p w:rsidR="00F92819" w:rsidRDefault="00F92819">
            <w:pPr>
              <w:spacing w:before="80" w:after="80" w:line="220" w:lineRule="exact"/>
              <w:ind w:left="284"/>
              <w:rPr>
                <w:szCs w:val="24"/>
              </w:rPr>
            </w:pPr>
            <w:r>
              <w:rPr>
                <w:b/>
                <w:sz w:val="18"/>
                <w:szCs w:val="24"/>
                <w:lang w:val="es-ES_tradnl"/>
              </w:rPr>
              <w:t>Total</w:t>
            </w:r>
          </w:p>
        </w:tc>
        <w:tc>
          <w:tcPr>
            <w:tcW w:w="1001"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1 201,2</w:t>
            </w:r>
          </w:p>
        </w:tc>
        <w:tc>
          <w:tcPr>
            <w:tcW w:w="1001"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9 267</w:t>
            </w:r>
          </w:p>
        </w:tc>
        <w:tc>
          <w:tcPr>
            <w:tcW w:w="1001"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48,2</w:t>
            </w:r>
          </w:p>
        </w:tc>
        <w:tc>
          <w:tcPr>
            <w:tcW w:w="1001"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45,7</w:t>
            </w:r>
          </w:p>
        </w:tc>
      </w:tr>
      <w:tr w:rsidR="00F92819">
        <w:tc>
          <w:tcPr>
            <w:tcW w:w="3366" w:type="dxa"/>
            <w:tcBorders>
              <w:top w:val="single" w:sz="4" w:space="0" w:color="auto"/>
            </w:tcBorders>
            <w:vAlign w:val="bottom"/>
          </w:tcPr>
          <w:p w:rsidR="00F92819" w:rsidRDefault="00F92819">
            <w:pPr>
              <w:keepNext/>
              <w:spacing w:before="80" w:after="80" w:line="200" w:lineRule="exact"/>
              <w:rPr>
                <w:szCs w:val="24"/>
              </w:rPr>
            </w:pPr>
            <w:r>
              <w:rPr>
                <w:i/>
                <w:sz w:val="16"/>
                <w:szCs w:val="24"/>
                <w:lang w:val="es-ES_tradnl"/>
              </w:rPr>
              <w:t>Mujeres</w:t>
            </w:r>
          </w:p>
        </w:tc>
        <w:tc>
          <w:tcPr>
            <w:tcW w:w="1001" w:type="dxa"/>
            <w:tcBorders>
              <w:top w:val="single" w:sz="4" w:space="0" w:color="auto"/>
            </w:tcBorders>
            <w:vAlign w:val="bottom"/>
          </w:tcPr>
          <w:p w:rsidR="00F92819" w:rsidRDefault="00F92819">
            <w:pPr>
              <w:keepNext/>
              <w:spacing w:before="80" w:after="80" w:line="200" w:lineRule="exact"/>
              <w:jc w:val="right"/>
              <w:rPr>
                <w:i/>
                <w:sz w:val="16"/>
                <w:szCs w:val="24"/>
              </w:rPr>
            </w:pPr>
          </w:p>
        </w:tc>
        <w:tc>
          <w:tcPr>
            <w:tcW w:w="1001" w:type="dxa"/>
            <w:tcBorders>
              <w:top w:val="single" w:sz="4" w:space="0" w:color="auto"/>
            </w:tcBorders>
            <w:vAlign w:val="bottom"/>
          </w:tcPr>
          <w:p w:rsidR="00F92819" w:rsidRDefault="00F92819">
            <w:pPr>
              <w:keepNext/>
              <w:spacing w:before="80" w:after="80" w:line="200" w:lineRule="exact"/>
              <w:jc w:val="right"/>
              <w:rPr>
                <w:i/>
                <w:sz w:val="16"/>
                <w:szCs w:val="24"/>
              </w:rPr>
            </w:pPr>
          </w:p>
        </w:tc>
        <w:tc>
          <w:tcPr>
            <w:tcW w:w="1001" w:type="dxa"/>
            <w:tcBorders>
              <w:top w:val="single" w:sz="4" w:space="0" w:color="auto"/>
            </w:tcBorders>
            <w:vAlign w:val="bottom"/>
          </w:tcPr>
          <w:p w:rsidR="00F92819" w:rsidRDefault="00F92819">
            <w:pPr>
              <w:keepNext/>
              <w:spacing w:before="80" w:after="80" w:line="200" w:lineRule="exact"/>
              <w:jc w:val="right"/>
              <w:rPr>
                <w:i/>
                <w:sz w:val="16"/>
                <w:szCs w:val="24"/>
              </w:rPr>
            </w:pPr>
          </w:p>
        </w:tc>
        <w:tc>
          <w:tcPr>
            <w:tcW w:w="1001" w:type="dxa"/>
            <w:tcBorders>
              <w:top w:val="single" w:sz="4" w:space="0" w:color="auto"/>
            </w:tcBorders>
            <w:vAlign w:val="bottom"/>
          </w:tcPr>
          <w:p w:rsidR="00F92819" w:rsidRDefault="00F92819">
            <w:pPr>
              <w:keepNext/>
              <w:spacing w:before="80" w:after="80" w:line="200" w:lineRule="exact"/>
              <w:jc w:val="right"/>
              <w:rPr>
                <w:i/>
                <w:sz w:val="16"/>
                <w:szCs w:val="24"/>
              </w:rPr>
            </w:pPr>
          </w:p>
        </w:tc>
      </w:tr>
      <w:tr w:rsidR="00F92819">
        <w:tc>
          <w:tcPr>
            <w:tcW w:w="3366" w:type="dxa"/>
            <w:vAlign w:val="bottom"/>
          </w:tcPr>
          <w:p w:rsidR="00F92819" w:rsidRDefault="00F92819">
            <w:pPr>
              <w:keepNext/>
              <w:spacing w:before="40" w:after="40" w:line="220" w:lineRule="exact"/>
              <w:rPr>
                <w:szCs w:val="24"/>
              </w:rPr>
            </w:pPr>
            <w:r>
              <w:rPr>
                <w:sz w:val="18"/>
                <w:szCs w:val="24"/>
                <w:lang w:val="es-ES_tradnl"/>
              </w:rPr>
              <w:t>Profesionales académicas</w:t>
            </w:r>
          </w:p>
        </w:tc>
        <w:tc>
          <w:tcPr>
            <w:tcW w:w="1001" w:type="dxa"/>
            <w:vAlign w:val="bottom"/>
          </w:tcPr>
          <w:p w:rsidR="00F92819" w:rsidRDefault="00F92819">
            <w:pPr>
              <w:keepNext/>
              <w:spacing w:before="40" w:after="40" w:line="220" w:lineRule="exact"/>
              <w:jc w:val="right"/>
              <w:rPr>
                <w:sz w:val="18"/>
                <w:szCs w:val="24"/>
              </w:rPr>
            </w:pPr>
            <w:r>
              <w:rPr>
                <w:sz w:val="18"/>
                <w:szCs w:val="24"/>
              </w:rPr>
              <w:t>148,5</w:t>
            </w:r>
          </w:p>
        </w:tc>
        <w:tc>
          <w:tcPr>
            <w:tcW w:w="1001" w:type="dxa"/>
            <w:vAlign w:val="bottom"/>
          </w:tcPr>
          <w:p w:rsidR="00F92819" w:rsidRDefault="00F92819">
            <w:pPr>
              <w:keepNext/>
              <w:spacing w:before="40" w:after="40" w:line="220" w:lineRule="exact"/>
              <w:jc w:val="right"/>
              <w:rPr>
                <w:sz w:val="18"/>
                <w:szCs w:val="24"/>
              </w:rPr>
            </w:pPr>
            <w:r>
              <w:rPr>
                <w:sz w:val="18"/>
                <w:szCs w:val="24"/>
              </w:rPr>
              <w:t>9 587</w:t>
            </w:r>
          </w:p>
        </w:tc>
        <w:tc>
          <w:tcPr>
            <w:tcW w:w="1001" w:type="dxa"/>
            <w:vAlign w:val="bottom"/>
          </w:tcPr>
          <w:p w:rsidR="00F92819" w:rsidRDefault="00F92819">
            <w:pPr>
              <w:keepNext/>
              <w:spacing w:before="40" w:after="40" w:line="220" w:lineRule="exact"/>
              <w:jc w:val="right"/>
              <w:rPr>
                <w:sz w:val="18"/>
                <w:szCs w:val="24"/>
              </w:rPr>
            </w:pPr>
            <w:r>
              <w:rPr>
                <w:sz w:val="18"/>
                <w:szCs w:val="24"/>
              </w:rPr>
              <w:t>63,4</w:t>
            </w:r>
          </w:p>
        </w:tc>
        <w:tc>
          <w:tcPr>
            <w:tcW w:w="1001" w:type="dxa"/>
            <w:vAlign w:val="bottom"/>
          </w:tcPr>
          <w:p w:rsidR="00F92819" w:rsidRDefault="00F92819">
            <w:pPr>
              <w:keepNext/>
              <w:spacing w:before="40" w:after="40" w:line="220" w:lineRule="exact"/>
              <w:jc w:val="right"/>
              <w:rPr>
                <w:sz w:val="18"/>
                <w:szCs w:val="24"/>
              </w:rPr>
            </w:pPr>
            <w:r>
              <w:rPr>
                <w:sz w:val="18"/>
                <w:szCs w:val="24"/>
              </w:rPr>
              <w:t>36,1</w:t>
            </w:r>
          </w:p>
        </w:tc>
      </w:tr>
      <w:tr w:rsidR="00F92819">
        <w:tc>
          <w:tcPr>
            <w:tcW w:w="3366" w:type="dxa"/>
            <w:vAlign w:val="bottom"/>
          </w:tcPr>
          <w:p w:rsidR="00F92819" w:rsidRDefault="00F92819">
            <w:pPr>
              <w:spacing w:before="40" w:after="40" w:line="220" w:lineRule="exact"/>
              <w:rPr>
                <w:szCs w:val="24"/>
              </w:rPr>
            </w:pPr>
            <w:r>
              <w:rPr>
                <w:sz w:val="18"/>
                <w:szCs w:val="24"/>
                <w:lang w:val="es-ES_tradnl"/>
              </w:rPr>
              <w:t>Profesionales asociadas y técnicas</w:t>
            </w:r>
          </w:p>
        </w:tc>
        <w:tc>
          <w:tcPr>
            <w:tcW w:w="1001" w:type="dxa"/>
            <w:vAlign w:val="bottom"/>
          </w:tcPr>
          <w:p w:rsidR="00F92819" w:rsidRDefault="00F92819">
            <w:pPr>
              <w:spacing w:before="40" w:after="40" w:line="220" w:lineRule="exact"/>
              <w:jc w:val="right"/>
              <w:rPr>
                <w:sz w:val="18"/>
                <w:szCs w:val="24"/>
              </w:rPr>
            </w:pPr>
            <w:r>
              <w:rPr>
                <w:sz w:val="18"/>
                <w:szCs w:val="24"/>
              </w:rPr>
              <w:t>217,9</w:t>
            </w:r>
          </w:p>
        </w:tc>
        <w:tc>
          <w:tcPr>
            <w:tcW w:w="1001" w:type="dxa"/>
            <w:vAlign w:val="bottom"/>
          </w:tcPr>
          <w:p w:rsidR="00F92819" w:rsidRDefault="00F92819">
            <w:pPr>
              <w:spacing w:before="40" w:after="40" w:line="220" w:lineRule="exact"/>
              <w:jc w:val="right"/>
              <w:rPr>
                <w:sz w:val="18"/>
                <w:szCs w:val="24"/>
              </w:rPr>
            </w:pPr>
            <w:r>
              <w:rPr>
                <w:sz w:val="18"/>
                <w:szCs w:val="24"/>
              </w:rPr>
              <w:t>6 260</w:t>
            </w:r>
          </w:p>
        </w:tc>
        <w:tc>
          <w:tcPr>
            <w:tcW w:w="1001" w:type="dxa"/>
            <w:vAlign w:val="bottom"/>
          </w:tcPr>
          <w:p w:rsidR="00F92819" w:rsidRDefault="00F92819">
            <w:pPr>
              <w:spacing w:before="40" w:after="40" w:line="220" w:lineRule="exact"/>
              <w:jc w:val="right"/>
              <w:rPr>
                <w:sz w:val="18"/>
                <w:szCs w:val="24"/>
              </w:rPr>
            </w:pPr>
            <w:r>
              <w:rPr>
                <w:sz w:val="18"/>
                <w:szCs w:val="24"/>
              </w:rPr>
              <w:t>46,9</w:t>
            </w:r>
          </w:p>
        </w:tc>
        <w:tc>
          <w:tcPr>
            <w:tcW w:w="1001" w:type="dxa"/>
            <w:vAlign w:val="bottom"/>
          </w:tcPr>
          <w:p w:rsidR="00F92819" w:rsidRDefault="00F92819">
            <w:pPr>
              <w:spacing w:before="40" w:after="40" w:line="220" w:lineRule="exact"/>
              <w:jc w:val="right"/>
              <w:rPr>
                <w:sz w:val="18"/>
                <w:szCs w:val="24"/>
              </w:rPr>
            </w:pPr>
            <w:r>
              <w:rPr>
                <w:sz w:val="18"/>
                <w:szCs w:val="24"/>
              </w:rPr>
              <w:t>32,1</w:t>
            </w:r>
          </w:p>
        </w:tc>
      </w:tr>
      <w:tr w:rsidR="00F92819">
        <w:tc>
          <w:tcPr>
            <w:tcW w:w="3366" w:type="dxa"/>
            <w:vAlign w:val="bottom"/>
          </w:tcPr>
          <w:p w:rsidR="00F92819" w:rsidRDefault="00F92819">
            <w:pPr>
              <w:spacing w:before="40" w:after="40" w:line="220" w:lineRule="exact"/>
              <w:rPr>
                <w:szCs w:val="24"/>
              </w:rPr>
            </w:pPr>
            <w:r>
              <w:rPr>
                <w:sz w:val="18"/>
                <w:szCs w:val="24"/>
                <w:lang w:val="es-ES_tradnl"/>
              </w:rPr>
              <w:t>Administradoras</w:t>
            </w:r>
          </w:p>
        </w:tc>
        <w:tc>
          <w:tcPr>
            <w:tcW w:w="1001" w:type="dxa"/>
            <w:vAlign w:val="bottom"/>
          </w:tcPr>
          <w:p w:rsidR="00F92819" w:rsidRDefault="00F92819">
            <w:pPr>
              <w:spacing w:before="40" w:after="40" w:line="220" w:lineRule="exact"/>
              <w:jc w:val="right"/>
              <w:rPr>
                <w:sz w:val="18"/>
                <w:szCs w:val="24"/>
              </w:rPr>
            </w:pPr>
            <w:r>
              <w:rPr>
                <w:sz w:val="18"/>
                <w:szCs w:val="24"/>
              </w:rPr>
              <w:t>37,4</w:t>
            </w:r>
          </w:p>
        </w:tc>
        <w:tc>
          <w:tcPr>
            <w:tcW w:w="1001" w:type="dxa"/>
            <w:vAlign w:val="bottom"/>
          </w:tcPr>
          <w:p w:rsidR="00F92819" w:rsidRDefault="00F92819">
            <w:pPr>
              <w:spacing w:before="40" w:after="40" w:line="220" w:lineRule="exact"/>
              <w:jc w:val="right"/>
              <w:rPr>
                <w:sz w:val="18"/>
                <w:szCs w:val="24"/>
              </w:rPr>
            </w:pPr>
            <w:r>
              <w:rPr>
                <w:sz w:val="18"/>
                <w:szCs w:val="24"/>
              </w:rPr>
              <w:t>13 175</w:t>
            </w:r>
          </w:p>
        </w:tc>
        <w:tc>
          <w:tcPr>
            <w:tcW w:w="1001" w:type="dxa"/>
            <w:vAlign w:val="bottom"/>
          </w:tcPr>
          <w:p w:rsidR="00F92819" w:rsidRDefault="00F92819">
            <w:pPr>
              <w:spacing w:before="40" w:after="40" w:line="220" w:lineRule="exact"/>
              <w:jc w:val="right"/>
              <w:rPr>
                <w:sz w:val="18"/>
                <w:szCs w:val="24"/>
              </w:rPr>
            </w:pPr>
            <w:r>
              <w:rPr>
                <w:sz w:val="18"/>
                <w:szCs w:val="24"/>
              </w:rPr>
              <w:t>72,7</w:t>
            </w:r>
          </w:p>
        </w:tc>
        <w:tc>
          <w:tcPr>
            <w:tcW w:w="1001" w:type="dxa"/>
            <w:vAlign w:val="bottom"/>
          </w:tcPr>
          <w:p w:rsidR="00F92819" w:rsidRDefault="00F92819">
            <w:pPr>
              <w:spacing w:before="40" w:after="40" w:line="220" w:lineRule="exact"/>
              <w:jc w:val="right"/>
              <w:rPr>
                <w:sz w:val="18"/>
                <w:szCs w:val="24"/>
              </w:rPr>
            </w:pPr>
            <w:r>
              <w:rPr>
                <w:sz w:val="18"/>
                <w:szCs w:val="24"/>
              </w:rPr>
              <w:t>43,1</w:t>
            </w:r>
          </w:p>
        </w:tc>
      </w:tr>
      <w:tr w:rsidR="00F92819">
        <w:tc>
          <w:tcPr>
            <w:tcW w:w="3366" w:type="dxa"/>
            <w:vAlign w:val="bottom"/>
          </w:tcPr>
          <w:p w:rsidR="00F92819" w:rsidRDefault="00F92819">
            <w:pPr>
              <w:spacing w:before="40" w:after="40" w:line="220" w:lineRule="exact"/>
              <w:rPr>
                <w:szCs w:val="24"/>
              </w:rPr>
            </w:pPr>
            <w:r>
              <w:rPr>
                <w:sz w:val="18"/>
                <w:szCs w:val="24"/>
                <w:lang w:val="es-ES_tradnl"/>
              </w:rPr>
              <w:t>Oficinistas</w:t>
            </w:r>
          </w:p>
        </w:tc>
        <w:tc>
          <w:tcPr>
            <w:tcW w:w="1001" w:type="dxa"/>
            <w:vAlign w:val="bottom"/>
          </w:tcPr>
          <w:p w:rsidR="00F92819" w:rsidRDefault="00F92819">
            <w:pPr>
              <w:spacing w:before="40" w:after="40" w:line="220" w:lineRule="exact"/>
              <w:jc w:val="right"/>
              <w:rPr>
                <w:sz w:val="18"/>
                <w:szCs w:val="24"/>
              </w:rPr>
            </w:pPr>
            <w:r>
              <w:rPr>
                <w:sz w:val="18"/>
                <w:szCs w:val="24"/>
              </w:rPr>
              <w:t>316,6</w:t>
            </w:r>
          </w:p>
        </w:tc>
        <w:tc>
          <w:tcPr>
            <w:tcW w:w="1001" w:type="dxa"/>
            <w:vAlign w:val="bottom"/>
          </w:tcPr>
          <w:p w:rsidR="00F92819" w:rsidRDefault="00F92819">
            <w:pPr>
              <w:spacing w:before="40" w:after="40" w:line="220" w:lineRule="exact"/>
              <w:jc w:val="right"/>
              <w:rPr>
                <w:sz w:val="18"/>
                <w:szCs w:val="24"/>
              </w:rPr>
            </w:pPr>
            <w:r>
              <w:rPr>
                <w:sz w:val="18"/>
                <w:szCs w:val="24"/>
              </w:rPr>
              <w:t>5 858</w:t>
            </w:r>
          </w:p>
        </w:tc>
        <w:tc>
          <w:tcPr>
            <w:tcW w:w="1001" w:type="dxa"/>
            <w:vAlign w:val="bottom"/>
          </w:tcPr>
          <w:p w:rsidR="00F92819" w:rsidRDefault="00F92819">
            <w:pPr>
              <w:spacing w:before="40" w:after="40" w:line="220" w:lineRule="exact"/>
              <w:jc w:val="right"/>
              <w:rPr>
                <w:sz w:val="18"/>
                <w:szCs w:val="24"/>
              </w:rPr>
            </w:pPr>
            <w:r>
              <w:rPr>
                <w:sz w:val="18"/>
                <w:szCs w:val="24"/>
              </w:rPr>
              <w:t>37,7</w:t>
            </w:r>
          </w:p>
        </w:tc>
        <w:tc>
          <w:tcPr>
            <w:tcW w:w="1001" w:type="dxa"/>
            <w:vAlign w:val="bottom"/>
          </w:tcPr>
          <w:p w:rsidR="00F92819" w:rsidRDefault="00F92819">
            <w:pPr>
              <w:spacing w:before="40" w:after="40" w:line="220" w:lineRule="exact"/>
              <w:jc w:val="right"/>
              <w:rPr>
                <w:sz w:val="18"/>
                <w:szCs w:val="24"/>
              </w:rPr>
            </w:pPr>
            <w:r>
              <w:rPr>
                <w:sz w:val="18"/>
                <w:szCs w:val="24"/>
              </w:rPr>
              <w:t>37,3</w:t>
            </w:r>
          </w:p>
        </w:tc>
      </w:tr>
      <w:tr w:rsidR="00F92819">
        <w:tc>
          <w:tcPr>
            <w:tcW w:w="3366" w:type="dxa"/>
            <w:vAlign w:val="bottom"/>
          </w:tcPr>
          <w:p w:rsidR="00F92819" w:rsidRDefault="00F92819">
            <w:pPr>
              <w:spacing w:before="40" w:after="40" w:line="220" w:lineRule="exact"/>
              <w:rPr>
                <w:szCs w:val="24"/>
              </w:rPr>
            </w:pPr>
            <w:r>
              <w:rPr>
                <w:sz w:val="18"/>
                <w:szCs w:val="24"/>
                <w:lang w:val="es-ES_tradnl"/>
              </w:rPr>
              <w:t>Agentes, vendedoras y trabajadoras del sector de los servicios</w:t>
            </w:r>
          </w:p>
        </w:tc>
        <w:tc>
          <w:tcPr>
            <w:tcW w:w="1001" w:type="dxa"/>
            <w:vAlign w:val="bottom"/>
          </w:tcPr>
          <w:p w:rsidR="00F92819" w:rsidRDefault="00F92819">
            <w:pPr>
              <w:spacing w:before="40" w:after="40" w:line="220" w:lineRule="exact"/>
              <w:jc w:val="right"/>
              <w:rPr>
                <w:sz w:val="18"/>
                <w:szCs w:val="24"/>
              </w:rPr>
            </w:pPr>
            <w:r>
              <w:rPr>
                <w:sz w:val="18"/>
                <w:szCs w:val="24"/>
              </w:rPr>
              <w:t>257,9</w:t>
            </w:r>
          </w:p>
        </w:tc>
        <w:tc>
          <w:tcPr>
            <w:tcW w:w="1001" w:type="dxa"/>
            <w:vAlign w:val="bottom"/>
          </w:tcPr>
          <w:p w:rsidR="00F92819" w:rsidRDefault="00F92819">
            <w:pPr>
              <w:spacing w:before="40" w:after="40" w:line="220" w:lineRule="exact"/>
              <w:jc w:val="right"/>
              <w:rPr>
                <w:sz w:val="18"/>
                <w:szCs w:val="24"/>
              </w:rPr>
            </w:pPr>
            <w:r>
              <w:rPr>
                <w:sz w:val="18"/>
                <w:szCs w:val="24"/>
              </w:rPr>
              <w:t>3 804</w:t>
            </w:r>
          </w:p>
        </w:tc>
        <w:tc>
          <w:tcPr>
            <w:tcW w:w="1001" w:type="dxa"/>
            <w:vAlign w:val="bottom"/>
          </w:tcPr>
          <w:p w:rsidR="00F92819" w:rsidRDefault="00F92819">
            <w:pPr>
              <w:spacing w:before="40" w:after="40" w:line="220" w:lineRule="exact"/>
              <w:jc w:val="right"/>
              <w:rPr>
                <w:sz w:val="18"/>
                <w:szCs w:val="24"/>
              </w:rPr>
            </w:pPr>
            <w:r>
              <w:rPr>
                <w:sz w:val="18"/>
                <w:szCs w:val="24"/>
              </w:rPr>
              <w:t>27,3</w:t>
            </w:r>
          </w:p>
        </w:tc>
        <w:tc>
          <w:tcPr>
            <w:tcW w:w="1001" w:type="dxa"/>
            <w:vAlign w:val="bottom"/>
          </w:tcPr>
          <w:p w:rsidR="00F92819" w:rsidRDefault="00F92819">
            <w:pPr>
              <w:spacing w:before="40" w:after="40" w:line="220" w:lineRule="exact"/>
              <w:jc w:val="right"/>
              <w:rPr>
                <w:sz w:val="18"/>
                <w:szCs w:val="24"/>
              </w:rPr>
            </w:pPr>
            <w:r>
              <w:rPr>
                <w:sz w:val="18"/>
                <w:szCs w:val="24"/>
              </w:rPr>
              <w:t>34,3</w:t>
            </w:r>
          </w:p>
        </w:tc>
      </w:tr>
      <w:tr w:rsidR="00F92819">
        <w:tc>
          <w:tcPr>
            <w:tcW w:w="3366" w:type="dxa"/>
            <w:vAlign w:val="bottom"/>
          </w:tcPr>
          <w:p w:rsidR="00F92819" w:rsidRDefault="00F92819">
            <w:pPr>
              <w:spacing w:before="40" w:after="40" w:line="220" w:lineRule="exact"/>
              <w:rPr>
                <w:szCs w:val="24"/>
              </w:rPr>
            </w:pPr>
            <w:r>
              <w:rPr>
                <w:sz w:val="18"/>
                <w:szCs w:val="24"/>
                <w:lang w:val="es-ES_tradnl"/>
              </w:rPr>
              <w:t>Trabajadoras cualificadas</w:t>
            </w:r>
          </w:p>
        </w:tc>
        <w:tc>
          <w:tcPr>
            <w:tcW w:w="1001" w:type="dxa"/>
            <w:vAlign w:val="bottom"/>
          </w:tcPr>
          <w:p w:rsidR="00F92819" w:rsidRDefault="00F92819">
            <w:pPr>
              <w:spacing w:before="40" w:after="40" w:line="220" w:lineRule="exact"/>
              <w:jc w:val="right"/>
              <w:rPr>
                <w:sz w:val="18"/>
                <w:szCs w:val="24"/>
              </w:rPr>
            </w:pPr>
            <w:r>
              <w:rPr>
                <w:sz w:val="18"/>
                <w:szCs w:val="24"/>
              </w:rPr>
              <w:t>47,3</w:t>
            </w:r>
          </w:p>
        </w:tc>
        <w:tc>
          <w:tcPr>
            <w:tcW w:w="1001" w:type="dxa"/>
            <w:vAlign w:val="bottom"/>
          </w:tcPr>
          <w:p w:rsidR="00F92819" w:rsidRDefault="00F92819">
            <w:pPr>
              <w:spacing w:before="40" w:after="40" w:line="220" w:lineRule="exact"/>
              <w:jc w:val="right"/>
              <w:rPr>
                <w:sz w:val="18"/>
                <w:szCs w:val="24"/>
              </w:rPr>
            </w:pPr>
            <w:r>
              <w:rPr>
                <w:sz w:val="18"/>
                <w:szCs w:val="24"/>
              </w:rPr>
              <w:t>4 772</w:t>
            </w:r>
          </w:p>
        </w:tc>
        <w:tc>
          <w:tcPr>
            <w:tcW w:w="1001" w:type="dxa"/>
            <w:vAlign w:val="bottom"/>
          </w:tcPr>
          <w:p w:rsidR="00F92819" w:rsidRDefault="00F92819">
            <w:pPr>
              <w:spacing w:before="40" w:after="40" w:line="220" w:lineRule="exact"/>
              <w:jc w:val="right"/>
              <w:rPr>
                <w:sz w:val="18"/>
                <w:szCs w:val="24"/>
              </w:rPr>
            </w:pPr>
            <w:r>
              <w:rPr>
                <w:sz w:val="18"/>
                <w:szCs w:val="24"/>
              </w:rPr>
              <w:t>26,6</w:t>
            </w:r>
          </w:p>
        </w:tc>
        <w:tc>
          <w:tcPr>
            <w:tcW w:w="1001" w:type="dxa"/>
            <w:vAlign w:val="bottom"/>
          </w:tcPr>
          <w:p w:rsidR="00F92819" w:rsidRDefault="00F92819">
            <w:pPr>
              <w:spacing w:before="40" w:after="40" w:line="220" w:lineRule="exact"/>
              <w:jc w:val="right"/>
              <w:rPr>
                <w:sz w:val="18"/>
                <w:szCs w:val="24"/>
              </w:rPr>
            </w:pPr>
            <w:r>
              <w:rPr>
                <w:sz w:val="18"/>
                <w:szCs w:val="24"/>
              </w:rPr>
              <w:t>43,3</w:t>
            </w:r>
          </w:p>
        </w:tc>
      </w:tr>
      <w:tr w:rsidR="00F92819">
        <w:tc>
          <w:tcPr>
            <w:tcW w:w="3366" w:type="dxa"/>
            <w:tcBorders>
              <w:bottom w:val="single" w:sz="4" w:space="0" w:color="auto"/>
            </w:tcBorders>
            <w:vAlign w:val="bottom"/>
          </w:tcPr>
          <w:p w:rsidR="00F92819" w:rsidRDefault="00F92819">
            <w:pPr>
              <w:spacing w:before="40" w:after="40" w:line="220" w:lineRule="exact"/>
              <w:rPr>
                <w:szCs w:val="24"/>
              </w:rPr>
            </w:pPr>
            <w:r>
              <w:rPr>
                <w:sz w:val="18"/>
                <w:szCs w:val="24"/>
                <w:lang w:val="es-ES_tradnl"/>
              </w:rPr>
              <w:t>Trabajadoras no cualificadas</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86,1</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3 011</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23,3</w:t>
            </w:r>
          </w:p>
        </w:tc>
        <w:tc>
          <w:tcPr>
            <w:tcW w:w="1001"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31,9</w:t>
            </w:r>
          </w:p>
        </w:tc>
      </w:tr>
      <w:tr w:rsidR="00F92819">
        <w:tc>
          <w:tcPr>
            <w:tcW w:w="3366" w:type="dxa"/>
            <w:tcBorders>
              <w:top w:val="single" w:sz="4" w:space="0" w:color="auto"/>
              <w:bottom w:val="single" w:sz="12" w:space="0" w:color="auto"/>
            </w:tcBorders>
            <w:vAlign w:val="bottom"/>
          </w:tcPr>
          <w:p w:rsidR="00F92819" w:rsidRDefault="00F92819">
            <w:pPr>
              <w:spacing w:before="80" w:after="80" w:line="220" w:lineRule="exact"/>
              <w:ind w:left="284"/>
              <w:rPr>
                <w:szCs w:val="24"/>
              </w:rPr>
            </w:pPr>
            <w:r>
              <w:rPr>
                <w:b/>
                <w:sz w:val="18"/>
                <w:szCs w:val="24"/>
                <w:lang w:val="es-ES_tradnl"/>
              </w:rPr>
              <w:t>Total</w:t>
            </w:r>
          </w:p>
        </w:tc>
        <w:tc>
          <w:tcPr>
            <w:tcW w:w="1001"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1 125,6</w:t>
            </w:r>
          </w:p>
        </w:tc>
        <w:tc>
          <w:tcPr>
            <w:tcW w:w="1001"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5 949</w:t>
            </w:r>
          </w:p>
        </w:tc>
        <w:tc>
          <w:tcPr>
            <w:tcW w:w="1001"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40,5</w:t>
            </w:r>
          </w:p>
        </w:tc>
        <w:tc>
          <w:tcPr>
            <w:tcW w:w="1001"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35,6</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de Israel, Estudio sobre los ingresos, 2007.</w:t>
      </w:r>
    </w:p>
    <w:p w:rsidR="00F92819" w:rsidRDefault="00F92819">
      <w:pPr>
        <w:pStyle w:val="Heading1"/>
        <w:keepLines/>
        <w:spacing w:before="240"/>
        <w:rPr>
          <w:szCs w:val="24"/>
        </w:rPr>
      </w:pPr>
      <w:r>
        <w:rPr>
          <w:szCs w:val="24"/>
          <w:lang w:val="es-ES_tradnl"/>
        </w:rPr>
        <w:t>Cuadro 12</w:t>
      </w:r>
    </w:p>
    <w:p w:rsidR="00F92819" w:rsidRDefault="00F92819">
      <w:pPr>
        <w:pStyle w:val="SingleTxtG"/>
        <w:keepNext/>
        <w:keepLines/>
        <w:rPr>
          <w:b/>
          <w:szCs w:val="24"/>
        </w:rPr>
      </w:pPr>
      <w:r>
        <w:rPr>
          <w:b/>
          <w:szCs w:val="24"/>
          <w:lang w:val="es-ES_tradnl"/>
        </w:rPr>
        <w:t>Ingresos mensuales, por situación en el trabajo del cabeza de familia,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66"/>
        <w:gridCol w:w="926"/>
        <w:gridCol w:w="926"/>
        <w:gridCol w:w="926"/>
        <w:gridCol w:w="926"/>
      </w:tblGrid>
      <w:tr w:rsidR="00F92819">
        <w:trPr>
          <w:tblHeader/>
        </w:trPr>
        <w:tc>
          <w:tcPr>
            <w:tcW w:w="3666" w:type="dxa"/>
            <w:vMerge w:val="restart"/>
            <w:tcBorders>
              <w:top w:val="single" w:sz="4" w:space="0" w:color="auto"/>
            </w:tcBorders>
            <w:vAlign w:val="bottom"/>
          </w:tcPr>
          <w:p w:rsidR="00F92819" w:rsidRDefault="00F92819">
            <w:pPr>
              <w:keepNext/>
              <w:keepLines/>
              <w:spacing w:before="80" w:after="80" w:line="200" w:lineRule="exact"/>
              <w:rPr>
                <w:i/>
                <w:sz w:val="16"/>
                <w:szCs w:val="24"/>
              </w:rPr>
            </w:pPr>
          </w:p>
        </w:tc>
        <w:tc>
          <w:tcPr>
            <w:tcW w:w="3704" w:type="dxa"/>
            <w:gridSpan w:val="4"/>
            <w:tcBorders>
              <w:top w:val="single" w:sz="4" w:space="0" w:color="auto"/>
              <w:bottom w:val="single" w:sz="4" w:space="0" w:color="auto"/>
            </w:tcBorders>
            <w:vAlign w:val="bottom"/>
          </w:tcPr>
          <w:p w:rsidR="00F92819" w:rsidRDefault="00F92819">
            <w:pPr>
              <w:keepNext/>
              <w:keepLines/>
              <w:spacing w:before="80" w:after="80" w:line="200" w:lineRule="exact"/>
              <w:jc w:val="center"/>
              <w:rPr>
                <w:szCs w:val="24"/>
              </w:rPr>
            </w:pPr>
            <w:r>
              <w:rPr>
                <w:i/>
                <w:sz w:val="16"/>
                <w:szCs w:val="24"/>
                <w:lang w:val="es-ES_tradnl"/>
              </w:rPr>
              <w:t>Situación en el trabajo del cabeza de familia</w:t>
            </w:r>
          </w:p>
        </w:tc>
      </w:tr>
      <w:tr w:rsidR="00F92819">
        <w:trPr>
          <w:tblHeader/>
        </w:trPr>
        <w:tc>
          <w:tcPr>
            <w:tcW w:w="3666" w:type="dxa"/>
            <w:vMerge/>
            <w:tcBorders>
              <w:bottom w:val="single" w:sz="12" w:space="0" w:color="auto"/>
            </w:tcBorders>
            <w:vAlign w:val="bottom"/>
          </w:tcPr>
          <w:p w:rsidR="00F92819" w:rsidRDefault="00F92819">
            <w:pPr>
              <w:keepNext/>
              <w:keepLines/>
              <w:spacing w:before="80" w:after="80" w:line="200" w:lineRule="exact"/>
              <w:rPr>
                <w:i/>
                <w:sz w:val="16"/>
                <w:szCs w:val="24"/>
              </w:rPr>
            </w:pPr>
          </w:p>
        </w:tc>
        <w:tc>
          <w:tcPr>
            <w:tcW w:w="926" w:type="dxa"/>
            <w:tcBorders>
              <w:top w:val="single" w:sz="4" w:space="0" w:color="auto"/>
              <w:bottom w:val="single" w:sz="12" w:space="0" w:color="auto"/>
            </w:tcBorders>
            <w:vAlign w:val="bottom"/>
          </w:tcPr>
          <w:p w:rsidR="00F92819" w:rsidRDefault="00F92819">
            <w:pPr>
              <w:keepNext/>
              <w:keepLines/>
              <w:spacing w:before="80" w:after="80" w:line="200" w:lineRule="exact"/>
              <w:jc w:val="right"/>
              <w:rPr>
                <w:szCs w:val="24"/>
              </w:rPr>
            </w:pPr>
            <w:r>
              <w:rPr>
                <w:i/>
                <w:sz w:val="16"/>
                <w:szCs w:val="24"/>
                <w:lang w:val="es-ES_tradnl"/>
              </w:rPr>
              <w:t>No trabaja</w:t>
            </w:r>
          </w:p>
        </w:tc>
        <w:tc>
          <w:tcPr>
            <w:tcW w:w="926" w:type="dxa"/>
            <w:tcBorders>
              <w:top w:val="single" w:sz="4" w:space="0" w:color="auto"/>
              <w:bottom w:val="single" w:sz="12" w:space="0" w:color="auto"/>
            </w:tcBorders>
            <w:vAlign w:val="bottom"/>
          </w:tcPr>
          <w:p w:rsidR="00F92819" w:rsidRDefault="00F92819">
            <w:pPr>
              <w:keepNext/>
              <w:keepLines/>
              <w:spacing w:before="80" w:after="80" w:line="200" w:lineRule="exact"/>
              <w:jc w:val="right"/>
              <w:rPr>
                <w:szCs w:val="24"/>
              </w:rPr>
            </w:pPr>
            <w:r>
              <w:rPr>
                <w:i/>
                <w:sz w:val="16"/>
                <w:szCs w:val="24"/>
                <w:lang w:val="es-ES_tradnl"/>
              </w:rPr>
              <w:t>Autónomo</w:t>
            </w:r>
          </w:p>
        </w:tc>
        <w:tc>
          <w:tcPr>
            <w:tcW w:w="926" w:type="dxa"/>
            <w:tcBorders>
              <w:top w:val="single" w:sz="4" w:space="0" w:color="auto"/>
              <w:bottom w:val="single" w:sz="12" w:space="0" w:color="auto"/>
            </w:tcBorders>
            <w:vAlign w:val="bottom"/>
          </w:tcPr>
          <w:p w:rsidR="00F92819" w:rsidRDefault="00F92819">
            <w:pPr>
              <w:keepNext/>
              <w:keepLines/>
              <w:spacing w:before="80" w:after="80" w:line="200" w:lineRule="exact"/>
              <w:jc w:val="right"/>
              <w:rPr>
                <w:szCs w:val="24"/>
              </w:rPr>
            </w:pPr>
            <w:r>
              <w:rPr>
                <w:i/>
                <w:sz w:val="16"/>
                <w:szCs w:val="24"/>
                <w:lang w:val="es-ES_tradnl"/>
              </w:rPr>
              <w:t>Asalariado</w:t>
            </w:r>
          </w:p>
        </w:tc>
        <w:tc>
          <w:tcPr>
            <w:tcW w:w="926" w:type="dxa"/>
            <w:tcBorders>
              <w:top w:val="single" w:sz="4" w:space="0" w:color="auto"/>
              <w:bottom w:val="single" w:sz="12" w:space="0" w:color="auto"/>
            </w:tcBorders>
            <w:vAlign w:val="bottom"/>
          </w:tcPr>
          <w:p w:rsidR="00F92819" w:rsidRDefault="00F92819">
            <w:pPr>
              <w:keepNext/>
              <w:keepLines/>
              <w:spacing w:before="80" w:after="80" w:line="200" w:lineRule="exact"/>
              <w:jc w:val="right"/>
              <w:rPr>
                <w:szCs w:val="24"/>
              </w:rPr>
            </w:pPr>
            <w:r>
              <w:rPr>
                <w:b/>
                <w:i/>
                <w:sz w:val="16"/>
                <w:szCs w:val="24"/>
                <w:lang w:val="es-ES_tradnl"/>
              </w:rPr>
              <w:t>Total</w:t>
            </w:r>
          </w:p>
        </w:tc>
      </w:tr>
      <w:tr w:rsidR="00F92819">
        <w:tc>
          <w:tcPr>
            <w:tcW w:w="3666" w:type="dxa"/>
            <w:tcBorders>
              <w:top w:val="single" w:sz="12" w:space="0" w:color="auto"/>
            </w:tcBorders>
            <w:vAlign w:val="bottom"/>
          </w:tcPr>
          <w:p w:rsidR="00F92819" w:rsidRDefault="00F92819">
            <w:pPr>
              <w:keepNext/>
              <w:keepLines/>
              <w:spacing w:before="40" w:after="40" w:line="220" w:lineRule="exact"/>
              <w:rPr>
                <w:szCs w:val="24"/>
              </w:rPr>
            </w:pPr>
            <w:r>
              <w:rPr>
                <w:sz w:val="18"/>
                <w:szCs w:val="24"/>
                <w:lang w:val="es-ES_tradnl"/>
              </w:rPr>
              <w:t>Hogares en la población (en miles)</w:t>
            </w:r>
          </w:p>
        </w:tc>
        <w:tc>
          <w:tcPr>
            <w:tcW w:w="926" w:type="dxa"/>
            <w:tcBorders>
              <w:top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525,1</w:t>
            </w:r>
          </w:p>
        </w:tc>
        <w:tc>
          <w:tcPr>
            <w:tcW w:w="926" w:type="dxa"/>
            <w:tcBorders>
              <w:top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196,9</w:t>
            </w:r>
          </w:p>
        </w:tc>
        <w:tc>
          <w:tcPr>
            <w:tcW w:w="926" w:type="dxa"/>
            <w:tcBorders>
              <w:top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1 349,8</w:t>
            </w:r>
          </w:p>
        </w:tc>
        <w:tc>
          <w:tcPr>
            <w:tcW w:w="926" w:type="dxa"/>
            <w:tcBorders>
              <w:top w:val="single" w:sz="12" w:space="0" w:color="auto"/>
            </w:tcBorders>
            <w:vAlign w:val="bottom"/>
          </w:tcPr>
          <w:p w:rsidR="00F92819" w:rsidRDefault="00F92819">
            <w:pPr>
              <w:keepNext/>
              <w:keepLines/>
              <w:spacing w:before="40" w:after="40" w:line="220" w:lineRule="exact"/>
              <w:jc w:val="right"/>
              <w:rPr>
                <w:b/>
                <w:sz w:val="18"/>
                <w:szCs w:val="24"/>
              </w:rPr>
            </w:pPr>
            <w:r>
              <w:rPr>
                <w:b/>
                <w:sz w:val="18"/>
                <w:szCs w:val="24"/>
              </w:rPr>
              <w:t>2 071,8</w:t>
            </w:r>
          </w:p>
        </w:tc>
      </w:tr>
      <w:tr w:rsidR="00F92819">
        <w:tc>
          <w:tcPr>
            <w:tcW w:w="3666" w:type="dxa"/>
            <w:vAlign w:val="bottom"/>
          </w:tcPr>
          <w:p w:rsidR="00F92819" w:rsidRDefault="00F92819">
            <w:pPr>
              <w:spacing w:before="40" w:after="40" w:line="220" w:lineRule="exact"/>
              <w:rPr>
                <w:szCs w:val="24"/>
              </w:rPr>
            </w:pPr>
            <w:r>
              <w:rPr>
                <w:sz w:val="18"/>
                <w:szCs w:val="24"/>
                <w:lang w:val="es-ES_tradnl"/>
              </w:rPr>
              <w:t xml:space="preserve">Ingresos mensuales brutos por hogar </w:t>
            </w:r>
            <w:r>
              <w:rPr>
                <w:sz w:val="18"/>
                <w:szCs w:val="24"/>
                <w:lang w:val="es-ES_tradnl"/>
              </w:rPr>
              <w:br/>
              <w:t>(nuevos sheqalim)</w:t>
            </w:r>
          </w:p>
        </w:tc>
        <w:tc>
          <w:tcPr>
            <w:tcW w:w="926" w:type="dxa"/>
            <w:vAlign w:val="bottom"/>
          </w:tcPr>
          <w:p w:rsidR="00F92819" w:rsidRDefault="00F92819">
            <w:pPr>
              <w:spacing w:before="40" w:after="40" w:line="220" w:lineRule="exact"/>
              <w:jc w:val="right"/>
              <w:rPr>
                <w:sz w:val="18"/>
                <w:szCs w:val="24"/>
              </w:rPr>
            </w:pPr>
            <w:r>
              <w:rPr>
                <w:sz w:val="18"/>
                <w:szCs w:val="24"/>
              </w:rPr>
              <w:t>5 302</w:t>
            </w:r>
          </w:p>
        </w:tc>
        <w:tc>
          <w:tcPr>
            <w:tcW w:w="926" w:type="dxa"/>
            <w:vAlign w:val="bottom"/>
          </w:tcPr>
          <w:p w:rsidR="00F92819" w:rsidRDefault="00F92819">
            <w:pPr>
              <w:spacing w:before="40" w:after="40" w:line="220" w:lineRule="exact"/>
              <w:jc w:val="right"/>
              <w:rPr>
                <w:sz w:val="18"/>
                <w:szCs w:val="24"/>
              </w:rPr>
            </w:pPr>
            <w:r>
              <w:rPr>
                <w:sz w:val="18"/>
                <w:szCs w:val="24"/>
              </w:rPr>
              <w:t>18 262</w:t>
            </w:r>
          </w:p>
        </w:tc>
        <w:tc>
          <w:tcPr>
            <w:tcW w:w="926" w:type="dxa"/>
            <w:vAlign w:val="bottom"/>
          </w:tcPr>
          <w:p w:rsidR="00F92819" w:rsidRDefault="00F92819">
            <w:pPr>
              <w:spacing w:before="40" w:after="40" w:line="220" w:lineRule="exact"/>
              <w:jc w:val="right"/>
              <w:rPr>
                <w:sz w:val="18"/>
                <w:szCs w:val="24"/>
              </w:rPr>
            </w:pPr>
            <w:r>
              <w:rPr>
                <w:sz w:val="18"/>
                <w:szCs w:val="24"/>
              </w:rPr>
              <w:t>15 127</w:t>
            </w:r>
          </w:p>
        </w:tc>
        <w:tc>
          <w:tcPr>
            <w:tcW w:w="926" w:type="dxa"/>
            <w:vAlign w:val="bottom"/>
          </w:tcPr>
          <w:p w:rsidR="00F92819" w:rsidRDefault="00F92819">
            <w:pPr>
              <w:spacing w:before="40" w:after="40" w:line="220" w:lineRule="exact"/>
              <w:jc w:val="right"/>
              <w:rPr>
                <w:b/>
                <w:sz w:val="18"/>
                <w:szCs w:val="24"/>
              </w:rPr>
            </w:pPr>
            <w:r>
              <w:rPr>
                <w:b/>
                <w:sz w:val="18"/>
                <w:szCs w:val="24"/>
              </w:rPr>
              <w:t>12 935</w:t>
            </w:r>
          </w:p>
        </w:tc>
      </w:tr>
      <w:tr w:rsidR="00F92819">
        <w:tc>
          <w:tcPr>
            <w:tcW w:w="3666" w:type="dxa"/>
            <w:vAlign w:val="bottom"/>
          </w:tcPr>
          <w:p w:rsidR="00F92819" w:rsidRDefault="00F92819">
            <w:pPr>
              <w:spacing w:before="40" w:after="40" w:line="220" w:lineRule="exact"/>
              <w:rPr>
                <w:szCs w:val="24"/>
              </w:rPr>
            </w:pPr>
            <w:r>
              <w:rPr>
                <w:sz w:val="18"/>
                <w:szCs w:val="24"/>
                <w:lang w:val="es-ES_tradnl"/>
              </w:rPr>
              <w:t xml:space="preserve">Ingresos mensuales brutos por persona </w:t>
            </w:r>
            <w:r>
              <w:rPr>
                <w:sz w:val="18"/>
                <w:szCs w:val="24"/>
                <w:lang w:val="es-ES_tradnl"/>
              </w:rPr>
              <w:br/>
              <w:t>(nuevos sheqalim)</w:t>
            </w:r>
          </w:p>
        </w:tc>
        <w:tc>
          <w:tcPr>
            <w:tcW w:w="926" w:type="dxa"/>
            <w:vAlign w:val="bottom"/>
          </w:tcPr>
          <w:p w:rsidR="00F92819" w:rsidRDefault="00F92819">
            <w:pPr>
              <w:spacing w:before="40" w:after="40" w:line="220" w:lineRule="exact"/>
              <w:jc w:val="right"/>
              <w:rPr>
                <w:sz w:val="18"/>
                <w:szCs w:val="24"/>
              </w:rPr>
            </w:pPr>
            <w:r>
              <w:rPr>
                <w:sz w:val="18"/>
                <w:szCs w:val="24"/>
              </w:rPr>
              <w:t>2 368</w:t>
            </w:r>
          </w:p>
        </w:tc>
        <w:tc>
          <w:tcPr>
            <w:tcW w:w="926" w:type="dxa"/>
            <w:vAlign w:val="bottom"/>
          </w:tcPr>
          <w:p w:rsidR="00F92819" w:rsidRDefault="00F92819">
            <w:pPr>
              <w:spacing w:before="40" w:after="40" w:line="220" w:lineRule="exact"/>
              <w:jc w:val="right"/>
              <w:rPr>
                <w:sz w:val="18"/>
                <w:szCs w:val="24"/>
              </w:rPr>
            </w:pPr>
            <w:r>
              <w:rPr>
                <w:sz w:val="18"/>
                <w:szCs w:val="24"/>
              </w:rPr>
              <w:t>4 803</w:t>
            </w:r>
          </w:p>
        </w:tc>
        <w:tc>
          <w:tcPr>
            <w:tcW w:w="926" w:type="dxa"/>
            <w:vAlign w:val="bottom"/>
          </w:tcPr>
          <w:p w:rsidR="00F92819" w:rsidRDefault="00F92819">
            <w:pPr>
              <w:spacing w:before="40" w:after="40" w:line="220" w:lineRule="exact"/>
              <w:jc w:val="right"/>
              <w:rPr>
                <w:sz w:val="18"/>
                <w:szCs w:val="24"/>
              </w:rPr>
            </w:pPr>
            <w:r>
              <w:rPr>
                <w:sz w:val="18"/>
                <w:szCs w:val="24"/>
              </w:rPr>
              <w:t>4 143</w:t>
            </w:r>
          </w:p>
        </w:tc>
        <w:tc>
          <w:tcPr>
            <w:tcW w:w="926" w:type="dxa"/>
            <w:vAlign w:val="bottom"/>
          </w:tcPr>
          <w:p w:rsidR="00F92819" w:rsidRDefault="00F92819">
            <w:pPr>
              <w:spacing w:before="40" w:after="40" w:line="220" w:lineRule="exact"/>
              <w:jc w:val="right"/>
              <w:rPr>
                <w:b/>
                <w:sz w:val="18"/>
                <w:szCs w:val="24"/>
              </w:rPr>
            </w:pPr>
            <w:r>
              <w:rPr>
                <w:b/>
                <w:sz w:val="18"/>
                <w:szCs w:val="24"/>
              </w:rPr>
              <w:t>3 910</w:t>
            </w:r>
          </w:p>
        </w:tc>
      </w:tr>
      <w:tr w:rsidR="00F92819">
        <w:tc>
          <w:tcPr>
            <w:tcW w:w="3666" w:type="dxa"/>
            <w:vAlign w:val="bottom"/>
          </w:tcPr>
          <w:p w:rsidR="00F92819" w:rsidRDefault="00F92819">
            <w:pPr>
              <w:spacing w:before="40" w:after="40" w:line="220" w:lineRule="exact"/>
              <w:rPr>
                <w:szCs w:val="24"/>
              </w:rPr>
            </w:pPr>
            <w:r>
              <w:rPr>
                <w:sz w:val="18"/>
                <w:szCs w:val="24"/>
                <w:lang w:val="es-ES_tradnl"/>
              </w:rPr>
              <w:t xml:space="preserve">Ingresos mensuales netos por hogar </w:t>
            </w:r>
            <w:r>
              <w:rPr>
                <w:sz w:val="18"/>
                <w:szCs w:val="24"/>
                <w:lang w:val="es-ES_tradnl"/>
              </w:rPr>
              <w:br/>
              <w:t>(nuevos sheqalim)</w:t>
            </w:r>
          </w:p>
        </w:tc>
        <w:tc>
          <w:tcPr>
            <w:tcW w:w="926" w:type="dxa"/>
            <w:vAlign w:val="bottom"/>
          </w:tcPr>
          <w:p w:rsidR="00F92819" w:rsidRDefault="00F92819">
            <w:pPr>
              <w:spacing w:before="40" w:after="40" w:line="220" w:lineRule="exact"/>
              <w:jc w:val="right"/>
              <w:rPr>
                <w:sz w:val="18"/>
                <w:szCs w:val="24"/>
              </w:rPr>
            </w:pPr>
            <w:r>
              <w:rPr>
                <w:sz w:val="18"/>
                <w:szCs w:val="24"/>
              </w:rPr>
              <w:t>4 948</w:t>
            </w:r>
          </w:p>
        </w:tc>
        <w:tc>
          <w:tcPr>
            <w:tcW w:w="926" w:type="dxa"/>
            <w:vAlign w:val="bottom"/>
          </w:tcPr>
          <w:p w:rsidR="00F92819" w:rsidRDefault="00F92819">
            <w:pPr>
              <w:spacing w:before="40" w:after="40" w:line="220" w:lineRule="exact"/>
              <w:jc w:val="right"/>
              <w:rPr>
                <w:sz w:val="18"/>
                <w:szCs w:val="24"/>
              </w:rPr>
            </w:pPr>
            <w:r>
              <w:rPr>
                <w:sz w:val="18"/>
                <w:szCs w:val="24"/>
              </w:rPr>
              <w:t>13 804</w:t>
            </w:r>
          </w:p>
        </w:tc>
        <w:tc>
          <w:tcPr>
            <w:tcW w:w="926" w:type="dxa"/>
            <w:vAlign w:val="bottom"/>
          </w:tcPr>
          <w:p w:rsidR="00F92819" w:rsidRDefault="00F92819">
            <w:pPr>
              <w:spacing w:before="40" w:after="40" w:line="220" w:lineRule="exact"/>
              <w:jc w:val="right"/>
              <w:rPr>
                <w:sz w:val="18"/>
                <w:szCs w:val="24"/>
              </w:rPr>
            </w:pPr>
            <w:r>
              <w:rPr>
                <w:sz w:val="18"/>
                <w:szCs w:val="24"/>
              </w:rPr>
              <w:t>12 120</w:t>
            </w:r>
          </w:p>
        </w:tc>
        <w:tc>
          <w:tcPr>
            <w:tcW w:w="926" w:type="dxa"/>
            <w:vAlign w:val="bottom"/>
          </w:tcPr>
          <w:p w:rsidR="00F92819" w:rsidRDefault="00F92819">
            <w:pPr>
              <w:spacing w:before="40" w:after="40" w:line="220" w:lineRule="exact"/>
              <w:jc w:val="right"/>
              <w:rPr>
                <w:b/>
                <w:sz w:val="18"/>
                <w:szCs w:val="24"/>
              </w:rPr>
            </w:pPr>
            <w:r>
              <w:rPr>
                <w:b/>
                <w:sz w:val="18"/>
                <w:szCs w:val="24"/>
              </w:rPr>
              <w:t>10 463</w:t>
            </w:r>
          </w:p>
        </w:tc>
      </w:tr>
      <w:tr w:rsidR="00F92819">
        <w:trPr>
          <w:cantSplit/>
        </w:trPr>
        <w:tc>
          <w:tcPr>
            <w:tcW w:w="3666" w:type="dxa"/>
            <w:tcBorders>
              <w:bottom w:val="single" w:sz="12" w:space="0" w:color="auto"/>
            </w:tcBorders>
            <w:vAlign w:val="bottom"/>
          </w:tcPr>
          <w:p w:rsidR="00F92819" w:rsidRDefault="00F92819">
            <w:pPr>
              <w:spacing w:before="40" w:after="40" w:line="220" w:lineRule="exact"/>
              <w:rPr>
                <w:sz w:val="18"/>
                <w:szCs w:val="24"/>
                <w:lang w:val="es-ES_tradnl"/>
              </w:rPr>
            </w:pPr>
            <w:r>
              <w:rPr>
                <w:sz w:val="18"/>
                <w:szCs w:val="24"/>
                <w:lang w:val="es-ES_tradnl"/>
              </w:rPr>
              <w:t xml:space="preserve">Ingresos mensuales netos por persona </w:t>
            </w:r>
          </w:p>
          <w:p w:rsidR="00F92819" w:rsidRDefault="00F92819">
            <w:pPr>
              <w:spacing w:before="40" w:after="40" w:line="220" w:lineRule="exact"/>
              <w:rPr>
                <w:szCs w:val="24"/>
              </w:rPr>
            </w:pPr>
            <w:r>
              <w:rPr>
                <w:sz w:val="18"/>
                <w:szCs w:val="24"/>
                <w:lang w:val="es-ES_tradnl"/>
              </w:rPr>
              <w:t>(nuevos sheqalim)</w:t>
            </w:r>
          </w:p>
        </w:tc>
        <w:tc>
          <w:tcPr>
            <w:tcW w:w="926"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2 406</w:t>
            </w:r>
          </w:p>
        </w:tc>
        <w:tc>
          <w:tcPr>
            <w:tcW w:w="926"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4 566</w:t>
            </w:r>
          </w:p>
        </w:tc>
        <w:tc>
          <w:tcPr>
            <w:tcW w:w="926"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4 126</w:t>
            </w:r>
          </w:p>
        </w:tc>
        <w:tc>
          <w:tcPr>
            <w:tcW w:w="926" w:type="dxa"/>
            <w:tcBorders>
              <w:bottom w:val="single" w:sz="12" w:space="0" w:color="auto"/>
            </w:tcBorders>
            <w:vAlign w:val="bottom"/>
          </w:tcPr>
          <w:p w:rsidR="00F92819" w:rsidRDefault="00F92819">
            <w:pPr>
              <w:spacing w:before="40" w:after="40" w:line="220" w:lineRule="exact"/>
              <w:jc w:val="right"/>
              <w:rPr>
                <w:b/>
                <w:sz w:val="18"/>
                <w:szCs w:val="24"/>
              </w:rPr>
            </w:pPr>
            <w:r>
              <w:rPr>
                <w:b/>
                <w:sz w:val="18"/>
                <w:szCs w:val="24"/>
              </w:rPr>
              <w:t>3 843</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de Israel, Estudio sobre los ingresos, 2007.</w:t>
      </w:r>
    </w:p>
    <w:p w:rsidR="00F92819" w:rsidRDefault="00F92819">
      <w:pPr>
        <w:pStyle w:val="H23G"/>
        <w:rPr>
          <w:szCs w:val="24"/>
        </w:rPr>
      </w:pPr>
      <w:r>
        <w:rPr>
          <w:szCs w:val="24"/>
        </w:rPr>
        <w:tab/>
      </w:r>
      <w:r>
        <w:rPr>
          <w:szCs w:val="24"/>
        </w:rPr>
        <w:tab/>
      </w:r>
      <w:r>
        <w:rPr>
          <w:szCs w:val="24"/>
          <w:lang w:val="es-ES_tradnl"/>
        </w:rPr>
        <w:t>Salud y seguridad ocupacional</w:t>
      </w:r>
    </w:p>
    <w:p w:rsidR="00F92819" w:rsidRDefault="00F92819">
      <w:pPr>
        <w:pStyle w:val="SingleTxtG"/>
        <w:rPr>
          <w:szCs w:val="24"/>
        </w:rPr>
      </w:pPr>
      <w:r>
        <w:rPr>
          <w:szCs w:val="24"/>
        </w:rPr>
        <w:t>285.</w:t>
      </w:r>
      <w:r>
        <w:rPr>
          <w:szCs w:val="24"/>
        </w:rPr>
        <w:tab/>
      </w:r>
      <w:r>
        <w:rPr>
          <w:szCs w:val="24"/>
          <w:lang w:val="es-ES_tradnl"/>
        </w:rPr>
        <w:t>Actualmente el Servicio de Inspección del Ministerio de Industria, Comercio y Trabajo (en adelante: “el Servicio”) cuenta con 62 inspectores de trabajo y 15 ayudantes.</w:t>
      </w:r>
      <w:r>
        <w:rPr>
          <w:szCs w:val="24"/>
        </w:rPr>
        <w:t xml:space="preserve"> </w:t>
      </w:r>
      <w:r>
        <w:rPr>
          <w:szCs w:val="24"/>
          <w:lang w:val="es-ES_tradnl"/>
        </w:rPr>
        <w:t xml:space="preserve"> En 2006 el Servicio realizó 27.477 inspecciones de lugares de trabajo, 6.014 de las cuales se hicieron en obras en construcción.</w:t>
      </w:r>
      <w:r>
        <w:rPr>
          <w:szCs w:val="24"/>
        </w:rPr>
        <w:t xml:space="preserve"> </w:t>
      </w:r>
      <w:r>
        <w:rPr>
          <w:szCs w:val="24"/>
          <w:lang w:val="es-ES_tradnl"/>
        </w:rPr>
        <w:t xml:space="preserve">Los inspectores llevaron a cabo 634 investigaciones de accidentes de trabajo y enfermedades profesionales, imputaron 1.494 órdenes de violación de la seguridad y la salud (que requerían medidas inmediatas) e impusieron 778 órdenes de mejora de la seguridad y la salud. </w:t>
      </w:r>
    </w:p>
    <w:p w:rsidR="00F92819" w:rsidRDefault="00F92819">
      <w:pPr>
        <w:pStyle w:val="SingleTxtG"/>
        <w:rPr>
          <w:szCs w:val="24"/>
        </w:rPr>
      </w:pPr>
      <w:r>
        <w:rPr>
          <w:szCs w:val="24"/>
        </w:rPr>
        <w:t>286.</w:t>
      </w:r>
      <w:r>
        <w:rPr>
          <w:szCs w:val="24"/>
        </w:rPr>
        <w:tab/>
      </w:r>
      <w:r>
        <w:rPr>
          <w:szCs w:val="24"/>
          <w:lang w:val="es-ES_tradnl"/>
        </w:rPr>
        <w:t>El Laboratorio de Higiene Industrial realizó 2.473 controles ocupacionales</w:t>
      </w:r>
      <w:r>
        <w:rPr>
          <w:szCs w:val="24"/>
        </w:rPr>
        <w:t xml:space="preserve"> </w:t>
      </w:r>
      <w:r>
        <w:rPr>
          <w:szCs w:val="24"/>
          <w:lang w:val="es-ES_tradnl"/>
        </w:rPr>
        <w:t>y examinó además 2.469 informes de control realizados por laboratorios privados.</w:t>
      </w:r>
    </w:p>
    <w:p w:rsidR="00F92819" w:rsidRDefault="00F92819">
      <w:pPr>
        <w:pStyle w:val="SingleTxtG"/>
        <w:rPr>
          <w:szCs w:val="24"/>
        </w:rPr>
      </w:pPr>
      <w:r>
        <w:rPr>
          <w:szCs w:val="24"/>
        </w:rPr>
        <w:t>287.</w:t>
      </w:r>
      <w:r>
        <w:rPr>
          <w:szCs w:val="24"/>
        </w:rPr>
        <w:tab/>
      </w:r>
      <w:smartTag w:uri="urn:schemas-microsoft-com:office:smarttags" w:element="City">
        <w:r>
          <w:rPr>
            <w:szCs w:val="24"/>
            <w:lang w:val="es-ES_tradnl"/>
          </w:rPr>
          <w:t>Como</w:t>
        </w:r>
      </w:smartTag>
      <w:r>
        <w:rPr>
          <w:szCs w:val="24"/>
          <w:lang w:val="es-ES_tradnl"/>
        </w:rPr>
        <w:t xml:space="preserve"> se indicó en el informe anterior de Israel, los resultados de las actividades de aplicación de la ley han ido mejorando continuamente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también se desprende de los siguientes datos actualizados sobre accidentes laborales, víctimas mortales e indemnización por lesiones.</w:t>
      </w:r>
      <w:r>
        <w:rPr>
          <w:szCs w:val="24"/>
        </w:rPr>
        <w:t xml:space="preserve"> </w:t>
      </w:r>
      <w:r>
        <w:rPr>
          <w:szCs w:val="24"/>
          <w:lang w:val="es-ES_tradnl"/>
        </w:rPr>
        <w:t>La tendencia reflejada en el informe anterior de Israel continúa, puesto que se evidencia una reducción del número de accidentes de trabajo y de víctimas mortales, a pesar del aumento del número de trabajadores.</w:t>
      </w:r>
    </w:p>
    <w:p w:rsidR="00F92819" w:rsidRDefault="00F92819">
      <w:pPr>
        <w:pStyle w:val="Heading1"/>
        <w:spacing w:before="240"/>
        <w:rPr>
          <w:szCs w:val="24"/>
        </w:rPr>
      </w:pPr>
      <w:r>
        <w:rPr>
          <w:szCs w:val="24"/>
          <w:lang w:val="es-ES_tradnl"/>
        </w:rPr>
        <w:t>Cuadro 13</w:t>
      </w:r>
    </w:p>
    <w:p w:rsidR="00F92819" w:rsidRDefault="00F92819">
      <w:pPr>
        <w:pStyle w:val="SingleTxtG"/>
        <w:keepNext/>
        <w:rPr>
          <w:b/>
          <w:szCs w:val="24"/>
        </w:rPr>
      </w:pPr>
      <w:r>
        <w:rPr>
          <w:b/>
          <w:szCs w:val="24"/>
          <w:lang w:val="es-ES_tradnl"/>
        </w:rPr>
        <w:t>Accidentes de trabajo, 2000-2006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842"/>
        <w:gridCol w:w="1843"/>
        <w:gridCol w:w="1842"/>
        <w:gridCol w:w="1843"/>
      </w:tblGrid>
      <w:tr w:rsidR="00F92819">
        <w:tc>
          <w:tcPr>
            <w:tcW w:w="1842" w:type="dxa"/>
            <w:tcBorders>
              <w:top w:val="single" w:sz="4" w:space="0" w:color="auto"/>
              <w:bottom w:val="single" w:sz="12" w:space="0" w:color="auto"/>
            </w:tcBorders>
            <w:vAlign w:val="bottom"/>
          </w:tcPr>
          <w:p w:rsidR="00F92819" w:rsidRDefault="00F92819">
            <w:pPr>
              <w:spacing w:before="80" w:after="80" w:line="200" w:lineRule="exact"/>
              <w:rPr>
                <w:szCs w:val="24"/>
              </w:rPr>
            </w:pPr>
            <w:r>
              <w:rPr>
                <w:i/>
                <w:sz w:val="16"/>
                <w:szCs w:val="24"/>
                <w:lang w:val="es-ES_tradnl"/>
              </w:rPr>
              <w:t>Año</w:t>
            </w:r>
          </w:p>
        </w:tc>
        <w:tc>
          <w:tcPr>
            <w:tcW w:w="1843"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Número de accidentes</w:t>
            </w:r>
          </w:p>
        </w:tc>
        <w:tc>
          <w:tcPr>
            <w:tcW w:w="1842"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Número de trabajadores</w:t>
            </w:r>
          </w:p>
        </w:tc>
        <w:tc>
          <w:tcPr>
            <w:tcW w:w="1843" w:type="dxa"/>
            <w:tcBorders>
              <w:top w:val="single" w:sz="4" w:space="0" w:color="auto"/>
              <w:bottom w:val="single" w:sz="12" w:space="0" w:color="auto"/>
            </w:tcBorders>
            <w:vAlign w:val="bottom"/>
          </w:tcPr>
          <w:p w:rsidR="00F92819" w:rsidRDefault="005D0AA3">
            <w:pPr>
              <w:spacing w:before="80" w:after="80" w:line="200" w:lineRule="exact"/>
              <w:jc w:val="right"/>
              <w:rPr>
                <w:szCs w:val="24"/>
              </w:rPr>
            </w:pPr>
            <w:r>
              <w:rPr>
                <w:i/>
                <w:sz w:val="16"/>
                <w:szCs w:val="24"/>
                <w:lang w:val="es-ES_tradnl"/>
              </w:rPr>
              <w:t>Incidencia (porcentaje</w:t>
            </w:r>
            <w:r w:rsidR="00F92819">
              <w:rPr>
                <w:i/>
                <w:sz w:val="16"/>
                <w:szCs w:val="24"/>
                <w:lang w:val="es-ES_tradnl"/>
              </w:rPr>
              <w:t>)</w:t>
            </w:r>
          </w:p>
        </w:tc>
      </w:tr>
      <w:tr w:rsidR="00F92819">
        <w:tc>
          <w:tcPr>
            <w:tcW w:w="1842" w:type="dxa"/>
            <w:tcBorders>
              <w:top w:val="single" w:sz="12" w:space="0" w:color="auto"/>
            </w:tcBorders>
            <w:vAlign w:val="bottom"/>
          </w:tcPr>
          <w:p w:rsidR="00F92819" w:rsidRDefault="00F92819">
            <w:pPr>
              <w:spacing w:before="30" w:after="30" w:line="220" w:lineRule="exact"/>
              <w:rPr>
                <w:sz w:val="18"/>
                <w:szCs w:val="24"/>
              </w:rPr>
            </w:pPr>
            <w:r>
              <w:rPr>
                <w:sz w:val="18"/>
                <w:szCs w:val="24"/>
              </w:rPr>
              <w:t>2000</w:t>
            </w:r>
          </w:p>
        </w:tc>
        <w:tc>
          <w:tcPr>
            <w:tcW w:w="1843"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76 185</w:t>
            </w:r>
          </w:p>
        </w:tc>
        <w:tc>
          <w:tcPr>
            <w:tcW w:w="1842"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2 133 800</w:t>
            </w:r>
          </w:p>
        </w:tc>
        <w:tc>
          <w:tcPr>
            <w:tcW w:w="1843"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3,57</w:t>
            </w:r>
          </w:p>
        </w:tc>
      </w:tr>
      <w:tr w:rsidR="00F92819">
        <w:tc>
          <w:tcPr>
            <w:tcW w:w="1842" w:type="dxa"/>
            <w:vAlign w:val="bottom"/>
          </w:tcPr>
          <w:p w:rsidR="00F92819" w:rsidRDefault="00F92819">
            <w:pPr>
              <w:spacing w:before="30" w:after="30" w:line="220" w:lineRule="exact"/>
              <w:rPr>
                <w:sz w:val="18"/>
                <w:szCs w:val="24"/>
              </w:rPr>
            </w:pPr>
            <w:r>
              <w:rPr>
                <w:sz w:val="18"/>
                <w:szCs w:val="24"/>
              </w:rPr>
              <w:t>2001</w:t>
            </w:r>
          </w:p>
        </w:tc>
        <w:tc>
          <w:tcPr>
            <w:tcW w:w="1843" w:type="dxa"/>
            <w:vAlign w:val="bottom"/>
          </w:tcPr>
          <w:p w:rsidR="00F92819" w:rsidRDefault="00F92819">
            <w:pPr>
              <w:spacing w:before="30" w:after="30" w:line="220" w:lineRule="exact"/>
              <w:jc w:val="right"/>
              <w:rPr>
                <w:sz w:val="18"/>
                <w:szCs w:val="24"/>
              </w:rPr>
            </w:pPr>
            <w:r>
              <w:rPr>
                <w:sz w:val="18"/>
                <w:szCs w:val="24"/>
              </w:rPr>
              <w:t>69 087</w:t>
            </w:r>
          </w:p>
        </w:tc>
        <w:tc>
          <w:tcPr>
            <w:tcW w:w="1842" w:type="dxa"/>
            <w:vAlign w:val="bottom"/>
          </w:tcPr>
          <w:p w:rsidR="00F92819" w:rsidRDefault="00F92819">
            <w:pPr>
              <w:spacing w:before="30" w:after="30" w:line="220" w:lineRule="exact"/>
              <w:jc w:val="right"/>
              <w:rPr>
                <w:sz w:val="18"/>
                <w:szCs w:val="24"/>
              </w:rPr>
            </w:pPr>
            <w:r>
              <w:rPr>
                <w:sz w:val="18"/>
                <w:szCs w:val="24"/>
              </w:rPr>
              <w:t>2 559 000</w:t>
            </w:r>
          </w:p>
        </w:tc>
        <w:tc>
          <w:tcPr>
            <w:tcW w:w="1843" w:type="dxa"/>
            <w:vAlign w:val="bottom"/>
          </w:tcPr>
          <w:p w:rsidR="00F92819" w:rsidRDefault="00F92819">
            <w:pPr>
              <w:spacing w:before="30" w:after="30" w:line="220" w:lineRule="exact"/>
              <w:jc w:val="right"/>
              <w:rPr>
                <w:sz w:val="18"/>
                <w:szCs w:val="24"/>
              </w:rPr>
            </w:pPr>
            <w:r>
              <w:rPr>
                <w:sz w:val="18"/>
                <w:szCs w:val="24"/>
              </w:rPr>
              <w:t>2,70</w:t>
            </w:r>
          </w:p>
        </w:tc>
      </w:tr>
      <w:tr w:rsidR="00F92819">
        <w:tc>
          <w:tcPr>
            <w:tcW w:w="1842" w:type="dxa"/>
            <w:vAlign w:val="bottom"/>
          </w:tcPr>
          <w:p w:rsidR="00F92819" w:rsidRDefault="00F92819">
            <w:pPr>
              <w:spacing w:before="30" w:after="30" w:line="220" w:lineRule="exact"/>
              <w:rPr>
                <w:sz w:val="18"/>
                <w:szCs w:val="24"/>
              </w:rPr>
            </w:pPr>
            <w:r>
              <w:rPr>
                <w:sz w:val="18"/>
                <w:szCs w:val="24"/>
              </w:rPr>
              <w:t>2002</w:t>
            </w:r>
          </w:p>
        </w:tc>
        <w:tc>
          <w:tcPr>
            <w:tcW w:w="1843" w:type="dxa"/>
            <w:vAlign w:val="bottom"/>
          </w:tcPr>
          <w:p w:rsidR="00F92819" w:rsidRDefault="00F92819">
            <w:pPr>
              <w:spacing w:before="30" w:after="30" w:line="220" w:lineRule="exact"/>
              <w:jc w:val="right"/>
              <w:rPr>
                <w:sz w:val="18"/>
                <w:szCs w:val="24"/>
              </w:rPr>
            </w:pPr>
            <w:r>
              <w:rPr>
                <w:sz w:val="18"/>
                <w:szCs w:val="24"/>
              </w:rPr>
              <w:t>70 025</w:t>
            </w:r>
          </w:p>
        </w:tc>
        <w:tc>
          <w:tcPr>
            <w:tcW w:w="1842" w:type="dxa"/>
            <w:vAlign w:val="bottom"/>
          </w:tcPr>
          <w:p w:rsidR="00F92819" w:rsidRDefault="00F92819">
            <w:pPr>
              <w:spacing w:before="30" w:after="30" w:line="220" w:lineRule="exact"/>
              <w:jc w:val="right"/>
              <w:rPr>
                <w:sz w:val="18"/>
                <w:szCs w:val="24"/>
              </w:rPr>
            </w:pPr>
            <w:r>
              <w:rPr>
                <w:sz w:val="18"/>
                <w:szCs w:val="24"/>
              </w:rPr>
              <w:t>2 570 200</w:t>
            </w:r>
          </w:p>
        </w:tc>
        <w:tc>
          <w:tcPr>
            <w:tcW w:w="1843" w:type="dxa"/>
            <w:vAlign w:val="bottom"/>
          </w:tcPr>
          <w:p w:rsidR="00F92819" w:rsidRDefault="00F92819">
            <w:pPr>
              <w:spacing w:before="30" w:after="30" w:line="220" w:lineRule="exact"/>
              <w:jc w:val="right"/>
              <w:rPr>
                <w:sz w:val="18"/>
                <w:szCs w:val="24"/>
              </w:rPr>
            </w:pPr>
            <w:r>
              <w:rPr>
                <w:sz w:val="18"/>
                <w:szCs w:val="24"/>
              </w:rPr>
              <w:t>2,72</w:t>
            </w:r>
          </w:p>
        </w:tc>
      </w:tr>
      <w:tr w:rsidR="00F92819">
        <w:tc>
          <w:tcPr>
            <w:tcW w:w="1842" w:type="dxa"/>
            <w:vAlign w:val="bottom"/>
          </w:tcPr>
          <w:p w:rsidR="00F92819" w:rsidRDefault="00F92819">
            <w:pPr>
              <w:spacing w:before="30" w:after="30" w:line="220" w:lineRule="exact"/>
              <w:rPr>
                <w:sz w:val="18"/>
                <w:szCs w:val="24"/>
              </w:rPr>
            </w:pPr>
            <w:r>
              <w:rPr>
                <w:sz w:val="18"/>
                <w:szCs w:val="24"/>
              </w:rPr>
              <w:t>2003</w:t>
            </w:r>
          </w:p>
        </w:tc>
        <w:tc>
          <w:tcPr>
            <w:tcW w:w="1843" w:type="dxa"/>
            <w:vAlign w:val="bottom"/>
          </w:tcPr>
          <w:p w:rsidR="00F92819" w:rsidRDefault="00F92819">
            <w:pPr>
              <w:spacing w:before="30" w:after="30" w:line="220" w:lineRule="exact"/>
              <w:jc w:val="right"/>
              <w:rPr>
                <w:sz w:val="18"/>
                <w:szCs w:val="24"/>
              </w:rPr>
            </w:pPr>
            <w:r>
              <w:rPr>
                <w:sz w:val="18"/>
                <w:szCs w:val="24"/>
              </w:rPr>
              <w:t>61 539</w:t>
            </w:r>
          </w:p>
        </w:tc>
        <w:tc>
          <w:tcPr>
            <w:tcW w:w="1842" w:type="dxa"/>
            <w:vAlign w:val="bottom"/>
          </w:tcPr>
          <w:p w:rsidR="00F92819" w:rsidRDefault="00F92819">
            <w:pPr>
              <w:spacing w:before="30" w:after="30" w:line="220" w:lineRule="exact"/>
              <w:jc w:val="right"/>
              <w:rPr>
                <w:sz w:val="18"/>
                <w:szCs w:val="24"/>
              </w:rPr>
            </w:pPr>
            <w:r>
              <w:rPr>
                <w:sz w:val="18"/>
                <w:szCs w:val="24"/>
              </w:rPr>
              <w:t>2 591 600</w:t>
            </w:r>
          </w:p>
        </w:tc>
        <w:tc>
          <w:tcPr>
            <w:tcW w:w="1843" w:type="dxa"/>
            <w:vAlign w:val="bottom"/>
          </w:tcPr>
          <w:p w:rsidR="00F92819" w:rsidRDefault="00F92819">
            <w:pPr>
              <w:spacing w:before="30" w:after="30" w:line="220" w:lineRule="exact"/>
              <w:jc w:val="right"/>
              <w:rPr>
                <w:sz w:val="18"/>
                <w:szCs w:val="24"/>
              </w:rPr>
            </w:pPr>
            <w:r>
              <w:rPr>
                <w:sz w:val="18"/>
                <w:szCs w:val="24"/>
              </w:rPr>
              <w:t>2,38</w:t>
            </w:r>
          </w:p>
        </w:tc>
      </w:tr>
      <w:tr w:rsidR="00F92819">
        <w:tc>
          <w:tcPr>
            <w:tcW w:w="1842" w:type="dxa"/>
            <w:vAlign w:val="bottom"/>
          </w:tcPr>
          <w:p w:rsidR="00F92819" w:rsidRDefault="00F92819">
            <w:pPr>
              <w:spacing w:before="30" w:after="30" w:line="220" w:lineRule="exact"/>
              <w:rPr>
                <w:sz w:val="18"/>
                <w:szCs w:val="24"/>
              </w:rPr>
            </w:pPr>
            <w:r>
              <w:rPr>
                <w:sz w:val="18"/>
                <w:szCs w:val="24"/>
              </w:rPr>
              <w:t>2004</w:t>
            </w:r>
          </w:p>
        </w:tc>
        <w:tc>
          <w:tcPr>
            <w:tcW w:w="1843" w:type="dxa"/>
            <w:vAlign w:val="bottom"/>
          </w:tcPr>
          <w:p w:rsidR="00F92819" w:rsidRDefault="00F92819">
            <w:pPr>
              <w:spacing w:before="30" w:after="30" w:line="220" w:lineRule="exact"/>
              <w:jc w:val="right"/>
              <w:rPr>
                <w:sz w:val="18"/>
                <w:szCs w:val="24"/>
              </w:rPr>
            </w:pPr>
            <w:r>
              <w:rPr>
                <w:sz w:val="18"/>
                <w:szCs w:val="24"/>
              </w:rPr>
              <w:t>65 776</w:t>
            </w:r>
          </w:p>
        </w:tc>
        <w:tc>
          <w:tcPr>
            <w:tcW w:w="1842" w:type="dxa"/>
            <w:vAlign w:val="bottom"/>
          </w:tcPr>
          <w:p w:rsidR="00F92819" w:rsidRDefault="00F92819">
            <w:pPr>
              <w:spacing w:before="30" w:after="30" w:line="220" w:lineRule="exact"/>
              <w:jc w:val="right"/>
              <w:rPr>
                <w:sz w:val="18"/>
                <w:szCs w:val="24"/>
              </w:rPr>
            </w:pPr>
            <w:r>
              <w:rPr>
                <w:sz w:val="18"/>
                <w:szCs w:val="24"/>
              </w:rPr>
              <w:t>2 637 000</w:t>
            </w:r>
          </w:p>
        </w:tc>
        <w:tc>
          <w:tcPr>
            <w:tcW w:w="1843" w:type="dxa"/>
            <w:vAlign w:val="bottom"/>
          </w:tcPr>
          <w:p w:rsidR="00F92819" w:rsidRDefault="00F92819">
            <w:pPr>
              <w:spacing w:before="30" w:after="30" w:line="220" w:lineRule="exact"/>
              <w:jc w:val="right"/>
              <w:rPr>
                <w:sz w:val="18"/>
                <w:szCs w:val="24"/>
              </w:rPr>
            </w:pPr>
            <w:r>
              <w:rPr>
                <w:sz w:val="18"/>
                <w:szCs w:val="24"/>
              </w:rPr>
              <w:t>2,49</w:t>
            </w:r>
          </w:p>
        </w:tc>
      </w:tr>
      <w:tr w:rsidR="00F92819">
        <w:tc>
          <w:tcPr>
            <w:tcW w:w="1842" w:type="dxa"/>
            <w:vAlign w:val="bottom"/>
          </w:tcPr>
          <w:p w:rsidR="00F92819" w:rsidRDefault="00F92819">
            <w:pPr>
              <w:spacing w:before="30" w:after="30" w:line="220" w:lineRule="exact"/>
              <w:rPr>
                <w:sz w:val="18"/>
                <w:szCs w:val="24"/>
              </w:rPr>
            </w:pPr>
            <w:r>
              <w:rPr>
                <w:sz w:val="18"/>
                <w:szCs w:val="24"/>
              </w:rPr>
              <w:t>2005</w:t>
            </w:r>
          </w:p>
        </w:tc>
        <w:tc>
          <w:tcPr>
            <w:tcW w:w="1843" w:type="dxa"/>
            <w:vAlign w:val="bottom"/>
          </w:tcPr>
          <w:p w:rsidR="00F92819" w:rsidRDefault="00F92819">
            <w:pPr>
              <w:spacing w:before="30" w:after="30" w:line="220" w:lineRule="exact"/>
              <w:jc w:val="right"/>
              <w:rPr>
                <w:sz w:val="18"/>
                <w:szCs w:val="24"/>
              </w:rPr>
            </w:pPr>
            <w:r>
              <w:rPr>
                <w:sz w:val="18"/>
                <w:szCs w:val="24"/>
              </w:rPr>
              <w:t>63 856</w:t>
            </w:r>
          </w:p>
        </w:tc>
        <w:tc>
          <w:tcPr>
            <w:tcW w:w="1842" w:type="dxa"/>
            <w:vAlign w:val="bottom"/>
          </w:tcPr>
          <w:p w:rsidR="00F92819" w:rsidRDefault="00F92819">
            <w:pPr>
              <w:spacing w:before="30" w:after="30" w:line="220" w:lineRule="exact"/>
              <w:jc w:val="right"/>
              <w:rPr>
                <w:sz w:val="18"/>
                <w:szCs w:val="24"/>
              </w:rPr>
            </w:pPr>
            <w:r>
              <w:rPr>
                <w:sz w:val="18"/>
                <w:szCs w:val="24"/>
              </w:rPr>
              <w:t>2 725 600</w:t>
            </w:r>
          </w:p>
        </w:tc>
        <w:tc>
          <w:tcPr>
            <w:tcW w:w="1843" w:type="dxa"/>
            <w:vAlign w:val="bottom"/>
          </w:tcPr>
          <w:p w:rsidR="00F92819" w:rsidRDefault="00F92819">
            <w:pPr>
              <w:spacing w:before="30" w:after="30" w:line="220" w:lineRule="exact"/>
              <w:jc w:val="right"/>
              <w:rPr>
                <w:sz w:val="18"/>
                <w:szCs w:val="24"/>
              </w:rPr>
            </w:pPr>
            <w:r>
              <w:rPr>
                <w:sz w:val="18"/>
                <w:szCs w:val="24"/>
              </w:rPr>
              <w:t>2,34</w:t>
            </w:r>
          </w:p>
        </w:tc>
      </w:tr>
      <w:tr w:rsidR="00F92819">
        <w:tc>
          <w:tcPr>
            <w:tcW w:w="1842" w:type="dxa"/>
            <w:tcBorders>
              <w:bottom w:val="single" w:sz="12" w:space="0" w:color="auto"/>
            </w:tcBorders>
            <w:vAlign w:val="bottom"/>
          </w:tcPr>
          <w:p w:rsidR="00F92819" w:rsidRDefault="00F92819">
            <w:pPr>
              <w:spacing w:before="30" w:after="30" w:line="220" w:lineRule="exact"/>
              <w:rPr>
                <w:sz w:val="18"/>
                <w:szCs w:val="24"/>
              </w:rPr>
            </w:pPr>
            <w:r>
              <w:rPr>
                <w:sz w:val="18"/>
                <w:szCs w:val="24"/>
              </w:rPr>
              <w:t>2006</w:t>
            </w:r>
          </w:p>
        </w:tc>
        <w:tc>
          <w:tcPr>
            <w:tcW w:w="1843" w:type="dxa"/>
            <w:tcBorders>
              <w:bottom w:val="single" w:sz="12" w:space="0" w:color="auto"/>
            </w:tcBorders>
            <w:vAlign w:val="bottom"/>
          </w:tcPr>
          <w:p w:rsidR="00F92819" w:rsidRDefault="00F92819">
            <w:pPr>
              <w:spacing w:before="30" w:after="30" w:line="220" w:lineRule="exact"/>
              <w:jc w:val="right"/>
              <w:rPr>
                <w:sz w:val="18"/>
                <w:szCs w:val="24"/>
              </w:rPr>
            </w:pPr>
            <w:r>
              <w:rPr>
                <w:sz w:val="18"/>
                <w:szCs w:val="24"/>
              </w:rPr>
              <w:t>64 296</w:t>
            </w:r>
          </w:p>
        </w:tc>
        <w:tc>
          <w:tcPr>
            <w:tcW w:w="1842" w:type="dxa"/>
            <w:tcBorders>
              <w:bottom w:val="single" w:sz="12" w:space="0" w:color="auto"/>
            </w:tcBorders>
            <w:vAlign w:val="bottom"/>
          </w:tcPr>
          <w:p w:rsidR="00F92819" w:rsidRDefault="00F92819">
            <w:pPr>
              <w:spacing w:before="30" w:after="30" w:line="220" w:lineRule="exact"/>
              <w:jc w:val="right"/>
              <w:rPr>
                <w:sz w:val="18"/>
                <w:szCs w:val="24"/>
              </w:rPr>
            </w:pPr>
            <w:r>
              <w:rPr>
                <w:sz w:val="18"/>
                <w:szCs w:val="24"/>
              </w:rPr>
              <w:t>2 804 200</w:t>
            </w:r>
          </w:p>
        </w:tc>
        <w:tc>
          <w:tcPr>
            <w:tcW w:w="1843" w:type="dxa"/>
            <w:tcBorders>
              <w:bottom w:val="single" w:sz="12" w:space="0" w:color="auto"/>
            </w:tcBorders>
            <w:vAlign w:val="bottom"/>
          </w:tcPr>
          <w:p w:rsidR="00F92819" w:rsidRDefault="00F92819">
            <w:pPr>
              <w:spacing w:before="30" w:after="30" w:line="220" w:lineRule="exact"/>
              <w:jc w:val="right"/>
              <w:rPr>
                <w:sz w:val="18"/>
                <w:szCs w:val="24"/>
              </w:rPr>
            </w:pPr>
            <w:r>
              <w:rPr>
                <w:sz w:val="18"/>
                <w:szCs w:val="24"/>
              </w:rPr>
              <w:t>2,29</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Servicio de Inspección del Trabajo, Ministerio de Industria, Comercio y Trabajo, 2008.</w:t>
      </w:r>
    </w:p>
    <w:p w:rsidR="00F92819" w:rsidRDefault="00F92819">
      <w:pPr>
        <w:pStyle w:val="Heading1"/>
        <w:spacing w:before="240"/>
        <w:rPr>
          <w:szCs w:val="24"/>
        </w:rPr>
      </w:pPr>
      <w:r>
        <w:rPr>
          <w:szCs w:val="24"/>
          <w:lang w:val="es-ES_tradnl"/>
        </w:rPr>
        <w:t>Cuadro 14</w:t>
      </w:r>
    </w:p>
    <w:p w:rsidR="00F92819" w:rsidRDefault="00F92819">
      <w:pPr>
        <w:pStyle w:val="SingleTxtG"/>
        <w:rPr>
          <w:b/>
          <w:szCs w:val="24"/>
        </w:rPr>
      </w:pPr>
      <w:r>
        <w:rPr>
          <w:b/>
          <w:szCs w:val="24"/>
          <w:lang w:val="es-ES_tradnl"/>
        </w:rPr>
        <w:t>Víctimas mortales resultantes de</w:t>
      </w:r>
      <w:r w:rsidR="00A467D4">
        <w:rPr>
          <w:b/>
          <w:szCs w:val="24"/>
          <w:lang w:val="es-ES_tradnl"/>
        </w:rPr>
        <w:t xml:space="preserve"> accidentes en el trabajo, 1999-</w:t>
      </w:r>
      <w:r>
        <w:rPr>
          <w:b/>
          <w:szCs w:val="24"/>
          <w:lang w:val="es-ES_tradnl"/>
        </w:rPr>
        <w:t>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265"/>
        <w:gridCol w:w="667"/>
        <w:gridCol w:w="680"/>
        <w:gridCol w:w="679"/>
        <w:gridCol w:w="680"/>
        <w:gridCol w:w="680"/>
        <w:gridCol w:w="680"/>
        <w:gridCol w:w="680"/>
        <w:gridCol w:w="680"/>
        <w:gridCol w:w="680"/>
      </w:tblGrid>
      <w:tr w:rsidR="00F92819">
        <w:trPr>
          <w:tblHeader/>
        </w:trPr>
        <w:tc>
          <w:tcPr>
            <w:tcW w:w="1265" w:type="dxa"/>
            <w:tcBorders>
              <w:top w:val="single" w:sz="4" w:space="0" w:color="auto"/>
              <w:bottom w:val="single" w:sz="12" w:space="0" w:color="auto"/>
            </w:tcBorders>
            <w:vAlign w:val="bottom"/>
          </w:tcPr>
          <w:p w:rsidR="00F92819" w:rsidRDefault="00F92819">
            <w:pPr>
              <w:spacing w:before="80" w:after="80" w:line="200" w:lineRule="exact"/>
              <w:rPr>
                <w:szCs w:val="24"/>
              </w:rPr>
            </w:pPr>
            <w:r>
              <w:rPr>
                <w:i/>
                <w:sz w:val="16"/>
                <w:szCs w:val="24"/>
                <w:lang w:val="es-ES_tradnl"/>
              </w:rPr>
              <w:t>Sector</w:t>
            </w:r>
          </w:p>
        </w:tc>
        <w:tc>
          <w:tcPr>
            <w:tcW w:w="667"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1999</w:t>
            </w:r>
          </w:p>
        </w:tc>
        <w:tc>
          <w:tcPr>
            <w:tcW w:w="68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2000</w:t>
            </w:r>
          </w:p>
        </w:tc>
        <w:tc>
          <w:tcPr>
            <w:tcW w:w="679"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2001</w:t>
            </w:r>
          </w:p>
        </w:tc>
        <w:tc>
          <w:tcPr>
            <w:tcW w:w="68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2002</w:t>
            </w:r>
          </w:p>
        </w:tc>
        <w:tc>
          <w:tcPr>
            <w:tcW w:w="68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2003</w:t>
            </w:r>
          </w:p>
        </w:tc>
        <w:tc>
          <w:tcPr>
            <w:tcW w:w="68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2004</w:t>
            </w:r>
          </w:p>
        </w:tc>
        <w:tc>
          <w:tcPr>
            <w:tcW w:w="68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2005</w:t>
            </w:r>
          </w:p>
        </w:tc>
        <w:tc>
          <w:tcPr>
            <w:tcW w:w="68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2006</w:t>
            </w:r>
          </w:p>
        </w:tc>
        <w:tc>
          <w:tcPr>
            <w:tcW w:w="68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2007</w:t>
            </w:r>
          </w:p>
        </w:tc>
      </w:tr>
      <w:tr w:rsidR="00F92819">
        <w:tc>
          <w:tcPr>
            <w:tcW w:w="1265" w:type="dxa"/>
            <w:tcBorders>
              <w:top w:val="single" w:sz="12" w:space="0" w:color="auto"/>
            </w:tcBorders>
            <w:vAlign w:val="bottom"/>
          </w:tcPr>
          <w:p w:rsidR="00F92819" w:rsidRDefault="00F92819">
            <w:pPr>
              <w:spacing w:before="40" w:after="40" w:line="220" w:lineRule="exact"/>
              <w:rPr>
                <w:szCs w:val="24"/>
              </w:rPr>
            </w:pPr>
            <w:r>
              <w:rPr>
                <w:sz w:val="18"/>
                <w:szCs w:val="24"/>
                <w:lang w:val="es-ES_tradnl"/>
              </w:rPr>
              <w:t>Industria</w:t>
            </w:r>
          </w:p>
        </w:tc>
        <w:tc>
          <w:tcPr>
            <w:tcW w:w="667"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8</w:t>
            </w:r>
          </w:p>
        </w:tc>
        <w:tc>
          <w:tcPr>
            <w:tcW w:w="680"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10</w:t>
            </w:r>
          </w:p>
        </w:tc>
        <w:tc>
          <w:tcPr>
            <w:tcW w:w="679"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10</w:t>
            </w:r>
          </w:p>
        </w:tc>
        <w:tc>
          <w:tcPr>
            <w:tcW w:w="680"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19</w:t>
            </w:r>
          </w:p>
        </w:tc>
        <w:tc>
          <w:tcPr>
            <w:tcW w:w="680"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8</w:t>
            </w:r>
          </w:p>
        </w:tc>
        <w:tc>
          <w:tcPr>
            <w:tcW w:w="680"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21</w:t>
            </w:r>
          </w:p>
        </w:tc>
        <w:tc>
          <w:tcPr>
            <w:tcW w:w="680"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16</w:t>
            </w:r>
          </w:p>
        </w:tc>
        <w:tc>
          <w:tcPr>
            <w:tcW w:w="680"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22</w:t>
            </w:r>
          </w:p>
        </w:tc>
        <w:tc>
          <w:tcPr>
            <w:tcW w:w="680"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11</w:t>
            </w:r>
          </w:p>
        </w:tc>
      </w:tr>
      <w:tr w:rsidR="00F92819">
        <w:tc>
          <w:tcPr>
            <w:tcW w:w="1265" w:type="dxa"/>
            <w:vAlign w:val="bottom"/>
          </w:tcPr>
          <w:p w:rsidR="00F92819" w:rsidRDefault="00F92819">
            <w:pPr>
              <w:spacing w:before="40" w:after="40" w:line="220" w:lineRule="exact"/>
              <w:rPr>
                <w:szCs w:val="24"/>
              </w:rPr>
            </w:pPr>
            <w:r>
              <w:rPr>
                <w:sz w:val="18"/>
                <w:szCs w:val="24"/>
                <w:lang w:val="es-ES_tradnl"/>
              </w:rPr>
              <w:t>Construcción</w:t>
            </w:r>
          </w:p>
        </w:tc>
        <w:tc>
          <w:tcPr>
            <w:tcW w:w="667" w:type="dxa"/>
            <w:vAlign w:val="bottom"/>
          </w:tcPr>
          <w:p w:rsidR="00F92819" w:rsidRDefault="00F92819">
            <w:pPr>
              <w:spacing w:before="30" w:after="30" w:line="220" w:lineRule="exact"/>
              <w:jc w:val="right"/>
              <w:rPr>
                <w:sz w:val="18"/>
                <w:szCs w:val="24"/>
              </w:rPr>
            </w:pPr>
            <w:r>
              <w:rPr>
                <w:sz w:val="18"/>
                <w:szCs w:val="24"/>
              </w:rPr>
              <w:t>34</w:t>
            </w:r>
          </w:p>
        </w:tc>
        <w:tc>
          <w:tcPr>
            <w:tcW w:w="680" w:type="dxa"/>
            <w:vAlign w:val="bottom"/>
          </w:tcPr>
          <w:p w:rsidR="00F92819" w:rsidRDefault="00F92819">
            <w:pPr>
              <w:spacing w:before="30" w:after="30" w:line="220" w:lineRule="exact"/>
              <w:jc w:val="right"/>
              <w:rPr>
                <w:sz w:val="18"/>
                <w:szCs w:val="24"/>
              </w:rPr>
            </w:pPr>
            <w:r>
              <w:rPr>
                <w:sz w:val="18"/>
                <w:szCs w:val="24"/>
              </w:rPr>
              <w:t>29</w:t>
            </w:r>
          </w:p>
        </w:tc>
        <w:tc>
          <w:tcPr>
            <w:tcW w:w="679" w:type="dxa"/>
            <w:vAlign w:val="bottom"/>
          </w:tcPr>
          <w:p w:rsidR="00F92819" w:rsidRDefault="00F92819">
            <w:pPr>
              <w:spacing w:before="30" w:after="30" w:line="220" w:lineRule="exact"/>
              <w:jc w:val="right"/>
              <w:rPr>
                <w:sz w:val="18"/>
                <w:szCs w:val="24"/>
              </w:rPr>
            </w:pPr>
            <w:r>
              <w:rPr>
                <w:sz w:val="18"/>
                <w:szCs w:val="24"/>
              </w:rPr>
              <w:t>31</w:t>
            </w:r>
          </w:p>
        </w:tc>
        <w:tc>
          <w:tcPr>
            <w:tcW w:w="680" w:type="dxa"/>
            <w:vAlign w:val="bottom"/>
          </w:tcPr>
          <w:p w:rsidR="00F92819" w:rsidRDefault="00F92819">
            <w:pPr>
              <w:spacing w:before="30" w:after="30" w:line="220" w:lineRule="exact"/>
              <w:jc w:val="right"/>
              <w:rPr>
                <w:sz w:val="18"/>
                <w:szCs w:val="24"/>
              </w:rPr>
            </w:pPr>
            <w:r>
              <w:rPr>
                <w:sz w:val="18"/>
                <w:szCs w:val="24"/>
              </w:rPr>
              <w:t>31</w:t>
            </w:r>
          </w:p>
        </w:tc>
        <w:tc>
          <w:tcPr>
            <w:tcW w:w="680" w:type="dxa"/>
            <w:vAlign w:val="bottom"/>
          </w:tcPr>
          <w:p w:rsidR="00F92819" w:rsidRDefault="00F92819">
            <w:pPr>
              <w:spacing w:before="30" w:after="30" w:line="220" w:lineRule="exact"/>
              <w:jc w:val="right"/>
              <w:rPr>
                <w:sz w:val="18"/>
                <w:szCs w:val="24"/>
              </w:rPr>
            </w:pPr>
            <w:r>
              <w:rPr>
                <w:sz w:val="18"/>
                <w:szCs w:val="24"/>
              </w:rPr>
              <w:t>34</w:t>
            </w:r>
          </w:p>
        </w:tc>
        <w:tc>
          <w:tcPr>
            <w:tcW w:w="680" w:type="dxa"/>
            <w:vAlign w:val="bottom"/>
          </w:tcPr>
          <w:p w:rsidR="00F92819" w:rsidRDefault="00F92819">
            <w:pPr>
              <w:spacing w:before="30" w:after="30" w:line="220" w:lineRule="exact"/>
              <w:jc w:val="right"/>
              <w:rPr>
                <w:sz w:val="18"/>
                <w:szCs w:val="24"/>
              </w:rPr>
            </w:pPr>
            <w:r>
              <w:rPr>
                <w:sz w:val="18"/>
                <w:szCs w:val="24"/>
              </w:rPr>
              <w:t>15</w:t>
            </w:r>
          </w:p>
        </w:tc>
        <w:tc>
          <w:tcPr>
            <w:tcW w:w="680" w:type="dxa"/>
            <w:vAlign w:val="bottom"/>
          </w:tcPr>
          <w:p w:rsidR="00F92819" w:rsidRDefault="00F92819">
            <w:pPr>
              <w:spacing w:before="30" w:after="30" w:line="220" w:lineRule="exact"/>
              <w:jc w:val="right"/>
              <w:rPr>
                <w:sz w:val="18"/>
                <w:szCs w:val="24"/>
              </w:rPr>
            </w:pPr>
            <w:r>
              <w:rPr>
                <w:sz w:val="18"/>
                <w:szCs w:val="24"/>
              </w:rPr>
              <w:t>24</w:t>
            </w:r>
          </w:p>
        </w:tc>
        <w:tc>
          <w:tcPr>
            <w:tcW w:w="680" w:type="dxa"/>
            <w:vAlign w:val="bottom"/>
          </w:tcPr>
          <w:p w:rsidR="00F92819" w:rsidRDefault="00F92819">
            <w:pPr>
              <w:spacing w:before="30" w:after="30" w:line="220" w:lineRule="exact"/>
              <w:jc w:val="right"/>
              <w:rPr>
                <w:sz w:val="18"/>
                <w:szCs w:val="24"/>
              </w:rPr>
            </w:pPr>
            <w:r>
              <w:rPr>
                <w:sz w:val="18"/>
                <w:szCs w:val="24"/>
              </w:rPr>
              <w:t>30</w:t>
            </w:r>
          </w:p>
        </w:tc>
        <w:tc>
          <w:tcPr>
            <w:tcW w:w="680" w:type="dxa"/>
            <w:vAlign w:val="bottom"/>
          </w:tcPr>
          <w:p w:rsidR="00F92819" w:rsidRDefault="00F92819">
            <w:pPr>
              <w:spacing w:before="30" w:after="30" w:line="220" w:lineRule="exact"/>
              <w:jc w:val="right"/>
              <w:rPr>
                <w:sz w:val="18"/>
                <w:szCs w:val="24"/>
              </w:rPr>
            </w:pPr>
            <w:r>
              <w:rPr>
                <w:sz w:val="18"/>
                <w:szCs w:val="24"/>
              </w:rPr>
              <w:t>25</w:t>
            </w:r>
          </w:p>
        </w:tc>
      </w:tr>
      <w:tr w:rsidR="00F92819">
        <w:tc>
          <w:tcPr>
            <w:tcW w:w="1265" w:type="dxa"/>
            <w:vAlign w:val="bottom"/>
          </w:tcPr>
          <w:p w:rsidR="00F92819" w:rsidRDefault="00F92819">
            <w:pPr>
              <w:spacing w:before="40" w:after="40" w:line="220" w:lineRule="exact"/>
              <w:rPr>
                <w:szCs w:val="24"/>
              </w:rPr>
            </w:pPr>
            <w:r>
              <w:rPr>
                <w:sz w:val="18"/>
                <w:szCs w:val="24"/>
                <w:lang w:val="es-ES_tradnl"/>
              </w:rPr>
              <w:t>Agricultura</w:t>
            </w:r>
          </w:p>
        </w:tc>
        <w:tc>
          <w:tcPr>
            <w:tcW w:w="667" w:type="dxa"/>
            <w:vAlign w:val="bottom"/>
          </w:tcPr>
          <w:p w:rsidR="00F92819" w:rsidRDefault="00F92819">
            <w:pPr>
              <w:spacing w:before="30" w:after="30" w:line="220" w:lineRule="exact"/>
              <w:jc w:val="right"/>
              <w:rPr>
                <w:sz w:val="18"/>
                <w:szCs w:val="24"/>
              </w:rPr>
            </w:pPr>
            <w:r>
              <w:rPr>
                <w:sz w:val="18"/>
                <w:szCs w:val="24"/>
              </w:rPr>
              <w:t>2</w:t>
            </w:r>
          </w:p>
        </w:tc>
        <w:tc>
          <w:tcPr>
            <w:tcW w:w="680" w:type="dxa"/>
            <w:vAlign w:val="bottom"/>
          </w:tcPr>
          <w:p w:rsidR="00F92819" w:rsidRDefault="00F92819">
            <w:pPr>
              <w:spacing w:before="30" w:after="30" w:line="220" w:lineRule="exact"/>
              <w:jc w:val="right"/>
              <w:rPr>
                <w:sz w:val="18"/>
                <w:szCs w:val="24"/>
              </w:rPr>
            </w:pPr>
            <w:r>
              <w:rPr>
                <w:sz w:val="18"/>
                <w:szCs w:val="24"/>
              </w:rPr>
              <w:t>4</w:t>
            </w:r>
          </w:p>
        </w:tc>
        <w:tc>
          <w:tcPr>
            <w:tcW w:w="679" w:type="dxa"/>
            <w:vAlign w:val="bottom"/>
          </w:tcPr>
          <w:p w:rsidR="00F92819" w:rsidRDefault="00F92819">
            <w:pPr>
              <w:spacing w:before="30" w:after="30" w:line="220" w:lineRule="exact"/>
              <w:jc w:val="right"/>
              <w:rPr>
                <w:sz w:val="18"/>
                <w:szCs w:val="24"/>
              </w:rPr>
            </w:pPr>
            <w:r>
              <w:rPr>
                <w:sz w:val="18"/>
                <w:szCs w:val="24"/>
              </w:rPr>
              <w:t>2</w:t>
            </w:r>
          </w:p>
        </w:tc>
        <w:tc>
          <w:tcPr>
            <w:tcW w:w="680" w:type="dxa"/>
            <w:vAlign w:val="bottom"/>
          </w:tcPr>
          <w:p w:rsidR="00F92819" w:rsidRDefault="00F92819">
            <w:pPr>
              <w:spacing w:before="30" w:after="30" w:line="220" w:lineRule="exact"/>
              <w:jc w:val="right"/>
              <w:rPr>
                <w:sz w:val="18"/>
                <w:szCs w:val="24"/>
              </w:rPr>
            </w:pPr>
            <w:r>
              <w:rPr>
                <w:sz w:val="18"/>
                <w:szCs w:val="24"/>
              </w:rPr>
              <w:t>2</w:t>
            </w:r>
          </w:p>
        </w:tc>
        <w:tc>
          <w:tcPr>
            <w:tcW w:w="680" w:type="dxa"/>
            <w:vAlign w:val="bottom"/>
          </w:tcPr>
          <w:p w:rsidR="00F92819" w:rsidRDefault="00F92819">
            <w:pPr>
              <w:spacing w:before="30" w:after="30" w:line="220" w:lineRule="exact"/>
              <w:jc w:val="right"/>
              <w:rPr>
                <w:sz w:val="18"/>
                <w:szCs w:val="24"/>
              </w:rPr>
            </w:pPr>
            <w:r>
              <w:rPr>
                <w:sz w:val="18"/>
                <w:szCs w:val="24"/>
              </w:rPr>
              <w:t>3</w:t>
            </w:r>
          </w:p>
        </w:tc>
        <w:tc>
          <w:tcPr>
            <w:tcW w:w="680" w:type="dxa"/>
            <w:vAlign w:val="bottom"/>
          </w:tcPr>
          <w:p w:rsidR="00F92819" w:rsidRDefault="00F92819">
            <w:pPr>
              <w:spacing w:before="30" w:after="30" w:line="220" w:lineRule="exact"/>
              <w:jc w:val="right"/>
              <w:rPr>
                <w:sz w:val="18"/>
                <w:szCs w:val="24"/>
              </w:rPr>
            </w:pPr>
            <w:r>
              <w:rPr>
                <w:sz w:val="18"/>
                <w:szCs w:val="24"/>
              </w:rPr>
              <w:t>3</w:t>
            </w:r>
          </w:p>
        </w:tc>
        <w:tc>
          <w:tcPr>
            <w:tcW w:w="680" w:type="dxa"/>
            <w:vAlign w:val="bottom"/>
          </w:tcPr>
          <w:p w:rsidR="00F92819" w:rsidRDefault="00F92819">
            <w:pPr>
              <w:spacing w:before="30" w:after="30" w:line="220" w:lineRule="exact"/>
              <w:jc w:val="right"/>
              <w:rPr>
                <w:sz w:val="18"/>
                <w:szCs w:val="24"/>
              </w:rPr>
            </w:pPr>
            <w:r>
              <w:rPr>
                <w:sz w:val="18"/>
                <w:szCs w:val="24"/>
              </w:rPr>
              <w:t>6</w:t>
            </w:r>
          </w:p>
        </w:tc>
        <w:tc>
          <w:tcPr>
            <w:tcW w:w="680" w:type="dxa"/>
            <w:vAlign w:val="bottom"/>
          </w:tcPr>
          <w:p w:rsidR="00F92819" w:rsidRDefault="00F92819">
            <w:pPr>
              <w:spacing w:before="30" w:after="30" w:line="220" w:lineRule="exact"/>
              <w:jc w:val="right"/>
              <w:rPr>
                <w:sz w:val="18"/>
                <w:szCs w:val="24"/>
              </w:rPr>
            </w:pPr>
            <w:r>
              <w:rPr>
                <w:sz w:val="18"/>
                <w:szCs w:val="24"/>
              </w:rPr>
              <w:t>4</w:t>
            </w:r>
          </w:p>
        </w:tc>
        <w:tc>
          <w:tcPr>
            <w:tcW w:w="680" w:type="dxa"/>
            <w:vAlign w:val="bottom"/>
          </w:tcPr>
          <w:p w:rsidR="00F92819" w:rsidRDefault="00F92819">
            <w:pPr>
              <w:spacing w:before="30" w:after="30" w:line="220" w:lineRule="exact"/>
              <w:jc w:val="right"/>
              <w:rPr>
                <w:sz w:val="18"/>
                <w:szCs w:val="24"/>
              </w:rPr>
            </w:pPr>
            <w:r>
              <w:rPr>
                <w:sz w:val="18"/>
                <w:szCs w:val="24"/>
              </w:rPr>
              <w:t>2</w:t>
            </w:r>
          </w:p>
        </w:tc>
      </w:tr>
      <w:tr w:rsidR="00F92819">
        <w:tc>
          <w:tcPr>
            <w:tcW w:w="1265" w:type="dxa"/>
            <w:vAlign w:val="bottom"/>
          </w:tcPr>
          <w:p w:rsidR="00F92819" w:rsidRDefault="00F92819">
            <w:pPr>
              <w:spacing w:before="40" w:after="40" w:line="220" w:lineRule="exact"/>
              <w:rPr>
                <w:szCs w:val="24"/>
              </w:rPr>
            </w:pPr>
            <w:r>
              <w:rPr>
                <w:sz w:val="18"/>
                <w:szCs w:val="24"/>
                <w:lang w:val="es-ES_tradnl"/>
              </w:rPr>
              <w:t>Canteras</w:t>
            </w:r>
          </w:p>
        </w:tc>
        <w:tc>
          <w:tcPr>
            <w:tcW w:w="667" w:type="dxa"/>
            <w:vAlign w:val="bottom"/>
          </w:tcPr>
          <w:p w:rsidR="00F92819" w:rsidRDefault="00F92819">
            <w:pPr>
              <w:spacing w:before="30" w:after="30" w:line="220" w:lineRule="exact"/>
              <w:jc w:val="right"/>
              <w:rPr>
                <w:sz w:val="18"/>
                <w:szCs w:val="24"/>
              </w:rPr>
            </w:pPr>
            <w:r>
              <w:rPr>
                <w:sz w:val="18"/>
                <w:szCs w:val="24"/>
              </w:rPr>
              <w:t>1</w:t>
            </w:r>
          </w:p>
        </w:tc>
        <w:tc>
          <w:tcPr>
            <w:tcW w:w="680" w:type="dxa"/>
            <w:vAlign w:val="bottom"/>
          </w:tcPr>
          <w:p w:rsidR="00F92819" w:rsidRDefault="00F92819">
            <w:pPr>
              <w:spacing w:before="30" w:after="30" w:line="220" w:lineRule="exact"/>
              <w:jc w:val="right"/>
              <w:rPr>
                <w:sz w:val="18"/>
                <w:szCs w:val="24"/>
              </w:rPr>
            </w:pPr>
            <w:r>
              <w:rPr>
                <w:sz w:val="18"/>
                <w:szCs w:val="24"/>
              </w:rPr>
              <w:t>0</w:t>
            </w:r>
          </w:p>
        </w:tc>
        <w:tc>
          <w:tcPr>
            <w:tcW w:w="679" w:type="dxa"/>
            <w:vAlign w:val="bottom"/>
          </w:tcPr>
          <w:p w:rsidR="00F92819" w:rsidRDefault="00F92819">
            <w:pPr>
              <w:spacing w:before="30" w:after="30" w:line="220" w:lineRule="exact"/>
              <w:jc w:val="right"/>
              <w:rPr>
                <w:sz w:val="18"/>
                <w:szCs w:val="24"/>
              </w:rPr>
            </w:pPr>
            <w:r>
              <w:rPr>
                <w:sz w:val="18"/>
                <w:szCs w:val="24"/>
              </w:rPr>
              <w:t>0</w:t>
            </w:r>
          </w:p>
        </w:tc>
        <w:tc>
          <w:tcPr>
            <w:tcW w:w="680" w:type="dxa"/>
            <w:vAlign w:val="bottom"/>
          </w:tcPr>
          <w:p w:rsidR="00F92819" w:rsidRDefault="00F92819">
            <w:pPr>
              <w:spacing w:before="30" w:after="30" w:line="220" w:lineRule="exact"/>
              <w:jc w:val="right"/>
              <w:rPr>
                <w:sz w:val="18"/>
                <w:szCs w:val="24"/>
              </w:rPr>
            </w:pPr>
            <w:r>
              <w:rPr>
                <w:sz w:val="18"/>
                <w:szCs w:val="24"/>
              </w:rPr>
              <w:t>0</w:t>
            </w:r>
          </w:p>
        </w:tc>
        <w:tc>
          <w:tcPr>
            <w:tcW w:w="680" w:type="dxa"/>
            <w:vAlign w:val="bottom"/>
          </w:tcPr>
          <w:p w:rsidR="00F92819" w:rsidRDefault="00F92819">
            <w:pPr>
              <w:spacing w:before="30" w:after="30" w:line="220" w:lineRule="exact"/>
              <w:jc w:val="right"/>
              <w:rPr>
                <w:sz w:val="18"/>
                <w:szCs w:val="24"/>
              </w:rPr>
            </w:pPr>
            <w:r>
              <w:rPr>
                <w:sz w:val="18"/>
                <w:szCs w:val="24"/>
              </w:rPr>
              <w:t>1</w:t>
            </w:r>
          </w:p>
        </w:tc>
        <w:tc>
          <w:tcPr>
            <w:tcW w:w="680" w:type="dxa"/>
            <w:vAlign w:val="bottom"/>
          </w:tcPr>
          <w:p w:rsidR="00F92819" w:rsidRDefault="00F92819">
            <w:pPr>
              <w:spacing w:before="30" w:after="30" w:line="220" w:lineRule="exact"/>
              <w:jc w:val="right"/>
              <w:rPr>
                <w:sz w:val="18"/>
                <w:szCs w:val="24"/>
              </w:rPr>
            </w:pPr>
            <w:r>
              <w:rPr>
                <w:sz w:val="18"/>
                <w:szCs w:val="24"/>
              </w:rPr>
              <w:t>0</w:t>
            </w:r>
          </w:p>
        </w:tc>
        <w:tc>
          <w:tcPr>
            <w:tcW w:w="680" w:type="dxa"/>
            <w:vAlign w:val="bottom"/>
          </w:tcPr>
          <w:p w:rsidR="00F92819" w:rsidRDefault="00F92819">
            <w:pPr>
              <w:spacing w:before="30" w:after="30" w:line="220" w:lineRule="exact"/>
              <w:jc w:val="right"/>
              <w:rPr>
                <w:sz w:val="18"/>
                <w:szCs w:val="24"/>
              </w:rPr>
            </w:pPr>
            <w:r>
              <w:rPr>
                <w:sz w:val="18"/>
                <w:szCs w:val="24"/>
              </w:rPr>
              <w:t>2</w:t>
            </w:r>
          </w:p>
        </w:tc>
        <w:tc>
          <w:tcPr>
            <w:tcW w:w="680" w:type="dxa"/>
            <w:vAlign w:val="bottom"/>
          </w:tcPr>
          <w:p w:rsidR="00F92819" w:rsidRDefault="00F92819">
            <w:pPr>
              <w:spacing w:before="30" w:after="30" w:line="220" w:lineRule="exact"/>
              <w:jc w:val="right"/>
              <w:rPr>
                <w:sz w:val="18"/>
                <w:szCs w:val="24"/>
              </w:rPr>
            </w:pPr>
            <w:r>
              <w:rPr>
                <w:sz w:val="18"/>
                <w:szCs w:val="24"/>
              </w:rPr>
              <w:t>0</w:t>
            </w:r>
          </w:p>
        </w:tc>
        <w:tc>
          <w:tcPr>
            <w:tcW w:w="680" w:type="dxa"/>
            <w:vAlign w:val="bottom"/>
          </w:tcPr>
          <w:p w:rsidR="00F92819" w:rsidRDefault="00F92819">
            <w:pPr>
              <w:spacing w:before="30" w:after="30" w:line="220" w:lineRule="exact"/>
              <w:jc w:val="right"/>
              <w:rPr>
                <w:sz w:val="18"/>
                <w:szCs w:val="24"/>
              </w:rPr>
            </w:pPr>
            <w:r>
              <w:rPr>
                <w:sz w:val="18"/>
                <w:szCs w:val="24"/>
              </w:rPr>
              <w:t>2</w:t>
            </w:r>
          </w:p>
        </w:tc>
      </w:tr>
      <w:tr w:rsidR="00F92819">
        <w:tc>
          <w:tcPr>
            <w:tcW w:w="1265" w:type="dxa"/>
            <w:vAlign w:val="bottom"/>
          </w:tcPr>
          <w:p w:rsidR="00F92819" w:rsidRDefault="00F92819">
            <w:pPr>
              <w:spacing w:before="40" w:after="40" w:line="220" w:lineRule="exact"/>
              <w:rPr>
                <w:szCs w:val="24"/>
              </w:rPr>
            </w:pPr>
            <w:r>
              <w:rPr>
                <w:sz w:val="18"/>
                <w:szCs w:val="24"/>
                <w:lang w:val="es-ES_tradnl"/>
              </w:rPr>
              <w:t>Puertos</w:t>
            </w:r>
          </w:p>
        </w:tc>
        <w:tc>
          <w:tcPr>
            <w:tcW w:w="667" w:type="dxa"/>
            <w:vAlign w:val="bottom"/>
          </w:tcPr>
          <w:p w:rsidR="00F92819" w:rsidRDefault="00F92819">
            <w:pPr>
              <w:spacing w:before="30" w:after="30" w:line="220" w:lineRule="exact"/>
              <w:jc w:val="right"/>
              <w:rPr>
                <w:sz w:val="18"/>
                <w:szCs w:val="24"/>
              </w:rPr>
            </w:pPr>
            <w:r>
              <w:rPr>
                <w:sz w:val="18"/>
                <w:szCs w:val="24"/>
              </w:rPr>
              <w:t>4</w:t>
            </w:r>
          </w:p>
        </w:tc>
        <w:tc>
          <w:tcPr>
            <w:tcW w:w="680" w:type="dxa"/>
            <w:vAlign w:val="bottom"/>
          </w:tcPr>
          <w:p w:rsidR="00F92819" w:rsidRDefault="00F92819">
            <w:pPr>
              <w:spacing w:before="30" w:after="30" w:line="220" w:lineRule="exact"/>
              <w:jc w:val="right"/>
              <w:rPr>
                <w:sz w:val="18"/>
                <w:szCs w:val="24"/>
              </w:rPr>
            </w:pPr>
            <w:r>
              <w:rPr>
                <w:sz w:val="18"/>
                <w:szCs w:val="24"/>
              </w:rPr>
              <w:t>0</w:t>
            </w:r>
          </w:p>
        </w:tc>
        <w:tc>
          <w:tcPr>
            <w:tcW w:w="679" w:type="dxa"/>
            <w:vAlign w:val="bottom"/>
          </w:tcPr>
          <w:p w:rsidR="00F92819" w:rsidRDefault="00F92819">
            <w:pPr>
              <w:spacing w:before="30" w:after="30" w:line="220" w:lineRule="exact"/>
              <w:jc w:val="right"/>
              <w:rPr>
                <w:sz w:val="18"/>
                <w:szCs w:val="24"/>
              </w:rPr>
            </w:pPr>
            <w:r>
              <w:rPr>
                <w:sz w:val="18"/>
                <w:szCs w:val="24"/>
              </w:rPr>
              <w:t>5</w:t>
            </w:r>
          </w:p>
        </w:tc>
        <w:tc>
          <w:tcPr>
            <w:tcW w:w="680" w:type="dxa"/>
            <w:vAlign w:val="bottom"/>
          </w:tcPr>
          <w:p w:rsidR="00F92819" w:rsidRDefault="00F92819">
            <w:pPr>
              <w:spacing w:before="30" w:after="30" w:line="220" w:lineRule="exact"/>
              <w:jc w:val="right"/>
              <w:rPr>
                <w:sz w:val="18"/>
                <w:szCs w:val="24"/>
              </w:rPr>
            </w:pPr>
            <w:r>
              <w:rPr>
                <w:sz w:val="18"/>
                <w:szCs w:val="24"/>
              </w:rPr>
              <w:t>0</w:t>
            </w:r>
          </w:p>
        </w:tc>
        <w:tc>
          <w:tcPr>
            <w:tcW w:w="680" w:type="dxa"/>
            <w:vAlign w:val="bottom"/>
          </w:tcPr>
          <w:p w:rsidR="00F92819" w:rsidRDefault="00F92819">
            <w:pPr>
              <w:spacing w:before="30" w:after="30" w:line="220" w:lineRule="exact"/>
              <w:jc w:val="right"/>
              <w:rPr>
                <w:sz w:val="18"/>
                <w:szCs w:val="24"/>
              </w:rPr>
            </w:pPr>
            <w:r>
              <w:rPr>
                <w:sz w:val="18"/>
                <w:szCs w:val="24"/>
              </w:rPr>
              <w:t>2</w:t>
            </w:r>
          </w:p>
        </w:tc>
        <w:tc>
          <w:tcPr>
            <w:tcW w:w="680" w:type="dxa"/>
            <w:vAlign w:val="bottom"/>
          </w:tcPr>
          <w:p w:rsidR="00F92819" w:rsidRDefault="00F92819">
            <w:pPr>
              <w:spacing w:before="30" w:after="30" w:line="220" w:lineRule="exact"/>
              <w:jc w:val="right"/>
              <w:rPr>
                <w:sz w:val="18"/>
                <w:szCs w:val="24"/>
              </w:rPr>
            </w:pPr>
            <w:r>
              <w:rPr>
                <w:sz w:val="18"/>
                <w:szCs w:val="24"/>
              </w:rPr>
              <w:t>2</w:t>
            </w:r>
          </w:p>
        </w:tc>
        <w:tc>
          <w:tcPr>
            <w:tcW w:w="680" w:type="dxa"/>
            <w:vAlign w:val="bottom"/>
          </w:tcPr>
          <w:p w:rsidR="00F92819" w:rsidRDefault="00F92819">
            <w:pPr>
              <w:spacing w:before="30" w:after="30" w:line="220" w:lineRule="exact"/>
              <w:jc w:val="right"/>
              <w:rPr>
                <w:sz w:val="18"/>
                <w:szCs w:val="24"/>
              </w:rPr>
            </w:pPr>
            <w:r>
              <w:rPr>
                <w:sz w:val="18"/>
                <w:szCs w:val="24"/>
              </w:rPr>
              <w:t>2</w:t>
            </w:r>
          </w:p>
        </w:tc>
        <w:tc>
          <w:tcPr>
            <w:tcW w:w="680" w:type="dxa"/>
            <w:vAlign w:val="bottom"/>
          </w:tcPr>
          <w:p w:rsidR="00F92819" w:rsidRDefault="00F92819">
            <w:pPr>
              <w:spacing w:before="30" w:after="30" w:line="220" w:lineRule="exact"/>
              <w:jc w:val="right"/>
              <w:rPr>
                <w:sz w:val="18"/>
                <w:szCs w:val="24"/>
              </w:rPr>
            </w:pPr>
            <w:r>
              <w:rPr>
                <w:sz w:val="18"/>
                <w:szCs w:val="24"/>
              </w:rPr>
              <w:t>0</w:t>
            </w:r>
          </w:p>
        </w:tc>
        <w:tc>
          <w:tcPr>
            <w:tcW w:w="680" w:type="dxa"/>
            <w:vAlign w:val="bottom"/>
          </w:tcPr>
          <w:p w:rsidR="00F92819" w:rsidRDefault="00F92819">
            <w:pPr>
              <w:spacing w:before="30" w:after="30" w:line="220" w:lineRule="exact"/>
              <w:jc w:val="right"/>
              <w:rPr>
                <w:sz w:val="18"/>
                <w:szCs w:val="24"/>
              </w:rPr>
            </w:pPr>
            <w:r>
              <w:rPr>
                <w:sz w:val="18"/>
                <w:szCs w:val="24"/>
              </w:rPr>
              <w:t>0</w:t>
            </w:r>
          </w:p>
        </w:tc>
      </w:tr>
      <w:tr w:rsidR="00F92819">
        <w:tc>
          <w:tcPr>
            <w:tcW w:w="1265" w:type="dxa"/>
            <w:vAlign w:val="bottom"/>
          </w:tcPr>
          <w:p w:rsidR="00F92819" w:rsidRDefault="00F92819">
            <w:pPr>
              <w:spacing w:before="40" w:after="40" w:line="220" w:lineRule="exact"/>
              <w:rPr>
                <w:szCs w:val="24"/>
              </w:rPr>
            </w:pPr>
            <w:r>
              <w:rPr>
                <w:sz w:val="18"/>
                <w:szCs w:val="24"/>
                <w:lang w:val="es-ES_tradnl"/>
              </w:rPr>
              <w:t>Trenes</w:t>
            </w:r>
          </w:p>
        </w:tc>
        <w:tc>
          <w:tcPr>
            <w:tcW w:w="667" w:type="dxa"/>
            <w:vAlign w:val="bottom"/>
          </w:tcPr>
          <w:p w:rsidR="00F92819" w:rsidRDefault="00F92819">
            <w:pPr>
              <w:spacing w:before="30" w:after="30" w:line="220" w:lineRule="exact"/>
              <w:jc w:val="right"/>
              <w:rPr>
                <w:sz w:val="18"/>
                <w:szCs w:val="24"/>
              </w:rPr>
            </w:pPr>
            <w:r>
              <w:rPr>
                <w:sz w:val="18"/>
                <w:szCs w:val="24"/>
              </w:rPr>
              <w:t>2</w:t>
            </w:r>
          </w:p>
        </w:tc>
        <w:tc>
          <w:tcPr>
            <w:tcW w:w="680" w:type="dxa"/>
            <w:vAlign w:val="bottom"/>
          </w:tcPr>
          <w:p w:rsidR="00F92819" w:rsidRDefault="00F92819">
            <w:pPr>
              <w:spacing w:before="30" w:after="30" w:line="220" w:lineRule="exact"/>
              <w:jc w:val="right"/>
              <w:rPr>
                <w:sz w:val="18"/>
                <w:szCs w:val="24"/>
              </w:rPr>
            </w:pPr>
            <w:r>
              <w:rPr>
                <w:sz w:val="18"/>
                <w:szCs w:val="24"/>
              </w:rPr>
              <w:t>1</w:t>
            </w:r>
          </w:p>
        </w:tc>
        <w:tc>
          <w:tcPr>
            <w:tcW w:w="679" w:type="dxa"/>
            <w:vAlign w:val="bottom"/>
          </w:tcPr>
          <w:p w:rsidR="00F92819" w:rsidRDefault="00F92819">
            <w:pPr>
              <w:spacing w:before="30" w:after="30" w:line="220" w:lineRule="exact"/>
              <w:jc w:val="right"/>
              <w:rPr>
                <w:sz w:val="18"/>
                <w:szCs w:val="24"/>
              </w:rPr>
            </w:pPr>
            <w:r>
              <w:rPr>
                <w:sz w:val="18"/>
                <w:szCs w:val="24"/>
              </w:rPr>
              <w:t>0</w:t>
            </w:r>
          </w:p>
        </w:tc>
        <w:tc>
          <w:tcPr>
            <w:tcW w:w="680" w:type="dxa"/>
            <w:vAlign w:val="bottom"/>
          </w:tcPr>
          <w:p w:rsidR="00F92819" w:rsidRDefault="00F92819">
            <w:pPr>
              <w:spacing w:before="30" w:after="30" w:line="220" w:lineRule="exact"/>
              <w:jc w:val="right"/>
              <w:rPr>
                <w:sz w:val="18"/>
                <w:szCs w:val="24"/>
              </w:rPr>
            </w:pPr>
            <w:r>
              <w:rPr>
                <w:sz w:val="18"/>
                <w:szCs w:val="24"/>
              </w:rPr>
              <w:t>3</w:t>
            </w:r>
          </w:p>
        </w:tc>
        <w:tc>
          <w:tcPr>
            <w:tcW w:w="680" w:type="dxa"/>
            <w:vAlign w:val="bottom"/>
          </w:tcPr>
          <w:p w:rsidR="00F92819" w:rsidRDefault="00F92819">
            <w:pPr>
              <w:spacing w:before="30" w:after="30" w:line="220" w:lineRule="exact"/>
              <w:jc w:val="right"/>
              <w:rPr>
                <w:sz w:val="18"/>
                <w:szCs w:val="24"/>
              </w:rPr>
            </w:pPr>
            <w:r>
              <w:rPr>
                <w:sz w:val="18"/>
                <w:szCs w:val="24"/>
              </w:rPr>
              <w:t>0</w:t>
            </w:r>
          </w:p>
        </w:tc>
        <w:tc>
          <w:tcPr>
            <w:tcW w:w="680" w:type="dxa"/>
            <w:vAlign w:val="bottom"/>
          </w:tcPr>
          <w:p w:rsidR="00F92819" w:rsidRDefault="00F92819">
            <w:pPr>
              <w:spacing w:before="30" w:after="30" w:line="220" w:lineRule="exact"/>
              <w:jc w:val="right"/>
              <w:rPr>
                <w:sz w:val="18"/>
                <w:szCs w:val="24"/>
              </w:rPr>
            </w:pPr>
            <w:r>
              <w:rPr>
                <w:sz w:val="18"/>
                <w:szCs w:val="24"/>
              </w:rPr>
              <w:t>1</w:t>
            </w:r>
          </w:p>
        </w:tc>
        <w:tc>
          <w:tcPr>
            <w:tcW w:w="680" w:type="dxa"/>
            <w:vAlign w:val="bottom"/>
          </w:tcPr>
          <w:p w:rsidR="00F92819" w:rsidRDefault="00F92819">
            <w:pPr>
              <w:spacing w:before="30" w:after="30" w:line="220" w:lineRule="exact"/>
              <w:jc w:val="right"/>
              <w:rPr>
                <w:sz w:val="18"/>
                <w:szCs w:val="24"/>
              </w:rPr>
            </w:pPr>
            <w:r>
              <w:rPr>
                <w:sz w:val="18"/>
                <w:szCs w:val="24"/>
              </w:rPr>
              <w:t>0</w:t>
            </w:r>
          </w:p>
        </w:tc>
        <w:tc>
          <w:tcPr>
            <w:tcW w:w="680" w:type="dxa"/>
            <w:vAlign w:val="bottom"/>
          </w:tcPr>
          <w:p w:rsidR="00F92819" w:rsidRDefault="00F92819">
            <w:pPr>
              <w:spacing w:before="30" w:after="30" w:line="220" w:lineRule="exact"/>
              <w:jc w:val="right"/>
              <w:rPr>
                <w:sz w:val="18"/>
                <w:szCs w:val="24"/>
              </w:rPr>
            </w:pPr>
            <w:r>
              <w:rPr>
                <w:sz w:val="18"/>
                <w:szCs w:val="24"/>
              </w:rPr>
              <w:t>0</w:t>
            </w:r>
          </w:p>
        </w:tc>
        <w:tc>
          <w:tcPr>
            <w:tcW w:w="680" w:type="dxa"/>
            <w:vAlign w:val="bottom"/>
          </w:tcPr>
          <w:p w:rsidR="00F92819" w:rsidRDefault="00F92819">
            <w:pPr>
              <w:spacing w:before="30" w:after="30" w:line="220" w:lineRule="exact"/>
              <w:jc w:val="right"/>
              <w:rPr>
                <w:sz w:val="18"/>
                <w:szCs w:val="24"/>
              </w:rPr>
            </w:pPr>
            <w:r>
              <w:rPr>
                <w:sz w:val="18"/>
                <w:szCs w:val="24"/>
              </w:rPr>
              <w:t>0</w:t>
            </w:r>
          </w:p>
        </w:tc>
      </w:tr>
      <w:tr w:rsidR="00F92819">
        <w:tc>
          <w:tcPr>
            <w:tcW w:w="1265" w:type="dxa"/>
            <w:tcBorders>
              <w:bottom w:val="single" w:sz="4" w:space="0" w:color="auto"/>
            </w:tcBorders>
            <w:vAlign w:val="bottom"/>
          </w:tcPr>
          <w:p w:rsidR="00F92819" w:rsidRDefault="00F92819">
            <w:pPr>
              <w:spacing w:before="40" w:after="40" w:line="220" w:lineRule="exact"/>
              <w:rPr>
                <w:szCs w:val="24"/>
              </w:rPr>
            </w:pPr>
            <w:r>
              <w:rPr>
                <w:sz w:val="18"/>
                <w:szCs w:val="24"/>
                <w:lang w:val="es-ES_tradnl"/>
              </w:rPr>
              <w:t>Otros</w:t>
            </w:r>
          </w:p>
        </w:tc>
        <w:tc>
          <w:tcPr>
            <w:tcW w:w="667" w:type="dxa"/>
            <w:tcBorders>
              <w:bottom w:val="single" w:sz="4" w:space="0" w:color="auto"/>
            </w:tcBorders>
            <w:vAlign w:val="bottom"/>
          </w:tcPr>
          <w:p w:rsidR="00F92819" w:rsidRDefault="00F92819">
            <w:pPr>
              <w:spacing w:before="30" w:after="30" w:line="220" w:lineRule="exact"/>
              <w:jc w:val="right"/>
              <w:rPr>
                <w:sz w:val="18"/>
                <w:szCs w:val="24"/>
              </w:rPr>
            </w:pPr>
            <w:r>
              <w:rPr>
                <w:sz w:val="18"/>
                <w:szCs w:val="24"/>
              </w:rPr>
              <w:t>15</w:t>
            </w:r>
          </w:p>
        </w:tc>
        <w:tc>
          <w:tcPr>
            <w:tcW w:w="680" w:type="dxa"/>
            <w:tcBorders>
              <w:bottom w:val="single" w:sz="4" w:space="0" w:color="auto"/>
            </w:tcBorders>
            <w:vAlign w:val="bottom"/>
          </w:tcPr>
          <w:p w:rsidR="00F92819" w:rsidRDefault="00F92819">
            <w:pPr>
              <w:spacing w:before="30" w:after="30" w:line="220" w:lineRule="exact"/>
              <w:jc w:val="right"/>
              <w:rPr>
                <w:sz w:val="18"/>
                <w:szCs w:val="24"/>
              </w:rPr>
            </w:pPr>
            <w:r>
              <w:rPr>
                <w:sz w:val="18"/>
                <w:szCs w:val="24"/>
              </w:rPr>
              <w:t>17</w:t>
            </w:r>
          </w:p>
        </w:tc>
        <w:tc>
          <w:tcPr>
            <w:tcW w:w="679" w:type="dxa"/>
            <w:tcBorders>
              <w:bottom w:val="single" w:sz="4" w:space="0" w:color="auto"/>
            </w:tcBorders>
            <w:vAlign w:val="bottom"/>
          </w:tcPr>
          <w:p w:rsidR="00F92819" w:rsidRDefault="00F92819">
            <w:pPr>
              <w:spacing w:before="30" w:after="30" w:line="220" w:lineRule="exact"/>
              <w:jc w:val="right"/>
              <w:rPr>
                <w:sz w:val="18"/>
                <w:szCs w:val="24"/>
              </w:rPr>
            </w:pPr>
            <w:r>
              <w:rPr>
                <w:sz w:val="18"/>
                <w:szCs w:val="24"/>
              </w:rPr>
              <w:t>12</w:t>
            </w:r>
          </w:p>
        </w:tc>
        <w:tc>
          <w:tcPr>
            <w:tcW w:w="680" w:type="dxa"/>
            <w:tcBorders>
              <w:bottom w:val="single" w:sz="4" w:space="0" w:color="auto"/>
            </w:tcBorders>
            <w:vAlign w:val="bottom"/>
          </w:tcPr>
          <w:p w:rsidR="00F92819" w:rsidRDefault="00F92819">
            <w:pPr>
              <w:spacing w:before="30" w:after="30" w:line="220" w:lineRule="exact"/>
              <w:jc w:val="right"/>
              <w:rPr>
                <w:sz w:val="18"/>
                <w:szCs w:val="24"/>
              </w:rPr>
            </w:pPr>
            <w:r>
              <w:rPr>
                <w:sz w:val="18"/>
                <w:szCs w:val="24"/>
              </w:rPr>
              <w:t>7</w:t>
            </w:r>
          </w:p>
        </w:tc>
        <w:tc>
          <w:tcPr>
            <w:tcW w:w="680" w:type="dxa"/>
            <w:tcBorders>
              <w:bottom w:val="single" w:sz="4" w:space="0" w:color="auto"/>
            </w:tcBorders>
            <w:vAlign w:val="bottom"/>
          </w:tcPr>
          <w:p w:rsidR="00F92819" w:rsidRDefault="00F92819">
            <w:pPr>
              <w:spacing w:before="30" w:after="30" w:line="220" w:lineRule="exact"/>
              <w:jc w:val="right"/>
              <w:rPr>
                <w:sz w:val="18"/>
                <w:szCs w:val="24"/>
              </w:rPr>
            </w:pPr>
            <w:r>
              <w:rPr>
                <w:sz w:val="18"/>
                <w:szCs w:val="24"/>
              </w:rPr>
              <w:t>12</w:t>
            </w:r>
          </w:p>
        </w:tc>
        <w:tc>
          <w:tcPr>
            <w:tcW w:w="680" w:type="dxa"/>
            <w:tcBorders>
              <w:bottom w:val="single" w:sz="4" w:space="0" w:color="auto"/>
            </w:tcBorders>
            <w:vAlign w:val="bottom"/>
          </w:tcPr>
          <w:p w:rsidR="00F92819" w:rsidRDefault="00F92819">
            <w:pPr>
              <w:spacing w:before="30" w:after="30" w:line="220" w:lineRule="exact"/>
              <w:jc w:val="right"/>
              <w:rPr>
                <w:sz w:val="18"/>
                <w:szCs w:val="24"/>
              </w:rPr>
            </w:pPr>
            <w:r>
              <w:rPr>
                <w:sz w:val="18"/>
                <w:szCs w:val="24"/>
              </w:rPr>
              <w:t>10</w:t>
            </w:r>
          </w:p>
        </w:tc>
        <w:tc>
          <w:tcPr>
            <w:tcW w:w="680" w:type="dxa"/>
            <w:tcBorders>
              <w:bottom w:val="single" w:sz="4" w:space="0" w:color="auto"/>
            </w:tcBorders>
            <w:vAlign w:val="bottom"/>
          </w:tcPr>
          <w:p w:rsidR="00F92819" w:rsidRDefault="00F92819">
            <w:pPr>
              <w:spacing w:before="30" w:after="30" w:line="220" w:lineRule="exact"/>
              <w:jc w:val="right"/>
              <w:rPr>
                <w:sz w:val="18"/>
                <w:szCs w:val="24"/>
              </w:rPr>
            </w:pPr>
            <w:r>
              <w:rPr>
                <w:sz w:val="18"/>
                <w:szCs w:val="24"/>
              </w:rPr>
              <w:t>4</w:t>
            </w:r>
          </w:p>
        </w:tc>
        <w:tc>
          <w:tcPr>
            <w:tcW w:w="680" w:type="dxa"/>
            <w:tcBorders>
              <w:bottom w:val="single" w:sz="4" w:space="0" w:color="auto"/>
            </w:tcBorders>
            <w:vAlign w:val="bottom"/>
          </w:tcPr>
          <w:p w:rsidR="00F92819" w:rsidRDefault="00F92819">
            <w:pPr>
              <w:spacing w:before="30" w:after="30" w:line="220" w:lineRule="exact"/>
              <w:jc w:val="right"/>
              <w:rPr>
                <w:sz w:val="18"/>
                <w:szCs w:val="24"/>
              </w:rPr>
            </w:pPr>
            <w:r>
              <w:rPr>
                <w:sz w:val="18"/>
                <w:szCs w:val="24"/>
              </w:rPr>
              <w:t>5</w:t>
            </w:r>
          </w:p>
        </w:tc>
        <w:tc>
          <w:tcPr>
            <w:tcW w:w="680" w:type="dxa"/>
            <w:tcBorders>
              <w:bottom w:val="single" w:sz="4" w:space="0" w:color="auto"/>
            </w:tcBorders>
            <w:vAlign w:val="bottom"/>
          </w:tcPr>
          <w:p w:rsidR="00F92819" w:rsidRDefault="00F92819">
            <w:pPr>
              <w:spacing w:before="30" w:after="30" w:line="220" w:lineRule="exact"/>
              <w:jc w:val="right"/>
              <w:rPr>
                <w:sz w:val="18"/>
                <w:szCs w:val="24"/>
              </w:rPr>
            </w:pPr>
            <w:r>
              <w:rPr>
                <w:sz w:val="18"/>
                <w:szCs w:val="24"/>
              </w:rPr>
              <w:t>11</w:t>
            </w:r>
          </w:p>
        </w:tc>
      </w:tr>
      <w:tr w:rsidR="00F92819">
        <w:tc>
          <w:tcPr>
            <w:tcW w:w="1265" w:type="dxa"/>
            <w:tcBorders>
              <w:top w:val="single" w:sz="4" w:space="0" w:color="auto"/>
              <w:bottom w:val="single" w:sz="12" w:space="0" w:color="auto"/>
            </w:tcBorders>
            <w:vAlign w:val="bottom"/>
          </w:tcPr>
          <w:p w:rsidR="00F92819" w:rsidRDefault="00F92819">
            <w:pPr>
              <w:spacing w:before="80" w:after="80" w:line="220" w:lineRule="exact"/>
              <w:ind w:left="284"/>
              <w:rPr>
                <w:szCs w:val="24"/>
              </w:rPr>
            </w:pPr>
            <w:r>
              <w:rPr>
                <w:b/>
                <w:sz w:val="18"/>
                <w:szCs w:val="24"/>
                <w:lang w:val="es-ES_tradnl"/>
              </w:rPr>
              <w:t>Total</w:t>
            </w:r>
          </w:p>
        </w:tc>
        <w:tc>
          <w:tcPr>
            <w:tcW w:w="667"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66</w:t>
            </w:r>
          </w:p>
        </w:tc>
        <w:tc>
          <w:tcPr>
            <w:tcW w:w="680"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61</w:t>
            </w:r>
          </w:p>
        </w:tc>
        <w:tc>
          <w:tcPr>
            <w:tcW w:w="679"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60</w:t>
            </w:r>
          </w:p>
        </w:tc>
        <w:tc>
          <w:tcPr>
            <w:tcW w:w="680"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62</w:t>
            </w:r>
          </w:p>
        </w:tc>
        <w:tc>
          <w:tcPr>
            <w:tcW w:w="680"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60</w:t>
            </w:r>
          </w:p>
        </w:tc>
        <w:tc>
          <w:tcPr>
            <w:tcW w:w="680"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52</w:t>
            </w:r>
          </w:p>
        </w:tc>
        <w:tc>
          <w:tcPr>
            <w:tcW w:w="680"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54</w:t>
            </w:r>
          </w:p>
        </w:tc>
        <w:tc>
          <w:tcPr>
            <w:tcW w:w="680"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61</w:t>
            </w:r>
          </w:p>
        </w:tc>
        <w:tc>
          <w:tcPr>
            <w:tcW w:w="680" w:type="dxa"/>
            <w:tcBorders>
              <w:top w:val="single" w:sz="4" w:space="0" w:color="auto"/>
              <w:bottom w:val="single" w:sz="12" w:space="0" w:color="auto"/>
            </w:tcBorders>
            <w:vAlign w:val="bottom"/>
          </w:tcPr>
          <w:p w:rsidR="00F92819" w:rsidRDefault="00F92819">
            <w:pPr>
              <w:spacing w:before="80" w:after="80" w:line="220" w:lineRule="exact"/>
              <w:jc w:val="right"/>
              <w:rPr>
                <w:b/>
                <w:sz w:val="18"/>
                <w:szCs w:val="24"/>
              </w:rPr>
            </w:pPr>
            <w:r>
              <w:rPr>
                <w:b/>
                <w:sz w:val="18"/>
                <w:szCs w:val="24"/>
              </w:rPr>
              <w:t>51</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Servicio de Inspección del Trabajo, Ministerio de Industria, Comercio y Trabajo, 2008.</w:t>
      </w:r>
    </w:p>
    <w:p w:rsidR="00F92819" w:rsidRDefault="00F92819">
      <w:pPr>
        <w:pStyle w:val="Heading1"/>
        <w:spacing w:before="240"/>
        <w:rPr>
          <w:szCs w:val="24"/>
        </w:rPr>
      </w:pPr>
      <w:r>
        <w:rPr>
          <w:szCs w:val="24"/>
          <w:lang w:val="es-ES_tradnl"/>
        </w:rPr>
        <w:t>Cuadro 15</w:t>
      </w:r>
    </w:p>
    <w:p w:rsidR="00F92819" w:rsidRDefault="00F92819">
      <w:pPr>
        <w:pStyle w:val="SingleTxtG"/>
        <w:rPr>
          <w:b/>
          <w:szCs w:val="24"/>
        </w:rPr>
      </w:pPr>
      <w:r>
        <w:rPr>
          <w:b/>
          <w:szCs w:val="24"/>
          <w:lang w:val="es-ES_tradnl"/>
        </w:rPr>
        <w:t>Indemnizaciones por accidentes de trabajo en 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701"/>
        <w:gridCol w:w="1889"/>
        <w:gridCol w:w="1776"/>
        <w:gridCol w:w="2004"/>
      </w:tblGrid>
      <w:tr w:rsidR="00F92819">
        <w:tc>
          <w:tcPr>
            <w:tcW w:w="1701" w:type="dxa"/>
            <w:vMerge w:val="restart"/>
            <w:tcBorders>
              <w:top w:val="single" w:sz="4" w:space="0" w:color="auto"/>
            </w:tcBorders>
            <w:vAlign w:val="bottom"/>
          </w:tcPr>
          <w:p w:rsidR="00F92819" w:rsidRDefault="00F92819">
            <w:pPr>
              <w:spacing w:before="60" w:after="60" w:line="200" w:lineRule="exact"/>
              <w:rPr>
                <w:i/>
                <w:sz w:val="16"/>
                <w:szCs w:val="24"/>
              </w:rPr>
            </w:pPr>
          </w:p>
        </w:tc>
        <w:tc>
          <w:tcPr>
            <w:tcW w:w="5669" w:type="dxa"/>
            <w:gridSpan w:val="3"/>
            <w:tcBorders>
              <w:top w:val="single" w:sz="4" w:space="0" w:color="auto"/>
              <w:bottom w:val="single" w:sz="4" w:space="0" w:color="auto"/>
            </w:tcBorders>
            <w:vAlign w:val="bottom"/>
          </w:tcPr>
          <w:p w:rsidR="00F92819" w:rsidRDefault="00F92819">
            <w:pPr>
              <w:spacing w:before="60" w:after="60" w:line="200" w:lineRule="exact"/>
              <w:jc w:val="center"/>
              <w:rPr>
                <w:szCs w:val="24"/>
              </w:rPr>
            </w:pPr>
            <w:r>
              <w:rPr>
                <w:i/>
                <w:sz w:val="16"/>
                <w:szCs w:val="24"/>
                <w:lang w:val="es-ES_tradnl"/>
              </w:rPr>
              <w:t>Beneficiarios de indemnizaciones por accidente</w:t>
            </w:r>
          </w:p>
        </w:tc>
      </w:tr>
      <w:tr w:rsidR="00F92819" w:rsidTr="009012A2">
        <w:tc>
          <w:tcPr>
            <w:tcW w:w="1701" w:type="dxa"/>
            <w:vMerge/>
            <w:tcBorders>
              <w:bottom w:val="single" w:sz="12" w:space="0" w:color="auto"/>
            </w:tcBorders>
            <w:vAlign w:val="bottom"/>
          </w:tcPr>
          <w:p w:rsidR="00F92819" w:rsidRDefault="00F92819">
            <w:pPr>
              <w:spacing w:before="60" w:after="60" w:line="200" w:lineRule="exact"/>
              <w:rPr>
                <w:i/>
                <w:sz w:val="16"/>
                <w:szCs w:val="24"/>
              </w:rPr>
            </w:pPr>
          </w:p>
        </w:tc>
        <w:tc>
          <w:tcPr>
            <w:tcW w:w="1889" w:type="dxa"/>
            <w:tcBorders>
              <w:top w:val="single" w:sz="4" w:space="0" w:color="auto"/>
              <w:bottom w:val="single" w:sz="12" w:space="0" w:color="auto"/>
            </w:tcBorders>
            <w:vAlign w:val="bottom"/>
          </w:tcPr>
          <w:p w:rsidR="00F92819" w:rsidRDefault="00F92819">
            <w:pPr>
              <w:spacing w:before="60" w:after="60" w:line="200" w:lineRule="exact"/>
              <w:jc w:val="right"/>
              <w:rPr>
                <w:szCs w:val="24"/>
              </w:rPr>
            </w:pPr>
            <w:r>
              <w:rPr>
                <w:i/>
                <w:sz w:val="16"/>
                <w:szCs w:val="24"/>
                <w:lang w:val="es-ES_tradnl"/>
              </w:rPr>
              <w:t>Números absolutos</w:t>
            </w:r>
          </w:p>
        </w:tc>
        <w:tc>
          <w:tcPr>
            <w:tcW w:w="1776" w:type="dxa"/>
            <w:tcBorders>
              <w:top w:val="single" w:sz="4" w:space="0" w:color="auto"/>
              <w:bottom w:val="single" w:sz="12" w:space="0" w:color="auto"/>
            </w:tcBorders>
            <w:vAlign w:val="bottom"/>
          </w:tcPr>
          <w:p w:rsidR="00F92819" w:rsidRDefault="00484C55">
            <w:pPr>
              <w:spacing w:before="60" w:after="60" w:line="200" w:lineRule="exact"/>
              <w:jc w:val="right"/>
              <w:rPr>
                <w:szCs w:val="24"/>
              </w:rPr>
            </w:pPr>
            <w:r w:rsidRPr="00484C55">
              <w:rPr>
                <w:i/>
                <w:sz w:val="16"/>
                <w:szCs w:val="24"/>
                <w:lang w:val="es-ES_tradnl"/>
              </w:rPr>
              <w:t>Porcentaje</w:t>
            </w:r>
          </w:p>
        </w:tc>
        <w:tc>
          <w:tcPr>
            <w:tcW w:w="2004" w:type="dxa"/>
            <w:tcBorders>
              <w:top w:val="single" w:sz="4" w:space="0" w:color="auto"/>
              <w:bottom w:val="single" w:sz="12" w:space="0" w:color="auto"/>
            </w:tcBorders>
            <w:vAlign w:val="bottom"/>
          </w:tcPr>
          <w:p w:rsidR="00F92819" w:rsidRDefault="00F92819">
            <w:pPr>
              <w:spacing w:before="60" w:after="60" w:line="200" w:lineRule="exact"/>
              <w:jc w:val="right"/>
              <w:rPr>
                <w:szCs w:val="24"/>
              </w:rPr>
            </w:pPr>
            <w:r>
              <w:rPr>
                <w:i/>
                <w:sz w:val="16"/>
                <w:szCs w:val="24"/>
                <w:lang w:val="es-ES_tradnl"/>
              </w:rPr>
              <w:t>Promedio de días</w:t>
            </w:r>
            <w:r w:rsidR="003B4BD2">
              <w:rPr>
                <w:i/>
                <w:sz w:val="16"/>
                <w:szCs w:val="24"/>
                <w:lang w:val="es-ES_tradnl"/>
              </w:rPr>
              <w:t xml:space="preserve"> </w:t>
            </w:r>
            <w:r>
              <w:rPr>
                <w:i/>
                <w:sz w:val="16"/>
                <w:szCs w:val="24"/>
                <w:lang w:val="es-ES_tradnl"/>
              </w:rPr>
              <w:t>de incapacidad para trabajar</w:t>
            </w:r>
          </w:p>
        </w:tc>
      </w:tr>
      <w:tr w:rsidR="00F92819" w:rsidTr="009012A2">
        <w:tc>
          <w:tcPr>
            <w:tcW w:w="1701" w:type="dxa"/>
            <w:tcBorders>
              <w:top w:val="single" w:sz="12" w:space="0" w:color="auto"/>
            </w:tcBorders>
            <w:vAlign w:val="bottom"/>
          </w:tcPr>
          <w:p w:rsidR="00F92819" w:rsidRDefault="00F92819">
            <w:pPr>
              <w:spacing w:before="40" w:after="40" w:line="220" w:lineRule="exact"/>
              <w:rPr>
                <w:szCs w:val="24"/>
              </w:rPr>
            </w:pPr>
            <w:r>
              <w:rPr>
                <w:sz w:val="18"/>
                <w:szCs w:val="24"/>
                <w:lang w:val="es-ES_tradnl"/>
              </w:rPr>
              <w:t>Todos los asegurados</w:t>
            </w:r>
          </w:p>
        </w:tc>
        <w:tc>
          <w:tcPr>
            <w:tcW w:w="1889"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67 657</w:t>
            </w:r>
          </w:p>
        </w:tc>
        <w:tc>
          <w:tcPr>
            <w:tcW w:w="1776"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100,0</w:t>
            </w:r>
          </w:p>
        </w:tc>
        <w:tc>
          <w:tcPr>
            <w:tcW w:w="2004" w:type="dxa"/>
            <w:tcBorders>
              <w:top w:val="single" w:sz="12" w:space="0" w:color="auto"/>
            </w:tcBorders>
            <w:vAlign w:val="bottom"/>
          </w:tcPr>
          <w:p w:rsidR="00F92819" w:rsidRDefault="00F92819">
            <w:pPr>
              <w:spacing w:before="30" w:after="30" w:line="220" w:lineRule="exact"/>
              <w:jc w:val="right"/>
              <w:rPr>
                <w:sz w:val="18"/>
                <w:szCs w:val="24"/>
              </w:rPr>
            </w:pPr>
            <w:r>
              <w:rPr>
                <w:sz w:val="18"/>
                <w:szCs w:val="24"/>
              </w:rPr>
              <w:t>33,9</w:t>
            </w:r>
          </w:p>
        </w:tc>
      </w:tr>
      <w:tr w:rsidR="00F92819" w:rsidTr="009012A2">
        <w:tc>
          <w:tcPr>
            <w:tcW w:w="1701" w:type="dxa"/>
            <w:vAlign w:val="bottom"/>
          </w:tcPr>
          <w:p w:rsidR="00F92819" w:rsidRDefault="00F92819">
            <w:pPr>
              <w:spacing w:before="40" w:after="40" w:line="220" w:lineRule="exact"/>
              <w:rPr>
                <w:szCs w:val="24"/>
              </w:rPr>
            </w:pPr>
            <w:r>
              <w:rPr>
                <w:sz w:val="18"/>
                <w:szCs w:val="24"/>
                <w:lang w:val="es-ES_tradnl"/>
              </w:rPr>
              <w:t>Asalariados</w:t>
            </w:r>
          </w:p>
        </w:tc>
        <w:tc>
          <w:tcPr>
            <w:tcW w:w="1889" w:type="dxa"/>
            <w:vAlign w:val="bottom"/>
          </w:tcPr>
          <w:p w:rsidR="00F92819" w:rsidRDefault="00F92819">
            <w:pPr>
              <w:spacing w:before="30" w:after="30" w:line="220" w:lineRule="exact"/>
              <w:jc w:val="right"/>
              <w:rPr>
                <w:sz w:val="18"/>
                <w:szCs w:val="24"/>
              </w:rPr>
            </w:pPr>
            <w:r>
              <w:rPr>
                <w:sz w:val="18"/>
                <w:szCs w:val="24"/>
              </w:rPr>
              <w:t>61 661</w:t>
            </w:r>
          </w:p>
        </w:tc>
        <w:tc>
          <w:tcPr>
            <w:tcW w:w="1776" w:type="dxa"/>
            <w:vAlign w:val="bottom"/>
          </w:tcPr>
          <w:p w:rsidR="00F92819" w:rsidRDefault="00F92819">
            <w:pPr>
              <w:spacing w:before="30" w:after="30" w:line="220" w:lineRule="exact"/>
              <w:jc w:val="right"/>
              <w:rPr>
                <w:sz w:val="18"/>
                <w:szCs w:val="24"/>
              </w:rPr>
            </w:pPr>
            <w:r>
              <w:rPr>
                <w:sz w:val="18"/>
                <w:szCs w:val="24"/>
              </w:rPr>
              <w:t>91,1</w:t>
            </w:r>
          </w:p>
        </w:tc>
        <w:tc>
          <w:tcPr>
            <w:tcW w:w="2004" w:type="dxa"/>
            <w:vAlign w:val="bottom"/>
          </w:tcPr>
          <w:p w:rsidR="00F92819" w:rsidRDefault="00F92819">
            <w:pPr>
              <w:spacing w:before="30" w:after="30" w:line="220" w:lineRule="exact"/>
              <w:jc w:val="right"/>
              <w:rPr>
                <w:sz w:val="18"/>
                <w:szCs w:val="24"/>
              </w:rPr>
            </w:pPr>
            <w:r>
              <w:rPr>
                <w:sz w:val="18"/>
                <w:szCs w:val="24"/>
              </w:rPr>
              <w:t>32,6</w:t>
            </w:r>
          </w:p>
        </w:tc>
      </w:tr>
      <w:tr w:rsidR="00F92819" w:rsidTr="009012A2">
        <w:tc>
          <w:tcPr>
            <w:tcW w:w="1701" w:type="dxa"/>
            <w:tcBorders>
              <w:bottom w:val="single" w:sz="12" w:space="0" w:color="auto"/>
            </w:tcBorders>
            <w:vAlign w:val="bottom"/>
          </w:tcPr>
          <w:p w:rsidR="00F92819" w:rsidRDefault="00F92819">
            <w:pPr>
              <w:spacing w:before="40" w:after="40" w:line="220" w:lineRule="exact"/>
              <w:rPr>
                <w:szCs w:val="24"/>
              </w:rPr>
            </w:pPr>
            <w:r>
              <w:rPr>
                <w:sz w:val="18"/>
                <w:szCs w:val="24"/>
                <w:lang w:val="es-ES_tradnl"/>
              </w:rPr>
              <w:t>Autónomos</w:t>
            </w:r>
          </w:p>
        </w:tc>
        <w:tc>
          <w:tcPr>
            <w:tcW w:w="1889" w:type="dxa"/>
            <w:tcBorders>
              <w:bottom w:val="single" w:sz="12" w:space="0" w:color="auto"/>
            </w:tcBorders>
            <w:vAlign w:val="bottom"/>
          </w:tcPr>
          <w:p w:rsidR="00F92819" w:rsidRDefault="00F92819">
            <w:pPr>
              <w:spacing w:before="30" w:after="30" w:line="220" w:lineRule="exact"/>
              <w:jc w:val="right"/>
              <w:rPr>
                <w:sz w:val="18"/>
                <w:szCs w:val="24"/>
              </w:rPr>
            </w:pPr>
            <w:r>
              <w:rPr>
                <w:sz w:val="18"/>
                <w:szCs w:val="24"/>
              </w:rPr>
              <w:t>5 996</w:t>
            </w:r>
          </w:p>
        </w:tc>
        <w:tc>
          <w:tcPr>
            <w:tcW w:w="1776" w:type="dxa"/>
            <w:tcBorders>
              <w:bottom w:val="single" w:sz="12" w:space="0" w:color="auto"/>
            </w:tcBorders>
            <w:vAlign w:val="bottom"/>
          </w:tcPr>
          <w:p w:rsidR="00F92819" w:rsidRDefault="00F92819">
            <w:pPr>
              <w:spacing w:before="30" w:after="30" w:line="220" w:lineRule="exact"/>
              <w:jc w:val="right"/>
              <w:rPr>
                <w:sz w:val="18"/>
                <w:szCs w:val="24"/>
              </w:rPr>
            </w:pPr>
            <w:r>
              <w:rPr>
                <w:sz w:val="18"/>
                <w:szCs w:val="24"/>
              </w:rPr>
              <w:t>8,9</w:t>
            </w:r>
          </w:p>
        </w:tc>
        <w:tc>
          <w:tcPr>
            <w:tcW w:w="2004" w:type="dxa"/>
            <w:tcBorders>
              <w:bottom w:val="single" w:sz="12" w:space="0" w:color="auto"/>
            </w:tcBorders>
            <w:vAlign w:val="bottom"/>
          </w:tcPr>
          <w:p w:rsidR="00F92819" w:rsidRDefault="00F92819">
            <w:pPr>
              <w:spacing w:before="30" w:after="30" w:line="220" w:lineRule="exact"/>
              <w:jc w:val="right"/>
              <w:rPr>
                <w:sz w:val="18"/>
                <w:szCs w:val="24"/>
              </w:rPr>
            </w:pPr>
            <w:r>
              <w:rPr>
                <w:sz w:val="18"/>
                <w:szCs w:val="24"/>
              </w:rPr>
              <w:t>47,3</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Ministerio de Industria, Comercio y Trabajo, 2008.</w:t>
      </w:r>
    </w:p>
    <w:p w:rsidR="00F92819" w:rsidRDefault="00F92819">
      <w:pPr>
        <w:pStyle w:val="Heading1"/>
        <w:spacing w:before="240"/>
        <w:rPr>
          <w:szCs w:val="24"/>
        </w:rPr>
      </w:pPr>
      <w:r>
        <w:rPr>
          <w:szCs w:val="24"/>
          <w:lang w:val="es-ES_tradnl"/>
        </w:rPr>
        <w:t>Cuadro 16</w:t>
      </w:r>
    </w:p>
    <w:p w:rsidR="00F92819" w:rsidRDefault="00F92819">
      <w:pPr>
        <w:pStyle w:val="SingleTxtG"/>
        <w:rPr>
          <w:b/>
          <w:szCs w:val="24"/>
        </w:rPr>
      </w:pPr>
      <w:r>
        <w:rPr>
          <w:b/>
          <w:szCs w:val="24"/>
          <w:lang w:val="es-ES_tradnl"/>
        </w:rPr>
        <w:t xml:space="preserve">Indemnizaciones por lesiones en 2007, por género y edad </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993"/>
        <w:gridCol w:w="850"/>
        <w:gridCol w:w="709"/>
        <w:gridCol w:w="709"/>
        <w:gridCol w:w="708"/>
        <w:gridCol w:w="709"/>
        <w:gridCol w:w="709"/>
        <w:gridCol w:w="709"/>
        <w:gridCol w:w="708"/>
        <w:gridCol w:w="566"/>
      </w:tblGrid>
      <w:tr w:rsidR="00F92819">
        <w:trPr>
          <w:tblHeader/>
        </w:trPr>
        <w:tc>
          <w:tcPr>
            <w:tcW w:w="993" w:type="dxa"/>
            <w:tcBorders>
              <w:top w:val="single" w:sz="4" w:space="0" w:color="auto"/>
            </w:tcBorders>
            <w:vAlign w:val="bottom"/>
          </w:tcPr>
          <w:p w:rsidR="00F92819" w:rsidRDefault="00F92819">
            <w:pPr>
              <w:spacing w:before="80" w:after="80" w:line="200" w:lineRule="exact"/>
              <w:rPr>
                <w:i/>
                <w:sz w:val="16"/>
                <w:szCs w:val="24"/>
              </w:rPr>
            </w:pPr>
          </w:p>
        </w:tc>
        <w:tc>
          <w:tcPr>
            <w:tcW w:w="850" w:type="dxa"/>
            <w:tcBorders>
              <w:top w:val="single" w:sz="4" w:space="0" w:color="auto"/>
            </w:tcBorders>
            <w:vAlign w:val="bottom"/>
          </w:tcPr>
          <w:p w:rsidR="00F92819" w:rsidRDefault="00F92819">
            <w:pPr>
              <w:spacing w:before="80" w:after="80" w:line="200" w:lineRule="exact"/>
              <w:jc w:val="right"/>
              <w:rPr>
                <w:i/>
                <w:sz w:val="16"/>
                <w:szCs w:val="24"/>
              </w:rPr>
            </w:pPr>
          </w:p>
        </w:tc>
        <w:tc>
          <w:tcPr>
            <w:tcW w:w="5527" w:type="dxa"/>
            <w:gridSpan w:val="8"/>
            <w:tcBorders>
              <w:top w:val="single" w:sz="4" w:space="0" w:color="auto"/>
              <w:bottom w:val="single" w:sz="4" w:space="0" w:color="auto"/>
            </w:tcBorders>
            <w:vAlign w:val="bottom"/>
          </w:tcPr>
          <w:p w:rsidR="00F92819" w:rsidRDefault="00F92819">
            <w:pPr>
              <w:spacing w:before="80" w:after="80" w:line="200" w:lineRule="exact"/>
              <w:jc w:val="center"/>
              <w:rPr>
                <w:szCs w:val="24"/>
              </w:rPr>
            </w:pPr>
            <w:r>
              <w:rPr>
                <w:i/>
                <w:sz w:val="16"/>
                <w:szCs w:val="24"/>
                <w:lang w:val="es-ES_tradnl"/>
              </w:rPr>
              <w:t>Edad</w:t>
            </w:r>
          </w:p>
        </w:tc>
      </w:tr>
      <w:tr w:rsidR="00F92819">
        <w:trPr>
          <w:tblHeader/>
        </w:trPr>
        <w:tc>
          <w:tcPr>
            <w:tcW w:w="993" w:type="dxa"/>
            <w:tcBorders>
              <w:bottom w:val="single" w:sz="12" w:space="0" w:color="auto"/>
            </w:tcBorders>
            <w:vAlign w:val="bottom"/>
          </w:tcPr>
          <w:p w:rsidR="00F92819" w:rsidRDefault="00F92819">
            <w:pPr>
              <w:spacing w:before="80" w:after="80" w:line="200" w:lineRule="exact"/>
              <w:rPr>
                <w:szCs w:val="24"/>
              </w:rPr>
            </w:pPr>
            <w:r>
              <w:rPr>
                <w:i/>
                <w:sz w:val="16"/>
                <w:szCs w:val="24"/>
                <w:lang w:val="es-ES_tradnl"/>
              </w:rPr>
              <w:t>Género</w:t>
            </w:r>
          </w:p>
        </w:tc>
        <w:tc>
          <w:tcPr>
            <w:tcW w:w="850" w:type="dxa"/>
            <w:tcBorders>
              <w:bottom w:val="single" w:sz="12" w:space="0" w:color="auto"/>
            </w:tcBorders>
            <w:vAlign w:val="bottom"/>
          </w:tcPr>
          <w:p w:rsidR="00F92819" w:rsidRDefault="00F92819">
            <w:pPr>
              <w:spacing w:before="80" w:after="80" w:line="200" w:lineRule="exact"/>
              <w:jc w:val="right"/>
              <w:rPr>
                <w:szCs w:val="24"/>
              </w:rPr>
            </w:pPr>
            <w:r>
              <w:rPr>
                <w:b/>
                <w:i/>
                <w:sz w:val="16"/>
                <w:szCs w:val="24"/>
                <w:lang w:val="es-ES_tradnl"/>
              </w:rPr>
              <w:t>Total</w:t>
            </w:r>
          </w:p>
        </w:tc>
        <w:tc>
          <w:tcPr>
            <w:tcW w:w="709"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0</w:t>
            </w:r>
            <w:r w:rsidR="001D63DF">
              <w:rPr>
                <w:i/>
                <w:sz w:val="16"/>
                <w:szCs w:val="24"/>
              </w:rPr>
              <w:t xml:space="preserve"> a </w:t>
            </w:r>
            <w:r>
              <w:rPr>
                <w:i/>
                <w:sz w:val="16"/>
                <w:szCs w:val="24"/>
              </w:rPr>
              <w:t>17</w:t>
            </w:r>
          </w:p>
        </w:tc>
        <w:tc>
          <w:tcPr>
            <w:tcW w:w="709"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18</w:t>
            </w:r>
            <w:r w:rsidR="001D63DF">
              <w:rPr>
                <w:i/>
                <w:sz w:val="16"/>
                <w:szCs w:val="24"/>
              </w:rPr>
              <w:t xml:space="preserve"> a </w:t>
            </w:r>
            <w:r>
              <w:rPr>
                <w:i/>
                <w:sz w:val="16"/>
                <w:szCs w:val="24"/>
              </w:rPr>
              <w:t>24</w:t>
            </w:r>
          </w:p>
        </w:tc>
        <w:tc>
          <w:tcPr>
            <w:tcW w:w="708" w:type="dxa"/>
            <w:tcBorders>
              <w:top w:val="single" w:sz="4" w:space="0" w:color="auto"/>
              <w:bottom w:val="single" w:sz="12" w:space="0" w:color="auto"/>
            </w:tcBorders>
            <w:vAlign w:val="bottom"/>
          </w:tcPr>
          <w:p w:rsidR="00F92819" w:rsidRDefault="001D63DF">
            <w:pPr>
              <w:spacing w:before="80" w:after="80" w:line="200" w:lineRule="exact"/>
              <w:jc w:val="right"/>
              <w:rPr>
                <w:szCs w:val="24"/>
              </w:rPr>
            </w:pPr>
            <w:r>
              <w:rPr>
                <w:i/>
                <w:sz w:val="16"/>
                <w:szCs w:val="24"/>
              </w:rPr>
              <w:t xml:space="preserve">25 a </w:t>
            </w:r>
            <w:r w:rsidR="00F92819">
              <w:rPr>
                <w:i/>
                <w:sz w:val="16"/>
                <w:szCs w:val="24"/>
              </w:rPr>
              <w:t>34</w:t>
            </w:r>
          </w:p>
        </w:tc>
        <w:tc>
          <w:tcPr>
            <w:tcW w:w="709" w:type="dxa"/>
            <w:tcBorders>
              <w:top w:val="single" w:sz="4" w:space="0" w:color="auto"/>
              <w:bottom w:val="single" w:sz="12" w:space="0" w:color="auto"/>
            </w:tcBorders>
            <w:vAlign w:val="bottom"/>
          </w:tcPr>
          <w:p w:rsidR="00F92819" w:rsidRDefault="001D63DF">
            <w:pPr>
              <w:spacing w:before="80" w:after="80" w:line="200" w:lineRule="exact"/>
              <w:jc w:val="right"/>
              <w:rPr>
                <w:szCs w:val="24"/>
              </w:rPr>
            </w:pPr>
            <w:r>
              <w:rPr>
                <w:i/>
                <w:sz w:val="16"/>
                <w:szCs w:val="24"/>
              </w:rPr>
              <w:t xml:space="preserve">35 a </w:t>
            </w:r>
            <w:r w:rsidR="00F92819">
              <w:rPr>
                <w:i/>
                <w:sz w:val="16"/>
                <w:szCs w:val="24"/>
              </w:rPr>
              <w:t>44</w:t>
            </w:r>
          </w:p>
        </w:tc>
        <w:tc>
          <w:tcPr>
            <w:tcW w:w="709" w:type="dxa"/>
            <w:tcBorders>
              <w:top w:val="single" w:sz="4" w:space="0" w:color="auto"/>
              <w:bottom w:val="single" w:sz="12" w:space="0" w:color="auto"/>
            </w:tcBorders>
            <w:vAlign w:val="bottom"/>
          </w:tcPr>
          <w:p w:rsidR="00F92819" w:rsidRDefault="001D63DF">
            <w:pPr>
              <w:spacing w:before="80" w:after="80" w:line="200" w:lineRule="exact"/>
              <w:jc w:val="right"/>
              <w:rPr>
                <w:szCs w:val="24"/>
              </w:rPr>
            </w:pPr>
            <w:r>
              <w:rPr>
                <w:i/>
                <w:sz w:val="16"/>
                <w:szCs w:val="24"/>
              </w:rPr>
              <w:t xml:space="preserve">45 a </w:t>
            </w:r>
            <w:r w:rsidR="00F92819">
              <w:rPr>
                <w:i/>
                <w:sz w:val="16"/>
                <w:szCs w:val="24"/>
              </w:rPr>
              <w:t>54</w:t>
            </w:r>
          </w:p>
        </w:tc>
        <w:tc>
          <w:tcPr>
            <w:tcW w:w="709" w:type="dxa"/>
            <w:tcBorders>
              <w:top w:val="single" w:sz="4" w:space="0" w:color="auto"/>
              <w:bottom w:val="single" w:sz="12" w:space="0" w:color="auto"/>
            </w:tcBorders>
            <w:vAlign w:val="bottom"/>
          </w:tcPr>
          <w:p w:rsidR="00F92819" w:rsidRDefault="001D63DF">
            <w:pPr>
              <w:spacing w:before="80" w:after="80" w:line="200" w:lineRule="exact"/>
              <w:jc w:val="right"/>
              <w:rPr>
                <w:szCs w:val="24"/>
              </w:rPr>
            </w:pPr>
            <w:r>
              <w:rPr>
                <w:i/>
                <w:sz w:val="16"/>
                <w:szCs w:val="24"/>
              </w:rPr>
              <w:t xml:space="preserve">55 a </w:t>
            </w:r>
            <w:r w:rsidR="00F92819">
              <w:rPr>
                <w:i/>
                <w:sz w:val="16"/>
                <w:szCs w:val="24"/>
              </w:rPr>
              <w:t>59</w:t>
            </w:r>
          </w:p>
        </w:tc>
        <w:tc>
          <w:tcPr>
            <w:tcW w:w="708" w:type="dxa"/>
            <w:tcBorders>
              <w:top w:val="single" w:sz="4" w:space="0" w:color="auto"/>
              <w:bottom w:val="single" w:sz="12" w:space="0" w:color="auto"/>
            </w:tcBorders>
            <w:vAlign w:val="bottom"/>
          </w:tcPr>
          <w:p w:rsidR="00F92819" w:rsidRDefault="001D63DF">
            <w:pPr>
              <w:spacing w:before="80" w:after="80" w:line="200" w:lineRule="exact"/>
              <w:jc w:val="right"/>
              <w:rPr>
                <w:szCs w:val="24"/>
              </w:rPr>
            </w:pPr>
            <w:r>
              <w:rPr>
                <w:i/>
                <w:sz w:val="16"/>
                <w:szCs w:val="24"/>
              </w:rPr>
              <w:t xml:space="preserve">60 a </w:t>
            </w:r>
            <w:r w:rsidR="00F92819">
              <w:rPr>
                <w:i/>
                <w:sz w:val="16"/>
                <w:szCs w:val="24"/>
              </w:rPr>
              <w:t>64</w:t>
            </w:r>
          </w:p>
        </w:tc>
        <w:tc>
          <w:tcPr>
            <w:tcW w:w="566"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65+</w:t>
            </w:r>
          </w:p>
        </w:tc>
      </w:tr>
      <w:tr w:rsidR="00F92819">
        <w:tc>
          <w:tcPr>
            <w:tcW w:w="993" w:type="dxa"/>
            <w:tcBorders>
              <w:top w:val="single" w:sz="12" w:space="0" w:color="auto"/>
              <w:bottom w:val="single" w:sz="4" w:space="0" w:color="auto"/>
            </w:tcBorders>
            <w:vAlign w:val="bottom"/>
          </w:tcPr>
          <w:p w:rsidR="00F92819" w:rsidRDefault="00F92819">
            <w:pPr>
              <w:spacing w:before="80" w:after="80" w:line="220" w:lineRule="exact"/>
              <w:ind w:left="284"/>
              <w:rPr>
                <w:szCs w:val="24"/>
              </w:rPr>
            </w:pPr>
            <w:r>
              <w:rPr>
                <w:b/>
                <w:sz w:val="18"/>
                <w:szCs w:val="24"/>
                <w:lang w:val="es-ES_tradnl"/>
              </w:rPr>
              <w:t>Total</w:t>
            </w:r>
          </w:p>
        </w:tc>
        <w:tc>
          <w:tcPr>
            <w:tcW w:w="850"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67 657</w:t>
            </w:r>
          </w:p>
        </w:tc>
        <w:tc>
          <w:tcPr>
            <w:tcW w:w="709" w:type="dxa"/>
            <w:tcBorders>
              <w:top w:val="single" w:sz="12" w:space="0" w:color="auto"/>
              <w:bottom w:val="single" w:sz="4" w:space="0" w:color="auto"/>
            </w:tcBorders>
            <w:vAlign w:val="bottom"/>
          </w:tcPr>
          <w:p w:rsidR="00F92819" w:rsidRDefault="00F92819">
            <w:pPr>
              <w:spacing w:before="80" w:after="80" w:line="220" w:lineRule="exact"/>
              <w:jc w:val="right"/>
              <w:rPr>
                <w:sz w:val="18"/>
                <w:szCs w:val="24"/>
              </w:rPr>
            </w:pPr>
          </w:p>
        </w:tc>
        <w:tc>
          <w:tcPr>
            <w:tcW w:w="709" w:type="dxa"/>
            <w:tcBorders>
              <w:top w:val="single" w:sz="12" w:space="0" w:color="auto"/>
              <w:bottom w:val="single" w:sz="4" w:space="0" w:color="auto"/>
            </w:tcBorders>
            <w:vAlign w:val="bottom"/>
          </w:tcPr>
          <w:p w:rsidR="00F92819" w:rsidRDefault="00F92819">
            <w:pPr>
              <w:spacing w:before="80" w:after="80" w:line="220" w:lineRule="exact"/>
              <w:jc w:val="right"/>
              <w:rPr>
                <w:sz w:val="18"/>
                <w:szCs w:val="24"/>
              </w:rPr>
            </w:pPr>
          </w:p>
        </w:tc>
        <w:tc>
          <w:tcPr>
            <w:tcW w:w="708" w:type="dxa"/>
            <w:tcBorders>
              <w:top w:val="single" w:sz="12" w:space="0" w:color="auto"/>
              <w:bottom w:val="single" w:sz="4" w:space="0" w:color="auto"/>
            </w:tcBorders>
            <w:vAlign w:val="bottom"/>
          </w:tcPr>
          <w:p w:rsidR="00F92819" w:rsidRDefault="00F92819">
            <w:pPr>
              <w:spacing w:before="80" w:after="80" w:line="220" w:lineRule="exact"/>
              <w:jc w:val="right"/>
              <w:rPr>
                <w:sz w:val="18"/>
                <w:szCs w:val="24"/>
              </w:rPr>
            </w:pPr>
          </w:p>
        </w:tc>
        <w:tc>
          <w:tcPr>
            <w:tcW w:w="709" w:type="dxa"/>
            <w:tcBorders>
              <w:top w:val="single" w:sz="12" w:space="0" w:color="auto"/>
              <w:bottom w:val="single" w:sz="4" w:space="0" w:color="auto"/>
            </w:tcBorders>
            <w:vAlign w:val="bottom"/>
          </w:tcPr>
          <w:p w:rsidR="00F92819" w:rsidRDefault="00F92819">
            <w:pPr>
              <w:spacing w:before="80" w:after="80" w:line="220" w:lineRule="exact"/>
              <w:jc w:val="right"/>
              <w:rPr>
                <w:sz w:val="18"/>
                <w:szCs w:val="24"/>
              </w:rPr>
            </w:pPr>
          </w:p>
        </w:tc>
        <w:tc>
          <w:tcPr>
            <w:tcW w:w="709" w:type="dxa"/>
            <w:tcBorders>
              <w:top w:val="single" w:sz="12" w:space="0" w:color="auto"/>
              <w:bottom w:val="single" w:sz="4" w:space="0" w:color="auto"/>
            </w:tcBorders>
            <w:vAlign w:val="bottom"/>
          </w:tcPr>
          <w:p w:rsidR="00F92819" w:rsidRDefault="00F92819">
            <w:pPr>
              <w:spacing w:before="80" w:after="80" w:line="220" w:lineRule="exact"/>
              <w:jc w:val="right"/>
              <w:rPr>
                <w:sz w:val="18"/>
                <w:szCs w:val="24"/>
              </w:rPr>
            </w:pPr>
          </w:p>
        </w:tc>
        <w:tc>
          <w:tcPr>
            <w:tcW w:w="709" w:type="dxa"/>
            <w:tcBorders>
              <w:top w:val="single" w:sz="12" w:space="0" w:color="auto"/>
              <w:bottom w:val="single" w:sz="4" w:space="0" w:color="auto"/>
            </w:tcBorders>
            <w:vAlign w:val="bottom"/>
          </w:tcPr>
          <w:p w:rsidR="00F92819" w:rsidRDefault="00F92819">
            <w:pPr>
              <w:spacing w:before="80" w:after="80" w:line="220" w:lineRule="exact"/>
              <w:jc w:val="right"/>
              <w:rPr>
                <w:sz w:val="18"/>
                <w:szCs w:val="24"/>
              </w:rPr>
            </w:pPr>
          </w:p>
        </w:tc>
        <w:tc>
          <w:tcPr>
            <w:tcW w:w="708" w:type="dxa"/>
            <w:tcBorders>
              <w:top w:val="single" w:sz="12" w:space="0" w:color="auto"/>
              <w:bottom w:val="single" w:sz="4" w:space="0" w:color="auto"/>
            </w:tcBorders>
            <w:vAlign w:val="bottom"/>
          </w:tcPr>
          <w:p w:rsidR="00F92819" w:rsidRDefault="00F92819">
            <w:pPr>
              <w:spacing w:before="80" w:after="80" w:line="220" w:lineRule="exact"/>
              <w:jc w:val="right"/>
              <w:rPr>
                <w:sz w:val="18"/>
                <w:szCs w:val="24"/>
              </w:rPr>
            </w:pPr>
          </w:p>
        </w:tc>
        <w:tc>
          <w:tcPr>
            <w:tcW w:w="566" w:type="dxa"/>
            <w:tcBorders>
              <w:top w:val="single" w:sz="12" w:space="0" w:color="auto"/>
              <w:bottom w:val="single" w:sz="4" w:space="0" w:color="auto"/>
            </w:tcBorders>
            <w:vAlign w:val="bottom"/>
          </w:tcPr>
          <w:p w:rsidR="00F92819" w:rsidRDefault="00F92819">
            <w:pPr>
              <w:spacing w:before="80" w:after="80" w:line="220" w:lineRule="exact"/>
              <w:jc w:val="right"/>
              <w:rPr>
                <w:sz w:val="18"/>
                <w:szCs w:val="24"/>
              </w:rPr>
            </w:pPr>
          </w:p>
        </w:tc>
      </w:tr>
      <w:tr w:rsidR="00F92819">
        <w:tc>
          <w:tcPr>
            <w:tcW w:w="993" w:type="dxa"/>
            <w:tcBorders>
              <w:top w:val="single" w:sz="4" w:space="0" w:color="auto"/>
            </w:tcBorders>
            <w:vAlign w:val="bottom"/>
          </w:tcPr>
          <w:p w:rsidR="00F92819" w:rsidRDefault="00661928">
            <w:pPr>
              <w:spacing w:before="40" w:after="40" w:line="220" w:lineRule="exact"/>
              <w:rPr>
                <w:szCs w:val="24"/>
              </w:rPr>
            </w:pPr>
            <w:r>
              <w:rPr>
                <w:sz w:val="18"/>
                <w:szCs w:val="24"/>
                <w:lang w:val="es-ES_tradnl"/>
              </w:rPr>
              <w:t>Porcentaje</w:t>
            </w:r>
          </w:p>
        </w:tc>
        <w:tc>
          <w:tcPr>
            <w:tcW w:w="850"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70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0,4</w:t>
            </w:r>
          </w:p>
        </w:tc>
        <w:tc>
          <w:tcPr>
            <w:tcW w:w="70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10,9</w:t>
            </w:r>
          </w:p>
        </w:tc>
        <w:tc>
          <w:tcPr>
            <w:tcW w:w="708"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25,1</w:t>
            </w:r>
          </w:p>
        </w:tc>
        <w:tc>
          <w:tcPr>
            <w:tcW w:w="70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22,7</w:t>
            </w:r>
          </w:p>
        </w:tc>
        <w:tc>
          <w:tcPr>
            <w:tcW w:w="70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23</w:t>
            </w:r>
          </w:p>
        </w:tc>
        <w:tc>
          <w:tcPr>
            <w:tcW w:w="70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10,1</w:t>
            </w:r>
          </w:p>
        </w:tc>
        <w:tc>
          <w:tcPr>
            <w:tcW w:w="708"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5,5</w:t>
            </w:r>
          </w:p>
        </w:tc>
        <w:tc>
          <w:tcPr>
            <w:tcW w:w="566"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2,6</w:t>
            </w:r>
          </w:p>
        </w:tc>
      </w:tr>
      <w:tr w:rsidR="00F92819">
        <w:tc>
          <w:tcPr>
            <w:tcW w:w="993" w:type="dxa"/>
            <w:vAlign w:val="bottom"/>
          </w:tcPr>
          <w:p w:rsidR="00F92819" w:rsidRDefault="00F92819">
            <w:pPr>
              <w:spacing w:before="40" w:after="40" w:line="220" w:lineRule="exact"/>
              <w:rPr>
                <w:szCs w:val="24"/>
              </w:rPr>
            </w:pPr>
            <w:r>
              <w:rPr>
                <w:sz w:val="18"/>
                <w:szCs w:val="24"/>
                <w:lang w:val="es-ES_tradnl"/>
              </w:rPr>
              <w:t>Hombres</w:t>
            </w:r>
          </w:p>
        </w:tc>
        <w:tc>
          <w:tcPr>
            <w:tcW w:w="850" w:type="dxa"/>
            <w:vAlign w:val="bottom"/>
          </w:tcPr>
          <w:p w:rsidR="00F92819" w:rsidRDefault="00F92819">
            <w:pPr>
              <w:spacing w:before="40" w:after="40" w:line="220" w:lineRule="exact"/>
              <w:jc w:val="right"/>
              <w:rPr>
                <w:b/>
                <w:sz w:val="18"/>
                <w:szCs w:val="24"/>
              </w:rPr>
            </w:pPr>
            <w:r>
              <w:rPr>
                <w:b/>
                <w:sz w:val="18"/>
                <w:szCs w:val="24"/>
              </w:rPr>
              <w:t>47 928</w:t>
            </w:r>
          </w:p>
        </w:tc>
        <w:tc>
          <w:tcPr>
            <w:tcW w:w="709" w:type="dxa"/>
            <w:vAlign w:val="bottom"/>
          </w:tcPr>
          <w:p w:rsidR="00F92819" w:rsidRDefault="00F92819">
            <w:pPr>
              <w:spacing w:before="40" w:after="40" w:line="220" w:lineRule="exact"/>
              <w:jc w:val="right"/>
              <w:rPr>
                <w:sz w:val="18"/>
                <w:szCs w:val="24"/>
              </w:rPr>
            </w:pPr>
          </w:p>
        </w:tc>
        <w:tc>
          <w:tcPr>
            <w:tcW w:w="709" w:type="dxa"/>
            <w:vAlign w:val="bottom"/>
          </w:tcPr>
          <w:p w:rsidR="00F92819" w:rsidRDefault="00F92819">
            <w:pPr>
              <w:spacing w:before="40" w:after="40" w:line="220" w:lineRule="exact"/>
              <w:jc w:val="right"/>
              <w:rPr>
                <w:sz w:val="18"/>
                <w:szCs w:val="24"/>
              </w:rPr>
            </w:pPr>
          </w:p>
        </w:tc>
        <w:tc>
          <w:tcPr>
            <w:tcW w:w="708" w:type="dxa"/>
            <w:vAlign w:val="bottom"/>
          </w:tcPr>
          <w:p w:rsidR="00F92819" w:rsidRDefault="00F92819">
            <w:pPr>
              <w:spacing w:before="40" w:after="40" w:line="220" w:lineRule="exact"/>
              <w:jc w:val="right"/>
              <w:rPr>
                <w:sz w:val="18"/>
                <w:szCs w:val="24"/>
              </w:rPr>
            </w:pPr>
          </w:p>
        </w:tc>
        <w:tc>
          <w:tcPr>
            <w:tcW w:w="709" w:type="dxa"/>
            <w:vAlign w:val="bottom"/>
          </w:tcPr>
          <w:p w:rsidR="00F92819" w:rsidRDefault="00F92819">
            <w:pPr>
              <w:spacing w:before="40" w:after="40" w:line="220" w:lineRule="exact"/>
              <w:jc w:val="right"/>
              <w:rPr>
                <w:sz w:val="18"/>
                <w:szCs w:val="24"/>
              </w:rPr>
            </w:pPr>
          </w:p>
        </w:tc>
        <w:tc>
          <w:tcPr>
            <w:tcW w:w="709" w:type="dxa"/>
            <w:vAlign w:val="bottom"/>
          </w:tcPr>
          <w:p w:rsidR="00F92819" w:rsidRDefault="00F92819">
            <w:pPr>
              <w:spacing w:before="40" w:after="40" w:line="220" w:lineRule="exact"/>
              <w:jc w:val="right"/>
              <w:rPr>
                <w:sz w:val="18"/>
                <w:szCs w:val="24"/>
              </w:rPr>
            </w:pPr>
          </w:p>
        </w:tc>
        <w:tc>
          <w:tcPr>
            <w:tcW w:w="709" w:type="dxa"/>
            <w:vAlign w:val="bottom"/>
          </w:tcPr>
          <w:p w:rsidR="00F92819" w:rsidRDefault="00F92819">
            <w:pPr>
              <w:spacing w:before="40" w:after="40" w:line="220" w:lineRule="exact"/>
              <w:jc w:val="right"/>
              <w:rPr>
                <w:sz w:val="18"/>
                <w:szCs w:val="24"/>
              </w:rPr>
            </w:pPr>
          </w:p>
        </w:tc>
        <w:tc>
          <w:tcPr>
            <w:tcW w:w="708" w:type="dxa"/>
            <w:vAlign w:val="bottom"/>
          </w:tcPr>
          <w:p w:rsidR="00F92819" w:rsidRDefault="00F92819">
            <w:pPr>
              <w:spacing w:before="40" w:after="40" w:line="220" w:lineRule="exact"/>
              <w:jc w:val="right"/>
              <w:rPr>
                <w:sz w:val="18"/>
                <w:szCs w:val="24"/>
              </w:rPr>
            </w:pPr>
          </w:p>
        </w:tc>
        <w:tc>
          <w:tcPr>
            <w:tcW w:w="566" w:type="dxa"/>
            <w:vAlign w:val="bottom"/>
          </w:tcPr>
          <w:p w:rsidR="00F92819" w:rsidRDefault="00F92819">
            <w:pPr>
              <w:spacing w:before="40" w:after="40" w:line="220" w:lineRule="exact"/>
              <w:jc w:val="right"/>
              <w:rPr>
                <w:sz w:val="18"/>
                <w:szCs w:val="24"/>
              </w:rPr>
            </w:pPr>
          </w:p>
        </w:tc>
      </w:tr>
      <w:tr w:rsidR="00F92819">
        <w:tc>
          <w:tcPr>
            <w:tcW w:w="993" w:type="dxa"/>
            <w:vAlign w:val="bottom"/>
          </w:tcPr>
          <w:p w:rsidR="00F92819" w:rsidRDefault="00661928">
            <w:pPr>
              <w:spacing w:before="40" w:after="40" w:line="220" w:lineRule="exact"/>
              <w:rPr>
                <w:szCs w:val="24"/>
              </w:rPr>
            </w:pPr>
            <w:r>
              <w:rPr>
                <w:sz w:val="18"/>
                <w:szCs w:val="24"/>
                <w:lang w:val="es-ES_tradnl"/>
              </w:rPr>
              <w:t>Porcentaje</w:t>
            </w:r>
          </w:p>
        </w:tc>
        <w:tc>
          <w:tcPr>
            <w:tcW w:w="850" w:type="dxa"/>
            <w:vAlign w:val="bottom"/>
          </w:tcPr>
          <w:p w:rsidR="00F92819" w:rsidRDefault="00F92819">
            <w:pPr>
              <w:spacing w:before="40" w:after="40" w:line="220" w:lineRule="exact"/>
              <w:jc w:val="right"/>
              <w:rPr>
                <w:b/>
                <w:sz w:val="18"/>
                <w:szCs w:val="24"/>
              </w:rPr>
            </w:pPr>
            <w:r>
              <w:rPr>
                <w:b/>
                <w:sz w:val="18"/>
                <w:szCs w:val="24"/>
              </w:rPr>
              <w:t>100</w:t>
            </w:r>
          </w:p>
        </w:tc>
        <w:tc>
          <w:tcPr>
            <w:tcW w:w="709" w:type="dxa"/>
            <w:vAlign w:val="bottom"/>
          </w:tcPr>
          <w:p w:rsidR="00F92819" w:rsidRDefault="00F92819">
            <w:pPr>
              <w:spacing w:before="40" w:after="40" w:line="220" w:lineRule="exact"/>
              <w:jc w:val="right"/>
              <w:rPr>
                <w:sz w:val="18"/>
                <w:szCs w:val="24"/>
              </w:rPr>
            </w:pPr>
            <w:r>
              <w:rPr>
                <w:sz w:val="18"/>
                <w:szCs w:val="24"/>
              </w:rPr>
              <w:t>0,5</w:t>
            </w:r>
          </w:p>
        </w:tc>
        <w:tc>
          <w:tcPr>
            <w:tcW w:w="709" w:type="dxa"/>
            <w:vAlign w:val="bottom"/>
          </w:tcPr>
          <w:p w:rsidR="00F92819" w:rsidRDefault="00F92819">
            <w:pPr>
              <w:spacing w:before="40" w:after="40" w:line="220" w:lineRule="exact"/>
              <w:jc w:val="right"/>
              <w:rPr>
                <w:sz w:val="18"/>
                <w:szCs w:val="24"/>
              </w:rPr>
            </w:pPr>
            <w:r>
              <w:rPr>
                <w:sz w:val="18"/>
                <w:szCs w:val="24"/>
              </w:rPr>
              <w:t>11,9</w:t>
            </w:r>
          </w:p>
        </w:tc>
        <w:tc>
          <w:tcPr>
            <w:tcW w:w="708" w:type="dxa"/>
            <w:vAlign w:val="bottom"/>
          </w:tcPr>
          <w:p w:rsidR="00F92819" w:rsidRDefault="00F92819">
            <w:pPr>
              <w:spacing w:before="40" w:after="40" w:line="220" w:lineRule="exact"/>
              <w:jc w:val="right"/>
              <w:rPr>
                <w:sz w:val="18"/>
                <w:szCs w:val="24"/>
              </w:rPr>
            </w:pPr>
            <w:r>
              <w:rPr>
                <w:sz w:val="18"/>
                <w:szCs w:val="24"/>
              </w:rPr>
              <w:t>26,9</w:t>
            </w:r>
          </w:p>
        </w:tc>
        <w:tc>
          <w:tcPr>
            <w:tcW w:w="709" w:type="dxa"/>
            <w:vAlign w:val="bottom"/>
          </w:tcPr>
          <w:p w:rsidR="00F92819" w:rsidRDefault="00F92819">
            <w:pPr>
              <w:spacing w:before="40" w:after="40" w:line="220" w:lineRule="exact"/>
              <w:jc w:val="right"/>
              <w:rPr>
                <w:sz w:val="18"/>
                <w:szCs w:val="24"/>
              </w:rPr>
            </w:pPr>
            <w:r>
              <w:rPr>
                <w:sz w:val="18"/>
                <w:szCs w:val="24"/>
              </w:rPr>
              <w:t>23,4</w:t>
            </w:r>
          </w:p>
        </w:tc>
        <w:tc>
          <w:tcPr>
            <w:tcW w:w="709" w:type="dxa"/>
            <w:vAlign w:val="bottom"/>
          </w:tcPr>
          <w:p w:rsidR="00F92819" w:rsidRDefault="00F92819">
            <w:pPr>
              <w:spacing w:before="40" w:after="40" w:line="220" w:lineRule="exact"/>
              <w:jc w:val="right"/>
              <w:rPr>
                <w:sz w:val="18"/>
                <w:szCs w:val="24"/>
              </w:rPr>
            </w:pPr>
            <w:r>
              <w:rPr>
                <w:sz w:val="18"/>
                <w:szCs w:val="24"/>
              </w:rPr>
              <w:t>20,3</w:t>
            </w:r>
          </w:p>
        </w:tc>
        <w:tc>
          <w:tcPr>
            <w:tcW w:w="709" w:type="dxa"/>
            <w:vAlign w:val="bottom"/>
          </w:tcPr>
          <w:p w:rsidR="00F92819" w:rsidRDefault="00F92819">
            <w:pPr>
              <w:spacing w:before="40" w:after="40" w:line="220" w:lineRule="exact"/>
              <w:jc w:val="right"/>
              <w:rPr>
                <w:sz w:val="18"/>
                <w:szCs w:val="24"/>
              </w:rPr>
            </w:pPr>
            <w:r>
              <w:rPr>
                <w:sz w:val="18"/>
                <w:szCs w:val="24"/>
              </w:rPr>
              <w:t>8,6</w:t>
            </w:r>
          </w:p>
        </w:tc>
        <w:tc>
          <w:tcPr>
            <w:tcW w:w="708" w:type="dxa"/>
            <w:vAlign w:val="bottom"/>
          </w:tcPr>
          <w:p w:rsidR="00F92819" w:rsidRDefault="00F92819">
            <w:pPr>
              <w:spacing w:before="40" w:after="40" w:line="220" w:lineRule="exact"/>
              <w:jc w:val="right"/>
              <w:rPr>
                <w:sz w:val="18"/>
                <w:szCs w:val="24"/>
              </w:rPr>
            </w:pPr>
            <w:r>
              <w:rPr>
                <w:sz w:val="18"/>
                <w:szCs w:val="24"/>
              </w:rPr>
              <w:t>5,2</w:t>
            </w:r>
          </w:p>
        </w:tc>
        <w:tc>
          <w:tcPr>
            <w:tcW w:w="566" w:type="dxa"/>
            <w:vAlign w:val="bottom"/>
          </w:tcPr>
          <w:p w:rsidR="00F92819" w:rsidRDefault="00F92819">
            <w:pPr>
              <w:spacing w:before="40" w:after="40" w:line="220" w:lineRule="exact"/>
              <w:jc w:val="right"/>
              <w:rPr>
                <w:sz w:val="18"/>
                <w:szCs w:val="24"/>
              </w:rPr>
            </w:pPr>
            <w:r>
              <w:rPr>
                <w:sz w:val="18"/>
                <w:szCs w:val="24"/>
              </w:rPr>
              <w:t>2,9</w:t>
            </w:r>
          </w:p>
        </w:tc>
      </w:tr>
      <w:tr w:rsidR="00F92819">
        <w:tc>
          <w:tcPr>
            <w:tcW w:w="993" w:type="dxa"/>
            <w:vAlign w:val="bottom"/>
          </w:tcPr>
          <w:p w:rsidR="00F92819" w:rsidRDefault="00F92819">
            <w:pPr>
              <w:spacing w:before="40" w:after="40" w:line="220" w:lineRule="exact"/>
              <w:rPr>
                <w:szCs w:val="24"/>
              </w:rPr>
            </w:pPr>
            <w:r>
              <w:rPr>
                <w:sz w:val="18"/>
                <w:szCs w:val="24"/>
                <w:lang w:val="es-ES_tradnl"/>
              </w:rPr>
              <w:t>Mujeres</w:t>
            </w:r>
          </w:p>
        </w:tc>
        <w:tc>
          <w:tcPr>
            <w:tcW w:w="850" w:type="dxa"/>
            <w:vAlign w:val="bottom"/>
          </w:tcPr>
          <w:p w:rsidR="00F92819" w:rsidRDefault="00F92819">
            <w:pPr>
              <w:spacing w:before="40" w:after="40" w:line="220" w:lineRule="exact"/>
              <w:jc w:val="right"/>
              <w:rPr>
                <w:b/>
                <w:sz w:val="18"/>
                <w:szCs w:val="24"/>
              </w:rPr>
            </w:pPr>
            <w:r>
              <w:rPr>
                <w:b/>
                <w:sz w:val="18"/>
                <w:szCs w:val="24"/>
              </w:rPr>
              <w:t>19 792</w:t>
            </w:r>
          </w:p>
        </w:tc>
        <w:tc>
          <w:tcPr>
            <w:tcW w:w="709" w:type="dxa"/>
            <w:vAlign w:val="bottom"/>
          </w:tcPr>
          <w:p w:rsidR="00F92819" w:rsidRDefault="00F92819">
            <w:pPr>
              <w:spacing w:before="40" w:after="40" w:line="220" w:lineRule="exact"/>
              <w:jc w:val="right"/>
              <w:rPr>
                <w:sz w:val="18"/>
                <w:szCs w:val="24"/>
              </w:rPr>
            </w:pPr>
          </w:p>
        </w:tc>
        <w:tc>
          <w:tcPr>
            <w:tcW w:w="709" w:type="dxa"/>
            <w:vAlign w:val="bottom"/>
          </w:tcPr>
          <w:p w:rsidR="00F92819" w:rsidRDefault="00F92819">
            <w:pPr>
              <w:spacing w:before="40" w:after="40" w:line="220" w:lineRule="exact"/>
              <w:jc w:val="right"/>
              <w:rPr>
                <w:sz w:val="18"/>
                <w:szCs w:val="24"/>
              </w:rPr>
            </w:pPr>
          </w:p>
        </w:tc>
        <w:tc>
          <w:tcPr>
            <w:tcW w:w="708" w:type="dxa"/>
            <w:vAlign w:val="bottom"/>
          </w:tcPr>
          <w:p w:rsidR="00F92819" w:rsidRDefault="00F92819">
            <w:pPr>
              <w:spacing w:before="40" w:after="40" w:line="220" w:lineRule="exact"/>
              <w:jc w:val="right"/>
              <w:rPr>
                <w:sz w:val="18"/>
                <w:szCs w:val="24"/>
              </w:rPr>
            </w:pPr>
          </w:p>
        </w:tc>
        <w:tc>
          <w:tcPr>
            <w:tcW w:w="709" w:type="dxa"/>
            <w:vAlign w:val="bottom"/>
          </w:tcPr>
          <w:p w:rsidR="00F92819" w:rsidRDefault="00F92819">
            <w:pPr>
              <w:spacing w:before="40" w:after="40" w:line="220" w:lineRule="exact"/>
              <w:jc w:val="right"/>
              <w:rPr>
                <w:sz w:val="18"/>
                <w:szCs w:val="24"/>
              </w:rPr>
            </w:pPr>
          </w:p>
        </w:tc>
        <w:tc>
          <w:tcPr>
            <w:tcW w:w="709" w:type="dxa"/>
            <w:vAlign w:val="bottom"/>
          </w:tcPr>
          <w:p w:rsidR="00F92819" w:rsidRDefault="00F92819">
            <w:pPr>
              <w:spacing w:before="40" w:after="40" w:line="220" w:lineRule="exact"/>
              <w:jc w:val="right"/>
              <w:rPr>
                <w:sz w:val="18"/>
                <w:szCs w:val="24"/>
              </w:rPr>
            </w:pPr>
          </w:p>
        </w:tc>
        <w:tc>
          <w:tcPr>
            <w:tcW w:w="709" w:type="dxa"/>
            <w:vAlign w:val="bottom"/>
          </w:tcPr>
          <w:p w:rsidR="00F92819" w:rsidRDefault="00F92819">
            <w:pPr>
              <w:spacing w:before="40" w:after="40" w:line="220" w:lineRule="exact"/>
              <w:jc w:val="right"/>
              <w:rPr>
                <w:sz w:val="18"/>
                <w:szCs w:val="24"/>
              </w:rPr>
            </w:pPr>
          </w:p>
        </w:tc>
        <w:tc>
          <w:tcPr>
            <w:tcW w:w="708" w:type="dxa"/>
            <w:vAlign w:val="bottom"/>
          </w:tcPr>
          <w:p w:rsidR="00F92819" w:rsidRDefault="00F92819">
            <w:pPr>
              <w:spacing w:before="40" w:after="40" w:line="220" w:lineRule="exact"/>
              <w:jc w:val="right"/>
              <w:rPr>
                <w:sz w:val="18"/>
                <w:szCs w:val="24"/>
              </w:rPr>
            </w:pPr>
          </w:p>
        </w:tc>
        <w:tc>
          <w:tcPr>
            <w:tcW w:w="566" w:type="dxa"/>
            <w:vAlign w:val="bottom"/>
          </w:tcPr>
          <w:p w:rsidR="00F92819" w:rsidRDefault="00F92819">
            <w:pPr>
              <w:spacing w:before="40" w:after="40" w:line="220" w:lineRule="exact"/>
              <w:jc w:val="right"/>
              <w:rPr>
                <w:sz w:val="18"/>
                <w:szCs w:val="24"/>
              </w:rPr>
            </w:pPr>
          </w:p>
        </w:tc>
      </w:tr>
      <w:tr w:rsidR="00F92819">
        <w:tc>
          <w:tcPr>
            <w:tcW w:w="993" w:type="dxa"/>
            <w:tcBorders>
              <w:bottom w:val="single" w:sz="12" w:space="0" w:color="auto"/>
            </w:tcBorders>
            <w:vAlign w:val="bottom"/>
          </w:tcPr>
          <w:p w:rsidR="00F92819" w:rsidRDefault="00661928">
            <w:pPr>
              <w:spacing w:before="40" w:after="40" w:line="220" w:lineRule="exact"/>
              <w:rPr>
                <w:szCs w:val="24"/>
              </w:rPr>
            </w:pPr>
            <w:r>
              <w:rPr>
                <w:sz w:val="18"/>
                <w:szCs w:val="24"/>
                <w:lang w:val="es-ES_tradnl"/>
              </w:rPr>
              <w:t>Porcentaje</w:t>
            </w:r>
          </w:p>
        </w:tc>
        <w:tc>
          <w:tcPr>
            <w:tcW w:w="850" w:type="dxa"/>
            <w:tcBorders>
              <w:bottom w:val="single" w:sz="12"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70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0,18</w:t>
            </w:r>
          </w:p>
        </w:tc>
        <w:tc>
          <w:tcPr>
            <w:tcW w:w="70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8,27</w:t>
            </w:r>
          </w:p>
        </w:tc>
        <w:tc>
          <w:tcPr>
            <w:tcW w:w="70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20,6</w:t>
            </w:r>
          </w:p>
        </w:tc>
        <w:tc>
          <w:tcPr>
            <w:tcW w:w="70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21,1</w:t>
            </w:r>
          </w:p>
        </w:tc>
        <w:tc>
          <w:tcPr>
            <w:tcW w:w="70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27,7</w:t>
            </w:r>
          </w:p>
        </w:tc>
        <w:tc>
          <w:tcPr>
            <w:tcW w:w="70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13,9</w:t>
            </w:r>
          </w:p>
        </w:tc>
        <w:tc>
          <w:tcPr>
            <w:tcW w:w="70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6</w:t>
            </w:r>
          </w:p>
        </w:tc>
        <w:tc>
          <w:tcPr>
            <w:tcW w:w="566"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Servicio de Inspección del Trabajo, Ministerio de Industria, Comercio y Trabajo, 2008.</w:t>
      </w:r>
    </w:p>
    <w:p w:rsidR="00F92819" w:rsidRDefault="00F92819">
      <w:pPr>
        <w:pStyle w:val="H23G"/>
        <w:rPr>
          <w:szCs w:val="24"/>
        </w:rPr>
      </w:pPr>
      <w:r>
        <w:rPr>
          <w:szCs w:val="24"/>
        </w:rPr>
        <w:tab/>
      </w:r>
      <w:r>
        <w:rPr>
          <w:szCs w:val="24"/>
        </w:rPr>
        <w:tab/>
      </w:r>
      <w:r>
        <w:rPr>
          <w:szCs w:val="24"/>
          <w:lang w:val="es-ES_tradnl"/>
        </w:rPr>
        <w:t>Promoción de la igualdad de oportunidades</w:t>
      </w:r>
    </w:p>
    <w:p w:rsidR="00F92819" w:rsidRDefault="00F92819">
      <w:pPr>
        <w:pStyle w:val="SingleTxtG"/>
        <w:rPr>
          <w:szCs w:val="24"/>
        </w:rPr>
      </w:pPr>
      <w:r>
        <w:rPr>
          <w:szCs w:val="24"/>
        </w:rPr>
        <w:t>288.</w:t>
      </w:r>
      <w:r>
        <w:rPr>
          <w:szCs w:val="24"/>
        </w:rPr>
        <w:tab/>
      </w:r>
      <w:r>
        <w:rPr>
          <w:szCs w:val="24"/>
          <w:lang w:val="es-ES_tradnl"/>
        </w:rPr>
        <w:t xml:space="preserve">Con arreglo a una enmienda de 3 de enero de </w:t>
      </w:r>
      <w:smartTag w:uri="urn:schemas-microsoft-com:office:smarttags" w:element="metricconverter">
        <w:smartTagPr>
          <w:attr w:name="ProductID" w:val="2006 a"/>
        </w:smartTagPr>
        <w:r>
          <w:rPr>
            <w:szCs w:val="24"/>
            <w:lang w:val="es-ES_tradnl"/>
          </w:rPr>
          <w:t>2006 a</w:t>
        </w:r>
      </w:smartTag>
      <w:r>
        <w:rPr>
          <w:szCs w:val="24"/>
          <w:lang w:val="es-ES_tradnl"/>
        </w:rPr>
        <w:t xml:space="preserve"> la </w:t>
      </w:r>
      <w:r>
        <w:rPr>
          <w:i/>
          <w:szCs w:val="24"/>
          <w:lang w:val="es-ES_tradnl"/>
        </w:rPr>
        <w:t xml:space="preserve">Ley de igualdad de oportunidades de empleo </w:t>
      </w:r>
      <w:r>
        <w:rPr>
          <w:szCs w:val="24"/>
          <w:lang w:val="es-ES_tradnl"/>
        </w:rPr>
        <w:t>se creó la Comisión de Igualdad de Oportunidades de Empleo dentro del Ministerio de Industria, Comercio y Trabajo.</w:t>
      </w:r>
    </w:p>
    <w:p w:rsidR="00F92819" w:rsidRDefault="00F92819">
      <w:pPr>
        <w:pStyle w:val="SingleTxtG"/>
        <w:rPr>
          <w:szCs w:val="24"/>
        </w:rPr>
      </w:pPr>
      <w:r>
        <w:rPr>
          <w:szCs w:val="24"/>
        </w:rPr>
        <w:t>289.</w:t>
      </w:r>
      <w:r>
        <w:rPr>
          <w:szCs w:val="24"/>
        </w:rPr>
        <w:tab/>
      </w:r>
      <w:r>
        <w:rPr>
          <w:szCs w:val="24"/>
          <w:lang w:val="es-ES_tradnl"/>
        </w:rPr>
        <w:t>La Comisión se encarga de la promoción, aplicación y cumplimiento civil de las leyes y disposiciones reglamentarias de toda la legislación relacionada con la igualdad de oportunidades en el empleo, a excepción de la relativa a las personas con discapacidad, que es responsabilidad de la Comisión de Igualdad de Derechos de las Personas con Discapacidad.</w:t>
      </w:r>
      <w:r>
        <w:rPr>
          <w:szCs w:val="24"/>
        </w:rPr>
        <w:t xml:space="preserve"> </w:t>
      </w:r>
      <w:r>
        <w:rPr>
          <w:szCs w:val="24"/>
          <w:lang w:val="es-ES_tradnl"/>
        </w:rPr>
        <w:t xml:space="preserve">Como tal, el mandato de la Comisión de Igualdad de Oportunidades de Empleo incluye la </w:t>
      </w:r>
      <w:r>
        <w:rPr>
          <w:i/>
          <w:szCs w:val="24"/>
          <w:lang w:val="es-ES_tradnl"/>
        </w:rPr>
        <w:t>Ley de igualdad de oportunidades de empleo</w:t>
      </w:r>
      <w:r>
        <w:rPr>
          <w:szCs w:val="24"/>
          <w:lang w:val="es-ES_tradnl"/>
        </w:rPr>
        <w:t xml:space="preserve">, la </w:t>
      </w:r>
      <w:r>
        <w:rPr>
          <w:i/>
          <w:szCs w:val="24"/>
          <w:lang w:val="es-ES_tradnl"/>
        </w:rPr>
        <w:t>Ley de igualdad de remuneración para los trabajadores y trabajadoras</w:t>
      </w:r>
      <w:r>
        <w:rPr>
          <w:szCs w:val="24"/>
          <w:lang w:val="es-ES_tradnl"/>
        </w:rPr>
        <w:t xml:space="preserve">, la </w:t>
      </w:r>
      <w:r>
        <w:rPr>
          <w:i/>
          <w:szCs w:val="24"/>
          <w:lang w:val="es-ES_tradnl"/>
        </w:rPr>
        <w:t>Ley del empleo femenino</w:t>
      </w:r>
      <w:r>
        <w:rPr>
          <w:szCs w:val="24"/>
          <w:lang w:val="es-ES_tradnl"/>
        </w:rPr>
        <w:t xml:space="preserve">, la </w:t>
      </w:r>
      <w:r>
        <w:rPr>
          <w:i/>
          <w:szCs w:val="24"/>
          <w:lang w:val="es-ES_tradnl"/>
        </w:rPr>
        <w:t>Ley de prevención del acoso sexual</w:t>
      </w:r>
      <w:r>
        <w:rPr>
          <w:szCs w:val="24"/>
          <w:lang w:val="es-ES_tradnl"/>
        </w:rPr>
        <w:t xml:space="preserve"> (en relación con el empleo), la </w:t>
      </w:r>
      <w:r>
        <w:rPr>
          <w:i/>
          <w:szCs w:val="24"/>
          <w:lang w:val="es-ES_tradnl"/>
        </w:rPr>
        <w:t>Ley de horas de trabajo y descanso</w:t>
      </w:r>
      <w:r>
        <w:rPr>
          <w:szCs w:val="24"/>
          <w:lang w:val="es-ES_tradnl"/>
        </w:rPr>
        <w:t xml:space="preserve"> de 5711/1951,</w:t>
      </w:r>
      <w:r>
        <w:rPr>
          <w:szCs w:val="24"/>
        </w:rPr>
        <w:t xml:space="preserve"> </w:t>
      </w:r>
      <w:r>
        <w:rPr>
          <w:szCs w:val="24"/>
          <w:lang w:val="es-ES_tradnl"/>
        </w:rPr>
        <w:t xml:space="preserve">la </w:t>
      </w:r>
      <w:r>
        <w:rPr>
          <w:i/>
          <w:szCs w:val="24"/>
          <w:lang w:val="es-ES_tradnl"/>
        </w:rPr>
        <w:t>Ley de los soldados licenciados (rehabilitación en el puesto)</w:t>
      </w:r>
      <w:r>
        <w:rPr>
          <w:szCs w:val="24"/>
          <w:lang w:val="es-ES_tradnl"/>
        </w:rPr>
        <w:t xml:space="preserve"> de 5709/1949, la </w:t>
      </w:r>
      <w:r>
        <w:rPr>
          <w:i/>
          <w:szCs w:val="24"/>
          <w:lang w:val="es-ES_tradnl"/>
        </w:rPr>
        <w:t>Ley de igualdad de derechos de la mujer</w:t>
      </w:r>
      <w:r>
        <w:rPr>
          <w:szCs w:val="24"/>
          <w:lang w:val="es-ES_tradnl"/>
        </w:rPr>
        <w:t xml:space="preserve">, la </w:t>
      </w:r>
      <w:r>
        <w:rPr>
          <w:i/>
          <w:szCs w:val="24"/>
          <w:lang w:val="es-ES_tradnl"/>
        </w:rPr>
        <w:t>Ley del servicio de empleo</w:t>
      </w:r>
      <w:r>
        <w:rPr>
          <w:szCs w:val="24"/>
          <w:lang w:val="es-ES_tradnl"/>
        </w:rPr>
        <w:t xml:space="preserve">, la </w:t>
      </w:r>
      <w:r>
        <w:rPr>
          <w:i/>
          <w:szCs w:val="24"/>
          <w:lang w:val="es-ES_tradnl"/>
        </w:rPr>
        <w:t>Ley de protección del empleado (Exposición a delitos de conducta poco ética y actos administrativos indebidos)</w:t>
      </w:r>
      <w:r>
        <w:rPr>
          <w:szCs w:val="24"/>
          <w:lang w:val="es-ES_tradnl"/>
        </w:rPr>
        <w:t xml:space="preserve"> de 5757/1997, así como la legislación sobre la representación adecuada de las mujeres, las personas con discapacidad, los árabes israelíes y las personas de origen etíope en el sector público.</w:t>
      </w:r>
    </w:p>
    <w:p w:rsidR="00F92819" w:rsidRDefault="00F92819">
      <w:pPr>
        <w:pStyle w:val="SingleTxtG"/>
        <w:rPr>
          <w:szCs w:val="24"/>
        </w:rPr>
      </w:pPr>
      <w:r>
        <w:rPr>
          <w:szCs w:val="24"/>
        </w:rPr>
        <w:t>290.</w:t>
      </w:r>
      <w:r>
        <w:rPr>
          <w:szCs w:val="24"/>
        </w:rPr>
        <w:tab/>
      </w:r>
      <w:r>
        <w:rPr>
          <w:szCs w:val="24"/>
          <w:lang w:val="es-ES_tradnl"/>
        </w:rPr>
        <w:t>La Comisión también asume, entre otras cosas, una amplia variedad de funciones, entre las que se incluyen fomentar la conciencia pública mediante la educación, la capacitación y las relaciones públicas; promover programas y actividades; colaborar con otras entidades, empleados y empleadores incluidos; realizar investigaciones y recoger información; intervenir, con la aprobación de los tribunales, en acciones judiciales; tramitar denuncias de infracción de la legislación constituyente, también mediante la presentación de demanda civil ante los tribunales; y solicitar al tribunal órdenes generales que obliguen a los empleadores a tomar medidas generales relativas a la totalidad o parte de la fuerza de trabajo o los solicitantes de empleo.</w:t>
      </w:r>
    </w:p>
    <w:p w:rsidR="00F92819" w:rsidRDefault="00F92819">
      <w:pPr>
        <w:pStyle w:val="SingleTxtG"/>
        <w:rPr>
          <w:szCs w:val="24"/>
        </w:rPr>
      </w:pPr>
      <w:r>
        <w:rPr>
          <w:szCs w:val="24"/>
        </w:rPr>
        <w:t>291.</w:t>
      </w:r>
      <w:r>
        <w:rPr>
          <w:szCs w:val="24"/>
        </w:rPr>
        <w:tab/>
      </w:r>
      <w:r>
        <w:rPr>
          <w:szCs w:val="24"/>
          <w:lang w:val="es-ES_tradnl"/>
        </w:rPr>
        <w:t xml:space="preserve">La Comisión de Igualdad de Oportunidades de Empleo comenzó a funcionar a principios de </w:t>
      </w:r>
      <w:smartTag w:uri="urn:schemas-microsoft-com:office:smarttags" w:element="metricconverter">
        <w:smartTagPr>
          <w:attr w:name="ProductID" w:val="2008, a"/>
        </w:smartTagPr>
        <w:r>
          <w:rPr>
            <w:szCs w:val="24"/>
            <w:lang w:val="es-ES_tradnl"/>
          </w:rPr>
          <w:t>2008, a</w:t>
        </w:r>
      </w:smartTag>
      <w:r>
        <w:rPr>
          <w:szCs w:val="24"/>
          <w:lang w:val="es-ES_tradnl"/>
        </w:rPr>
        <w:t xml:space="preserve"> raíz de la decisión del Gobierno en noviembre de 2007 de nombrar a </w:t>
      </w:r>
      <w:smartTag w:uri="urn:schemas-microsoft-com:office:smarttags" w:element="PersonName">
        <w:smartTagPr>
          <w:attr w:name="ProductID" w:val="la abogada Tziona Koenig-Yair"/>
        </w:smartTagPr>
        <w:r>
          <w:rPr>
            <w:szCs w:val="24"/>
            <w:lang w:val="es-ES_tradnl"/>
          </w:rPr>
          <w:t>la abogada</w:t>
        </w:r>
        <w:r>
          <w:rPr>
            <w:szCs w:val="24"/>
          </w:rPr>
          <w:t xml:space="preserve"> </w:t>
        </w:r>
        <w:r>
          <w:rPr>
            <w:szCs w:val="24"/>
            <w:lang w:val="es-ES_tradnl"/>
          </w:rPr>
          <w:t>Tziona Koenig-Yair</w:t>
        </w:r>
      </w:smartTag>
      <w:r>
        <w:rPr>
          <w:szCs w:val="24"/>
          <w:lang w:val="es-ES_tradnl"/>
        </w:rPr>
        <w:t xml:space="preserve"> Primera Comisionada Nacional.</w:t>
      </w:r>
      <w:r>
        <w:rPr>
          <w:szCs w:val="24"/>
        </w:rPr>
        <w:t xml:space="preserve"> </w:t>
      </w:r>
      <w:r>
        <w:rPr>
          <w:szCs w:val="24"/>
          <w:lang w:val="es-ES_tradnl"/>
        </w:rPr>
        <w:t>Además, hay en marcha un proceso de nombramiento de tres comisionados regionales.</w:t>
      </w:r>
    </w:p>
    <w:p w:rsidR="00F92819" w:rsidRDefault="00F92819">
      <w:pPr>
        <w:pStyle w:val="SingleTxtG"/>
        <w:rPr>
          <w:szCs w:val="24"/>
        </w:rPr>
      </w:pPr>
      <w:r>
        <w:rPr>
          <w:szCs w:val="24"/>
        </w:rPr>
        <w:t>292.</w:t>
      </w:r>
      <w:r>
        <w:rPr>
          <w:szCs w:val="24"/>
        </w:rPr>
        <w:tab/>
      </w:r>
      <w:r>
        <w:rPr>
          <w:szCs w:val="24"/>
          <w:lang w:val="es-ES_tradnl"/>
        </w:rPr>
        <w:t xml:space="preserve">Hace poco se ha nombrado el Comité Consultivo de </w:t>
      </w:r>
      <w:smartTag w:uri="urn:schemas-microsoft-com:office:smarttags" w:element="PersonName">
        <w:smartTagPr>
          <w:attr w:name="ProductID" w:val="la Comisi￳n. Con"/>
        </w:smartTagPr>
        <w:r>
          <w:rPr>
            <w:szCs w:val="24"/>
            <w:lang w:val="es-ES_tradnl"/>
          </w:rPr>
          <w:t>la Comisión.</w:t>
        </w:r>
        <w:r>
          <w:rPr>
            <w:szCs w:val="24"/>
          </w:rPr>
          <w:t xml:space="preserve"> </w:t>
        </w:r>
        <w:r>
          <w:rPr>
            <w:szCs w:val="24"/>
            <w:lang w:val="es-ES_tradnl"/>
          </w:rPr>
          <w:t>Con</w:t>
        </w:r>
      </w:smartTag>
      <w:r>
        <w:rPr>
          <w:szCs w:val="24"/>
          <w:lang w:val="es-ES_tradnl"/>
        </w:rPr>
        <w:t xml:space="preserve"> arreglo a la enmienda a la ley, el Comité de 21 miembros comprende representantes de la Dirección para el Adelanto de la Mujer, la Comisión para la Igualdad de Derechos de las Personas con Discapacidad, ministerios gubernamentales, ONG, sindicatos y asociaciones patronales.</w:t>
      </w:r>
      <w:r>
        <w:rPr>
          <w:szCs w:val="24"/>
        </w:rPr>
        <w:t xml:space="preserve"> </w:t>
      </w:r>
      <w:r>
        <w:rPr>
          <w:szCs w:val="24"/>
          <w:lang w:val="es-ES_tradnl"/>
        </w:rPr>
        <w:t>En la medida de lo posible, se garantiza la representación adecuada de las mujeres, los árabes israelíes y las personas con discapacidad.</w:t>
      </w:r>
    </w:p>
    <w:p w:rsidR="00F92819" w:rsidRDefault="00F92819">
      <w:pPr>
        <w:pStyle w:val="SingleTxtG"/>
        <w:rPr>
          <w:szCs w:val="24"/>
        </w:rPr>
      </w:pPr>
      <w:r>
        <w:rPr>
          <w:szCs w:val="24"/>
        </w:rPr>
        <w:t>293.</w:t>
      </w:r>
      <w:r>
        <w:rPr>
          <w:szCs w:val="24"/>
        </w:rPr>
        <w:tab/>
      </w:r>
      <w:r>
        <w:rPr>
          <w:szCs w:val="24"/>
          <w:lang w:val="es-ES_tradnl"/>
        </w:rPr>
        <w:t xml:space="preserve">Desde su nombramiento, </w:t>
      </w:r>
      <w:smartTag w:uri="urn:schemas-microsoft-com:office:smarttags" w:element="PersonName">
        <w:smartTagPr>
          <w:attr w:name="ProductID" w:val="la Comisionada Nacional"/>
        </w:smartTagPr>
        <w:r>
          <w:rPr>
            <w:szCs w:val="24"/>
            <w:lang w:val="es-ES_tradnl"/>
          </w:rPr>
          <w:t>la Comisionada Nacional</w:t>
        </w:r>
      </w:smartTag>
      <w:r>
        <w:rPr>
          <w:szCs w:val="24"/>
          <w:lang w:val="es-ES_tradnl"/>
        </w:rPr>
        <w:t xml:space="preserve"> ha ocupado otros tres cargos y ha publicado un folleto acerca de los derechos de empleo, que se ha distribuido entre 300.000 empleadores y empleados, y que ahora se está traduciendo al árabe.</w:t>
      </w:r>
    </w:p>
    <w:p w:rsidR="00F92819" w:rsidRDefault="00F92819">
      <w:pPr>
        <w:pStyle w:val="SingleTxtG"/>
        <w:rPr>
          <w:szCs w:val="24"/>
        </w:rPr>
      </w:pPr>
      <w:r>
        <w:rPr>
          <w:szCs w:val="24"/>
        </w:rPr>
        <w:t>294.</w:t>
      </w:r>
      <w:r>
        <w:rPr>
          <w:szCs w:val="24"/>
        </w:rPr>
        <w:tab/>
      </w:r>
      <w:r>
        <w:rPr>
          <w:szCs w:val="24"/>
          <w:lang w:val="es-ES_tradnl"/>
        </w:rPr>
        <w:t>Desde septiembre de 2008, entre los servicios que ha prestado la Comisión se incluyen la tramitación de 150 solicitudes específicas, tres juicios que se están preparando actualmente y la adopción de numerosas medidas preliminares en relación con la discriminación ejercida por los empleadores.</w:t>
      </w:r>
    </w:p>
    <w:p w:rsidR="00F92819" w:rsidRDefault="00F92819">
      <w:pPr>
        <w:pStyle w:val="SingleTxtG"/>
        <w:rPr>
          <w:szCs w:val="24"/>
        </w:rPr>
      </w:pPr>
      <w:r>
        <w:rPr>
          <w:szCs w:val="24"/>
        </w:rPr>
        <w:t>295.</w:t>
      </w:r>
      <w:r>
        <w:rPr>
          <w:szCs w:val="24"/>
        </w:rPr>
        <w:tab/>
      </w:r>
      <w:r>
        <w:rPr>
          <w:szCs w:val="24"/>
          <w:lang w:val="es-ES_tradnl"/>
        </w:rPr>
        <w:t>Al final de cada año, el Comisionado tiene la obligación de presentar un informe anual al Ministro de Industria, Comercio y Trabajo, que remitirá el informe con sus observaciones a la Dirección del Knesset para el Adelanto de la Mujer y a la Comisión del Knesset para el Trabajo, el Bienestar y la Salud.</w:t>
      </w:r>
    </w:p>
    <w:p w:rsidR="00F92819" w:rsidRDefault="00F92819">
      <w:pPr>
        <w:pStyle w:val="H23G"/>
        <w:rPr>
          <w:szCs w:val="24"/>
        </w:rPr>
      </w:pPr>
      <w:r>
        <w:rPr>
          <w:szCs w:val="24"/>
        </w:rPr>
        <w:tab/>
      </w:r>
      <w:r>
        <w:rPr>
          <w:szCs w:val="24"/>
        </w:rPr>
        <w:tab/>
      </w:r>
      <w:r>
        <w:rPr>
          <w:szCs w:val="24"/>
          <w:lang w:val="es-ES_tradnl"/>
        </w:rPr>
        <w:t>Descanso y esparcimiento</w:t>
      </w:r>
    </w:p>
    <w:p w:rsidR="00F92819" w:rsidRDefault="00F92819">
      <w:pPr>
        <w:pStyle w:val="SingleTxtG"/>
        <w:rPr>
          <w:szCs w:val="24"/>
        </w:rPr>
      </w:pPr>
      <w:r>
        <w:rPr>
          <w:szCs w:val="24"/>
        </w:rPr>
        <w:t>296.</w:t>
      </w:r>
      <w:r>
        <w:rPr>
          <w:szCs w:val="24"/>
        </w:rPr>
        <w:tab/>
      </w:r>
      <w:r>
        <w:rPr>
          <w:szCs w:val="24"/>
          <w:lang w:val="es-ES_tradnl"/>
        </w:rPr>
        <w:t xml:space="preserve">Los siguientes datos se refieren al cumplimiento por la Dirección de Aplicación de las Leyes y Reglamentación del Ministerio de Industria, Comercio y Trabajo de la </w:t>
      </w:r>
      <w:r>
        <w:rPr>
          <w:i/>
          <w:szCs w:val="24"/>
          <w:lang w:val="es-ES_tradnl"/>
        </w:rPr>
        <w:t>Ley de horas de trabajo y descanso</w:t>
      </w:r>
      <w:r>
        <w:rPr>
          <w:szCs w:val="24"/>
          <w:lang w:val="es-ES_tradnl"/>
        </w:rPr>
        <w:t xml:space="preserve"> desde el último informe de Israel:</w:t>
      </w:r>
      <w:r>
        <w:rPr>
          <w:szCs w:val="24"/>
        </w:rPr>
        <w:t xml:space="preserve"> </w:t>
      </w:r>
      <w:r>
        <w:rPr>
          <w:szCs w:val="24"/>
          <w:lang w:val="es-ES_tradnl"/>
        </w:rPr>
        <w:t>en 2005, se iniciaron 523 investigaciones y se impusieron 99 multas administrativas.</w:t>
      </w:r>
      <w:r>
        <w:rPr>
          <w:szCs w:val="24"/>
        </w:rPr>
        <w:t xml:space="preserve"> </w:t>
      </w:r>
      <w:r>
        <w:rPr>
          <w:szCs w:val="24"/>
          <w:lang w:val="es-ES_tradnl"/>
        </w:rPr>
        <w:t>En 2006, 641 investigaciones y 182 multas administrativas.</w:t>
      </w:r>
      <w:r>
        <w:rPr>
          <w:szCs w:val="24"/>
        </w:rPr>
        <w:t xml:space="preserve"> </w:t>
      </w:r>
      <w:r>
        <w:rPr>
          <w:szCs w:val="24"/>
          <w:lang w:val="es-ES_tradnl"/>
        </w:rPr>
        <w:t>En 2007, 685 y 309 respectivamente.</w:t>
      </w:r>
      <w:r>
        <w:rPr>
          <w:szCs w:val="24"/>
        </w:rPr>
        <w:t xml:space="preserve"> </w:t>
      </w:r>
      <w:r>
        <w:rPr>
          <w:szCs w:val="24"/>
          <w:lang w:val="es-ES_tradnl"/>
        </w:rPr>
        <w:t>En el período 2006</w:t>
      </w:r>
      <w:r w:rsidR="008C04D7">
        <w:rPr>
          <w:szCs w:val="24"/>
          <w:lang w:val="es-ES_tradnl"/>
        </w:rPr>
        <w:t>-</w:t>
      </w:r>
      <w:r>
        <w:rPr>
          <w:szCs w:val="24"/>
          <w:lang w:val="es-ES_tradnl"/>
        </w:rPr>
        <w:t>2008 se presentaron 170 acusaciones penales.</w:t>
      </w:r>
    </w:p>
    <w:p w:rsidR="00F92819" w:rsidRDefault="00F92819">
      <w:pPr>
        <w:pStyle w:val="H1G"/>
        <w:ind w:firstLine="0"/>
        <w:rPr>
          <w:szCs w:val="24"/>
        </w:rPr>
      </w:pPr>
      <w:r>
        <w:rPr>
          <w:szCs w:val="24"/>
          <w:lang w:val="es-ES_tradnl"/>
        </w:rPr>
        <w:t>Artículo 8</w:t>
      </w:r>
      <w:r>
        <w:rPr>
          <w:szCs w:val="24"/>
          <w:lang w:val="es-ES_tradnl"/>
        </w:rPr>
        <w:br/>
        <w:t>Derechos laborales colectivos</w:t>
      </w:r>
    </w:p>
    <w:p w:rsidR="00F92819" w:rsidRDefault="00F92819">
      <w:pPr>
        <w:pStyle w:val="H23G"/>
        <w:rPr>
          <w:szCs w:val="24"/>
        </w:rPr>
      </w:pPr>
      <w:r>
        <w:rPr>
          <w:szCs w:val="24"/>
        </w:rPr>
        <w:tab/>
      </w:r>
      <w:r>
        <w:rPr>
          <w:szCs w:val="24"/>
        </w:rPr>
        <w:tab/>
      </w:r>
      <w:r>
        <w:rPr>
          <w:szCs w:val="24"/>
          <w:lang w:val="es-ES_tradnl"/>
        </w:rPr>
        <w:t>Convenciones internacionales pertinentes obligatorias para Israel</w:t>
      </w:r>
    </w:p>
    <w:p w:rsidR="00F92819" w:rsidRDefault="00F92819">
      <w:pPr>
        <w:pStyle w:val="SingleTxtG"/>
        <w:rPr>
          <w:szCs w:val="24"/>
        </w:rPr>
      </w:pPr>
      <w:r>
        <w:rPr>
          <w:szCs w:val="24"/>
        </w:rPr>
        <w:t>297.</w:t>
      </w:r>
      <w:r>
        <w:rPr>
          <w:szCs w:val="24"/>
        </w:rPr>
        <w:tab/>
      </w:r>
      <w:r>
        <w:rPr>
          <w:szCs w:val="24"/>
          <w:lang w:val="es-ES_tradnl"/>
        </w:rPr>
        <w:t>Desde la presentación del informe periódico anterior de Israel, se han presentado los siguientes informes:</w:t>
      </w:r>
      <w:r>
        <w:rPr>
          <w:szCs w:val="24"/>
        </w:rPr>
        <w:t xml:space="preserve"> </w:t>
      </w:r>
      <w:r>
        <w:rPr>
          <w:szCs w:val="24"/>
          <w:lang w:val="es-ES_tradnl"/>
        </w:rPr>
        <w:t xml:space="preserve">tercer informe periódico de Israel sobre la aplicación del Pacto Internacional de Derechos Civiles y Políticos, presentado en julio de 2008; cuarto informe periódico de Israel sobre la aplicación de </w:t>
      </w:r>
      <w:smartTag w:uri="urn:schemas-microsoft-com:office:smarttags" w:element="PersonName">
        <w:smartTagPr>
          <w:attr w:name="ProductID" w:val="la Convenci￳n Internacional"/>
        </w:smartTagPr>
        <w:r>
          <w:rPr>
            <w:szCs w:val="24"/>
            <w:lang w:val="es-ES_tradnl"/>
          </w:rPr>
          <w:t>la Convención Internacional</w:t>
        </w:r>
      </w:smartTag>
      <w:r>
        <w:rPr>
          <w:szCs w:val="24"/>
          <w:lang w:val="es-ES_tradnl"/>
        </w:rPr>
        <w:t xml:space="preserve"> sobre la eliminación de todas las Formas de Discriminación contra la Mujer, presentado en junio de 2005; e informes periódicos 10º a</w:t>
      </w:r>
      <w:r>
        <w:rPr>
          <w:szCs w:val="24"/>
          <w:vertAlign w:val="superscript"/>
          <w:lang w:val="es-ES_tradnl"/>
        </w:rPr>
        <w:t xml:space="preserve"> </w:t>
      </w:r>
      <w:r>
        <w:rPr>
          <w:szCs w:val="24"/>
          <w:lang w:val="es-ES_tradnl"/>
        </w:rPr>
        <w:t xml:space="preserve">13º combinados sobre </w:t>
      </w:r>
      <w:smartTag w:uri="urn:schemas-microsoft-com:office:smarttags" w:element="PersonName">
        <w:smartTagPr>
          <w:attr w:name="ProductID" w:val="la Convenci￳n Internacional"/>
        </w:smartTagPr>
        <w:r>
          <w:rPr>
            <w:szCs w:val="24"/>
            <w:lang w:val="es-ES_tradnl"/>
          </w:rPr>
          <w:t>la Convención Internacional</w:t>
        </w:r>
      </w:smartTag>
      <w:r>
        <w:rPr>
          <w:szCs w:val="24"/>
          <w:lang w:val="es-ES_tradnl"/>
        </w:rPr>
        <w:t xml:space="preserve"> sobre la Eliminación de todas las Formas de Discriminación Racial, presentados en septiembre de 2005.</w:t>
      </w:r>
    </w:p>
    <w:p w:rsidR="00F92819" w:rsidRDefault="00F92819">
      <w:pPr>
        <w:pStyle w:val="H23G"/>
        <w:rPr>
          <w:szCs w:val="24"/>
        </w:rPr>
      </w:pPr>
      <w:r>
        <w:rPr>
          <w:szCs w:val="24"/>
        </w:rPr>
        <w:tab/>
      </w:r>
      <w:r>
        <w:rPr>
          <w:szCs w:val="24"/>
        </w:rPr>
        <w:tab/>
      </w:r>
      <w:r>
        <w:rPr>
          <w:szCs w:val="24"/>
          <w:lang w:val="es-ES_tradnl"/>
        </w:rPr>
        <w:t>Formación de sindicatos y sindicación</w:t>
      </w:r>
    </w:p>
    <w:p w:rsidR="00F92819" w:rsidRDefault="00F92819">
      <w:pPr>
        <w:pStyle w:val="SingleTxtG"/>
        <w:rPr>
          <w:szCs w:val="24"/>
        </w:rPr>
      </w:pPr>
      <w:r>
        <w:rPr>
          <w:szCs w:val="24"/>
        </w:rPr>
        <w:t>298.</w:t>
      </w:r>
      <w:r>
        <w:rPr>
          <w:szCs w:val="24"/>
        </w:rPr>
        <w:tab/>
      </w:r>
      <w:r>
        <w:rPr>
          <w:szCs w:val="24"/>
          <w:lang w:val="es-ES_tradnl"/>
        </w:rPr>
        <w:t xml:space="preserve">Una decisión reciente </w:t>
      </w:r>
      <w:smartTag w:uri="urn:schemas-microsoft-com:office:smarttags" w:element="State">
        <w:r>
          <w:rPr>
            <w:szCs w:val="24"/>
            <w:lang w:val="es-ES_tradnl"/>
          </w:rPr>
          <w:t>del</w:t>
        </w:r>
      </w:smartTag>
      <w:r>
        <w:rPr>
          <w:szCs w:val="24"/>
          <w:lang w:val="es-ES_tradnl"/>
        </w:rPr>
        <w:t xml:space="preserve"> Tribunal Laboral del Distrito ha ampliado la protección jurídica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derecho a organizarse en sindicatos en la jurisprudencia israelí (C.M. 6726/07 </w:t>
      </w:r>
      <w:r>
        <w:rPr>
          <w:i/>
          <w:szCs w:val="24"/>
          <w:lang w:val="es-ES_tradnl"/>
        </w:rPr>
        <w:t xml:space="preserve">Alon Leigh Green c. </w:t>
      </w:r>
      <w:smartTag w:uri="urn:schemas-microsoft-com:office:smarttags" w:element="PersonName">
        <w:smartTagPr>
          <w:attr w:name="ProductID" w:val="la Excellent Coffee Ltd."/>
        </w:smartTagPr>
        <w:r>
          <w:rPr>
            <w:i/>
            <w:szCs w:val="24"/>
            <w:lang w:val="es-ES_tradnl"/>
          </w:rPr>
          <w:t>la Excellent Coffee Ltd.</w:t>
        </w:r>
      </w:smartTag>
      <w:r>
        <w:rPr>
          <w:szCs w:val="24"/>
          <w:lang w:val="es-ES_tradnl"/>
        </w:rPr>
        <w:t xml:space="preserve"> (18 de julio de</w:t>
      </w:r>
      <w:r>
        <w:rPr>
          <w:szCs w:val="24"/>
        </w:rPr>
        <w:t xml:space="preserve"> 2007)).</w:t>
      </w:r>
    </w:p>
    <w:p w:rsidR="00F92819" w:rsidRDefault="00F92819">
      <w:pPr>
        <w:pStyle w:val="SingleTxtG"/>
        <w:rPr>
          <w:szCs w:val="24"/>
        </w:rPr>
      </w:pPr>
      <w:r>
        <w:rPr>
          <w:szCs w:val="24"/>
          <w:lang w:val="es-ES_tradnl"/>
        </w:rPr>
        <w:t>En este caso, el demandante solicitó al Tribunal que revocara su despido por el demandado, el cual alegó que era improcedente y resultante de su actividad sindical. Según el demandante, antes de su actividad sindical el demandado le consideraba un buen empleado e incluso le ascendió a jefe de turno.</w:t>
      </w:r>
      <w:r>
        <w:rPr>
          <w:szCs w:val="24"/>
        </w:rPr>
        <w:t xml:space="preserve"> </w:t>
      </w:r>
      <w:r>
        <w:rPr>
          <w:szCs w:val="24"/>
          <w:lang w:val="es-ES_tradnl"/>
        </w:rPr>
        <w:t>El demandado alegó que no fue el deseo del demandante de ejercer su derecho a formar un sindicato lo que conllevó su despido, sino más bien el deterioro de su desempeño como jefe de turno.</w:t>
      </w:r>
    </w:p>
    <w:p w:rsidR="00F92819" w:rsidRDefault="00F92819">
      <w:pPr>
        <w:pStyle w:val="SingleTxtG"/>
        <w:rPr>
          <w:szCs w:val="24"/>
        </w:rPr>
      </w:pPr>
      <w:r>
        <w:rPr>
          <w:szCs w:val="24"/>
          <w:lang w:val="es-ES_tradnl"/>
        </w:rPr>
        <w:t>El Tribunal apeló al artículo 33J a) de la</w:t>
      </w:r>
      <w:r>
        <w:rPr>
          <w:i/>
          <w:szCs w:val="24"/>
          <w:lang w:val="es-ES_tradnl"/>
        </w:rPr>
        <w:t xml:space="preserve"> Ley de convenios colectivos</w:t>
      </w:r>
      <w:r>
        <w:rPr>
          <w:szCs w:val="24"/>
          <w:lang w:val="es-ES_tradnl"/>
        </w:rPr>
        <w:t xml:space="preserve"> de 5717/1957 que establece, entre otras cosas, que un empleador no despedirá a un empleado, empeorará sus condiciones de trabajo ni impedirá que una persona sea contratada debido a su pertenencia o actividad en un sindicato o comité de trabajadores, ni tampoco debido a las acciones para crear un sindicato o comité de trabajadores.</w:t>
      </w:r>
      <w:r>
        <w:rPr>
          <w:szCs w:val="24"/>
        </w:rPr>
        <w:t xml:space="preserve"> </w:t>
      </w:r>
      <w:r>
        <w:rPr>
          <w:szCs w:val="24"/>
          <w:lang w:val="es-ES_tradnl"/>
        </w:rPr>
        <w:t>El argumento reflejado en la Ley, de acuerdo con principios similares derivados de la jurisprudencia de los tribunales laborales, es que la discriminación de un empleado por razón de su pertenencia a un sindicato de trabajadores infringe el principio de igualdad y también el derecho a crear sindicatos y a sindicarse. Por tanto, con arreglo a la ley y a la jurisprudencia, los tribunales deben proteger a los empleados cuando haya motivos de preocupación porque los empleadores hayan actuado en su contra violando el derecho básico de crear sindicatos y sindicarse.</w:t>
      </w:r>
      <w:r>
        <w:rPr>
          <w:szCs w:val="24"/>
        </w:rPr>
        <w:t xml:space="preserve"> </w:t>
      </w:r>
      <w:r>
        <w:rPr>
          <w:szCs w:val="24"/>
          <w:lang w:val="es-ES_tradnl"/>
        </w:rPr>
        <w:t>El Tribunal sostuvo que el demandado no cumplió los requisitos de carga para probar que el despido del demandante fuera debido a su desempeño y no a su actividad sindical.</w:t>
      </w:r>
    </w:p>
    <w:p w:rsidR="00F92819" w:rsidRDefault="00F92819">
      <w:pPr>
        <w:pStyle w:val="SingleTxtG"/>
        <w:rPr>
          <w:szCs w:val="24"/>
        </w:rPr>
      </w:pPr>
      <w:r>
        <w:rPr>
          <w:szCs w:val="24"/>
          <w:lang w:val="es-ES_tradnl"/>
        </w:rPr>
        <w:t xml:space="preserve">Como recurso excepcional, el Tribunal ordenó la rehabilitación del demandante, de conformidad con el artículo 33k de </w:t>
      </w:r>
      <w:smartTag w:uri="urn:schemas-microsoft-com:office:smarttags" w:element="PersonName">
        <w:smartTagPr>
          <w:attr w:name="ProductID" w:val="la Ley. El Tribunal"/>
        </w:smartTagPr>
        <w:r>
          <w:rPr>
            <w:szCs w:val="24"/>
            <w:lang w:val="es-ES_tradnl"/>
          </w:rPr>
          <w:t>la Ley.</w:t>
        </w:r>
        <w:r>
          <w:rPr>
            <w:szCs w:val="24"/>
          </w:rPr>
          <w:t xml:space="preserve"> </w:t>
        </w:r>
        <w:r>
          <w:rPr>
            <w:szCs w:val="24"/>
            <w:lang w:val="es-ES_tradnl"/>
          </w:rPr>
          <w:t>El Tribunal</w:t>
        </w:r>
      </w:smartTag>
      <w:r>
        <w:rPr>
          <w:szCs w:val="24"/>
          <w:lang w:val="es-ES_tradnl"/>
        </w:rPr>
        <w:t xml:space="preserve"> sostuvo que, de hecho, la norma es que las relaciones laborales no deben ser obligadas y que la indemnización monetaria debería ser suficiente, especialmente en el ámbito del sector privado.</w:t>
      </w:r>
      <w:r>
        <w:rPr>
          <w:szCs w:val="24"/>
        </w:rPr>
        <w:t xml:space="preserve"> </w:t>
      </w:r>
      <w:r>
        <w:rPr>
          <w:szCs w:val="24"/>
          <w:lang w:val="es-ES_tradnl"/>
        </w:rPr>
        <w:t>Aunque este es un caso excepcional en que la conducta del demandado equivale a una violación del derecho constitucional del empleado, lo cual no puede repararse con ninguna indemnización monetaria.</w:t>
      </w:r>
      <w:r>
        <w:rPr>
          <w:szCs w:val="24"/>
        </w:rPr>
        <w:t xml:space="preserve"> </w:t>
      </w:r>
      <w:r>
        <w:rPr>
          <w:szCs w:val="24"/>
          <w:lang w:val="es-ES_tradnl"/>
        </w:rPr>
        <w:t>Tal violación excepcional de un derecho constitucional que es un “privilegio” y va más allá de los derechos económicos del trabajador produce un resultado excepcional,</w:t>
      </w:r>
      <w:r>
        <w:rPr>
          <w:szCs w:val="24"/>
        </w:rPr>
        <w:t xml:space="preserve"> </w:t>
      </w:r>
      <w:r>
        <w:rPr>
          <w:szCs w:val="24"/>
          <w:lang w:val="es-ES_tradnl"/>
        </w:rPr>
        <w:t>siendo así incluso con respecto a una entidad privada.</w:t>
      </w:r>
    </w:p>
    <w:p w:rsidR="00F92819" w:rsidRDefault="00F92819">
      <w:pPr>
        <w:pStyle w:val="SingleTxtG"/>
        <w:rPr>
          <w:szCs w:val="24"/>
        </w:rPr>
      </w:pPr>
      <w:r>
        <w:rPr>
          <w:szCs w:val="24"/>
        </w:rPr>
        <w:t>299.</w:t>
      </w:r>
      <w:r>
        <w:rPr>
          <w:szCs w:val="24"/>
        </w:rPr>
        <w:tab/>
      </w:r>
      <w:r>
        <w:rPr>
          <w:szCs w:val="24"/>
          <w:lang w:val="es-ES_tradnl"/>
        </w:rPr>
        <w:t xml:space="preserve">Recientemente el Tribunal Laboral de </w:t>
      </w:r>
      <w:smartTag w:uri="urn:schemas-microsoft-com:office:smarttags" w:element="country-region">
        <w:r>
          <w:rPr>
            <w:szCs w:val="24"/>
            <w:lang w:val="es-ES_tradnl"/>
          </w:rPr>
          <w:t>Israel</w:t>
        </w:r>
      </w:smartTag>
      <w:r>
        <w:rPr>
          <w:szCs w:val="24"/>
          <w:lang w:val="es-ES_tradnl"/>
        </w:rPr>
        <w:t xml:space="preserve"> determinó que una organización no se puede considerar un sindicato representativo si establece diferencias entre hombres y mujeres de manera que constituya una discriminación de las mujeres,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por ejemplo impidiendo su participación en el proceso democrático de elegir y ser elegidas para las instituciones de </w:t>
      </w:r>
      <w:smartTag w:uri="urn:schemas-microsoft-com:office:smarttags" w:element="PersonName">
        <w:smartTagPr>
          <w:attr w:name="ProductID" w:val="la organizaci￳n. Adem￡s"/>
        </w:smartTagPr>
        <w:r>
          <w:rPr>
            <w:szCs w:val="24"/>
            <w:lang w:val="es-ES_tradnl"/>
          </w:rPr>
          <w:t>la organización.</w:t>
        </w:r>
        <w:r>
          <w:rPr>
            <w:szCs w:val="24"/>
          </w:rPr>
          <w:t xml:space="preserve"> </w:t>
        </w:r>
        <w:r>
          <w:rPr>
            <w:szCs w:val="24"/>
            <w:lang w:val="es-ES_tradnl"/>
          </w:rPr>
          <w:t>Además</w:t>
        </w:r>
      </w:smartTag>
      <w:r>
        <w:rPr>
          <w:szCs w:val="24"/>
          <w:lang w:val="es-ES_tradnl"/>
        </w:rPr>
        <w:t xml:space="preserve">, no puede considerarse un sindicato desde el momento en que no tiene una naturaleza y unos procedimientos democráticos (La.C. 9/07 </w:t>
      </w:r>
      <w:r>
        <w:rPr>
          <w:i/>
          <w:szCs w:val="24"/>
          <w:lang w:val="es-ES_tradnl"/>
        </w:rPr>
        <w:t xml:space="preserve">Organización de profesores ultraortodoxos de jardines de infancia c. los profesores de </w:t>
      </w:r>
      <w:smartTag w:uri="urn:schemas-microsoft-com:office:smarttags" w:element="PersonName">
        <w:smartTagPr>
          <w:attr w:name="ProductID" w:val="la Agudat Israel Histadrut"/>
        </w:smartTagPr>
        <w:r>
          <w:rPr>
            <w:i/>
            <w:szCs w:val="24"/>
            <w:lang w:val="es-ES_tradnl"/>
          </w:rPr>
          <w:t>la Agudat Israel Histadrut</w:t>
        </w:r>
      </w:smartTag>
      <w:r>
        <w:rPr>
          <w:szCs w:val="24"/>
          <w:lang w:val="es-ES_tradnl"/>
        </w:rPr>
        <w:t xml:space="preserve"> (15 de septiembre de 2008)).</w:t>
      </w:r>
    </w:p>
    <w:p w:rsidR="00F92819" w:rsidRDefault="00F92819">
      <w:pPr>
        <w:pStyle w:val="H23G"/>
        <w:spacing w:before="160"/>
        <w:rPr>
          <w:szCs w:val="24"/>
        </w:rPr>
      </w:pPr>
      <w:r>
        <w:rPr>
          <w:szCs w:val="24"/>
        </w:rPr>
        <w:tab/>
      </w:r>
      <w:r>
        <w:rPr>
          <w:szCs w:val="24"/>
        </w:rPr>
        <w:tab/>
      </w:r>
      <w:r>
        <w:rPr>
          <w:szCs w:val="24"/>
          <w:lang w:val="es-ES_tradnl"/>
        </w:rPr>
        <w:t>El derecho a formar sindicatos</w:t>
      </w:r>
    </w:p>
    <w:p w:rsidR="00F92819" w:rsidRDefault="00F92819">
      <w:pPr>
        <w:pStyle w:val="H4G"/>
        <w:rPr>
          <w:szCs w:val="24"/>
        </w:rPr>
      </w:pPr>
      <w:r>
        <w:rPr>
          <w:szCs w:val="24"/>
        </w:rPr>
        <w:tab/>
      </w:r>
      <w:r>
        <w:rPr>
          <w:szCs w:val="24"/>
        </w:rPr>
        <w:tab/>
      </w:r>
      <w:r>
        <w:rPr>
          <w:szCs w:val="24"/>
          <w:lang w:val="es-ES_tradnl"/>
        </w:rPr>
        <w:t>Número y estructura de los sindicatos en Israel</w:t>
      </w:r>
    </w:p>
    <w:p w:rsidR="00F92819" w:rsidRDefault="00F92819">
      <w:pPr>
        <w:pStyle w:val="SingleTxtG"/>
        <w:rPr>
          <w:szCs w:val="24"/>
        </w:rPr>
      </w:pPr>
      <w:r>
        <w:rPr>
          <w:szCs w:val="24"/>
        </w:rPr>
        <w:t>300.</w:t>
      </w:r>
      <w:r>
        <w:rPr>
          <w:szCs w:val="24"/>
        </w:rPr>
        <w:tab/>
      </w:r>
      <w:r>
        <w:rPr>
          <w:szCs w:val="24"/>
          <w:lang w:val="es-ES_tradnl"/>
        </w:rPr>
        <w:t>No se ha producido ningún cambio notable en la estructura de las organizaciones laborales desde la presentación de los anteriores informes de Israel.</w:t>
      </w:r>
      <w:r>
        <w:rPr>
          <w:szCs w:val="24"/>
        </w:rPr>
        <w:t xml:space="preserve"> </w:t>
      </w:r>
      <w:r>
        <w:rPr>
          <w:szCs w:val="24"/>
          <w:lang w:val="es-ES_tradnl"/>
        </w:rPr>
        <w:t>La Histadrut sigue siendo la organización de trabajadores más importante y más representativa y sigue absteniéndose de revelar el número exacto de sus miembros.</w:t>
      </w:r>
    </w:p>
    <w:p w:rsidR="00F92819" w:rsidRDefault="00F92819">
      <w:pPr>
        <w:pStyle w:val="H4G"/>
        <w:rPr>
          <w:szCs w:val="24"/>
        </w:rPr>
      </w:pPr>
      <w:r>
        <w:rPr>
          <w:szCs w:val="24"/>
        </w:rPr>
        <w:tab/>
      </w:r>
      <w:r>
        <w:rPr>
          <w:szCs w:val="24"/>
        </w:rPr>
        <w:tab/>
      </w:r>
      <w:r>
        <w:rPr>
          <w:szCs w:val="24"/>
          <w:lang w:val="es-ES_tradnl"/>
        </w:rPr>
        <w:t>Libertad individual de unirse a un sindicato</w:t>
      </w:r>
    </w:p>
    <w:p w:rsidR="00F92819" w:rsidRDefault="00F92819">
      <w:pPr>
        <w:pStyle w:val="SingleTxtG"/>
        <w:rPr>
          <w:szCs w:val="24"/>
        </w:rPr>
      </w:pPr>
      <w:r>
        <w:rPr>
          <w:szCs w:val="24"/>
        </w:rPr>
        <w:t>301.</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Libertad de funcionamiento de los sindicatos</w:t>
      </w:r>
    </w:p>
    <w:p w:rsidR="00F92819" w:rsidRDefault="00F92819">
      <w:pPr>
        <w:pStyle w:val="H23G"/>
        <w:rPr>
          <w:szCs w:val="24"/>
        </w:rPr>
      </w:pPr>
      <w:r>
        <w:rPr>
          <w:szCs w:val="24"/>
        </w:rPr>
        <w:tab/>
      </w:r>
      <w:r>
        <w:rPr>
          <w:szCs w:val="24"/>
        </w:rPr>
        <w:tab/>
      </w:r>
      <w:r>
        <w:rPr>
          <w:szCs w:val="24"/>
          <w:lang w:val="es-ES_tradnl"/>
        </w:rPr>
        <w:t>El derecho de huelga</w:t>
      </w:r>
    </w:p>
    <w:p w:rsidR="00F92819" w:rsidRDefault="00F92819">
      <w:pPr>
        <w:pStyle w:val="H4G"/>
        <w:rPr>
          <w:szCs w:val="24"/>
        </w:rPr>
      </w:pPr>
      <w:r>
        <w:rPr>
          <w:szCs w:val="24"/>
        </w:rPr>
        <w:tab/>
      </w:r>
      <w:r>
        <w:rPr>
          <w:szCs w:val="24"/>
        </w:rPr>
        <w:tab/>
      </w:r>
      <w:r>
        <w:rPr>
          <w:szCs w:val="24"/>
          <w:lang w:val="es-ES_tradnl"/>
        </w:rPr>
        <w:t>Situación y contenido del derecho de huelga</w:t>
      </w:r>
    </w:p>
    <w:p w:rsidR="00F92819" w:rsidRDefault="00F92819">
      <w:pPr>
        <w:pStyle w:val="SingleTxtG"/>
        <w:rPr>
          <w:szCs w:val="24"/>
        </w:rPr>
      </w:pPr>
      <w:r>
        <w:rPr>
          <w:szCs w:val="24"/>
        </w:rPr>
        <w:t>302.</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Restricciones al derecho de huelga</w:t>
      </w:r>
    </w:p>
    <w:p w:rsidR="00F92819" w:rsidRDefault="00F92819">
      <w:pPr>
        <w:pStyle w:val="H4G"/>
        <w:rPr>
          <w:szCs w:val="24"/>
        </w:rPr>
      </w:pPr>
      <w:r>
        <w:rPr>
          <w:szCs w:val="24"/>
        </w:rPr>
        <w:tab/>
      </w:r>
      <w:r>
        <w:rPr>
          <w:szCs w:val="24"/>
        </w:rPr>
        <w:tab/>
      </w:r>
      <w:r>
        <w:rPr>
          <w:szCs w:val="24"/>
          <w:lang w:val="es-ES_tradnl"/>
        </w:rPr>
        <w:t>Datos estadísticos sobre huelgas en Israel</w:t>
      </w:r>
    </w:p>
    <w:p w:rsidR="00F92819" w:rsidRDefault="00F92819">
      <w:pPr>
        <w:pStyle w:val="SingleTxtG"/>
        <w:rPr>
          <w:szCs w:val="24"/>
        </w:rPr>
      </w:pPr>
      <w:r>
        <w:rPr>
          <w:szCs w:val="24"/>
        </w:rPr>
        <w:t>303.</w:t>
      </w:r>
      <w:r>
        <w:rPr>
          <w:szCs w:val="24"/>
        </w:rPr>
        <w:tab/>
      </w:r>
      <w:r>
        <w:rPr>
          <w:szCs w:val="24"/>
          <w:lang w:val="es-ES_tradnl"/>
        </w:rPr>
        <w:t xml:space="preserve">Las cifras presentadas en el informe anterior de Israel pueden ahora actualizarse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sigue.</w:t>
      </w:r>
    </w:p>
    <w:p w:rsidR="00F92819" w:rsidRDefault="00F92819">
      <w:pPr>
        <w:pStyle w:val="Heading1"/>
        <w:keepLines/>
        <w:spacing w:before="240"/>
        <w:rPr>
          <w:szCs w:val="24"/>
        </w:rPr>
      </w:pPr>
      <w:r>
        <w:rPr>
          <w:szCs w:val="24"/>
          <w:lang w:val="es-ES_tradnl"/>
        </w:rPr>
        <w:t>Cuadro 17</w:t>
      </w:r>
    </w:p>
    <w:p w:rsidR="00F92819" w:rsidRDefault="00D94ACB">
      <w:pPr>
        <w:pStyle w:val="SingleTxtG"/>
        <w:keepNext/>
        <w:keepLines/>
        <w:rPr>
          <w:b/>
          <w:szCs w:val="24"/>
        </w:rPr>
      </w:pPr>
      <w:r>
        <w:rPr>
          <w:b/>
          <w:szCs w:val="24"/>
          <w:lang w:val="es-ES_tradnl"/>
        </w:rPr>
        <w:t>Huelgas en Israel, 2000-</w:t>
      </w:r>
      <w:r w:rsidR="00F92819">
        <w:rPr>
          <w:b/>
          <w:szCs w:val="24"/>
          <w:lang w:val="es-ES_tradnl"/>
        </w:rPr>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566"/>
        <w:gridCol w:w="1600"/>
        <w:gridCol w:w="2000"/>
        <w:gridCol w:w="2000"/>
        <w:gridCol w:w="1204"/>
      </w:tblGrid>
      <w:tr w:rsidR="00F92819" w:rsidTr="00D94ACB">
        <w:trPr>
          <w:tblHeader/>
        </w:trPr>
        <w:tc>
          <w:tcPr>
            <w:tcW w:w="566" w:type="dxa"/>
            <w:tcBorders>
              <w:top w:val="single" w:sz="4" w:space="0" w:color="auto"/>
              <w:bottom w:val="single" w:sz="12" w:space="0" w:color="auto"/>
            </w:tcBorders>
            <w:vAlign w:val="bottom"/>
          </w:tcPr>
          <w:p w:rsidR="00F92819" w:rsidRDefault="00F92819">
            <w:pPr>
              <w:spacing w:before="80" w:after="80" w:line="200" w:lineRule="exact"/>
              <w:rPr>
                <w:szCs w:val="24"/>
              </w:rPr>
            </w:pPr>
            <w:r>
              <w:rPr>
                <w:i/>
                <w:sz w:val="16"/>
                <w:szCs w:val="24"/>
                <w:lang w:val="es-ES_tradnl"/>
              </w:rPr>
              <w:t>Año</w:t>
            </w:r>
          </w:p>
        </w:tc>
        <w:tc>
          <w:tcPr>
            <w:tcW w:w="160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Número de instancias de huelga de celo</w:t>
            </w:r>
          </w:p>
        </w:tc>
        <w:tc>
          <w:tcPr>
            <w:tcW w:w="200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Número de huelgas y cierres patronales (excluidas las</w:t>
            </w:r>
            <w:r>
              <w:rPr>
                <w:i/>
                <w:sz w:val="16"/>
                <w:szCs w:val="24"/>
                <w:lang w:val="es-ES_tradnl"/>
              </w:rPr>
              <w:br/>
              <w:t xml:space="preserve"> huelgas de celo)</w:t>
            </w:r>
          </w:p>
        </w:tc>
        <w:tc>
          <w:tcPr>
            <w:tcW w:w="200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Número de personas participantes en huelgas y cierres patronales</w:t>
            </w:r>
          </w:p>
        </w:tc>
        <w:tc>
          <w:tcPr>
            <w:tcW w:w="1204"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Número de días perdidos</w:t>
            </w:r>
          </w:p>
        </w:tc>
      </w:tr>
      <w:tr w:rsidR="00F92819" w:rsidTr="00D94ACB">
        <w:tc>
          <w:tcPr>
            <w:tcW w:w="566" w:type="dxa"/>
            <w:tcBorders>
              <w:top w:val="single" w:sz="12" w:space="0" w:color="auto"/>
            </w:tcBorders>
            <w:vAlign w:val="bottom"/>
          </w:tcPr>
          <w:p w:rsidR="00F92819" w:rsidRDefault="00F92819">
            <w:pPr>
              <w:spacing w:before="40" w:after="40" w:line="220" w:lineRule="exact"/>
              <w:rPr>
                <w:sz w:val="18"/>
                <w:szCs w:val="24"/>
              </w:rPr>
            </w:pPr>
            <w:r>
              <w:rPr>
                <w:sz w:val="18"/>
                <w:szCs w:val="24"/>
              </w:rPr>
              <w:t>2000</w:t>
            </w:r>
          </w:p>
        </w:tc>
        <w:tc>
          <w:tcPr>
            <w:tcW w:w="1600"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56</w:t>
            </w:r>
          </w:p>
        </w:tc>
        <w:tc>
          <w:tcPr>
            <w:tcW w:w="2000"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54</w:t>
            </w:r>
          </w:p>
        </w:tc>
        <w:tc>
          <w:tcPr>
            <w:tcW w:w="2000"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297 882</w:t>
            </w:r>
          </w:p>
        </w:tc>
        <w:tc>
          <w:tcPr>
            <w:tcW w:w="1204"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2 011 263</w:t>
            </w:r>
          </w:p>
        </w:tc>
      </w:tr>
      <w:tr w:rsidR="00F92819" w:rsidTr="00D94ACB">
        <w:tc>
          <w:tcPr>
            <w:tcW w:w="566" w:type="dxa"/>
            <w:vAlign w:val="bottom"/>
          </w:tcPr>
          <w:p w:rsidR="00F92819" w:rsidRDefault="00F92819">
            <w:pPr>
              <w:spacing w:before="40" w:after="40" w:line="220" w:lineRule="exact"/>
              <w:rPr>
                <w:sz w:val="18"/>
                <w:szCs w:val="24"/>
              </w:rPr>
            </w:pPr>
            <w:r>
              <w:rPr>
                <w:sz w:val="18"/>
                <w:szCs w:val="24"/>
              </w:rPr>
              <w:t>2001</w:t>
            </w:r>
          </w:p>
        </w:tc>
        <w:tc>
          <w:tcPr>
            <w:tcW w:w="1600" w:type="dxa"/>
            <w:vAlign w:val="bottom"/>
          </w:tcPr>
          <w:p w:rsidR="00F92819" w:rsidRDefault="00F92819">
            <w:pPr>
              <w:spacing w:before="40" w:after="40" w:line="220" w:lineRule="exact"/>
              <w:jc w:val="right"/>
              <w:rPr>
                <w:sz w:val="18"/>
                <w:szCs w:val="24"/>
              </w:rPr>
            </w:pPr>
            <w:r>
              <w:rPr>
                <w:sz w:val="18"/>
                <w:szCs w:val="24"/>
              </w:rPr>
              <w:t>58</w:t>
            </w:r>
          </w:p>
        </w:tc>
        <w:tc>
          <w:tcPr>
            <w:tcW w:w="2000" w:type="dxa"/>
            <w:vAlign w:val="bottom"/>
          </w:tcPr>
          <w:p w:rsidR="00F92819" w:rsidRDefault="00F92819">
            <w:pPr>
              <w:spacing w:before="40" w:after="40" w:line="220" w:lineRule="exact"/>
              <w:jc w:val="right"/>
              <w:rPr>
                <w:sz w:val="18"/>
                <w:szCs w:val="24"/>
              </w:rPr>
            </w:pPr>
            <w:r>
              <w:rPr>
                <w:sz w:val="18"/>
                <w:szCs w:val="24"/>
              </w:rPr>
              <w:t>62</w:t>
            </w:r>
          </w:p>
        </w:tc>
        <w:tc>
          <w:tcPr>
            <w:tcW w:w="2000" w:type="dxa"/>
            <w:vAlign w:val="bottom"/>
          </w:tcPr>
          <w:p w:rsidR="00F92819" w:rsidRDefault="00F92819">
            <w:pPr>
              <w:spacing w:before="40" w:after="40" w:line="220" w:lineRule="exact"/>
              <w:jc w:val="right"/>
              <w:rPr>
                <w:sz w:val="18"/>
                <w:szCs w:val="24"/>
              </w:rPr>
            </w:pPr>
            <w:r>
              <w:rPr>
                <w:sz w:val="18"/>
                <w:szCs w:val="24"/>
              </w:rPr>
              <w:t>426 560</w:t>
            </w:r>
          </w:p>
        </w:tc>
        <w:tc>
          <w:tcPr>
            <w:tcW w:w="1204" w:type="dxa"/>
            <w:vAlign w:val="bottom"/>
          </w:tcPr>
          <w:p w:rsidR="00F92819" w:rsidRDefault="00F92819">
            <w:pPr>
              <w:spacing w:before="40" w:after="40" w:line="220" w:lineRule="exact"/>
              <w:jc w:val="right"/>
              <w:rPr>
                <w:sz w:val="18"/>
                <w:szCs w:val="24"/>
              </w:rPr>
            </w:pPr>
            <w:r>
              <w:rPr>
                <w:sz w:val="18"/>
                <w:szCs w:val="24"/>
              </w:rPr>
              <w:t>2 039 973</w:t>
            </w:r>
          </w:p>
        </w:tc>
      </w:tr>
      <w:tr w:rsidR="00F92819" w:rsidTr="00D94ACB">
        <w:tc>
          <w:tcPr>
            <w:tcW w:w="566" w:type="dxa"/>
            <w:vAlign w:val="bottom"/>
          </w:tcPr>
          <w:p w:rsidR="00F92819" w:rsidRDefault="00F92819">
            <w:pPr>
              <w:spacing w:before="40" w:after="40" w:line="220" w:lineRule="exact"/>
              <w:rPr>
                <w:sz w:val="18"/>
                <w:szCs w:val="24"/>
              </w:rPr>
            </w:pPr>
            <w:r>
              <w:rPr>
                <w:sz w:val="18"/>
                <w:szCs w:val="24"/>
              </w:rPr>
              <w:t>2002</w:t>
            </w:r>
          </w:p>
        </w:tc>
        <w:tc>
          <w:tcPr>
            <w:tcW w:w="1600" w:type="dxa"/>
            <w:vAlign w:val="bottom"/>
          </w:tcPr>
          <w:p w:rsidR="00F92819" w:rsidRDefault="00F92819">
            <w:pPr>
              <w:spacing w:before="40" w:after="40" w:line="220" w:lineRule="exact"/>
              <w:jc w:val="right"/>
              <w:rPr>
                <w:sz w:val="18"/>
                <w:szCs w:val="24"/>
              </w:rPr>
            </w:pPr>
            <w:r>
              <w:rPr>
                <w:sz w:val="18"/>
                <w:szCs w:val="24"/>
              </w:rPr>
              <w:t>34</w:t>
            </w:r>
          </w:p>
        </w:tc>
        <w:tc>
          <w:tcPr>
            <w:tcW w:w="2000" w:type="dxa"/>
            <w:vAlign w:val="bottom"/>
          </w:tcPr>
          <w:p w:rsidR="00F92819" w:rsidRDefault="00F92819">
            <w:pPr>
              <w:spacing w:before="40" w:after="40" w:line="220" w:lineRule="exact"/>
              <w:jc w:val="right"/>
              <w:rPr>
                <w:sz w:val="18"/>
                <w:szCs w:val="24"/>
              </w:rPr>
            </w:pPr>
            <w:r>
              <w:rPr>
                <w:sz w:val="18"/>
                <w:szCs w:val="24"/>
              </w:rPr>
              <w:t>47</w:t>
            </w:r>
          </w:p>
        </w:tc>
        <w:tc>
          <w:tcPr>
            <w:tcW w:w="2000" w:type="dxa"/>
            <w:vAlign w:val="bottom"/>
          </w:tcPr>
          <w:p w:rsidR="00F92819" w:rsidRDefault="00F92819">
            <w:pPr>
              <w:spacing w:before="40" w:after="40" w:line="220" w:lineRule="exact"/>
              <w:jc w:val="right"/>
              <w:rPr>
                <w:sz w:val="18"/>
                <w:szCs w:val="24"/>
              </w:rPr>
            </w:pPr>
            <w:r>
              <w:rPr>
                <w:sz w:val="18"/>
                <w:szCs w:val="24"/>
              </w:rPr>
              <w:t>1 647 810</w:t>
            </w:r>
          </w:p>
        </w:tc>
        <w:tc>
          <w:tcPr>
            <w:tcW w:w="1204" w:type="dxa"/>
            <w:vAlign w:val="bottom"/>
          </w:tcPr>
          <w:p w:rsidR="00F92819" w:rsidRDefault="00F92819">
            <w:pPr>
              <w:spacing w:before="40" w:after="40" w:line="220" w:lineRule="exact"/>
              <w:jc w:val="right"/>
              <w:rPr>
                <w:sz w:val="18"/>
                <w:szCs w:val="24"/>
              </w:rPr>
            </w:pPr>
            <w:r>
              <w:rPr>
                <w:sz w:val="18"/>
                <w:szCs w:val="24"/>
              </w:rPr>
              <w:t>1 488 120</w:t>
            </w:r>
          </w:p>
        </w:tc>
      </w:tr>
      <w:tr w:rsidR="00F92819" w:rsidTr="00D94ACB">
        <w:tc>
          <w:tcPr>
            <w:tcW w:w="566" w:type="dxa"/>
            <w:vAlign w:val="bottom"/>
          </w:tcPr>
          <w:p w:rsidR="00F92819" w:rsidRDefault="00F92819">
            <w:pPr>
              <w:spacing w:before="40" w:after="40" w:line="220" w:lineRule="exact"/>
              <w:rPr>
                <w:sz w:val="18"/>
                <w:szCs w:val="24"/>
              </w:rPr>
            </w:pPr>
            <w:r>
              <w:rPr>
                <w:sz w:val="18"/>
                <w:szCs w:val="24"/>
              </w:rPr>
              <w:t>2003</w:t>
            </w:r>
          </w:p>
        </w:tc>
        <w:tc>
          <w:tcPr>
            <w:tcW w:w="1600" w:type="dxa"/>
            <w:vAlign w:val="bottom"/>
          </w:tcPr>
          <w:p w:rsidR="00F92819" w:rsidRDefault="00F92819">
            <w:pPr>
              <w:spacing w:before="40" w:after="40" w:line="220" w:lineRule="exact"/>
              <w:jc w:val="right"/>
              <w:rPr>
                <w:sz w:val="18"/>
                <w:szCs w:val="24"/>
              </w:rPr>
            </w:pPr>
            <w:r>
              <w:rPr>
                <w:sz w:val="18"/>
                <w:szCs w:val="24"/>
              </w:rPr>
              <w:t>64</w:t>
            </w:r>
          </w:p>
        </w:tc>
        <w:tc>
          <w:tcPr>
            <w:tcW w:w="2000" w:type="dxa"/>
            <w:vAlign w:val="bottom"/>
          </w:tcPr>
          <w:p w:rsidR="00F92819" w:rsidRDefault="00F92819">
            <w:pPr>
              <w:spacing w:before="40" w:after="40" w:line="220" w:lineRule="exact"/>
              <w:jc w:val="right"/>
              <w:rPr>
                <w:sz w:val="18"/>
                <w:szCs w:val="24"/>
              </w:rPr>
            </w:pPr>
            <w:r>
              <w:rPr>
                <w:sz w:val="18"/>
                <w:szCs w:val="24"/>
              </w:rPr>
              <w:t>60</w:t>
            </w:r>
          </w:p>
        </w:tc>
        <w:tc>
          <w:tcPr>
            <w:tcW w:w="2000" w:type="dxa"/>
            <w:vAlign w:val="bottom"/>
          </w:tcPr>
          <w:p w:rsidR="00F92819" w:rsidRDefault="00F92819">
            <w:pPr>
              <w:spacing w:before="40" w:after="40" w:line="220" w:lineRule="exact"/>
              <w:jc w:val="right"/>
              <w:rPr>
                <w:sz w:val="18"/>
                <w:szCs w:val="24"/>
              </w:rPr>
            </w:pPr>
            <w:r>
              <w:rPr>
                <w:sz w:val="18"/>
                <w:szCs w:val="24"/>
              </w:rPr>
              <w:t>1 258 904</w:t>
            </w:r>
          </w:p>
        </w:tc>
        <w:tc>
          <w:tcPr>
            <w:tcW w:w="1204" w:type="dxa"/>
            <w:vAlign w:val="bottom"/>
          </w:tcPr>
          <w:p w:rsidR="00F92819" w:rsidRDefault="00F92819">
            <w:pPr>
              <w:spacing w:before="40" w:after="40" w:line="220" w:lineRule="exact"/>
              <w:jc w:val="right"/>
              <w:rPr>
                <w:sz w:val="18"/>
                <w:szCs w:val="24"/>
              </w:rPr>
            </w:pPr>
            <w:r>
              <w:rPr>
                <w:sz w:val="18"/>
                <w:szCs w:val="24"/>
              </w:rPr>
              <w:t>2 725 159</w:t>
            </w:r>
          </w:p>
        </w:tc>
      </w:tr>
      <w:tr w:rsidR="00F92819" w:rsidTr="00D94ACB">
        <w:tc>
          <w:tcPr>
            <w:tcW w:w="566" w:type="dxa"/>
            <w:vAlign w:val="bottom"/>
          </w:tcPr>
          <w:p w:rsidR="00F92819" w:rsidRDefault="00F92819">
            <w:pPr>
              <w:spacing w:before="40" w:after="40" w:line="220" w:lineRule="exact"/>
              <w:rPr>
                <w:sz w:val="18"/>
                <w:szCs w:val="24"/>
              </w:rPr>
            </w:pPr>
            <w:r>
              <w:rPr>
                <w:sz w:val="18"/>
                <w:szCs w:val="24"/>
              </w:rPr>
              <w:t>2004</w:t>
            </w:r>
          </w:p>
        </w:tc>
        <w:tc>
          <w:tcPr>
            <w:tcW w:w="1600" w:type="dxa"/>
            <w:vAlign w:val="bottom"/>
          </w:tcPr>
          <w:p w:rsidR="00F92819" w:rsidRDefault="00F92819">
            <w:pPr>
              <w:spacing w:before="40" w:after="40" w:line="220" w:lineRule="exact"/>
              <w:jc w:val="right"/>
              <w:rPr>
                <w:sz w:val="18"/>
                <w:szCs w:val="24"/>
              </w:rPr>
            </w:pPr>
            <w:r>
              <w:rPr>
                <w:sz w:val="18"/>
                <w:szCs w:val="24"/>
              </w:rPr>
              <w:t>55</w:t>
            </w:r>
          </w:p>
        </w:tc>
        <w:tc>
          <w:tcPr>
            <w:tcW w:w="2000" w:type="dxa"/>
            <w:vAlign w:val="bottom"/>
          </w:tcPr>
          <w:p w:rsidR="00F92819" w:rsidRDefault="00F92819">
            <w:pPr>
              <w:spacing w:before="40" w:after="40" w:line="220" w:lineRule="exact"/>
              <w:jc w:val="right"/>
              <w:rPr>
                <w:sz w:val="18"/>
                <w:szCs w:val="24"/>
              </w:rPr>
            </w:pPr>
            <w:r>
              <w:rPr>
                <w:sz w:val="18"/>
                <w:szCs w:val="24"/>
              </w:rPr>
              <w:t>49</w:t>
            </w:r>
          </w:p>
        </w:tc>
        <w:tc>
          <w:tcPr>
            <w:tcW w:w="2000" w:type="dxa"/>
            <w:vAlign w:val="bottom"/>
          </w:tcPr>
          <w:p w:rsidR="00F92819" w:rsidRDefault="00F92819">
            <w:pPr>
              <w:spacing w:before="40" w:after="40" w:line="220" w:lineRule="exact"/>
              <w:jc w:val="right"/>
              <w:rPr>
                <w:sz w:val="18"/>
                <w:szCs w:val="24"/>
              </w:rPr>
            </w:pPr>
            <w:r>
              <w:rPr>
                <w:sz w:val="18"/>
                <w:szCs w:val="24"/>
              </w:rPr>
              <w:t>722 875</w:t>
            </w:r>
          </w:p>
        </w:tc>
        <w:tc>
          <w:tcPr>
            <w:tcW w:w="1204" w:type="dxa"/>
            <w:vAlign w:val="bottom"/>
          </w:tcPr>
          <w:p w:rsidR="00F92819" w:rsidRDefault="00F92819">
            <w:pPr>
              <w:spacing w:before="40" w:after="40" w:line="220" w:lineRule="exact"/>
              <w:jc w:val="right"/>
              <w:rPr>
                <w:sz w:val="18"/>
                <w:szCs w:val="24"/>
              </w:rPr>
            </w:pPr>
            <w:r>
              <w:rPr>
                <w:sz w:val="18"/>
                <w:szCs w:val="24"/>
              </w:rPr>
              <w:t>1 224 423</w:t>
            </w:r>
          </w:p>
        </w:tc>
      </w:tr>
      <w:tr w:rsidR="00F92819" w:rsidTr="00D94ACB">
        <w:tc>
          <w:tcPr>
            <w:tcW w:w="566" w:type="dxa"/>
            <w:vAlign w:val="bottom"/>
          </w:tcPr>
          <w:p w:rsidR="00F92819" w:rsidRDefault="00F92819">
            <w:pPr>
              <w:spacing w:before="40" w:after="40" w:line="220" w:lineRule="exact"/>
              <w:rPr>
                <w:sz w:val="18"/>
                <w:szCs w:val="24"/>
              </w:rPr>
            </w:pPr>
            <w:r>
              <w:rPr>
                <w:sz w:val="18"/>
                <w:szCs w:val="24"/>
              </w:rPr>
              <w:t>2005</w:t>
            </w:r>
          </w:p>
        </w:tc>
        <w:tc>
          <w:tcPr>
            <w:tcW w:w="1600" w:type="dxa"/>
            <w:vAlign w:val="bottom"/>
          </w:tcPr>
          <w:p w:rsidR="00F92819" w:rsidRDefault="00F92819">
            <w:pPr>
              <w:spacing w:before="40" w:after="40" w:line="220" w:lineRule="exact"/>
              <w:jc w:val="right"/>
              <w:rPr>
                <w:sz w:val="18"/>
                <w:szCs w:val="24"/>
              </w:rPr>
            </w:pPr>
            <w:r>
              <w:rPr>
                <w:sz w:val="18"/>
                <w:szCs w:val="24"/>
              </w:rPr>
              <w:t>44</w:t>
            </w:r>
          </w:p>
        </w:tc>
        <w:tc>
          <w:tcPr>
            <w:tcW w:w="2000" w:type="dxa"/>
            <w:vAlign w:val="bottom"/>
          </w:tcPr>
          <w:p w:rsidR="00F92819" w:rsidRDefault="00F92819">
            <w:pPr>
              <w:spacing w:before="40" w:after="40" w:line="220" w:lineRule="exact"/>
              <w:jc w:val="right"/>
              <w:rPr>
                <w:sz w:val="18"/>
                <w:szCs w:val="24"/>
              </w:rPr>
            </w:pPr>
            <w:r>
              <w:rPr>
                <w:sz w:val="18"/>
                <w:szCs w:val="24"/>
              </w:rPr>
              <w:t>57</w:t>
            </w:r>
          </w:p>
        </w:tc>
        <w:tc>
          <w:tcPr>
            <w:tcW w:w="2000" w:type="dxa"/>
            <w:vAlign w:val="bottom"/>
          </w:tcPr>
          <w:p w:rsidR="00F92819" w:rsidRDefault="00F92819">
            <w:pPr>
              <w:spacing w:before="40" w:after="40" w:line="220" w:lineRule="exact"/>
              <w:jc w:val="right"/>
              <w:rPr>
                <w:sz w:val="18"/>
                <w:szCs w:val="24"/>
              </w:rPr>
            </w:pPr>
            <w:r>
              <w:rPr>
                <w:sz w:val="18"/>
                <w:szCs w:val="24"/>
              </w:rPr>
              <w:t>103 666</w:t>
            </w:r>
          </w:p>
        </w:tc>
        <w:tc>
          <w:tcPr>
            <w:tcW w:w="1204" w:type="dxa"/>
            <w:vAlign w:val="bottom"/>
          </w:tcPr>
          <w:p w:rsidR="00F92819" w:rsidRDefault="00F92819">
            <w:pPr>
              <w:spacing w:before="40" w:after="40" w:line="220" w:lineRule="exact"/>
              <w:jc w:val="right"/>
              <w:rPr>
                <w:sz w:val="18"/>
                <w:szCs w:val="24"/>
              </w:rPr>
            </w:pPr>
            <w:r>
              <w:rPr>
                <w:sz w:val="18"/>
                <w:szCs w:val="24"/>
              </w:rPr>
              <w:t>244 236</w:t>
            </w:r>
          </w:p>
        </w:tc>
      </w:tr>
      <w:tr w:rsidR="00F92819" w:rsidTr="00D94ACB">
        <w:tc>
          <w:tcPr>
            <w:tcW w:w="566" w:type="dxa"/>
            <w:vAlign w:val="bottom"/>
          </w:tcPr>
          <w:p w:rsidR="00F92819" w:rsidRDefault="00F92819">
            <w:pPr>
              <w:spacing w:before="40" w:after="40" w:line="220" w:lineRule="exact"/>
              <w:rPr>
                <w:sz w:val="18"/>
                <w:szCs w:val="24"/>
              </w:rPr>
            </w:pPr>
            <w:r>
              <w:rPr>
                <w:sz w:val="18"/>
                <w:szCs w:val="24"/>
              </w:rPr>
              <w:t>2006</w:t>
            </w:r>
          </w:p>
        </w:tc>
        <w:tc>
          <w:tcPr>
            <w:tcW w:w="1600" w:type="dxa"/>
            <w:vAlign w:val="bottom"/>
          </w:tcPr>
          <w:p w:rsidR="00F92819" w:rsidRDefault="00F92819">
            <w:pPr>
              <w:spacing w:before="40" w:after="40" w:line="220" w:lineRule="exact"/>
              <w:jc w:val="right"/>
              <w:rPr>
                <w:sz w:val="18"/>
                <w:szCs w:val="24"/>
              </w:rPr>
            </w:pPr>
            <w:r>
              <w:rPr>
                <w:sz w:val="18"/>
                <w:szCs w:val="24"/>
              </w:rPr>
              <w:t>40</w:t>
            </w:r>
          </w:p>
        </w:tc>
        <w:tc>
          <w:tcPr>
            <w:tcW w:w="2000" w:type="dxa"/>
            <w:vAlign w:val="bottom"/>
          </w:tcPr>
          <w:p w:rsidR="00F92819" w:rsidRDefault="00F92819">
            <w:pPr>
              <w:spacing w:before="40" w:after="40" w:line="220" w:lineRule="exact"/>
              <w:jc w:val="right"/>
              <w:rPr>
                <w:sz w:val="18"/>
                <w:szCs w:val="24"/>
              </w:rPr>
            </w:pPr>
            <w:r>
              <w:rPr>
                <w:sz w:val="18"/>
                <w:szCs w:val="24"/>
              </w:rPr>
              <w:t>35</w:t>
            </w:r>
          </w:p>
        </w:tc>
        <w:tc>
          <w:tcPr>
            <w:tcW w:w="2000" w:type="dxa"/>
            <w:vAlign w:val="bottom"/>
          </w:tcPr>
          <w:p w:rsidR="00F92819" w:rsidRDefault="00F92819">
            <w:pPr>
              <w:spacing w:before="40" w:after="40" w:line="220" w:lineRule="exact"/>
              <w:jc w:val="right"/>
              <w:rPr>
                <w:sz w:val="18"/>
                <w:szCs w:val="24"/>
              </w:rPr>
            </w:pPr>
            <w:r>
              <w:rPr>
                <w:sz w:val="18"/>
                <w:szCs w:val="24"/>
              </w:rPr>
              <w:t>125 730</w:t>
            </w:r>
          </w:p>
        </w:tc>
        <w:tc>
          <w:tcPr>
            <w:tcW w:w="1204" w:type="dxa"/>
            <w:vAlign w:val="bottom"/>
          </w:tcPr>
          <w:p w:rsidR="00F92819" w:rsidRDefault="00F92819">
            <w:pPr>
              <w:spacing w:before="40" w:after="40" w:line="220" w:lineRule="exact"/>
              <w:jc w:val="right"/>
              <w:rPr>
                <w:sz w:val="18"/>
                <w:szCs w:val="24"/>
              </w:rPr>
            </w:pPr>
            <w:r>
              <w:rPr>
                <w:sz w:val="18"/>
                <w:szCs w:val="24"/>
              </w:rPr>
              <w:t>136 189</w:t>
            </w:r>
          </w:p>
        </w:tc>
      </w:tr>
      <w:tr w:rsidR="00F92819" w:rsidTr="00D94ACB">
        <w:tc>
          <w:tcPr>
            <w:tcW w:w="566" w:type="dxa"/>
            <w:tcBorders>
              <w:bottom w:val="single" w:sz="12" w:space="0" w:color="auto"/>
            </w:tcBorders>
            <w:vAlign w:val="bottom"/>
          </w:tcPr>
          <w:p w:rsidR="00F92819" w:rsidRDefault="00F92819">
            <w:pPr>
              <w:spacing w:before="40" w:after="40" w:line="220" w:lineRule="exact"/>
              <w:rPr>
                <w:sz w:val="18"/>
                <w:szCs w:val="24"/>
              </w:rPr>
            </w:pPr>
            <w:r>
              <w:rPr>
                <w:sz w:val="18"/>
                <w:szCs w:val="24"/>
              </w:rPr>
              <w:t>2007</w:t>
            </w:r>
          </w:p>
        </w:tc>
        <w:tc>
          <w:tcPr>
            <w:tcW w:w="16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37</w:t>
            </w:r>
          </w:p>
        </w:tc>
        <w:tc>
          <w:tcPr>
            <w:tcW w:w="20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30</w:t>
            </w:r>
          </w:p>
        </w:tc>
        <w:tc>
          <w:tcPr>
            <w:tcW w:w="20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386 075</w:t>
            </w:r>
          </w:p>
        </w:tc>
        <w:tc>
          <w:tcPr>
            <w:tcW w:w="1204"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2 548 627</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Ministerio de Industria, Comercio y Trabajo, 2008.</w:t>
      </w:r>
    </w:p>
    <w:p w:rsidR="00F92819" w:rsidRDefault="00F92819">
      <w:pPr>
        <w:pStyle w:val="H23G"/>
        <w:rPr>
          <w:szCs w:val="24"/>
        </w:rPr>
      </w:pPr>
      <w:r>
        <w:rPr>
          <w:szCs w:val="24"/>
        </w:rPr>
        <w:tab/>
      </w:r>
      <w:r>
        <w:rPr>
          <w:szCs w:val="24"/>
        </w:rPr>
        <w:tab/>
      </w:r>
      <w:r>
        <w:rPr>
          <w:szCs w:val="24"/>
          <w:lang w:val="es-ES_tradnl"/>
        </w:rPr>
        <w:t>Las fuerzas armadas, la policía y la administración del Estado</w:t>
      </w:r>
    </w:p>
    <w:p w:rsidR="00F92819" w:rsidRDefault="00F92819">
      <w:pPr>
        <w:pStyle w:val="SingleTxtG"/>
        <w:rPr>
          <w:szCs w:val="24"/>
        </w:rPr>
      </w:pPr>
      <w:r>
        <w:rPr>
          <w:szCs w:val="24"/>
        </w:rPr>
        <w:t>304.</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1G"/>
        <w:spacing w:before="0"/>
        <w:ind w:firstLine="0"/>
        <w:rPr>
          <w:szCs w:val="24"/>
        </w:rPr>
      </w:pPr>
      <w:r>
        <w:rPr>
          <w:szCs w:val="24"/>
          <w:lang w:val="es-ES_tradnl"/>
        </w:rPr>
        <w:t>Artículo 9</w:t>
      </w:r>
      <w:r>
        <w:rPr>
          <w:szCs w:val="24"/>
          <w:lang w:val="es-ES_tradnl"/>
        </w:rPr>
        <w:br/>
        <w:t>Derecho a la seguridad social</w:t>
      </w:r>
    </w:p>
    <w:p w:rsidR="00F92819" w:rsidRDefault="00F92819">
      <w:pPr>
        <w:pStyle w:val="H23G"/>
        <w:rPr>
          <w:szCs w:val="24"/>
        </w:rPr>
      </w:pPr>
      <w:r>
        <w:rPr>
          <w:szCs w:val="24"/>
        </w:rPr>
        <w:tab/>
      </w:r>
      <w:r>
        <w:rPr>
          <w:szCs w:val="24"/>
        </w:rPr>
        <w:tab/>
      </w:r>
      <w:r>
        <w:rPr>
          <w:szCs w:val="24"/>
          <w:lang w:val="es-ES_tradnl"/>
        </w:rPr>
        <w:t>Convenciones internacionales pertinentes obligatorias para Israel</w:t>
      </w:r>
    </w:p>
    <w:p w:rsidR="00F92819" w:rsidRDefault="00F92819">
      <w:pPr>
        <w:pStyle w:val="SingleTxtG"/>
        <w:rPr>
          <w:szCs w:val="24"/>
        </w:rPr>
      </w:pPr>
      <w:r>
        <w:rPr>
          <w:szCs w:val="24"/>
        </w:rPr>
        <w:t>305.</w:t>
      </w:r>
      <w:r>
        <w:rPr>
          <w:szCs w:val="24"/>
        </w:rPr>
        <w:tab/>
      </w:r>
      <w:r>
        <w:rPr>
          <w:szCs w:val="24"/>
          <w:lang w:val="es-ES_tradnl"/>
        </w:rPr>
        <w:t>Israel ha presentado nuevos informes sobre el Convenio sobre la igualdad de trato (indemnización por accidente) (</w:t>
      </w:r>
      <w:r w:rsidR="00713E0E">
        <w:rPr>
          <w:szCs w:val="24"/>
          <w:lang w:val="es-ES_tradnl"/>
        </w:rPr>
        <w:t>Nº</w:t>
      </w:r>
      <w:r>
        <w:rPr>
          <w:szCs w:val="24"/>
          <w:lang w:val="es-ES_tradnl"/>
        </w:rPr>
        <w:t xml:space="preserve"> 19) de la OIT, el Convenio sobre la seguridad social (norma mínima) (</w:t>
      </w:r>
      <w:r w:rsidR="00713E0E">
        <w:rPr>
          <w:szCs w:val="24"/>
          <w:lang w:val="es-ES_tradnl"/>
        </w:rPr>
        <w:t>Nº</w:t>
      </w:r>
      <w:r>
        <w:rPr>
          <w:szCs w:val="24"/>
          <w:lang w:val="es-ES_tradnl"/>
        </w:rPr>
        <w:t xml:space="preserve"> 102) de la OIT y el Convenio sobre la igualdad de trato (seguridad social) (118), todos ellos con respecto al período 2001</w:t>
      </w:r>
      <w:r w:rsidR="008C04D7">
        <w:rPr>
          <w:szCs w:val="24"/>
          <w:lang w:val="es-ES_tradnl"/>
        </w:rPr>
        <w:t>-</w:t>
      </w:r>
      <w:r>
        <w:rPr>
          <w:szCs w:val="24"/>
          <w:lang w:val="es-ES_tradnl"/>
        </w:rPr>
        <w:t>2006.</w:t>
      </w:r>
    </w:p>
    <w:p w:rsidR="00F92819" w:rsidRDefault="00F92819">
      <w:pPr>
        <w:pStyle w:val="SingleTxtG"/>
        <w:rPr>
          <w:szCs w:val="24"/>
        </w:rPr>
      </w:pPr>
      <w:r>
        <w:rPr>
          <w:szCs w:val="24"/>
        </w:rPr>
        <w:t>306.</w:t>
      </w:r>
      <w:r>
        <w:rPr>
          <w:szCs w:val="24"/>
        </w:rPr>
        <w:tab/>
      </w:r>
      <w:r>
        <w:rPr>
          <w:szCs w:val="24"/>
          <w:lang w:val="es-ES_tradnl"/>
        </w:rPr>
        <w:t xml:space="preserve">Además, Israel ha ratificado convenios bilaterales de seguridad social con </w:t>
      </w:r>
      <w:smartTag w:uri="urn:schemas-microsoft-com:office:smarttags" w:element="PersonName">
        <w:smartTagPr>
          <w:attr w:name="ProductID" w:val="la Rep￺blica Checa"/>
        </w:smartTagPr>
        <w:r>
          <w:rPr>
            <w:szCs w:val="24"/>
            <w:lang w:val="es-ES_tradnl"/>
          </w:rPr>
          <w:t>la República Checa</w:t>
        </w:r>
      </w:smartTag>
      <w:r>
        <w:rPr>
          <w:szCs w:val="24"/>
          <w:lang w:val="es-ES_tradnl"/>
        </w:rPr>
        <w:t xml:space="preserve"> (2002) y el Canadá (2003), que elevan el número total de estos convenios a quince.</w:t>
      </w:r>
      <w:r>
        <w:rPr>
          <w:szCs w:val="24"/>
        </w:rPr>
        <w:t xml:space="preserve"> </w:t>
      </w:r>
      <w:r>
        <w:rPr>
          <w:szCs w:val="24"/>
          <w:lang w:val="es-ES_tradnl"/>
        </w:rPr>
        <w:t>Israel, como país de inmigración, tiene interés en dichos convenios con el fin de asegurar a cada beneficiario una prestación adecuada a las cotizaciones de la seguridad social de su país de origen.</w:t>
      </w:r>
    </w:p>
    <w:p w:rsidR="00F92819" w:rsidRDefault="00F92819">
      <w:pPr>
        <w:pStyle w:val="SingleTxtG"/>
        <w:rPr>
          <w:szCs w:val="24"/>
        </w:rPr>
      </w:pPr>
      <w:r>
        <w:rPr>
          <w:szCs w:val="24"/>
        </w:rPr>
        <w:t>307.</w:t>
      </w:r>
      <w:r>
        <w:rPr>
          <w:szCs w:val="24"/>
        </w:rPr>
        <w:tab/>
      </w:r>
      <w:r>
        <w:rPr>
          <w:szCs w:val="24"/>
          <w:lang w:val="es-ES_tradnl"/>
        </w:rPr>
        <w:t>Otra finalidad de estos convenios internacionales es la necesidad de evitar la duplicidad de coberturas y contribuciones para los trabajadores destinados por su empleador en otro país, al tiempo que se asegura la continuidad de la protección y unas prestaciones adecuadas con arreglo a la legislación sobre seguridad social de su país de origen.</w:t>
      </w:r>
    </w:p>
    <w:p w:rsidR="00F92819" w:rsidRDefault="00F92819">
      <w:pPr>
        <w:pStyle w:val="H23G"/>
        <w:rPr>
          <w:szCs w:val="24"/>
        </w:rPr>
      </w:pPr>
      <w:r>
        <w:rPr>
          <w:szCs w:val="24"/>
        </w:rPr>
        <w:tab/>
      </w:r>
      <w:r>
        <w:rPr>
          <w:szCs w:val="24"/>
        </w:rPr>
        <w:tab/>
      </w:r>
      <w:r>
        <w:rPr>
          <w:szCs w:val="24"/>
          <w:lang w:val="es-ES_tradnl"/>
        </w:rPr>
        <w:t>Ramas de la seguridad social en Israel</w:t>
      </w:r>
    </w:p>
    <w:p w:rsidR="00F92819" w:rsidRDefault="00F92819">
      <w:pPr>
        <w:pStyle w:val="SingleTxtG"/>
        <w:rPr>
          <w:szCs w:val="24"/>
          <w:rtl/>
          <w:lang w:bidi="he-IL"/>
        </w:rPr>
      </w:pPr>
      <w:r>
        <w:rPr>
          <w:szCs w:val="24"/>
        </w:rPr>
        <w:t>308.</w:t>
      </w:r>
      <w:r>
        <w:rPr>
          <w:szCs w:val="24"/>
        </w:rPr>
        <w:tab/>
      </w:r>
      <w:r>
        <w:rPr>
          <w:szCs w:val="24"/>
          <w:lang w:val="es-ES_tradnl"/>
        </w:rPr>
        <w:t>Desde 2006, todas las prestaciones de seguridad social se actualizarán con arreglo al índice de precios al consumo y no con arreglo al salario medio.</w:t>
      </w:r>
    </w:p>
    <w:p w:rsidR="00F92819" w:rsidRDefault="00F92819">
      <w:pPr>
        <w:pStyle w:val="H4G"/>
        <w:rPr>
          <w:szCs w:val="24"/>
        </w:rPr>
      </w:pPr>
      <w:r>
        <w:rPr>
          <w:szCs w:val="24"/>
        </w:rPr>
        <w:tab/>
      </w:r>
      <w:r>
        <w:rPr>
          <w:szCs w:val="24"/>
        </w:rPr>
        <w:tab/>
      </w:r>
      <w:r>
        <w:rPr>
          <w:szCs w:val="24"/>
          <w:lang w:val="es-ES_tradnl"/>
        </w:rPr>
        <w:t>Subsidio de maternidad</w:t>
      </w:r>
    </w:p>
    <w:p w:rsidR="00F92819" w:rsidRDefault="00F92819">
      <w:pPr>
        <w:pStyle w:val="SingleTxtG"/>
        <w:rPr>
          <w:b/>
          <w:szCs w:val="24"/>
        </w:rPr>
      </w:pPr>
      <w:r>
        <w:rPr>
          <w:szCs w:val="24"/>
        </w:rPr>
        <w:t>309.</w:t>
      </w:r>
      <w:r>
        <w:rPr>
          <w:szCs w:val="24"/>
        </w:rPr>
        <w:tab/>
      </w:r>
      <w:r>
        <w:rPr>
          <w:szCs w:val="24"/>
          <w:lang w:val="es-ES_tradnl"/>
        </w:rPr>
        <w:t>A partir del 1º de enero de 2005 el Instituto Nacional de Seguros paga a la nueva madre un subsidio de maternidad después del parto para ayudar a financiar el costo del ajuar del recién nacido, directamente a la cuenta bancaria de la madre y que se concede alrededor de un mes después de la fecha del parto.</w:t>
      </w:r>
      <w:r>
        <w:rPr>
          <w:szCs w:val="24"/>
        </w:rPr>
        <w:t xml:space="preserve"> </w:t>
      </w:r>
      <w:r>
        <w:rPr>
          <w:szCs w:val="24"/>
          <w:lang w:val="es-ES_tradnl"/>
        </w:rPr>
        <w:t>Con anterioridad, la subvención de maternidad se pagaba con un cheque que se entregaba a la madre en el hospital donde había dado a luz.</w:t>
      </w:r>
    </w:p>
    <w:p w:rsidR="00F92819" w:rsidRDefault="00F92819">
      <w:pPr>
        <w:pStyle w:val="SingleTxtG"/>
        <w:rPr>
          <w:b/>
          <w:szCs w:val="24"/>
        </w:rPr>
      </w:pPr>
      <w:r>
        <w:rPr>
          <w:szCs w:val="24"/>
        </w:rPr>
        <w:t>310.</w:t>
      </w:r>
      <w:r>
        <w:rPr>
          <w:szCs w:val="24"/>
        </w:rPr>
        <w:tab/>
      </w:r>
      <w:r>
        <w:rPr>
          <w:szCs w:val="24"/>
          <w:lang w:val="es-ES_tradnl"/>
        </w:rPr>
        <w:t>A partir del 1º de enero de 2008 el “subsidio de maternidad” que se da a la nueva madre al nacimiento del primer hijo, o a los padres adoptivos en el momento de la adopción, ascenderá a 1.489 nuevos sheqalim (algo más de 402 dólares de los EE.UU.).</w:t>
      </w:r>
      <w:r>
        <w:rPr>
          <w:szCs w:val="24"/>
        </w:rPr>
        <w:t xml:space="preserve"> </w:t>
      </w:r>
      <w:r>
        <w:rPr>
          <w:szCs w:val="24"/>
          <w:lang w:val="es-ES_tradnl"/>
        </w:rPr>
        <w:t>El subsidio de maternidad por el segundo hijo equivaldrá a 670 nuevos sheqalim (algo más de 181 dólares de los EE.UU.) y el subsidio por el tercero y cada uno de los demás hijos de la familia a 447 nuevos sheqalim (algo más de 120 dólares de los EE.UU.).</w:t>
      </w:r>
    </w:p>
    <w:p w:rsidR="00F92819" w:rsidRDefault="00F92819">
      <w:pPr>
        <w:pStyle w:val="SingleTxtG"/>
        <w:rPr>
          <w:b/>
          <w:szCs w:val="24"/>
        </w:rPr>
      </w:pPr>
      <w:r>
        <w:rPr>
          <w:szCs w:val="24"/>
        </w:rPr>
        <w:t>311.</w:t>
      </w:r>
      <w:r>
        <w:rPr>
          <w:szCs w:val="24"/>
        </w:rPr>
        <w:tab/>
      </w:r>
      <w:r>
        <w:rPr>
          <w:szCs w:val="24"/>
          <w:lang w:val="es-ES_tradnl"/>
        </w:rPr>
        <w:t>Desde el 1º de enero de 2006 las mujeres que no puedan trabajar durante un período de cómo mínimo 30 días consecutivos a causa de un embarazo de alto riesgo recibirán un “subsidio de maternidad”.</w:t>
      </w:r>
      <w:r>
        <w:rPr>
          <w:szCs w:val="24"/>
        </w:rPr>
        <w:t xml:space="preserve"> </w:t>
      </w:r>
      <w:r>
        <w:rPr>
          <w:szCs w:val="24"/>
          <w:lang w:val="es-ES_tradnl"/>
        </w:rPr>
        <w:t>La asignación diaria es la menor de las siguientes dos cantidades:</w:t>
      </w:r>
      <w:r>
        <w:rPr>
          <w:szCs w:val="24"/>
        </w:rPr>
        <w:t xml:space="preserve"> </w:t>
      </w:r>
      <w:r>
        <w:rPr>
          <w:szCs w:val="24"/>
          <w:lang w:val="es-ES_tradnl"/>
        </w:rPr>
        <w:t>la cantidad básica dividida entre 30 (248 nuevos sheqalim o 65 dólares de los EE.UU.) o el sueldo de la mujer dividido entre 90.</w:t>
      </w:r>
    </w:p>
    <w:p w:rsidR="00F92819" w:rsidRDefault="00F92819">
      <w:pPr>
        <w:pStyle w:val="SingleTxtG"/>
        <w:rPr>
          <w:b/>
          <w:szCs w:val="24"/>
        </w:rPr>
      </w:pPr>
      <w:r>
        <w:rPr>
          <w:szCs w:val="24"/>
        </w:rPr>
        <w:t>312.</w:t>
      </w:r>
      <w:r>
        <w:rPr>
          <w:szCs w:val="24"/>
        </w:rPr>
        <w:tab/>
      </w:r>
      <w:r>
        <w:rPr>
          <w:szCs w:val="24"/>
          <w:lang w:val="es-ES_tradnl"/>
        </w:rPr>
        <w:t>El Instituto Nacional de Seguros paga una prestación a la madre que da a luz a tres o más hijos a la vez, y se paga de nuevo al cabo de 30 días de la fecha del parto, si por lo menos tres de los hijos han sobrevivido.</w:t>
      </w:r>
      <w:r>
        <w:rPr>
          <w:szCs w:val="24"/>
        </w:rPr>
        <w:t xml:space="preserve"> </w:t>
      </w:r>
      <w:r>
        <w:rPr>
          <w:szCs w:val="24"/>
          <w:lang w:val="es-ES_tradnl"/>
        </w:rPr>
        <w:t>El subsidio de natalidad se paga, además de la subvención de maternidad, durante 20 meses a partir del primer día del mes siguiente al nacimiento.</w:t>
      </w:r>
    </w:p>
    <w:p w:rsidR="00F92819" w:rsidRDefault="00F92819">
      <w:pPr>
        <w:pStyle w:val="SingleTxtG"/>
        <w:rPr>
          <w:szCs w:val="24"/>
        </w:rPr>
      </w:pPr>
      <w:r w:rsidRPr="00A80039">
        <w:rPr>
          <w:bCs/>
          <w:szCs w:val="24"/>
        </w:rPr>
        <w:t>313.</w:t>
      </w:r>
      <w:r>
        <w:rPr>
          <w:b/>
          <w:szCs w:val="24"/>
        </w:rPr>
        <w:tab/>
      </w:r>
      <w:r>
        <w:rPr>
          <w:b/>
          <w:szCs w:val="24"/>
          <w:lang w:val="es-ES_tradnl"/>
        </w:rPr>
        <w:t xml:space="preserve">Pago automático </w:t>
      </w:r>
      <w:smartTag w:uri="urn:schemas-microsoft-com:office:smarttags" w:element="place">
        <w:smartTag w:uri="urn:schemas-microsoft-com:office:smarttags" w:element="State">
          <w:r>
            <w:rPr>
              <w:b/>
              <w:szCs w:val="24"/>
              <w:lang w:val="es-ES_tradnl"/>
            </w:rPr>
            <w:t>del</w:t>
          </w:r>
        </w:smartTag>
      </w:smartTag>
      <w:r>
        <w:rPr>
          <w:b/>
          <w:szCs w:val="24"/>
          <w:lang w:val="es-ES_tradnl"/>
        </w:rPr>
        <w:t xml:space="preserve"> subsidio de maternidad.</w:t>
      </w:r>
      <w:r>
        <w:rPr>
          <w:szCs w:val="24"/>
        </w:rPr>
        <w:t xml:space="preserve"> </w:t>
      </w:r>
      <w:r>
        <w:rPr>
          <w:szCs w:val="24"/>
          <w:lang w:val="es-ES_tradnl"/>
        </w:rPr>
        <w:t>Tanto las mujeres asalariadas como las autónomas tienen derecho, cuando dan a luz, al subsidio de maternidad del Instituto Nacional de Seguros mientras dure su licencia de maternidad y estén ausentes del trabajo.</w:t>
      </w:r>
      <w:r>
        <w:rPr>
          <w:szCs w:val="24"/>
        </w:rPr>
        <w:t xml:space="preserve"> </w:t>
      </w:r>
      <w:r>
        <w:rPr>
          <w:szCs w:val="24"/>
          <w:lang w:val="es-ES_tradnl"/>
        </w:rPr>
        <w:t>Desde el 1º de enero de 2006, las mujeres autónomas reciben automáticamente el subsidio sin tener que presentar una solicitud.</w:t>
      </w:r>
    </w:p>
    <w:p w:rsidR="00F92819" w:rsidRDefault="00F92819">
      <w:pPr>
        <w:pStyle w:val="SingleTxtG"/>
        <w:rPr>
          <w:szCs w:val="24"/>
        </w:rPr>
      </w:pPr>
      <w:r>
        <w:rPr>
          <w:szCs w:val="24"/>
        </w:rPr>
        <w:t>314.</w:t>
      </w:r>
      <w:r>
        <w:rPr>
          <w:szCs w:val="24"/>
        </w:rPr>
        <w:tab/>
      </w:r>
      <w:r>
        <w:rPr>
          <w:szCs w:val="24"/>
          <w:lang w:val="es-ES_tradnl"/>
        </w:rPr>
        <w:t xml:space="preserve">La orden temporal sobre el subsidio de maternidad para los padres que disfrutan de la licencia de maternidad en lugar de la madre, que se detalla en el informe anterior de Israel, ha quedado incorporada desde entonces tanto en la </w:t>
      </w:r>
      <w:r>
        <w:rPr>
          <w:i/>
          <w:szCs w:val="24"/>
          <w:lang w:val="es-ES_tradnl"/>
        </w:rPr>
        <w:t xml:space="preserve">Ley </w:t>
      </w:r>
      <w:smartTag w:uri="urn:schemas-microsoft-com:office:smarttags" w:element="State">
        <w:r>
          <w:rPr>
            <w:i/>
            <w:szCs w:val="24"/>
            <w:lang w:val="es-ES_tradnl"/>
          </w:rPr>
          <w:t>del</w:t>
        </w:r>
      </w:smartTag>
      <w:r>
        <w:rPr>
          <w:i/>
          <w:szCs w:val="24"/>
          <w:lang w:val="es-ES_tradnl"/>
        </w:rPr>
        <w:t xml:space="preserve"> seguro nacional</w:t>
      </w:r>
      <w:r>
        <w:rPr>
          <w:szCs w:val="24"/>
          <w:lang w:val="es-ES_tradnl"/>
        </w:rPr>
        <w:t xml:space="preserve"> </w:t>
      </w:r>
      <w:smartTag w:uri="urn:schemas-microsoft-com:office:smarttags" w:element="City">
        <w:r>
          <w:rPr>
            <w:szCs w:val="24"/>
            <w:lang w:val="es-ES_tradnl"/>
          </w:rPr>
          <w:t>como</w:t>
        </w:r>
      </w:smartTag>
      <w:r>
        <w:rPr>
          <w:szCs w:val="24"/>
          <w:lang w:val="es-ES_tradnl"/>
        </w:rPr>
        <w:t xml:space="preserve"> en la</w:t>
      </w:r>
      <w:r>
        <w:rPr>
          <w:i/>
          <w:szCs w:val="24"/>
          <w:lang w:val="es-ES_tradnl"/>
        </w:rPr>
        <w:t xml:space="preserve"> Ley </w:t>
      </w:r>
      <w:smartTag w:uri="urn:schemas-microsoft-com:office:smarttags" w:element="State">
        <w:smartTag w:uri="urn:schemas-microsoft-com:office:smarttags" w:element="place">
          <w:r>
            <w:rPr>
              <w:i/>
              <w:szCs w:val="24"/>
              <w:lang w:val="es-ES_tradnl"/>
            </w:rPr>
            <w:t>del</w:t>
          </w:r>
        </w:smartTag>
      </w:smartTag>
      <w:r>
        <w:rPr>
          <w:i/>
          <w:szCs w:val="24"/>
          <w:lang w:val="es-ES_tradnl"/>
        </w:rPr>
        <w:t xml:space="preserve"> empleo femenino</w:t>
      </w:r>
      <w:r>
        <w:rPr>
          <w:szCs w:val="24"/>
          <w:lang w:val="es-ES_tradnl"/>
        </w:rPr>
        <w:t>.</w:t>
      </w:r>
      <w:r>
        <w:rPr>
          <w:szCs w:val="24"/>
        </w:rPr>
        <w:t xml:space="preserve"> </w:t>
      </w:r>
      <w:r>
        <w:rPr>
          <w:szCs w:val="24"/>
          <w:lang w:val="es-ES_tradnl"/>
        </w:rPr>
        <w:t>Los datos indican un aumento considerable del número de hombres que reciben el subsidio de maternidad.</w:t>
      </w:r>
      <w:r>
        <w:rPr>
          <w:szCs w:val="24"/>
        </w:rPr>
        <w:t xml:space="preserve"> </w:t>
      </w:r>
      <w:r>
        <w:rPr>
          <w:szCs w:val="24"/>
          <w:lang w:val="es-ES_tradnl"/>
        </w:rPr>
        <w:t>En 2007 el número de hombres que recibían el subsidio de maternidad era 246, frente a 128 en 2003.</w:t>
      </w:r>
    </w:p>
    <w:p w:rsidR="00F92819" w:rsidRDefault="00F92819">
      <w:pPr>
        <w:pStyle w:val="H4G"/>
        <w:rPr>
          <w:szCs w:val="24"/>
        </w:rPr>
      </w:pPr>
      <w:r>
        <w:rPr>
          <w:szCs w:val="24"/>
        </w:rPr>
        <w:tab/>
      </w:r>
      <w:r>
        <w:rPr>
          <w:szCs w:val="24"/>
        </w:rPr>
        <w:tab/>
      </w:r>
      <w:r>
        <w:rPr>
          <w:szCs w:val="24"/>
          <w:lang w:val="es-ES_tradnl"/>
        </w:rPr>
        <w:t>Prestaciones de vejez</w:t>
      </w:r>
    </w:p>
    <w:p w:rsidR="00F92819" w:rsidRDefault="00F92819">
      <w:pPr>
        <w:pStyle w:val="SingleTxtG"/>
        <w:rPr>
          <w:szCs w:val="24"/>
        </w:rPr>
      </w:pPr>
      <w:r>
        <w:rPr>
          <w:szCs w:val="24"/>
        </w:rPr>
        <w:t>315.</w:t>
      </w:r>
      <w:r>
        <w:rPr>
          <w:szCs w:val="24"/>
        </w:rPr>
        <w:tab/>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se detalla en el informe periódico anterior de Israel, el Instituto Nacional de Seguros inicia los trámites para solicitar las pensiones de vejez.</w:t>
      </w:r>
      <w:r>
        <w:rPr>
          <w:szCs w:val="24"/>
        </w:rPr>
        <w:t xml:space="preserve"> </w:t>
      </w:r>
      <w:r>
        <w:rPr>
          <w:szCs w:val="24"/>
          <w:lang w:val="es-ES_tradnl"/>
        </w:rPr>
        <w:t>Unos dos meses antes de alcanzar la edad que da derecho a la pensión, todos los hombres y las mujeres reciben del Instituto Nacional de Seguros un impreso de solicitud de la pensión de vejez, junto con una carta explicativa.</w:t>
      </w:r>
    </w:p>
    <w:p w:rsidR="00F92819" w:rsidRDefault="00F92819">
      <w:pPr>
        <w:pStyle w:val="SingleTxtG"/>
        <w:rPr>
          <w:szCs w:val="24"/>
        </w:rPr>
      </w:pPr>
      <w:r w:rsidRPr="007C24EF">
        <w:rPr>
          <w:szCs w:val="24"/>
        </w:rPr>
        <w:t>316.</w:t>
      </w:r>
      <w:r w:rsidRPr="007C24EF">
        <w:rPr>
          <w:szCs w:val="24"/>
        </w:rPr>
        <w:tab/>
      </w:r>
      <w:r>
        <w:rPr>
          <w:b/>
          <w:i/>
          <w:szCs w:val="24"/>
          <w:lang w:val="es-ES_tradnl"/>
        </w:rPr>
        <w:t>Ley sobre la edad de jubilación</w:t>
      </w:r>
      <w:r>
        <w:rPr>
          <w:szCs w:val="24"/>
          <w:lang w:val="es-ES_tradnl"/>
        </w:rPr>
        <w:t>.</w:t>
      </w:r>
      <w:r>
        <w:rPr>
          <w:szCs w:val="24"/>
        </w:rPr>
        <w:t xml:space="preserve"> </w:t>
      </w:r>
      <w:r>
        <w:rPr>
          <w:szCs w:val="24"/>
          <w:lang w:val="es-ES_tradnl"/>
        </w:rPr>
        <w:t>Como se ha mencionado en el artículo 3, en 2004 el Knesset aprobó la</w:t>
      </w:r>
      <w:r>
        <w:rPr>
          <w:i/>
          <w:szCs w:val="24"/>
          <w:lang w:val="es-ES_tradnl"/>
        </w:rPr>
        <w:t xml:space="preserve"> Ley sobre la edad de jubilación</w:t>
      </w:r>
      <w:r>
        <w:rPr>
          <w:szCs w:val="24"/>
          <w:lang w:val="es-ES_tradnl"/>
        </w:rPr>
        <w:t>, con arreglo a la cual desde el 1º de julio de 2004 la edad de jubilación (y por consiguiente la edad que da derecho a la pensión de vejez) se eleva paulatinamente como sigue:</w:t>
      </w:r>
      <w:r>
        <w:rPr>
          <w:szCs w:val="24"/>
        </w:rPr>
        <w:t xml:space="preserve"> </w:t>
      </w:r>
      <w:r>
        <w:rPr>
          <w:szCs w:val="24"/>
          <w:lang w:val="es-ES_tradnl"/>
        </w:rPr>
        <w:t>la edad condicional o la edad de jubilación (edad que da derecho a la pensión de vejez condicionada a una comprobación de los medios de vida) se elevará gradualmente hasta alcanzar los 67 años para los hombres y los 62 años para las mujeres.</w:t>
      </w:r>
      <w:r>
        <w:rPr>
          <w:szCs w:val="24"/>
        </w:rPr>
        <w:t xml:space="preserve"> </w:t>
      </w:r>
      <w:r>
        <w:rPr>
          <w:szCs w:val="24"/>
          <w:lang w:val="es-ES_tradnl"/>
        </w:rPr>
        <w:t>La edad absoluta o edad pensionable (edad que da derecho a la pensión de vejez que no está condicionada a una comprobación de los medios de vida) se eleva paulatinamente para las mujeres hasta alcanzar los 70 años (igual que para los hombres).</w:t>
      </w:r>
      <w:r>
        <w:rPr>
          <w:szCs w:val="24"/>
        </w:rPr>
        <w:t xml:space="preserve"> </w:t>
      </w:r>
      <w:r>
        <w:rPr>
          <w:szCs w:val="24"/>
          <w:lang w:val="es-ES_tradnl"/>
        </w:rPr>
        <w:t>Antes de la modificación, la edad condicional que da derecho a la pensión de vejez era 65 años para los hombres y 60 años para las mujeres, mientras que la edad absoluta era 70 y 65 años, respectivamente.</w:t>
      </w:r>
      <w:r>
        <w:rPr>
          <w:szCs w:val="24"/>
        </w:rPr>
        <w:t xml:space="preserve"> </w:t>
      </w:r>
      <w:smartTag w:uri="urn:schemas-microsoft-com:office:smarttags" w:element="PersonName">
        <w:smartTagPr>
          <w:attr w:name="ProductID" w:val="la nueva Ley"/>
        </w:smartTagPr>
        <w:r>
          <w:rPr>
            <w:szCs w:val="24"/>
            <w:lang w:val="es-ES_tradnl"/>
          </w:rPr>
          <w:t>La nueva Ley</w:t>
        </w:r>
      </w:smartTag>
      <w:r>
        <w:rPr>
          <w:szCs w:val="24"/>
          <w:lang w:val="es-ES_tradnl"/>
        </w:rPr>
        <w:t xml:space="preserve"> afecta a la definición de las personas aseguradas y muchas otras ramas de la seguridad social, como la de discapacidad, desempleo, sostenimiento de la renta, movilidad y atención a largo plazo.</w:t>
      </w:r>
    </w:p>
    <w:p w:rsidR="00F92819" w:rsidRDefault="00F92819">
      <w:pPr>
        <w:pStyle w:val="SingleTxtG"/>
        <w:rPr>
          <w:szCs w:val="24"/>
        </w:rPr>
      </w:pPr>
      <w:r>
        <w:rPr>
          <w:szCs w:val="24"/>
        </w:rPr>
        <w:t>317.</w:t>
      </w:r>
      <w:r>
        <w:rPr>
          <w:szCs w:val="24"/>
        </w:rPr>
        <w:tab/>
      </w:r>
      <w:r>
        <w:rPr>
          <w:szCs w:val="24"/>
          <w:lang w:val="es-ES_tradnl"/>
        </w:rPr>
        <w:t xml:space="preserve">El 19 de marzo de 2007 se modificó la </w:t>
      </w:r>
      <w:r w:rsidRPr="009F5C10">
        <w:rPr>
          <w:b/>
          <w:i/>
          <w:szCs w:val="24"/>
          <w:lang w:val="es-ES_tradnl"/>
        </w:rPr>
        <w:t>Ley para el ahorro de electricidad</w:t>
      </w:r>
      <w:r w:rsidRPr="009F5C10">
        <w:rPr>
          <w:b/>
          <w:szCs w:val="24"/>
          <w:lang w:val="es-ES_tradnl"/>
        </w:rPr>
        <w:t xml:space="preserve"> de 5756/1996</w:t>
      </w:r>
      <w:r>
        <w:rPr>
          <w:szCs w:val="24"/>
          <w:lang w:val="es-ES_tradnl"/>
        </w:rPr>
        <w:t xml:space="preserve"> y se añadió el artículo 31a,</w:t>
      </w:r>
      <w:r>
        <w:rPr>
          <w:szCs w:val="24"/>
        </w:rPr>
        <w:t xml:space="preserve"> </w:t>
      </w:r>
      <w:r>
        <w:rPr>
          <w:szCs w:val="24"/>
          <w:lang w:val="es-ES_tradnl"/>
        </w:rPr>
        <w:t>de conformidad con el cual, las personas que llegan a la edad de jubilación con derecho al sostenimiento de la renta tienen derecho a un descuento del 50% en los primeros 400 kWh de consumo doméstico mensual.</w:t>
      </w:r>
      <w:r>
        <w:rPr>
          <w:szCs w:val="24"/>
        </w:rPr>
        <w:t xml:space="preserve"> </w:t>
      </w:r>
      <w:r>
        <w:rPr>
          <w:szCs w:val="24"/>
          <w:lang w:val="es-ES_tradnl"/>
        </w:rPr>
        <w:t>El nuevo artículo otorga más competencias al Ministro de Infraestructuras Nacionales para identificar, en consulta con el Ministro de Asuntos Sociales y Servicios Sociales, otros sectores de la población que también puedan tener derecho a este descuento en el consumo de electricidad.</w:t>
      </w:r>
    </w:p>
    <w:p w:rsidR="00F92819" w:rsidRDefault="00F92819">
      <w:pPr>
        <w:pStyle w:val="H4G"/>
        <w:rPr>
          <w:szCs w:val="24"/>
        </w:rPr>
      </w:pPr>
      <w:r>
        <w:rPr>
          <w:szCs w:val="24"/>
        </w:rPr>
        <w:tab/>
      </w:r>
      <w:r>
        <w:rPr>
          <w:szCs w:val="24"/>
        </w:rPr>
        <w:tab/>
      </w:r>
      <w:r>
        <w:rPr>
          <w:szCs w:val="24"/>
          <w:lang w:val="es-ES_tradnl"/>
        </w:rPr>
        <w:t>Prestaciones de discapacidad</w:t>
      </w:r>
    </w:p>
    <w:p w:rsidR="00F92819" w:rsidRDefault="00F92819">
      <w:pPr>
        <w:pStyle w:val="SingleTxtG"/>
        <w:rPr>
          <w:szCs w:val="24"/>
        </w:rPr>
      </w:pPr>
      <w:r w:rsidRPr="009F5C10">
        <w:rPr>
          <w:szCs w:val="24"/>
        </w:rPr>
        <w:t>318.</w:t>
      </w:r>
      <w:r w:rsidRPr="009F5C10">
        <w:rPr>
          <w:szCs w:val="24"/>
        </w:rPr>
        <w:tab/>
      </w:r>
      <w:r>
        <w:rPr>
          <w:b/>
          <w:szCs w:val="24"/>
          <w:lang w:val="es-ES_tradnl"/>
        </w:rPr>
        <w:t>Derecho de los residentes repatriados a una pensión de discapacidad</w:t>
      </w:r>
      <w:r>
        <w:rPr>
          <w:szCs w:val="24"/>
          <w:lang w:val="es-ES_tradnl"/>
        </w:rPr>
        <w:t>.</w:t>
      </w:r>
      <w:r>
        <w:rPr>
          <w:szCs w:val="24"/>
        </w:rPr>
        <w:t xml:space="preserve"> </w:t>
      </w:r>
      <w:r>
        <w:rPr>
          <w:szCs w:val="24"/>
          <w:lang w:val="es-ES_tradnl"/>
        </w:rPr>
        <w:t xml:space="preserve">De conformidad con la Enmienda </w:t>
      </w:r>
      <w:r w:rsidR="00713E0E">
        <w:rPr>
          <w:szCs w:val="24"/>
          <w:lang w:val="es-ES_tradnl"/>
        </w:rPr>
        <w:t>Nº</w:t>
      </w:r>
      <w:r>
        <w:rPr>
          <w:szCs w:val="24"/>
          <w:lang w:val="es-ES_tradnl"/>
        </w:rPr>
        <w:t xml:space="preserve"> </w:t>
      </w:r>
      <w:smartTag w:uri="urn:schemas-microsoft-com:office:smarttags" w:element="metricconverter">
        <w:smartTagPr>
          <w:attr w:name="ProductID" w:val="53 a"/>
        </w:smartTagPr>
        <w:r>
          <w:rPr>
            <w:szCs w:val="24"/>
            <w:lang w:val="es-ES_tradnl"/>
          </w:rPr>
          <w:t>53 a</w:t>
        </w:r>
      </w:smartTag>
      <w:r>
        <w:rPr>
          <w:szCs w:val="24"/>
          <w:lang w:val="es-ES_tradnl"/>
        </w:rPr>
        <w:t xml:space="preserve"> la </w:t>
      </w:r>
      <w:r>
        <w:rPr>
          <w:i/>
          <w:szCs w:val="24"/>
          <w:lang w:val="es-ES_tradnl"/>
        </w:rPr>
        <w:t>Ley del seguro nacional</w:t>
      </w:r>
      <w:r>
        <w:rPr>
          <w:szCs w:val="24"/>
          <w:lang w:val="es-ES_tradnl"/>
        </w:rPr>
        <w:t xml:space="preserve"> aprobada en 2002, también puede concederse una pensión de discapacidad a una persona cuya incapacidad para trabajar comenzó cuando no residía en Israel, si la deficiencia que la provocó se produjo cuando la persona era un menor de 18 años residente en Israel.</w:t>
      </w:r>
      <w:r>
        <w:rPr>
          <w:szCs w:val="24"/>
        </w:rPr>
        <w:t xml:space="preserve"> </w:t>
      </w:r>
      <w:r>
        <w:rPr>
          <w:szCs w:val="24"/>
          <w:lang w:val="es-ES_tradnl"/>
        </w:rPr>
        <w:t>Antes de la enmienda a la Ley, uno de los requisitos necesarios para tener derecho a la pensión de discapacidad era que la incapacidad para trabajar se produjera cuando la persona era residente israelí, excepto para los nuevos inmigrantes, que tienen derecho a la pensión aunque su incapacidad se iniciara antes de convertirse en residentes israelíes.</w:t>
      </w:r>
      <w:r>
        <w:rPr>
          <w:szCs w:val="24"/>
        </w:rPr>
        <w:t xml:space="preserve"> </w:t>
      </w:r>
      <w:r>
        <w:rPr>
          <w:szCs w:val="24"/>
          <w:lang w:val="es-ES_tradnl"/>
        </w:rPr>
        <w:t>La finalidad principal de la enmienda, en vigor desde el 1º de septiembre de 2002, es satisfacer las necesidades de los residentes repatriados.</w:t>
      </w:r>
    </w:p>
    <w:p w:rsidR="00F92819" w:rsidRDefault="00F92819">
      <w:pPr>
        <w:pStyle w:val="SingleTxtG"/>
        <w:rPr>
          <w:szCs w:val="24"/>
        </w:rPr>
      </w:pPr>
      <w:r w:rsidRPr="009F5C10">
        <w:rPr>
          <w:szCs w:val="24"/>
        </w:rPr>
        <w:t>319.</w:t>
      </w:r>
      <w:r w:rsidRPr="009F5C10">
        <w:rPr>
          <w:szCs w:val="24"/>
        </w:rPr>
        <w:tab/>
      </w:r>
      <w:r>
        <w:rPr>
          <w:b/>
          <w:szCs w:val="24"/>
          <w:lang w:val="es-ES_tradnl"/>
        </w:rPr>
        <w:t xml:space="preserve">Ampliación de la definición de nuevo inmigrante con respecto a las condiciones exigidas para obtener una pensión de discapacidad. </w:t>
      </w:r>
      <w:r>
        <w:rPr>
          <w:szCs w:val="24"/>
          <w:lang w:val="es-ES_tradnl"/>
        </w:rPr>
        <w:t xml:space="preserve">Una enmienda reciente de la </w:t>
      </w:r>
      <w:r>
        <w:rPr>
          <w:i/>
          <w:szCs w:val="24"/>
          <w:lang w:val="es-ES_tradnl"/>
        </w:rPr>
        <w:t xml:space="preserve">Ley del seguro nacional </w:t>
      </w:r>
      <w:r>
        <w:rPr>
          <w:szCs w:val="24"/>
          <w:lang w:val="es-ES_tradnl"/>
        </w:rPr>
        <w:t>amplió la definición de nuevo inmigrante para incluir a las personas con visado de residencia temporal o permanente en Israel, quienes recibirán un paquete de servicios del Ministerio para la Absorción de Inmigrantes.</w:t>
      </w:r>
      <w:r>
        <w:rPr>
          <w:szCs w:val="24"/>
        </w:rPr>
        <w:t xml:space="preserve"> </w:t>
      </w:r>
      <w:r>
        <w:rPr>
          <w:szCs w:val="24"/>
          <w:lang w:val="es-ES_tradnl"/>
        </w:rPr>
        <w:t>El derecho a la pensión de discapacidad para estas personas comienza 12 meses después de entrar al país, aunque no antes del 1º de julio de 2006, cuando entro en vigor la enmienda.</w:t>
      </w:r>
    </w:p>
    <w:p w:rsidR="00F92819" w:rsidRDefault="00F92819">
      <w:pPr>
        <w:pStyle w:val="SingleTxtG"/>
        <w:rPr>
          <w:szCs w:val="24"/>
        </w:rPr>
      </w:pPr>
      <w:r w:rsidRPr="009F5C10">
        <w:rPr>
          <w:szCs w:val="24"/>
        </w:rPr>
        <w:t>320.</w:t>
      </w:r>
      <w:r w:rsidRPr="009F5C10">
        <w:rPr>
          <w:szCs w:val="24"/>
        </w:rPr>
        <w:tab/>
      </w:r>
      <w:r>
        <w:rPr>
          <w:b/>
          <w:i/>
          <w:szCs w:val="24"/>
          <w:lang w:val="es-ES_tradnl"/>
        </w:rPr>
        <w:t>Ley sobre la edad de jubilación:</w:t>
      </w:r>
      <w:r>
        <w:rPr>
          <w:b/>
          <w:szCs w:val="24"/>
        </w:rPr>
        <w:t xml:space="preserve"> </w:t>
      </w:r>
      <w:r>
        <w:rPr>
          <w:b/>
          <w:szCs w:val="24"/>
          <w:lang w:val="es-ES_tradnl"/>
        </w:rPr>
        <w:t>repercusiones sobre el seguro de discapacidad</w:t>
      </w:r>
      <w:r>
        <w:rPr>
          <w:szCs w:val="24"/>
          <w:lang w:val="es-ES_tradnl"/>
        </w:rPr>
        <w:t>.</w:t>
      </w:r>
      <w:r>
        <w:rPr>
          <w:szCs w:val="24"/>
        </w:rPr>
        <w:t xml:space="preserve"> </w:t>
      </w:r>
      <w:r>
        <w:rPr>
          <w:szCs w:val="24"/>
          <w:lang w:val="es-ES_tradnl"/>
        </w:rPr>
        <w:t xml:space="preserve">La </w:t>
      </w:r>
      <w:r>
        <w:rPr>
          <w:i/>
          <w:szCs w:val="24"/>
          <w:lang w:val="es-ES_tradnl"/>
        </w:rPr>
        <w:t xml:space="preserve">Ley sobre la edad de jubilación </w:t>
      </w:r>
      <w:r>
        <w:rPr>
          <w:szCs w:val="24"/>
          <w:lang w:val="es-ES_tradnl"/>
        </w:rPr>
        <w:t>ha ampliado el ámbito de personas con derecho a pensión de discapacidad.</w:t>
      </w:r>
      <w:r>
        <w:rPr>
          <w:szCs w:val="24"/>
        </w:rPr>
        <w:t xml:space="preserve"> </w:t>
      </w:r>
      <w:r>
        <w:rPr>
          <w:szCs w:val="24"/>
          <w:lang w:val="es-ES_tradnl"/>
        </w:rPr>
        <w:t>Las personas aseguradas a efectos del seguro de discapacidad ahora se definen como “residentes israelíes de 18 años o más que todavía no han alcanzado la edad de jubilación”.</w:t>
      </w:r>
      <w:r>
        <w:rPr>
          <w:szCs w:val="24"/>
        </w:rPr>
        <w:t xml:space="preserve"> </w:t>
      </w:r>
      <w:r>
        <w:rPr>
          <w:szCs w:val="24"/>
          <w:lang w:val="es-ES_tradnl"/>
        </w:rPr>
        <w:t xml:space="preserve">Esta edad se está elevando paulatinamente, como se ha mencionado, hasta los 67 años para los hombres y 62 años para las mujeres, y mientras tanto varía según el mes de nacimiento de </w:t>
      </w:r>
      <w:smartTag w:uri="urn:schemas-microsoft-com:office:smarttags" w:element="PersonName">
        <w:smartTagPr>
          <w:attr w:name="ProductID" w:val="la persona. El"/>
        </w:smartTagPr>
        <w:r>
          <w:rPr>
            <w:szCs w:val="24"/>
            <w:lang w:val="es-ES_tradnl"/>
          </w:rPr>
          <w:t>la persona.</w:t>
        </w:r>
        <w:r>
          <w:rPr>
            <w:szCs w:val="24"/>
          </w:rPr>
          <w:t xml:space="preserve"> </w:t>
        </w:r>
        <w:r>
          <w:rPr>
            <w:szCs w:val="24"/>
            <w:lang w:val="es-ES_tradnl"/>
          </w:rPr>
          <w:t>El</w:t>
        </w:r>
      </w:smartTag>
      <w:r>
        <w:rPr>
          <w:szCs w:val="24"/>
          <w:lang w:val="es-ES_tradnl"/>
        </w:rPr>
        <w:t xml:space="preserve"> cambio está en vigor desde el 1º de abril de 2004 y es aplicable a los hombres que hayan cumplido 65 años y a las mujeres que hayan cumplido 60 años con fecha de 1º de julio de 2004 o posteriormente.</w:t>
      </w:r>
    </w:p>
    <w:p w:rsidR="00F92819" w:rsidRDefault="00F92819">
      <w:pPr>
        <w:pStyle w:val="SingleTxtG"/>
        <w:rPr>
          <w:szCs w:val="24"/>
        </w:rPr>
      </w:pPr>
      <w:r w:rsidRPr="009F5C10">
        <w:rPr>
          <w:szCs w:val="24"/>
        </w:rPr>
        <w:t>321.</w:t>
      </w:r>
      <w:r w:rsidRPr="009F5C10">
        <w:rPr>
          <w:szCs w:val="24"/>
        </w:rPr>
        <w:tab/>
      </w:r>
      <w:r>
        <w:rPr>
          <w:b/>
          <w:i/>
          <w:szCs w:val="24"/>
          <w:lang w:val="es-ES_tradnl"/>
        </w:rPr>
        <w:t>Ley de indemnización a las víctimas de la poliornielitis</w:t>
      </w:r>
      <w:r>
        <w:rPr>
          <w:b/>
          <w:szCs w:val="24"/>
          <w:lang w:val="es-ES_tradnl"/>
        </w:rPr>
        <w:t xml:space="preserve"> de 5767/2007.</w:t>
      </w:r>
      <w:r>
        <w:rPr>
          <w:b/>
          <w:i/>
          <w:szCs w:val="24"/>
          <w:lang w:val="es-ES_tradnl"/>
        </w:rPr>
        <w:t xml:space="preserve"> </w:t>
      </w:r>
      <w:r>
        <w:rPr>
          <w:szCs w:val="24"/>
          <w:lang w:val="es-ES_tradnl"/>
        </w:rPr>
        <w:t xml:space="preserve">El objetivo de </w:t>
      </w:r>
      <w:smartTag w:uri="urn:schemas-microsoft-com:office:smarttags" w:element="PersonName">
        <w:smartTagPr>
          <w:attr w:name="ProductID" w:val="la nueva Ley"/>
        </w:smartTagPr>
        <w:r>
          <w:rPr>
            <w:szCs w:val="24"/>
            <w:lang w:val="es-ES_tradnl"/>
          </w:rPr>
          <w:t>la nueva Ley</w:t>
        </w:r>
      </w:smartTag>
      <w:r>
        <w:rPr>
          <w:szCs w:val="24"/>
          <w:lang w:val="es-ES_tradnl"/>
        </w:rPr>
        <w:t xml:space="preserve"> es indemnizar a los residentes israelíes (de conformidad con lo dispuesto en la </w:t>
      </w:r>
      <w:r>
        <w:rPr>
          <w:i/>
          <w:szCs w:val="24"/>
          <w:lang w:val="es-ES_tradnl"/>
        </w:rPr>
        <w:t>Ley del seguro nacional</w:t>
      </w:r>
      <w:r>
        <w:rPr>
          <w:szCs w:val="24"/>
          <w:lang w:val="es-ES_tradnl"/>
        </w:rPr>
        <w:t>) que fueron infectados por la enfermedad de la poliornielitis mientras residían en Israel y, por consiguiente, quedaron paralíticos.</w:t>
      </w:r>
      <w:r>
        <w:rPr>
          <w:szCs w:val="24"/>
        </w:rPr>
        <w:t xml:space="preserve"> </w:t>
      </w:r>
      <w:r>
        <w:rPr>
          <w:szCs w:val="24"/>
          <w:lang w:val="es-ES_tradnl"/>
        </w:rPr>
        <w:t>La indemnización se asignará con arreglo a los grados de discapacidad médica, que se determinarán según lo estipulado en la</w:t>
      </w:r>
      <w:r>
        <w:rPr>
          <w:i/>
          <w:szCs w:val="24"/>
          <w:lang w:val="es-ES_tradnl"/>
        </w:rPr>
        <w:t xml:space="preserve"> Ley del seguro nacional.</w:t>
      </w:r>
    </w:p>
    <w:p w:rsidR="00F92819" w:rsidRDefault="00F92819">
      <w:pPr>
        <w:pStyle w:val="SingleTxtG"/>
        <w:rPr>
          <w:szCs w:val="24"/>
        </w:rPr>
      </w:pPr>
      <w:r>
        <w:rPr>
          <w:szCs w:val="24"/>
          <w:lang w:val="es-ES_tradnl"/>
        </w:rPr>
        <w:t>Las prestaciones ofrecidas en virtud de la Ley son complementarias de las prestaciones generales de discapacidad y/o movilidad a las que pueda tener derecho la víctima de la polio.</w:t>
      </w:r>
    </w:p>
    <w:p w:rsidR="00F92819" w:rsidRDefault="00F92819">
      <w:pPr>
        <w:pStyle w:val="SingleTxtG"/>
        <w:rPr>
          <w:szCs w:val="24"/>
        </w:rPr>
      </w:pPr>
      <w:r w:rsidRPr="009F5C10">
        <w:rPr>
          <w:szCs w:val="24"/>
        </w:rPr>
        <w:t>322.</w:t>
      </w:r>
      <w:r w:rsidRPr="009F5C10">
        <w:rPr>
          <w:szCs w:val="24"/>
        </w:rPr>
        <w:tab/>
      </w:r>
      <w:r>
        <w:rPr>
          <w:b/>
          <w:szCs w:val="24"/>
          <w:lang w:val="es-ES_tradnl"/>
        </w:rPr>
        <w:t>Niños con discapacidad.</w:t>
      </w:r>
      <w:r>
        <w:rPr>
          <w:b/>
          <w:szCs w:val="24"/>
        </w:rPr>
        <w:t xml:space="preserve"> </w:t>
      </w:r>
      <w:r>
        <w:rPr>
          <w:szCs w:val="24"/>
          <w:lang w:val="es-ES_tradnl"/>
        </w:rPr>
        <w:t>El Instituto Nacional de Seguros paga una prestación especial para niños discapacitados, como se define a continuación:</w:t>
      </w:r>
      <w:r>
        <w:rPr>
          <w:szCs w:val="24"/>
        </w:rPr>
        <w:t xml:space="preserve"> </w:t>
      </w:r>
      <w:r>
        <w:rPr>
          <w:szCs w:val="24"/>
          <w:lang w:val="es-ES_tradnl"/>
        </w:rPr>
        <w:t>niños menores de 18 años (incluidos los niños adoptados o hijastros) hijos de una persona asegurada, o de una persona asegurada que haya fallecido como residente israelí y con las características siguientes:</w:t>
      </w:r>
    </w:p>
    <w:p w:rsidR="00F92819" w:rsidRDefault="00F92819">
      <w:pPr>
        <w:pStyle w:val="Bullet1G"/>
        <w:suppressAutoHyphens/>
        <w:rPr>
          <w:szCs w:val="24"/>
        </w:rPr>
      </w:pPr>
      <w:r>
        <w:rPr>
          <w:szCs w:val="24"/>
          <w:lang w:val="es-ES_tradnl"/>
        </w:rPr>
        <w:t>un niño (a partir de 3 años) que depende de la ayuda de los demás para realizar las funciones diarias (vestirse, comer, lavarse, movilidad en el hogar y la presencia permanente de otra persona, como se define en el reglamento) hasta un grado considerablemente superior a lo normal para su grupo de edad;</w:t>
      </w:r>
    </w:p>
    <w:p w:rsidR="00F92819" w:rsidRDefault="00F92819">
      <w:pPr>
        <w:pStyle w:val="Bullet1G"/>
        <w:suppressAutoHyphens/>
        <w:rPr>
          <w:szCs w:val="24"/>
        </w:rPr>
      </w:pPr>
      <w:r>
        <w:rPr>
          <w:szCs w:val="24"/>
          <w:lang w:val="es-ES_tradnl"/>
        </w:rPr>
        <w:t>un niño (mayor de 91 días) que necesita supervisión constante;</w:t>
      </w:r>
    </w:p>
    <w:p w:rsidR="00F92819" w:rsidRDefault="00F92819">
      <w:pPr>
        <w:pStyle w:val="Bullet1G"/>
        <w:suppressAutoHyphens/>
        <w:rPr>
          <w:szCs w:val="24"/>
        </w:rPr>
      </w:pPr>
      <w:r>
        <w:rPr>
          <w:szCs w:val="24"/>
          <w:lang w:val="es-ES_tradnl"/>
        </w:rPr>
        <w:t>un niño con una deficiencia especial, es decir:</w:t>
      </w:r>
      <w:r>
        <w:rPr>
          <w:szCs w:val="24"/>
        </w:rPr>
        <w:t xml:space="preserve"> </w:t>
      </w:r>
      <w:r>
        <w:rPr>
          <w:szCs w:val="24"/>
          <w:lang w:val="es-ES_tradnl"/>
        </w:rPr>
        <w:t>(de nacimiento) síndrome de Down o deterioro de la capacidad auditiva, o (más de 91 días de edad) una deficiencia visual, autismo, psicosis o retraso grave del desarrollo (esto último hasta la edad de 3 años);</w:t>
      </w:r>
    </w:p>
    <w:p w:rsidR="00F92819" w:rsidRDefault="00F92819">
      <w:pPr>
        <w:pStyle w:val="Bullet1G"/>
        <w:suppressAutoHyphens/>
        <w:rPr>
          <w:szCs w:val="24"/>
        </w:rPr>
      </w:pPr>
      <w:r>
        <w:rPr>
          <w:szCs w:val="24"/>
          <w:lang w:val="es-ES_tradnl"/>
        </w:rPr>
        <w:t>un niño (de más de 91 días) que necesita tratamiento médico especial con arreglo a lo establecido en el reglamento, debido a una enfermedad crónica grave.</w:t>
      </w:r>
    </w:p>
    <w:p w:rsidR="00F92819" w:rsidRDefault="00F92819">
      <w:pPr>
        <w:pStyle w:val="H4G"/>
        <w:rPr>
          <w:szCs w:val="24"/>
        </w:rPr>
      </w:pPr>
      <w:r>
        <w:rPr>
          <w:szCs w:val="24"/>
        </w:rPr>
        <w:tab/>
      </w:r>
      <w:r>
        <w:rPr>
          <w:szCs w:val="24"/>
        </w:rPr>
        <w:tab/>
      </w:r>
      <w:r>
        <w:rPr>
          <w:szCs w:val="24"/>
          <w:lang w:val="es-ES_tradnl"/>
        </w:rPr>
        <w:t>Prestaciones de sobrevivientes</w:t>
      </w:r>
    </w:p>
    <w:p w:rsidR="00F92819" w:rsidRDefault="00F92819">
      <w:pPr>
        <w:pStyle w:val="SingleTxtG"/>
        <w:rPr>
          <w:szCs w:val="24"/>
        </w:rPr>
      </w:pPr>
      <w:r w:rsidRPr="009F5C10">
        <w:rPr>
          <w:szCs w:val="24"/>
        </w:rPr>
        <w:t>323.</w:t>
      </w:r>
      <w:r w:rsidRPr="009F5C10">
        <w:rPr>
          <w:szCs w:val="24"/>
        </w:rPr>
        <w:tab/>
      </w:r>
      <w:r>
        <w:rPr>
          <w:b/>
          <w:szCs w:val="24"/>
          <w:lang w:val="es-ES_tradnl"/>
        </w:rPr>
        <w:t>Solicitud de pensión de sobreviviente.</w:t>
      </w:r>
      <w:r>
        <w:rPr>
          <w:szCs w:val="24"/>
        </w:rPr>
        <w:t xml:space="preserve"> </w:t>
      </w:r>
      <w:r>
        <w:rPr>
          <w:szCs w:val="24"/>
          <w:lang w:val="es-ES_tradnl"/>
        </w:rPr>
        <w:t>De conformidad con la política del Instituto Nacional de Seguros de procurar iniciar solicitudes fundamentadas siempre que sea posible con el fin de asegurar la máxima utilización de los derechos, en 2006 comenzó una nueva campaña para presentar solicitudes de pensiones de sobrevivientes. En la población destinataria se incluye a las esposas e hijos (menores de 22 años) de personas aseguradas fallecidas que todavía no hayan solicitado una pensión de sobreviviente.</w:t>
      </w:r>
    </w:p>
    <w:p w:rsidR="00F92819" w:rsidRDefault="00F92819">
      <w:pPr>
        <w:pStyle w:val="SingleTxtG"/>
        <w:rPr>
          <w:szCs w:val="24"/>
        </w:rPr>
      </w:pPr>
      <w:r w:rsidRPr="009F5C10">
        <w:rPr>
          <w:szCs w:val="24"/>
        </w:rPr>
        <w:t>324.</w:t>
      </w:r>
      <w:r w:rsidRPr="009F5C10">
        <w:rPr>
          <w:szCs w:val="24"/>
        </w:rPr>
        <w:tab/>
      </w:r>
      <w:r>
        <w:rPr>
          <w:b/>
          <w:szCs w:val="24"/>
          <w:lang w:val="es-ES_tradnl"/>
        </w:rPr>
        <w:t>Pago automático de la pensión de sobreviviente.</w:t>
      </w:r>
      <w:r>
        <w:rPr>
          <w:b/>
          <w:szCs w:val="24"/>
        </w:rPr>
        <w:t xml:space="preserve"> </w:t>
      </w:r>
      <w:r>
        <w:rPr>
          <w:szCs w:val="24"/>
          <w:lang w:val="es-ES_tradnl"/>
        </w:rPr>
        <w:t>Desde 2006 la pensión de familiares sobrevivientes se paga automáticamente a los siguientes grupos de población:</w:t>
      </w:r>
    </w:p>
    <w:p w:rsidR="00F92819" w:rsidRDefault="00F92819">
      <w:pPr>
        <w:pStyle w:val="SingleTxtG"/>
        <w:ind w:left="1701"/>
        <w:rPr>
          <w:szCs w:val="24"/>
        </w:rPr>
      </w:pPr>
      <w:r>
        <w:rPr>
          <w:szCs w:val="24"/>
        </w:rPr>
        <w:t>324.1</w:t>
      </w:r>
      <w:r>
        <w:rPr>
          <w:szCs w:val="24"/>
        </w:rPr>
        <w:tab/>
      </w:r>
      <w:r>
        <w:rPr>
          <w:szCs w:val="24"/>
          <w:lang w:val="es-ES_tradnl"/>
        </w:rPr>
        <w:t>viudas cuyos maridos habían recibido una prestación por familiares a cargo junto con la pensión de vejez;</w:t>
      </w:r>
    </w:p>
    <w:p w:rsidR="00F92819" w:rsidRDefault="00F92819">
      <w:pPr>
        <w:pStyle w:val="SingleTxtG"/>
        <w:ind w:left="1701"/>
        <w:rPr>
          <w:szCs w:val="24"/>
        </w:rPr>
      </w:pPr>
      <w:r>
        <w:rPr>
          <w:szCs w:val="24"/>
        </w:rPr>
        <w:t>324.2</w:t>
      </w:r>
      <w:r>
        <w:rPr>
          <w:szCs w:val="24"/>
        </w:rPr>
        <w:tab/>
      </w:r>
      <w:r>
        <w:rPr>
          <w:szCs w:val="24"/>
          <w:lang w:val="es-ES_tradnl"/>
        </w:rPr>
        <w:t>viudas que reciben una pensión de vejez por haber acumulado el período exigido para tener derecho a ella, en la misma cuenta bancaria que sus maridos.</w:t>
      </w:r>
    </w:p>
    <w:p w:rsidR="00F92819" w:rsidRDefault="00F92819">
      <w:pPr>
        <w:pStyle w:val="H4G"/>
        <w:rPr>
          <w:szCs w:val="24"/>
        </w:rPr>
      </w:pPr>
      <w:r>
        <w:rPr>
          <w:szCs w:val="24"/>
        </w:rPr>
        <w:tab/>
      </w:r>
      <w:r>
        <w:rPr>
          <w:szCs w:val="24"/>
        </w:rPr>
        <w:tab/>
      </w:r>
      <w:r>
        <w:rPr>
          <w:szCs w:val="24"/>
          <w:lang w:val="es-ES_tradnl"/>
        </w:rPr>
        <w:t>Subsidio de dependencia</w:t>
      </w:r>
    </w:p>
    <w:p w:rsidR="00F92819" w:rsidRDefault="00F92819">
      <w:pPr>
        <w:pStyle w:val="SingleTxtG"/>
        <w:rPr>
          <w:szCs w:val="24"/>
        </w:rPr>
      </w:pPr>
      <w:r>
        <w:rPr>
          <w:szCs w:val="24"/>
        </w:rPr>
        <w:t>325.</w:t>
      </w:r>
      <w:r>
        <w:rPr>
          <w:szCs w:val="24"/>
        </w:rPr>
        <w:tab/>
      </w:r>
      <w:r>
        <w:rPr>
          <w:szCs w:val="24"/>
          <w:lang w:val="es-ES_tradnl"/>
        </w:rPr>
        <w:t xml:space="preserve">El artículo 135 de la </w:t>
      </w:r>
      <w:r>
        <w:rPr>
          <w:i/>
          <w:szCs w:val="24"/>
          <w:lang w:val="es-ES_tradnl"/>
        </w:rPr>
        <w:t>Ley del seguro nacional</w:t>
      </w:r>
      <w:r>
        <w:rPr>
          <w:szCs w:val="24"/>
          <w:lang w:val="es-ES_tradnl"/>
        </w:rPr>
        <w:t xml:space="preserve"> establece que, cuando una viuda se vuelve a casar, tiene derecho a recibir el pago de dos prestaciones, pero renuncia a su derecho a recibir el subsidio mensual de dependencia.</w:t>
      </w:r>
      <w:r>
        <w:rPr>
          <w:szCs w:val="24"/>
        </w:rPr>
        <w:t xml:space="preserve"> </w:t>
      </w:r>
      <w:r>
        <w:rPr>
          <w:szCs w:val="24"/>
          <w:lang w:val="es-ES_tradnl"/>
        </w:rPr>
        <w:t xml:space="preserve">La Ley incluye en la definición de esposa a la pareja de hecho. </w:t>
      </w:r>
    </w:p>
    <w:p w:rsidR="00F92819" w:rsidRDefault="00F92819">
      <w:pPr>
        <w:pStyle w:val="SingleTxtG"/>
        <w:rPr>
          <w:szCs w:val="24"/>
        </w:rPr>
      </w:pPr>
      <w:r>
        <w:rPr>
          <w:szCs w:val="24"/>
        </w:rPr>
        <w:t>326.</w:t>
      </w:r>
      <w:r>
        <w:rPr>
          <w:szCs w:val="24"/>
        </w:rPr>
        <w:tab/>
      </w:r>
      <w:r>
        <w:rPr>
          <w:szCs w:val="24"/>
          <w:lang w:val="es-ES_tradnl"/>
        </w:rPr>
        <w:t xml:space="preserve">En </w:t>
      </w:r>
      <w:smartTag w:uri="urn:schemas-microsoft-com:office:smarttags" w:element="PersonName">
        <w:smartTagPr>
          <w:attr w:name="ProductID" w:val="la causa La.A."/>
        </w:smartTagPr>
        <w:r>
          <w:rPr>
            <w:szCs w:val="24"/>
            <w:lang w:val="es-ES_tradnl"/>
          </w:rPr>
          <w:t>la causa La.A.</w:t>
        </w:r>
      </w:smartTag>
      <w:r>
        <w:rPr>
          <w:szCs w:val="24"/>
          <w:lang w:val="es-ES_tradnl"/>
        </w:rPr>
        <w:t xml:space="preserve"> 1407/04</w:t>
      </w:r>
      <w:r>
        <w:rPr>
          <w:i/>
          <w:szCs w:val="24"/>
          <w:lang w:val="es-ES_tradnl"/>
        </w:rPr>
        <w:t xml:space="preserve"> El Instituto Nacional de Seguros c. Nehama Freeman </w:t>
      </w:r>
      <w:r>
        <w:rPr>
          <w:szCs w:val="24"/>
          <w:lang w:val="es-ES_tradnl"/>
        </w:rPr>
        <w:t>(8 de noviembre de 2006)</w:t>
      </w:r>
      <w:r>
        <w:rPr>
          <w:i/>
          <w:szCs w:val="24"/>
          <w:lang w:val="es-ES_tradnl"/>
        </w:rPr>
        <w:t xml:space="preserve"> </w:t>
      </w:r>
      <w:r>
        <w:rPr>
          <w:szCs w:val="24"/>
          <w:lang w:val="es-ES_tradnl"/>
        </w:rPr>
        <w:t>el Tribunal Laboral de Israel debatió sobre si una viuda que pasa a ser pareja de hecho, no se vuelve a casar y disfruta de una mejor situación económica que otras viudas, debe o no seguir recibiendo el subsidio de dependencia que se concede a las viudas.</w:t>
      </w:r>
      <w:r>
        <w:rPr>
          <w:szCs w:val="24"/>
        </w:rPr>
        <w:t xml:space="preserve"> </w:t>
      </w:r>
      <w:r>
        <w:rPr>
          <w:szCs w:val="24"/>
          <w:lang w:val="es-ES_tradnl"/>
        </w:rPr>
        <w:t>El Tribunal concluyó que, aunque la situación económica de una esposa de hecho es mejor que la de una viuda, dicha relación no es tan estable como la del matrimonio, dado que las partes pueden separarse en cualquier momento y la mujer puede tener que volver repentinamente a la situación económica de una viuda.</w:t>
      </w:r>
      <w:r>
        <w:rPr>
          <w:szCs w:val="24"/>
        </w:rPr>
        <w:t xml:space="preserve"> </w:t>
      </w:r>
      <w:r>
        <w:rPr>
          <w:szCs w:val="24"/>
          <w:lang w:val="es-ES_tradnl"/>
        </w:rPr>
        <w:t>Esta decisión demuestra la tendencia de la legislación y de las resoluciones judiciales a equiparar los derechos y las prestaciones que reciben las esposas de hecho con los de las mujeres casadas.</w:t>
      </w:r>
      <w:r>
        <w:rPr>
          <w:szCs w:val="24"/>
        </w:rPr>
        <w:t xml:space="preserve"> </w:t>
      </w:r>
      <w:r>
        <w:rPr>
          <w:szCs w:val="24"/>
          <w:lang w:val="es-ES_tradnl"/>
        </w:rPr>
        <w:t>No obstante, la cuestión planteada era la denegación de una prestación; el Tribunal concluyó que tal denegación debe interpretarse de forma estricta y que, por tanto, cuando el legislador desea denegar un derecho o una prestación, debe reflejarlo explícitamente en la Ley.</w:t>
      </w:r>
    </w:p>
    <w:p w:rsidR="00F92819" w:rsidRDefault="00F92819">
      <w:pPr>
        <w:pStyle w:val="H4G"/>
        <w:rPr>
          <w:szCs w:val="24"/>
        </w:rPr>
      </w:pPr>
      <w:r>
        <w:rPr>
          <w:szCs w:val="24"/>
        </w:rPr>
        <w:tab/>
      </w:r>
      <w:r>
        <w:rPr>
          <w:szCs w:val="24"/>
        </w:rPr>
        <w:tab/>
      </w:r>
      <w:r>
        <w:rPr>
          <w:szCs w:val="24"/>
          <w:lang w:val="es-ES_tradnl"/>
        </w:rPr>
        <w:t>Prestaciones por accidentes de trabajo</w:t>
      </w:r>
    </w:p>
    <w:p w:rsidR="00F92819" w:rsidRDefault="00F92819">
      <w:pPr>
        <w:pStyle w:val="SingleTxtG"/>
        <w:rPr>
          <w:szCs w:val="24"/>
        </w:rPr>
      </w:pPr>
      <w:r>
        <w:rPr>
          <w:szCs w:val="24"/>
        </w:rPr>
        <w:t>327.</w:t>
      </w:r>
      <w:r>
        <w:rPr>
          <w:szCs w:val="24"/>
        </w:rPr>
        <w:tab/>
      </w:r>
      <w:r>
        <w:rPr>
          <w:b/>
          <w:szCs w:val="24"/>
          <w:lang w:val="es-ES_tradnl"/>
        </w:rPr>
        <w:t xml:space="preserve">Pago en caso de fallecimiento de una persona discapacitada por accidente de trabajo, cuyo fallecimiento no es resultante </w:t>
      </w:r>
      <w:smartTag w:uri="urn:schemas-microsoft-com:office:smarttags" w:element="place">
        <w:smartTag w:uri="urn:schemas-microsoft-com:office:smarttags" w:element="State">
          <w:r>
            <w:rPr>
              <w:b/>
              <w:szCs w:val="24"/>
              <w:lang w:val="es-ES_tradnl"/>
            </w:rPr>
            <w:t>del</w:t>
          </w:r>
        </w:smartTag>
      </w:smartTag>
      <w:r>
        <w:rPr>
          <w:b/>
          <w:szCs w:val="24"/>
          <w:lang w:val="es-ES_tradnl"/>
        </w:rPr>
        <w:t xml:space="preserve"> accidente de trabajo.</w:t>
      </w:r>
      <w:r>
        <w:rPr>
          <w:b/>
          <w:szCs w:val="24"/>
        </w:rPr>
        <w:t xml:space="preserve"> </w:t>
      </w:r>
      <w:r>
        <w:rPr>
          <w:szCs w:val="24"/>
          <w:lang w:val="es-ES_tradnl"/>
        </w:rPr>
        <w:t>En 2001 se aprobó una enmienda al artículo 310 de la</w:t>
      </w:r>
      <w:r>
        <w:rPr>
          <w:i/>
          <w:szCs w:val="24"/>
          <w:lang w:val="es-ES_tradnl"/>
        </w:rPr>
        <w:t xml:space="preserve"> Ley del seguro nacional</w:t>
      </w:r>
      <w:r>
        <w:rPr>
          <w:szCs w:val="24"/>
          <w:lang w:val="es-ES_tradnl"/>
        </w:rPr>
        <w:t xml:space="preserve"> que establece el pago a las personas a cargo de una persona discapacitada por accidente de trabajo cuyo fallecimiento no haya sido consecuencia de su accidente de trabajo.</w:t>
      </w:r>
      <w:r>
        <w:rPr>
          <w:szCs w:val="24"/>
        </w:rPr>
        <w:t xml:space="preserve"> </w:t>
      </w:r>
      <w:r>
        <w:rPr>
          <w:szCs w:val="24"/>
          <w:lang w:val="es-ES_tradnl"/>
        </w:rPr>
        <w:t>Con arreglo a las condiciones estipuladas en la Ley, se paga a las personas a cargo una suma equivalente al 60% de la totalidad de la pensión de discapacidad de la persona discapacitada, multiplicado por 36.</w:t>
      </w:r>
      <w:r>
        <w:rPr>
          <w:szCs w:val="24"/>
        </w:rPr>
        <w:t xml:space="preserve"> </w:t>
      </w:r>
      <w:r>
        <w:rPr>
          <w:szCs w:val="24"/>
          <w:lang w:val="es-ES_tradnl"/>
        </w:rPr>
        <w:t>El pago se realiza en dos plazos, el primero al fallecer la persona discapacitada y el segundo al cabo de un año del óbito.</w:t>
      </w:r>
      <w:r>
        <w:rPr>
          <w:szCs w:val="24"/>
        </w:rPr>
        <w:t xml:space="preserve"> </w:t>
      </w:r>
      <w:r>
        <w:rPr>
          <w:szCs w:val="24"/>
          <w:lang w:val="es-ES_tradnl"/>
        </w:rPr>
        <w:t>Antes de la modificación, cuando una persona discapacitada por accidente de trabajo fallecía por una causa distinta de su accidente de trabajo, dejaba de percibir su pensión mensual y se realizaba un pago por fallecimiento con arreglo al salario medio.</w:t>
      </w:r>
      <w:r>
        <w:rPr>
          <w:szCs w:val="24"/>
        </w:rPr>
        <w:t xml:space="preserve"> </w:t>
      </w:r>
      <w:r>
        <w:rPr>
          <w:szCs w:val="24"/>
          <w:lang w:val="es-ES_tradnl"/>
        </w:rPr>
        <w:t xml:space="preserve">Esta suma se pagaba solamente a las personas a cargo de una persona con una discapacidad médica permanente del 50% como mínimo y a las personas a cargo de una persona anciana con discapacidad. </w:t>
      </w:r>
    </w:p>
    <w:p w:rsidR="00F92819" w:rsidRDefault="00F92819">
      <w:pPr>
        <w:pStyle w:val="SingleTxtG"/>
        <w:rPr>
          <w:szCs w:val="24"/>
        </w:rPr>
      </w:pPr>
      <w:r>
        <w:rPr>
          <w:szCs w:val="24"/>
          <w:lang w:val="es-ES_tradnl"/>
        </w:rPr>
        <w:t>El pago actual por fallecimiento es una cantidad superior y se otorga a todas las personas a cargo de personas incapacitadas por accidente de trabajo, mejorando así su situación económica.</w:t>
      </w:r>
      <w:r>
        <w:rPr>
          <w:szCs w:val="24"/>
        </w:rPr>
        <w:t xml:space="preserve"> </w:t>
      </w:r>
      <w:r>
        <w:rPr>
          <w:szCs w:val="24"/>
          <w:lang w:val="es-ES_tradnl"/>
        </w:rPr>
        <w:t>Cabe destacar que cuando una persona que ha sufrido un accidente laboral fallece a consecuencia del mismo, las personas a su cargo siguen recibiendo una pensión mensual.</w:t>
      </w:r>
    </w:p>
    <w:p w:rsidR="00F92819" w:rsidRDefault="00F92819">
      <w:pPr>
        <w:pStyle w:val="H4G"/>
        <w:rPr>
          <w:szCs w:val="24"/>
        </w:rPr>
      </w:pPr>
      <w:r>
        <w:rPr>
          <w:szCs w:val="24"/>
        </w:rPr>
        <w:tab/>
      </w:r>
      <w:r>
        <w:rPr>
          <w:szCs w:val="24"/>
        </w:rPr>
        <w:tab/>
      </w:r>
      <w:r>
        <w:rPr>
          <w:szCs w:val="24"/>
          <w:lang w:val="es-ES_tradnl"/>
        </w:rPr>
        <w:t>Prestaciones de sostenimiento de la renta</w:t>
      </w:r>
    </w:p>
    <w:p w:rsidR="00F92819" w:rsidRDefault="00F92819">
      <w:pPr>
        <w:pStyle w:val="SingleTxtG"/>
        <w:rPr>
          <w:szCs w:val="24"/>
        </w:rPr>
      </w:pPr>
      <w:r>
        <w:rPr>
          <w:szCs w:val="24"/>
        </w:rPr>
        <w:t>328.</w:t>
      </w:r>
      <w:r>
        <w:rPr>
          <w:szCs w:val="24"/>
        </w:rPr>
        <w:tab/>
      </w:r>
      <w:r>
        <w:rPr>
          <w:szCs w:val="24"/>
          <w:lang w:val="es-ES_tradnl"/>
        </w:rPr>
        <w:t xml:space="preserve">El sostenimiento de la renta es una prestación parcial que se concede a una persona cuyos ingresos por el trabajo u otra procedencia (como, por ejemplo, la pensión de vejez) son inferiores a los ingresos mínimos garantizados necesarios para la subsistencia de conformidad con </w:t>
      </w:r>
      <w:smartTag w:uri="urn:schemas-microsoft-com:office:smarttags" w:element="PersonName">
        <w:smartTagPr>
          <w:attr w:name="ProductID" w:val="la ley. Desde"/>
        </w:smartTagPr>
        <w:r>
          <w:rPr>
            <w:szCs w:val="24"/>
            <w:lang w:val="es-ES_tradnl"/>
          </w:rPr>
          <w:t>la ley.</w:t>
        </w:r>
        <w:r>
          <w:rPr>
            <w:szCs w:val="24"/>
          </w:rPr>
          <w:t xml:space="preserve"> </w:t>
        </w:r>
        <w:r>
          <w:rPr>
            <w:szCs w:val="24"/>
            <w:lang w:val="es-ES_tradnl"/>
          </w:rPr>
          <w:t>Desde</w:t>
        </w:r>
      </w:smartTag>
      <w:r>
        <w:rPr>
          <w:szCs w:val="24"/>
          <w:lang w:val="es-ES_tradnl"/>
        </w:rPr>
        <w:t xml:space="preserve"> 2002 se han producido muchos cambios en las cantidades de la pensión de vejez con respecto a los ingresos mínimos garantizados.</w:t>
      </w:r>
      <w:r>
        <w:rPr>
          <w:szCs w:val="24"/>
        </w:rPr>
        <w:t xml:space="preserve"> </w:t>
      </w:r>
      <w:r>
        <w:rPr>
          <w:szCs w:val="24"/>
          <w:lang w:val="es-ES_tradnl"/>
        </w:rPr>
        <w:t>Por tanto, en 2006 el Instituto Nacional de Seguros decidió reexaminar las condiciones que dan derecho al sostenimiento de la renta, basándose en las solicitudes previamente presentadas y denegadas, partiendo del supuesto que la situación financiera del solicitante no haya cambiado.</w:t>
      </w:r>
    </w:p>
    <w:p w:rsidR="00F92819" w:rsidRDefault="00F92819">
      <w:pPr>
        <w:pStyle w:val="SingleTxtG"/>
        <w:rPr>
          <w:szCs w:val="24"/>
        </w:rPr>
      </w:pPr>
      <w:r>
        <w:rPr>
          <w:szCs w:val="24"/>
        </w:rPr>
        <w:t>329.</w:t>
      </w:r>
      <w:r>
        <w:rPr>
          <w:szCs w:val="24"/>
        </w:rPr>
        <w:tab/>
      </w:r>
      <w:r>
        <w:rPr>
          <w:szCs w:val="24"/>
          <w:lang w:val="es-ES_tradnl"/>
        </w:rPr>
        <w:t xml:space="preserve">En 2006 el Instituto Nacional de Seguros pagó prestaciones de sostenimiento de la renta a unas 130.341 familias cuyos ingresos no llegaban al nivel mínimo que fija la </w:t>
      </w:r>
      <w:r>
        <w:rPr>
          <w:i/>
          <w:szCs w:val="24"/>
          <w:lang w:val="es-ES_tradnl"/>
        </w:rPr>
        <w:t>Ley de sostenimiento de la renta</w:t>
      </w:r>
      <w:r>
        <w:rPr>
          <w:szCs w:val="24"/>
          <w:lang w:val="es-ES_tradnl"/>
        </w:rPr>
        <w:t xml:space="preserve"> de 5740/1980 y que no estaban cubiertas por otros programas de mantenimiento de los ingresos.</w:t>
      </w:r>
    </w:p>
    <w:p w:rsidR="00F92819" w:rsidRDefault="00F92819">
      <w:pPr>
        <w:pStyle w:val="SingleTxtG"/>
        <w:rPr>
          <w:szCs w:val="24"/>
        </w:rPr>
      </w:pPr>
      <w:r>
        <w:rPr>
          <w:szCs w:val="24"/>
        </w:rPr>
        <w:t>330.</w:t>
      </w:r>
      <w:r>
        <w:rPr>
          <w:szCs w:val="24"/>
        </w:rPr>
        <w:tab/>
      </w:r>
      <w:r>
        <w:rPr>
          <w:b/>
          <w:szCs w:val="24"/>
          <w:lang w:val="es-ES_tradnl"/>
        </w:rPr>
        <w:t xml:space="preserve">Exención </w:t>
      </w:r>
      <w:smartTag w:uri="urn:schemas-microsoft-com:office:smarttags" w:element="place">
        <w:smartTag w:uri="urn:schemas-microsoft-com:office:smarttags" w:element="State">
          <w:r>
            <w:rPr>
              <w:b/>
              <w:szCs w:val="24"/>
              <w:lang w:val="es-ES_tradnl"/>
            </w:rPr>
            <w:t>del</w:t>
          </w:r>
        </w:smartTag>
      </w:smartTag>
      <w:r>
        <w:rPr>
          <w:b/>
          <w:szCs w:val="24"/>
          <w:lang w:val="es-ES_tradnl"/>
        </w:rPr>
        <w:t xml:space="preserve"> requisito de prueba de empleo.</w:t>
      </w:r>
      <w:r>
        <w:rPr>
          <w:szCs w:val="24"/>
        </w:rPr>
        <w:t xml:space="preserve"> </w:t>
      </w:r>
      <w:r>
        <w:rPr>
          <w:szCs w:val="24"/>
          <w:lang w:val="es-ES_tradnl"/>
        </w:rPr>
        <w:t>Uno de los requisitos básicos para tener derecho a una prestación de sostenimiento de la renta es cumplir los requisitos de prueba de empleo:</w:t>
      </w:r>
      <w:r>
        <w:rPr>
          <w:szCs w:val="24"/>
        </w:rPr>
        <w:t xml:space="preserve"> </w:t>
      </w:r>
      <w:r>
        <w:rPr>
          <w:szCs w:val="24"/>
          <w:lang w:val="es-ES_tradnl"/>
        </w:rPr>
        <w:t xml:space="preserve">inscripción en la oficina de empleo como solicitante de empleo o participante en el programa de orientación laboral </w:t>
      </w:r>
      <w:r>
        <w:rPr>
          <w:i/>
          <w:szCs w:val="24"/>
          <w:lang w:val="es-ES_tradnl"/>
        </w:rPr>
        <w:t>“Lights for Employment”</w:t>
      </w:r>
      <w:r>
        <w:rPr>
          <w:szCs w:val="24"/>
          <w:lang w:val="es-ES_tradnl"/>
        </w:rPr>
        <w:t>.</w:t>
      </w:r>
      <w:r>
        <w:rPr>
          <w:szCs w:val="24"/>
        </w:rPr>
        <w:t xml:space="preserve"> </w:t>
      </w:r>
      <w:r>
        <w:rPr>
          <w:szCs w:val="24"/>
          <w:lang w:val="es-ES_tradnl"/>
        </w:rPr>
        <w:t>Una persona sólo puede optar a una prestación de sostenimiento de la renta si el servicio de empleo no puede ofrecerle un trabajo.</w:t>
      </w:r>
      <w:r>
        <w:rPr>
          <w:szCs w:val="24"/>
        </w:rPr>
        <w:t xml:space="preserve"> </w:t>
      </w:r>
      <w:r>
        <w:rPr>
          <w:szCs w:val="24"/>
          <w:lang w:val="es-ES_tradnl"/>
        </w:rPr>
        <w:t>La prueba de empleo sirve para verificar que un solicitante de la prestación de sostenimiento de la renta no ha podido encontrar empleo, a menos que no sea capaz de ganarse la vida o no sea apta para su colocación en ningún puesto de trabajo.</w:t>
      </w:r>
      <w:r>
        <w:rPr>
          <w:i/>
          <w:szCs w:val="24"/>
        </w:rPr>
        <w:t xml:space="preserve"> </w:t>
      </w:r>
      <w:r>
        <w:rPr>
          <w:szCs w:val="24"/>
          <w:lang w:val="es-ES_tradnl"/>
        </w:rPr>
        <w:t xml:space="preserve">Hay varias categorías de personas que están exentas de este requisito, como por ejemplo las familias monoparentales con niños pequeños, las personas que cuidan de un familiar enfermo, etc. De conformidad con una enmienda a la </w:t>
      </w:r>
      <w:r>
        <w:rPr>
          <w:i/>
          <w:szCs w:val="24"/>
          <w:lang w:val="es-ES_tradnl"/>
        </w:rPr>
        <w:t>Ley de sostenimiento de la renta</w:t>
      </w:r>
      <w:r>
        <w:rPr>
          <w:szCs w:val="24"/>
          <w:lang w:val="es-ES_tradnl"/>
        </w:rPr>
        <w:t xml:space="preserve">, en vigor desde 2002, una madre de una familia de acogida que cuida de un niño menor de 7 años también está exenta de cumplir la prueba de empleo para recibir la prestación de sostenimiento de </w:t>
      </w:r>
      <w:smartTag w:uri="urn:schemas-microsoft-com:office:smarttags" w:element="PersonName">
        <w:smartTagPr>
          <w:attr w:name="ProductID" w:val="la renta. Otra"/>
        </w:smartTagPr>
        <w:r>
          <w:rPr>
            <w:szCs w:val="24"/>
            <w:lang w:val="es-ES_tradnl"/>
          </w:rPr>
          <w:t>la renta.</w:t>
        </w:r>
        <w:r>
          <w:rPr>
            <w:szCs w:val="24"/>
          </w:rPr>
          <w:t xml:space="preserve"> </w:t>
        </w:r>
        <w:r>
          <w:rPr>
            <w:szCs w:val="24"/>
            <w:lang w:val="es-ES_tradnl"/>
          </w:rPr>
          <w:t>Otra</w:t>
        </w:r>
      </w:smartTag>
      <w:r>
        <w:rPr>
          <w:szCs w:val="24"/>
          <w:lang w:val="es-ES_tradnl"/>
        </w:rPr>
        <w:t xml:space="preserve"> enmienda a la Ley, en vigor desde 2007, determina que las personas de 25 años o más con un grado de discapacidad del 75% o más y las amas de casa con discapacidad también están exentas de la prueba de empleo.</w:t>
      </w:r>
    </w:p>
    <w:p w:rsidR="00F92819" w:rsidRDefault="00F92819">
      <w:pPr>
        <w:pStyle w:val="SingleTxtG"/>
        <w:rPr>
          <w:szCs w:val="24"/>
        </w:rPr>
      </w:pPr>
      <w:r w:rsidRPr="009F5C10">
        <w:rPr>
          <w:szCs w:val="24"/>
        </w:rPr>
        <w:t>331.</w:t>
      </w:r>
      <w:r w:rsidRPr="009F5C10">
        <w:rPr>
          <w:szCs w:val="24"/>
        </w:rPr>
        <w:tab/>
      </w:r>
      <w:r>
        <w:rPr>
          <w:b/>
          <w:szCs w:val="24"/>
          <w:lang w:val="es-ES_tradnl"/>
        </w:rPr>
        <w:t>Propiedad de un vehículo.</w:t>
      </w:r>
      <w:r>
        <w:rPr>
          <w:b/>
          <w:szCs w:val="24"/>
        </w:rPr>
        <w:t xml:space="preserve"> </w:t>
      </w:r>
      <w:r>
        <w:rPr>
          <w:szCs w:val="24"/>
          <w:lang w:val="es-ES_tradnl"/>
        </w:rPr>
        <w:t xml:space="preserve">De conformidad con una enmienda a la </w:t>
      </w:r>
      <w:r>
        <w:rPr>
          <w:i/>
          <w:szCs w:val="24"/>
          <w:lang w:val="es-ES_tradnl"/>
        </w:rPr>
        <w:t>Ley de sostenimiento de la renta</w:t>
      </w:r>
      <w:r>
        <w:rPr>
          <w:szCs w:val="24"/>
          <w:lang w:val="es-ES_tradnl"/>
        </w:rPr>
        <w:t xml:space="preserve"> de fecha 26 de diciembre de 2006, la propiedad de un vehículo no descalifica a una persona, en determinadas condiciones, del derecho a la prestación de sostenimiento de </w:t>
      </w:r>
      <w:smartTag w:uri="urn:schemas-microsoft-com:office:smarttags" w:element="PersonName">
        <w:smartTagPr>
          <w:attr w:name="ProductID" w:val="la renta. Anteriormente"/>
        </w:smartTagPr>
        <w:r>
          <w:rPr>
            <w:szCs w:val="24"/>
            <w:lang w:val="es-ES_tradnl"/>
          </w:rPr>
          <w:t>la renta.</w:t>
        </w:r>
        <w:r>
          <w:rPr>
            <w:szCs w:val="24"/>
          </w:rPr>
          <w:t xml:space="preserve"> </w:t>
        </w:r>
        <w:r>
          <w:rPr>
            <w:szCs w:val="24"/>
            <w:lang w:val="es-ES_tradnl"/>
          </w:rPr>
          <w:t>Anteriormente</w:t>
        </w:r>
      </w:smartTag>
      <w:r>
        <w:rPr>
          <w:szCs w:val="24"/>
          <w:lang w:val="es-ES_tradnl"/>
        </w:rPr>
        <w:t>, la persona propietaria de un vehículo que no fuera una motocicleta no tenía derecho a una prestación de sostenimiento de la renta, a menos que tuviera la movilidad reducida o necesitara el vehículo para acceder a un tratamiento médico.</w:t>
      </w:r>
      <w:r>
        <w:rPr>
          <w:szCs w:val="24"/>
        </w:rPr>
        <w:t xml:space="preserve"> </w:t>
      </w:r>
      <w:r>
        <w:rPr>
          <w:szCs w:val="24"/>
          <w:lang w:val="es-ES_tradnl"/>
        </w:rPr>
        <w:t>La enmienda pretende eliminar los obstáculos a los destinatarios del sostenimiento de la renta que necesitan un vehículo para trabajar.</w:t>
      </w:r>
    </w:p>
    <w:p w:rsidR="00F92819" w:rsidRDefault="00F92819">
      <w:pPr>
        <w:pStyle w:val="H4G"/>
        <w:rPr>
          <w:szCs w:val="24"/>
        </w:rPr>
      </w:pPr>
      <w:r>
        <w:rPr>
          <w:szCs w:val="24"/>
        </w:rPr>
        <w:tab/>
      </w:r>
      <w:r>
        <w:rPr>
          <w:szCs w:val="24"/>
        </w:rPr>
        <w:tab/>
      </w:r>
      <w:r>
        <w:rPr>
          <w:szCs w:val="24"/>
          <w:lang w:val="es-ES_tradnl"/>
        </w:rPr>
        <w:t>Subsidios por hijos a cargo</w:t>
      </w:r>
    </w:p>
    <w:p w:rsidR="00F92819" w:rsidRDefault="00F92819">
      <w:pPr>
        <w:pStyle w:val="SingleTxtG"/>
        <w:rPr>
          <w:szCs w:val="24"/>
        </w:rPr>
      </w:pPr>
      <w:r>
        <w:rPr>
          <w:szCs w:val="24"/>
        </w:rPr>
        <w:t>332.</w:t>
      </w:r>
      <w:r>
        <w:rPr>
          <w:szCs w:val="24"/>
        </w:rPr>
        <w:tab/>
      </w:r>
      <w:r>
        <w:rPr>
          <w:szCs w:val="24"/>
          <w:lang w:val="es-ES_tradnl"/>
        </w:rPr>
        <w:t xml:space="preserve">Como se indicó en el informe periódico anterior de Israel, todas las familias que residen legalmente en Israel tienen derecho, independientemente de sus ingresos, a un “subsidio por hijos a cargo”, que es una subvención mensual que aumenta con el número de hijos en </w:t>
      </w:r>
      <w:smartTag w:uri="urn:schemas-microsoft-com:office:smarttags" w:element="PersonName">
        <w:smartTagPr>
          <w:attr w:name="ProductID" w:val="la familia. La"/>
        </w:smartTagPr>
        <w:r>
          <w:rPr>
            <w:szCs w:val="24"/>
            <w:lang w:val="es-ES_tradnl"/>
          </w:rPr>
          <w:t>la familia.</w:t>
        </w:r>
        <w:r>
          <w:rPr>
            <w:szCs w:val="24"/>
          </w:rPr>
          <w:t xml:space="preserve"> </w:t>
        </w:r>
        <w:r>
          <w:rPr>
            <w:szCs w:val="24"/>
            <w:lang w:val="es-ES_tradnl"/>
          </w:rPr>
          <w:t>La</w:t>
        </w:r>
      </w:smartTag>
      <w:r>
        <w:rPr>
          <w:szCs w:val="24"/>
          <w:lang w:val="es-ES_tradnl"/>
        </w:rPr>
        <w:t xml:space="preserve"> política del Gobierno de reducir los subsidios por hijos a cargo, cuya primera etapa se llevó a cabo entre 2002 y 2004, continuará hasta 2009 y se aplica en parte mediante órdenes transitorias y en parte mediante legislación permanente.</w:t>
      </w:r>
      <w:r>
        <w:rPr>
          <w:szCs w:val="24"/>
        </w:rPr>
        <w:t xml:space="preserve"> </w:t>
      </w:r>
      <w:r>
        <w:rPr>
          <w:szCs w:val="24"/>
          <w:lang w:val="es-ES_tradnl"/>
        </w:rPr>
        <w:t>Al fin del período legislativo de 2009 el subsidio será una cantidad fija por hijo para todas las familias, cualquiera que sea la posición del hijo en la familia.</w:t>
      </w:r>
    </w:p>
    <w:p w:rsidR="00F92819" w:rsidRDefault="00F92819">
      <w:pPr>
        <w:pStyle w:val="SingleTxtG"/>
        <w:rPr>
          <w:szCs w:val="24"/>
        </w:rPr>
      </w:pPr>
      <w:r>
        <w:rPr>
          <w:szCs w:val="24"/>
          <w:lang w:val="es-ES_tradnl"/>
        </w:rPr>
        <w:t>A partir de enero de 2008 una familia de un hijo recibe 152 nuevos sheqalim (unos 41 dólares de los EE.UU.) por mes; una de dos hijos, 304 nuevos sheqalim (82 dólares de los EE.UU.); una de tres, 486 nuevos sheqalim (131 dólares de los EE.UU.); una de cuatro, 823 nuevos sheqalim (222 dólares de los EE.UU.); y una de cinco, 1.160 nuevos sheqalim (313 dólares de los EE.UU.) por mes.</w:t>
      </w:r>
      <w:r>
        <w:rPr>
          <w:szCs w:val="24"/>
        </w:rPr>
        <w:t xml:space="preserve"> </w:t>
      </w:r>
      <w:r>
        <w:rPr>
          <w:szCs w:val="24"/>
          <w:lang w:val="es-ES_tradnl"/>
        </w:rPr>
        <w:t>Por cada hijo nacido después del 1º de junio de 2003 se paga una suma de 152 nuevos sheqalim (41 dólares de los EE.UU.).</w:t>
      </w:r>
    </w:p>
    <w:p w:rsidR="00F92819" w:rsidRDefault="00F92819">
      <w:pPr>
        <w:pStyle w:val="SingleTxtG"/>
        <w:rPr>
          <w:szCs w:val="24"/>
        </w:rPr>
      </w:pPr>
      <w:r>
        <w:rPr>
          <w:szCs w:val="24"/>
          <w:lang w:val="es-ES_tradnl"/>
        </w:rPr>
        <w:t>En 2005, 956.294 familias recibieron subsidios por hijos a cargo, lo que representa el 19% del total de las prestaciones pagadas por el Instituto Nacional de Seguros.</w:t>
      </w:r>
      <w:r>
        <w:rPr>
          <w:szCs w:val="24"/>
        </w:rPr>
        <w:t xml:space="preserve"> </w:t>
      </w:r>
      <w:r>
        <w:rPr>
          <w:szCs w:val="24"/>
          <w:lang w:val="es-ES_tradnl"/>
        </w:rPr>
        <w:t>En 2006 fueron 968.282 familias, el 17,6% del total de dichas prestaciones.</w:t>
      </w:r>
    </w:p>
    <w:p w:rsidR="00F92819" w:rsidRDefault="00F92819">
      <w:pPr>
        <w:pStyle w:val="SingleTxtG"/>
        <w:rPr>
          <w:szCs w:val="24"/>
        </w:rPr>
      </w:pPr>
      <w:r>
        <w:rPr>
          <w:szCs w:val="24"/>
        </w:rPr>
        <w:t>333.</w:t>
      </w:r>
      <w:r>
        <w:rPr>
          <w:szCs w:val="24"/>
        </w:rPr>
        <w:tab/>
      </w:r>
      <w:r>
        <w:rPr>
          <w:szCs w:val="24"/>
          <w:lang w:val="es-ES_tradnl"/>
        </w:rPr>
        <w:t xml:space="preserve">De conformidad con la </w:t>
      </w:r>
      <w:r>
        <w:rPr>
          <w:i/>
          <w:szCs w:val="24"/>
          <w:lang w:val="es-ES_tradnl"/>
        </w:rPr>
        <w:t xml:space="preserve">Ley sobre la política económica para el ejercicio 2004 (reformas legislativas), </w:t>
      </w:r>
      <w:r>
        <w:rPr>
          <w:szCs w:val="24"/>
          <w:lang w:val="es-ES_tradnl"/>
        </w:rPr>
        <w:t xml:space="preserve">se enmendó la </w:t>
      </w:r>
      <w:r>
        <w:rPr>
          <w:i/>
          <w:szCs w:val="24"/>
          <w:lang w:val="es-ES_tradnl"/>
        </w:rPr>
        <w:t xml:space="preserve">Ley </w:t>
      </w:r>
      <w:smartTag w:uri="urn:schemas-microsoft-com:office:smarttags" w:element="State">
        <w:smartTag w:uri="urn:schemas-microsoft-com:office:smarttags" w:element="place">
          <w:r>
            <w:rPr>
              <w:i/>
              <w:szCs w:val="24"/>
              <w:lang w:val="es-ES_tradnl"/>
            </w:rPr>
            <w:t>del</w:t>
          </w:r>
        </w:smartTag>
      </w:smartTag>
      <w:r>
        <w:rPr>
          <w:i/>
          <w:szCs w:val="24"/>
          <w:lang w:val="es-ES_tradnl"/>
        </w:rPr>
        <w:t xml:space="preserve"> seguro nacional</w:t>
      </w:r>
      <w:r>
        <w:rPr>
          <w:szCs w:val="24"/>
          <w:lang w:val="es-ES_tradnl"/>
        </w:rPr>
        <w:t xml:space="preserve"> para añadir el artículo 68 c).</w:t>
      </w:r>
      <w:r>
        <w:rPr>
          <w:szCs w:val="24"/>
        </w:rPr>
        <w:t xml:space="preserve"> </w:t>
      </w:r>
      <w:r>
        <w:rPr>
          <w:szCs w:val="24"/>
          <w:lang w:val="es-ES_tradnl"/>
        </w:rPr>
        <w:t>El nuevo artículo dispone que un padre con derecho a un subsidio por tres o más hijos a cargo y reciba una de las prestaciones siguientes:</w:t>
      </w:r>
      <w:r>
        <w:rPr>
          <w:szCs w:val="24"/>
        </w:rPr>
        <w:t xml:space="preserve"> </w:t>
      </w:r>
      <w:r>
        <w:rPr>
          <w:szCs w:val="24"/>
          <w:lang w:val="es-ES_tradnl"/>
        </w:rPr>
        <w:t>sostenimiento de la renta, pensión alimenticia, pensión de familiares sobrevivientes con suplemento de ingresos o pensión de vejez con suplemento de ingresos, recibirá un aumento mensual del subsidio por hijos a cargo a razón de 0,59 de un punto de crédito por cada tercer y cuarto hijo en la familia (106 nuevos sheqalim (28 dólares de los EE.UU.)).</w:t>
      </w:r>
    </w:p>
    <w:p w:rsidR="00F92819" w:rsidRDefault="00F92819">
      <w:pPr>
        <w:pStyle w:val="SingleTxtG"/>
        <w:rPr>
          <w:szCs w:val="24"/>
        </w:rPr>
      </w:pPr>
      <w:r>
        <w:rPr>
          <w:szCs w:val="24"/>
        </w:rPr>
        <w:t>334.</w:t>
      </w:r>
      <w:r>
        <w:rPr>
          <w:szCs w:val="24"/>
        </w:rPr>
        <w:tab/>
      </w:r>
      <w:r>
        <w:rPr>
          <w:szCs w:val="24"/>
          <w:lang w:val="es-ES_tradnl"/>
        </w:rPr>
        <w:t>Al inicio del curso académico, el Instituto Nacional de Seguros también ofrece una beca de estudios para todos los niños entre 6 y 14 años de las familias que cumplen las condiciones,</w:t>
      </w:r>
      <w:r>
        <w:rPr>
          <w:szCs w:val="24"/>
        </w:rPr>
        <w:t xml:space="preserve"> </w:t>
      </w:r>
      <w:r>
        <w:rPr>
          <w:szCs w:val="24"/>
          <w:lang w:val="es-ES_tradnl"/>
        </w:rPr>
        <w:t>a saber:</w:t>
      </w:r>
      <w:r>
        <w:rPr>
          <w:szCs w:val="24"/>
        </w:rPr>
        <w:t xml:space="preserve"> </w:t>
      </w:r>
      <w:r>
        <w:rPr>
          <w:szCs w:val="24"/>
          <w:lang w:val="es-ES_tradnl"/>
        </w:rPr>
        <w:t>familias monoparentales; familias con 4 hijos o más que reciben una de las prestaciones siguientes:</w:t>
      </w:r>
      <w:r>
        <w:rPr>
          <w:szCs w:val="24"/>
        </w:rPr>
        <w:t xml:space="preserve"> </w:t>
      </w:r>
      <w:r>
        <w:rPr>
          <w:szCs w:val="24"/>
          <w:lang w:val="es-ES_tradnl"/>
        </w:rPr>
        <w:t xml:space="preserve">sostenimiento de la renta, pensión alimenticia, prestación de discapacidad, pensión de vejez o prestación de familiares sobrevivientes; un niño huérfano de ambos padres; un niño abandonado/huérfano como se define en la </w:t>
      </w:r>
      <w:r>
        <w:rPr>
          <w:i/>
          <w:szCs w:val="24"/>
          <w:lang w:val="es-ES_tradnl"/>
        </w:rPr>
        <w:t>Ley de sostenimiento de la renta</w:t>
      </w:r>
      <w:r>
        <w:rPr>
          <w:szCs w:val="24"/>
          <w:lang w:val="es-ES_tradnl"/>
        </w:rPr>
        <w:t xml:space="preserve">; un niño que haya inmigrado a Israel sin un padre asegurado; y las mujeres que residen un refugio para mujeres maltratadas, en determinadas condiciones. </w:t>
      </w:r>
    </w:p>
    <w:p w:rsidR="00F92819" w:rsidRDefault="00F92819">
      <w:pPr>
        <w:pStyle w:val="H23G"/>
        <w:rPr>
          <w:szCs w:val="24"/>
        </w:rPr>
      </w:pPr>
      <w:r>
        <w:rPr>
          <w:szCs w:val="24"/>
        </w:rPr>
        <w:tab/>
      </w:r>
      <w:r>
        <w:rPr>
          <w:szCs w:val="24"/>
        </w:rPr>
        <w:tab/>
      </w:r>
      <w:r>
        <w:rPr>
          <w:szCs w:val="24"/>
          <w:lang w:val="es-ES_tradnl"/>
        </w:rPr>
        <w:t>Fondos sociales especiales</w:t>
      </w:r>
    </w:p>
    <w:p w:rsidR="00F92819" w:rsidRDefault="00F92819">
      <w:pPr>
        <w:pStyle w:val="SingleTxtG"/>
        <w:rPr>
          <w:szCs w:val="24"/>
        </w:rPr>
      </w:pPr>
      <w:r>
        <w:rPr>
          <w:szCs w:val="24"/>
        </w:rPr>
        <w:t>335.</w:t>
      </w:r>
      <w:r>
        <w:rPr>
          <w:szCs w:val="24"/>
        </w:rPr>
        <w:tab/>
      </w:r>
      <w:r>
        <w:rPr>
          <w:szCs w:val="24"/>
          <w:lang w:val="es-ES_tradnl"/>
        </w:rPr>
        <w:t xml:space="preserve">Dentro de los medios de ayuda y adelanto para las poblaciones débiles de la sociedad israelí, el Instituto Nacional de Seguros mantiene cinco fondos sociales especiales destinados al desarrollo de infraestructuras y servicios para estas poblaciones, encaminados a alentar a las organizaciones proveedoras de servicios (gubernamentales, municipales y no gubernamentales) a ampliar el alcance y la accesibilidad de los servicios de bienestar que suministran a los distintos grupos de población que asegura y mantiene el Instituto Nacional de Seguros: </w:t>
      </w:r>
    </w:p>
    <w:p w:rsidR="00F92819" w:rsidRDefault="00F92819">
      <w:pPr>
        <w:pStyle w:val="SingleTxtG"/>
        <w:ind w:left="1701"/>
        <w:rPr>
          <w:szCs w:val="24"/>
        </w:rPr>
      </w:pPr>
      <w:r>
        <w:rPr>
          <w:szCs w:val="24"/>
        </w:rPr>
        <w:t>335.1</w:t>
      </w:r>
      <w:r>
        <w:rPr>
          <w:szCs w:val="24"/>
        </w:rPr>
        <w:tab/>
      </w:r>
      <w:r>
        <w:rPr>
          <w:szCs w:val="24"/>
          <w:lang w:val="es-ES_tradnl"/>
        </w:rPr>
        <w:t>el Fondo para el desarrollo de servicios para los discapacitados;</w:t>
      </w:r>
    </w:p>
    <w:p w:rsidR="00F92819" w:rsidRDefault="00F92819">
      <w:pPr>
        <w:pStyle w:val="SingleTxtG"/>
        <w:ind w:left="1701"/>
        <w:rPr>
          <w:szCs w:val="24"/>
        </w:rPr>
      </w:pPr>
      <w:r>
        <w:rPr>
          <w:szCs w:val="24"/>
        </w:rPr>
        <w:t>335.2</w:t>
      </w:r>
      <w:r>
        <w:rPr>
          <w:szCs w:val="24"/>
        </w:rPr>
        <w:tab/>
      </w:r>
      <w:r>
        <w:rPr>
          <w:szCs w:val="24"/>
          <w:lang w:val="es-ES_tradnl"/>
        </w:rPr>
        <w:t>el Fondo para actividades orientadas a la seguridad en el trabajo y la prevención de accidentes laborales;</w:t>
      </w:r>
    </w:p>
    <w:p w:rsidR="00F92819" w:rsidRDefault="00F92819">
      <w:pPr>
        <w:pStyle w:val="SingleTxtG"/>
        <w:ind w:left="1701"/>
        <w:rPr>
          <w:szCs w:val="24"/>
        </w:rPr>
      </w:pPr>
      <w:r>
        <w:rPr>
          <w:szCs w:val="24"/>
        </w:rPr>
        <w:t>335.3</w:t>
      </w:r>
      <w:r>
        <w:rPr>
          <w:szCs w:val="24"/>
        </w:rPr>
        <w:tab/>
      </w:r>
      <w:r>
        <w:rPr>
          <w:szCs w:val="24"/>
          <w:lang w:val="es-ES_tradnl"/>
        </w:rPr>
        <w:t>el Fondo para el desarrollo de servicios de atención a largo plazo;</w:t>
      </w:r>
    </w:p>
    <w:p w:rsidR="00F92819" w:rsidRDefault="00F92819">
      <w:pPr>
        <w:pStyle w:val="SingleTxtG"/>
        <w:ind w:left="1701"/>
        <w:rPr>
          <w:szCs w:val="24"/>
        </w:rPr>
      </w:pPr>
      <w:r>
        <w:rPr>
          <w:szCs w:val="24"/>
        </w:rPr>
        <w:t>335.4</w:t>
      </w:r>
      <w:r>
        <w:rPr>
          <w:szCs w:val="24"/>
        </w:rPr>
        <w:tab/>
      </w:r>
      <w:r>
        <w:rPr>
          <w:szCs w:val="24"/>
          <w:lang w:val="es-ES_tradnl"/>
        </w:rPr>
        <w:t>el Fondo para el desarrollo de servicios para la infancia y la juventud (creado en 2004);</w:t>
      </w:r>
    </w:p>
    <w:p w:rsidR="00F92819" w:rsidRDefault="00F92819">
      <w:pPr>
        <w:pStyle w:val="SingleTxtG"/>
        <w:ind w:left="1701"/>
        <w:rPr>
          <w:szCs w:val="24"/>
        </w:rPr>
      </w:pPr>
      <w:r>
        <w:rPr>
          <w:szCs w:val="24"/>
        </w:rPr>
        <w:t>335.5</w:t>
      </w:r>
      <w:r>
        <w:rPr>
          <w:szCs w:val="24"/>
        </w:rPr>
        <w:tab/>
      </w:r>
      <w:r>
        <w:rPr>
          <w:szCs w:val="24"/>
          <w:lang w:val="es-ES_tradnl"/>
        </w:rPr>
        <w:t>el Fondo para iniciativas especiales.</w:t>
      </w:r>
    </w:p>
    <w:p w:rsidR="00F92819" w:rsidRDefault="00F92819">
      <w:pPr>
        <w:pStyle w:val="SingleTxtG"/>
        <w:rPr>
          <w:szCs w:val="24"/>
        </w:rPr>
      </w:pPr>
      <w:r>
        <w:rPr>
          <w:szCs w:val="24"/>
        </w:rPr>
        <w:t>336.</w:t>
      </w:r>
      <w:r>
        <w:rPr>
          <w:szCs w:val="24"/>
        </w:rPr>
        <w:tab/>
      </w:r>
      <w:r>
        <w:rPr>
          <w:szCs w:val="24"/>
          <w:lang w:val="es-ES_tradnl"/>
        </w:rPr>
        <w:t>Las actividades de los Fondos están fijadas en la</w:t>
      </w:r>
      <w:r>
        <w:rPr>
          <w:i/>
          <w:szCs w:val="24"/>
          <w:lang w:val="es-ES_tradnl"/>
        </w:rPr>
        <w:t xml:space="preserve"> Ley del seguro nacional</w:t>
      </w:r>
      <w:r>
        <w:rPr>
          <w:szCs w:val="24"/>
          <w:lang w:val="es-ES_tradnl"/>
        </w:rPr>
        <w:t xml:space="preserve"> y cuatro de ellos extraen su presupuesto de un porcentaje de la asignación anual destinada a la rama del seguro a la que pertenecen.</w:t>
      </w:r>
      <w:r>
        <w:rPr>
          <w:szCs w:val="24"/>
        </w:rPr>
        <w:t xml:space="preserve"> </w:t>
      </w:r>
      <w:r>
        <w:rPr>
          <w:szCs w:val="24"/>
          <w:lang w:val="es-ES_tradnl"/>
        </w:rPr>
        <w:t xml:space="preserve">El </w:t>
      </w:r>
      <w:r>
        <w:rPr>
          <w:i/>
          <w:szCs w:val="24"/>
          <w:lang w:val="es-ES_tradnl"/>
        </w:rPr>
        <w:t>Fondo para iniciativas especiales</w:t>
      </w:r>
      <w:r>
        <w:rPr>
          <w:szCs w:val="24"/>
          <w:lang w:val="es-ES_tradnl"/>
        </w:rPr>
        <w:t xml:space="preserve"> dispone de presupuesto propio, puesto que los proyectos que patrocina están orientados a todos los beneficiarios del Instituto.</w:t>
      </w:r>
    </w:p>
    <w:p w:rsidR="00F92819" w:rsidRDefault="00F92819">
      <w:pPr>
        <w:pStyle w:val="SingleTxtG"/>
        <w:rPr>
          <w:szCs w:val="24"/>
        </w:rPr>
      </w:pPr>
      <w:r>
        <w:rPr>
          <w:szCs w:val="24"/>
        </w:rPr>
        <w:t>337.</w:t>
      </w:r>
      <w:r>
        <w:rPr>
          <w:szCs w:val="24"/>
        </w:rPr>
        <w:tab/>
      </w:r>
      <w:r>
        <w:rPr>
          <w:szCs w:val="24"/>
          <w:lang w:val="es-ES_tradnl"/>
        </w:rPr>
        <w:t xml:space="preserve">Los Fondos actúan </w:t>
      </w:r>
      <w:smartTag w:uri="urn:schemas-microsoft-com:office:smarttags" w:element="City">
        <w:r>
          <w:rPr>
            <w:szCs w:val="24"/>
            <w:lang w:val="es-ES_tradnl"/>
          </w:rPr>
          <w:t>como</w:t>
        </w:r>
      </w:smartTag>
      <w:r>
        <w:rPr>
          <w:szCs w:val="24"/>
          <w:lang w:val="es-ES_tradnl"/>
        </w:rPr>
        <w:t xml:space="preserve"> catalizadores para el desarrollo de servicios en la comunidad y ofrecen ayudas económicas preliminares para las iniciativas de aquellos proveedores de servicios que asumen por su cuenta la continuidad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mantenimiento y el funcionamiento de los servicios durante un período prolongado.</w:t>
      </w:r>
    </w:p>
    <w:p w:rsidR="00F92819" w:rsidRDefault="00F92819">
      <w:pPr>
        <w:pStyle w:val="H23G"/>
        <w:rPr>
          <w:szCs w:val="24"/>
        </w:rPr>
      </w:pPr>
      <w:r>
        <w:rPr>
          <w:szCs w:val="24"/>
        </w:rPr>
        <w:tab/>
      </w:r>
      <w:r>
        <w:rPr>
          <w:szCs w:val="24"/>
        </w:rPr>
        <w:tab/>
      </w:r>
      <w:r>
        <w:rPr>
          <w:szCs w:val="24"/>
          <w:lang w:val="es-ES_tradnl"/>
        </w:rPr>
        <w:t>El sistema de pensiones en Israel</w:t>
      </w:r>
    </w:p>
    <w:p w:rsidR="00F92819" w:rsidRDefault="00F92819">
      <w:pPr>
        <w:pStyle w:val="SingleTxtG"/>
        <w:rPr>
          <w:szCs w:val="24"/>
          <w:u w:val="single"/>
        </w:rPr>
      </w:pPr>
      <w:r>
        <w:rPr>
          <w:szCs w:val="24"/>
        </w:rPr>
        <w:t>338.</w:t>
      </w:r>
      <w:r>
        <w:rPr>
          <w:szCs w:val="24"/>
        </w:rPr>
        <w:tab/>
      </w:r>
      <w:r>
        <w:rPr>
          <w:szCs w:val="24"/>
          <w:lang w:val="es-ES_tradnl"/>
        </w:rPr>
        <w:t>El 19 de julio de 2007 la Federación de Organizaciones Económicas Israelíes y el sindicato Histadrut firmaron un convenio colectivo sobre un amplio plan de seguro de pensiones para todos los trabajadores.</w:t>
      </w:r>
      <w:r>
        <w:rPr>
          <w:szCs w:val="24"/>
        </w:rPr>
        <w:t xml:space="preserve"> </w:t>
      </w:r>
      <w:r>
        <w:rPr>
          <w:szCs w:val="24"/>
          <w:lang w:val="es-ES_tradnl"/>
        </w:rPr>
        <w:t xml:space="preserve">El convenio colectivo entró en vigor el 1º de enero de </w:t>
      </w:r>
      <w:smartTag w:uri="urn:schemas-microsoft-com:office:smarttags" w:element="metricconverter">
        <w:smartTagPr>
          <w:attr w:name="ProductID" w:val="2008 a"/>
        </w:smartTagPr>
        <w:r>
          <w:rPr>
            <w:szCs w:val="24"/>
            <w:lang w:val="es-ES_tradnl"/>
          </w:rPr>
          <w:t>2008 a</w:t>
        </w:r>
      </w:smartTag>
      <w:r>
        <w:rPr>
          <w:szCs w:val="24"/>
          <w:lang w:val="es-ES_tradnl"/>
        </w:rPr>
        <w:t xml:space="preserve"> raíz de la emisión de una orden de ampliación por el Ministerio de Industria, Comercio y Trabajo que lo validaba.</w:t>
      </w:r>
    </w:p>
    <w:p w:rsidR="00F92819" w:rsidRDefault="00F92819">
      <w:pPr>
        <w:pStyle w:val="SingleTxtG"/>
        <w:rPr>
          <w:szCs w:val="24"/>
          <w:u w:val="single"/>
        </w:rPr>
      </w:pPr>
      <w:r>
        <w:rPr>
          <w:szCs w:val="24"/>
        </w:rPr>
        <w:t>339.</w:t>
      </w:r>
      <w:r>
        <w:rPr>
          <w:szCs w:val="24"/>
        </w:rPr>
        <w:tab/>
      </w:r>
      <w:r>
        <w:rPr>
          <w:szCs w:val="24"/>
          <w:lang w:val="es-ES_tradnl"/>
        </w:rPr>
        <w:t>El convenio colectivo sólo será aplicable a los empleados que no sean beneficiarios de un plan de pensiones.</w:t>
      </w:r>
      <w:r>
        <w:rPr>
          <w:szCs w:val="24"/>
        </w:rPr>
        <w:t xml:space="preserve"> </w:t>
      </w:r>
      <w:r>
        <w:rPr>
          <w:szCs w:val="24"/>
          <w:lang w:val="es-ES_tradnl"/>
        </w:rPr>
        <w:t>No afectará a los empleados que sean beneficiarios de un plan de pensiones, que seguirá siendo aplicable en sus términos actuales sin menoscabo de sus derechos.</w:t>
      </w:r>
      <w:r>
        <w:rPr>
          <w:szCs w:val="24"/>
        </w:rPr>
        <w:t xml:space="preserve"> </w:t>
      </w:r>
      <w:r>
        <w:rPr>
          <w:szCs w:val="24"/>
          <w:lang w:val="es-ES_tradnl"/>
        </w:rPr>
        <w:t>El convenio se aplica a todos los empleados mayores de 21 y todas las empleadas mayores de 20 años.</w:t>
      </w:r>
    </w:p>
    <w:p w:rsidR="00F92819" w:rsidRDefault="00F92819">
      <w:pPr>
        <w:pStyle w:val="SingleTxtG"/>
        <w:rPr>
          <w:szCs w:val="24"/>
          <w:u w:val="single"/>
        </w:rPr>
      </w:pPr>
      <w:r>
        <w:rPr>
          <w:szCs w:val="24"/>
        </w:rPr>
        <w:t>340.</w:t>
      </w:r>
      <w:r>
        <w:rPr>
          <w:szCs w:val="24"/>
        </w:rPr>
        <w:tab/>
      </w:r>
      <w:r>
        <w:rPr>
          <w:szCs w:val="24"/>
          <w:lang w:val="es-ES_tradnl"/>
        </w:rPr>
        <w:t>El convenio dispone, entre otras cosas, que desde el 1º de enero de 2009 todos los empleados tendrán derecho a la asignación de una pensión al cabo de seis meses de empleo.</w:t>
      </w:r>
      <w:r>
        <w:rPr>
          <w:szCs w:val="24"/>
        </w:rPr>
        <w:t xml:space="preserve"> </w:t>
      </w:r>
      <w:r>
        <w:rPr>
          <w:szCs w:val="24"/>
          <w:lang w:val="es-ES_tradnl"/>
        </w:rPr>
        <w:t>Durante el período de adaptación hasta enero de 2009, tendrán derecho todos los empleados que a 1º de enero de 2008 hayan cumplido nueve meses de empleo.</w:t>
      </w:r>
      <w:r>
        <w:rPr>
          <w:szCs w:val="24"/>
        </w:rPr>
        <w:t xml:space="preserve"> </w:t>
      </w:r>
      <w:r>
        <w:rPr>
          <w:szCs w:val="24"/>
          <w:lang w:val="es-ES_tradnl"/>
        </w:rPr>
        <w:t>Un empleado que haya comenzado ha trabajar en un lugar de trabajo y tenga un seguro de pensiones tendrá derecho a la asignación de una pensión desde el primer día de empleo; la ejecución de la asignación comenzará al cabo de tres meses de empleo con efectos retroactivos, o al final del ejercicio, lo que antes acontezca.</w:t>
      </w:r>
    </w:p>
    <w:p w:rsidR="00F92819" w:rsidRDefault="00F92819">
      <w:pPr>
        <w:pStyle w:val="SingleTxtG"/>
        <w:rPr>
          <w:szCs w:val="24"/>
          <w:u w:val="single"/>
        </w:rPr>
      </w:pPr>
      <w:r>
        <w:rPr>
          <w:szCs w:val="24"/>
        </w:rPr>
        <w:t>341.</w:t>
      </w:r>
      <w:r>
        <w:rPr>
          <w:szCs w:val="24"/>
        </w:rPr>
        <w:tab/>
      </w:r>
      <w:r>
        <w:rPr>
          <w:szCs w:val="24"/>
          <w:lang w:val="es-ES_tradnl"/>
        </w:rPr>
        <w:t xml:space="preserve">El salario asegurado es el que determina la </w:t>
      </w:r>
      <w:r>
        <w:rPr>
          <w:i/>
          <w:szCs w:val="24"/>
          <w:lang w:val="es-ES_tradnl"/>
        </w:rPr>
        <w:t>Ley de indemnizaciones por cese</w:t>
      </w:r>
      <w:r>
        <w:rPr>
          <w:szCs w:val="24"/>
          <w:lang w:val="es-ES_tradnl"/>
        </w:rPr>
        <w:t xml:space="preserve"> de 5723/1963 e incluirá el sueldo base y todos los complementos salariales a que tenga derecho el empleado.</w:t>
      </w:r>
      <w:r>
        <w:rPr>
          <w:szCs w:val="24"/>
        </w:rPr>
        <w:t xml:space="preserve"> </w:t>
      </w:r>
      <w:r>
        <w:rPr>
          <w:szCs w:val="24"/>
          <w:lang w:val="es-ES_tradnl"/>
        </w:rPr>
        <w:t>El salario máximo asegurado equivale al salario medio.</w:t>
      </w:r>
    </w:p>
    <w:p w:rsidR="00F92819" w:rsidRDefault="00F92819">
      <w:pPr>
        <w:pStyle w:val="SingleTxtG"/>
        <w:rPr>
          <w:szCs w:val="24"/>
          <w:u w:val="single"/>
        </w:rPr>
      </w:pPr>
      <w:r>
        <w:rPr>
          <w:szCs w:val="24"/>
          <w:lang w:val="es-ES_tradnl"/>
        </w:rPr>
        <w:t>Todos los empleados tienen derecho a elegir la caja de pensiones o la caja de jubilaciones y comunicarlo al empleador dentro de los 60 días posteriores al comienzo del empleo.</w:t>
      </w:r>
    </w:p>
    <w:p w:rsidR="00F92819" w:rsidRDefault="00F92819">
      <w:pPr>
        <w:pStyle w:val="H4G"/>
        <w:rPr>
          <w:szCs w:val="24"/>
        </w:rPr>
      </w:pPr>
      <w:r>
        <w:rPr>
          <w:szCs w:val="24"/>
        </w:rPr>
        <w:tab/>
      </w:r>
      <w:r>
        <w:rPr>
          <w:szCs w:val="24"/>
        </w:rPr>
        <w:tab/>
      </w:r>
      <w:r>
        <w:rPr>
          <w:szCs w:val="24"/>
          <w:lang w:val="es-ES_tradnl"/>
        </w:rPr>
        <w:t>Atención a largo plazo</w:t>
      </w:r>
    </w:p>
    <w:p w:rsidR="00F92819" w:rsidRDefault="00F92819">
      <w:pPr>
        <w:pStyle w:val="SingleTxtG"/>
        <w:rPr>
          <w:szCs w:val="24"/>
        </w:rPr>
      </w:pPr>
      <w:r>
        <w:rPr>
          <w:szCs w:val="24"/>
        </w:rPr>
        <w:t>342.</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Gastos</w:t>
      </w:r>
    </w:p>
    <w:p w:rsidR="00F92819" w:rsidRDefault="00F92819">
      <w:pPr>
        <w:pStyle w:val="SingleTxtG"/>
        <w:rPr>
          <w:szCs w:val="24"/>
        </w:rPr>
      </w:pPr>
      <w:r>
        <w:rPr>
          <w:szCs w:val="24"/>
        </w:rPr>
        <w:t>343.</w:t>
      </w:r>
      <w:r>
        <w:rPr>
          <w:szCs w:val="24"/>
        </w:rPr>
        <w:tab/>
      </w:r>
      <w:r>
        <w:rPr>
          <w:szCs w:val="24"/>
          <w:lang w:val="es-ES_tradnl"/>
        </w:rPr>
        <w:t>Los pagos de prestaciones de la seguridad equivalían al 6,9% del PIB en 2007 y al 7,1% en 2006. En el informe inicial de Israel se mostraba un claro aumento en la parte del PIB y del presupuesto del Estado correspondiente al pago de prestaciones hasta 2002 (8,9%).</w:t>
      </w:r>
      <w:r>
        <w:rPr>
          <w:szCs w:val="24"/>
        </w:rPr>
        <w:t xml:space="preserve"> </w:t>
      </w:r>
      <w:r>
        <w:rPr>
          <w:szCs w:val="24"/>
          <w:lang w:val="es-ES_tradnl"/>
        </w:rPr>
        <w:t>En 2003 comenzó una tendencia decreciente (8,3%) y continuó hasta 2007.</w:t>
      </w:r>
    </w:p>
    <w:p w:rsidR="00F92819" w:rsidRDefault="00F92819">
      <w:pPr>
        <w:pStyle w:val="H23G"/>
        <w:rPr>
          <w:szCs w:val="24"/>
        </w:rPr>
      </w:pPr>
      <w:r>
        <w:rPr>
          <w:szCs w:val="24"/>
        </w:rPr>
        <w:tab/>
      </w:r>
      <w:r>
        <w:rPr>
          <w:szCs w:val="24"/>
        </w:rPr>
        <w:tab/>
      </w:r>
      <w:r>
        <w:rPr>
          <w:szCs w:val="24"/>
          <w:lang w:val="es-ES_tradnl"/>
        </w:rPr>
        <w:t>Igualdad en la seguridad social</w:t>
      </w:r>
    </w:p>
    <w:p w:rsidR="00F92819" w:rsidRDefault="00F92819">
      <w:pPr>
        <w:pStyle w:val="SingleTxtG"/>
        <w:rPr>
          <w:szCs w:val="24"/>
        </w:rPr>
      </w:pPr>
      <w:r>
        <w:rPr>
          <w:szCs w:val="24"/>
        </w:rPr>
        <w:t>344.</w:t>
      </w:r>
      <w:r>
        <w:rPr>
          <w:szCs w:val="24"/>
        </w:rPr>
        <w:tab/>
      </w:r>
      <w:r>
        <w:rPr>
          <w:szCs w:val="24"/>
          <w:lang w:val="es-ES_tradnl"/>
        </w:rPr>
        <w:t xml:space="preserve">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informe anterior de Israel, ha habido algunos cambios positivos notables que han mejorado la igualdad en la seguridad social, y que se han mencionado en este informe.</w:t>
      </w:r>
    </w:p>
    <w:p w:rsidR="00F92819" w:rsidRDefault="00F92819">
      <w:pPr>
        <w:pStyle w:val="H1G"/>
        <w:ind w:firstLine="0"/>
        <w:rPr>
          <w:szCs w:val="24"/>
        </w:rPr>
      </w:pPr>
      <w:r>
        <w:rPr>
          <w:szCs w:val="24"/>
          <w:lang w:val="es-ES_tradnl"/>
        </w:rPr>
        <w:t>Artículo 10</w:t>
      </w:r>
      <w:r>
        <w:rPr>
          <w:szCs w:val="24"/>
          <w:lang w:val="es-ES_tradnl"/>
        </w:rPr>
        <w:br/>
        <w:t>Derechos de la familia</w:t>
      </w:r>
    </w:p>
    <w:p w:rsidR="00F92819" w:rsidRDefault="00F92819">
      <w:pPr>
        <w:pStyle w:val="H23G"/>
        <w:rPr>
          <w:szCs w:val="24"/>
        </w:rPr>
      </w:pPr>
      <w:r>
        <w:rPr>
          <w:szCs w:val="24"/>
        </w:rPr>
        <w:tab/>
      </w:r>
      <w:r>
        <w:rPr>
          <w:szCs w:val="24"/>
        </w:rPr>
        <w:tab/>
      </w:r>
      <w:r>
        <w:rPr>
          <w:szCs w:val="24"/>
          <w:lang w:val="es-ES_tradnl"/>
        </w:rPr>
        <w:t>Convenciones internacionales pertinentes obligatorias para Israel</w:t>
      </w:r>
    </w:p>
    <w:p w:rsidR="00F92819" w:rsidRDefault="00F92819">
      <w:pPr>
        <w:pStyle w:val="SingleTxtG"/>
        <w:rPr>
          <w:szCs w:val="24"/>
        </w:rPr>
      </w:pPr>
      <w:r>
        <w:rPr>
          <w:szCs w:val="24"/>
        </w:rPr>
        <w:t>345.</w:t>
      </w:r>
      <w:r>
        <w:rPr>
          <w:szCs w:val="24"/>
        </w:rPr>
        <w:tab/>
      </w:r>
      <w:r>
        <w:rPr>
          <w:szCs w:val="24"/>
          <w:lang w:val="es-ES_tradnl"/>
        </w:rPr>
        <w:t xml:space="preserve">Desde 1991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xml:space="preserve"> es parte en la Convención internacional sobre la eliminación de todas las formas de discriminación contra </w:t>
      </w:r>
      <w:smartTag w:uri="urn:schemas-microsoft-com:office:smarttags" w:element="PersonName">
        <w:smartTagPr>
          <w:attr w:name="ProductID" w:val="la mujer. En"/>
        </w:smartTagPr>
        <w:r>
          <w:rPr>
            <w:szCs w:val="24"/>
            <w:lang w:val="es-ES_tradnl"/>
          </w:rPr>
          <w:t>la mujer.</w:t>
        </w:r>
        <w:r>
          <w:rPr>
            <w:szCs w:val="24"/>
          </w:rPr>
          <w:t xml:space="preserve"> </w:t>
        </w:r>
        <w:r>
          <w:rPr>
            <w:szCs w:val="24"/>
            <w:lang w:val="es-ES_tradnl"/>
          </w:rPr>
          <w:t>En</w:t>
        </w:r>
      </w:smartTag>
      <w:r>
        <w:rPr>
          <w:szCs w:val="24"/>
          <w:lang w:val="es-ES_tradnl"/>
        </w:rPr>
        <w:t xml:space="preserve"> mayo de 2005 Israel presentó su cuarto informe periódico al Comité para la Eliminación de la Discriminación contra </w:t>
      </w:r>
      <w:smartTag w:uri="urn:schemas-microsoft-com:office:smarttags" w:element="PersonName">
        <w:smartTagPr>
          <w:attr w:name="ProductID" w:val="la Mujer. El"/>
        </w:smartTagPr>
        <w:r>
          <w:rPr>
            <w:szCs w:val="24"/>
            <w:lang w:val="es-ES_tradnl"/>
          </w:rPr>
          <w:t>la Mujer.</w:t>
        </w:r>
        <w:r>
          <w:rPr>
            <w:szCs w:val="24"/>
          </w:rPr>
          <w:t xml:space="preserve"> </w:t>
        </w:r>
        <w:r>
          <w:rPr>
            <w:szCs w:val="24"/>
            <w:lang w:val="es-ES_tradnl"/>
          </w:rPr>
          <w:t>El</w:t>
        </w:r>
      </w:smartTag>
      <w:r>
        <w:rPr>
          <w:szCs w:val="24"/>
          <w:lang w:val="es-ES_tradnl"/>
        </w:rPr>
        <w:t xml:space="preserve"> quinto informe se presentará en 2009.</w:t>
      </w:r>
    </w:p>
    <w:p w:rsidR="00F92819" w:rsidRDefault="00F92819">
      <w:pPr>
        <w:pStyle w:val="SingleTxtG"/>
        <w:rPr>
          <w:szCs w:val="24"/>
        </w:rPr>
      </w:pPr>
      <w:r>
        <w:rPr>
          <w:szCs w:val="24"/>
        </w:rPr>
        <w:t>346.</w:t>
      </w:r>
      <w:r>
        <w:rPr>
          <w:szCs w:val="24"/>
        </w:rPr>
        <w:tab/>
      </w:r>
      <w:r>
        <w:rPr>
          <w:szCs w:val="24"/>
          <w:lang w:val="es-ES_tradnl"/>
        </w:rPr>
        <w:t xml:space="preserve">Desde 1991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xml:space="preserve"> es parte en el Pacto Internacional de Derechos Civiles y Políticos.</w:t>
      </w:r>
      <w:r>
        <w:rPr>
          <w:szCs w:val="24"/>
        </w:rPr>
        <w:t xml:space="preserve"> </w:t>
      </w:r>
      <w:r>
        <w:rPr>
          <w:szCs w:val="24"/>
          <w:lang w:val="es-ES_tradnl"/>
        </w:rPr>
        <w:t>Su tercer informe fue presentado al Comité en julio de 2008.</w:t>
      </w:r>
    </w:p>
    <w:p w:rsidR="00F92819" w:rsidRDefault="00F92819">
      <w:pPr>
        <w:pStyle w:val="SingleTxtG"/>
        <w:rPr>
          <w:szCs w:val="24"/>
        </w:rPr>
      </w:pPr>
      <w:r>
        <w:rPr>
          <w:szCs w:val="24"/>
        </w:rPr>
        <w:t>347.</w:t>
      </w:r>
      <w:r>
        <w:rPr>
          <w:szCs w:val="24"/>
        </w:rPr>
        <w:tab/>
      </w:r>
      <w:r>
        <w:rPr>
          <w:szCs w:val="24"/>
          <w:lang w:val="es-ES_tradnl"/>
        </w:rPr>
        <w:t xml:space="preserve">Desde 1991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xml:space="preserve"> es parte en la Convención sobre los Derechos del Niño. Presentó su informe inicial en 2001 y su segundo informe periódico se presentará en 2009.</w:t>
      </w:r>
    </w:p>
    <w:p w:rsidR="00F92819" w:rsidRDefault="00F92819">
      <w:pPr>
        <w:pStyle w:val="SingleTxtG"/>
        <w:rPr>
          <w:szCs w:val="24"/>
        </w:rPr>
      </w:pPr>
      <w:r>
        <w:rPr>
          <w:szCs w:val="24"/>
        </w:rPr>
        <w:t>348.</w:t>
      </w:r>
      <w:r>
        <w:rPr>
          <w:szCs w:val="24"/>
        </w:rPr>
        <w:tab/>
      </w:r>
      <w:r>
        <w:rPr>
          <w:szCs w:val="24"/>
          <w:lang w:val="es-ES_tradnl"/>
        </w:rPr>
        <w:t xml:space="preserve">Desde la presentación </w:t>
      </w:r>
      <w:smartTag w:uri="urn:schemas-microsoft-com:office:smarttags" w:element="State">
        <w:r>
          <w:rPr>
            <w:szCs w:val="24"/>
            <w:lang w:val="es-ES_tradnl"/>
          </w:rPr>
          <w:t>del</w:t>
        </w:r>
      </w:smartTag>
      <w:r>
        <w:rPr>
          <w:szCs w:val="24"/>
          <w:lang w:val="es-ES_tradnl"/>
        </w:rPr>
        <w:t xml:space="preserve"> segundo informe periódico de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se presentó un informe en virtud del Convenio de la OIT sobre la edad mínima, 1979 (</w:t>
      </w:r>
      <w:r w:rsidR="00713E0E">
        <w:rPr>
          <w:szCs w:val="24"/>
          <w:lang w:val="es-ES_tradnl"/>
        </w:rPr>
        <w:t>Nº</w:t>
      </w:r>
      <w:r>
        <w:rPr>
          <w:szCs w:val="24"/>
          <w:lang w:val="es-ES_tradnl"/>
        </w:rPr>
        <w:t xml:space="preserve"> 138), correspondiente al bienio 2004</w:t>
      </w:r>
      <w:r w:rsidR="008C04D7">
        <w:rPr>
          <w:szCs w:val="24"/>
          <w:lang w:val="es-ES_tradnl"/>
        </w:rPr>
        <w:t>-</w:t>
      </w:r>
      <w:r>
        <w:rPr>
          <w:szCs w:val="24"/>
          <w:lang w:val="es-ES_tradnl"/>
        </w:rPr>
        <w:t>2005.</w:t>
      </w:r>
    </w:p>
    <w:p w:rsidR="00F92819" w:rsidRDefault="00F92819">
      <w:pPr>
        <w:pStyle w:val="H23G"/>
        <w:rPr>
          <w:szCs w:val="24"/>
        </w:rPr>
      </w:pPr>
      <w:r>
        <w:rPr>
          <w:szCs w:val="24"/>
        </w:rPr>
        <w:tab/>
      </w:r>
      <w:r>
        <w:rPr>
          <w:szCs w:val="24"/>
        </w:rPr>
        <w:tab/>
      </w:r>
      <w:r>
        <w:rPr>
          <w:szCs w:val="24"/>
          <w:lang w:val="es-ES_tradnl"/>
        </w:rPr>
        <w:t>Significado de “familia”</w:t>
      </w:r>
    </w:p>
    <w:p w:rsidR="00F92819" w:rsidRDefault="00F92819">
      <w:pPr>
        <w:pStyle w:val="H23G"/>
        <w:rPr>
          <w:szCs w:val="24"/>
        </w:rPr>
      </w:pPr>
      <w:r>
        <w:rPr>
          <w:szCs w:val="24"/>
        </w:rPr>
        <w:tab/>
      </w:r>
      <w:r>
        <w:rPr>
          <w:szCs w:val="24"/>
        </w:rPr>
        <w:tab/>
      </w:r>
      <w:r>
        <w:rPr>
          <w:szCs w:val="24"/>
          <w:lang w:val="es-ES_tradnl"/>
        </w:rPr>
        <w:t>Definición del término “familia” en el derecho israelí</w:t>
      </w:r>
    </w:p>
    <w:p w:rsidR="00F92819" w:rsidRDefault="00F92819">
      <w:pPr>
        <w:pStyle w:val="SingleTxtG"/>
        <w:rPr>
          <w:szCs w:val="24"/>
        </w:rPr>
      </w:pPr>
      <w:r>
        <w:rPr>
          <w:szCs w:val="24"/>
        </w:rPr>
        <w:t>349.</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Significado de familia en la práctica administrativa</w:t>
      </w:r>
    </w:p>
    <w:p w:rsidR="00F92819" w:rsidRDefault="00F92819">
      <w:pPr>
        <w:pStyle w:val="SingleTxtG"/>
        <w:rPr>
          <w:szCs w:val="24"/>
        </w:rPr>
      </w:pPr>
      <w:r>
        <w:rPr>
          <w:szCs w:val="24"/>
        </w:rPr>
        <w:t>350.</w:t>
      </w:r>
      <w:r>
        <w:rPr>
          <w:szCs w:val="24"/>
        </w:rPr>
        <w:tab/>
      </w:r>
      <w:r>
        <w:rPr>
          <w:szCs w:val="24"/>
          <w:lang w:val="es-ES_tradnl"/>
        </w:rPr>
        <w:t xml:space="preserve">Se han producido varios avances importantes en la judicatura desde la presentación </w:t>
      </w:r>
      <w:smartTag w:uri="urn:schemas-microsoft-com:office:smarttags" w:element="State">
        <w:r>
          <w:rPr>
            <w:szCs w:val="24"/>
            <w:lang w:val="es-ES_tradnl"/>
          </w:rPr>
          <w:t>del</w:t>
        </w:r>
      </w:smartTag>
      <w:r>
        <w:rPr>
          <w:szCs w:val="24"/>
          <w:lang w:val="es-ES_tradnl"/>
        </w:rPr>
        <w:t xml:space="preserve"> informe anterior de Israel, con la ampliación </w:t>
      </w:r>
      <w:smartTag w:uri="urn:schemas-microsoft-com:office:smarttags" w:element="State">
        <w:r>
          <w:rPr>
            <w:szCs w:val="24"/>
            <w:lang w:val="es-ES_tradnl"/>
          </w:rPr>
          <w:t>del</w:t>
        </w:r>
      </w:smartTag>
      <w:r>
        <w:rPr>
          <w:szCs w:val="24"/>
          <w:lang w:val="es-ES_tradnl"/>
        </w:rPr>
        <w:t xml:space="preserve"> significado de familia en la práctica administrativa en lo que respecta a las parejas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mismo sexo.</w:t>
      </w:r>
    </w:p>
    <w:p w:rsidR="00F92819" w:rsidRDefault="00F92819">
      <w:pPr>
        <w:pStyle w:val="SingleTxtG"/>
        <w:rPr>
          <w:szCs w:val="24"/>
        </w:rPr>
      </w:pPr>
      <w:r>
        <w:rPr>
          <w:szCs w:val="24"/>
        </w:rPr>
        <w:t>351.</w:t>
      </w:r>
      <w:r>
        <w:rPr>
          <w:szCs w:val="24"/>
        </w:rPr>
        <w:tab/>
      </w:r>
      <w:r>
        <w:rPr>
          <w:szCs w:val="24"/>
          <w:lang w:val="es-ES_tradnl"/>
        </w:rPr>
        <w:t>El 21 de noviembre de 2006 el Tribunal Supremo dictó un fallo histórico sobre los derechos de las parejas de un mismo sexo.</w:t>
      </w:r>
      <w:r>
        <w:rPr>
          <w:szCs w:val="24"/>
        </w:rPr>
        <w:t xml:space="preserve"> </w:t>
      </w:r>
      <w:r>
        <w:rPr>
          <w:szCs w:val="24"/>
          <w:lang w:val="es-ES_tradnl"/>
        </w:rPr>
        <w:t>El Tribunal sostuvo que un certificado de matrimonio expedido en otro país donde se reconocieran los matrimonios entre personas del mismo sexo podía permitir que el Ministerio del Interior inscribiera a la pareja como casada.</w:t>
      </w:r>
      <w:r>
        <w:rPr>
          <w:szCs w:val="24"/>
        </w:rPr>
        <w:t xml:space="preserve"> </w:t>
      </w:r>
      <w:r>
        <w:rPr>
          <w:szCs w:val="24"/>
          <w:lang w:val="es-ES_tradnl"/>
        </w:rPr>
        <w:t>Cinco parejas homosexuales que habían celebrado ceremonias matrimoniales en el extranjero presentaron una demanda ante el Tribunal Supremo después que el Ministerio del Interior les hubiera denegado la inscripción como casadas (H.C.J. 3045/05</w:t>
      </w:r>
      <w:r>
        <w:rPr>
          <w:i/>
          <w:szCs w:val="24"/>
          <w:lang w:val="es-ES_tradnl"/>
        </w:rPr>
        <w:t xml:space="preserve"> Ben-Ari c. el Ministerio del Interior, </w:t>
      </w:r>
      <w:r>
        <w:rPr>
          <w:szCs w:val="24"/>
          <w:lang w:val="es-ES_tradnl"/>
        </w:rPr>
        <w:t>H.C.J. 3046/05</w:t>
      </w:r>
      <w:r>
        <w:rPr>
          <w:i/>
          <w:szCs w:val="24"/>
          <w:lang w:val="es-ES_tradnl"/>
        </w:rPr>
        <w:t xml:space="preserve"> Bar-Lev c. el Ministerio del Interior, </w:t>
      </w:r>
      <w:r>
        <w:rPr>
          <w:szCs w:val="24"/>
          <w:lang w:val="es-ES_tradnl"/>
        </w:rPr>
        <w:t>H.C.J. 10218/05</w:t>
      </w:r>
      <w:r>
        <w:rPr>
          <w:i/>
          <w:szCs w:val="24"/>
          <w:lang w:val="es-ES_tradnl"/>
        </w:rPr>
        <w:t xml:space="preserve"> Herland c. el Ministerio del Interior, </w:t>
      </w:r>
      <w:r>
        <w:rPr>
          <w:szCs w:val="24"/>
          <w:lang w:val="es-ES_tradnl"/>
        </w:rPr>
        <w:t>H.C.J. 10468/05</w:t>
      </w:r>
      <w:r>
        <w:rPr>
          <w:i/>
          <w:szCs w:val="24"/>
          <w:lang w:val="es-ES_tradnl"/>
        </w:rPr>
        <w:t xml:space="preserve"> Lord c. el Ministerio del Interior, </w:t>
      </w:r>
      <w:r>
        <w:rPr>
          <w:szCs w:val="24"/>
          <w:lang w:val="es-ES_tradnl"/>
        </w:rPr>
        <w:t>y</w:t>
      </w:r>
      <w:r>
        <w:rPr>
          <w:i/>
          <w:szCs w:val="24"/>
          <w:lang w:val="es-ES_tradnl"/>
        </w:rPr>
        <w:t xml:space="preserve"> </w:t>
      </w:r>
      <w:r>
        <w:rPr>
          <w:szCs w:val="24"/>
          <w:lang w:val="es-ES_tradnl"/>
        </w:rPr>
        <w:t>H.C.J. 10597/05</w:t>
      </w:r>
      <w:r>
        <w:rPr>
          <w:i/>
          <w:szCs w:val="24"/>
          <w:lang w:val="es-ES_tradnl"/>
        </w:rPr>
        <w:t xml:space="preserve"> Remez c. el Ministerio del Interior</w:t>
      </w:r>
      <w:r>
        <w:rPr>
          <w:szCs w:val="24"/>
          <w:lang w:val="es-ES_tradnl"/>
        </w:rPr>
        <w:t>).</w:t>
      </w:r>
    </w:p>
    <w:p w:rsidR="00F92819" w:rsidRDefault="00F92819">
      <w:pPr>
        <w:pStyle w:val="SingleTxtG"/>
        <w:rPr>
          <w:szCs w:val="24"/>
        </w:rPr>
      </w:pPr>
      <w:r>
        <w:rPr>
          <w:szCs w:val="24"/>
          <w:lang w:val="es-ES_tradnl"/>
        </w:rPr>
        <w:t>El Tribunal Supremo basó su decisión en un fallo anterior suyo (H.C.J. 143/62</w:t>
      </w:r>
      <w:r>
        <w:rPr>
          <w:i/>
          <w:szCs w:val="24"/>
          <w:lang w:val="es-ES_tradnl"/>
        </w:rPr>
        <w:t xml:space="preserve"> Fonk Shlezinger c. el Ministerio del Interior</w:t>
      </w:r>
      <w:r>
        <w:rPr>
          <w:szCs w:val="24"/>
          <w:lang w:val="es-ES_tradnl"/>
        </w:rPr>
        <w:t xml:space="preserve">) en que había distinguido entre el deber de </w:t>
      </w:r>
      <w:r>
        <w:rPr>
          <w:spacing w:val="-4"/>
          <w:szCs w:val="24"/>
          <w:lang w:val="es-ES_tradnl"/>
        </w:rPr>
        <w:t>inscribir los matrimonios y la cuestión del reconocimiento de su condición.</w:t>
      </w:r>
      <w:r>
        <w:rPr>
          <w:szCs w:val="24"/>
        </w:rPr>
        <w:t xml:space="preserve"> </w:t>
      </w:r>
      <w:r>
        <w:rPr>
          <w:szCs w:val="24"/>
          <w:lang w:val="es-ES_tradnl"/>
        </w:rPr>
        <w:t>El Tribunal Supremo determinó que el Ministerio del Interior no debía discriminar contra las parejas homosexuales que tuvieran un certificado de matrimonio de un país que permitiera los matrimonios homosexuales.</w:t>
      </w:r>
      <w:r>
        <w:rPr>
          <w:szCs w:val="24"/>
        </w:rPr>
        <w:t xml:space="preserve"> </w:t>
      </w:r>
      <w:r>
        <w:rPr>
          <w:rStyle w:val="apple-style-span"/>
          <w:szCs w:val="24"/>
          <w:lang w:val="es-ES_tradnl"/>
        </w:rPr>
        <w:t>No obstante, el Tribunal observó que con ello no estaba otorgando una nueva condición jurídica a los matrimonios entre personas de un mismo sexo, e insistió en que esto era de la competencia del Knesset</w:t>
      </w:r>
      <w:r>
        <w:rPr>
          <w:szCs w:val="24"/>
          <w:lang w:val="es-ES_tradnl"/>
        </w:rPr>
        <w:t>.</w:t>
      </w:r>
    </w:p>
    <w:p w:rsidR="00F92819" w:rsidRDefault="00F92819">
      <w:pPr>
        <w:pStyle w:val="SingleTxtG"/>
        <w:rPr>
          <w:szCs w:val="24"/>
        </w:rPr>
      </w:pPr>
      <w:r>
        <w:rPr>
          <w:szCs w:val="24"/>
        </w:rPr>
        <w:t>352.</w:t>
      </w:r>
      <w:r>
        <w:rPr>
          <w:szCs w:val="24"/>
        </w:rPr>
        <w:tab/>
      </w:r>
      <w:r>
        <w:rPr>
          <w:szCs w:val="24"/>
          <w:lang w:val="es-ES_tradnl"/>
        </w:rPr>
        <w:t xml:space="preserve">En un fallo innovador, el Tribunal de Distrito de Nazareth determinó que en la </w:t>
      </w:r>
      <w:r>
        <w:rPr>
          <w:i/>
          <w:szCs w:val="24"/>
          <w:lang w:val="es-ES_tradnl"/>
        </w:rPr>
        <w:t xml:space="preserve">Ley de sucesiones </w:t>
      </w:r>
      <w:r>
        <w:rPr>
          <w:szCs w:val="24"/>
          <w:lang w:val="es-ES_tradnl"/>
        </w:rPr>
        <w:t>de 5725/1965 la expresión “el hombre y la mujer” incluye a los cónyuges del mismo género.</w:t>
      </w:r>
      <w:r>
        <w:rPr>
          <w:szCs w:val="24"/>
        </w:rPr>
        <w:t xml:space="preserve"> </w:t>
      </w:r>
      <w:r>
        <w:rPr>
          <w:szCs w:val="24"/>
          <w:lang w:val="es-ES_tradnl"/>
        </w:rPr>
        <w:t xml:space="preserve">El fallo se basó en la tendencia general a ampliar la interpretación del término “cónyuge”, en la </w:t>
      </w:r>
      <w:r>
        <w:rPr>
          <w:i/>
          <w:szCs w:val="24"/>
          <w:lang w:val="es-ES_tradnl"/>
        </w:rPr>
        <w:t>Ley de sucesiones</w:t>
      </w:r>
      <w:r>
        <w:rPr>
          <w:szCs w:val="24"/>
          <w:lang w:val="es-ES_tradnl"/>
        </w:rPr>
        <w:t>.</w:t>
      </w:r>
      <w:r>
        <w:rPr>
          <w:szCs w:val="24"/>
        </w:rPr>
        <w:t xml:space="preserve"> </w:t>
      </w:r>
      <w:r>
        <w:rPr>
          <w:szCs w:val="24"/>
          <w:lang w:val="es-ES_tradnl"/>
        </w:rPr>
        <w:t>(C.A. 3245/03</w:t>
      </w:r>
      <w:r>
        <w:rPr>
          <w:i/>
          <w:szCs w:val="24"/>
          <w:lang w:val="es-ES_tradnl"/>
        </w:rPr>
        <w:t xml:space="preserve"> A.M. c. el Fiscal General </w:t>
      </w:r>
      <w:r>
        <w:rPr>
          <w:szCs w:val="24"/>
          <w:lang w:val="es-ES_tradnl"/>
        </w:rPr>
        <w:t>(11 de noviembre de 2004)).</w:t>
      </w:r>
    </w:p>
    <w:p w:rsidR="00F92819" w:rsidRDefault="00F92819">
      <w:pPr>
        <w:pStyle w:val="SingleTxtG"/>
        <w:rPr>
          <w:szCs w:val="24"/>
        </w:rPr>
      </w:pPr>
      <w:r>
        <w:rPr>
          <w:szCs w:val="24"/>
        </w:rPr>
        <w:t>353.</w:t>
      </w:r>
      <w:r>
        <w:rPr>
          <w:szCs w:val="24"/>
        </w:rPr>
        <w:tab/>
      </w:r>
      <w:r>
        <w:rPr>
          <w:szCs w:val="24"/>
          <w:lang w:val="es-ES_tradnl"/>
        </w:rPr>
        <w:t>En una decisión importante de enero de 2005, el Tribunal Supremo aceptó la apelación de dos mujeres, una pareja homosexual, que deseaban adoptar sus hijos recíprocamente.</w:t>
      </w:r>
      <w:r>
        <w:rPr>
          <w:szCs w:val="24"/>
        </w:rPr>
        <w:t xml:space="preserve"> </w:t>
      </w:r>
      <w:r>
        <w:rPr>
          <w:szCs w:val="24"/>
          <w:lang w:val="es-ES_tradnl"/>
        </w:rPr>
        <w:t xml:space="preserve">El Tribunal falló que, según la </w:t>
      </w:r>
      <w:r>
        <w:rPr>
          <w:i/>
          <w:szCs w:val="24"/>
          <w:lang w:val="es-ES_tradnl"/>
        </w:rPr>
        <w:t>Ley de adopción de niños</w:t>
      </w:r>
      <w:r>
        <w:rPr>
          <w:szCs w:val="24"/>
          <w:lang w:val="es-ES_tradnl"/>
        </w:rPr>
        <w:t xml:space="preserve"> de 5741/1981, cada caso debía examinarse según el fondo y que había que tener en cuenta todas las circunstancias pertinentes.</w:t>
      </w:r>
      <w:r>
        <w:rPr>
          <w:szCs w:val="24"/>
        </w:rPr>
        <w:t xml:space="preserve"> </w:t>
      </w:r>
      <w:r>
        <w:rPr>
          <w:szCs w:val="24"/>
          <w:lang w:val="es-ES_tradnl"/>
        </w:rPr>
        <w:t>El Tribunal destacó que la decisión sólo concernía a esa pareja y no era una decisión de principios, dejando para más adelante la cuestión de las relaciones homosexuales.</w:t>
      </w:r>
      <w:r>
        <w:rPr>
          <w:szCs w:val="24"/>
          <w:rtl/>
        </w:rPr>
        <w:t xml:space="preserve"> </w:t>
      </w:r>
      <w:r>
        <w:rPr>
          <w:szCs w:val="24"/>
          <w:lang w:val="es-ES_tradnl"/>
        </w:rPr>
        <w:t xml:space="preserve">El Tribunal recomendó que el Knesset reformara la Ley para dar solución a un problema real y tratara de evitar los problemas controvertidos ideológicos que planteaba la cuestión (C.A. 10280/01 </w:t>
      </w:r>
      <w:r>
        <w:rPr>
          <w:i/>
          <w:szCs w:val="24"/>
          <w:lang w:val="es-ES_tradnl"/>
        </w:rPr>
        <w:t xml:space="preserve">Yaros-Hakak c. el Fiscal General </w:t>
      </w:r>
      <w:r>
        <w:rPr>
          <w:szCs w:val="24"/>
          <w:lang w:val="es-ES_tradnl"/>
        </w:rPr>
        <w:t>(10 de enero de 2005)).</w:t>
      </w:r>
    </w:p>
    <w:p w:rsidR="00F92819" w:rsidRDefault="00F92819">
      <w:pPr>
        <w:pStyle w:val="SingleTxtG"/>
        <w:rPr>
          <w:szCs w:val="24"/>
          <w:rtl/>
        </w:rPr>
      </w:pPr>
      <w:r>
        <w:rPr>
          <w:szCs w:val="24"/>
        </w:rPr>
        <w:t>354.</w:t>
      </w:r>
      <w:r>
        <w:rPr>
          <w:szCs w:val="24"/>
        </w:rPr>
        <w:tab/>
      </w:r>
      <w:r>
        <w:rPr>
          <w:szCs w:val="24"/>
          <w:lang w:val="es-ES_tradnl"/>
        </w:rPr>
        <w:t xml:space="preserve">El 19 de abril de 2007 el Tribunal Laboral del Distrito de Haifa aceptó una demanda contra la caja de pensiones “Mivtachim” y determinó que la sobreviviente de una relación lesbiana tenía los derechos legales de una “viuda asegurada” y no los de un “viudo asegurado” (D.L.C 1758/06 </w:t>
      </w:r>
      <w:r>
        <w:rPr>
          <w:i/>
          <w:szCs w:val="24"/>
          <w:lang w:val="es-ES_tradnl"/>
        </w:rPr>
        <w:t>Moyal-Lefler c. Mivtachim</w:t>
      </w:r>
      <w:r>
        <w:rPr>
          <w:szCs w:val="24"/>
          <w:lang w:val="es-ES_tradnl"/>
        </w:rPr>
        <w:t>).</w:t>
      </w:r>
      <w:r>
        <w:rPr>
          <w:szCs w:val="24"/>
        </w:rPr>
        <w:t xml:space="preserve"> </w:t>
      </w:r>
      <w:r>
        <w:rPr>
          <w:szCs w:val="24"/>
          <w:lang w:val="es-ES_tradnl"/>
        </w:rPr>
        <w:t>Como resultado de esta decisión, la demandante debe recibir una pensión de supervivencia del 40% y no de sólo el 20%.</w:t>
      </w:r>
    </w:p>
    <w:p w:rsidR="00F92819" w:rsidRDefault="00F92819">
      <w:pPr>
        <w:pStyle w:val="SingleTxtG"/>
        <w:rPr>
          <w:szCs w:val="24"/>
        </w:rPr>
      </w:pPr>
      <w:r>
        <w:rPr>
          <w:szCs w:val="24"/>
          <w:lang w:val="es-ES_tradnl"/>
        </w:rPr>
        <w:t>El Tribunal concluyó que, en este caso, la demandante era cónyuge de la difunta y reconocida públicamente como su pareja de hecho.</w:t>
      </w:r>
      <w:r>
        <w:rPr>
          <w:szCs w:val="24"/>
        </w:rPr>
        <w:t xml:space="preserve"> </w:t>
      </w:r>
      <w:r>
        <w:rPr>
          <w:szCs w:val="24"/>
          <w:lang w:val="es-ES_tradnl"/>
        </w:rPr>
        <w:t>Por tanto, tenía derecho a una pensión de supervivencia de conformidad con el reglamento de la caja de pensiones.</w:t>
      </w:r>
      <w:r>
        <w:rPr>
          <w:szCs w:val="24"/>
        </w:rPr>
        <w:t xml:space="preserve"> </w:t>
      </w:r>
      <w:r>
        <w:rPr>
          <w:szCs w:val="24"/>
          <w:lang w:val="es-ES_tradnl"/>
        </w:rPr>
        <w:t xml:space="preserve">El Tribunal declaró que “la distinción entre hombres y mujeres en el reglamento del demandado y en la </w:t>
      </w:r>
      <w:r>
        <w:rPr>
          <w:i/>
          <w:szCs w:val="24"/>
          <w:lang w:val="es-ES_tradnl"/>
        </w:rPr>
        <w:t>Ley del seguro nacional</w:t>
      </w:r>
      <w:r>
        <w:rPr>
          <w:szCs w:val="24"/>
          <w:lang w:val="es-ES_tradnl"/>
        </w:rPr>
        <w:t xml:space="preserve"> deriva de una justificación semejante, reflejo de la situación económica en que vivimos, en que los ingresos de las mujeres son más bajos que los de los hombres y su ascenso en el mercado de trabajo es más difícil.</w:t>
      </w:r>
      <w:r>
        <w:rPr>
          <w:szCs w:val="24"/>
        </w:rPr>
        <w:t xml:space="preserve"> Por tanto, e</w:t>
      </w:r>
      <w:r>
        <w:rPr>
          <w:szCs w:val="24"/>
          <w:lang w:val="es-ES_tradnl"/>
        </w:rPr>
        <w:t>stá justificado dar preferencia a las viudas, ya que se reduce la diferencia existente entre ambos sexos.”</w:t>
      </w:r>
    </w:p>
    <w:p w:rsidR="00F92819" w:rsidRDefault="00F92819">
      <w:pPr>
        <w:pStyle w:val="SingleTxtG"/>
        <w:rPr>
          <w:szCs w:val="24"/>
        </w:rPr>
      </w:pPr>
      <w:r>
        <w:rPr>
          <w:szCs w:val="24"/>
          <w:lang w:val="es-ES_tradnl"/>
        </w:rPr>
        <w:t>El Tribunal sostuvo que la demandante debía ser clasificada como viuda y no como viudo.</w:t>
      </w:r>
      <w:r>
        <w:rPr>
          <w:szCs w:val="24"/>
        </w:rPr>
        <w:t xml:space="preserve"> </w:t>
      </w:r>
      <w:r>
        <w:rPr>
          <w:szCs w:val="24"/>
          <w:lang w:val="es-ES_tradnl"/>
        </w:rPr>
        <w:t>Por consiguiente, reunía los requisitos para disfrutar de los derechos de una “viuda asegurada” y para recibir la pensión, como establece el reglamento de la caja de pensiones.</w:t>
      </w:r>
    </w:p>
    <w:p w:rsidR="00F92819" w:rsidRDefault="00F92819">
      <w:pPr>
        <w:pStyle w:val="H23G"/>
        <w:rPr>
          <w:szCs w:val="24"/>
        </w:rPr>
      </w:pPr>
      <w:r>
        <w:rPr>
          <w:szCs w:val="24"/>
        </w:rPr>
        <w:tab/>
      </w:r>
      <w:r>
        <w:rPr>
          <w:szCs w:val="24"/>
        </w:rPr>
        <w:tab/>
      </w:r>
      <w:r>
        <w:rPr>
          <w:szCs w:val="24"/>
          <w:lang w:val="es-ES_tradnl"/>
        </w:rPr>
        <w:t>Mayoría de edad</w:t>
      </w:r>
    </w:p>
    <w:p w:rsidR="00F92819" w:rsidRDefault="00F92819">
      <w:pPr>
        <w:pStyle w:val="SingleTxtG"/>
        <w:rPr>
          <w:szCs w:val="24"/>
        </w:rPr>
      </w:pPr>
      <w:r>
        <w:rPr>
          <w:szCs w:val="24"/>
        </w:rPr>
        <w:t>355.</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Asistencia a la familia y protección de esa asistencia</w:t>
      </w:r>
    </w:p>
    <w:p w:rsidR="00F92819" w:rsidRDefault="00F92819">
      <w:pPr>
        <w:pStyle w:val="H4G"/>
        <w:rPr>
          <w:szCs w:val="24"/>
        </w:rPr>
      </w:pPr>
      <w:r>
        <w:rPr>
          <w:szCs w:val="24"/>
        </w:rPr>
        <w:tab/>
      </w:r>
      <w:r>
        <w:rPr>
          <w:szCs w:val="24"/>
        </w:rPr>
        <w:tab/>
      </w:r>
      <w:r>
        <w:rPr>
          <w:szCs w:val="24"/>
          <w:lang w:val="es-ES_tradnl"/>
        </w:rPr>
        <w:t>El derecho fundamental a la vida familiar</w:t>
      </w:r>
    </w:p>
    <w:p w:rsidR="00F92819" w:rsidRDefault="00F92819">
      <w:pPr>
        <w:pStyle w:val="SingleTxtG"/>
        <w:rPr>
          <w:szCs w:val="24"/>
        </w:rPr>
      </w:pPr>
      <w:r w:rsidRPr="009F5C10">
        <w:rPr>
          <w:szCs w:val="24"/>
        </w:rPr>
        <w:t>356.</w:t>
      </w:r>
      <w:r w:rsidRPr="009F5C10">
        <w:rPr>
          <w:szCs w:val="24"/>
        </w:rPr>
        <w:tab/>
      </w:r>
      <w:r>
        <w:rPr>
          <w:b/>
          <w:szCs w:val="24"/>
          <w:lang w:val="es-ES_tradnl"/>
        </w:rPr>
        <w:t xml:space="preserve">Tratamiento de </w:t>
      </w:r>
      <w:smartTag w:uri="urn:schemas-microsoft-com:office:smarttags" w:element="PersonName">
        <w:smartTagPr>
          <w:attr w:name="ProductID" w:val="la esterilidad. Actualmente"/>
        </w:smartTagPr>
        <w:r>
          <w:rPr>
            <w:b/>
            <w:szCs w:val="24"/>
            <w:lang w:val="es-ES_tradnl"/>
          </w:rPr>
          <w:t>la esterilidad</w:t>
        </w:r>
        <w:r>
          <w:rPr>
            <w:szCs w:val="24"/>
            <w:lang w:val="es-ES_tradnl"/>
          </w:rPr>
          <w:t>.</w:t>
        </w:r>
        <w:r>
          <w:rPr>
            <w:szCs w:val="24"/>
          </w:rPr>
          <w:t xml:space="preserve"> </w:t>
        </w:r>
        <w:r>
          <w:rPr>
            <w:szCs w:val="24"/>
            <w:lang w:val="es-ES_tradnl"/>
          </w:rPr>
          <w:t>Actualmente</w:t>
        </w:r>
      </w:smartTag>
      <w:r>
        <w:rPr>
          <w:szCs w:val="24"/>
          <w:lang w:val="es-ES_tradnl"/>
        </w:rPr>
        <w:t>, en Israel existen 24 clínicas de fecundación in vitro, 9 en hospitales del Estado, 11 en hospitales públicos y 4 en hospitales privados.</w:t>
      </w:r>
      <w:r>
        <w:rPr>
          <w:szCs w:val="24"/>
        </w:rPr>
        <w:t xml:space="preserve"> </w:t>
      </w:r>
      <w:r>
        <w:rPr>
          <w:szCs w:val="24"/>
          <w:lang w:val="es-ES_tradnl"/>
        </w:rPr>
        <w:t>En 2006 se realizaron 25.552 ciclos de tratamiento mediante fecundación in vitro (frente a 20.886 ciclos en 2002), con el resultado de 6.473 embarazos y 4.298 partos viables (5.229 niños).</w:t>
      </w:r>
      <w:r>
        <w:rPr>
          <w:szCs w:val="24"/>
        </w:rPr>
        <w:t xml:space="preserve"> </w:t>
      </w:r>
      <w:r>
        <w:rPr>
          <w:szCs w:val="24"/>
          <w:lang w:val="es-ES_tradnl"/>
        </w:rPr>
        <w:t>El porcentaje de partos viables por ciclo de tratamiento en Israel se ha mantenido relativamente estable desde 1996 (15,8 %) y en 2006 se mantuvo en un 16,8%.</w:t>
      </w:r>
    </w:p>
    <w:p w:rsidR="00F92819" w:rsidRDefault="00F92819">
      <w:pPr>
        <w:pStyle w:val="SingleTxtG"/>
        <w:rPr>
          <w:szCs w:val="24"/>
        </w:rPr>
      </w:pPr>
      <w:r>
        <w:rPr>
          <w:szCs w:val="24"/>
        </w:rPr>
        <w:t>357.</w:t>
      </w:r>
      <w:r>
        <w:rPr>
          <w:szCs w:val="24"/>
        </w:rPr>
        <w:tab/>
      </w:r>
      <w:r>
        <w:rPr>
          <w:szCs w:val="24"/>
          <w:lang w:val="es-ES_tradnl"/>
        </w:rPr>
        <w:t xml:space="preserve">En febrero de 2007 se enmendó la </w:t>
      </w:r>
      <w:r>
        <w:rPr>
          <w:i/>
          <w:szCs w:val="24"/>
          <w:lang w:val="es-ES_tradnl"/>
        </w:rPr>
        <w:t xml:space="preserve">Ley de igualdad de oportunidades de empleo </w:t>
      </w:r>
      <w:r>
        <w:rPr>
          <w:szCs w:val="24"/>
          <w:lang w:val="es-ES_tradnl"/>
        </w:rPr>
        <w:t>para añadir una prohibición explícita de discriminar a un empleado o empleada por seguir un tratamiento de esterilidad o un tratamiento mediante fecundación in vitro.</w:t>
      </w:r>
    </w:p>
    <w:p w:rsidR="00F92819" w:rsidRDefault="00F92819">
      <w:pPr>
        <w:pStyle w:val="SingleTxtG"/>
        <w:rPr>
          <w:szCs w:val="24"/>
        </w:rPr>
      </w:pPr>
      <w:r>
        <w:rPr>
          <w:szCs w:val="24"/>
        </w:rPr>
        <w:t>358.</w:t>
      </w:r>
      <w:r>
        <w:rPr>
          <w:szCs w:val="24"/>
        </w:rPr>
        <w:tab/>
      </w:r>
      <w:r>
        <w:rPr>
          <w:szCs w:val="24"/>
          <w:lang w:val="es-ES_tradnl"/>
        </w:rPr>
        <w:t>Hasta diciembre de 2007 se habían presentado 450 solicitudes de maternidad sustitutiva, que produjeron 194 hijos en 160 nacimientos (porque hubo 32 partos dobles y 1 triple).</w:t>
      </w:r>
      <w:r>
        <w:rPr>
          <w:szCs w:val="24"/>
        </w:rPr>
        <w:t xml:space="preserve"> </w:t>
      </w:r>
      <w:r>
        <w:rPr>
          <w:szCs w:val="24"/>
          <w:lang w:val="es-ES_tradnl"/>
        </w:rPr>
        <w:t>Algunas de las 450 solicitudes eran segundas solicitudes de parejas presentadas después del éxito o del fracaso del primer intento de concepción.</w:t>
      </w:r>
      <w:r>
        <w:rPr>
          <w:szCs w:val="24"/>
        </w:rPr>
        <w:t xml:space="preserve"> </w:t>
      </w:r>
      <w:r>
        <w:rPr>
          <w:szCs w:val="24"/>
          <w:lang w:val="es-ES_tradnl"/>
        </w:rPr>
        <w:t>Algunas de las solicitudes no llegaron a la etapa de la firma de un acuerdo.</w:t>
      </w:r>
      <w:r>
        <w:rPr>
          <w:szCs w:val="24"/>
        </w:rPr>
        <w:t xml:space="preserve"> </w:t>
      </w:r>
      <w:r>
        <w:rPr>
          <w:szCs w:val="24"/>
          <w:lang w:val="es-ES_tradnl"/>
        </w:rPr>
        <w:t>Por lo menos dos de las madres interesadas dieron a luz.</w:t>
      </w:r>
    </w:p>
    <w:p w:rsidR="00F92819" w:rsidRDefault="00F92819">
      <w:pPr>
        <w:pStyle w:val="H4G"/>
        <w:rPr>
          <w:szCs w:val="24"/>
        </w:rPr>
      </w:pPr>
      <w:r>
        <w:rPr>
          <w:szCs w:val="24"/>
        </w:rPr>
        <w:tab/>
      </w:r>
      <w:r>
        <w:rPr>
          <w:szCs w:val="24"/>
        </w:rPr>
        <w:tab/>
      </w:r>
      <w:r>
        <w:rPr>
          <w:szCs w:val="24"/>
          <w:lang w:val="es-ES_tradnl"/>
        </w:rPr>
        <w:t>Matrimonio</w:t>
      </w:r>
    </w:p>
    <w:p w:rsidR="00F92819" w:rsidRDefault="00F92819">
      <w:pPr>
        <w:pStyle w:val="SingleTxtG"/>
        <w:rPr>
          <w:szCs w:val="24"/>
        </w:rPr>
      </w:pPr>
      <w:r>
        <w:rPr>
          <w:szCs w:val="24"/>
        </w:rPr>
        <w:t>359.</w:t>
      </w:r>
      <w:r>
        <w:rPr>
          <w:szCs w:val="24"/>
        </w:rPr>
        <w:tab/>
      </w:r>
      <w:r>
        <w:rPr>
          <w:b/>
          <w:i/>
          <w:szCs w:val="24"/>
          <w:lang w:val="es-ES_tradnl"/>
        </w:rPr>
        <w:t xml:space="preserve">Ley </w:t>
      </w:r>
      <w:smartTag w:uri="urn:schemas-microsoft-com:office:smarttags" w:element="place">
        <w:smartTag w:uri="urn:schemas-microsoft-com:office:smarttags" w:element="State">
          <w:r>
            <w:rPr>
              <w:b/>
              <w:i/>
              <w:szCs w:val="24"/>
              <w:lang w:val="es-ES_tradnl"/>
            </w:rPr>
            <w:t>del</w:t>
          </w:r>
        </w:smartTag>
      </w:smartTag>
      <w:r>
        <w:rPr>
          <w:b/>
          <w:i/>
          <w:szCs w:val="24"/>
          <w:lang w:val="es-ES_tradnl"/>
        </w:rPr>
        <w:t xml:space="preserve"> tribunal de familia</w:t>
      </w:r>
      <w:r>
        <w:rPr>
          <w:szCs w:val="24"/>
          <w:lang w:val="es-ES_tradnl"/>
        </w:rPr>
        <w:t xml:space="preserve"> </w:t>
      </w:r>
      <w:r>
        <w:rPr>
          <w:b/>
          <w:szCs w:val="24"/>
          <w:lang w:val="es-ES_tradnl"/>
        </w:rPr>
        <w:t>de 5755/1995</w:t>
      </w:r>
      <w:r>
        <w:rPr>
          <w:szCs w:val="24"/>
          <w:lang w:val="es-ES_tradnl"/>
        </w:rPr>
        <w:t>.</w:t>
      </w:r>
      <w:r>
        <w:rPr>
          <w:szCs w:val="24"/>
        </w:rPr>
        <w:t xml:space="preserve"> </w:t>
      </w:r>
      <w:r>
        <w:rPr>
          <w:szCs w:val="24"/>
          <w:lang w:val="es-ES_tradnl"/>
        </w:rPr>
        <w:t>Hasta 2001 los tribunales musulmanes y cristianos tenían jurisdicción exclusiva en todos los asuntos de familia, a saber, las pensiones alimenticias de las mujeres y los niños, las cuestiones de propiedad, el mantenimiento de los hijos, la tutela y los asuntos parentales.</w:t>
      </w:r>
      <w:r>
        <w:rPr>
          <w:szCs w:val="24"/>
        </w:rPr>
        <w:t xml:space="preserve"> </w:t>
      </w:r>
      <w:r>
        <w:rPr>
          <w:szCs w:val="24"/>
          <w:lang w:val="es-ES_tradnl"/>
        </w:rPr>
        <w:t xml:space="preserve">En noviembre de 2001 se enmendó la </w:t>
      </w:r>
      <w:r>
        <w:rPr>
          <w:i/>
          <w:szCs w:val="24"/>
          <w:lang w:val="es-ES_tradnl"/>
        </w:rPr>
        <w:t>Ley del tribunal de familia</w:t>
      </w:r>
      <w:r>
        <w:rPr>
          <w:szCs w:val="24"/>
          <w:lang w:val="es-ES_tradnl"/>
        </w:rPr>
        <w:t xml:space="preserve"> para establecer una jurisdicción paralela en el Tribunal de familia en todas las cuestiones relacionadas con la situación personal de musulmanes y cristianos (bienes matrimoniales, custodia, pensión alimenticia, violencia familiar y, en el caso de los musulmanes, también paternidad) con arreglo a la jurisdicción del sistema civil y excluidas las cuestiones de matrimonio y divorcio, que continúan exclusivamente bajo la jurisdicción religiosa.</w:t>
      </w:r>
    </w:p>
    <w:p w:rsidR="00F92819" w:rsidRDefault="00F92819">
      <w:pPr>
        <w:pStyle w:val="SingleTxtG"/>
        <w:rPr>
          <w:szCs w:val="24"/>
        </w:rPr>
      </w:pPr>
      <w:r w:rsidRPr="009F5C10">
        <w:rPr>
          <w:szCs w:val="24"/>
        </w:rPr>
        <w:t>360.</w:t>
      </w:r>
      <w:r w:rsidRPr="009F5C10">
        <w:rPr>
          <w:szCs w:val="24"/>
        </w:rPr>
        <w:tab/>
      </w:r>
      <w:r>
        <w:rPr>
          <w:b/>
          <w:szCs w:val="24"/>
          <w:lang w:val="es-ES_tradnl"/>
        </w:rPr>
        <w:t>Edad mínima de hombres y mujeres para el matrimonio</w:t>
      </w:r>
      <w:r>
        <w:rPr>
          <w:szCs w:val="24"/>
          <w:lang w:val="es-ES_tradnl"/>
        </w:rPr>
        <w:t>.</w:t>
      </w:r>
      <w:r>
        <w:rPr>
          <w:szCs w:val="24"/>
        </w:rPr>
        <w:t xml:space="preserve"> </w:t>
      </w:r>
      <w:r>
        <w:rPr>
          <w:szCs w:val="24"/>
          <w:lang w:val="es-ES_tradnl"/>
        </w:rPr>
        <w:t>El fenómeno del matrimonio de menores de edad todavía existe en algunos sectores de la sociedad israelí, como los judíos ultraortodoxos, los judíos georgianos y los árabes.</w:t>
      </w:r>
    </w:p>
    <w:p w:rsidR="00F92819" w:rsidRDefault="00F92819">
      <w:pPr>
        <w:pStyle w:val="SingleTxtG"/>
        <w:rPr>
          <w:i/>
          <w:szCs w:val="24"/>
        </w:rPr>
      </w:pPr>
      <w:r>
        <w:rPr>
          <w:szCs w:val="24"/>
        </w:rPr>
        <w:t>361.</w:t>
      </w:r>
      <w:r>
        <w:rPr>
          <w:szCs w:val="24"/>
        </w:rPr>
        <w:tab/>
      </w:r>
      <w:r>
        <w:rPr>
          <w:szCs w:val="24"/>
          <w:lang w:val="es-ES_tradnl"/>
        </w:rPr>
        <w:t>En 2005 se presentaron a los tribunales de familia 30 solicitudes de permiso de matrimonio de menores, 17 de las cuales fueron aprobadas.</w:t>
      </w:r>
      <w:r>
        <w:rPr>
          <w:szCs w:val="24"/>
        </w:rPr>
        <w:t xml:space="preserve"> </w:t>
      </w:r>
      <w:r>
        <w:rPr>
          <w:szCs w:val="24"/>
          <w:lang w:val="es-ES_tradnl"/>
        </w:rPr>
        <w:t>Entre los años 1997 y 2005 se aprobaron más de la mitad de las 251 peticiones de matrimonio de menores.</w:t>
      </w:r>
      <w:r>
        <w:rPr>
          <w:szCs w:val="24"/>
        </w:rPr>
        <w:t xml:space="preserve"> </w:t>
      </w:r>
      <w:r>
        <w:rPr>
          <w:szCs w:val="24"/>
          <w:lang w:val="es-ES_tradnl"/>
        </w:rPr>
        <w:t xml:space="preserve">De </w:t>
      </w:r>
      <w:smartTag w:uri="urn:schemas-microsoft-com:office:smarttags" w:element="metricconverter">
        <w:smartTagPr>
          <w:attr w:name="ProductID" w:val="2000 a"/>
        </w:smartTagPr>
        <w:r>
          <w:rPr>
            <w:szCs w:val="24"/>
            <w:lang w:val="es-ES_tradnl"/>
          </w:rPr>
          <w:t>2000 a</w:t>
        </w:r>
      </w:smartTag>
      <w:r>
        <w:rPr>
          <w:szCs w:val="24"/>
          <w:lang w:val="es-ES_tradnl"/>
        </w:rPr>
        <w:t xml:space="preserve"> 2006 se presentaron a la policía 41 denuncias de infracción de la </w:t>
      </w:r>
      <w:r>
        <w:rPr>
          <w:i/>
          <w:szCs w:val="24"/>
          <w:lang w:val="es-ES_tradnl"/>
        </w:rPr>
        <w:t>Ley de la edad para contraer matrimonio</w:t>
      </w:r>
      <w:r>
        <w:rPr>
          <w:szCs w:val="24"/>
          <w:lang w:val="es-ES_tradnl"/>
        </w:rPr>
        <w:t xml:space="preserve"> de 5710/1950, la mitad de las cuales acabaron en expedientes penales.</w:t>
      </w:r>
      <w:r>
        <w:rPr>
          <w:szCs w:val="24"/>
        </w:rPr>
        <w:t xml:space="preserve"> </w:t>
      </w:r>
      <w:r>
        <w:rPr>
          <w:szCs w:val="24"/>
          <w:lang w:val="es-ES_tradnl"/>
        </w:rPr>
        <w:t>En los demás casos se decidió no entablar proceso.</w:t>
      </w:r>
    </w:p>
    <w:p w:rsidR="00F92819" w:rsidRDefault="00F92819">
      <w:pPr>
        <w:pStyle w:val="SingleTxtG"/>
        <w:rPr>
          <w:szCs w:val="24"/>
        </w:rPr>
      </w:pPr>
      <w:r w:rsidRPr="009F5C10">
        <w:rPr>
          <w:szCs w:val="24"/>
        </w:rPr>
        <w:t>362.</w:t>
      </w:r>
      <w:r w:rsidRPr="009F5C10">
        <w:rPr>
          <w:szCs w:val="24"/>
        </w:rPr>
        <w:tab/>
      </w:r>
      <w:r>
        <w:rPr>
          <w:szCs w:val="24"/>
          <w:lang w:val="es-ES_tradnl"/>
        </w:rPr>
        <w:t xml:space="preserve">La </w:t>
      </w:r>
      <w:r w:rsidRPr="009F5C10">
        <w:rPr>
          <w:b/>
          <w:i/>
          <w:szCs w:val="24"/>
          <w:lang w:val="es-ES_tradnl"/>
        </w:rPr>
        <w:t>Ley de la jurisdicción para la disolución del matrimonio (casos especiales y jurisdicción internacional)</w:t>
      </w:r>
      <w:r w:rsidRPr="009F5C10">
        <w:rPr>
          <w:b/>
          <w:szCs w:val="24"/>
          <w:lang w:val="es-ES_tradnl"/>
        </w:rPr>
        <w:t xml:space="preserve"> de 5729/1969</w:t>
      </w:r>
      <w:r>
        <w:rPr>
          <w:szCs w:val="24"/>
          <w:lang w:val="es-ES_tradnl"/>
        </w:rPr>
        <w:t>, relativa a la disolución del matrimonio de personas sin afiliación religiosa o con afiliaciones religiosas diferentes, se enmendó en julio de 2005 para permitir a ambos cónyuges recurrir directamente a los Tribunales de Familia para solicitar la disolución de su matrimonio, en vez de tener que solicitarla previamente al Presidente del Tribunal Supremo.</w:t>
      </w:r>
      <w:r>
        <w:rPr>
          <w:szCs w:val="24"/>
        </w:rPr>
        <w:t xml:space="preserve"> </w:t>
      </w:r>
      <w:r>
        <w:rPr>
          <w:szCs w:val="24"/>
          <w:lang w:val="es-ES_tradnl"/>
        </w:rPr>
        <w:t>En determinados casos, el Tribunal de Familia puede consultar con el tribunal religioso pertinente para decidir si, conforme a la legislación religiosa de cualquiera de los cónyuges, es necesario disolver el matrimonio para poder casarse de nuevo.</w:t>
      </w:r>
      <w:r>
        <w:rPr>
          <w:szCs w:val="24"/>
        </w:rPr>
        <w:t xml:space="preserve"> </w:t>
      </w:r>
      <w:r>
        <w:rPr>
          <w:szCs w:val="24"/>
          <w:lang w:val="es-ES_tradnl"/>
        </w:rPr>
        <w:t>La Ley enmendada incluye también disposiciones sobre la jurisdicción internacional de los Tribunales de Familia.</w:t>
      </w:r>
    </w:p>
    <w:p w:rsidR="00F92819" w:rsidRDefault="00F92819">
      <w:pPr>
        <w:pStyle w:val="SingleTxtG"/>
        <w:rPr>
          <w:szCs w:val="24"/>
        </w:rPr>
      </w:pPr>
      <w:r>
        <w:rPr>
          <w:szCs w:val="24"/>
        </w:rPr>
        <w:t>363.</w:t>
      </w:r>
      <w:r>
        <w:rPr>
          <w:szCs w:val="24"/>
        </w:rPr>
        <w:tab/>
      </w:r>
      <w:r>
        <w:rPr>
          <w:b/>
          <w:szCs w:val="24"/>
          <w:lang w:val="es-ES_tradnl"/>
        </w:rPr>
        <w:t>Confirmación de un decreto de divorcio.</w:t>
      </w:r>
      <w:r>
        <w:rPr>
          <w:b/>
          <w:i/>
          <w:szCs w:val="24"/>
        </w:rPr>
        <w:t xml:space="preserve"> </w:t>
      </w:r>
      <w:r>
        <w:rPr>
          <w:szCs w:val="24"/>
          <w:lang w:val="es-ES_tradnl"/>
        </w:rPr>
        <w:t xml:space="preserve">En dos enmiendas a la </w:t>
      </w:r>
      <w:r>
        <w:rPr>
          <w:i/>
          <w:szCs w:val="24"/>
          <w:lang w:val="es-ES_tradnl"/>
        </w:rPr>
        <w:t xml:space="preserve">Ley sobre los tribunales rabínicos (confirmación de un decreto de divorcio) </w:t>
      </w:r>
      <w:r>
        <w:rPr>
          <w:szCs w:val="24"/>
          <w:lang w:val="es-ES_tradnl"/>
        </w:rPr>
        <w:t>de 5755/1995, el legislador amplió los poderes otorgados al Tribunal Rabínico al tratar con un marido reacio a conceder un decreto de divorcio (también conocido como “</w:t>
      </w:r>
      <w:r>
        <w:rPr>
          <w:i/>
          <w:szCs w:val="24"/>
          <w:lang w:val="es-ES_tradnl"/>
        </w:rPr>
        <w:t>Get</w:t>
      </w:r>
      <w:r>
        <w:rPr>
          <w:szCs w:val="24"/>
          <w:lang w:val="es-ES_tradnl"/>
        </w:rPr>
        <w:t>”) a su esposa, impidiendo de este modo que se volviera a casar.</w:t>
      </w:r>
      <w:r>
        <w:rPr>
          <w:szCs w:val="24"/>
        </w:rPr>
        <w:t xml:space="preserve"> </w:t>
      </w:r>
      <w:r>
        <w:rPr>
          <w:szCs w:val="24"/>
          <w:lang w:val="es-ES_tradnl"/>
        </w:rPr>
        <w:t>Las primeras enmiendas, de 1º de junio de 2004, otorgaron a los tribunales rabínicos la potestad de ordenar al marido reacio que permanezca en aislamiento durante un período inicial de 14 días (anteriormente 5 días) y durante períodos continuos posteriormente, con arreglo a determinadas limitaciones.</w:t>
      </w:r>
      <w:r>
        <w:rPr>
          <w:szCs w:val="24"/>
        </w:rPr>
        <w:t xml:space="preserve"> </w:t>
      </w:r>
      <w:r>
        <w:rPr>
          <w:szCs w:val="24"/>
          <w:lang w:val="es-ES_tradnl"/>
        </w:rPr>
        <w:t>La segunda enmienda, de 25 de julio de 2007, faculta a los tribunales rabínicos, en determinadas circunstancias, para ejecutar o denegar pensiones y otras prestaciones de forma progresiva con arreglo a lo establecido en la Ley, así como propiedades, incluidos los bienes personales e inmuebles.</w:t>
      </w:r>
    </w:p>
    <w:p w:rsidR="00F92819" w:rsidRDefault="00F92819">
      <w:pPr>
        <w:pStyle w:val="SingleTxtG"/>
        <w:rPr>
          <w:szCs w:val="24"/>
        </w:rPr>
      </w:pPr>
      <w:r>
        <w:rPr>
          <w:szCs w:val="24"/>
        </w:rPr>
        <w:t>364.</w:t>
      </w:r>
      <w:r>
        <w:rPr>
          <w:szCs w:val="24"/>
        </w:rPr>
        <w:tab/>
      </w:r>
      <w:r>
        <w:rPr>
          <w:szCs w:val="24"/>
          <w:lang w:val="es-ES_tradnl"/>
        </w:rPr>
        <w:t>El 21 de julio de 2008 el Tribunal de Familia de Jerusalén indemnizó a una mujer con la cantidad de 550.000 nuevos sheqalim (148.648 dólares de los EE.UU.) debido a que su marido incumplió la sentencia del Tribunal Rabínico que establecía la necesidad de que la pareja se divorciara (F.M.C. (Jerusalén) 6743/02</w:t>
      </w:r>
      <w:r>
        <w:rPr>
          <w:i/>
          <w:szCs w:val="24"/>
          <w:lang w:val="es-ES_tradnl"/>
        </w:rPr>
        <w:t xml:space="preserve"> K. c. K. </w:t>
      </w:r>
      <w:r>
        <w:rPr>
          <w:szCs w:val="24"/>
          <w:lang w:val="es-ES_tradnl"/>
        </w:rPr>
        <w:t>(21 de junio de 2008)).</w:t>
      </w:r>
      <w:r>
        <w:rPr>
          <w:szCs w:val="24"/>
        </w:rPr>
        <w:t xml:space="preserve"> </w:t>
      </w:r>
      <w:r>
        <w:rPr>
          <w:szCs w:val="24"/>
          <w:lang w:val="es-ES_tradnl"/>
        </w:rPr>
        <w:t>La mujer interpuso el recurso de divorcio ante el Tribunal Rabínico en 1998, y en 2006 el tribunal ordenó al marido que concediera el divorcio a su mujer.</w:t>
      </w:r>
      <w:r>
        <w:rPr>
          <w:szCs w:val="24"/>
        </w:rPr>
        <w:t xml:space="preserve"> </w:t>
      </w:r>
      <w:r>
        <w:rPr>
          <w:szCs w:val="24"/>
          <w:lang w:val="es-ES_tradnl"/>
        </w:rPr>
        <w:t>El Tribunal de Familia falló que, debido al retraso del procedimiento de divorcio, el marido infligió a su mujer un prolongado sufrimiento moral, que se hizo mayor todavía tras su negativa a cumplir la sentencia del Tribunal Rabínico, por lo cual el Tribunal de Familia decidió indemnizar a la esposa por el daño moral que se le infligió.</w:t>
      </w:r>
      <w:r>
        <w:rPr>
          <w:szCs w:val="24"/>
        </w:rPr>
        <w:t xml:space="preserve"> </w:t>
      </w:r>
      <w:r>
        <w:rPr>
          <w:szCs w:val="24"/>
          <w:lang w:val="es-ES_tradnl"/>
        </w:rPr>
        <w:t>No obstante, esta resolución no revoca la necesidad de obtener el consentimiento del marido para que el divorcio sea legalmente válido.</w:t>
      </w:r>
    </w:p>
    <w:p w:rsidR="00F92819" w:rsidRDefault="00F92819">
      <w:pPr>
        <w:pStyle w:val="SingleTxtG"/>
        <w:rPr>
          <w:szCs w:val="24"/>
        </w:rPr>
      </w:pPr>
      <w:r>
        <w:rPr>
          <w:szCs w:val="24"/>
        </w:rPr>
        <w:t>365.</w:t>
      </w:r>
      <w:r>
        <w:rPr>
          <w:szCs w:val="24"/>
        </w:rPr>
        <w:tab/>
      </w:r>
      <w:r>
        <w:rPr>
          <w:szCs w:val="24"/>
          <w:lang w:val="es-ES_tradnl"/>
        </w:rPr>
        <w:t xml:space="preserve">Con respecto a la cuestión del nuevo matrimonio de las mujeres cuando el marido se opone al divorcio, véanse los informes periódicos de Israel sobre la aplicación de </w:t>
      </w:r>
      <w:smartTag w:uri="urn:schemas-microsoft-com:office:smarttags" w:element="PersonName">
        <w:smartTagPr>
          <w:attr w:name="ProductID" w:val="la Convenci￳n Internacional"/>
        </w:smartTagPr>
        <w:r>
          <w:rPr>
            <w:szCs w:val="24"/>
            <w:lang w:val="es-ES_tradnl"/>
          </w:rPr>
          <w:t>la Convención Internacional</w:t>
        </w:r>
      </w:smartTag>
      <w:r>
        <w:rPr>
          <w:szCs w:val="24"/>
          <w:lang w:val="es-ES_tradnl"/>
        </w:rPr>
        <w:t xml:space="preserve"> sobre la Eliminación de todas las Formas de Discriminación contra la Mujer (CEDAW).</w:t>
      </w:r>
    </w:p>
    <w:p w:rsidR="00F92819" w:rsidRDefault="00F92819">
      <w:pPr>
        <w:pStyle w:val="SingleTxtG"/>
        <w:rPr>
          <w:szCs w:val="24"/>
        </w:rPr>
      </w:pPr>
      <w:r w:rsidRPr="009F5C10">
        <w:rPr>
          <w:szCs w:val="24"/>
        </w:rPr>
        <w:t>366.</w:t>
      </w:r>
      <w:r w:rsidRPr="009F5C10">
        <w:rPr>
          <w:szCs w:val="24"/>
        </w:rPr>
        <w:tab/>
      </w:r>
      <w:r>
        <w:rPr>
          <w:b/>
          <w:szCs w:val="24"/>
          <w:lang w:val="es-ES_tradnl"/>
        </w:rPr>
        <w:t>División de bienes</w:t>
      </w:r>
      <w:r>
        <w:rPr>
          <w:szCs w:val="24"/>
          <w:lang w:val="es-ES_tradnl"/>
        </w:rPr>
        <w:t>.</w:t>
      </w:r>
      <w:r>
        <w:rPr>
          <w:szCs w:val="24"/>
        </w:rPr>
        <w:t xml:space="preserve"> </w:t>
      </w:r>
      <w:r>
        <w:rPr>
          <w:szCs w:val="24"/>
          <w:lang w:val="es-ES_tradnl"/>
        </w:rPr>
        <w:t xml:space="preserve">El Knesset enmendó recientemente la </w:t>
      </w:r>
      <w:r>
        <w:rPr>
          <w:i/>
          <w:szCs w:val="24"/>
          <w:lang w:val="es-ES_tradnl"/>
        </w:rPr>
        <w:t xml:space="preserve">Ley de división de bienes entre los cónyuges </w:t>
      </w:r>
      <w:r>
        <w:rPr>
          <w:szCs w:val="24"/>
          <w:lang w:val="es-ES_tradnl"/>
        </w:rPr>
        <w:t>de</w:t>
      </w:r>
      <w:r>
        <w:rPr>
          <w:i/>
          <w:szCs w:val="24"/>
          <w:lang w:val="es-ES_tradnl"/>
        </w:rPr>
        <w:t xml:space="preserve"> </w:t>
      </w:r>
      <w:r>
        <w:rPr>
          <w:szCs w:val="24"/>
          <w:lang w:val="es-ES_tradnl"/>
        </w:rPr>
        <w:t>5733/1973 con el fin de permitir el reparto de los bienes antes del divorcio o del fin del matrimonio.</w:t>
      </w:r>
      <w:r>
        <w:rPr>
          <w:szCs w:val="24"/>
        </w:rPr>
        <w:t xml:space="preserve"> </w:t>
      </w:r>
      <w:r>
        <w:rPr>
          <w:szCs w:val="24"/>
          <w:lang w:val="es-ES_tradnl"/>
        </w:rPr>
        <w:t xml:space="preserve">Según </w:t>
      </w:r>
      <w:smartTag w:uri="urn:schemas-microsoft-com:office:smarttags" w:element="PersonName">
        <w:smartTagPr>
          <w:attr w:name="ProductID" w:val="la “Halacha"/>
        </w:smartTagPr>
        <w:r>
          <w:rPr>
            <w:szCs w:val="24"/>
            <w:lang w:val="es-ES_tradnl"/>
          </w:rPr>
          <w:t>la “</w:t>
        </w:r>
        <w:r>
          <w:rPr>
            <w:i/>
            <w:szCs w:val="24"/>
            <w:lang w:val="es-ES_tradnl"/>
          </w:rPr>
          <w:t>Halacha</w:t>
        </w:r>
      </w:smartTag>
      <w:r>
        <w:rPr>
          <w:szCs w:val="24"/>
          <w:lang w:val="es-ES_tradnl"/>
        </w:rPr>
        <w:t>” judía, ambos cónyuges deben dar su consentimiento para divorciarse.</w:t>
      </w:r>
      <w:r>
        <w:rPr>
          <w:szCs w:val="24"/>
        </w:rPr>
        <w:t xml:space="preserve"> </w:t>
      </w:r>
      <w:r>
        <w:rPr>
          <w:szCs w:val="24"/>
          <w:lang w:val="es-ES_tradnl"/>
        </w:rPr>
        <w:t>El objeto de la enmienda es impedir que un cónyuge pueda exigir al otro que renuncie a sus derechos de propiedad como condición para otorgar su consentimiento al divorcio.</w:t>
      </w:r>
    </w:p>
    <w:p w:rsidR="00F92819" w:rsidRDefault="00F92819">
      <w:pPr>
        <w:pStyle w:val="SingleTxtG"/>
        <w:rPr>
          <w:szCs w:val="24"/>
        </w:rPr>
      </w:pPr>
      <w:r>
        <w:rPr>
          <w:szCs w:val="24"/>
          <w:lang w:val="es-ES_tradnl"/>
        </w:rPr>
        <w:t>La enmienda amplió el ámbito de aplicación de la Ley para incluir, además del divorcio, la anulación del matrimonio, la declaración de que el matrimonio fue nulo y la separación cuando la legislación religiosa no permite el divorcio.</w:t>
      </w:r>
    </w:p>
    <w:p w:rsidR="00F92819" w:rsidRDefault="00F92819">
      <w:pPr>
        <w:pStyle w:val="SingleTxtG"/>
        <w:rPr>
          <w:szCs w:val="24"/>
        </w:rPr>
      </w:pPr>
      <w:r>
        <w:rPr>
          <w:szCs w:val="24"/>
          <w:lang w:val="es-ES_tradnl"/>
        </w:rPr>
        <w:t>La enmienda añadió el artículo 5A a), con arreglo al cual el tribunal puede permitir, en determinadas circunstancias, el ejercicio del derecho a la división de los bienes conyugales, esto es, el derecho de cada uno de los cónyuges a la mitad de los bienes de la pareja, antes del divorcio o de la anulación matrimonial en cada una de sus formas.</w:t>
      </w:r>
    </w:p>
    <w:p w:rsidR="00F92819" w:rsidRDefault="00F92819">
      <w:pPr>
        <w:pStyle w:val="SingleTxtG"/>
        <w:rPr>
          <w:szCs w:val="24"/>
        </w:rPr>
      </w:pPr>
      <w:r>
        <w:rPr>
          <w:szCs w:val="24"/>
          <w:lang w:val="es-ES_tradnl"/>
        </w:rPr>
        <w:t>Según lo dispuesto en el artículo 5A b), el tribunal puede acortar los plazos establecidos en el artículo 5A a) si lo considera conveniente.</w:t>
      </w:r>
      <w:r>
        <w:rPr>
          <w:szCs w:val="24"/>
        </w:rPr>
        <w:t xml:space="preserve"> </w:t>
      </w:r>
      <w:r>
        <w:rPr>
          <w:szCs w:val="24"/>
          <w:lang w:val="es-ES_tradnl"/>
        </w:rPr>
        <w:t>Además, en algunos casos, en particular en casos de violencia, el tribunal puede ordenar la división de los bienes incluso si la situación no cumple todos los términos previstos en el artículo 5A a).</w:t>
      </w:r>
    </w:p>
    <w:p w:rsidR="00F92819" w:rsidRDefault="00F92819">
      <w:pPr>
        <w:pStyle w:val="SingleTxtG"/>
        <w:rPr>
          <w:szCs w:val="24"/>
        </w:rPr>
      </w:pPr>
      <w:r>
        <w:rPr>
          <w:szCs w:val="24"/>
          <w:lang w:val="es-ES_tradnl"/>
        </w:rPr>
        <w:t>De conformidad con el artículo 5A c), el tribunal puede condicionar la ejecución de una solicitud de división de bienes a la presentación del solicitante de una carta formal de consentimiento para aceptar u otorgar un “</w:t>
      </w:r>
      <w:r>
        <w:rPr>
          <w:i/>
          <w:szCs w:val="24"/>
          <w:lang w:val="es-ES_tradnl"/>
        </w:rPr>
        <w:t>Get</w:t>
      </w:r>
      <w:r>
        <w:rPr>
          <w:szCs w:val="24"/>
          <w:lang w:val="es-ES_tradnl"/>
        </w:rPr>
        <w:t>” (decreto de divorcio).</w:t>
      </w:r>
    </w:p>
    <w:p w:rsidR="00F92819" w:rsidRDefault="00F92819">
      <w:pPr>
        <w:pStyle w:val="SingleTxtG"/>
        <w:rPr>
          <w:szCs w:val="24"/>
          <w:rtl/>
        </w:rPr>
      </w:pPr>
      <w:r w:rsidRPr="009F5C10">
        <w:rPr>
          <w:szCs w:val="24"/>
        </w:rPr>
        <w:t>367.</w:t>
      </w:r>
      <w:r w:rsidRPr="009F5C10">
        <w:rPr>
          <w:szCs w:val="24"/>
        </w:rPr>
        <w:tab/>
      </w:r>
      <w:r>
        <w:rPr>
          <w:b/>
          <w:szCs w:val="24"/>
          <w:lang w:val="es-ES_tradnl"/>
        </w:rPr>
        <w:t>Matrimonios civiles</w:t>
      </w:r>
      <w:r>
        <w:rPr>
          <w:szCs w:val="24"/>
          <w:lang w:val="es-ES_tradnl"/>
        </w:rPr>
        <w:t>.</w:t>
      </w:r>
      <w:r>
        <w:rPr>
          <w:szCs w:val="24"/>
        </w:rPr>
        <w:t xml:space="preserve"> </w:t>
      </w:r>
      <w:r>
        <w:rPr>
          <w:szCs w:val="24"/>
          <w:lang w:val="es-ES_tradnl"/>
        </w:rPr>
        <w:t xml:space="preserve">El 21 de noviembre de 2006 el Tribunal Supremo tomó la encomiable medida de reconocer los matrimonios civiles celebrados entre residentes israelíes judíos y ciudadanos fuera de Israel (H.C.J 2232/03 </w:t>
      </w:r>
      <w:r>
        <w:rPr>
          <w:i/>
          <w:szCs w:val="24"/>
          <w:lang w:val="es-ES_tradnl"/>
        </w:rPr>
        <w:t>Anónimo c. el Tribunal Rabínico de Apelaciones</w:t>
      </w:r>
      <w:r>
        <w:rPr>
          <w:szCs w:val="24"/>
          <w:lang w:val="es-ES_tradnl"/>
        </w:rPr>
        <w:t>).</w:t>
      </w:r>
      <w:r>
        <w:rPr>
          <w:szCs w:val="24"/>
        </w:rPr>
        <w:t xml:space="preserve"> </w:t>
      </w:r>
      <w:r>
        <w:rPr>
          <w:szCs w:val="24"/>
          <w:lang w:val="es-ES_tradnl"/>
        </w:rPr>
        <w:t>Un hombre judío, que quería divorciarse de su esposa después de haber contraído matrimonio civil fuera del Estado, recurrió al Tribunal Rabínico, que declaró que el matrimonio no debía reconocerse y que, por lo tanto, debía disolverse.</w:t>
      </w:r>
      <w:r>
        <w:rPr>
          <w:szCs w:val="24"/>
        </w:rPr>
        <w:t xml:space="preserve"> </w:t>
      </w:r>
      <w:r>
        <w:rPr>
          <w:szCs w:val="24"/>
          <w:lang w:val="es-ES_tradnl"/>
        </w:rPr>
        <w:t>La esposa, que no quería divorciarse, recurrió la sentencia ante el Tribunal Superior de Justicia,</w:t>
      </w:r>
      <w:r>
        <w:rPr>
          <w:szCs w:val="24"/>
        </w:rPr>
        <w:t xml:space="preserve"> </w:t>
      </w:r>
      <w:r>
        <w:rPr>
          <w:szCs w:val="24"/>
          <w:lang w:val="es-ES_tradnl"/>
        </w:rPr>
        <w:t xml:space="preserve">que determinó que el Tribunal Rabínico no podía disolver el matrimonio sobre la base de que el matrimonio no se había celebrado según </w:t>
      </w:r>
      <w:smartTag w:uri="urn:schemas-microsoft-com:office:smarttags" w:element="PersonName">
        <w:smartTagPr>
          <w:attr w:name="ProductID" w:val="la “Halacha"/>
        </w:smartTagPr>
        <w:r>
          <w:rPr>
            <w:szCs w:val="24"/>
            <w:lang w:val="es-ES_tradnl"/>
          </w:rPr>
          <w:t>la “</w:t>
        </w:r>
        <w:r>
          <w:rPr>
            <w:i/>
            <w:szCs w:val="24"/>
            <w:lang w:val="es-ES_tradnl"/>
          </w:rPr>
          <w:t>Halacha</w:t>
        </w:r>
      </w:smartTag>
      <w:r>
        <w:rPr>
          <w:szCs w:val="24"/>
          <w:lang w:val="es-ES_tradnl"/>
        </w:rPr>
        <w:t>” judía.</w:t>
      </w:r>
      <w:r>
        <w:rPr>
          <w:szCs w:val="24"/>
        </w:rPr>
        <w:t xml:space="preserve"> </w:t>
      </w:r>
      <w:r>
        <w:rPr>
          <w:szCs w:val="24"/>
          <w:lang w:val="es-ES_tradnl"/>
        </w:rPr>
        <w:t>Observó además que los matrimonios civiles eran efectivamente válidos en Israel.</w:t>
      </w:r>
      <w:r>
        <w:rPr>
          <w:szCs w:val="24"/>
        </w:rPr>
        <w:t xml:space="preserve"> </w:t>
      </w:r>
      <w:r>
        <w:rPr>
          <w:szCs w:val="24"/>
          <w:lang w:val="es-ES_tradnl"/>
        </w:rPr>
        <w:t>El Tribunal Supremo basó el reconocimiento de los matrimonios civiles, entre otras cosas, en el derecho internacional privado y determinó además que la necesidad de validar estos matrimonios se ve reforzada por el derecho a casarse y a la vida familiar, y la obligación de respetar la unidad familiar.</w:t>
      </w:r>
    </w:p>
    <w:p w:rsidR="00F92819" w:rsidRDefault="00F92819">
      <w:pPr>
        <w:pStyle w:val="SingleTxtG"/>
        <w:rPr>
          <w:szCs w:val="24"/>
          <w:rtl/>
        </w:rPr>
      </w:pPr>
      <w:r w:rsidRPr="009F5C10">
        <w:rPr>
          <w:szCs w:val="24"/>
        </w:rPr>
        <w:t>368.</w:t>
      </w:r>
      <w:r w:rsidRPr="009F5C10">
        <w:rPr>
          <w:szCs w:val="24"/>
        </w:rPr>
        <w:tab/>
      </w:r>
      <w:r>
        <w:rPr>
          <w:b/>
          <w:szCs w:val="24"/>
          <w:lang w:val="es-ES_tradnl"/>
        </w:rPr>
        <w:t>Cónyuges</w:t>
      </w:r>
      <w:r>
        <w:rPr>
          <w:szCs w:val="24"/>
          <w:lang w:val="es-ES_tradnl"/>
        </w:rPr>
        <w:t>.</w:t>
      </w:r>
      <w:r>
        <w:rPr>
          <w:szCs w:val="24"/>
        </w:rPr>
        <w:t xml:space="preserve"> </w:t>
      </w:r>
      <w:r>
        <w:rPr>
          <w:szCs w:val="24"/>
          <w:lang w:val="es-ES_tradnl"/>
        </w:rPr>
        <w:t>El 15 de abril de 2007 el Tribunal de Familia de Nazaret rechazó una demanda presentada por dos hijos contra la segunda mujer del padre difunto.</w:t>
      </w:r>
      <w:r>
        <w:rPr>
          <w:szCs w:val="24"/>
        </w:rPr>
        <w:t xml:space="preserve"> </w:t>
      </w:r>
      <w:r>
        <w:rPr>
          <w:szCs w:val="24"/>
          <w:lang w:val="es-ES_tradnl"/>
        </w:rPr>
        <w:t xml:space="preserve">En la demanda los hijos solicitaban los derechos sobre una propiedad de su padre que la segunda viuda había heredado (Nazareth F.C 001180/04 </w:t>
      </w:r>
      <w:r>
        <w:rPr>
          <w:i/>
          <w:szCs w:val="24"/>
          <w:lang w:val="es-ES_tradnl"/>
        </w:rPr>
        <w:t>A.Z. y P.Z. c. V.Z. et. al.</w:t>
      </w:r>
      <w:r>
        <w:rPr>
          <w:szCs w:val="24"/>
          <w:lang w:val="es-ES_tradnl"/>
        </w:rPr>
        <w:t>).</w:t>
      </w:r>
      <w:r>
        <w:rPr>
          <w:szCs w:val="24"/>
        </w:rPr>
        <w:t xml:space="preserve"> </w:t>
      </w:r>
      <w:r>
        <w:rPr>
          <w:szCs w:val="24"/>
          <w:lang w:val="es-ES_tradnl"/>
        </w:rPr>
        <w:t>Los demandantes alegaban que la viuda de su padre</w:t>
      </w:r>
      <w:r>
        <w:rPr>
          <w:b/>
          <w:szCs w:val="24"/>
          <w:lang w:val="es-ES_tradnl"/>
        </w:rPr>
        <w:t xml:space="preserve"> </w:t>
      </w:r>
      <w:r>
        <w:rPr>
          <w:szCs w:val="24"/>
          <w:lang w:val="es-ES_tradnl"/>
        </w:rPr>
        <w:t>tenía un nuevo cónyuge y que, según una condición establecida en el testamento del padre, la viuda perdía en ese caso el derecho a la propiedad y después los hijos la heredaban.</w:t>
      </w:r>
    </w:p>
    <w:p w:rsidR="00F92819" w:rsidRDefault="00F92819">
      <w:pPr>
        <w:pStyle w:val="SingleTxtG"/>
        <w:rPr>
          <w:szCs w:val="24"/>
        </w:rPr>
      </w:pPr>
      <w:r>
        <w:rPr>
          <w:szCs w:val="24"/>
          <w:lang w:val="es-ES_tradnl"/>
        </w:rPr>
        <w:t>El Tribunal sostuvo que el significado de la palabra “cónyuge” tal como aparecía en el testamento debía interpretarse como una relación caracterizada por la gestión económica de una unidad familiar, resultante de una vida familiar conjunta.</w:t>
      </w:r>
      <w:r>
        <w:rPr>
          <w:szCs w:val="24"/>
        </w:rPr>
        <w:t xml:space="preserve"> </w:t>
      </w:r>
      <w:r>
        <w:rPr>
          <w:szCs w:val="24"/>
          <w:lang w:val="es-ES_tradnl"/>
        </w:rPr>
        <w:t>Este significado concordaba con el objetivo del testamento de que los hijos heredaran la propiedad sólo si la esposa llegaba a tener una relación formal y permanente con su nueva pareja, parecida a la que había tenido con el difunto.</w:t>
      </w:r>
    </w:p>
    <w:p w:rsidR="00F92819" w:rsidRDefault="00F92819">
      <w:pPr>
        <w:pStyle w:val="SingleTxtG"/>
        <w:rPr>
          <w:szCs w:val="24"/>
          <w:rtl/>
          <w:lang w:bidi="he-IL"/>
        </w:rPr>
      </w:pPr>
      <w:r>
        <w:rPr>
          <w:szCs w:val="24"/>
          <w:lang w:val="es-ES_tradnl"/>
        </w:rPr>
        <w:t>El Tribunal decidió que en este caso la relación entre la demandada y su compañero estaba basada en la amistad y la intimidad, pero no podía caracterizarse como una relación que incorporara la gestión económica conjunta de una unidad familiar.</w:t>
      </w:r>
      <w:r>
        <w:rPr>
          <w:szCs w:val="24"/>
        </w:rPr>
        <w:t xml:space="preserve"> </w:t>
      </w:r>
      <w:r>
        <w:rPr>
          <w:szCs w:val="24"/>
          <w:lang w:val="es-ES_tradnl"/>
        </w:rPr>
        <w:t>Por tanto, no podía considerarse que los miembros de la nueva pareja fueran cónyuges según las condiciones del testamento, y la demanda fue rechazada.</w:t>
      </w:r>
    </w:p>
    <w:p w:rsidR="00F92819" w:rsidRDefault="00F92819">
      <w:pPr>
        <w:pStyle w:val="H4G"/>
        <w:rPr>
          <w:szCs w:val="24"/>
        </w:rPr>
      </w:pPr>
      <w:r>
        <w:rPr>
          <w:szCs w:val="24"/>
        </w:rPr>
        <w:tab/>
      </w:r>
      <w:r>
        <w:rPr>
          <w:szCs w:val="24"/>
        </w:rPr>
        <w:tab/>
      </w:r>
      <w:r>
        <w:rPr>
          <w:szCs w:val="24"/>
          <w:lang w:val="es-ES_tradnl"/>
        </w:rPr>
        <w:t>Fortalecimiento y protección de la familia</w:t>
      </w:r>
    </w:p>
    <w:p w:rsidR="00F92819" w:rsidRDefault="00F92819">
      <w:pPr>
        <w:pStyle w:val="SingleTxtG"/>
        <w:rPr>
          <w:szCs w:val="24"/>
        </w:rPr>
      </w:pPr>
      <w:r>
        <w:rPr>
          <w:szCs w:val="24"/>
        </w:rPr>
        <w:t>369.</w:t>
      </w:r>
      <w:r>
        <w:rPr>
          <w:szCs w:val="24"/>
        </w:rPr>
        <w:tab/>
      </w:r>
      <w:r>
        <w:rPr>
          <w:szCs w:val="24"/>
          <w:lang w:val="es-ES_tradnl"/>
        </w:rPr>
        <w:t xml:space="preserve">En una decisión precedente, el Tribunal Laboral de Israel rechazó una apelación presentada por el Estado con respecto a la interpretación del artículo </w:t>
      </w:r>
      <w:smartTag w:uri="urn:schemas-microsoft-com:office:smarttags" w:element="metricconverter">
        <w:smartTagPr>
          <w:attr w:name="ProductID" w:val="4 a"/>
        </w:smartTagPr>
        <w:r>
          <w:rPr>
            <w:szCs w:val="24"/>
            <w:lang w:val="es-ES_tradnl"/>
          </w:rPr>
          <w:t>4 a</w:t>
        </w:r>
      </w:smartTag>
      <w:r>
        <w:rPr>
          <w:szCs w:val="24"/>
          <w:lang w:val="es-ES_tradnl"/>
        </w:rPr>
        <w:t xml:space="preserve">) 1) de la </w:t>
      </w:r>
      <w:r>
        <w:rPr>
          <w:i/>
          <w:szCs w:val="24"/>
          <w:lang w:val="es-ES_tradnl"/>
        </w:rPr>
        <w:t>Ley de igualdad de oportunidades de empleo</w:t>
      </w:r>
      <w:r>
        <w:rPr>
          <w:szCs w:val="24"/>
          <w:lang w:val="es-ES_tradnl"/>
        </w:rPr>
        <w:t>.</w:t>
      </w:r>
      <w:r>
        <w:rPr>
          <w:szCs w:val="24"/>
        </w:rPr>
        <w:t xml:space="preserve"> </w:t>
      </w:r>
      <w:r>
        <w:rPr>
          <w:szCs w:val="24"/>
          <w:lang w:val="es-ES_tradnl"/>
        </w:rPr>
        <w:t>El Estado afirmaba que la interpretación adecuada de la Ley debería otorgar prestaciones similares a los empleados y las empleadas en el mismo lugar de trabajo, a condición de que la esposa esté empleada y que exista una similitud entre las prestaciones concedidas a ambos en sus lugares de trabajo. El Tribunal rechazó la alegación del Estado y reafirmó la decisión del Tribunal Laboral de Distrito, que sostenía que el solicitante tenía derecho a una reducción de la jornada laboral igual que sus compañeras, a pesar de que su esposa no tenía derecho a beneficios similares en su lugar de trabajo.</w:t>
      </w:r>
      <w:r>
        <w:rPr>
          <w:szCs w:val="24"/>
        </w:rPr>
        <w:t xml:space="preserve"> </w:t>
      </w:r>
      <w:r>
        <w:rPr>
          <w:szCs w:val="24"/>
          <w:lang w:val="es-ES_tradnl"/>
        </w:rPr>
        <w:t xml:space="preserve">El Tribunal estipuló que la finalidad de la </w:t>
      </w:r>
      <w:r>
        <w:rPr>
          <w:i/>
          <w:szCs w:val="24"/>
          <w:lang w:val="es-ES_tradnl"/>
        </w:rPr>
        <w:t xml:space="preserve">Ley de igualdad de oportunidades en el empleo </w:t>
      </w:r>
      <w:r>
        <w:rPr>
          <w:szCs w:val="24"/>
          <w:lang w:val="es-ES_tradnl"/>
        </w:rPr>
        <w:t>es</w:t>
      </w:r>
      <w:r>
        <w:rPr>
          <w:i/>
          <w:szCs w:val="24"/>
          <w:lang w:val="es-ES_tradnl"/>
        </w:rPr>
        <w:t xml:space="preserve"> </w:t>
      </w:r>
      <w:r>
        <w:rPr>
          <w:szCs w:val="24"/>
          <w:lang w:val="es-ES_tradnl"/>
        </w:rPr>
        <w:t>aplicar el principio de igualdad, que es un principio fundamental, en todas las cuestiones sobre relaciones laborales.</w:t>
      </w:r>
      <w:r>
        <w:rPr>
          <w:szCs w:val="24"/>
        </w:rPr>
        <w:t xml:space="preserve"> </w:t>
      </w:r>
      <w:r>
        <w:rPr>
          <w:szCs w:val="24"/>
          <w:lang w:val="es-ES_tradnl"/>
        </w:rPr>
        <w:t xml:space="preserve">El Tribunal sostuvo que la finalidad de la Ley era otorgar prestaciones parentales a uno de los padres, a su conveniencia, e impedir que ambos padres ejerzan los mismos derechos a la vez (La.A. 1155/02 </w:t>
      </w:r>
      <w:r>
        <w:rPr>
          <w:i/>
          <w:szCs w:val="24"/>
          <w:lang w:val="es-ES_tradnl"/>
        </w:rPr>
        <w:t>El Estado de Israel c. Alexander Muskalnenko</w:t>
      </w:r>
      <w:r>
        <w:rPr>
          <w:szCs w:val="24"/>
          <w:lang w:val="es-ES_tradnl"/>
        </w:rPr>
        <w:t xml:space="preserve"> (31 de agosto de 2003)).</w:t>
      </w:r>
    </w:p>
    <w:p w:rsidR="00F92819" w:rsidRDefault="00F92819">
      <w:pPr>
        <w:pStyle w:val="SingleTxtG"/>
        <w:rPr>
          <w:szCs w:val="24"/>
        </w:rPr>
      </w:pPr>
      <w:r>
        <w:rPr>
          <w:szCs w:val="24"/>
        </w:rPr>
        <w:t>370.</w:t>
      </w:r>
      <w:r>
        <w:rPr>
          <w:szCs w:val="24"/>
        </w:rPr>
        <w:tab/>
      </w:r>
      <w:smartTag w:uri="urn:schemas-microsoft-com:office:smarttags" w:element="place">
        <w:r>
          <w:rPr>
            <w:szCs w:val="24"/>
            <w:lang w:val="es-ES_tradnl"/>
          </w:rPr>
          <w:t>Para</w:t>
        </w:r>
      </w:smartTag>
      <w:r>
        <w:rPr>
          <w:szCs w:val="24"/>
          <w:lang w:val="es-ES_tradnl"/>
        </w:rPr>
        <w:t xml:space="preserve"> el examen de las prestaciones económicas concedidas por el Estado para ayudar a las familias, véase el artículo 9 anterior.</w:t>
      </w:r>
    </w:p>
    <w:p w:rsidR="00F92819" w:rsidRDefault="00F92819">
      <w:pPr>
        <w:pStyle w:val="H4G"/>
        <w:rPr>
          <w:szCs w:val="24"/>
        </w:rPr>
      </w:pPr>
      <w:r>
        <w:rPr>
          <w:szCs w:val="24"/>
        </w:rPr>
        <w:tab/>
      </w:r>
      <w:r>
        <w:rPr>
          <w:szCs w:val="24"/>
        </w:rPr>
        <w:tab/>
      </w:r>
      <w:r>
        <w:rPr>
          <w:szCs w:val="24"/>
          <w:lang w:val="es-ES_tradnl"/>
        </w:rPr>
        <w:t>Protección del niño</w:t>
      </w:r>
    </w:p>
    <w:p w:rsidR="00F92819" w:rsidRDefault="00F92819">
      <w:pPr>
        <w:pStyle w:val="SingleTxtG"/>
        <w:rPr>
          <w:szCs w:val="24"/>
        </w:rPr>
      </w:pPr>
      <w:r>
        <w:rPr>
          <w:szCs w:val="24"/>
        </w:rPr>
        <w:t>371.</w:t>
      </w:r>
      <w:r>
        <w:rPr>
          <w:szCs w:val="24"/>
        </w:rPr>
        <w:tab/>
      </w:r>
      <w:r>
        <w:rPr>
          <w:szCs w:val="24"/>
          <w:lang w:val="es-ES_tradnl"/>
        </w:rPr>
        <w:t>A fin de 2007 había 2.408.400 niños, que formaban el 33,3% de la población total de Israel, frente al 33,8% en 2000.</w:t>
      </w:r>
    </w:p>
    <w:p w:rsidR="00F92819" w:rsidRDefault="00F92819">
      <w:pPr>
        <w:pStyle w:val="SingleTxtG"/>
        <w:rPr>
          <w:szCs w:val="24"/>
        </w:rPr>
      </w:pPr>
      <w:r>
        <w:rPr>
          <w:szCs w:val="24"/>
        </w:rPr>
        <w:t>372.</w:t>
      </w:r>
      <w:r>
        <w:rPr>
          <w:szCs w:val="24"/>
        </w:rPr>
        <w:tab/>
      </w:r>
      <w:r>
        <w:rPr>
          <w:szCs w:val="24"/>
          <w:lang w:val="es-ES_tradnl"/>
        </w:rPr>
        <w:t xml:space="preserve">En 2007 el 8% de los niños de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xml:space="preserve"> vivían en una familia monoparental, frente a 6,8% en 1995. El número de los niños que inmigraron a Israel desde 1990 y que residen actualmente en el país asciende a unos 90.000.</w:t>
      </w:r>
    </w:p>
    <w:p w:rsidR="00F92819" w:rsidRDefault="00F92819">
      <w:pPr>
        <w:pStyle w:val="SingleTxtG"/>
        <w:rPr>
          <w:szCs w:val="24"/>
        </w:rPr>
      </w:pPr>
      <w:r>
        <w:rPr>
          <w:szCs w:val="24"/>
        </w:rPr>
        <w:t>373.</w:t>
      </w:r>
      <w:r>
        <w:rPr>
          <w:szCs w:val="24"/>
        </w:rPr>
        <w:tab/>
      </w:r>
      <w:r>
        <w:rPr>
          <w:szCs w:val="24"/>
          <w:lang w:val="es-ES_tradnl"/>
        </w:rPr>
        <w:t xml:space="preserve">En 2007 el 24,8% de las familias con hijos estaban por debajo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umbral de la pobreza, un descenso con respecto al 25,5% de 2006.</w:t>
      </w:r>
    </w:p>
    <w:p w:rsidR="00F92819" w:rsidRDefault="00F92819">
      <w:pPr>
        <w:pStyle w:val="SingleTxtG"/>
        <w:rPr>
          <w:szCs w:val="24"/>
        </w:rPr>
      </w:pPr>
      <w:r>
        <w:rPr>
          <w:szCs w:val="24"/>
        </w:rPr>
        <w:t>374.</w:t>
      </w:r>
      <w:r>
        <w:rPr>
          <w:szCs w:val="24"/>
        </w:rPr>
        <w:tab/>
      </w:r>
      <w:smartTag w:uri="urn:schemas-microsoft-com:office:smarttags" w:element="place">
        <w:r>
          <w:rPr>
            <w:szCs w:val="24"/>
            <w:lang w:val="es-ES_tradnl"/>
          </w:rPr>
          <w:t>Para</w:t>
        </w:r>
      </w:smartTag>
      <w:r>
        <w:rPr>
          <w:szCs w:val="24"/>
          <w:lang w:val="es-ES_tradnl"/>
        </w:rPr>
        <w:t xml:space="preserve"> el examen de las prestaciones económicas concedidas por el Estado para ayudar la protección de los niños, véase el artículo 9 anterior.</w:t>
      </w:r>
    </w:p>
    <w:p w:rsidR="00F92819" w:rsidRDefault="00F92819">
      <w:pPr>
        <w:pStyle w:val="SingleTxtG"/>
        <w:rPr>
          <w:szCs w:val="24"/>
          <w:lang w:val="es-ES_tradnl"/>
        </w:rPr>
      </w:pPr>
      <w:r>
        <w:rPr>
          <w:szCs w:val="24"/>
        </w:rPr>
        <w:t>375.</w:t>
      </w:r>
      <w:r>
        <w:rPr>
          <w:szCs w:val="24"/>
        </w:rPr>
        <w:tab/>
      </w:r>
      <w:r>
        <w:rPr>
          <w:szCs w:val="24"/>
          <w:lang w:val="es-ES_tradnl"/>
        </w:rPr>
        <w:t xml:space="preserve">Para información sobre las consecuencias de la legislación, véase la </w:t>
      </w:r>
      <w:r>
        <w:rPr>
          <w:i/>
          <w:szCs w:val="24"/>
          <w:lang w:val="es-ES_tradnl"/>
        </w:rPr>
        <w:t>Ley de los derechos del niño</w:t>
      </w:r>
      <w:r>
        <w:rPr>
          <w:szCs w:val="24"/>
          <w:lang w:val="es-ES_tradnl"/>
        </w:rPr>
        <w:t xml:space="preserve"> de 5762/2002, que requiere la inclusión sistemática en todos los proyectos de ley de notas explicativas sobre las consecuencias previstas para los derechos del niño.</w:t>
      </w:r>
    </w:p>
    <w:p w:rsidR="00F92819" w:rsidRDefault="00F92819">
      <w:pPr>
        <w:pStyle w:val="H23G"/>
        <w:ind w:firstLine="0"/>
        <w:rPr>
          <w:szCs w:val="24"/>
        </w:rPr>
      </w:pPr>
      <w:r>
        <w:rPr>
          <w:szCs w:val="24"/>
          <w:lang w:val="es-ES_tradnl"/>
        </w:rPr>
        <w:t>Prestación de servicios de bienestar</w:t>
      </w:r>
    </w:p>
    <w:p w:rsidR="00F92819" w:rsidRDefault="00F92819">
      <w:pPr>
        <w:pStyle w:val="SingleTxtG"/>
        <w:rPr>
          <w:szCs w:val="24"/>
        </w:rPr>
      </w:pPr>
      <w:r>
        <w:rPr>
          <w:szCs w:val="24"/>
        </w:rPr>
        <w:t>376.</w:t>
      </w:r>
      <w:r>
        <w:rPr>
          <w:szCs w:val="24"/>
        </w:rPr>
        <w:tab/>
      </w:r>
      <w:r>
        <w:rPr>
          <w:szCs w:val="24"/>
          <w:lang w:val="es-ES_tradnl"/>
        </w:rPr>
        <w:t>En enero de 2007 los departamentos de servicios sociales habían registrado 418.527 niños, que representan casi un 20% de los niños de Israel.</w:t>
      </w:r>
      <w:r>
        <w:rPr>
          <w:szCs w:val="24"/>
        </w:rPr>
        <w:t xml:space="preserve"> </w:t>
      </w:r>
      <w:r>
        <w:rPr>
          <w:szCs w:val="24"/>
          <w:lang w:val="es-ES_tradnl"/>
        </w:rPr>
        <w:t xml:space="preserve">De enero de </w:t>
      </w:r>
      <w:smartTag w:uri="urn:schemas-microsoft-com:office:smarttags" w:element="metricconverter">
        <w:smartTagPr>
          <w:attr w:name="ProductID" w:val="2001 a"/>
        </w:smartTagPr>
        <w:r>
          <w:rPr>
            <w:szCs w:val="24"/>
            <w:lang w:val="es-ES_tradnl"/>
          </w:rPr>
          <w:t>2001 a</w:t>
        </w:r>
      </w:smartTag>
      <w:r>
        <w:rPr>
          <w:szCs w:val="24"/>
          <w:lang w:val="es-ES_tradnl"/>
        </w:rPr>
        <w:t xml:space="preserve"> enero de 2007 el número de niños incluidos en el sistema de servicios sociales aumentó en un 44%.</w:t>
      </w:r>
      <w:r>
        <w:rPr>
          <w:szCs w:val="24"/>
        </w:rPr>
        <w:t xml:space="preserve"> </w:t>
      </w:r>
      <w:r>
        <w:rPr>
          <w:szCs w:val="24"/>
          <w:lang w:val="es-ES_tradnl"/>
        </w:rPr>
        <w:t>Los departamentos de servicios sociales habían incluido 326.588 niños en la categoría de “niños</w:t>
      </w:r>
      <w:r>
        <w:rPr>
          <w:b/>
          <w:szCs w:val="24"/>
          <w:lang w:val="es-ES_tradnl"/>
        </w:rPr>
        <w:t xml:space="preserve"> </w:t>
      </w:r>
      <w:r>
        <w:rPr>
          <w:szCs w:val="24"/>
          <w:lang w:val="es-ES_tradnl"/>
        </w:rPr>
        <w:t>en peligro directo o en peligro por su familia”, que indica que el desarrollo del niño o la niña y la posibilidad de tener un modo de vida aceptable corren peligro y que puede necesitar asistencia.</w:t>
      </w:r>
    </w:p>
    <w:p w:rsidR="00F92819" w:rsidRDefault="00F92819">
      <w:pPr>
        <w:pStyle w:val="H23G"/>
        <w:rPr>
          <w:szCs w:val="24"/>
        </w:rPr>
      </w:pPr>
      <w:r>
        <w:rPr>
          <w:szCs w:val="24"/>
        </w:rPr>
        <w:tab/>
      </w:r>
      <w:r>
        <w:rPr>
          <w:szCs w:val="24"/>
        </w:rPr>
        <w:tab/>
      </w:r>
      <w:r>
        <w:rPr>
          <w:szCs w:val="24"/>
          <w:lang w:val="es-ES_tradnl"/>
        </w:rPr>
        <w:t>Abuso de niños</w:t>
      </w:r>
    </w:p>
    <w:p w:rsidR="00F92819" w:rsidRDefault="00F92819">
      <w:pPr>
        <w:pStyle w:val="SingleTxtG"/>
        <w:rPr>
          <w:szCs w:val="24"/>
        </w:rPr>
      </w:pPr>
      <w:r>
        <w:rPr>
          <w:szCs w:val="24"/>
        </w:rPr>
        <w:t>377.</w:t>
      </w:r>
      <w:r>
        <w:rPr>
          <w:szCs w:val="24"/>
        </w:rPr>
        <w:tab/>
      </w:r>
      <w:r>
        <w:rPr>
          <w:szCs w:val="24"/>
          <w:lang w:val="es-ES_tradnl"/>
        </w:rPr>
        <w:t>En 2006 8.222 niños</w:t>
      </w:r>
      <w:r>
        <w:rPr>
          <w:b/>
          <w:szCs w:val="24"/>
          <w:lang w:val="es-ES_tradnl"/>
        </w:rPr>
        <w:t xml:space="preserve"> </w:t>
      </w:r>
      <w:r>
        <w:rPr>
          <w:szCs w:val="24"/>
          <w:lang w:val="es-ES_tradnl"/>
        </w:rPr>
        <w:t xml:space="preserve">que habían sido víctimas de delitos sexuales y violentos cuando tenían menos de 14 años fueron investigados por un investigador de niños, frente a 8.328 en 2005 y 5.704 en </w:t>
      </w:r>
      <w:smartTag w:uri="urn:schemas-microsoft-com:office:smarttags" w:element="metricconverter">
        <w:smartTagPr>
          <w:attr w:name="ProductID" w:val="2000. A"/>
        </w:smartTagPr>
        <w:r>
          <w:rPr>
            <w:szCs w:val="24"/>
            <w:lang w:val="es-ES_tradnl"/>
          </w:rPr>
          <w:t>2000. A</w:t>
        </w:r>
      </w:smartTag>
      <w:r>
        <w:rPr>
          <w:szCs w:val="24"/>
          <w:lang w:val="es-ES_tradnl"/>
        </w:rPr>
        <w:t xml:space="preserve"> pesar del aumento gradual del número de niños interrogados por un investigador de niños, el porcentaje de niñas interrogadas bajó de más de dos tercios de los niños investigados en </w:t>
      </w:r>
      <w:smartTag w:uri="urn:schemas-microsoft-com:office:smarttags" w:element="metricconverter">
        <w:smartTagPr>
          <w:attr w:name="ProductID" w:val="1990 a"/>
        </w:smartTagPr>
        <w:r>
          <w:rPr>
            <w:szCs w:val="24"/>
            <w:lang w:val="es-ES_tradnl"/>
          </w:rPr>
          <w:t>1990 a</w:t>
        </w:r>
      </w:smartTag>
      <w:r>
        <w:rPr>
          <w:szCs w:val="24"/>
          <w:lang w:val="es-ES_tradnl"/>
        </w:rPr>
        <w:t xml:space="preserve"> menos de la mitad en 2005. Del total de niños interrogados, 55% eran víctimas de abuso en la familia, 30,3% víctimas de delitos sexuales, 9,4% testigos de delitos sexuales y 5% sospechosos de haber cometido delitos sexuales.</w:t>
      </w:r>
    </w:p>
    <w:p w:rsidR="00F92819" w:rsidRDefault="00F92819">
      <w:pPr>
        <w:pStyle w:val="SingleTxtG"/>
        <w:rPr>
          <w:szCs w:val="24"/>
        </w:rPr>
      </w:pPr>
      <w:r>
        <w:rPr>
          <w:szCs w:val="24"/>
        </w:rPr>
        <w:t>378.</w:t>
      </w:r>
      <w:r>
        <w:rPr>
          <w:szCs w:val="24"/>
        </w:rPr>
        <w:tab/>
      </w:r>
      <w:r>
        <w:rPr>
          <w:szCs w:val="24"/>
          <w:lang w:val="es-ES_tradnl"/>
        </w:rPr>
        <w:t xml:space="preserve">Una reforma de 2001 amplió </w:t>
      </w:r>
      <w:r>
        <w:rPr>
          <w:i/>
          <w:szCs w:val="24"/>
          <w:lang w:val="es-ES_tradnl"/>
        </w:rPr>
        <w:t xml:space="preserve">la Ley de revisión </w:t>
      </w:r>
      <w:smartTag w:uri="urn:schemas-microsoft-com:office:smarttags" w:element="State">
        <w:r>
          <w:rPr>
            <w:i/>
            <w:szCs w:val="24"/>
            <w:lang w:val="es-ES_tradnl"/>
          </w:rPr>
          <w:t>del</w:t>
        </w:r>
      </w:smartTag>
      <w:r>
        <w:rPr>
          <w:i/>
          <w:szCs w:val="24"/>
          <w:lang w:val="es-ES_tradnl"/>
        </w:rPr>
        <w:t xml:space="preserve"> procedimiento de prueba (Protección </w:t>
      </w:r>
      <w:smartTag w:uri="urn:schemas-microsoft-com:office:smarttags" w:element="State">
        <w:smartTag w:uri="urn:schemas-microsoft-com:office:smarttags" w:element="place">
          <w:r>
            <w:rPr>
              <w:i/>
              <w:szCs w:val="24"/>
              <w:lang w:val="es-ES_tradnl"/>
            </w:rPr>
            <w:t>del</w:t>
          </w:r>
        </w:smartTag>
      </w:smartTag>
      <w:r>
        <w:rPr>
          <w:i/>
          <w:szCs w:val="24"/>
          <w:lang w:val="es-ES_tradnl"/>
        </w:rPr>
        <w:t xml:space="preserve"> niño)</w:t>
      </w:r>
      <w:r>
        <w:rPr>
          <w:szCs w:val="24"/>
          <w:lang w:val="es-ES_tradnl"/>
        </w:rPr>
        <w:t xml:space="preserve"> de 5715/1955 (art. 1A) y determinó que un niño podía ser investigado por un investigador de menores con respecto a delitos</w:t>
      </w:r>
      <w:r>
        <w:rPr>
          <w:b/>
          <w:szCs w:val="24"/>
          <w:lang w:val="es-ES_tradnl"/>
        </w:rPr>
        <w:t xml:space="preserve"> </w:t>
      </w:r>
      <w:r>
        <w:rPr>
          <w:szCs w:val="24"/>
          <w:lang w:val="es-ES_tradnl"/>
        </w:rPr>
        <w:t>conexos.</w:t>
      </w:r>
      <w:r>
        <w:rPr>
          <w:szCs w:val="24"/>
        </w:rPr>
        <w:t xml:space="preserve"> </w:t>
      </w:r>
      <w:r>
        <w:rPr>
          <w:szCs w:val="24"/>
          <w:lang w:val="es-ES_tradnl"/>
        </w:rPr>
        <w:t>La ampliación tenía por objeto evitar una situación en que un niño podía ser investigado por un investigador de niños con respecto a un delito incluido en la Ley (delitos sexuales y delitos violentos graves), pero no con respecto a un delito conexo, situación que invariablemente conducía a la división de la investigación.</w:t>
      </w:r>
    </w:p>
    <w:p w:rsidR="00F92819" w:rsidRDefault="00F92819">
      <w:pPr>
        <w:pStyle w:val="SingleTxtG"/>
        <w:rPr>
          <w:szCs w:val="24"/>
        </w:rPr>
      </w:pPr>
      <w:r>
        <w:rPr>
          <w:szCs w:val="24"/>
        </w:rPr>
        <w:t>379.</w:t>
      </w:r>
      <w:r>
        <w:rPr>
          <w:szCs w:val="24"/>
        </w:rPr>
        <w:tab/>
      </w:r>
      <w:r>
        <w:rPr>
          <w:szCs w:val="24"/>
          <w:lang w:val="es-ES_tradnl"/>
        </w:rPr>
        <w:t>Una reforma de 2004 introdujo varios otros cambios, entre ellos los siguientes:</w:t>
      </w:r>
    </w:p>
    <w:p w:rsidR="00F92819" w:rsidRDefault="00F92819">
      <w:pPr>
        <w:pStyle w:val="SingleTxtG"/>
        <w:ind w:left="1701"/>
        <w:rPr>
          <w:szCs w:val="24"/>
        </w:rPr>
      </w:pPr>
      <w:r>
        <w:rPr>
          <w:szCs w:val="24"/>
        </w:rPr>
        <w:t>379.1</w:t>
      </w:r>
      <w:r>
        <w:rPr>
          <w:szCs w:val="24"/>
        </w:rPr>
        <w:tab/>
      </w:r>
      <w:r>
        <w:rPr>
          <w:szCs w:val="24"/>
          <w:lang w:val="es-ES_tradnl"/>
        </w:rPr>
        <w:t>La aplicación de procedimientos especiales que permiten que los niños presten testimonio ante el tribunal en relación con delitos a que es aplicable la Ley (art. 2 d)).</w:t>
      </w:r>
      <w:r>
        <w:rPr>
          <w:szCs w:val="24"/>
        </w:rPr>
        <w:t xml:space="preserve"> </w:t>
      </w:r>
      <w:r>
        <w:rPr>
          <w:szCs w:val="24"/>
          <w:lang w:val="es-ES_tradnl"/>
        </w:rPr>
        <w:t>El investigador de niños permite que el niño testifique si se reúnen ciertas condiciones.</w:t>
      </w:r>
      <w:r>
        <w:rPr>
          <w:szCs w:val="24"/>
        </w:rPr>
        <w:t xml:space="preserve"> </w:t>
      </w:r>
      <w:r>
        <w:rPr>
          <w:szCs w:val="24"/>
          <w:lang w:val="es-ES_tradnl"/>
        </w:rPr>
        <w:t>Por ejemplo, puede exigir que el niño testifique mediante televisión de circuito cerrado, en fecha determinada, no en el banquillo de los testigos, en el despacho del juez, etc.</w:t>
      </w:r>
    </w:p>
    <w:p w:rsidR="00F92819" w:rsidRDefault="00F92819">
      <w:pPr>
        <w:pStyle w:val="SingleTxtG"/>
        <w:ind w:left="1701"/>
        <w:rPr>
          <w:szCs w:val="24"/>
        </w:rPr>
      </w:pPr>
      <w:r>
        <w:rPr>
          <w:szCs w:val="24"/>
        </w:rPr>
        <w:t>379.2</w:t>
      </w:r>
      <w:r>
        <w:rPr>
          <w:szCs w:val="24"/>
        </w:rPr>
        <w:tab/>
      </w:r>
      <w:r>
        <w:rPr>
          <w:szCs w:val="24"/>
          <w:lang w:val="es-ES_tradnl"/>
        </w:rPr>
        <w:t xml:space="preserve">Las decisiones </w:t>
      </w:r>
      <w:smartTag w:uri="urn:schemas-microsoft-com:office:smarttags" w:element="State">
        <w:r>
          <w:rPr>
            <w:szCs w:val="24"/>
            <w:lang w:val="es-ES_tradnl"/>
          </w:rPr>
          <w:t>del</w:t>
        </w:r>
      </w:smartTag>
      <w:r>
        <w:rPr>
          <w:szCs w:val="24"/>
          <w:lang w:val="es-ES_tradnl"/>
        </w:rPr>
        <w:t xml:space="preserve"> investigador de niños y del Tribunal relativas al testimonio y a medidas testimoniales se tomarán sólo después que se haya oído la opinión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niño, si éste puede expresarla.</w:t>
      </w:r>
      <w:r>
        <w:rPr>
          <w:szCs w:val="24"/>
        </w:rPr>
        <w:t xml:space="preserve"> </w:t>
      </w:r>
      <w:r>
        <w:rPr>
          <w:szCs w:val="24"/>
          <w:lang w:val="es-ES_tradnl"/>
        </w:rPr>
        <w:t xml:space="preserve">La opinión del niño se evaluará según su edad y madurez (art. </w:t>
      </w:r>
      <w:smartTag w:uri="urn:schemas-microsoft-com:office:smarttags" w:element="metricconverter">
        <w:smartTagPr>
          <w:attr w:name="ProductID" w:val="2 f"/>
        </w:smartTagPr>
        <w:r>
          <w:rPr>
            <w:szCs w:val="24"/>
            <w:lang w:val="es-ES_tradnl"/>
          </w:rPr>
          <w:t>2 f</w:t>
        </w:r>
      </w:smartTag>
      <w:r>
        <w:rPr>
          <w:szCs w:val="24"/>
          <w:lang w:val="es-ES_tradnl"/>
        </w:rPr>
        <w:t>)).</w:t>
      </w:r>
    </w:p>
    <w:p w:rsidR="00F92819" w:rsidRDefault="00F92819">
      <w:pPr>
        <w:pStyle w:val="SingleTxtG"/>
        <w:ind w:left="1701"/>
        <w:rPr>
          <w:szCs w:val="24"/>
        </w:rPr>
      </w:pPr>
      <w:r>
        <w:rPr>
          <w:szCs w:val="24"/>
        </w:rPr>
        <w:t>379.3</w:t>
      </w:r>
      <w:r>
        <w:rPr>
          <w:szCs w:val="24"/>
        </w:rPr>
        <w:tab/>
      </w:r>
      <w:r>
        <w:rPr>
          <w:szCs w:val="24"/>
          <w:lang w:val="es-ES_tradnl"/>
        </w:rPr>
        <w:t xml:space="preserve">Una vez que haya tomado una decisión sobre el testimonio </w:t>
      </w:r>
      <w:smartTag w:uri="urn:schemas-microsoft-com:office:smarttags" w:element="State">
        <w:r>
          <w:rPr>
            <w:szCs w:val="24"/>
            <w:lang w:val="es-ES_tradnl"/>
          </w:rPr>
          <w:t>del</w:t>
        </w:r>
      </w:smartTag>
      <w:r>
        <w:rPr>
          <w:szCs w:val="24"/>
          <w:lang w:val="es-ES_tradnl"/>
        </w:rPr>
        <w:t xml:space="preserve"> niño, el investigador de niños debe reevaluar sin demora su decisión sobre la admisión </w:t>
      </w:r>
      <w:smartTag w:uri="urn:schemas-microsoft-com:office:smarttags" w:element="State">
        <w:r>
          <w:rPr>
            <w:szCs w:val="24"/>
            <w:lang w:val="es-ES_tradnl"/>
          </w:rPr>
          <w:t>del</w:t>
        </w:r>
      </w:smartTag>
      <w:r>
        <w:rPr>
          <w:szCs w:val="24"/>
          <w:lang w:val="es-ES_tradnl"/>
        </w:rPr>
        <w:t xml:space="preserve"> testimonio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niño, si ha permitido que éste preste testimonio, o sobre el juicio, si ha prohibido que el menor testifique (art. </w:t>
      </w:r>
      <w:smartTag w:uri="urn:schemas-microsoft-com:office:smarttags" w:element="metricconverter">
        <w:smartTagPr>
          <w:attr w:name="ProductID" w:val="2 g"/>
        </w:smartTagPr>
        <w:r>
          <w:rPr>
            <w:szCs w:val="24"/>
            <w:lang w:val="es-ES_tradnl"/>
          </w:rPr>
          <w:t>2 g</w:t>
        </w:r>
      </w:smartTag>
      <w:r>
        <w:rPr>
          <w:szCs w:val="24"/>
          <w:lang w:val="es-ES_tradnl"/>
        </w:rPr>
        <w:t>)).</w:t>
      </w:r>
    </w:p>
    <w:p w:rsidR="00F92819" w:rsidRDefault="00F92819">
      <w:pPr>
        <w:pStyle w:val="SingleTxtG"/>
        <w:ind w:left="1701"/>
        <w:rPr>
          <w:szCs w:val="24"/>
        </w:rPr>
      </w:pPr>
      <w:r>
        <w:rPr>
          <w:szCs w:val="24"/>
        </w:rPr>
        <w:t>379.4</w:t>
      </w:r>
      <w:r>
        <w:rPr>
          <w:szCs w:val="24"/>
        </w:rPr>
        <w:tab/>
      </w:r>
      <w:r>
        <w:rPr>
          <w:szCs w:val="24"/>
          <w:lang w:val="es-ES_tradnl"/>
        </w:rPr>
        <w:t xml:space="preserve">La decisión </w:t>
      </w:r>
      <w:smartTag w:uri="urn:schemas-microsoft-com:office:smarttags" w:element="place">
        <w:smartTag w:uri="urn:schemas-microsoft-com:office:smarttags" w:element="State">
          <w:r>
            <w:rPr>
              <w:szCs w:val="24"/>
              <w:lang w:val="es-ES_tradnl"/>
            </w:rPr>
            <w:t>del</w:t>
          </w:r>
        </w:smartTag>
      </w:smartTag>
      <w:r>
        <w:rPr>
          <w:szCs w:val="24"/>
          <w:lang w:val="es-ES_tradnl"/>
        </w:rPr>
        <w:t xml:space="preserve"> investigador de niños puede ser reexaminada por un investigador superior de niños (art. 2 h)).</w:t>
      </w:r>
    </w:p>
    <w:p w:rsidR="00F92819" w:rsidRDefault="00F92819">
      <w:pPr>
        <w:pStyle w:val="SingleTxtG"/>
        <w:rPr>
          <w:szCs w:val="24"/>
        </w:rPr>
      </w:pPr>
      <w:r>
        <w:rPr>
          <w:szCs w:val="24"/>
        </w:rPr>
        <w:t>380.</w:t>
      </w:r>
      <w:r>
        <w:rPr>
          <w:szCs w:val="24"/>
        </w:rPr>
        <w:tab/>
      </w:r>
      <w:r>
        <w:rPr>
          <w:szCs w:val="24"/>
          <w:lang w:val="es-ES_tradnl"/>
        </w:rPr>
        <w:t>Una reforma de 2005 estableció</w:t>
      </w:r>
      <w:r>
        <w:rPr>
          <w:b/>
          <w:szCs w:val="24"/>
          <w:lang w:val="es-ES_tradnl"/>
        </w:rPr>
        <w:t xml:space="preserve"> </w:t>
      </w:r>
      <w:r>
        <w:rPr>
          <w:szCs w:val="24"/>
          <w:lang w:val="es-ES_tradnl"/>
        </w:rPr>
        <w:t>la regla de que la investigación de un niño debe hacerse con conocimiento de los padres, salvo en ciertas circunstancias.</w:t>
      </w:r>
      <w:r>
        <w:rPr>
          <w:szCs w:val="24"/>
        </w:rPr>
        <w:t xml:space="preserve"> </w:t>
      </w:r>
      <w:r>
        <w:rPr>
          <w:szCs w:val="24"/>
          <w:lang w:val="es-ES_tradnl"/>
        </w:rPr>
        <w:t>Por ejemplo:</w:t>
      </w:r>
      <w:r>
        <w:rPr>
          <w:szCs w:val="24"/>
        </w:rPr>
        <w:t xml:space="preserve"> </w:t>
      </w:r>
      <w:r>
        <w:rPr>
          <w:szCs w:val="24"/>
          <w:lang w:val="es-ES_tradnl"/>
        </w:rPr>
        <w:t>si se teme que se pueda perjudicar el bienestar físico y mental del niño, si el sospechoso es un pariente y se teme posible daño del niño y si resulta muy difícil informar a los padres mediante un esfuerzo razonable y la demora podría frustrar la investigación o la prevención de un delito (art. 4A).</w:t>
      </w:r>
      <w:r>
        <w:rPr>
          <w:szCs w:val="24"/>
        </w:rPr>
        <w:t xml:space="preserve"> </w:t>
      </w:r>
      <w:r>
        <w:rPr>
          <w:szCs w:val="24"/>
          <w:lang w:val="es-ES_tradnl"/>
        </w:rPr>
        <w:t>Además, la Ley reformada dice que si es necesaria una investigación sin conocimiento de los</w:t>
      </w:r>
      <w:r>
        <w:rPr>
          <w:b/>
          <w:szCs w:val="24"/>
          <w:lang w:val="es-ES_tradnl"/>
        </w:rPr>
        <w:t xml:space="preserve"> </w:t>
      </w:r>
      <w:r>
        <w:rPr>
          <w:szCs w:val="24"/>
          <w:lang w:val="es-ES_tradnl"/>
        </w:rPr>
        <w:t>padres, el niño, en condiciones determinadas, puede ser retirado del lugar donde está (escuela, jardín de la infancia, etc.) para realizar la investigación pertinente.</w:t>
      </w:r>
      <w:r>
        <w:rPr>
          <w:szCs w:val="24"/>
        </w:rPr>
        <w:t xml:space="preserve"> </w:t>
      </w:r>
      <w:r>
        <w:rPr>
          <w:szCs w:val="24"/>
          <w:lang w:val="es-ES_tradnl"/>
        </w:rPr>
        <w:t>Entre esas condiciones se requiere haber consultado a docentes</w:t>
      </w:r>
      <w:r>
        <w:rPr>
          <w:b/>
          <w:szCs w:val="24"/>
          <w:lang w:val="es-ES_tradnl"/>
        </w:rPr>
        <w:t xml:space="preserve"> </w:t>
      </w:r>
      <w:r>
        <w:rPr>
          <w:szCs w:val="24"/>
          <w:lang w:val="es-ES_tradnl"/>
        </w:rPr>
        <w:t>que conocen al niño, haber dado explicaciones al niño, haber dado datos de la identidad del investigador de niños al administrador del lugar, etc.</w:t>
      </w:r>
    </w:p>
    <w:p w:rsidR="00F92819" w:rsidRDefault="00F92819">
      <w:pPr>
        <w:pStyle w:val="SingleTxtG"/>
        <w:rPr>
          <w:i/>
          <w:szCs w:val="24"/>
        </w:rPr>
      </w:pPr>
      <w:r>
        <w:rPr>
          <w:szCs w:val="24"/>
        </w:rPr>
        <w:t>381.</w:t>
      </w:r>
      <w:r>
        <w:rPr>
          <w:szCs w:val="24"/>
        </w:rPr>
        <w:tab/>
      </w:r>
      <w:r>
        <w:rPr>
          <w:szCs w:val="24"/>
          <w:lang w:val="es-ES_tradnl"/>
        </w:rPr>
        <w:t xml:space="preserve">Una reforma de 2005 dispone que un niño con una discapacidad intelectual debe ser investigado por un investigador especial de niños de conformidad con la </w:t>
      </w:r>
      <w:r>
        <w:rPr>
          <w:i/>
          <w:szCs w:val="24"/>
          <w:lang w:val="es-ES_tradnl"/>
        </w:rPr>
        <w:t>Ley de procedimientos de investigación y testimonio (Adecuación a las personas con discapacidad intelectual o física)</w:t>
      </w:r>
      <w:r>
        <w:rPr>
          <w:szCs w:val="24"/>
          <w:lang w:val="es-ES_tradnl"/>
        </w:rPr>
        <w:t>.</w:t>
      </w:r>
    </w:p>
    <w:p w:rsidR="00F92819" w:rsidRDefault="00F92819">
      <w:pPr>
        <w:pStyle w:val="SingleTxtG"/>
        <w:rPr>
          <w:szCs w:val="24"/>
        </w:rPr>
      </w:pPr>
      <w:r>
        <w:rPr>
          <w:szCs w:val="24"/>
        </w:rPr>
        <w:t>382.</w:t>
      </w:r>
      <w:r>
        <w:rPr>
          <w:szCs w:val="24"/>
        </w:rPr>
        <w:tab/>
      </w:r>
      <w:r>
        <w:rPr>
          <w:szCs w:val="24"/>
          <w:lang w:val="es-ES_tradnl"/>
        </w:rPr>
        <w:t xml:space="preserve">En 2001 se reformó el artículo 361 de </w:t>
      </w:r>
      <w:smartTag w:uri="urn:schemas-microsoft-com:office:smarttags" w:element="PersonName">
        <w:smartTagPr>
          <w:attr w:name="ProductID" w:val="la Ley Penal"/>
        </w:smartTagPr>
        <w:r>
          <w:rPr>
            <w:szCs w:val="24"/>
            <w:lang w:val="es-ES_tradnl"/>
          </w:rPr>
          <w:t xml:space="preserve">la </w:t>
        </w:r>
        <w:r>
          <w:rPr>
            <w:i/>
            <w:szCs w:val="24"/>
            <w:lang w:val="es-ES_tradnl"/>
          </w:rPr>
          <w:t>Ley Penal</w:t>
        </w:r>
      </w:smartTag>
      <w:r>
        <w:rPr>
          <w:szCs w:val="24"/>
          <w:lang w:val="es-ES_tradnl"/>
        </w:rPr>
        <w:t xml:space="preserve"> (Enmienda </w:t>
      </w:r>
      <w:r w:rsidR="00713E0E">
        <w:rPr>
          <w:szCs w:val="24"/>
          <w:lang w:val="es-ES_tradnl"/>
        </w:rPr>
        <w:t>Nº</w:t>
      </w:r>
      <w:r>
        <w:rPr>
          <w:szCs w:val="24"/>
          <w:lang w:val="es-ES_tradnl"/>
        </w:rPr>
        <w:t xml:space="preserve"> 59) para determinar que es delito dejar a un niño menor de seis años sin supervisión adecuada, en circunstancias que pongan en peligro la vida </w:t>
      </w:r>
      <w:smartTag w:uri="urn:schemas-microsoft-com:office:smarttags" w:element="State">
        <w:r>
          <w:rPr>
            <w:szCs w:val="24"/>
            <w:lang w:val="es-ES_tradnl"/>
          </w:rPr>
          <w:t>del</w:t>
        </w:r>
      </w:smartTag>
      <w:r>
        <w:rPr>
          <w:szCs w:val="24"/>
          <w:lang w:val="es-ES_tradnl"/>
        </w:rPr>
        <w:t xml:space="preserve"> niño, le infrinjan dolor o puedan dañar la salud o el bienestar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niño.</w:t>
      </w:r>
    </w:p>
    <w:p w:rsidR="00F92819" w:rsidRDefault="00F92819">
      <w:pPr>
        <w:pStyle w:val="SingleTxtG"/>
        <w:rPr>
          <w:szCs w:val="24"/>
        </w:rPr>
      </w:pPr>
      <w:r w:rsidRPr="009F5C10">
        <w:rPr>
          <w:szCs w:val="24"/>
        </w:rPr>
        <w:t>383.</w:t>
      </w:r>
      <w:r w:rsidRPr="009F5C10">
        <w:rPr>
          <w:szCs w:val="24"/>
        </w:rPr>
        <w:tab/>
      </w:r>
      <w:r>
        <w:rPr>
          <w:b/>
          <w:szCs w:val="24"/>
          <w:lang w:val="es-ES_tradnl"/>
        </w:rPr>
        <w:t>Abuso sexual</w:t>
      </w:r>
      <w:r>
        <w:rPr>
          <w:szCs w:val="24"/>
          <w:lang w:val="es-ES_tradnl"/>
        </w:rPr>
        <w:t>.</w:t>
      </w:r>
      <w:r>
        <w:rPr>
          <w:szCs w:val="24"/>
        </w:rPr>
        <w:t xml:space="preserve"> </w:t>
      </w:r>
      <w:r>
        <w:rPr>
          <w:szCs w:val="24"/>
          <w:lang w:val="es-ES_tradnl"/>
        </w:rPr>
        <w:t xml:space="preserve">Desde 2002 se han hecho varias reformas del artículo 354 del </w:t>
      </w:r>
      <w:smartTag w:uri="urn:schemas-microsoft-com:office:smarttags" w:element="PersonName">
        <w:smartTagPr>
          <w:attr w:name="ProductID" w:val="la Ley Penal"/>
        </w:smartTagPr>
        <w:r>
          <w:rPr>
            <w:szCs w:val="24"/>
            <w:lang w:val="es-ES_tradnl"/>
          </w:rPr>
          <w:t xml:space="preserve">la </w:t>
        </w:r>
        <w:r>
          <w:rPr>
            <w:i/>
            <w:szCs w:val="24"/>
            <w:lang w:val="es-ES_tradnl"/>
          </w:rPr>
          <w:t>Ley Penal</w:t>
        </w:r>
      </w:smartTag>
      <w:r>
        <w:rPr>
          <w:szCs w:val="24"/>
          <w:lang w:val="es-ES_tradnl"/>
        </w:rPr>
        <w:t xml:space="preserve"> sobre restricciones de la prescripción de los delitos sexuales contra menores.</w:t>
      </w:r>
      <w:r>
        <w:rPr>
          <w:szCs w:val="24"/>
        </w:rPr>
        <w:t xml:space="preserve"> </w:t>
      </w:r>
      <w:r>
        <w:rPr>
          <w:szCs w:val="24"/>
          <w:lang w:val="es-ES_tradnl"/>
        </w:rPr>
        <w:t>La Ley dispone actualmente que en el caso de delitos cometidos contra un menor por una persona que tiene el menor a su cargo, el período de prescripción comienza cuando éste</w:t>
      </w:r>
      <w:r>
        <w:rPr>
          <w:b/>
          <w:szCs w:val="24"/>
          <w:lang w:val="es-ES_tradnl"/>
        </w:rPr>
        <w:t xml:space="preserve"> </w:t>
      </w:r>
      <w:r>
        <w:rPr>
          <w:szCs w:val="24"/>
          <w:lang w:val="es-ES_tradnl"/>
        </w:rPr>
        <w:t>cumple veintiocho años.</w:t>
      </w:r>
      <w:r>
        <w:rPr>
          <w:szCs w:val="24"/>
        </w:rPr>
        <w:t xml:space="preserve"> </w:t>
      </w:r>
      <w:r>
        <w:rPr>
          <w:szCs w:val="24"/>
          <w:lang w:val="es-ES_tradnl"/>
        </w:rPr>
        <w:t>Si los delitos han sido cometidos por una persona mayor de quince años que no es pariente o no está encargada del menor, el período de prescripción</w:t>
      </w:r>
      <w:r>
        <w:rPr>
          <w:b/>
          <w:szCs w:val="24"/>
          <w:lang w:val="es-ES_tradnl"/>
        </w:rPr>
        <w:t xml:space="preserve"> </w:t>
      </w:r>
      <w:r>
        <w:rPr>
          <w:szCs w:val="24"/>
          <w:lang w:val="es-ES_tradnl"/>
        </w:rPr>
        <w:t>comienza cuando el menor cumple dieciocho años.</w:t>
      </w:r>
      <w:r>
        <w:rPr>
          <w:szCs w:val="24"/>
        </w:rPr>
        <w:t xml:space="preserve"> </w:t>
      </w:r>
      <w:r>
        <w:rPr>
          <w:szCs w:val="24"/>
          <w:lang w:val="es-ES_tradnl"/>
        </w:rPr>
        <w:t xml:space="preserve">Además, una enmienda de 2001 (Enmienda </w:t>
      </w:r>
      <w:r w:rsidR="00713E0E">
        <w:rPr>
          <w:szCs w:val="24"/>
          <w:lang w:val="es-ES_tradnl"/>
        </w:rPr>
        <w:t>Nº</w:t>
      </w:r>
      <w:r>
        <w:rPr>
          <w:szCs w:val="24"/>
          <w:lang w:val="es-ES_tradnl"/>
        </w:rPr>
        <w:t xml:space="preserve"> 61) de </w:t>
      </w:r>
      <w:smartTag w:uri="urn:schemas-microsoft-com:office:smarttags" w:element="PersonName">
        <w:smartTagPr>
          <w:attr w:name="ProductID" w:val="la Ley Penal"/>
        </w:smartTagPr>
        <w:r>
          <w:rPr>
            <w:szCs w:val="24"/>
            <w:lang w:val="es-ES_tradnl"/>
          </w:rPr>
          <w:t xml:space="preserve">la </w:t>
        </w:r>
        <w:r>
          <w:rPr>
            <w:i/>
            <w:szCs w:val="24"/>
            <w:lang w:val="es-ES_tradnl"/>
          </w:rPr>
          <w:t>Ley Penal</w:t>
        </w:r>
      </w:smartTag>
      <w:r>
        <w:rPr>
          <w:szCs w:val="24"/>
          <w:lang w:val="es-ES_tradnl"/>
        </w:rPr>
        <w:t xml:space="preserve"> elimina el elemento de “uso de la fuerza” de los delitos sexuales, lo que de hecho traslada la atención de la investigación a la falta de consentimiento.</w:t>
      </w:r>
      <w:r>
        <w:rPr>
          <w:szCs w:val="24"/>
        </w:rPr>
        <w:t xml:space="preserve"> </w:t>
      </w:r>
      <w:r>
        <w:rPr>
          <w:szCs w:val="24"/>
          <w:lang w:val="es-ES_tradnl"/>
        </w:rPr>
        <w:t xml:space="preserve">Una enmienda de 2003 (Enmienda </w:t>
      </w:r>
      <w:r w:rsidR="00713E0E">
        <w:rPr>
          <w:szCs w:val="24"/>
          <w:lang w:val="es-ES_tradnl"/>
        </w:rPr>
        <w:t>Nº</w:t>
      </w:r>
      <w:r>
        <w:rPr>
          <w:szCs w:val="24"/>
          <w:lang w:val="es-ES_tradnl"/>
        </w:rPr>
        <w:t xml:space="preserve"> 77) añadió el delito de explotación sexual de un paciente por un terapeuta mental (art. 347A).</w:t>
      </w:r>
    </w:p>
    <w:p w:rsidR="00F92819" w:rsidRDefault="00F92819">
      <w:pPr>
        <w:pStyle w:val="SingleTxtG"/>
        <w:rPr>
          <w:szCs w:val="24"/>
        </w:rPr>
      </w:pPr>
      <w:r>
        <w:rPr>
          <w:szCs w:val="24"/>
        </w:rPr>
        <w:t>384.</w:t>
      </w:r>
      <w:r>
        <w:rPr>
          <w:szCs w:val="24"/>
        </w:rPr>
        <w:tab/>
      </w:r>
      <w:r>
        <w:rPr>
          <w:szCs w:val="24"/>
          <w:lang w:val="es-ES_tradnl"/>
        </w:rPr>
        <w:t xml:space="preserve">El 12 de julio de 2007 se enmendó la </w:t>
      </w:r>
      <w:r>
        <w:rPr>
          <w:i/>
          <w:szCs w:val="24"/>
          <w:lang w:val="es-ES_tradnl"/>
        </w:rPr>
        <w:t>Ley de prescripciones</w:t>
      </w:r>
      <w:r>
        <w:rPr>
          <w:szCs w:val="24"/>
          <w:lang w:val="es-ES_tradnl"/>
        </w:rPr>
        <w:t xml:space="preserve"> de 5718/1958 (Enmienda </w:t>
      </w:r>
      <w:r w:rsidR="00713E0E">
        <w:rPr>
          <w:szCs w:val="24"/>
          <w:lang w:val="es-ES_tradnl"/>
        </w:rPr>
        <w:t>Nº</w:t>
      </w:r>
      <w:r>
        <w:rPr>
          <w:szCs w:val="24"/>
          <w:lang w:val="es-ES_tradnl"/>
        </w:rPr>
        <w:t xml:space="preserve"> 4) para ampliar el período de prescripción para causas civiles sobre agresión sexual o abuso a menores.</w:t>
      </w:r>
      <w:r>
        <w:rPr>
          <w:szCs w:val="24"/>
        </w:rPr>
        <w:t xml:space="preserve"> </w:t>
      </w:r>
      <w:r>
        <w:rPr>
          <w:szCs w:val="24"/>
          <w:lang w:val="es-ES_tradnl"/>
        </w:rPr>
        <w:t>La enmienda hace referencia a una causa civil relativa a la agresión sexual, o al abuso de un niño por un familiar o una persona responsable del niño, así como a la agresión sexual cometida contra una persona de entre 18 y 21 años, mediante el abuso de la relación de dependencia, autoridad, confianza o trato, o si la agresión sexual fue cometida por un familiar.</w:t>
      </w:r>
      <w:r>
        <w:rPr>
          <w:szCs w:val="24"/>
        </w:rPr>
        <w:t xml:space="preserve"> </w:t>
      </w:r>
      <w:r>
        <w:rPr>
          <w:szCs w:val="24"/>
          <w:lang w:val="es-ES_tradnl"/>
        </w:rPr>
        <w:t>En estos casos, el período de prescripción no comenzará antes de que la víctima cumpla 28 años. Además, la ley dispone que si se ha presentado una solicitud de procesamiento, el período de prescripción civil no finalizará hasta un año después de que se haya emitido un fallo definitivo.</w:t>
      </w:r>
    </w:p>
    <w:p w:rsidR="00F92819" w:rsidRDefault="00F92819">
      <w:pPr>
        <w:pStyle w:val="SingleTxtG"/>
        <w:rPr>
          <w:szCs w:val="24"/>
        </w:rPr>
      </w:pPr>
      <w:r w:rsidRPr="009F5C10">
        <w:rPr>
          <w:szCs w:val="24"/>
        </w:rPr>
        <w:t>385.</w:t>
      </w:r>
      <w:r w:rsidRPr="009F5C10">
        <w:rPr>
          <w:szCs w:val="24"/>
        </w:rPr>
        <w:tab/>
      </w:r>
      <w:r>
        <w:rPr>
          <w:b/>
          <w:szCs w:val="24"/>
          <w:lang w:val="es-ES_tradnl"/>
        </w:rPr>
        <w:t>Prostitución infantil.</w:t>
      </w:r>
      <w:r>
        <w:rPr>
          <w:b/>
          <w:szCs w:val="24"/>
        </w:rPr>
        <w:t xml:space="preserve"> </w:t>
      </w:r>
      <w:r>
        <w:rPr>
          <w:szCs w:val="24"/>
          <w:lang w:val="es-ES_tradnl"/>
        </w:rPr>
        <w:t xml:space="preserve">En 2007 se enmendó el artículo 214 de </w:t>
      </w:r>
      <w:smartTag w:uri="urn:schemas-microsoft-com:office:smarttags" w:element="PersonName">
        <w:smartTagPr>
          <w:attr w:name="ProductID" w:val="la Ley Penal"/>
        </w:smartTagPr>
        <w:r>
          <w:rPr>
            <w:szCs w:val="24"/>
            <w:lang w:val="es-ES_tradnl"/>
          </w:rPr>
          <w:t xml:space="preserve">la </w:t>
        </w:r>
        <w:r>
          <w:rPr>
            <w:i/>
            <w:szCs w:val="24"/>
            <w:lang w:val="es-ES_tradnl"/>
          </w:rPr>
          <w:t>Ley Penal</w:t>
        </w:r>
      </w:smartTag>
      <w:r>
        <w:rPr>
          <w:szCs w:val="24"/>
          <w:lang w:val="es-ES_tradnl"/>
        </w:rPr>
        <w:t xml:space="preserve"> (Enmienda </w:t>
      </w:r>
      <w:r w:rsidR="00713E0E">
        <w:rPr>
          <w:szCs w:val="24"/>
          <w:lang w:val="es-ES_tradnl"/>
        </w:rPr>
        <w:t>Nº</w:t>
      </w:r>
      <w:r>
        <w:rPr>
          <w:szCs w:val="24"/>
          <w:lang w:val="es-ES_tradnl"/>
        </w:rPr>
        <w:t xml:space="preserve"> 93) y se anuló el período de prescripción breve (dos años) para presentar cargos contra la publicidad pornográfica de menores.</w:t>
      </w:r>
      <w:r>
        <w:rPr>
          <w:szCs w:val="24"/>
        </w:rPr>
        <w:t xml:space="preserve"> </w:t>
      </w:r>
      <w:r>
        <w:rPr>
          <w:szCs w:val="24"/>
          <w:lang w:val="es-ES_tradnl"/>
        </w:rPr>
        <w:t xml:space="preserve">En 2006 se reformó </w:t>
      </w:r>
      <w:smartTag w:uri="urn:schemas-microsoft-com:office:smarttags" w:element="PersonName">
        <w:smartTagPr>
          <w:attr w:name="ProductID" w:val="la Ley Penal"/>
        </w:smartTagPr>
        <w:r>
          <w:rPr>
            <w:szCs w:val="24"/>
            <w:lang w:val="es-ES_tradnl"/>
          </w:rPr>
          <w:t xml:space="preserve">la </w:t>
        </w:r>
        <w:r>
          <w:rPr>
            <w:i/>
            <w:szCs w:val="24"/>
            <w:lang w:val="es-ES_tradnl"/>
          </w:rPr>
          <w:t>Ley Penal</w:t>
        </w:r>
      </w:smartTag>
      <w:r>
        <w:rPr>
          <w:szCs w:val="24"/>
          <w:lang w:val="es-ES_tradnl"/>
        </w:rPr>
        <w:t xml:space="preserve"> de modo que ahora el artículo 15 aplica el principio de la extraterritorialidad a los delitos de pornografía y prostitución cometidos contra menores.</w:t>
      </w:r>
      <w:r>
        <w:rPr>
          <w:szCs w:val="24"/>
        </w:rPr>
        <w:t xml:space="preserve"> </w:t>
      </w:r>
      <w:r>
        <w:rPr>
          <w:szCs w:val="24"/>
          <w:lang w:val="es-ES_tradnl"/>
        </w:rPr>
        <w:t>En la actualidad es posible enjuiciar delincuentes por esos delitos en Israel, aunque el acto no sea un delito penal en el país en que se ha cometido (no es necesaria la doble tipificación como delito).</w:t>
      </w:r>
    </w:p>
    <w:p w:rsidR="00F92819" w:rsidRDefault="00F92819">
      <w:pPr>
        <w:pStyle w:val="SingleTxtG"/>
        <w:rPr>
          <w:szCs w:val="24"/>
        </w:rPr>
      </w:pPr>
      <w:r w:rsidRPr="009F5C10">
        <w:rPr>
          <w:szCs w:val="24"/>
        </w:rPr>
        <w:t>386.</w:t>
      </w:r>
      <w:r w:rsidRPr="009F5C10">
        <w:rPr>
          <w:szCs w:val="24"/>
        </w:rPr>
        <w:tab/>
      </w:r>
      <w:r>
        <w:rPr>
          <w:b/>
          <w:szCs w:val="24"/>
          <w:lang w:val="es-ES_tradnl"/>
        </w:rPr>
        <w:t>Comité para examinar la situación de los niños en peligro</w:t>
      </w:r>
      <w:r>
        <w:rPr>
          <w:szCs w:val="24"/>
          <w:lang w:val="es-ES_tradnl"/>
        </w:rPr>
        <w:t>.</w:t>
      </w:r>
      <w:r>
        <w:rPr>
          <w:szCs w:val="24"/>
        </w:rPr>
        <w:t xml:space="preserve"> </w:t>
      </w:r>
      <w:r>
        <w:rPr>
          <w:szCs w:val="24"/>
          <w:lang w:val="es-ES_tradnl"/>
        </w:rPr>
        <w:t xml:space="preserve">Según la resolución </w:t>
      </w:r>
      <w:r w:rsidR="00713E0E">
        <w:rPr>
          <w:szCs w:val="24"/>
          <w:lang w:val="es-ES_tradnl"/>
        </w:rPr>
        <w:t>Nº</w:t>
      </w:r>
      <w:r>
        <w:rPr>
          <w:szCs w:val="24"/>
          <w:lang w:val="es-ES_tradnl"/>
        </w:rPr>
        <w:t xml:space="preserve"> 1007 del Gobierno de 16 de noviembre de 2003, el ex primer Ministro y ex Ministro de Asuntos Sociales y Servicios Sociales de Israel nombró un comité público para examinar las condiciones de los niños y jóvenes en peligro o en situación difícil.</w:t>
      </w:r>
      <w:r>
        <w:rPr>
          <w:szCs w:val="24"/>
        </w:rPr>
        <w:t xml:space="preserve"> </w:t>
      </w:r>
      <w:r>
        <w:rPr>
          <w:szCs w:val="24"/>
          <w:lang w:val="es-ES_tradnl"/>
        </w:rPr>
        <w:t xml:space="preserve">El 12 de septiembre de </w:t>
      </w:r>
      <w:smartTag w:uri="urn:schemas-microsoft-com:office:smarttags" w:element="metricconverter">
        <w:smartTagPr>
          <w:attr w:name="ProductID" w:val="2006, a"/>
        </w:smartTagPr>
        <w:r>
          <w:rPr>
            <w:szCs w:val="24"/>
            <w:lang w:val="es-ES_tradnl"/>
          </w:rPr>
          <w:t>2006, a</w:t>
        </w:r>
      </w:smartTag>
      <w:r>
        <w:rPr>
          <w:szCs w:val="24"/>
          <w:lang w:val="es-ES_tradnl"/>
        </w:rPr>
        <w:t xml:space="preserve"> raíz de un informe presentado por el comité en marzo de 2006, el Gobierno aceptó la resolución </w:t>
      </w:r>
      <w:r w:rsidR="00713E0E">
        <w:rPr>
          <w:szCs w:val="24"/>
          <w:lang w:val="es-ES_tradnl"/>
        </w:rPr>
        <w:t>Nº</w:t>
      </w:r>
      <w:r>
        <w:rPr>
          <w:szCs w:val="24"/>
          <w:lang w:val="es-ES_tradnl"/>
        </w:rPr>
        <w:t xml:space="preserve"> 477 sobre la ejecución gradual de un plan recomendado por el comité.</w:t>
      </w:r>
      <w:r>
        <w:rPr>
          <w:szCs w:val="24"/>
        </w:rPr>
        <w:t xml:space="preserve"> </w:t>
      </w:r>
      <w:r>
        <w:rPr>
          <w:szCs w:val="24"/>
          <w:lang w:val="es-ES_tradnl"/>
        </w:rPr>
        <w:t>En 2007 se empezó a ejecutar el plan en varias ciudades de Israel, con un presupuesto anual especial de 200 millones de nuevos sheqalim (52.631.578 dólares de los EE.UU.).</w:t>
      </w:r>
    </w:p>
    <w:p w:rsidR="00F92819" w:rsidRDefault="00F92819">
      <w:pPr>
        <w:pStyle w:val="H23G"/>
        <w:rPr>
          <w:szCs w:val="24"/>
        </w:rPr>
      </w:pPr>
      <w:r>
        <w:rPr>
          <w:szCs w:val="24"/>
        </w:rPr>
        <w:tab/>
      </w:r>
      <w:r>
        <w:rPr>
          <w:szCs w:val="24"/>
        </w:rPr>
        <w:tab/>
      </w:r>
      <w:r>
        <w:rPr>
          <w:szCs w:val="24"/>
          <w:lang w:val="es-ES_tradnl"/>
        </w:rPr>
        <w:t>Hijos de trabajadores extranjeros</w:t>
      </w:r>
    </w:p>
    <w:p w:rsidR="00F92819" w:rsidRDefault="00F92819">
      <w:pPr>
        <w:pStyle w:val="SingleTxtG"/>
        <w:rPr>
          <w:szCs w:val="24"/>
        </w:rPr>
      </w:pPr>
      <w:r>
        <w:rPr>
          <w:szCs w:val="24"/>
        </w:rPr>
        <w:t>387.</w:t>
      </w:r>
      <w:r>
        <w:rPr>
          <w:szCs w:val="24"/>
        </w:rPr>
        <w:tab/>
      </w:r>
      <w:r>
        <w:rPr>
          <w:szCs w:val="24"/>
          <w:lang w:val="es-ES_tradnl"/>
        </w:rPr>
        <w:t xml:space="preserve">En 2007 vivían en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xml:space="preserve"> unos 1.000 hijos de trabajadores extranjeros.</w:t>
      </w:r>
      <w:r>
        <w:rPr>
          <w:szCs w:val="24"/>
        </w:rPr>
        <w:t xml:space="preserve"> </w:t>
      </w:r>
      <w:r>
        <w:rPr>
          <w:szCs w:val="24"/>
          <w:lang w:val="es-ES_tradnl"/>
        </w:rPr>
        <w:t>En julio de 2007, 975 hijos de trabajadores extranjeros menores de cinco años recibieron tratamiento en centros de atención de la salud de la familia de la ciudad de Tel Aviv.</w:t>
      </w:r>
    </w:p>
    <w:p w:rsidR="00F92819" w:rsidRDefault="00F92819">
      <w:pPr>
        <w:pStyle w:val="SingleTxtG"/>
        <w:rPr>
          <w:szCs w:val="24"/>
        </w:rPr>
      </w:pPr>
      <w:r>
        <w:rPr>
          <w:szCs w:val="24"/>
        </w:rPr>
        <w:t>388.</w:t>
      </w:r>
      <w:r>
        <w:rPr>
          <w:szCs w:val="24"/>
        </w:rPr>
        <w:tab/>
      </w:r>
      <w:r>
        <w:rPr>
          <w:szCs w:val="24"/>
          <w:lang w:val="es-ES_tradnl"/>
        </w:rPr>
        <w:t xml:space="preserve">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informe periódico anterior de Israel se han hecho algunos progresos en la situación jurídica de los hijos de trabajadores extranjeros.</w:t>
      </w:r>
      <w:r>
        <w:rPr>
          <w:szCs w:val="24"/>
        </w:rPr>
        <w:t xml:space="preserve"> </w:t>
      </w:r>
      <w:r>
        <w:rPr>
          <w:szCs w:val="24"/>
          <w:lang w:val="es-ES_tradnl"/>
        </w:rPr>
        <w:t xml:space="preserve">La resolución del Gobierno </w:t>
      </w:r>
      <w:r w:rsidR="00713E0E">
        <w:rPr>
          <w:szCs w:val="24"/>
          <w:lang w:val="es-ES_tradnl"/>
        </w:rPr>
        <w:t>Nº</w:t>
      </w:r>
      <w:r>
        <w:rPr>
          <w:szCs w:val="24"/>
          <w:lang w:val="es-ES_tradnl"/>
        </w:rPr>
        <w:t xml:space="preserve"> 3807 de 26 de junio de 2005 fue modificada por la resolución del Gobierno </w:t>
      </w:r>
      <w:r w:rsidR="00713E0E">
        <w:rPr>
          <w:szCs w:val="24"/>
          <w:lang w:val="es-ES_tradnl"/>
        </w:rPr>
        <w:t>Nº</w:t>
      </w:r>
      <w:r>
        <w:rPr>
          <w:szCs w:val="24"/>
          <w:lang w:val="es-ES_tradnl"/>
        </w:rPr>
        <w:t xml:space="preserve"> 156 de 18 de junio y dice lo siguiente:</w:t>
      </w:r>
    </w:p>
    <w:p w:rsidR="00F92819" w:rsidRDefault="00F92819">
      <w:pPr>
        <w:pStyle w:val="SingleTxtG"/>
        <w:ind w:left="1701"/>
        <w:rPr>
          <w:szCs w:val="24"/>
        </w:rPr>
      </w:pPr>
      <w:r>
        <w:rPr>
          <w:szCs w:val="24"/>
        </w:rPr>
        <w:tab/>
      </w:r>
      <w:r>
        <w:rPr>
          <w:szCs w:val="24"/>
          <w:lang w:val="es-ES_tradnl"/>
        </w:rPr>
        <w:t>“El Ministro del Interior está facultado para conceder, a petición, la residencia permanente a los hijos de inmigrantes ilegales que hayan participado en la sociedad y la cultura israelíes, si se satisfacen las siguientes condiciones:</w:t>
      </w:r>
    </w:p>
    <w:p w:rsidR="00F92819" w:rsidRDefault="00F92819">
      <w:pPr>
        <w:pStyle w:val="SingleTxtG"/>
        <w:ind w:left="1701"/>
        <w:rPr>
          <w:szCs w:val="24"/>
        </w:rPr>
      </w:pPr>
      <w:r>
        <w:rPr>
          <w:szCs w:val="24"/>
        </w:rPr>
        <w:tab/>
      </w:r>
      <w:r>
        <w:rPr>
          <w:szCs w:val="24"/>
          <w:lang w:val="es-ES_tradnl"/>
        </w:rPr>
        <w:t>a)</w:t>
      </w:r>
      <w:r>
        <w:rPr>
          <w:szCs w:val="24"/>
        </w:rPr>
        <w:tab/>
      </w:r>
      <w:r>
        <w:rPr>
          <w:szCs w:val="24"/>
          <w:lang w:val="es-ES_tradnl"/>
        </w:rPr>
        <w:t>El niño debe haber vivido en Israel por lo menos seis años (en la fecha de la resolución) y entrado en Israel antes de cumplir 14 años. Una visita al extranjero de corta duración no se considerará una interrupción de este período;</w:t>
      </w:r>
    </w:p>
    <w:p w:rsidR="00F92819" w:rsidRDefault="00F92819">
      <w:pPr>
        <w:pStyle w:val="SingleTxtG"/>
        <w:ind w:left="1701"/>
        <w:rPr>
          <w:szCs w:val="24"/>
        </w:rPr>
      </w:pPr>
      <w:r>
        <w:rPr>
          <w:szCs w:val="24"/>
        </w:rPr>
        <w:tab/>
      </w:r>
      <w:r>
        <w:rPr>
          <w:szCs w:val="24"/>
          <w:lang w:val="es-ES_tradnl"/>
        </w:rPr>
        <w:t>b)</w:t>
      </w:r>
      <w:r>
        <w:rPr>
          <w:szCs w:val="24"/>
        </w:rPr>
        <w:tab/>
      </w:r>
      <w:r>
        <w:rPr>
          <w:szCs w:val="24"/>
          <w:lang w:val="es-ES_tradnl"/>
        </w:rPr>
        <w:t xml:space="preserve">Antes de la entrada del niño o de su nacimiento, los padres deben haber entrado legalmente en Israel y con un permiso de entrada de conformidad con la </w:t>
      </w:r>
      <w:r>
        <w:rPr>
          <w:i/>
          <w:szCs w:val="24"/>
          <w:lang w:val="es-ES_tradnl"/>
        </w:rPr>
        <w:t>Ley de la entrada en Israel</w:t>
      </w:r>
      <w:r>
        <w:rPr>
          <w:szCs w:val="24"/>
          <w:lang w:val="es-ES_tradnl"/>
        </w:rPr>
        <w:t xml:space="preserve"> de 5712/1952;</w:t>
      </w:r>
    </w:p>
    <w:p w:rsidR="00F92819" w:rsidRDefault="00F92819">
      <w:pPr>
        <w:pStyle w:val="SingleTxtG"/>
        <w:ind w:left="1701"/>
        <w:rPr>
          <w:szCs w:val="24"/>
        </w:rPr>
      </w:pPr>
      <w:r>
        <w:rPr>
          <w:szCs w:val="24"/>
        </w:rPr>
        <w:tab/>
      </w:r>
      <w:r>
        <w:rPr>
          <w:szCs w:val="24"/>
          <w:lang w:val="es-ES_tradnl"/>
        </w:rPr>
        <w:t>c)</w:t>
      </w:r>
      <w:r>
        <w:rPr>
          <w:szCs w:val="24"/>
        </w:rPr>
        <w:tab/>
      </w:r>
      <w:r>
        <w:rPr>
          <w:szCs w:val="24"/>
          <w:lang w:val="es-ES_tradnl"/>
        </w:rPr>
        <w:t>El niño debe hablar la lengua hebrea;</w:t>
      </w:r>
    </w:p>
    <w:p w:rsidR="00F92819" w:rsidRDefault="00F92819">
      <w:pPr>
        <w:pStyle w:val="SingleTxtG"/>
        <w:ind w:left="1701"/>
        <w:rPr>
          <w:szCs w:val="24"/>
        </w:rPr>
      </w:pPr>
      <w:r>
        <w:rPr>
          <w:szCs w:val="24"/>
        </w:rPr>
        <w:tab/>
      </w:r>
      <w:r>
        <w:rPr>
          <w:szCs w:val="24"/>
          <w:lang w:val="es-ES_tradnl"/>
        </w:rPr>
        <w:t>d)</w:t>
      </w:r>
      <w:r>
        <w:rPr>
          <w:szCs w:val="24"/>
        </w:rPr>
        <w:tab/>
      </w:r>
      <w:r>
        <w:rPr>
          <w:szCs w:val="24"/>
          <w:lang w:val="es-ES_tradnl"/>
        </w:rPr>
        <w:t>El niño debe estar en el primer grado escolar o en un grado superior, o haber terminado sus estudios;</w:t>
      </w:r>
    </w:p>
    <w:p w:rsidR="00F92819" w:rsidRDefault="00F92819">
      <w:pPr>
        <w:pStyle w:val="SingleTxtG"/>
        <w:ind w:left="1701"/>
        <w:rPr>
          <w:szCs w:val="24"/>
        </w:rPr>
      </w:pPr>
      <w:r>
        <w:rPr>
          <w:szCs w:val="24"/>
        </w:rPr>
        <w:tab/>
      </w:r>
      <w:r>
        <w:rPr>
          <w:szCs w:val="24"/>
          <w:lang w:val="es-ES_tradnl"/>
        </w:rPr>
        <w:t>e)</w:t>
      </w:r>
      <w:r>
        <w:rPr>
          <w:szCs w:val="24"/>
        </w:rPr>
        <w:tab/>
      </w:r>
      <w:r>
        <w:rPr>
          <w:szCs w:val="24"/>
          <w:lang w:val="es-ES_tradnl"/>
        </w:rPr>
        <w:t>Los que presentan la solicitud deben presentar documentos o participar en audiencias para demostrar que satisfacen el criterio indicado.”</w:t>
      </w:r>
    </w:p>
    <w:p w:rsidR="00F92819" w:rsidRDefault="00F92819">
      <w:pPr>
        <w:pStyle w:val="SingleTxtG"/>
        <w:rPr>
          <w:szCs w:val="24"/>
        </w:rPr>
      </w:pPr>
      <w:r>
        <w:rPr>
          <w:szCs w:val="24"/>
          <w:lang w:val="es-ES_tradnl"/>
        </w:rPr>
        <w:t>El Ministro puede conceder la condición de residencia temporal en Israel a los padres y hermanos del niño, siempre que hayan vivido en el mismo hogar desde el día en que el niño entró o nació en Israel y estén en Israel en la fecha de esta resolución.</w:t>
      </w:r>
      <w:r>
        <w:rPr>
          <w:szCs w:val="24"/>
        </w:rPr>
        <w:t xml:space="preserve"> </w:t>
      </w:r>
      <w:r>
        <w:rPr>
          <w:szCs w:val="24"/>
          <w:lang w:val="es-ES_tradnl"/>
        </w:rPr>
        <w:t>Si no hay razón para una objeción, se les renovará la residencia temporal hasta que el hijo cumpla 21 años, en cuyo momento los padres y hermanos tendrán derecho a presentar una solicitud de residencia permanente.</w:t>
      </w:r>
    </w:p>
    <w:p w:rsidR="00F92819" w:rsidRDefault="00F92819">
      <w:pPr>
        <w:pStyle w:val="SingleTxtG"/>
        <w:rPr>
          <w:szCs w:val="24"/>
        </w:rPr>
      </w:pPr>
      <w:r>
        <w:rPr>
          <w:szCs w:val="24"/>
        </w:rPr>
        <w:t>389.</w:t>
      </w:r>
      <w:r>
        <w:rPr>
          <w:szCs w:val="24"/>
        </w:rPr>
        <w:tab/>
      </w:r>
      <w:r>
        <w:rPr>
          <w:szCs w:val="24"/>
          <w:lang w:val="es-ES_tradnl"/>
        </w:rPr>
        <w:t>Desde 3 de noviembre de 2008 se han presentado unas 862 solicitudes, de las cuales 430 han sido aceptadas, 417 rechazadas y 15 están pendientes por falta de documentación adecuada.</w:t>
      </w:r>
      <w:r>
        <w:rPr>
          <w:szCs w:val="24"/>
        </w:rPr>
        <w:t xml:space="preserve"> </w:t>
      </w:r>
      <w:r>
        <w:rPr>
          <w:szCs w:val="24"/>
          <w:lang w:val="es-ES_tradnl"/>
        </w:rPr>
        <w:t>En el caso de las 349 solicitudes rechazadas, se presentaron recursos ante el comité de apelaciones.</w:t>
      </w:r>
      <w:r>
        <w:rPr>
          <w:szCs w:val="24"/>
        </w:rPr>
        <w:t xml:space="preserve"> </w:t>
      </w:r>
      <w:r>
        <w:rPr>
          <w:szCs w:val="24"/>
          <w:lang w:val="es-ES_tradnl"/>
        </w:rPr>
        <w:t>Una vez examinadas, el Ministerio del Interior aceptó 127 solicitudes y rechazó 193.</w:t>
      </w:r>
      <w:r>
        <w:rPr>
          <w:szCs w:val="24"/>
        </w:rPr>
        <w:t xml:space="preserve"> </w:t>
      </w:r>
      <w:r>
        <w:rPr>
          <w:szCs w:val="24"/>
          <w:lang w:val="es-ES_tradnl"/>
        </w:rPr>
        <w:t>Otras 24 solicitudes fueron remitidas a la comisión que examina las cuestiones humanitarias y 8 solicitudes se están examinando actualmente.</w:t>
      </w:r>
    </w:p>
    <w:p w:rsidR="00F92819" w:rsidRDefault="00F92819">
      <w:pPr>
        <w:pStyle w:val="H23G"/>
        <w:rPr>
          <w:szCs w:val="24"/>
        </w:rPr>
      </w:pPr>
      <w:r>
        <w:rPr>
          <w:szCs w:val="24"/>
        </w:rPr>
        <w:tab/>
      </w:r>
      <w:r>
        <w:rPr>
          <w:szCs w:val="24"/>
        </w:rPr>
        <w:tab/>
      </w:r>
      <w:r>
        <w:rPr>
          <w:szCs w:val="24"/>
          <w:lang w:val="es-ES_tradnl"/>
        </w:rPr>
        <w:t>Protección de los menores</w:t>
      </w:r>
    </w:p>
    <w:p w:rsidR="00F92819" w:rsidRDefault="00F92819">
      <w:pPr>
        <w:pStyle w:val="SingleTxtG"/>
        <w:rPr>
          <w:szCs w:val="24"/>
        </w:rPr>
      </w:pPr>
      <w:r>
        <w:rPr>
          <w:szCs w:val="24"/>
        </w:rPr>
        <w:t>390.</w:t>
      </w:r>
      <w:r>
        <w:rPr>
          <w:szCs w:val="24"/>
        </w:rPr>
        <w:tab/>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se detalla en el informe anterior de Israel, la </w:t>
      </w:r>
      <w:r>
        <w:rPr>
          <w:i/>
          <w:szCs w:val="24"/>
          <w:lang w:val="es-ES_tradnl"/>
        </w:rPr>
        <w:t>Ley de empleo juvenil</w:t>
      </w:r>
      <w:r>
        <w:rPr>
          <w:szCs w:val="24"/>
          <w:lang w:val="es-ES_tradnl"/>
        </w:rPr>
        <w:t xml:space="preserve"> prohíbe el empleo de los menores de 15 años. De conformidad con la Ley, un ejecutivo (como se define en la Ley) de una empresa tiene el deber de supervisar y adoptar todas las medidas necesarias para impedir que la empresa o uno o varios de sus empleados infrinja </w:t>
      </w:r>
      <w:smartTag w:uri="urn:schemas-microsoft-com:office:smarttags" w:element="PersonName">
        <w:smartTagPr>
          <w:attr w:name="ProductID" w:val="la Ley. Una"/>
        </w:smartTagPr>
        <w:r>
          <w:rPr>
            <w:szCs w:val="24"/>
            <w:lang w:val="es-ES_tradnl"/>
          </w:rPr>
          <w:t>la Ley. Una</w:t>
        </w:r>
      </w:smartTag>
      <w:r>
        <w:rPr>
          <w:szCs w:val="24"/>
          <w:lang w:val="es-ES_tradnl"/>
        </w:rPr>
        <w:t xml:space="preserve"> enmienda de </w:t>
      </w:r>
      <w:smartTag w:uri="urn:schemas-microsoft-com:office:smarttags" w:element="metricconverter">
        <w:smartTagPr>
          <w:attr w:name="ProductID" w:val="2000 a"/>
        </w:smartTagPr>
        <w:r>
          <w:rPr>
            <w:szCs w:val="24"/>
            <w:lang w:val="es-ES_tradnl"/>
          </w:rPr>
          <w:t>2000 a</w:t>
        </w:r>
      </w:smartTag>
      <w:r>
        <w:rPr>
          <w:szCs w:val="24"/>
          <w:lang w:val="es-ES_tradnl"/>
        </w:rPr>
        <w:t xml:space="preserve"> la Ley amplió la obligación de incluir la responsabilidad de los ejecutivos de las entidades públicas de asegurar que las empresas contratadas por la entidad pública no infringen </w:t>
      </w:r>
      <w:smartTag w:uri="urn:schemas-microsoft-com:office:smarttags" w:element="PersonName">
        <w:smartTagPr>
          <w:attr w:name="ProductID" w:val="la Ley. Con"/>
        </w:smartTagPr>
        <w:r>
          <w:rPr>
            <w:szCs w:val="24"/>
            <w:lang w:val="es-ES_tradnl"/>
          </w:rPr>
          <w:t>la Ley.</w:t>
        </w:r>
        <w:r>
          <w:rPr>
            <w:szCs w:val="24"/>
          </w:rPr>
          <w:t xml:space="preserve"> </w:t>
        </w:r>
        <w:r>
          <w:rPr>
            <w:szCs w:val="24"/>
            <w:lang w:val="es-ES_tradnl"/>
          </w:rPr>
          <w:t>Con</w:t>
        </w:r>
      </w:smartTag>
      <w:r>
        <w:rPr>
          <w:szCs w:val="24"/>
          <w:lang w:val="es-ES_tradnl"/>
        </w:rPr>
        <w:t xml:space="preserve"> respecto a la mencionada obligación con arreglo a la enmienda, la Ley enumera las distintas medidas que debe adoptar el ejecutivo para cumplir su obligación.</w:t>
      </w:r>
    </w:p>
    <w:p w:rsidR="00F92819" w:rsidRDefault="00F92819">
      <w:pPr>
        <w:pStyle w:val="SingleTxtG"/>
        <w:rPr>
          <w:szCs w:val="24"/>
        </w:rPr>
      </w:pPr>
      <w:r>
        <w:rPr>
          <w:szCs w:val="24"/>
        </w:rPr>
        <w:t>391.</w:t>
      </w:r>
      <w:r>
        <w:rPr>
          <w:szCs w:val="24"/>
        </w:rPr>
        <w:tab/>
      </w:r>
      <w:r>
        <w:rPr>
          <w:szCs w:val="24"/>
          <w:lang w:val="es-ES_tradnl"/>
        </w:rPr>
        <w:t>En 2007 se reformó de nuevo la Ley para permitir el empleo de un menor de entre 16 y 18 años, después de las 23.00 horas, cuando es necesario debido a una declaración de “estado de emergencia” o en lugares de trabajo donde se trabaja por turnos.</w:t>
      </w:r>
      <w:r>
        <w:rPr>
          <w:szCs w:val="24"/>
        </w:rPr>
        <w:t xml:space="preserve"> </w:t>
      </w:r>
      <w:r>
        <w:rPr>
          <w:szCs w:val="24"/>
          <w:lang w:val="es-ES_tradnl"/>
        </w:rPr>
        <w:t>De conformidad con la Ley, el Ministerio de Industria, Comercio y Trabajo está autorizado a aprobar este tipo de empleo sólo si existe el convencimiento de que la salud y el bienestar del menor están protegidos.</w:t>
      </w:r>
    </w:p>
    <w:p w:rsidR="00F92819" w:rsidRDefault="00F92819">
      <w:pPr>
        <w:pStyle w:val="Heading1"/>
        <w:spacing w:before="240"/>
        <w:rPr>
          <w:szCs w:val="24"/>
        </w:rPr>
      </w:pPr>
      <w:r>
        <w:rPr>
          <w:szCs w:val="24"/>
          <w:lang w:val="es-ES_tradnl"/>
        </w:rPr>
        <w:t>Cuadro 18</w:t>
      </w:r>
    </w:p>
    <w:p w:rsidR="00F92819" w:rsidRDefault="00F92819">
      <w:pPr>
        <w:pStyle w:val="SingleTxtG"/>
        <w:keepNext/>
        <w:jc w:val="left"/>
        <w:rPr>
          <w:b/>
          <w:szCs w:val="24"/>
        </w:rPr>
      </w:pPr>
      <w:r>
        <w:rPr>
          <w:b/>
          <w:szCs w:val="24"/>
          <w:lang w:val="es-ES_tradnl"/>
        </w:rPr>
        <w:t>Población entre 15 y 17 años, por trabajo, estudios, gé</w:t>
      </w:r>
      <w:r w:rsidR="009864AF">
        <w:rPr>
          <w:b/>
          <w:szCs w:val="24"/>
          <w:lang w:val="es-ES_tradnl"/>
        </w:rPr>
        <w:t>nero y grupo de población, 2001-</w:t>
      </w:r>
      <w:r>
        <w:rPr>
          <w:b/>
          <w:szCs w:val="24"/>
          <w:lang w:val="es-ES_tradnl"/>
        </w:rPr>
        <w:t>2007</w:t>
      </w:r>
    </w:p>
    <w:tbl>
      <w:tblPr>
        <w:tblStyle w:val="TableGrid"/>
        <w:tblW w:w="72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260"/>
        <w:gridCol w:w="6"/>
        <w:gridCol w:w="566"/>
        <w:gridCol w:w="672"/>
        <w:gridCol w:w="672"/>
        <w:gridCol w:w="673"/>
        <w:gridCol w:w="673"/>
        <w:gridCol w:w="673"/>
        <w:gridCol w:w="673"/>
        <w:gridCol w:w="673"/>
        <w:gridCol w:w="729"/>
      </w:tblGrid>
      <w:tr w:rsidR="00F92819">
        <w:trPr>
          <w:tblHeader/>
        </w:trPr>
        <w:tc>
          <w:tcPr>
            <w:tcW w:w="1260" w:type="dxa"/>
            <w:vMerge w:val="restart"/>
            <w:tcBorders>
              <w:top w:val="single" w:sz="4" w:space="0" w:color="auto"/>
            </w:tcBorders>
            <w:vAlign w:val="bottom"/>
          </w:tcPr>
          <w:p w:rsidR="00F92819" w:rsidRDefault="00F92819">
            <w:pPr>
              <w:keepNext/>
              <w:spacing w:before="80" w:after="80" w:line="200" w:lineRule="exact"/>
              <w:rPr>
                <w:i/>
                <w:sz w:val="16"/>
                <w:szCs w:val="24"/>
              </w:rPr>
            </w:pPr>
          </w:p>
        </w:tc>
        <w:tc>
          <w:tcPr>
            <w:tcW w:w="1916" w:type="dxa"/>
            <w:gridSpan w:val="4"/>
            <w:tcBorders>
              <w:top w:val="single" w:sz="4" w:space="0" w:color="auto"/>
              <w:bottom w:val="single" w:sz="4" w:space="0" w:color="auto"/>
              <w:right w:val="single" w:sz="24" w:space="0" w:color="FFFFFF"/>
            </w:tcBorders>
            <w:vAlign w:val="bottom"/>
          </w:tcPr>
          <w:p w:rsidR="00F92819" w:rsidRDefault="00F92819">
            <w:pPr>
              <w:keepNext/>
              <w:spacing w:before="80" w:after="80" w:line="200" w:lineRule="exact"/>
              <w:jc w:val="center"/>
              <w:rPr>
                <w:b/>
                <w:i/>
                <w:sz w:val="16"/>
                <w:szCs w:val="24"/>
              </w:rPr>
            </w:pPr>
            <w:r>
              <w:rPr>
                <w:i/>
                <w:sz w:val="16"/>
                <w:szCs w:val="24"/>
              </w:rPr>
              <w:t>2001</w:t>
            </w:r>
          </w:p>
        </w:tc>
        <w:tc>
          <w:tcPr>
            <w:tcW w:w="2019" w:type="dxa"/>
            <w:gridSpan w:val="3"/>
            <w:tcBorders>
              <w:top w:val="single" w:sz="4" w:space="0" w:color="auto"/>
              <w:left w:val="single" w:sz="24" w:space="0" w:color="FFFFFF"/>
              <w:bottom w:val="single" w:sz="4" w:space="0" w:color="auto"/>
              <w:right w:val="single" w:sz="24" w:space="0" w:color="FFFFFF"/>
            </w:tcBorders>
            <w:vAlign w:val="bottom"/>
          </w:tcPr>
          <w:p w:rsidR="00F92819" w:rsidRDefault="00F92819">
            <w:pPr>
              <w:keepNext/>
              <w:spacing w:before="80" w:after="80" w:line="200" w:lineRule="exact"/>
              <w:jc w:val="center"/>
              <w:rPr>
                <w:b/>
                <w:i/>
                <w:sz w:val="16"/>
                <w:szCs w:val="24"/>
              </w:rPr>
            </w:pPr>
            <w:r>
              <w:rPr>
                <w:i/>
                <w:sz w:val="16"/>
                <w:szCs w:val="24"/>
              </w:rPr>
              <w:t>2006</w:t>
            </w:r>
          </w:p>
        </w:tc>
        <w:tc>
          <w:tcPr>
            <w:tcW w:w="2075" w:type="dxa"/>
            <w:gridSpan w:val="3"/>
            <w:tcBorders>
              <w:top w:val="single" w:sz="4" w:space="0" w:color="auto"/>
              <w:left w:val="single" w:sz="24" w:space="0" w:color="FFFFFF"/>
              <w:bottom w:val="single" w:sz="4" w:space="0" w:color="auto"/>
            </w:tcBorders>
            <w:vAlign w:val="bottom"/>
          </w:tcPr>
          <w:p w:rsidR="00F92819" w:rsidRDefault="00F92819">
            <w:pPr>
              <w:keepNext/>
              <w:spacing w:before="80" w:after="80" w:line="200" w:lineRule="exact"/>
              <w:jc w:val="center"/>
              <w:rPr>
                <w:b/>
                <w:i/>
                <w:sz w:val="16"/>
                <w:szCs w:val="24"/>
              </w:rPr>
            </w:pPr>
            <w:r>
              <w:rPr>
                <w:i/>
                <w:sz w:val="16"/>
                <w:szCs w:val="24"/>
              </w:rPr>
              <w:t>2007</w:t>
            </w:r>
          </w:p>
        </w:tc>
      </w:tr>
      <w:tr w:rsidR="00F92819">
        <w:trPr>
          <w:tblHeader/>
        </w:trPr>
        <w:tc>
          <w:tcPr>
            <w:tcW w:w="1260" w:type="dxa"/>
            <w:vMerge/>
            <w:tcBorders>
              <w:bottom w:val="single" w:sz="12" w:space="0" w:color="auto"/>
            </w:tcBorders>
            <w:vAlign w:val="bottom"/>
          </w:tcPr>
          <w:p w:rsidR="00F92819" w:rsidRDefault="00F92819">
            <w:pPr>
              <w:keepNext/>
              <w:spacing w:before="80" w:after="80" w:line="200" w:lineRule="exact"/>
              <w:rPr>
                <w:i/>
                <w:sz w:val="16"/>
                <w:szCs w:val="24"/>
              </w:rPr>
            </w:pPr>
          </w:p>
        </w:tc>
        <w:tc>
          <w:tcPr>
            <w:tcW w:w="572" w:type="dxa"/>
            <w:gridSpan w:val="2"/>
            <w:tcBorders>
              <w:top w:val="single" w:sz="4" w:space="0" w:color="auto"/>
              <w:bottom w:val="single" w:sz="12" w:space="0" w:color="auto"/>
            </w:tcBorders>
            <w:vAlign w:val="bottom"/>
          </w:tcPr>
          <w:p w:rsidR="00F92819" w:rsidRDefault="00F92819">
            <w:pPr>
              <w:keepNext/>
              <w:spacing w:before="80" w:after="80" w:line="200" w:lineRule="exact"/>
              <w:jc w:val="right"/>
              <w:rPr>
                <w:szCs w:val="24"/>
              </w:rPr>
            </w:pPr>
            <w:r>
              <w:rPr>
                <w:i/>
                <w:sz w:val="16"/>
                <w:szCs w:val="24"/>
                <w:lang w:val="es-ES_tradnl"/>
              </w:rPr>
              <w:t>Árabes</w:t>
            </w:r>
          </w:p>
        </w:tc>
        <w:tc>
          <w:tcPr>
            <w:tcW w:w="672" w:type="dxa"/>
            <w:tcBorders>
              <w:top w:val="single" w:sz="4" w:space="0" w:color="auto"/>
              <w:bottom w:val="single" w:sz="12" w:space="0" w:color="auto"/>
            </w:tcBorders>
            <w:vAlign w:val="bottom"/>
          </w:tcPr>
          <w:p w:rsidR="00F92819" w:rsidRDefault="00F92819">
            <w:pPr>
              <w:keepNext/>
              <w:spacing w:before="80" w:after="80" w:line="200" w:lineRule="exact"/>
              <w:jc w:val="right"/>
              <w:rPr>
                <w:szCs w:val="24"/>
              </w:rPr>
            </w:pPr>
            <w:r>
              <w:rPr>
                <w:i/>
                <w:sz w:val="16"/>
                <w:szCs w:val="24"/>
                <w:lang w:val="es-ES_tradnl"/>
              </w:rPr>
              <w:t>Judíos</w:t>
            </w:r>
          </w:p>
        </w:tc>
        <w:tc>
          <w:tcPr>
            <w:tcW w:w="672" w:type="dxa"/>
            <w:tcBorders>
              <w:top w:val="single" w:sz="4" w:space="0" w:color="auto"/>
              <w:bottom w:val="single" w:sz="12" w:space="0" w:color="auto"/>
              <w:right w:val="single" w:sz="24" w:space="0" w:color="FFFFFF"/>
            </w:tcBorders>
            <w:vAlign w:val="bottom"/>
          </w:tcPr>
          <w:p w:rsidR="00F92819" w:rsidRDefault="00F92819">
            <w:pPr>
              <w:keepNext/>
              <w:spacing w:before="80" w:after="80" w:line="200" w:lineRule="exact"/>
              <w:jc w:val="right"/>
              <w:rPr>
                <w:szCs w:val="24"/>
              </w:rPr>
            </w:pPr>
            <w:r>
              <w:rPr>
                <w:b/>
                <w:i/>
                <w:sz w:val="16"/>
                <w:szCs w:val="24"/>
                <w:lang w:val="es-ES_tradnl"/>
              </w:rPr>
              <w:t>Total</w:t>
            </w:r>
          </w:p>
        </w:tc>
        <w:tc>
          <w:tcPr>
            <w:tcW w:w="673" w:type="dxa"/>
            <w:tcBorders>
              <w:top w:val="single" w:sz="4" w:space="0" w:color="auto"/>
              <w:left w:val="single" w:sz="24" w:space="0" w:color="FFFFFF"/>
              <w:bottom w:val="single" w:sz="12" w:space="0" w:color="auto"/>
            </w:tcBorders>
            <w:vAlign w:val="bottom"/>
          </w:tcPr>
          <w:p w:rsidR="00F92819" w:rsidRDefault="00F92819">
            <w:pPr>
              <w:keepNext/>
              <w:spacing w:before="80" w:after="80" w:line="200" w:lineRule="exact"/>
              <w:jc w:val="right"/>
              <w:rPr>
                <w:szCs w:val="24"/>
              </w:rPr>
            </w:pPr>
            <w:r>
              <w:rPr>
                <w:i/>
                <w:sz w:val="16"/>
                <w:szCs w:val="24"/>
                <w:lang w:val="es-ES_tradnl"/>
              </w:rPr>
              <w:t>Árabes</w:t>
            </w:r>
          </w:p>
        </w:tc>
        <w:tc>
          <w:tcPr>
            <w:tcW w:w="673" w:type="dxa"/>
            <w:tcBorders>
              <w:top w:val="single" w:sz="4" w:space="0" w:color="auto"/>
              <w:bottom w:val="single" w:sz="12" w:space="0" w:color="auto"/>
            </w:tcBorders>
            <w:vAlign w:val="bottom"/>
          </w:tcPr>
          <w:p w:rsidR="00F92819" w:rsidRDefault="00F92819">
            <w:pPr>
              <w:keepNext/>
              <w:spacing w:before="80" w:after="80" w:line="200" w:lineRule="exact"/>
              <w:jc w:val="right"/>
              <w:rPr>
                <w:szCs w:val="24"/>
              </w:rPr>
            </w:pPr>
            <w:r>
              <w:rPr>
                <w:i/>
                <w:sz w:val="16"/>
                <w:szCs w:val="24"/>
                <w:lang w:val="es-ES_tradnl"/>
              </w:rPr>
              <w:t>Judíos</w:t>
            </w:r>
          </w:p>
        </w:tc>
        <w:tc>
          <w:tcPr>
            <w:tcW w:w="673" w:type="dxa"/>
            <w:tcBorders>
              <w:top w:val="single" w:sz="4" w:space="0" w:color="auto"/>
              <w:bottom w:val="single" w:sz="12" w:space="0" w:color="auto"/>
              <w:right w:val="single" w:sz="24" w:space="0" w:color="FFFFFF"/>
            </w:tcBorders>
            <w:vAlign w:val="bottom"/>
          </w:tcPr>
          <w:p w:rsidR="00F92819" w:rsidRDefault="00F92819">
            <w:pPr>
              <w:keepNext/>
              <w:spacing w:before="80" w:after="80" w:line="200" w:lineRule="exact"/>
              <w:jc w:val="right"/>
              <w:rPr>
                <w:szCs w:val="24"/>
              </w:rPr>
            </w:pPr>
            <w:r>
              <w:rPr>
                <w:b/>
                <w:i/>
                <w:sz w:val="16"/>
                <w:szCs w:val="24"/>
                <w:lang w:val="es-ES_tradnl"/>
              </w:rPr>
              <w:t>Total</w:t>
            </w:r>
          </w:p>
        </w:tc>
        <w:tc>
          <w:tcPr>
            <w:tcW w:w="673" w:type="dxa"/>
            <w:tcBorders>
              <w:top w:val="single" w:sz="4" w:space="0" w:color="auto"/>
              <w:left w:val="single" w:sz="24" w:space="0" w:color="FFFFFF"/>
              <w:bottom w:val="single" w:sz="12" w:space="0" w:color="auto"/>
            </w:tcBorders>
            <w:vAlign w:val="bottom"/>
          </w:tcPr>
          <w:p w:rsidR="00F92819" w:rsidRDefault="00F92819">
            <w:pPr>
              <w:keepNext/>
              <w:spacing w:before="80" w:after="80" w:line="200" w:lineRule="exact"/>
              <w:jc w:val="right"/>
              <w:rPr>
                <w:szCs w:val="24"/>
              </w:rPr>
            </w:pPr>
            <w:r>
              <w:rPr>
                <w:i/>
                <w:sz w:val="16"/>
                <w:szCs w:val="24"/>
                <w:lang w:val="es-ES_tradnl"/>
              </w:rPr>
              <w:t>Árabes</w:t>
            </w:r>
          </w:p>
        </w:tc>
        <w:tc>
          <w:tcPr>
            <w:tcW w:w="673" w:type="dxa"/>
            <w:tcBorders>
              <w:top w:val="single" w:sz="4" w:space="0" w:color="auto"/>
              <w:bottom w:val="single" w:sz="12" w:space="0" w:color="auto"/>
            </w:tcBorders>
            <w:vAlign w:val="bottom"/>
          </w:tcPr>
          <w:p w:rsidR="00F92819" w:rsidRDefault="00F92819">
            <w:pPr>
              <w:keepNext/>
              <w:spacing w:before="80" w:after="80" w:line="200" w:lineRule="exact"/>
              <w:jc w:val="right"/>
              <w:rPr>
                <w:szCs w:val="24"/>
              </w:rPr>
            </w:pPr>
            <w:r>
              <w:rPr>
                <w:i/>
                <w:sz w:val="16"/>
                <w:szCs w:val="24"/>
                <w:lang w:val="es-ES_tradnl"/>
              </w:rPr>
              <w:t>Judíos</w:t>
            </w:r>
          </w:p>
        </w:tc>
        <w:tc>
          <w:tcPr>
            <w:tcW w:w="729" w:type="dxa"/>
            <w:tcBorders>
              <w:top w:val="single" w:sz="4" w:space="0" w:color="auto"/>
              <w:bottom w:val="single" w:sz="12" w:space="0" w:color="auto"/>
            </w:tcBorders>
            <w:vAlign w:val="bottom"/>
          </w:tcPr>
          <w:p w:rsidR="00F92819" w:rsidRDefault="00F92819">
            <w:pPr>
              <w:keepNext/>
              <w:spacing w:before="80" w:after="80" w:line="200" w:lineRule="exact"/>
              <w:jc w:val="right"/>
              <w:rPr>
                <w:szCs w:val="24"/>
              </w:rPr>
            </w:pPr>
            <w:r>
              <w:rPr>
                <w:b/>
                <w:i/>
                <w:sz w:val="16"/>
                <w:szCs w:val="24"/>
                <w:lang w:val="es-ES_tradnl"/>
              </w:rPr>
              <w:t>Total</w:t>
            </w:r>
          </w:p>
        </w:tc>
      </w:tr>
      <w:tr w:rsidR="00F92819">
        <w:tc>
          <w:tcPr>
            <w:tcW w:w="1266" w:type="dxa"/>
            <w:gridSpan w:val="2"/>
            <w:tcBorders>
              <w:top w:val="single" w:sz="4" w:space="0" w:color="auto"/>
            </w:tcBorders>
          </w:tcPr>
          <w:p w:rsidR="00F92819" w:rsidRDefault="00F92819">
            <w:pPr>
              <w:keepNext/>
              <w:tabs>
                <w:tab w:val="right" w:pos="850"/>
                <w:tab w:val="left" w:pos="1134"/>
                <w:tab w:val="left" w:pos="1559"/>
                <w:tab w:val="left" w:pos="1984"/>
                <w:tab w:val="left" w:leader="dot" w:pos="8929"/>
                <w:tab w:val="right" w:pos="9638"/>
              </w:tabs>
              <w:spacing w:before="40" w:after="40" w:line="200" w:lineRule="atLeast"/>
              <w:rPr>
                <w:sz w:val="18"/>
                <w:szCs w:val="18"/>
              </w:rPr>
            </w:pPr>
            <w:r>
              <w:rPr>
                <w:b/>
                <w:i/>
                <w:sz w:val="18"/>
                <w:szCs w:val="18"/>
                <w:lang w:val="es-ES_tradnl"/>
              </w:rPr>
              <w:t>Total general</w:t>
            </w:r>
          </w:p>
        </w:tc>
        <w:tc>
          <w:tcPr>
            <w:tcW w:w="566" w:type="dxa"/>
            <w:tcBorders>
              <w:top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p>
        </w:tc>
        <w:tc>
          <w:tcPr>
            <w:tcW w:w="672" w:type="dxa"/>
            <w:tcBorders>
              <w:top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p>
        </w:tc>
        <w:tc>
          <w:tcPr>
            <w:tcW w:w="672" w:type="dxa"/>
            <w:tcBorders>
              <w:top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p>
        </w:tc>
        <w:tc>
          <w:tcPr>
            <w:tcW w:w="673" w:type="dxa"/>
            <w:tcBorders>
              <w:top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p>
        </w:tc>
        <w:tc>
          <w:tcPr>
            <w:tcW w:w="673" w:type="dxa"/>
            <w:tcBorders>
              <w:top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p>
        </w:tc>
        <w:tc>
          <w:tcPr>
            <w:tcW w:w="673" w:type="dxa"/>
            <w:tcBorders>
              <w:top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p>
        </w:tc>
        <w:tc>
          <w:tcPr>
            <w:tcW w:w="673" w:type="dxa"/>
            <w:tcBorders>
              <w:top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
                <w:sz w:val="18"/>
                <w:szCs w:val="18"/>
              </w:rPr>
            </w:pPr>
          </w:p>
        </w:tc>
        <w:tc>
          <w:tcPr>
            <w:tcW w:w="673" w:type="dxa"/>
            <w:tcBorders>
              <w:top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
                <w:sz w:val="18"/>
                <w:szCs w:val="18"/>
              </w:rPr>
            </w:pPr>
          </w:p>
        </w:tc>
        <w:tc>
          <w:tcPr>
            <w:tcW w:w="729" w:type="dxa"/>
            <w:tcBorders>
              <w:top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
                <w:sz w:val="18"/>
                <w:szCs w:val="18"/>
              </w:rPr>
            </w:pPr>
          </w:p>
        </w:tc>
      </w:tr>
      <w:tr w:rsidR="00F92819">
        <w:tc>
          <w:tcPr>
            <w:tcW w:w="1266" w:type="dxa"/>
            <w:gridSpan w:val="2"/>
          </w:tcPr>
          <w:p w:rsidR="00F92819" w:rsidRDefault="00F92819">
            <w:pPr>
              <w:keepNext/>
              <w:tabs>
                <w:tab w:val="right" w:pos="850"/>
                <w:tab w:val="left" w:pos="1134"/>
                <w:tab w:val="left" w:pos="1559"/>
                <w:tab w:val="left" w:pos="1984"/>
                <w:tab w:val="left" w:leader="dot" w:pos="8929"/>
                <w:tab w:val="right" w:pos="9638"/>
              </w:tabs>
              <w:spacing w:before="40" w:after="40" w:line="200" w:lineRule="atLeast"/>
              <w:rPr>
                <w:sz w:val="18"/>
                <w:szCs w:val="18"/>
              </w:rPr>
            </w:pPr>
            <w:r>
              <w:rPr>
                <w:b/>
                <w:sz w:val="18"/>
                <w:szCs w:val="18"/>
                <w:lang w:val="es-ES_tradnl"/>
              </w:rPr>
              <w:t>Miles</w:t>
            </w:r>
          </w:p>
        </w:tc>
        <w:tc>
          <w:tcPr>
            <w:tcW w:w="566"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77,9</w:t>
            </w:r>
          </w:p>
        </w:tc>
        <w:tc>
          <w:tcPr>
            <w:tcW w:w="672"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258,4</w:t>
            </w:r>
          </w:p>
        </w:tc>
        <w:tc>
          <w:tcPr>
            <w:tcW w:w="672"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336,3</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85,2</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254,4</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346,3</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89,7</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255,8</w:t>
            </w:r>
          </w:p>
        </w:tc>
        <w:tc>
          <w:tcPr>
            <w:tcW w:w="729"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350,6</w:t>
            </w:r>
          </w:p>
        </w:tc>
      </w:tr>
      <w:tr w:rsidR="00F92819">
        <w:tc>
          <w:tcPr>
            <w:tcW w:w="1266" w:type="dxa"/>
            <w:gridSpan w:val="2"/>
          </w:tcPr>
          <w:p w:rsidR="00F92819" w:rsidRDefault="0054081D">
            <w:pPr>
              <w:keepNext/>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Porcentaje</w:t>
            </w:r>
          </w:p>
        </w:tc>
        <w:tc>
          <w:tcPr>
            <w:tcW w:w="566"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Pr>
            </w:pPr>
            <w:r>
              <w:rPr>
                <w:sz w:val="18"/>
                <w:szCs w:val="18"/>
                <w:rtl/>
              </w:rPr>
              <w:t>100</w:t>
            </w:r>
          </w:p>
        </w:tc>
        <w:tc>
          <w:tcPr>
            <w:tcW w:w="672"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Pr>
            </w:pPr>
            <w:r>
              <w:rPr>
                <w:sz w:val="18"/>
                <w:szCs w:val="18"/>
                <w:rtl/>
              </w:rPr>
              <w:t>100</w:t>
            </w:r>
          </w:p>
        </w:tc>
        <w:tc>
          <w:tcPr>
            <w:tcW w:w="672"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
                <w:sz w:val="18"/>
                <w:szCs w:val="18"/>
              </w:rPr>
            </w:pPr>
            <w:r>
              <w:rPr>
                <w:b/>
                <w:sz w:val="18"/>
                <w:szCs w:val="18"/>
                <w:rtl/>
              </w:rPr>
              <w:t>100</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Pr>
            </w:pPr>
            <w:r>
              <w:rPr>
                <w:sz w:val="18"/>
                <w:szCs w:val="18"/>
                <w:rtl/>
              </w:rPr>
              <w:t>100</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Pr>
            </w:pPr>
            <w:r>
              <w:rPr>
                <w:sz w:val="18"/>
                <w:szCs w:val="18"/>
                <w:rtl/>
              </w:rPr>
              <w:t>100</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Cs/>
                <w:sz w:val="18"/>
                <w:szCs w:val="18"/>
                <w:rtl/>
                <w:lang w:bidi="he-IL"/>
              </w:rPr>
            </w:pPr>
            <w:r>
              <w:rPr>
                <w:bCs/>
                <w:sz w:val="18"/>
                <w:szCs w:val="18"/>
                <w:rtl/>
              </w:rPr>
              <w:t>100</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100</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100</w:t>
            </w:r>
          </w:p>
        </w:tc>
        <w:tc>
          <w:tcPr>
            <w:tcW w:w="729"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100</w:t>
            </w:r>
          </w:p>
        </w:tc>
      </w:tr>
      <w:tr w:rsidR="00F92819">
        <w:tc>
          <w:tcPr>
            <w:tcW w:w="1266" w:type="dxa"/>
            <w:gridSpan w:val="2"/>
          </w:tcPr>
          <w:p w:rsidR="00F92819" w:rsidRDefault="00F92819">
            <w:pPr>
              <w:keepNext/>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Trabajan</w:t>
            </w:r>
          </w:p>
        </w:tc>
        <w:tc>
          <w:tcPr>
            <w:tcW w:w="566"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3,2</w:t>
            </w:r>
          </w:p>
        </w:tc>
        <w:tc>
          <w:tcPr>
            <w:tcW w:w="672"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w:t>
            </w:r>
          </w:p>
        </w:tc>
        <w:tc>
          <w:tcPr>
            <w:tcW w:w="672"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Cs/>
                <w:sz w:val="18"/>
                <w:szCs w:val="18"/>
                <w:rtl/>
                <w:lang w:bidi="he-IL"/>
              </w:rPr>
            </w:pPr>
            <w:r>
              <w:rPr>
                <w:bCs/>
                <w:sz w:val="18"/>
                <w:szCs w:val="18"/>
                <w:rtl/>
              </w:rPr>
              <w:t>7,6</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3,5</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7</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2,5</w:t>
            </w:r>
          </w:p>
        </w:tc>
        <w:tc>
          <w:tcPr>
            <w:tcW w:w="673"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8,3</w:t>
            </w:r>
          </w:p>
        </w:tc>
        <w:tc>
          <w:tcPr>
            <w:tcW w:w="729" w:type="dxa"/>
            <w:vAlign w:val="bottom"/>
          </w:tcPr>
          <w:p w:rsidR="00F92819" w:rsidRDefault="00F92819">
            <w:pPr>
              <w:keepNext/>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6,9</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De los cuales:</w:t>
            </w:r>
            <w:r>
              <w:rPr>
                <w:sz w:val="18"/>
                <w:szCs w:val="18"/>
              </w:rPr>
              <w:t xml:space="preserve"> </w:t>
            </w:r>
            <w:r>
              <w:rPr>
                <w:sz w:val="18"/>
                <w:szCs w:val="18"/>
                <w:lang w:val="es-ES_tradnl"/>
              </w:rPr>
              <w:t>Estudian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1,2</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lang w:bidi="he-IL"/>
              </w:rPr>
            </w:pPr>
            <w:r>
              <w:rPr>
                <w:sz w:val="18"/>
                <w:szCs w:val="18"/>
                <w:rtl/>
              </w:rPr>
              <w:t>7,6</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Pr>
            </w:pPr>
            <w:r>
              <w:rPr>
                <w:b/>
                <w:sz w:val="18"/>
                <w:szCs w:val="18"/>
                <w:rtl/>
              </w:rPr>
              <w:t>6,1</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Pr>
            </w:pPr>
            <w:r>
              <w:rPr>
                <w:sz w:val="18"/>
                <w:szCs w:val="18"/>
              </w:rPr>
              <w:t>-</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Pr>
            </w:pPr>
            <w:r>
              <w:rPr>
                <w:sz w:val="18"/>
                <w:szCs w:val="18"/>
                <w:rtl/>
              </w:rPr>
              <w:t>6,9</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5,3</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7,2</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5,5</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No estudian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2,2</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1,4</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1,6</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3,3</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1,1</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1,7</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2,2</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1,1</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lang w:bidi="he-IL"/>
              </w:rPr>
            </w:pPr>
            <w:r>
              <w:rPr>
                <w:b/>
                <w:sz w:val="18"/>
                <w:szCs w:val="18"/>
              </w:rPr>
              <w:t>1,4</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No trabajan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96,8</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91</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92,4</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96,5</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92</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93</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97,5</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91,7</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93,1</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De los cuales:</w:t>
            </w:r>
            <w:r>
              <w:rPr>
                <w:sz w:val="18"/>
                <w:szCs w:val="18"/>
              </w:rPr>
              <w:t xml:space="preserve"> </w:t>
            </w:r>
            <w:r>
              <w:rPr>
                <w:sz w:val="18"/>
                <w:szCs w:val="18"/>
                <w:lang w:val="es-ES_tradnl"/>
              </w:rPr>
              <w:t>Estudian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82,1</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85,6</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lang w:bidi="he-IL"/>
              </w:rPr>
              <w:t>8</w:t>
            </w:r>
            <w:r>
              <w:rPr>
                <w:bCs/>
                <w:sz w:val="18"/>
                <w:szCs w:val="18"/>
                <w:rtl/>
              </w:rPr>
              <w:t>4,8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82,6</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86,2</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85,2</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85,1</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86,3</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85,9</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No estudian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14,7</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lang w:bidi="he-IL"/>
              </w:rPr>
            </w:pPr>
            <w:r>
              <w:rPr>
                <w:sz w:val="18"/>
                <w:szCs w:val="18"/>
                <w:rtl/>
              </w:rPr>
              <w:t>5,4</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7,6</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13,8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5,8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7,8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12,4</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5,5</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lang w:bidi="he-IL"/>
              </w:rPr>
            </w:pPr>
            <w:r>
              <w:rPr>
                <w:b/>
                <w:sz w:val="18"/>
                <w:szCs w:val="18"/>
              </w:rPr>
              <w:t>7,2</w:t>
            </w:r>
          </w:p>
        </w:tc>
      </w:tr>
      <w:tr w:rsidR="00F92819">
        <w:tc>
          <w:tcPr>
            <w:tcW w:w="1266" w:type="dxa"/>
            <w:gridSpan w:val="2"/>
          </w:tcPr>
          <w:p w:rsidR="00F92819" w:rsidRDefault="00F92819">
            <w:pPr>
              <w:spacing w:before="40" w:after="40" w:line="200" w:lineRule="atLeast"/>
              <w:rPr>
                <w:sz w:val="18"/>
                <w:szCs w:val="18"/>
              </w:rPr>
            </w:pPr>
            <w:r>
              <w:rPr>
                <w:i/>
                <w:sz w:val="18"/>
                <w:szCs w:val="18"/>
                <w:lang w:val="es-ES_tradnl"/>
              </w:rPr>
              <w:t>Hombres</w:t>
            </w:r>
          </w:p>
        </w:tc>
        <w:tc>
          <w:tcPr>
            <w:tcW w:w="566" w:type="dxa"/>
            <w:vAlign w:val="bottom"/>
          </w:tcPr>
          <w:p w:rsidR="00F92819" w:rsidRDefault="00F92819">
            <w:pPr>
              <w:spacing w:before="40" w:after="40" w:line="200" w:lineRule="atLeast"/>
              <w:jc w:val="right"/>
              <w:rPr>
                <w:i/>
                <w:sz w:val="18"/>
                <w:szCs w:val="18"/>
              </w:rPr>
            </w:pPr>
          </w:p>
        </w:tc>
        <w:tc>
          <w:tcPr>
            <w:tcW w:w="672" w:type="dxa"/>
            <w:vAlign w:val="bottom"/>
          </w:tcPr>
          <w:p w:rsidR="00F92819" w:rsidRDefault="00F92819">
            <w:pPr>
              <w:spacing w:before="40" w:after="40" w:line="200" w:lineRule="atLeast"/>
              <w:rPr>
                <w:i/>
                <w:sz w:val="18"/>
                <w:szCs w:val="18"/>
              </w:rPr>
            </w:pP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i/>
                <w:sz w:val="18"/>
                <w:szCs w:val="18"/>
              </w:rPr>
            </w:pPr>
          </w:p>
        </w:tc>
        <w:tc>
          <w:tcPr>
            <w:tcW w:w="673" w:type="dxa"/>
            <w:vAlign w:val="bottom"/>
          </w:tcPr>
          <w:p w:rsidR="00F92819" w:rsidRDefault="00F92819">
            <w:pPr>
              <w:spacing w:before="40" w:after="40" w:line="200" w:lineRule="atLeast"/>
              <w:rPr>
                <w:i/>
                <w:sz w:val="18"/>
                <w:szCs w:val="18"/>
              </w:rPr>
            </w:pPr>
          </w:p>
        </w:tc>
        <w:tc>
          <w:tcPr>
            <w:tcW w:w="673" w:type="dxa"/>
            <w:vAlign w:val="bottom"/>
          </w:tcPr>
          <w:p w:rsidR="00F92819" w:rsidRDefault="00F92819">
            <w:pPr>
              <w:spacing w:before="40" w:after="40" w:line="200" w:lineRule="atLeast"/>
              <w:rPr>
                <w:i/>
                <w:sz w:val="18"/>
                <w:szCs w:val="18"/>
              </w:rPr>
            </w:pP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i/>
                <w:sz w:val="18"/>
                <w:szCs w:val="18"/>
              </w:rPr>
            </w:pPr>
          </w:p>
        </w:tc>
        <w:tc>
          <w:tcPr>
            <w:tcW w:w="673" w:type="dxa"/>
            <w:vAlign w:val="bottom"/>
          </w:tcPr>
          <w:p w:rsidR="00F92819" w:rsidRDefault="00F92819">
            <w:pPr>
              <w:spacing w:before="40" w:after="40" w:line="200" w:lineRule="atLeast"/>
              <w:rPr>
                <w:i/>
                <w:sz w:val="18"/>
                <w:szCs w:val="18"/>
              </w:rPr>
            </w:pPr>
          </w:p>
        </w:tc>
        <w:tc>
          <w:tcPr>
            <w:tcW w:w="673" w:type="dxa"/>
            <w:vAlign w:val="bottom"/>
          </w:tcPr>
          <w:p w:rsidR="00F92819" w:rsidRDefault="00F92819">
            <w:pPr>
              <w:spacing w:before="40" w:after="40" w:line="200" w:lineRule="atLeast"/>
              <w:rPr>
                <w:i/>
                <w:sz w:val="18"/>
                <w:szCs w:val="18"/>
              </w:rPr>
            </w:pPr>
          </w:p>
        </w:tc>
        <w:tc>
          <w:tcPr>
            <w:tcW w:w="729" w:type="dxa"/>
            <w:vAlign w:val="bottom"/>
          </w:tcPr>
          <w:p w:rsidR="00F92819" w:rsidRDefault="00F92819">
            <w:pPr>
              <w:spacing w:before="40" w:after="40" w:line="200" w:lineRule="atLeast"/>
              <w:rPr>
                <w:i/>
                <w:sz w:val="18"/>
                <w:szCs w:val="18"/>
              </w:rPr>
            </w:pP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Miles</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38,9</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Pr>
            </w:pPr>
            <w:r>
              <w:rPr>
                <w:sz w:val="18"/>
                <w:szCs w:val="18"/>
                <w:rtl/>
              </w:rPr>
              <w:t>134</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172,9</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43,7</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130,8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177,7</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45,8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130,9</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179,4</w:t>
            </w:r>
          </w:p>
        </w:tc>
      </w:tr>
      <w:tr w:rsidR="00F92819">
        <w:tc>
          <w:tcPr>
            <w:tcW w:w="1266" w:type="dxa"/>
            <w:gridSpan w:val="2"/>
          </w:tcPr>
          <w:p w:rsidR="00F92819" w:rsidRDefault="0054081D">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Porcentaje</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lang w:bidi="he-IL"/>
              </w:rPr>
            </w:pPr>
            <w:r>
              <w:rPr>
                <w:sz w:val="18"/>
                <w:szCs w:val="18"/>
                <w:rtl/>
              </w:rPr>
              <w:t>100</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100</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100</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100</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100</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100</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100</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100</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100</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tl/>
              </w:rPr>
            </w:pPr>
            <w:r>
              <w:rPr>
                <w:sz w:val="18"/>
                <w:szCs w:val="18"/>
                <w:lang w:val="es-ES_tradnl"/>
              </w:rPr>
              <w:t>Trabajan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5,6</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9,4</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8,6</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6,6</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8,8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8,3</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4,3</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8,6</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7,6</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De los cuales:</w:t>
            </w:r>
            <w:r>
              <w:rPr>
                <w:sz w:val="18"/>
                <w:szCs w:val="18"/>
              </w:rPr>
              <w:t xml:space="preserve"> </w:t>
            </w:r>
            <w:r>
              <w:rPr>
                <w:sz w:val="18"/>
                <w:szCs w:val="18"/>
                <w:lang w:val="es-ES_tradnl"/>
              </w:rPr>
              <w:t>Estudian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7,8</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6,4</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7,6</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5,8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7,7</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5,8</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No estudian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4.1</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1,6</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2,1</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6,2</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1,3</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2,5</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3,9</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0,9</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1,8</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No trabajan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94,4</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90,6</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91,4</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93,6</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91,1</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91,7</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95,7</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91,4</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92,4</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De los cuales:</w:t>
            </w:r>
            <w:r>
              <w:rPr>
                <w:sz w:val="18"/>
                <w:szCs w:val="18"/>
              </w:rPr>
              <w:t xml:space="preserve"> </w:t>
            </w:r>
            <w:r>
              <w:rPr>
                <w:sz w:val="18"/>
                <w:szCs w:val="18"/>
                <w:lang w:val="es-ES_tradnl"/>
              </w:rPr>
              <w:t>Estudian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77,7</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84,9</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83,3</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79,9</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85,2</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83,9</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82,9</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85,9</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85</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No estudian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16,4</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5,6</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8,1</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13,7</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6</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7,8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12,8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5,5</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7,4</w:t>
            </w:r>
          </w:p>
        </w:tc>
      </w:tr>
      <w:tr w:rsidR="00F92819">
        <w:tc>
          <w:tcPr>
            <w:tcW w:w="1266" w:type="dxa"/>
            <w:gridSpan w:val="2"/>
          </w:tcPr>
          <w:p w:rsidR="00F92819" w:rsidRDefault="00F92819">
            <w:pPr>
              <w:spacing w:before="40" w:after="40" w:line="200" w:lineRule="atLeast"/>
              <w:rPr>
                <w:sz w:val="18"/>
                <w:szCs w:val="18"/>
              </w:rPr>
            </w:pPr>
            <w:r>
              <w:rPr>
                <w:i/>
                <w:sz w:val="18"/>
                <w:szCs w:val="18"/>
                <w:lang w:val="es-ES_tradnl"/>
              </w:rPr>
              <w:t>Mujeres</w:t>
            </w:r>
          </w:p>
        </w:tc>
        <w:tc>
          <w:tcPr>
            <w:tcW w:w="566" w:type="dxa"/>
            <w:vAlign w:val="bottom"/>
          </w:tcPr>
          <w:p w:rsidR="00F92819" w:rsidRDefault="00F92819">
            <w:pPr>
              <w:spacing w:before="40" w:after="40" w:line="200" w:lineRule="atLeast"/>
              <w:jc w:val="right"/>
              <w:rPr>
                <w:i/>
                <w:sz w:val="18"/>
                <w:szCs w:val="18"/>
              </w:rPr>
            </w:pPr>
          </w:p>
        </w:tc>
        <w:tc>
          <w:tcPr>
            <w:tcW w:w="672" w:type="dxa"/>
            <w:vAlign w:val="bottom"/>
          </w:tcPr>
          <w:p w:rsidR="00F92819" w:rsidRDefault="00F92819">
            <w:pPr>
              <w:spacing w:before="40" w:after="40" w:line="200" w:lineRule="atLeast"/>
              <w:jc w:val="right"/>
              <w:rPr>
                <w:i/>
                <w:sz w:val="18"/>
                <w:szCs w:val="18"/>
              </w:rPr>
            </w:pPr>
          </w:p>
        </w:tc>
        <w:tc>
          <w:tcPr>
            <w:tcW w:w="672" w:type="dxa"/>
            <w:vAlign w:val="bottom"/>
          </w:tcPr>
          <w:p w:rsidR="00F92819" w:rsidRDefault="00F92819">
            <w:pPr>
              <w:spacing w:before="40" w:after="40" w:line="200" w:lineRule="atLeast"/>
              <w:jc w:val="right"/>
              <w:rPr>
                <w:i/>
                <w:sz w:val="18"/>
                <w:szCs w:val="18"/>
              </w:rPr>
            </w:pPr>
          </w:p>
        </w:tc>
        <w:tc>
          <w:tcPr>
            <w:tcW w:w="673" w:type="dxa"/>
            <w:vAlign w:val="bottom"/>
          </w:tcPr>
          <w:p w:rsidR="00F92819" w:rsidRDefault="00F92819">
            <w:pPr>
              <w:spacing w:before="40" w:after="40" w:line="200" w:lineRule="atLeast"/>
              <w:jc w:val="right"/>
              <w:rPr>
                <w:i/>
                <w:sz w:val="18"/>
                <w:szCs w:val="18"/>
              </w:rPr>
            </w:pPr>
          </w:p>
        </w:tc>
        <w:tc>
          <w:tcPr>
            <w:tcW w:w="673" w:type="dxa"/>
            <w:vAlign w:val="bottom"/>
          </w:tcPr>
          <w:p w:rsidR="00F92819" w:rsidRDefault="00F92819">
            <w:pPr>
              <w:spacing w:before="40" w:after="40" w:line="200" w:lineRule="atLeast"/>
              <w:jc w:val="right"/>
              <w:rPr>
                <w:i/>
                <w:sz w:val="18"/>
                <w:szCs w:val="18"/>
              </w:rPr>
            </w:pPr>
          </w:p>
        </w:tc>
        <w:tc>
          <w:tcPr>
            <w:tcW w:w="673" w:type="dxa"/>
            <w:vAlign w:val="bottom"/>
          </w:tcPr>
          <w:p w:rsidR="00F92819" w:rsidRDefault="00F92819">
            <w:pPr>
              <w:spacing w:before="40" w:after="40" w:line="200" w:lineRule="atLeast"/>
              <w:jc w:val="right"/>
              <w:rPr>
                <w:i/>
                <w:sz w:val="18"/>
                <w:szCs w:val="18"/>
              </w:rPr>
            </w:pPr>
          </w:p>
        </w:tc>
        <w:tc>
          <w:tcPr>
            <w:tcW w:w="673" w:type="dxa"/>
            <w:vAlign w:val="bottom"/>
          </w:tcPr>
          <w:p w:rsidR="00F92819" w:rsidRDefault="00F92819">
            <w:pPr>
              <w:spacing w:before="40" w:after="40" w:line="200" w:lineRule="atLeast"/>
              <w:jc w:val="right"/>
              <w:rPr>
                <w:i/>
                <w:sz w:val="18"/>
                <w:szCs w:val="18"/>
              </w:rPr>
            </w:pPr>
          </w:p>
        </w:tc>
        <w:tc>
          <w:tcPr>
            <w:tcW w:w="673" w:type="dxa"/>
            <w:vAlign w:val="bottom"/>
          </w:tcPr>
          <w:p w:rsidR="00F92819" w:rsidRDefault="00F92819">
            <w:pPr>
              <w:spacing w:before="40" w:after="40" w:line="200" w:lineRule="atLeast"/>
              <w:jc w:val="right"/>
              <w:rPr>
                <w:i/>
                <w:sz w:val="18"/>
                <w:szCs w:val="18"/>
              </w:rPr>
            </w:pPr>
          </w:p>
        </w:tc>
        <w:tc>
          <w:tcPr>
            <w:tcW w:w="729" w:type="dxa"/>
            <w:vAlign w:val="bottom"/>
          </w:tcPr>
          <w:p w:rsidR="00F92819" w:rsidRDefault="00F92819">
            <w:pPr>
              <w:spacing w:before="40" w:after="40" w:line="200" w:lineRule="atLeast"/>
              <w:jc w:val="right"/>
              <w:rPr>
                <w:i/>
                <w:sz w:val="18"/>
                <w:szCs w:val="18"/>
              </w:rPr>
            </w:pP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Miles</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38,9</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124,4</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163,3</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41,5</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123,7</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168,6</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43,9</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124,8</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171,2</w:t>
            </w:r>
          </w:p>
        </w:tc>
      </w:tr>
      <w:tr w:rsidR="00F92819">
        <w:tc>
          <w:tcPr>
            <w:tcW w:w="1266" w:type="dxa"/>
            <w:gridSpan w:val="2"/>
          </w:tcPr>
          <w:p w:rsidR="00F92819" w:rsidRDefault="0054081D">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Porcentaje</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100</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lang w:bidi="he-IL"/>
              </w:rPr>
            </w:pPr>
            <w:r>
              <w:rPr>
                <w:sz w:val="18"/>
                <w:szCs w:val="18"/>
                <w:rtl/>
              </w:rPr>
              <w:t>100</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100</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100</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100</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100</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100</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100</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100</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tl/>
              </w:rPr>
            </w:pPr>
            <w:r>
              <w:rPr>
                <w:sz w:val="18"/>
                <w:szCs w:val="18"/>
                <w:lang w:val="es-ES_tradnl"/>
              </w:rPr>
              <w:t>Trabajan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lang w:bidi="he-IL"/>
              </w:rPr>
            </w:pPr>
            <w:r>
              <w:rPr>
                <w:sz w:val="18"/>
                <w:szCs w:val="18"/>
                <w:rtl/>
                <w:lang w:bidi="he-IL"/>
              </w:rPr>
              <w:t>-</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8,4</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6,7</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lang w:bidi="he-IL"/>
              </w:rPr>
              <w:t>-</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7,1</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5,5</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8</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6,1</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De las cuales:</w:t>
            </w:r>
            <w:r>
              <w:rPr>
                <w:sz w:val="18"/>
                <w:szCs w:val="18"/>
              </w:rPr>
              <w:t xml:space="preserve"> </w:t>
            </w:r>
            <w:r>
              <w:rPr>
                <w:sz w:val="18"/>
                <w:szCs w:val="18"/>
                <w:lang w:val="es-ES_tradnl"/>
              </w:rPr>
              <w:t>Estudian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lang w:bidi="he-IL"/>
              </w:rPr>
            </w:pPr>
            <w:r>
              <w:rPr>
                <w:sz w:val="18"/>
                <w:szCs w:val="18"/>
                <w:rtl/>
                <w:lang w:bidi="he-IL"/>
              </w:rPr>
              <w:t>-</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7,2</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5,8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lang w:bidi="he-IL"/>
              </w:rPr>
              <w:t>-</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6,2</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4,7</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6,8</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5,1</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No estudian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0,3</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1,2</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0,9</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lang w:bidi="he-IL"/>
              </w:rPr>
              <w:t>-</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Pr>
            </w:pPr>
            <w:r>
              <w:rPr>
                <w:sz w:val="18"/>
                <w:szCs w:val="18"/>
                <w:rtl/>
              </w:rPr>
              <w:t>1</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0,8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1,2</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1</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No trabajan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99</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91,6</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93,3</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99,5</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92,8</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94,4</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99,4</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92</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93,9</w:t>
            </w:r>
          </w:p>
        </w:tc>
      </w:tr>
      <w:tr w:rsidR="00F92819">
        <w:tc>
          <w:tcPr>
            <w:tcW w:w="1266" w:type="dxa"/>
            <w:gridSpan w:val="2"/>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De las cuales:</w:t>
            </w:r>
            <w:r>
              <w:rPr>
                <w:sz w:val="18"/>
                <w:szCs w:val="18"/>
              </w:rPr>
              <w:t xml:space="preserve"> </w:t>
            </w:r>
            <w:r>
              <w:rPr>
                <w:sz w:val="18"/>
                <w:szCs w:val="18"/>
                <w:lang w:val="es-ES_tradnl"/>
              </w:rPr>
              <w:t>Estudian</w:t>
            </w:r>
          </w:p>
        </w:tc>
        <w:tc>
          <w:tcPr>
            <w:tcW w:w="5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86,2</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86,4</w:t>
            </w:r>
          </w:p>
        </w:tc>
        <w:tc>
          <w:tcPr>
            <w:tcW w:w="672"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86,4</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85,5</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87,1</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86,7</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87,3</w:t>
            </w:r>
          </w:p>
        </w:tc>
        <w:tc>
          <w:tcPr>
            <w:tcW w:w="673"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86,6</w:t>
            </w:r>
          </w:p>
        </w:tc>
        <w:tc>
          <w:tcPr>
            <w:tcW w:w="729"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86,8</w:t>
            </w:r>
          </w:p>
        </w:tc>
      </w:tr>
      <w:tr w:rsidR="00F92819">
        <w:tc>
          <w:tcPr>
            <w:tcW w:w="1266" w:type="dxa"/>
            <w:gridSpan w:val="2"/>
            <w:tcBorders>
              <w:bottom w:val="single" w:sz="12" w:space="0" w:color="auto"/>
            </w:tcBorders>
          </w:tcPr>
          <w:p w:rsidR="00F92819" w:rsidRDefault="00F92819">
            <w:pPr>
              <w:tabs>
                <w:tab w:val="right" w:pos="850"/>
                <w:tab w:val="left" w:pos="1134"/>
                <w:tab w:val="left" w:pos="1559"/>
                <w:tab w:val="left" w:pos="1984"/>
                <w:tab w:val="left" w:leader="dot" w:pos="8929"/>
                <w:tab w:val="right" w:pos="9638"/>
              </w:tabs>
              <w:spacing w:before="40" w:after="40" w:line="200" w:lineRule="atLeast"/>
              <w:rPr>
                <w:sz w:val="18"/>
                <w:szCs w:val="18"/>
              </w:rPr>
            </w:pPr>
            <w:r>
              <w:rPr>
                <w:sz w:val="18"/>
                <w:szCs w:val="18"/>
                <w:lang w:val="es-ES_tradnl"/>
              </w:rPr>
              <w:t>No estudian</w:t>
            </w:r>
          </w:p>
        </w:tc>
        <w:tc>
          <w:tcPr>
            <w:tcW w:w="566"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12,8</w:t>
            </w:r>
          </w:p>
        </w:tc>
        <w:tc>
          <w:tcPr>
            <w:tcW w:w="672"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5,1</w:t>
            </w:r>
          </w:p>
        </w:tc>
        <w:tc>
          <w:tcPr>
            <w:tcW w:w="672"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7</w:t>
            </w:r>
          </w:p>
        </w:tc>
        <w:tc>
          <w:tcPr>
            <w:tcW w:w="673"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14,0</w:t>
            </w:r>
          </w:p>
        </w:tc>
        <w:tc>
          <w:tcPr>
            <w:tcW w:w="673"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tl/>
              </w:rPr>
              <w:t>5,7</w:t>
            </w:r>
          </w:p>
        </w:tc>
        <w:tc>
          <w:tcPr>
            <w:tcW w:w="673"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Cs/>
                <w:sz w:val="18"/>
                <w:szCs w:val="18"/>
                <w:rtl/>
              </w:rPr>
            </w:pPr>
            <w:r>
              <w:rPr>
                <w:bCs/>
                <w:sz w:val="18"/>
                <w:szCs w:val="18"/>
                <w:rtl/>
              </w:rPr>
              <w:t>7,8</w:t>
            </w:r>
          </w:p>
        </w:tc>
        <w:tc>
          <w:tcPr>
            <w:tcW w:w="673"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12,1</w:t>
            </w:r>
          </w:p>
        </w:tc>
        <w:tc>
          <w:tcPr>
            <w:tcW w:w="673"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18"/>
                <w:rtl/>
              </w:rPr>
            </w:pPr>
            <w:r>
              <w:rPr>
                <w:sz w:val="18"/>
                <w:szCs w:val="18"/>
              </w:rPr>
              <w:t>5,4</w:t>
            </w:r>
          </w:p>
        </w:tc>
        <w:tc>
          <w:tcPr>
            <w:tcW w:w="729"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b/>
                <w:sz w:val="18"/>
                <w:szCs w:val="18"/>
                <w:rtl/>
              </w:rPr>
            </w:pPr>
            <w:r>
              <w:rPr>
                <w:b/>
                <w:sz w:val="18"/>
                <w:szCs w:val="18"/>
              </w:rPr>
              <w:t>7,1</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2002, 2007 y 2008.</w:t>
      </w:r>
    </w:p>
    <w:p w:rsidR="00F92819" w:rsidRDefault="00F92819">
      <w:pPr>
        <w:pStyle w:val="Heading1"/>
        <w:spacing w:before="240"/>
        <w:rPr>
          <w:szCs w:val="24"/>
        </w:rPr>
      </w:pPr>
      <w:r>
        <w:rPr>
          <w:szCs w:val="24"/>
          <w:lang w:val="es-ES_tradnl"/>
        </w:rPr>
        <w:t>Cuadro 19</w:t>
      </w:r>
    </w:p>
    <w:p w:rsidR="00F92819" w:rsidRDefault="00F92819">
      <w:pPr>
        <w:pStyle w:val="SingleTxtG"/>
        <w:keepNext/>
        <w:jc w:val="left"/>
        <w:rPr>
          <w:b/>
          <w:szCs w:val="24"/>
        </w:rPr>
      </w:pPr>
      <w:r>
        <w:rPr>
          <w:b/>
          <w:szCs w:val="24"/>
          <w:lang w:val="es-ES_tradnl"/>
        </w:rPr>
        <w:t>Salario mínimo para jóvenes (de conformidad con el reglamento sobre salario mínimo (jóvenes y aprendices que trabajan) de 5747/1987)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666"/>
        <w:gridCol w:w="1600"/>
        <w:gridCol w:w="2200"/>
        <w:gridCol w:w="1904"/>
      </w:tblGrid>
      <w:tr w:rsidR="00F92819">
        <w:trPr>
          <w:tblHeader/>
        </w:trPr>
        <w:tc>
          <w:tcPr>
            <w:tcW w:w="1666" w:type="dxa"/>
            <w:tcBorders>
              <w:top w:val="single" w:sz="4" w:space="0" w:color="auto"/>
              <w:bottom w:val="single" w:sz="12" w:space="0" w:color="auto"/>
            </w:tcBorders>
            <w:vAlign w:val="bottom"/>
          </w:tcPr>
          <w:p w:rsidR="00F92819" w:rsidRDefault="00F92819">
            <w:pPr>
              <w:keepNext/>
              <w:spacing w:before="80" w:after="80" w:line="200" w:lineRule="exact"/>
              <w:rPr>
                <w:szCs w:val="24"/>
              </w:rPr>
            </w:pPr>
            <w:r>
              <w:rPr>
                <w:i/>
                <w:sz w:val="16"/>
                <w:szCs w:val="24"/>
                <w:lang w:val="es-ES_tradnl"/>
              </w:rPr>
              <w:t>Edad</w:t>
            </w:r>
          </w:p>
        </w:tc>
        <w:tc>
          <w:tcPr>
            <w:tcW w:w="1600" w:type="dxa"/>
            <w:tcBorders>
              <w:top w:val="single" w:sz="4" w:space="0" w:color="auto"/>
              <w:bottom w:val="single" w:sz="12" w:space="0" w:color="auto"/>
            </w:tcBorders>
            <w:vAlign w:val="bottom"/>
          </w:tcPr>
          <w:p w:rsidR="00F92819" w:rsidRDefault="0054081D">
            <w:pPr>
              <w:keepNext/>
              <w:spacing w:before="80" w:after="80" w:line="200" w:lineRule="exact"/>
              <w:jc w:val="right"/>
              <w:rPr>
                <w:szCs w:val="24"/>
              </w:rPr>
            </w:pPr>
            <w:r>
              <w:rPr>
                <w:i/>
                <w:sz w:val="16"/>
                <w:szCs w:val="24"/>
                <w:lang w:val="es-ES_tradnl"/>
              </w:rPr>
              <w:t xml:space="preserve">Porcentaje </w:t>
            </w:r>
            <w:r w:rsidR="00F92819">
              <w:rPr>
                <w:i/>
                <w:sz w:val="16"/>
                <w:szCs w:val="24"/>
                <w:lang w:val="es-ES_tradnl"/>
              </w:rPr>
              <w:t>del salario mínimo de un adulto</w:t>
            </w:r>
          </w:p>
        </w:tc>
        <w:tc>
          <w:tcPr>
            <w:tcW w:w="2200" w:type="dxa"/>
            <w:tcBorders>
              <w:top w:val="single" w:sz="4" w:space="0" w:color="auto"/>
              <w:bottom w:val="single" w:sz="12" w:space="0" w:color="auto"/>
            </w:tcBorders>
            <w:vAlign w:val="bottom"/>
          </w:tcPr>
          <w:p w:rsidR="00F92819" w:rsidRDefault="00F92819">
            <w:pPr>
              <w:keepNext/>
              <w:spacing w:before="80" w:after="80" w:line="200" w:lineRule="exact"/>
              <w:jc w:val="right"/>
              <w:rPr>
                <w:szCs w:val="24"/>
              </w:rPr>
            </w:pPr>
            <w:r>
              <w:rPr>
                <w:i/>
                <w:sz w:val="16"/>
                <w:szCs w:val="24"/>
                <w:lang w:val="es-ES_tradnl"/>
              </w:rPr>
              <w:t>Salario mínimo por mes</w:t>
            </w:r>
          </w:p>
        </w:tc>
        <w:tc>
          <w:tcPr>
            <w:tcW w:w="1904" w:type="dxa"/>
            <w:tcBorders>
              <w:top w:val="single" w:sz="4" w:space="0" w:color="auto"/>
              <w:bottom w:val="single" w:sz="12" w:space="0" w:color="auto"/>
            </w:tcBorders>
            <w:vAlign w:val="bottom"/>
          </w:tcPr>
          <w:p w:rsidR="00F92819" w:rsidRDefault="00F92819">
            <w:pPr>
              <w:keepNext/>
              <w:spacing w:before="80" w:after="80" w:line="200" w:lineRule="exact"/>
              <w:jc w:val="right"/>
              <w:rPr>
                <w:szCs w:val="24"/>
              </w:rPr>
            </w:pPr>
            <w:r>
              <w:rPr>
                <w:i/>
                <w:sz w:val="16"/>
                <w:szCs w:val="24"/>
                <w:lang w:val="es-ES_tradnl"/>
              </w:rPr>
              <w:t>Salario mínimo por hora</w:t>
            </w:r>
          </w:p>
        </w:tc>
      </w:tr>
      <w:tr w:rsidR="00F92819">
        <w:tc>
          <w:tcPr>
            <w:tcW w:w="1666" w:type="dxa"/>
            <w:tcBorders>
              <w:top w:val="single" w:sz="12" w:space="0" w:color="auto"/>
            </w:tcBorders>
            <w:vAlign w:val="center"/>
          </w:tcPr>
          <w:p w:rsidR="00F92819" w:rsidRDefault="00F92819">
            <w:pPr>
              <w:keepNext/>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Menos de 16 años</w:t>
            </w:r>
          </w:p>
        </w:tc>
        <w:tc>
          <w:tcPr>
            <w:tcW w:w="1600" w:type="dxa"/>
            <w:tcBorders>
              <w:top w:val="single" w:sz="12" w:space="0" w:color="auto"/>
            </w:tcBorders>
            <w:vAlign w:val="center"/>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70</w:t>
            </w:r>
          </w:p>
        </w:tc>
        <w:tc>
          <w:tcPr>
            <w:tcW w:w="2200" w:type="dxa"/>
            <w:tcBorders>
              <w:top w:val="single" w:sz="12" w:space="0" w:color="auto"/>
            </w:tcBorders>
            <w:vAlign w:val="center"/>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Cs w:val="24"/>
              </w:rPr>
            </w:pPr>
            <w:r>
              <w:rPr>
                <w:sz w:val="18"/>
                <w:szCs w:val="24"/>
                <w:lang w:val="es-ES_tradnl"/>
              </w:rPr>
              <w:t>2597,13 nuevos sheqalim</w:t>
            </w:r>
          </w:p>
        </w:tc>
        <w:tc>
          <w:tcPr>
            <w:tcW w:w="1904" w:type="dxa"/>
            <w:tcBorders>
              <w:top w:val="single" w:sz="12" w:space="0" w:color="auto"/>
            </w:tcBorders>
            <w:vAlign w:val="center"/>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Cs w:val="24"/>
              </w:rPr>
            </w:pPr>
            <w:r>
              <w:rPr>
                <w:sz w:val="18"/>
                <w:szCs w:val="24"/>
                <w:lang w:val="es-ES_tradnl"/>
              </w:rPr>
              <w:t>15,01 nuevos sheqalim</w:t>
            </w:r>
          </w:p>
        </w:tc>
      </w:tr>
      <w:tr w:rsidR="00F92819">
        <w:tc>
          <w:tcPr>
            <w:tcW w:w="1666" w:type="dxa"/>
            <w:vAlign w:val="center"/>
          </w:tcPr>
          <w:p w:rsidR="00F92819" w:rsidRDefault="00F92819">
            <w:pPr>
              <w:keepNext/>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Menos de 17 años</w:t>
            </w:r>
          </w:p>
        </w:tc>
        <w:tc>
          <w:tcPr>
            <w:tcW w:w="1600" w:type="dxa"/>
            <w:vAlign w:val="center"/>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75</w:t>
            </w:r>
          </w:p>
        </w:tc>
        <w:tc>
          <w:tcPr>
            <w:tcW w:w="2200" w:type="dxa"/>
            <w:vAlign w:val="center"/>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Cs w:val="24"/>
              </w:rPr>
            </w:pPr>
            <w:r>
              <w:rPr>
                <w:sz w:val="18"/>
                <w:szCs w:val="24"/>
                <w:lang w:val="es-ES_tradnl"/>
              </w:rPr>
              <w:t>2782,64 nuevos sheqalim</w:t>
            </w:r>
          </w:p>
        </w:tc>
        <w:tc>
          <w:tcPr>
            <w:tcW w:w="1904" w:type="dxa"/>
            <w:vAlign w:val="center"/>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Cs w:val="24"/>
              </w:rPr>
            </w:pPr>
            <w:r>
              <w:rPr>
                <w:sz w:val="18"/>
                <w:szCs w:val="24"/>
                <w:lang w:val="es-ES_tradnl"/>
              </w:rPr>
              <w:t>16,08 nuevos sheqalim</w:t>
            </w:r>
          </w:p>
        </w:tc>
      </w:tr>
      <w:tr w:rsidR="00F92819">
        <w:tc>
          <w:tcPr>
            <w:tcW w:w="1666" w:type="dxa"/>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Menos de 18 años</w:t>
            </w:r>
          </w:p>
        </w:tc>
        <w:tc>
          <w:tcPr>
            <w:tcW w:w="1600" w:type="dxa"/>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83</w:t>
            </w:r>
          </w:p>
        </w:tc>
        <w:tc>
          <w:tcPr>
            <w:tcW w:w="2200" w:type="dxa"/>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Cs w:val="24"/>
              </w:rPr>
            </w:pPr>
            <w:r>
              <w:rPr>
                <w:sz w:val="18"/>
                <w:szCs w:val="24"/>
                <w:lang w:val="es-ES_tradnl"/>
              </w:rPr>
              <w:t>3079,45 nuevos sheqalim</w:t>
            </w:r>
          </w:p>
        </w:tc>
        <w:tc>
          <w:tcPr>
            <w:tcW w:w="1904" w:type="dxa"/>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Cs w:val="24"/>
              </w:rPr>
            </w:pPr>
            <w:r>
              <w:rPr>
                <w:sz w:val="18"/>
                <w:szCs w:val="24"/>
                <w:lang w:val="es-ES_tradnl"/>
              </w:rPr>
              <w:t>17,80 nuevos sheqalim</w:t>
            </w:r>
          </w:p>
        </w:tc>
      </w:tr>
      <w:tr w:rsidR="00F92819">
        <w:tc>
          <w:tcPr>
            <w:tcW w:w="1666" w:type="dxa"/>
            <w:tcBorders>
              <w:bottom w:val="single" w:sz="12" w:space="0" w:color="auto"/>
            </w:tcBorders>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Aprendiz</w:t>
            </w:r>
          </w:p>
        </w:tc>
        <w:tc>
          <w:tcPr>
            <w:tcW w:w="1600" w:type="dxa"/>
            <w:tcBorders>
              <w:bottom w:val="single" w:sz="12" w:space="0" w:color="auto"/>
            </w:tcBorders>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60</w:t>
            </w:r>
          </w:p>
        </w:tc>
        <w:tc>
          <w:tcPr>
            <w:tcW w:w="2200" w:type="dxa"/>
            <w:tcBorders>
              <w:bottom w:val="single" w:sz="12" w:space="0" w:color="auto"/>
            </w:tcBorders>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Cs w:val="24"/>
              </w:rPr>
            </w:pPr>
            <w:r>
              <w:rPr>
                <w:sz w:val="18"/>
                <w:szCs w:val="24"/>
                <w:lang w:val="es-ES_tradnl"/>
              </w:rPr>
              <w:t>2226,11 nuevos sheqalim</w:t>
            </w:r>
          </w:p>
        </w:tc>
        <w:tc>
          <w:tcPr>
            <w:tcW w:w="1904" w:type="dxa"/>
            <w:tcBorders>
              <w:bottom w:val="single" w:sz="12" w:space="0" w:color="auto"/>
            </w:tcBorders>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Cs w:val="24"/>
              </w:rPr>
            </w:pPr>
            <w:r>
              <w:rPr>
                <w:sz w:val="18"/>
                <w:szCs w:val="24"/>
                <w:lang w:val="es-ES_tradnl"/>
              </w:rPr>
              <w:t>12,87 nuevos sheqalim</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Ministerio de Industria, Comercio y Trabajo, abril de 2007.</w:t>
      </w:r>
    </w:p>
    <w:p w:rsidR="00F92819" w:rsidRDefault="00F92819">
      <w:pPr>
        <w:pStyle w:val="H23G"/>
        <w:rPr>
          <w:szCs w:val="24"/>
        </w:rPr>
      </w:pPr>
      <w:r>
        <w:rPr>
          <w:szCs w:val="24"/>
        </w:rPr>
        <w:tab/>
      </w:r>
      <w:r>
        <w:rPr>
          <w:szCs w:val="24"/>
        </w:rPr>
        <w:tab/>
      </w:r>
      <w:r>
        <w:rPr>
          <w:szCs w:val="24"/>
          <w:lang w:val="es-ES_tradnl"/>
        </w:rPr>
        <w:t>Reunificación familiar</w:t>
      </w:r>
    </w:p>
    <w:p w:rsidR="00F92819" w:rsidRDefault="00F92819">
      <w:pPr>
        <w:pStyle w:val="SingleTxtG"/>
        <w:rPr>
          <w:szCs w:val="24"/>
        </w:rPr>
      </w:pPr>
      <w:r>
        <w:rPr>
          <w:szCs w:val="24"/>
        </w:rPr>
        <w:t>392.</w:t>
      </w:r>
      <w:r>
        <w:rPr>
          <w:szCs w:val="24"/>
        </w:rPr>
        <w:tab/>
      </w:r>
      <w:r>
        <w:rPr>
          <w:szCs w:val="24"/>
          <w:lang w:val="es-ES_tradnl"/>
        </w:rPr>
        <w:t xml:space="preserve">En sus observaciones finales sobre el último informe periódico de </w:t>
      </w:r>
      <w:smartTag w:uri="urn:schemas-microsoft-com:office:smarttags" w:element="country-region">
        <w:r>
          <w:rPr>
            <w:szCs w:val="24"/>
            <w:lang w:val="es-ES_tradnl"/>
          </w:rPr>
          <w:t>Israel</w:t>
        </w:r>
      </w:smartTag>
      <w:r>
        <w:rPr>
          <w:szCs w:val="24"/>
          <w:lang w:val="es-ES_tradnl"/>
        </w:rPr>
        <w:t xml:space="preserve">, el Comité expresó su preocupación acerca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proceso de reunificación familiar para los cónyuges extranjeros.</w:t>
      </w:r>
    </w:p>
    <w:p w:rsidR="00F92819" w:rsidRDefault="00F92819">
      <w:pPr>
        <w:pStyle w:val="SingleTxtG"/>
        <w:rPr>
          <w:szCs w:val="24"/>
        </w:rPr>
      </w:pPr>
      <w:r>
        <w:rPr>
          <w:szCs w:val="24"/>
        </w:rPr>
        <w:t>393.</w:t>
      </w:r>
      <w:r>
        <w:rPr>
          <w:szCs w:val="24"/>
        </w:rPr>
        <w:tab/>
      </w:r>
      <w:r>
        <w:rPr>
          <w:szCs w:val="24"/>
          <w:lang w:val="es-ES_tradnl"/>
        </w:rPr>
        <w:t xml:space="preserve">Desde el estallido del conflicto armado y las hostilidades entre Israel y los palestinos hacia finales del año 2000, que llevó entre otras cosas a la comisión de docenas de atentados suicidas dentro de Israel, se ha intensificado la asistencia prestada a organizaciones terroristas por palestinos de </w:t>
      </w:r>
      <w:smartTag w:uri="urn:schemas-microsoft-com:office:smarttags" w:element="PersonName">
        <w:smartTagPr>
          <w:attr w:name="ProductID" w:val="la Ribera Occidental"/>
        </w:smartTagPr>
        <w:r>
          <w:rPr>
            <w:szCs w:val="24"/>
            <w:lang w:val="es-ES_tradnl"/>
          </w:rPr>
          <w:t>la Ribera Occidental</w:t>
        </w:r>
      </w:smartTag>
      <w:r>
        <w:rPr>
          <w:szCs w:val="24"/>
          <w:lang w:val="es-ES_tradnl"/>
        </w:rPr>
        <w:t xml:space="preserve"> y la Franja de Gaza.</w:t>
      </w:r>
      <w:r>
        <w:rPr>
          <w:szCs w:val="24"/>
        </w:rPr>
        <w:t xml:space="preserve"> </w:t>
      </w:r>
      <w:r>
        <w:rPr>
          <w:szCs w:val="24"/>
          <w:lang w:val="es-ES_tradnl"/>
        </w:rPr>
        <w:t xml:space="preserve">Esos individuos tienen documentos de identidad israelíes en virtud de procedimientos de unificación familiar con ciudadanos o residentes israelíes, que les permiten circular libremente entre </w:t>
      </w:r>
      <w:smartTag w:uri="urn:schemas-microsoft-com:office:smarttags" w:element="PersonName">
        <w:smartTagPr>
          <w:attr w:name="ProductID" w:val="la Ribera Occidental"/>
        </w:smartTagPr>
        <w:r>
          <w:rPr>
            <w:szCs w:val="24"/>
            <w:lang w:val="es-ES_tradnl"/>
          </w:rPr>
          <w:t>la Ribera Occidental</w:t>
        </w:r>
      </w:smartTag>
      <w:r>
        <w:rPr>
          <w:szCs w:val="24"/>
          <w:lang w:val="es-ES_tradnl"/>
        </w:rPr>
        <w:t xml:space="preserve"> y la Franja de Gaza e Israel.</w:t>
      </w:r>
    </w:p>
    <w:p w:rsidR="00F92819" w:rsidRDefault="00F92819">
      <w:pPr>
        <w:pStyle w:val="SingleTxtG"/>
        <w:rPr>
          <w:szCs w:val="24"/>
        </w:rPr>
      </w:pPr>
      <w:r>
        <w:rPr>
          <w:szCs w:val="24"/>
        </w:rPr>
        <w:t>394.</w:t>
      </w:r>
      <w:r>
        <w:rPr>
          <w:szCs w:val="24"/>
        </w:rPr>
        <w:tab/>
      </w:r>
      <w:r>
        <w:rPr>
          <w:szCs w:val="24"/>
          <w:lang w:val="es-ES_tradnl"/>
        </w:rPr>
        <w:t>Con el fin de evitar el peligro potencial que representan los antiguos residentes de estas zonas durante el actual conflicto armado, el Gobierno decidió suspender temporalmente en mayo de 2002 la residencia legal en Israel que se les concedía en virtud del proceso de unificación familiar.</w:t>
      </w:r>
      <w:r>
        <w:rPr>
          <w:szCs w:val="24"/>
        </w:rPr>
        <w:t xml:space="preserve"> </w:t>
      </w:r>
      <w:r>
        <w:rPr>
          <w:szCs w:val="24"/>
          <w:lang w:val="es-ES_tradnl"/>
        </w:rPr>
        <w:t>La decisión se aprobó a raíz de la terrible oleada de atentados terroristas de marzo de 2002 en que resultaron muertos 135 israelíes y otros 721 heridos.</w:t>
      </w:r>
    </w:p>
    <w:p w:rsidR="00F92819" w:rsidRDefault="00F92819">
      <w:pPr>
        <w:pStyle w:val="SingleTxtG"/>
        <w:rPr>
          <w:szCs w:val="24"/>
        </w:rPr>
      </w:pPr>
      <w:r>
        <w:rPr>
          <w:szCs w:val="24"/>
        </w:rPr>
        <w:t>395.</w:t>
      </w:r>
      <w:r>
        <w:rPr>
          <w:szCs w:val="24"/>
        </w:rPr>
        <w:tab/>
      </w:r>
      <w:r>
        <w:rPr>
          <w:szCs w:val="24"/>
          <w:lang w:val="es-ES_tradnl"/>
        </w:rPr>
        <w:t>Además, entre septiembre de 2000 y finales de 2006, 38 de los 172 atentados terroristas cometidos en Israel fueron perpetrados por esos individuos.</w:t>
      </w:r>
      <w:r>
        <w:rPr>
          <w:szCs w:val="24"/>
        </w:rPr>
        <w:t xml:space="preserve"> </w:t>
      </w:r>
      <w:r>
        <w:rPr>
          <w:szCs w:val="24"/>
          <w:lang w:val="es-ES_tradnl"/>
        </w:rPr>
        <w:t>Las personas heridas en estos 38 atentados constituyen el 86% del total de heridos por atentados terroristas.</w:t>
      </w:r>
      <w:r>
        <w:rPr>
          <w:szCs w:val="24"/>
        </w:rPr>
        <w:t xml:space="preserve"> </w:t>
      </w:r>
      <w:r>
        <w:rPr>
          <w:szCs w:val="24"/>
          <w:lang w:val="es-ES_tradnl"/>
        </w:rPr>
        <w:t>De hecho, en 2007 una mujer de 20 años, cuya madre era árabe israelí de Kafar Qasem y cuyo padre era palestino, fue capturada sólo 12 minutos antes de que se inmolara en un restaurante de Israel utilizando una bomba guardada la noche anterior en la casa de un pariente en Kafar Qasem.</w:t>
      </w:r>
    </w:p>
    <w:p w:rsidR="00F92819" w:rsidRDefault="00F92819">
      <w:pPr>
        <w:pStyle w:val="SingleTxtG"/>
        <w:rPr>
          <w:szCs w:val="24"/>
        </w:rPr>
      </w:pPr>
      <w:r>
        <w:rPr>
          <w:szCs w:val="24"/>
        </w:rPr>
        <w:t>396.</w:t>
      </w:r>
      <w:r>
        <w:rPr>
          <w:szCs w:val="24"/>
        </w:rPr>
        <w:tab/>
      </w:r>
      <w:r>
        <w:rPr>
          <w:szCs w:val="24"/>
          <w:lang w:val="es-ES_tradnl"/>
        </w:rPr>
        <w:t xml:space="preserve">Esta situación es el resultado de las verdaderas dificultades de obtener información sobre los residentes en </w:t>
      </w:r>
      <w:smartTag w:uri="urn:schemas-microsoft-com:office:smarttags" w:element="PersonName">
        <w:smartTagPr>
          <w:attr w:name="ProductID" w:val="la Ribera Occidental"/>
        </w:smartTagPr>
        <w:r>
          <w:rPr>
            <w:szCs w:val="24"/>
            <w:lang w:val="es-ES_tradnl"/>
          </w:rPr>
          <w:t>la Ribera Occidental</w:t>
        </w:r>
      </w:smartTag>
      <w:r>
        <w:rPr>
          <w:szCs w:val="24"/>
          <w:lang w:val="es-ES_tradnl"/>
        </w:rPr>
        <w:t xml:space="preserve"> a raíz del traspaso de poderes y responsabilidades de Israel y el fin de su presencia diaria en esta zona, de conformidad con el Acuerdo provisional israelo-palestino de 28 de septiembre de 1995.</w:t>
      </w:r>
    </w:p>
    <w:p w:rsidR="00F92819" w:rsidRDefault="00F92819">
      <w:pPr>
        <w:pStyle w:val="SingleTxtG"/>
        <w:rPr>
          <w:szCs w:val="24"/>
        </w:rPr>
      </w:pPr>
      <w:r>
        <w:rPr>
          <w:szCs w:val="24"/>
        </w:rPr>
        <w:t>397.</w:t>
      </w:r>
      <w:r>
        <w:rPr>
          <w:szCs w:val="24"/>
        </w:rPr>
        <w:tab/>
      </w:r>
      <w:r>
        <w:rPr>
          <w:szCs w:val="24"/>
          <w:lang w:val="es-ES_tradnl"/>
        </w:rPr>
        <w:t>Israel, como cualquier otro Estado, tiene derecho a controlar la entrada en su territorio y más aún en época de conflicto armado, cuando las personas que quieren entrar pueden estar potencialmente implicadas en actos de violencia y terrorismo contra sus ciudadanos.</w:t>
      </w:r>
    </w:p>
    <w:p w:rsidR="00F92819" w:rsidRDefault="00F92819">
      <w:pPr>
        <w:pStyle w:val="SingleTxtG"/>
        <w:rPr>
          <w:szCs w:val="24"/>
        </w:rPr>
      </w:pPr>
      <w:r>
        <w:rPr>
          <w:szCs w:val="24"/>
        </w:rPr>
        <w:t>398.</w:t>
      </w:r>
      <w:r>
        <w:rPr>
          <w:szCs w:val="24"/>
        </w:rPr>
        <w:tab/>
      </w:r>
      <w:r>
        <w:rPr>
          <w:szCs w:val="24"/>
          <w:lang w:val="es-ES_tradnl"/>
        </w:rPr>
        <w:t xml:space="preserve">El 31 de julio de 2003 el Knesset aprobó </w:t>
      </w:r>
      <w:r>
        <w:rPr>
          <w:i/>
          <w:szCs w:val="24"/>
          <w:lang w:val="es-ES_tradnl"/>
        </w:rPr>
        <w:t>Ley de nacionalidad y entrada en Israel (disposición temporal)</w:t>
      </w:r>
      <w:r>
        <w:rPr>
          <w:szCs w:val="24"/>
          <w:lang w:val="es-ES_tradnl"/>
        </w:rPr>
        <w:t xml:space="preserve"> de 5763/2003, que restringe la posibilidad de otorgar la ciudadanía israelí a los residentes de los territorios en virtud de la </w:t>
      </w:r>
      <w:r>
        <w:rPr>
          <w:i/>
          <w:szCs w:val="24"/>
          <w:lang w:val="es-ES_tradnl"/>
        </w:rPr>
        <w:t>Ley de ciudadanía</w:t>
      </w:r>
      <w:r>
        <w:rPr>
          <w:szCs w:val="24"/>
          <w:lang w:val="es-ES_tradnl"/>
        </w:rPr>
        <w:t xml:space="preserve"> de 5712/1952, en particular por vía de la unificación familiar, así como la posibilidad de conceder a esos residentes permisos de residencia en Israel en virtud de la </w:t>
      </w:r>
      <w:r>
        <w:rPr>
          <w:i/>
          <w:szCs w:val="24"/>
          <w:lang w:val="es-ES_tradnl"/>
        </w:rPr>
        <w:t>Ley de entrada en Israel</w:t>
      </w:r>
      <w:r>
        <w:rPr>
          <w:szCs w:val="24"/>
          <w:lang w:val="es-ES_tradnl"/>
        </w:rPr>
        <w:t xml:space="preserve"> de 5712/1952. La Ley fue reformada en 2005 y 2007 para ampliar la ayuda humanitaria que ofrecía inicialmente.</w:t>
      </w:r>
      <w:r>
        <w:rPr>
          <w:szCs w:val="24"/>
        </w:rPr>
        <w:t xml:space="preserve"> </w:t>
      </w:r>
      <w:r>
        <w:rPr>
          <w:szCs w:val="24"/>
          <w:lang w:val="es-ES_tradnl"/>
        </w:rPr>
        <w:t>Las enmiendas también extienden la aplicación de la Ley para los ciudadanos de Estados enemigos (a saber, el Irán, Siria, el Líbano y el Iraq).</w:t>
      </w:r>
    </w:p>
    <w:p w:rsidR="00F92819" w:rsidRDefault="00F92819">
      <w:pPr>
        <w:pStyle w:val="SingleTxtG"/>
        <w:rPr>
          <w:szCs w:val="24"/>
        </w:rPr>
      </w:pPr>
      <w:r>
        <w:rPr>
          <w:szCs w:val="24"/>
        </w:rPr>
        <w:t>399.</w:t>
      </w:r>
      <w:r>
        <w:rPr>
          <w:szCs w:val="24"/>
        </w:rPr>
        <w:tab/>
      </w:r>
      <w:r>
        <w:rPr>
          <w:szCs w:val="24"/>
          <w:lang w:val="es-ES_tradnl"/>
        </w:rPr>
        <w:t xml:space="preserve">La Ley permite la entrada en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xml:space="preserve"> por razones de tratamiento médico, empleo u otros motivos temporales por un período total no superior a seis meses.</w:t>
      </w:r>
    </w:p>
    <w:p w:rsidR="00F92819" w:rsidRDefault="00F92819">
      <w:pPr>
        <w:pStyle w:val="SingleTxtG"/>
        <w:rPr>
          <w:szCs w:val="24"/>
        </w:rPr>
      </w:pPr>
      <w:r>
        <w:rPr>
          <w:szCs w:val="24"/>
        </w:rPr>
        <w:t>400.</w:t>
      </w:r>
      <w:r>
        <w:rPr>
          <w:szCs w:val="24"/>
        </w:rPr>
        <w:tab/>
      </w:r>
      <w:r>
        <w:rPr>
          <w:szCs w:val="24"/>
          <w:lang w:val="es-ES_tradnl"/>
        </w:rPr>
        <w:t>El Ministro del Interior podrá autorizar las peticiones de reagrupación familiar que formulen residentes en la zona que hayan contraído matrimonio con un cónyuge israelí y que tengan más de 35 años en el caso de los hombres y más de 25 en el caso de las mujeres. La Ley también autoriza al Ministro del Interior a conceder permisos de residencia a los hijos de esos matrimonios menores de 14 años de edad, en relación con los cuales la Ley dispone que el Ministro del Interior podrá conceder permisos temporales en ciertas condiciones.</w:t>
      </w:r>
    </w:p>
    <w:p w:rsidR="00F92819" w:rsidRDefault="00F92819">
      <w:pPr>
        <w:pStyle w:val="SingleTxtG"/>
        <w:rPr>
          <w:szCs w:val="24"/>
        </w:rPr>
      </w:pPr>
      <w:r>
        <w:rPr>
          <w:szCs w:val="24"/>
        </w:rPr>
        <w:t>401.</w:t>
      </w:r>
      <w:r>
        <w:rPr>
          <w:szCs w:val="24"/>
        </w:rPr>
        <w:tab/>
      </w:r>
      <w:r>
        <w:rPr>
          <w:szCs w:val="24"/>
          <w:lang w:val="es-ES_tradnl"/>
        </w:rPr>
        <w:t>La Ley autoriza además al Ministerio del Interior, por razones humanitarias de carácter especial y previa recomendación de un comité profesional nombrado al efecto, a conceder un permiso de residencia temporal a un residente en la zona o a un ciudadano del Irán, el Iraq, Siria o el Líbano que tenga un familiar con residencia legal en Israel y a aprobar la petición de permiso de estancia de un residente en la zona que tenga un familiar con residencia legal en Israel.</w:t>
      </w:r>
    </w:p>
    <w:p w:rsidR="00F92819" w:rsidRDefault="00F92819">
      <w:pPr>
        <w:pStyle w:val="SingleTxtG"/>
        <w:rPr>
          <w:szCs w:val="24"/>
        </w:rPr>
      </w:pPr>
      <w:r>
        <w:rPr>
          <w:szCs w:val="24"/>
        </w:rPr>
        <w:t>402.</w:t>
      </w:r>
      <w:r>
        <w:rPr>
          <w:szCs w:val="24"/>
        </w:rPr>
        <w:tab/>
      </w:r>
      <w:r>
        <w:rPr>
          <w:szCs w:val="24"/>
          <w:lang w:val="es-ES_tradnl"/>
        </w:rPr>
        <w:t xml:space="preserve">La decisión </w:t>
      </w:r>
      <w:smartTag w:uri="urn:schemas-microsoft-com:office:smarttags" w:element="State">
        <w:r>
          <w:rPr>
            <w:szCs w:val="24"/>
            <w:lang w:val="es-ES_tradnl"/>
          </w:rPr>
          <w:t>del</w:t>
        </w:r>
      </w:smartTag>
      <w:r>
        <w:rPr>
          <w:szCs w:val="24"/>
          <w:lang w:val="es-ES_tradnl"/>
        </w:rPr>
        <w:t xml:space="preserve"> Ministro del Interior deberá estar justificada y se dará por escrito en el plazo de seis meses contados a partir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día en que el comité profesional reciba toda la documentación necesaria.</w:t>
      </w:r>
    </w:p>
    <w:p w:rsidR="00F92819" w:rsidRDefault="00F92819">
      <w:pPr>
        <w:pStyle w:val="SingleTxtG"/>
        <w:rPr>
          <w:szCs w:val="24"/>
        </w:rPr>
      </w:pPr>
      <w:r>
        <w:rPr>
          <w:szCs w:val="24"/>
        </w:rPr>
        <w:t>403.</w:t>
      </w:r>
      <w:r>
        <w:rPr>
          <w:szCs w:val="24"/>
        </w:rPr>
        <w:tab/>
      </w:r>
      <w:r>
        <w:rPr>
          <w:szCs w:val="24"/>
          <w:lang w:val="es-ES_tradnl"/>
        </w:rPr>
        <w:t>La Ley dispone que se podrá denegar una solicitud cuando el Ministro del Interior o determinados funcionarios de seguridad declaren que el interesado, o un miembro de su familia con parentesco de primer grado, representa una amenaza para la seguridad.</w:t>
      </w:r>
    </w:p>
    <w:p w:rsidR="00F92819" w:rsidRDefault="00F92819">
      <w:pPr>
        <w:pStyle w:val="SingleTxtG"/>
        <w:rPr>
          <w:szCs w:val="24"/>
        </w:rPr>
      </w:pPr>
      <w:r>
        <w:rPr>
          <w:szCs w:val="24"/>
        </w:rPr>
        <w:t>404.</w:t>
      </w:r>
      <w:r>
        <w:rPr>
          <w:szCs w:val="24"/>
        </w:rPr>
        <w:tab/>
      </w:r>
      <w:r>
        <w:rPr>
          <w:szCs w:val="24"/>
          <w:lang w:val="es-ES_tradnl"/>
        </w:rPr>
        <w:t xml:space="preserve">Si es sabido que las personas o familiares suyos han tenido un comportamiento beneficioso para el Estado de Israel, la Ley faculta al Ministro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Interior y a determinados funcionarios de seguridad para conceder permisos a residentes de la zona.</w:t>
      </w:r>
    </w:p>
    <w:p w:rsidR="00F92819" w:rsidRDefault="00F92819">
      <w:pPr>
        <w:pStyle w:val="SingleTxtG"/>
        <w:rPr>
          <w:szCs w:val="24"/>
        </w:rPr>
      </w:pPr>
      <w:r>
        <w:rPr>
          <w:szCs w:val="24"/>
        </w:rPr>
        <w:t>405.</w:t>
      </w:r>
      <w:r>
        <w:rPr>
          <w:szCs w:val="24"/>
        </w:rPr>
        <w:tab/>
      </w:r>
      <w:r>
        <w:rPr>
          <w:szCs w:val="24"/>
          <w:lang w:val="es-ES_tradnl"/>
        </w:rPr>
        <w:t>La Ley no cambia la condición de las personas que hubieran regularizado su situación antes de su entrada en vigor.</w:t>
      </w:r>
      <w:r>
        <w:rPr>
          <w:szCs w:val="24"/>
        </w:rPr>
        <w:t xml:space="preserve"> </w:t>
      </w:r>
      <w:r>
        <w:rPr>
          <w:szCs w:val="24"/>
          <w:lang w:val="es-ES_tradnl"/>
        </w:rPr>
        <w:t>Sin embargo, la condición de esos ciudadanos no se mejora, sino que permanece inalterable.</w:t>
      </w:r>
    </w:p>
    <w:p w:rsidR="00F92819" w:rsidRDefault="00F92819">
      <w:pPr>
        <w:pStyle w:val="SingleTxtG"/>
        <w:rPr>
          <w:szCs w:val="24"/>
        </w:rPr>
      </w:pPr>
      <w:r>
        <w:rPr>
          <w:szCs w:val="24"/>
        </w:rPr>
        <w:t>406.</w:t>
      </w:r>
      <w:r>
        <w:rPr>
          <w:szCs w:val="24"/>
        </w:rPr>
        <w:tab/>
      </w:r>
      <w:r>
        <w:rPr>
          <w:szCs w:val="24"/>
          <w:lang w:val="es-ES_tradnl"/>
        </w:rPr>
        <w:t>La Ley tenía una validez inicial de un año.</w:t>
      </w:r>
      <w:r>
        <w:rPr>
          <w:szCs w:val="24"/>
        </w:rPr>
        <w:t xml:space="preserve"> </w:t>
      </w:r>
      <w:r>
        <w:rPr>
          <w:szCs w:val="24"/>
          <w:lang w:val="es-ES_tradnl"/>
        </w:rPr>
        <w:t>Al final de ese período, en agosto de 2004, la Ley fue prorrogada por otros seis meses.</w:t>
      </w:r>
      <w:r>
        <w:rPr>
          <w:szCs w:val="24"/>
        </w:rPr>
        <w:t xml:space="preserve"> </w:t>
      </w:r>
      <w:r>
        <w:rPr>
          <w:szCs w:val="24"/>
          <w:lang w:val="es-ES_tradnl"/>
        </w:rPr>
        <w:t>Fue de nuevo prorrogada en febrero de 2005 por cuatro meses más y se volvió a prorrogar hasta el 31 de agosto de 2005. La ley revisada fue publicada el 1º de agosto de 2005 y aplicada hasta el 31 de marzo de 2006. Al final de ese período fue nuevamente prorrogada hasta abril de 2007 y después se prorrogó una versión enmendada hasta el 31 de julio de 2008 y prorrogada de nuevo hasta el 31 de julio de 2009.</w:t>
      </w:r>
    </w:p>
    <w:p w:rsidR="00F92819" w:rsidRDefault="00F92819">
      <w:pPr>
        <w:pStyle w:val="SingleTxtG"/>
        <w:rPr>
          <w:szCs w:val="24"/>
        </w:rPr>
      </w:pPr>
      <w:r>
        <w:rPr>
          <w:szCs w:val="24"/>
        </w:rPr>
        <w:t>407.</w:t>
      </w:r>
      <w:r>
        <w:rPr>
          <w:szCs w:val="24"/>
        </w:rPr>
        <w:tab/>
      </w:r>
      <w:r>
        <w:rPr>
          <w:szCs w:val="24"/>
          <w:lang w:val="es-ES_tradnl"/>
        </w:rPr>
        <w:t>El Tribunal Supremo examinó la constitucionalidad de esa Ley, confirmándola en los casos H.C.J. 7052/03 y</w:t>
      </w:r>
      <w:r>
        <w:rPr>
          <w:i/>
          <w:szCs w:val="24"/>
          <w:lang w:val="es-ES_tradnl"/>
        </w:rPr>
        <w:t xml:space="preserve"> </w:t>
      </w:r>
      <w:r>
        <w:rPr>
          <w:szCs w:val="24"/>
          <w:lang w:val="es-ES_tradnl"/>
        </w:rPr>
        <w:t>7102/03</w:t>
      </w:r>
      <w:r>
        <w:rPr>
          <w:i/>
          <w:szCs w:val="24"/>
          <w:lang w:val="es-ES_tradnl"/>
        </w:rPr>
        <w:t xml:space="preserve"> Adalah et. al. c. el Ministro del Interior </w:t>
      </w:r>
      <w:r>
        <w:rPr>
          <w:szCs w:val="24"/>
          <w:lang w:val="es-ES_tradnl"/>
        </w:rPr>
        <w:t>(14 de mayo de 2006</w:t>
      </w:r>
      <w:r>
        <w:rPr>
          <w:i/>
          <w:szCs w:val="24"/>
          <w:lang w:val="es-ES_tradnl"/>
        </w:rPr>
        <w:t>).</w:t>
      </w:r>
      <w:r>
        <w:rPr>
          <w:szCs w:val="24"/>
        </w:rPr>
        <w:t xml:space="preserve"> </w:t>
      </w:r>
      <w:r>
        <w:rPr>
          <w:szCs w:val="24"/>
          <w:lang w:val="es-ES_tradnl"/>
        </w:rPr>
        <w:t>El Tribunal Superior de Justicia, constituido en un grupo ampliado de 11 jueces, rechazó las peticiones formuladas contra la legalidad de la Ley por 6 votos contra 5.</w:t>
      </w:r>
    </w:p>
    <w:p w:rsidR="00F92819" w:rsidRDefault="00F92819">
      <w:pPr>
        <w:pStyle w:val="SingleTxtG"/>
        <w:rPr>
          <w:szCs w:val="24"/>
        </w:rPr>
      </w:pPr>
      <w:r>
        <w:rPr>
          <w:szCs w:val="24"/>
        </w:rPr>
        <w:t>408.</w:t>
      </w:r>
      <w:r>
        <w:rPr>
          <w:szCs w:val="24"/>
        </w:rPr>
        <w:tab/>
      </w:r>
      <w:r>
        <w:rPr>
          <w:szCs w:val="24"/>
          <w:lang w:val="es-ES_tradnl"/>
        </w:rPr>
        <w:t xml:space="preserve">El 17 de diciembre de 2007 el Ministro del Interior anunció la formación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comité profesional de conformidad con la Ley y proclamó sus miembros.</w:t>
      </w:r>
    </w:p>
    <w:p w:rsidR="00F92819" w:rsidRDefault="00F92819">
      <w:pPr>
        <w:pStyle w:val="SingleTxtG"/>
        <w:rPr>
          <w:szCs w:val="24"/>
        </w:rPr>
      </w:pPr>
      <w:r>
        <w:rPr>
          <w:szCs w:val="24"/>
        </w:rPr>
        <w:t>409.</w:t>
      </w:r>
      <w:r>
        <w:rPr>
          <w:szCs w:val="24"/>
        </w:rPr>
        <w:tab/>
      </w:r>
      <w:r>
        <w:rPr>
          <w:szCs w:val="24"/>
          <w:lang w:val="es-ES_tradnl"/>
        </w:rPr>
        <w:t xml:space="preserve">Ante el Tribunal Superior de Justicia hay pendientes nuevas impugnaciones de la constitucionalidad de </w:t>
      </w:r>
      <w:smartTag w:uri="urn:schemas-microsoft-com:office:smarttags" w:element="PersonName">
        <w:smartTagPr>
          <w:attr w:name="ProductID" w:val="la Ley. El"/>
        </w:smartTagPr>
        <w:r>
          <w:rPr>
            <w:szCs w:val="24"/>
            <w:lang w:val="es-ES_tradnl"/>
          </w:rPr>
          <w:t>la Ley.</w:t>
        </w:r>
        <w:r>
          <w:rPr>
            <w:szCs w:val="24"/>
          </w:rPr>
          <w:t xml:space="preserve"> </w:t>
        </w:r>
        <w:r>
          <w:rPr>
            <w:szCs w:val="24"/>
            <w:lang w:val="es-ES_tradnl"/>
          </w:rPr>
          <w:t>El</w:t>
        </w:r>
      </w:smartTag>
      <w:r>
        <w:rPr>
          <w:szCs w:val="24"/>
          <w:lang w:val="es-ES_tradnl"/>
        </w:rPr>
        <w:t xml:space="preserve"> 31 de julio de 2008 el Estado presentó sus argumentos.</w:t>
      </w:r>
      <w:r>
        <w:rPr>
          <w:szCs w:val="24"/>
        </w:rPr>
        <w:t xml:space="preserve"> </w:t>
      </w:r>
      <w:r>
        <w:rPr>
          <w:szCs w:val="24"/>
          <w:lang w:val="es-ES_tradnl"/>
        </w:rPr>
        <w:t>(Casos H.C.J 466/07, 544/07, 830/07 y 5030/07</w:t>
      </w:r>
      <w:r>
        <w:rPr>
          <w:i/>
          <w:szCs w:val="24"/>
          <w:lang w:val="es-ES_tradnl"/>
        </w:rPr>
        <w:t xml:space="preserve"> MK Zehava Galon et. al. c. el Ministro del Interior et. al.</w:t>
      </w:r>
      <w:r>
        <w:rPr>
          <w:szCs w:val="24"/>
          <w:lang w:val="es-ES_tradnl"/>
        </w:rPr>
        <w:t>)</w:t>
      </w:r>
    </w:p>
    <w:p w:rsidR="00F92819" w:rsidRDefault="00F92819">
      <w:pPr>
        <w:pStyle w:val="H23G"/>
        <w:rPr>
          <w:szCs w:val="24"/>
        </w:rPr>
      </w:pPr>
      <w:r>
        <w:rPr>
          <w:szCs w:val="24"/>
        </w:rPr>
        <w:tab/>
      </w:r>
      <w:r>
        <w:rPr>
          <w:szCs w:val="24"/>
        </w:rPr>
        <w:tab/>
      </w:r>
      <w:r>
        <w:rPr>
          <w:szCs w:val="24"/>
          <w:lang w:val="es-ES_tradnl"/>
        </w:rPr>
        <w:t>Igualdad de trato</w:t>
      </w:r>
    </w:p>
    <w:p w:rsidR="00F92819" w:rsidRDefault="00F92819">
      <w:pPr>
        <w:pStyle w:val="SingleTxtG"/>
        <w:rPr>
          <w:szCs w:val="24"/>
        </w:rPr>
      </w:pPr>
      <w:r>
        <w:rPr>
          <w:szCs w:val="24"/>
        </w:rPr>
        <w:t>410.</w:t>
      </w:r>
      <w:r>
        <w:rPr>
          <w:szCs w:val="24"/>
        </w:rPr>
        <w:tab/>
      </w:r>
      <w:r>
        <w:rPr>
          <w:szCs w:val="24"/>
          <w:lang w:val="es-ES_tradnl"/>
        </w:rPr>
        <w:t xml:space="preserve">Los considerables avances que se han producido desde la presentación </w:t>
      </w:r>
      <w:smartTag w:uri="urn:schemas-microsoft-com:office:smarttags" w:element="State">
        <w:r>
          <w:rPr>
            <w:szCs w:val="24"/>
            <w:lang w:val="es-ES_tradnl"/>
          </w:rPr>
          <w:t>del</w:t>
        </w:r>
      </w:smartTag>
      <w:r>
        <w:rPr>
          <w:szCs w:val="24"/>
          <w:lang w:val="es-ES_tradnl"/>
        </w:rPr>
        <w:t xml:space="preserve"> informe anterior de Israel sobre la definición de “familia” en lo que respecta a las parejas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mismo sexo se detallan anteriormente.</w:t>
      </w:r>
    </w:p>
    <w:p w:rsidR="00F92819" w:rsidRDefault="00F92819">
      <w:pPr>
        <w:pStyle w:val="H23G"/>
        <w:rPr>
          <w:szCs w:val="24"/>
        </w:rPr>
      </w:pPr>
      <w:r>
        <w:rPr>
          <w:szCs w:val="24"/>
        </w:rPr>
        <w:tab/>
      </w:r>
      <w:r>
        <w:rPr>
          <w:szCs w:val="24"/>
        </w:rPr>
        <w:tab/>
      </w:r>
      <w:r>
        <w:rPr>
          <w:szCs w:val="24"/>
          <w:lang w:val="es-ES_tradnl"/>
        </w:rPr>
        <w:t>Protección de la maternidad</w:t>
      </w:r>
    </w:p>
    <w:p w:rsidR="00F92819" w:rsidRDefault="00F92819">
      <w:pPr>
        <w:pStyle w:val="H4G"/>
        <w:rPr>
          <w:szCs w:val="24"/>
        </w:rPr>
      </w:pPr>
      <w:r>
        <w:rPr>
          <w:szCs w:val="24"/>
        </w:rPr>
        <w:tab/>
      </w:r>
      <w:r>
        <w:rPr>
          <w:szCs w:val="24"/>
        </w:rPr>
        <w:tab/>
      </w:r>
      <w:r>
        <w:rPr>
          <w:szCs w:val="24"/>
          <w:lang w:val="es-ES_tradnl"/>
        </w:rPr>
        <w:t>Licencia de maternidad y protección de las mujeres embarazadas que trabajan</w:t>
      </w:r>
    </w:p>
    <w:p w:rsidR="00F92819" w:rsidRDefault="00F92819">
      <w:pPr>
        <w:pStyle w:val="SingleTxtG"/>
        <w:rPr>
          <w:szCs w:val="24"/>
        </w:rPr>
      </w:pPr>
      <w:r>
        <w:rPr>
          <w:szCs w:val="24"/>
        </w:rPr>
        <w:t>411.</w:t>
      </w:r>
      <w:r>
        <w:rPr>
          <w:szCs w:val="24"/>
        </w:rPr>
        <w:tab/>
      </w:r>
      <w:r>
        <w:rPr>
          <w:szCs w:val="24"/>
          <w:lang w:val="es-ES_tradnl"/>
        </w:rPr>
        <w:t xml:space="preserve">Entre 2006 y 2008 se introdujo una serie de enmiendas importantes en la </w:t>
      </w:r>
      <w:r>
        <w:rPr>
          <w:i/>
          <w:szCs w:val="24"/>
          <w:lang w:val="es-ES_tradnl"/>
        </w:rPr>
        <w:t xml:space="preserve">Ley del empleo femenino </w:t>
      </w:r>
      <w:r>
        <w:rPr>
          <w:szCs w:val="24"/>
          <w:lang w:val="es-ES_tradnl"/>
        </w:rPr>
        <w:t>que refuerzan y ofrecen más detalles sobre la importancia que reviste la protección de la maternidad para las mujeres, al tiempo que continúa la tendencia legislativa detallada en el informe anterior de Israel, que considera la unidad familiar como un todo y fomenta una mayor participación del padre en la crianza de los hijos:</w:t>
      </w:r>
    </w:p>
    <w:p w:rsidR="00F92819" w:rsidRDefault="00F92819">
      <w:pPr>
        <w:pStyle w:val="SingleTxtG"/>
        <w:ind w:left="1701"/>
        <w:rPr>
          <w:szCs w:val="24"/>
        </w:rPr>
      </w:pPr>
      <w:r>
        <w:rPr>
          <w:szCs w:val="24"/>
        </w:rPr>
        <w:t>411.1</w:t>
      </w:r>
      <w:r>
        <w:rPr>
          <w:szCs w:val="24"/>
        </w:rPr>
        <w:tab/>
      </w:r>
      <w:r>
        <w:rPr>
          <w:szCs w:val="24"/>
          <w:lang w:val="es-ES_tradnl"/>
        </w:rPr>
        <w:t xml:space="preserve">Enmienda </w:t>
      </w:r>
      <w:r w:rsidR="00713E0E">
        <w:rPr>
          <w:szCs w:val="24"/>
          <w:lang w:val="es-ES_tradnl"/>
        </w:rPr>
        <w:t>Nº</w:t>
      </w:r>
      <w:r>
        <w:rPr>
          <w:szCs w:val="24"/>
          <w:lang w:val="es-ES_tradnl"/>
        </w:rPr>
        <w:t xml:space="preserve"> 33 (febrero de 2007): ampliaba de </w:t>
      </w:r>
      <w:smartTag w:uri="urn:schemas-microsoft-com:office:smarttags" w:element="metricconverter">
        <w:smartTagPr>
          <w:attr w:name="ProductID" w:val="45 a"/>
        </w:smartTagPr>
        <w:r>
          <w:rPr>
            <w:szCs w:val="24"/>
            <w:lang w:val="es-ES_tradnl"/>
          </w:rPr>
          <w:t>45 a</w:t>
        </w:r>
      </w:smartTag>
      <w:r>
        <w:rPr>
          <w:szCs w:val="24"/>
          <w:lang w:val="es-ES_tradnl"/>
        </w:rPr>
        <w:t xml:space="preserve"> 60 días el período en que una mujer que se reincorpora al trabajo tras su licencia de maternidad no puede ser despedida de su lugar de trabajo.</w:t>
      </w:r>
    </w:p>
    <w:p w:rsidR="00F92819" w:rsidRDefault="00F92819">
      <w:pPr>
        <w:pStyle w:val="SingleTxtG"/>
        <w:ind w:left="1701"/>
        <w:rPr>
          <w:szCs w:val="24"/>
        </w:rPr>
      </w:pPr>
      <w:r>
        <w:rPr>
          <w:szCs w:val="24"/>
        </w:rPr>
        <w:t>411.2</w:t>
      </w:r>
      <w:r>
        <w:rPr>
          <w:szCs w:val="24"/>
        </w:rPr>
        <w:tab/>
      </w:r>
      <w:r>
        <w:rPr>
          <w:szCs w:val="24"/>
          <w:lang w:val="es-ES_tradnl"/>
        </w:rPr>
        <w:t xml:space="preserve">Enmienda </w:t>
      </w:r>
      <w:r w:rsidR="00713E0E">
        <w:rPr>
          <w:szCs w:val="24"/>
          <w:lang w:val="es-ES_tradnl"/>
        </w:rPr>
        <w:t>Nº</w:t>
      </w:r>
      <w:r>
        <w:rPr>
          <w:szCs w:val="24"/>
          <w:lang w:val="es-ES_tradnl"/>
        </w:rPr>
        <w:t xml:space="preserve"> 34 (marzo de 2007): antes de la enmienda, una mujer que estuviera hospitalizada al menos dos semanas consecutivas durante su licencia de maternidad tenía derecho a ampliarla por el período de hospitalización, hasta cuatro semanas.</w:t>
      </w:r>
      <w:r>
        <w:rPr>
          <w:szCs w:val="24"/>
        </w:rPr>
        <w:t xml:space="preserve"> </w:t>
      </w:r>
      <w:r>
        <w:rPr>
          <w:szCs w:val="24"/>
          <w:lang w:val="es-ES_tradnl"/>
        </w:rPr>
        <w:t>La enmienda permite ampliar la licencia de maternidad aun cuando el período de hospitalización no sea consecutivo.</w:t>
      </w:r>
    </w:p>
    <w:p w:rsidR="00F92819" w:rsidRDefault="00F92819">
      <w:pPr>
        <w:pStyle w:val="SingleTxtG"/>
        <w:ind w:left="1701"/>
        <w:rPr>
          <w:szCs w:val="24"/>
        </w:rPr>
      </w:pPr>
      <w:r>
        <w:rPr>
          <w:szCs w:val="24"/>
        </w:rPr>
        <w:t>411.3</w:t>
      </w:r>
      <w:r>
        <w:rPr>
          <w:szCs w:val="24"/>
        </w:rPr>
        <w:tab/>
      </w:r>
      <w:r>
        <w:rPr>
          <w:szCs w:val="24"/>
          <w:lang w:val="es-ES_tradnl"/>
        </w:rPr>
        <w:t xml:space="preserve">Enmienda </w:t>
      </w:r>
      <w:r w:rsidR="00713E0E">
        <w:rPr>
          <w:szCs w:val="24"/>
          <w:lang w:val="es-ES_tradnl"/>
        </w:rPr>
        <w:t>Nº</w:t>
      </w:r>
      <w:r>
        <w:rPr>
          <w:szCs w:val="24"/>
          <w:lang w:val="es-ES_tradnl"/>
        </w:rPr>
        <w:t xml:space="preserve"> 35 (marzo de 2007): se ha doblado la multa y se ha alargado el período de prisión por infringir lo dispuesto en la </w:t>
      </w:r>
      <w:r>
        <w:rPr>
          <w:i/>
          <w:szCs w:val="24"/>
          <w:lang w:val="es-ES_tradnl"/>
        </w:rPr>
        <w:t xml:space="preserve">Ley </w:t>
      </w:r>
      <w:smartTag w:uri="urn:schemas-microsoft-com:office:smarttags" w:element="State">
        <w:smartTag w:uri="urn:schemas-microsoft-com:office:smarttags" w:element="place">
          <w:r>
            <w:rPr>
              <w:i/>
              <w:szCs w:val="24"/>
              <w:lang w:val="es-ES_tradnl"/>
            </w:rPr>
            <w:t>del</w:t>
          </w:r>
        </w:smartTag>
      </w:smartTag>
      <w:r>
        <w:rPr>
          <w:i/>
          <w:szCs w:val="24"/>
          <w:lang w:val="es-ES_tradnl"/>
        </w:rPr>
        <w:t xml:space="preserve"> empleo femenino</w:t>
      </w:r>
      <w:r>
        <w:rPr>
          <w:szCs w:val="24"/>
          <w:lang w:val="es-ES_tradnl"/>
        </w:rPr>
        <w:t>.</w:t>
      </w:r>
    </w:p>
    <w:p w:rsidR="00F92819" w:rsidRDefault="00F92819">
      <w:pPr>
        <w:pStyle w:val="SingleTxtG"/>
        <w:ind w:left="1701"/>
        <w:rPr>
          <w:szCs w:val="24"/>
        </w:rPr>
      </w:pPr>
      <w:r>
        <w:rPr>
          <w:szCs w:val="24"/>
        </w:rPr>
        <w:t>411.4</w:t>
      </w:r>
      <w:r>
        <w:rPr>
          <w:szCs w:val="24"/>
        </w:rPr>
        <w:tab/>
      </w:r>
      <w:r>
        <w:rPr>
          <w:szCs w:val="24"/>
          <w:lang w:val="es-ES_tradnl"/>
        </w:rPr>
        <w:t xml:space="preserve">Enmienda </w:t>
      </w:r>
      <w:r w:rsidR="00713E0E">
        <w:rPr>
          <w:szCs w:val="24"/>
          <w:lang w:val="es-ES_tradnl"/>
        </w:rPr>
        <w:t>Nº</w:t>
      </w:r>
      <w:r>
        <w:rPr>
          <w:szCs w:val="24"/>
          <w:lang w:val="es-ES_tradnl"/>
        </w:rPr>
        <w:t xml:space="preserve"> 36 (marzo de 2007): ampliaba de </w:t>
      </w:r>
      <w:smartTag w:uri="urn:schemas-microsoft-com:office:smarttags" w:element="metricconverter">
        <w:smartTagPr>
          <w:attr w:name="ProductID" w:val="60 a"/>
        </w:smartTagPr>
        <w:r>
          <w:rPr>
            <w:szCs w:val="24"/>
            <w:lang w:val="es-ES_tradnl"/>
          </w:rPr>
          <w:t>60 a</w:t>
        </w:r>
      </w:smartTag>
      <w:r>
        <w:rPr>
          <w:szCs w:val="24"/>
          <w:lang w:val="es-ES_tradnl"/>
        </w:rPr>
        <w:t xml:space="preserve"> 90 días el período en que una mujer que se ausenta de su trabajo con motivo de su estancia en un refugio para mujeres maltratadas no puede ser despedida al reincorporarse al trabajo.</w:t>
      </w:r>
    </w:p>
    <w:p w:rsidR="00F92819" w:rsidRDefault="00F92819">
      <w:pPr>
        <w:pStyle w:val="SingleTxtG"/>
        <w:ind w:left="1701"/>
        <w:rPr>
          <w:szCs w:val="24"/>
        </w:rPr>
      </w:pPr>
      <w:r>
        <w:rPr>
          <w:szCs w:val="24"/>
        </w:rPr>
        <w:t>411.5</w:t>
      </w:r>
      <w:r>
        <w:rPr>
          <w:szCs w:val="24"/>
        </w:rPr>
        <w:tab/>
      </w:r>
      <w:r>
        <w:rPr>
          <w:szCs w:val="24"/>
          <w:lang w:val="es-ES_tradnl"/>
        </w:rPr>
        <w:t xml:space="preserve">Enmienda </w:t>
      </w:r>
      <w:r w:rsidR="00713E0E">
        <w:rPr>
          <w:szCs w:val="24"/>
          <w:lang w:val="es-ES_tradnl"/>
        </w:rPr>
        <w:t>Nº</w:t>
      </w:r>
      <w:r>
        <w:rPr>
          <w:szCs w:val="24"/>
          <w:lang w:val="es-ES_tradnl"/>
        </w:rPr>
        <w:t xml:space="preserve"> 37 (mayo de 2007): se amplió la licencia de maternidad de 12 semanas a 14.</w:t>
      </w:r>
    </w:p>
    <w:p w:rsidR="00F92819" w:rsidRDefault="00F92819">
      <w:pPr>
        <w:pStyle w:val="SingleTxtG"/>
        <w:ind w:left="1701"/>
        <w:rPr>
          <w:szCs w:val="24"/>
        </w:rPr>
      </w:pPr>
      <w:r>
        <w:rPr>
          <w:szCs w:val="24"/>
        </w:rPr>
        <w:t>411.6</w:t>
      </w:r>
      <w:r>
        <w:rPr>
          <w:szCs w:val="24"/>
        </w:rPr>
        <w:tab/>
      </w:r>
      <w:r>
        <w:rPr>
          <w:szCs w:val="24"/>
          <w:lang w:val="es-ES_tradnl"/>
        </w:rPr>
        <w:t xml:space="preserve">Enmienda </w:t>
      </w:r>
      <w:r w:rsidR="00713E0E">
        <w:rPr>
          <w:szCs w:val="24"/>
          <w:lang w:val="es-ES_tradnl"/>
        </w:rPr>
        <w:t>Nº</w:t>
      </w:r>
      <w:r>
        <w:rPr>
          <w:szCs w:val="24"/>
          <w:lang w:val="es-ES_tradnl"/>
        </w:rPr>
        <w:t xml:space="preserve"> 38 (junio de 2007): la disposición provisional que permite la licencia de paternidad en caso de que una madre conceda su derecho a disfrutarla a su cónyuge ha pasado a ser definitiva.</w:t>
      </w:r>
    </w:p>
    <w:p w:rsidR="00F92819" w:rsidRDefault="00F92819">
      <w:pPr>
        <w:pStyle w:val="SingleTxtG"/>
        <w:ind w:left="1701"/>
        <w:rPr>
          <w:szCs w:val="24"/>
        </w:rPr>
      </w:pPr>
      <w:r>
        <w:rPr>
          <w:szCs w:val="24"/>
        </w:rPr>
        <w:t>411.7</w:t>
      </w:r>
      <w:r>
        <w:rPr>
          <w:szCs w:val="24"/>
        </w:rPr>
        <w:tab/>
      </w:r>
      <w:r>
        <w:rPr>
          <w:szCs w:val="24"/>
          <w:lang w:val="es-ES_tradnl"/>
        </w:rPr>
        <w:t xml:space="preserve">Enmienda </w:t>
      </w:r>
      <w:r w:rsidR="00713E0E">
        <w:rPr>
          <w:szCs w:val="24"/>
          <w:lang w:val="es-ES_tradnl"/>
        </w:rPr>
        <w:t>Nº</w:t>
      </w:r>
      <w:r>
        <w:rPr>
          <w:szCs w:val="24"/>
          <w:lang w:val="es-ES_tradnl"/>
        </w:rPr>
        <w:t xml:space="preserve"> 39 (agosto de 2007), que aborda diversas cuestiones:</w:t>
      </w:r>
    </w:p>
    <w:p w:rsidR="00F92819" w:rsidRDefault="00F92819">
      <w:pPr>
        <w:pStyle w:val="SingleTxtG"/>
        <w:ind w:left="2268"/>
        <w:rPr>
          <w:szCs w:val="24"/>
        </w:rPr>
      </w:pPr>
      <w:r>
        <w:rPr>
          <w:szCs w:val="24"/>
          <w:lang w:val="es-ES_tradnl"/>
        </w:rPr>
        <w:t>411.7.1 Permite que una mujer acorte su licencia de maternidad en caso de que dé a su bebé en adopción o en caso de que sea una madre sustitutiva.</w:t>
      </w:r>
    </w:p>
    <w:p w:rsidR="00F92819" w:rsidRDefault="00F92819">
      <w:pPr>
        <w:pStyle w:val="SingleTxtG"/>
        <w:ind w:left="2268"/>
        <w:rPr>
          <w:szCs w:val="24"/>
        </w:rPr>
      </w:pPr>
      <w:r>
        <w:rPr>
          <w:szCs w:val="24"/>
          <w:lang w:val="es-ES_tradnl"/>
        </w:rPr>
        <w:t xml:space="preserve">411.7.2 También dispone que un hombre cuya cónyuge haya </w:t>
      </w:r>
      <w:r>
        <w:rPr>
          <w:spacing w:val="-2"/>
          <w:szCs w:val="24"/>
          <w:lang w:val="es-ES_tradnl"/>
        </w:rPr>
        <w:t>dado a luz y no pueda cuidar de su bebé, debido a una minusvalía o enfermedad, pueda disfrutar</w:t>
      </w:r>
      <w:r>
        <w:rPr>
          <w:szCs w:val="24"/>
          <w:lang w:val="es-ES_tradnl"/>
        </w:rPr>
        <w:t xml:space="preserve"> de una licencia de paternidad durante todo el período en que ella no pueda cuidar del lactante.</w:t>
      </w:r>
      <w:r>
        <w:rPr>
          <w:szCs w:val="24"/>
        </w:rPr>
        <w:t xml:space="preserve"> </w:t>
      </w:r>
      <w:r>
        <w:rPr>
          <w:szCs w:val="24"/>
          <w:lang w:val="es-ES_tradnl"/>
        </w:rPr>
        <w:t>Con arreglo a las enmiendas, su licencia de paternidad no anula el derecho de la madre a su licencia.</w:t>
      </w:r>
      <w:r>
        <w:rPr>
          <w:szCs w:val="24"/>
        </w:rPr>
        <w:t xml:space="preserve"> </w:t>
      </w:r>
      <w:r>
        <w:rPr>
          <w:szCs w:val="24"/>
          <w:lang w:val="es-ES_tradnl"/>
        </w:rPr>
        <w:t xml:space="preserve">Se introdujo una enmienda paralela en la </w:t>
      </w:r>
      <w:r>
        <w:rPr>
          <w:i/>
          <w:szCs w:val="24"/>
          <w:lang w:val="es-ES_tradnl"/>
        </w:rPr>
        <w:t>Ley del seguro nacional</w:t>
      </w:r>
      <w:r>
        <w:rPr>
          <w:szCs w:val="24"/>
          <w:lang w:val="es-ES_tradnl"/>
        </w:rPr>
        <w:t xml:space="preserve"> para que el padre que disfruta de una licencia pueda obtener un subsidio de natalidad además del subsidio abonado a la madre.</w:t>
      </w:r>
    </w:p>
    <w:p w:rsidR="00F92819" w:rsidRDefault="00F92819">
      <w:pPr>
        <w:pStyle w:val="SingleTxtG"/>
        <w:ind w:left="2268"/>
        <w:rPr>
          <w:szCs w:val="24"/>
        </w:rPr>
      </w:pPr>
      <w:r>
        <w:rPr>
          <w:szCs w:val="24"/>
          <w:lang w:val="es-ES_tradnl"/>
        </w:rPr>
        <w:t>411.7.3 Una mujer puede ausentarse del trabajo con motivo de su embarazo, previa aprobación de un médico.</w:t>
      </w:r>
      <w:r>
        <w:rPr>
          <w:szCs w:val="24"/>
        </w:rPr>
        <w:t xml:space="preserve"> </w:t>
      </w:r>
      <w:r>
        <w:rPr>
          <w:szCs w:val="24"/>
          <w:lang w:val="es-ES_tradnl"/>
        </w:rPr>
        <w:t>En caso de que no tenga derecho a un permiso retribuido por el seguro médico ni por su empleador, su ausencia se considerará como una licencia por enfermedad.</w:t>
      </w:r>
    </w:p>
    <w:p w:rsidR="00F92819" w:rsidRDefault="00F92819">
      <w:pPr>
        <w:pStyle w:val="SingleTxtG"/>
        <w:ind w:left="2268"/>
        <w:rPr>
          <w:szCs w:val="24"/>
        </w:rPr>
      </w:pPr>
      <w:r>
        <w:rPr>
          <w:szCs w:val="24"/>
          <w:lang w:val="es-ES_tradnl"/>
        </w:rPr>
        <w:t>411.7.4 Cuando una mujer embarazada no puede seguir trabajando debido a la naturaleza o a las condiciones de su trabajo o lugar de trabajo, puede ausentarse previa aprobación de un médico.</w:t>
      </w:r>
      <w:r>
        <w:rPr>
          <w:szCs w:val="24"/>
        </w:rPr>
        <w:t xml:space="preserve"> </w:t>
      </w:r>
      <w:r>
        <w:rPr>
          <w:szCs w:val="24"/>
          <w:lang w:val="es-ES_tradnl"/>
        </w:rPr>
        <w:t>Su ausencia no retribuida sólo se permitirá si su empleador no puede encontrar un puesto alternativo adecuado para ella</w:t>
      </w:r>
      <w:r>
        <w:rPr>
          <w:szCs w:val="24"/>
        </w:rPr>
        <w:t xml:space="preserve"> </w:t>
      </w:r>
      <w:r>
        <w:rPr>
          <w:szCs w:val="24"/>
          <w:lang w:val="es-ES_tradnl"/>
        </w:rPr>
        <w:t>y su antigüedad no se verá afectada por su ausencia.</w:t>
      </w:r>
    </w:p>
    <w:p w:rsidR="00F92819" w:rsidRDefault="00F92819">
      <w:pPr>
        <w:pStyle w:val="SingleTxtG"/>
        <w:ind w:left="2268"/>
        <w:rPr>
          <w:szCs w:val="24"/>
        </w:rPr>
      </w:pPr>
      <w:r>
        <w:rPr>
          <w:szCs w:val="24"/>
          <w:lang w:val="es-ES_tradnl"/>
        </w:rPr>
        <w:t>411.7.5 Una madre lactante a la que no le está permitido por ley trabajar en determinados puestos de trabajo en razón de su condición de lactante y que no tiene derecho a días de vacaciones tras su licencia de maternidad puede ausentarse del trabajo.</w:t>
      </w:r>
      <w:r>
        <w:rPr>
          <w:szCs w:val="24"/>
        </w:rPr>
        <w:t xml:space="preserve"> </w:t>
      </w:r>
      <w:r>
        <w:rPr>
          <w:szCs w:val="24"/>
          <w:lang w:val="es-ES_tradnl"/>
        </w:rPr>
        <w:t>Su ausencia se considerará un período de vacaciones no retribuido.</w:t>
      </w:r>
    </w:p>
    <w:p w:rsidR="00F92819" w:rsidRDefault="00F92819">
      <w:pPr>
        <w:pStyle w:val="SingleTxtG"/>
        <w:ind w:left="2268"/>
        <w:rPr>
          <w:szCs w:val="24"/>
        </w:rPr>
      </w:pPr>
      <w:r>
        <w:rPr>
          <w:szCs w:val="24"/>
          <w:lang w:val="es-ES_tradnl"/>
        </w:rPr>
        <w:t>411.7.6 Previo cumplimiento de determinadas condiciones previstas en la Ley, la rescisión de un contrato de duración limitada se considerará un despido cuando se dé en circunstancias tales como el embarazo, la licencia de maternidad, la licencia por tratamiento de esterilidad, etc.</w:t>
      </w:r>
    </w:p>
    <w:p w:rsidR="00F92819" w:rsidRDefault="00F92819">
      <w:pPr>
        <w:pStyle w:val="SingleTxtG"/>
        <w:ind w:left="2268"/>
        <w:rPr>
          <w:szCs w:val="24"/>
        </w:rPr>
      </w:pPr>
      <w:r>
        <w:rPr>
          <w:szCs w:val="24"/>
          <w:lang w:val="es-ES_tradnl"/>
        </w:rPr>
        <w:t>411.7.7 Se ha concedido a una empleada el derecho a interponer un recurso contra las decisiones adoptadas por el funcionario gubernamental encargado de autorizar despidos o el recorte de un puesto durante el embarazo.</w:t>
      </w:r>
    </w:p>
    <w:p w:rsidR="00F92819" w:rsidRDefault="00F92819">
      <w:pPr>
        <w:pStyle w:val="SingleTxtG"/>
        <w:ind w:left="1701"/>
        <w:rPr>
          <w:szCs w:val="24"/>
        </w:rPr>
      </w:pPr>
      <w:r>
        <w:rPr>
          <w:szCs w:val="24"/>
        </w:rPr>
        <w:t>411.8</w:t>
      </w:r>
      <w:r>
        <w:rPr>
          <w:szCs w:val="24"/>
        </w:rPr>
        <w:tab/>
      </w:r>
      <w:r>
        <w:rPr>
          <w:szCs w:val="24"/>
          <w:lang w:val="es-ES_tradnl"/>
        </w:rPr>
        <w:t xml:space="preserve">Enmienda </w:t>
      </w:r>
      <w:r w:rsidR="00713E0E">
        <w:rPr>
          <w:szCs w:val="24"/>
          <w:lang w:val="es-ES_tradnl"/>
        </w:rPr>
        <w:t>Nº</w:t>
      </w:r>
      <w:r>
        <w:rPr>
          <w:szCs w:val="24"/>
          <w:lang w:val="es-ES_tradnl"/>
        </w:rPr>
        <w:t xml:space="preserve"> 40 (agosto de 2007): imposición de responsabilidad sobre empleadores que han despedido ilícitamente a una mujer embarazada empleada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trabajadora con contrato.</w:t>
      </w:r>
    </w:p>
    <w:p w:rsidR="00F92819" w:rsidRDefault="00F92819">
      <w:pPr>
        <w:pStyle w:val="SingleTxtG"/>
        <w:ind w:left="1701"/>
        <w:rPr>
          <w:szCs w:val="24"/>
        </w:rPr>
      </w:pPr>
      <w:r>
        <w:rPr>
          <w:szCs w:val="24"/>
        </w:rPr>
        <w:t>411.9</w:t>
      </w:r>
      <w:r>
        <w:rPr>
          <w:szCs w:val="24"/>
        </w:rPr>
        <w:tab/>
      </w:r>
      <w:r>
        <w:rPr>
          <w:szCs w:val="24"/>
          <w:lang w:val="es-ES_tradnl"/>
        </w:rPr>
        <w:t xml:space="preserve">Enmienda </w:t>
      </w:r>
      <w:r w:rsidR="00713E0E">
        <w:rPr>
          <w:szCs w:val="24"/>
          <w:lang w:val="es-ES_tradnl"/>
        </w:rPr>
        <w:t>Nº</w:t>
      </w:r>
      <w:r>
        <w:rPr>
          <w:szCs w:val="24"/>
          <w:lang w:val="es-ES_tradnl"/>
        </w:rPr>
        <w:t xml:space="preserve"> 41 (octubre de 2007): ampliación de la prohibición de despedir a una empleada en tratamiento de la esterilidad mediante fecundación para tener un segundo hijo, así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para un primer hijo.</w:t>
      </w:r>
    </w:p>
    <w:p w:rsidR="00F92819" w:rsidRDefault="00F92819">
      <w:pPr>
        <w:pStyle w:val="SingleTxtG"/>
        <w:ind w:left="1701"/>
        <w:rPr>
          <w:szCs w:val="24"/>
        </w:rPr>
      </w:pPr>
      <w:r>
        <w:rPr>
          <w:szCs w:val="24"/>
        </w:rPr>
        <w:t>411.10</w:t>
      </w:r>
      <w:r>
        <w:rPr>
          <w:szCs w:val="24"/>
        </w:rPr>
        <w:tab/>
        <w:t xml:space="preserve"> </w:t>
      </w:r>
      <w:r>
        <w:rPr>
          <w:szCs w:val="24"/>
          <w:lang w:val="es-ES_tradnl"/>
        </w:rPr>
        <w:t xml:space="preserve">Enmienda </w:t>
      </w:r>
      <w:r w:rsidR="00713E0E">
        <w:rPr>
          <w:szCs w:val="24"/>
          <w:lang w:val="es-ES_tradnl"/>
        </w:rPr>
        <w:t>Nº</w:t>
      </w:r>
      <w:r>
        <w:rPr>
          <w:szCs w:val="24"/>
          <w:lang w:val="es-ES_tradnl"/>
        </w:rPr>
        <w:t xml:space="preserve"> 42 (febrero de 2008): se prohíbe a un empleador asignar a una mujer turnos de noche o durante el descanso semanal durante los cuatro meses siguientes a su regreso de la licencia de maternidad, a menos que así lo haya acordado por escrito (quedan excluidos determinados puestos de trabajo,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el trabajo en hospitales, etc.).</w:t>
      </w:r>
    </w:p>
    <w:p w:rsidR="00F92819" w:rsidRDefault="00F92819">
      <w:pPr>
        <w:pStyle w:val="SingleTxtG"/>
        <w:ind w:left="1701"/>
        <w:rPr>
          <w:szCs w:val="24"/>
        </w:rPr>
      </w:pPr>
      <w:r>
        <w:rPr>
          <w:szCs w:val="24"/>
        </w:rPr>
        <w:t>411.11</w:t>
      </w:r>
      <w:r>
        <w:rPr>
          <w:szCs w:val="24"/>
        </w:rPr>
        <w:tab/>
        <w:t xml:space="preserve"> </w:t>
      </w:r>
      <w:r>
        <w:rPr>
          <w:szCs w:val="24"/>
          <w:lang w:val="es-ES_tradnl"/>
        </w:rPr>
        <w:t xml:space="preserve">Enmienda </w:t>
      </w:r>
      <w:r w:rsidR="00713E0E">
        <w:rPr>
          <w:szCs w:val="24"/>
          <w:lang w:val="es-ES_tradnl"/>
        </w:rPr>
        <w:t>Nº</w:t>
      </w:r>
      <w:r>
        <w:rPr>
          <w:szCs w:val="24"/>
          <w:lang w:val="es-ES_tradnl"/>
        </w:rPr>
        <w:t xml:space="preserve"> 43 (febrero de 2008): impide la posibilidad de solapar el período de aviso previo de despido con los períodos durante los cuales la Ley prohíbe el despido.</w:t>
      </w:r>
    </w:p>
    <w:p w:rsidR="00F92819" w:rsidRDefault="00F92819">
      <w:pPr>
        <w:pStyle w:val="SingleTxtG"/>
        <w:ind w:left="1701"/>
        <w:rPr>
          <w:szCs w:val="24"/>
        </w:rPr>
      </w:pPr>
      <w:r>
        <w:rPr>
          <w:szCs w:val="24"/>
        </w:rPr>
        <w:t>411.12</w:t>
      </w:r>
      <w:r>
        <w:rPr>
          <w:szCs w:val="24"/>
        </w:rPr>
        <w:tab/>
        <w:t xml:space="preserve"> </w:t>
      </w:r>
      <w:r>
        <w:rPr>
          <w:szCs w:val="24"/>
          <w:lang w:val="es-ES_tradnl"/>
        </w:rPr>
        <w:t xml:space="preserve">Enmienda </w:t>
      </w:r>
      <w:r w:rsidR="00713E0E">
        <w:rPr>
          <w:szCs w:val="24"/>
          <w:lang w:val="es-ES_tradnl"/>
        </w:rPr>
        <w:t>Nº</w:t>
      </w:r>
      <w:r>
        <w:rPr>
          <w:szCs w:val="24"/>
          <w:lang w:val="es-ES_tradnl"/>
        </w:rPr>
        <w:t xml:space="preserve"> 44 (marzo de 2008): antes de la enmienda, la Ley preveía un período de vacaciones no retribuido después de la licencia de maternidad, a condición de que la empleada hubiese trabajado </w:t>
      </w:r>
      <w:smartTag w:uri="urn:schemas-microsoft-com:office:smarttags" w:element="City">
        <w:r>
          <w:rPr>
            <w:szCs w:val="24"/>
            <w:lang w:val="es-ES_tradnl"/>
          </w:rPr>
          <w:t>como</w:t>
        </w:r>
      </w:smartTag>
      <w:r>
        <w:rPr>
          <w:szCs w:val="24"/>
          <w:lang w:val="es-ES_tradnl"/>
        </w:rPr>
        <w:t xml:space="preserve"> mínimo 24 meses antes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nacimiento.</w:t>
      </w:r>
      <w:r>
        <w:rPr>
          <w:szCs w:val="24"/>
        </w:rPr>
        <w:t xml:space="preserve"> </w:t>
      </w:r>
      <w:r>
        <w:rPr>
          <w:szCs w:val="24"/>
          <w:lang w:val="es-ES_tradnl"/>
        </w:rPr>
        <w:t>La enmienda tiene en cuenta este derecho con tan sólo 12 meses de empleo antes de dar a luz.</w:t>
      </w:r>
    </w:p>
    <w:p w:rsidR="00F92819" w:rsidRDefault="00F92819">
      <w:pPr>
        <w:pStyle w:val="SingleTxtG"/>
        <w:ind w:left="1701"/>
        <w:rPr>
          <w:szCs w:val="24"/>
        </w:rPr>
      </w:pPr>
      <w:r>
        <w:rPr>
          <w:szCs w:val="24"/>
        </w:rPr>
        <w:t>411.13</w:t>
      </w:r>
      <w:r>
        <w:rPr>
          <w:szCs w:val="24"/>
        </w:rPr>
        <w:tab/>
        <w:t xml:space="preserve"> </w:t>
      </w:r>
      <w:r>
        <w:rPr>
          <w:szCs w:val="24"/>
          <w:lang w:val="es-ES_tradnl"/>
        </w:rPr>
        <w:t>Además, a partir de septiembre de 2007 un hombre puede reemplazar a su mujer en la licencia de maternidad si ella no puede cuidar del recién nacido debido a su estado de salud, aun cuando no hayan transcurrido seis semanas desde el nacimiento, como suele exigirse, si el lactante está bajo la tutela del padre y a su cuidado exclusivo.</w:t>
      </w:r>
      <w:r>
        <w:rPr>
          <w:szCs w:val="24"/>
        </w:rPr>
        <w:t xml:space="preserve"> </w:t>
      </w:r>
      <w:r>
        <w:rPr>
          <w:szCs w:val="24"/>
          <w:lang w:val="es-ES_tradnl"/>
        </w:rPr>
        <w:t>Esta licencia de maternidad para el padre incluye una ampliación de la licencia con motivo de nacimientos múltiples u hospitalización del lactante.</w:t>
      </w:r>
    </w:p>
    <w:p w:rsidR="00F92819" w:rsidRDefault="00F92819">
      <w:pPr>
        <w:pStyle w:val="SingleTxtG"/>
        <w:rPr>
          <w:szCs w:val="24"/>
        </w:rPr>
      </w:pPr>
      <w:r>
        <w:rPr>
          <w:szCs w:val="24"/>
        </w:rPr>
        <w:t>412.</w:t>
      </w:r>
      <w:r>
        <w:rPr>
          <w:szCs w:val="24"/>
        </w:rPr>
        <w:tab/>
      </w:r>
      <w:r>
        <w:rPr>
          <w:szCs w:val="24"/>
          <w:lang w:val="es-ES_tradnl"/>
        </w:rPr>
        <w:t>El</w:t>
      </w:r>
      <w:r>
        <w:rPr>
          <w:i/>
          <w:szCs w:val="24"/>
          <w:lang w:val="es-ES_tradnl"/>
        </w:rPr>
        <w:t xml:space="preserve"> Reglamento </w:t>
      </w:r>
      <w:smartTag w:uri="urn:schemas-microsoft-com:office:smarttags" w:element="State">
        <w:smartTag w:uri="urn:schemas-microsoft-com:office:smarttags" w:element="place">
          <w:r>
            <w:rPr>
              <w:i/>
              <w:szCs w:val="24"/>
              <w:lang w:val="es-ES_tradnl"/>
            </w:rPr>
            <w:t>del</w:t>
          </w:r>
        </w:smartTag>
      </w:smartTag>
      <w:r>
        <w:rPr>
          <w:i/>
          <w:szCs w:val="24"/>
          <w:lang w:val="es-ES_tradnl"/>
        </w:rPr>
        <w:t xml:space="preserve"> empleo femenino (plazos y normas para el pago a la Caja de Pensiones)</w:t>
      </w:r>
      <w:r>
        <w:rPr>
          <w:szCs w:val="24"/>
          <w:lang w:val="es-ES_tradnl"/>
        </w:rPr>
        <w:t xml:space="preserve"> de 5768/2008 entró en vigor el 1º de septiembre de 2008. De conformidad con el nuevo reglamento, durante la licencia de maternidad el empleador tiene la obligación de seguir contribuyendo a la caja de pensiones del empleado, de la misma manera y en la misma cantidad que antes de la licencia de maternidad.</w:t>
      </w:r>
      <w:r>
        <w:rPr>
          <w:szCs w:val="24"/>
        </w:rPr>
        <w:t xml:space="preserve"> </w:t>
      </w:r>
      <w:r>
        <w:rPr>
          <w:szCs w:val="24"/>
          <w:lang w:val="es-ES_tradnl"/>
        </w:rPr>
        <w:t xml:space="preserve">La cantidad correspondiente que debe transferir el empleador se deducirá del último salario antes de la licencia de maternidad y del primer sueldo una vez concluida </w:t>
      </w:r>
      <w:smartTag w:uri="urn:schemas-microsoft-com:office:smarttags" w:element="PersonName">
        <w:smartTagPr>
          <w:attr w:name="ProductID" w:val="la licencia. El"/>
        </w:smartTagPr>
        <w:r>
          <w:rPr>
            <w:szCs w:val="24"/>
            <w:lang w:val="es-ES_tradnl"/>
          </w:rPr>
          <w:t>la licencia.</w:t>
        </w:r>
        <w:r>
          <w:rPr>
            <w:szCs w:val="24"/>
          </w:rPr>
          <w:t xml:space="preserve"> </w:t>
        </w:r>
        <w:r>
          <w:rPr>
            <w:szCs w:val="24"/>
            <w:lang w:val="es-ES_tradnl"/>
          </w:rPr>
          <w:t>El</w:t>
        </w:r>
      </w:smartTag>
      <w:r>
        <w:rPr>
          <w:szCs w:val="24"/>
          <w:lang w:val="es-ES_tradnl"/>
        </w:rPr>
        <w:t xml:space="preserve"> reglamento establece que estas disposiciones son incondicionales.</w:t>
      </w:r>
    </w:p>
    <w:p w:rsidR="00F92819" w:rsidRDefault="00F92819">
      <w:pPr>
        <w:pStyle w:val="SingleTxtG"/>
        <w:rPr>
          <w:szCs w:val="24"/>
        </w:rPr>
      </w:pPr>
      <w:r>
        <w:rPr>
          <w:szCs w:val="24"/>
          <w:lang w:val="es-ES_tradnl"/>
        </w:rPr>
        <w:t>El reglamento determina además que durante la licencia de protección de la maternidad el empleador está obligado a transferir los pagos a la caja de pensiones de la empleada sólo si ésta ha cumplido su obligación pertinente de transferirlos a lo largo de la licencia de protección de la maternidad.</w:t>
      </w:r>
    </w:p>
    <w:p w:rsidR="00F92819" w:rsidRDefault="00F92819">
      <w:pPr>
        <w:pStyle w:val="SingleTxtG"/>
        <w:rPr>
          <w:szCs w:val="24"/>
        </w:rPr>
      </w:pPr>
      <w:r>
        <w:rPr>
          <w:szCs w:val="24"/>
        </w:rPr>
        <w:t>413.</w:t>
      </w:r>
      <w:r>
        <w:rPr>
          <w:szCs w:val="24"/>
        </w:rPr>
        <w:tab/>
      </w:r>
      <w:r>
        <w:rPr>
          <w:szCs w:val="24"/>
          <w:lang w:val="es-ES_tradnl"/>
        </w:rPr>
        <w:t xml:space="preserve">El 24 de agosto de 2006 el Tribunal de Trabajo del Distrito de Jerusalén ordenó a </w:t>
      </w:r>
      <w:smartTag w:uri="urn:schemas-microsoft-com:office:smarttags" w:element="PersonName">
        <w:smartTagPr>
          <w:attr w:name="ProductID" w:val="la ISS Ashmoret Company"/>
        </w:smartTagPr>
        <w:r>
          <w:rPr>
            <w:szCs w:val="24"/>
            <w:lang w:val="es-ES_tradnl"/>
          </w:rPr>
          <w:t>la ISS Ashmoret Company</w:t>
        </w:r>
      </w:smartTag>
      <w:r>
        <w:rPr>
          <w:szCs w:val="24"/>
          <w:lang w:val="es-ES_tradnl"/>
        </w:rPr>
        <w:t xml:space="preserve"> Ltd. que pagara indemnización a una empleada que había sido despedida ilegalmente en el séptimo mes de embarazo, sin la aprobación del Supervisor del Trabajo Femenino del Ministerio de Industria, Comercio y Empleo (LC.</w:t>
      </w:r>
      <w:r>
        <w:rPr>
          <w:szCs w:val="24"/>
        </w:rPr>
        <w:t xml:space="preserve"> </w:t>
      </w:r>
      <w:r>
        <w:rPr>
          <w:szCs w:val="24"/>
          <w:lang w:val="es-ES_tradnl"/>
        </w:rPr>
        <w:t xml:space="preserve">001452/04 </w:t>
      </w:r>
      <w:r>
        <w:rPr>
          <w:i/>
          <w:szCs w:val="24"/>
          <w:lang w:val="es-ES_tradnl"/>
        </w:rPr>
        <w:t xml:space="preserve">Ayenalem Ababito c. </w:t>
      </w:r>
      <w:smartTag w:uri="urn:schemas-microsoft-com:office:smarttags" w:element="PersonName">
        <w:smartTagPr>
          <w:attr w:name="ProductID" w:val="la ISS Ashmoret Company"/>
        </w:smartTagPr>
        <w:r>
          <w:rPr>
            <w:i/>
            <w:szCs w:val="24"/>
            <w:lang w:val="es-ES_tradnl"/>
          </w:rPr>
          <w:t>la ISS Ashmoret Company</w:t>
        </w:r>
      </w:smartTag>
      <w:r>
        <w:rPr>
          <w:i/>
          <w:szCs w:val="24"/>
          <w:lang w:val="es-ES_tradnl"/>
        </w:rPr>
        <w:t xml:space="preserve"> Ltd</w:t>
      </w:r>
      <w:r>
        <w:rPr>
          <w:szCs w:val="24"/>
          <w:lang w:val="es-ES_tradnl"/>
        </w:rPr>
        <w:t>).</w:t>
      </w:r>
      <w:r>
        <w:rPr>
          <w:szCs w:val="24"/>
        </w:rPr>
        <w:t xml:space="preserve"> </w:t>
      </w:r>
      <w:r>
        <w:rPr>
          <w:szCs w:val="24"/>
          <w:lang w:val="es-ES_tradnl"/>
        </w:rPr>
        <w:t>El Tribunal estimó todos los argumentos de la demandante y determinó que los demandados la habían despedido ilegalmente cuando descubrieron que estaba embarazada.</w:t>
      </w:r>
      <w:r>
        <w:rPr>
          <w:szCs w:val="24"/>
        </w:rPr>
        <w:t xml:space="preserve"> </w:t>
      </w:r>
      <w:r>
        <w:rPr>
          <w:szCs w:val="24"/>
          <w:lang w:val="es-ES_tradnl"/>
        </w:rPr>
        <w:t xml:space="preserve">De conformidad con lo dispuesto en la </w:t>
      </w:r>
      <w:r>
        <w:rPr>
          <w:i/>
          <w:szCs w:val="24"/>
          <w:lang w:val="es-ES_tradnl"/>
        </w:rPr>
        <w:t xml:space="preserve">Ley de igualdad de oportunidades de empleo, </w:t>
      </w:r>
      <w:r>
        <w:rPr>
          <w:szCs w:val="24"/>
          <w:lang w:val="es-ES_tradnl"/>
        </w:rPr>
        <w:t>el Tribunal imputó responsabilidad personal al director de la sucursal y al director regional de la empleada.</w:t>
      </w:r>
    </w:p>
    <w:p w:rsidR="00F92819" w:rsidRDefault="00F92819">
      <w:pPr>
        <w:pStyle w:val="SingleTxtG"/>
        <w:rPr>
          <w:szCs w:val="24"/>
        </w:rPr>
      </w:pPr>
      <w:r>
        <w:rPr>
          <w:szCs w:val="24"/>
          <w:lang w:val="es-ES_tradnl"/>
        </w:rPr>
        <w:t xml:space="preserve">El Tribunal también ordenó a </w:t>
      </w:r>
      <w:smartTag w:uri="urn:schemas-microsoft-com:office:smarttags" w:element="PersonName">
        <w:smartTagPr>
          <w:attr w:name="ProductID" w:val="la ISS Company"/>
        </w:smartTagPr>
        <w:r>
          <w:rPr>
            <w:szCs w:val="24"/>
            <w:lang w:val="es-ES_tradnl"/>
          </w:rPr>
          <w:t>la ISS Company</w:t>
        </w:r>
      </w:smartTag>
      <w:r>
        <w:rPr>
          <w:szCs w:val="24"/>
          <w:lang w:val="es-ES_tradnl"/>
        </w:rPr>
        <w:t xml:space="preserve"> que pagara a la empleada unos 300.000 nuevos sheqalim (78.947 dólares de los EE.UU.) en concepto de indemnización por el despido, los sufrimientos morales, la pérdida de ingresos y la pérdida del subsidio de maternidad.</w:t>
      </w:r>
    </w:p>
    <w:p w:rsidR="00F92819" w:rsidRDefault="00F92819">
      <w:pPr>
        <w:pStyle w:val="H4G"/>
        <w:rPr>
          <w:szCs w:val="24"/>
        </w:rPr>
      </w:pPr>
      <w:r>
        <w:rPr>
          <w:szCs w:val="24"/>
        </w:rPr>
        <w:tab/>
      </w:r>
      <w:r>
        <w:rPr>
          <w:szCs w:val="24"/>
        </w:rPr>
        <w:tab/>
      </w:r>
      <w:r>
        <w:rPr>
          <w:szCs w:val="24"/>
          <w:lang w:val="es-ES_tradnl"/>
        </w:rPr>
        <w:t>Prestaciones y pagos en efectivo</w:t>
      </w:r>
    </w:p>
    <w:p w:rsidR="00F92819" w:rsidRDefault="00F92819">
      <w:pPr>
        <w:pStyle w:val="SingleTxtG"/>
        <w:rPr>
          <w:szCs w:val="24"/>
        </w:rPr>
      </w:pPr>
      <w:r>
        <w:rPr>
          <w:szCs w:val="24"/>
        </w:rPr>
        <w:t>414.</w:t>
      </w:r>
      <w:r>
        <w:rPr>
          <w:szCs w:val="24"/>
        </w:rPr>
        <w:tab/>
      </w:r>
      <w:r>
        <w:rPr>
          <w:szCs w:val="24"/>
          <w:lang w:val="es-ES_tradnl"/>
        </w:rPr>
        <w:t>Véase en el artículo 9 anterior una amplia referencia a las prestaciones de maternidad.</w:t>
      </w:r>
    </w:p>
    <w:p w:rsidR="00F92819" w:rsidRDefault="00F92819">
      <w:pPr>
        <w:pStyle w:val="SingleTxtG"/>
        <w:rPr>
          <w:szCs w:val="24"/>
        </w:rPr>
      </w:pPr>
      <w:r>
        <w:rPr>
          <w:szCs w:val="24"/>
        </w:rPr>
        <w:t>415.</w:t>
      </w:r>
      <w:r>
        <w:rPr>
          <w:szCs w:val="24"/>
        </w:rPr>
        <w:tab/>
      </w:r>
      <w:r>
        <w:rPr>
          <w:szCs w:val="24"/>
          <w:lang w:val="es-ES_tradnl"/>
        </w:rPr>
        <w:t xml:space="preserve">Una reciente enmienda a la </w:t>
      </w:r>
      <w:r>
        <w:rPr>
          <w:i/>
          <w:szCs w:val="24"/>
          <w:lang w:val="es-ES_tradnl"/>
        </w:rPr>
        <w:t>Ley de prestaciones por enfermedad (ausencia del trabajo por enfermedad de un hijo)</w:t>
      </w:r>
      <w:r>
        <w:rPr>
          <w:szCs w:val="24"/>
          <w:lang w:val="es-ES_tradnl"/>
        </w:rPr>
        <w:t xml:space="preserve"> de 5753/1993 (18 de marzo de 2008) amplió de </w:t>
      </w:r>
      <w:smartTag w:uri="urn:schemas-microsoft-com:office:smarttags" w:element="metricconverter">
        <w:smartTagPr>
          <w:attr w:name="ProductID" w:val="12 a"/>
        </w:smartTagPr>
        <w:r>
          <w:rPr>
            <w:szCs w:val="24"/>
            <w:lang w:val="es-ES_tradnl"/>
          </w:rPr>
          <w:t>12 a</w:t>
        </w:r>
      </w:smartTag>
      <w:r>
        <w:rPr>
          <w:szCs w:val="24"/>
          <w:lang w:val="es-ES_tradnl"/>
        </w:rPr>
        <w:t xml:space="preserve"> 16 días (en comparación con la norma de 8 días) la prestación por enfermedad para un progenitor único que tiene a su hijo a su cuidado exclusivo, para atenderle cuando está enfermo.</w:t>
      </w:r>
    </w:p>
    <w:p w:rsidR="00F92819" w:rsidRDefault="00F92819">
      <w:pPr>
        <w:pStyle w:val="H4G"/>
        <w:rPr>
          <w:szCs w:val="24"/>
        </w:rPr>
      </w:pPr>
      <w:r>
        <w:rPr>
          <w:szCs w:val="24"/>
        </w:rPr>
        <w:tab/>
      </w:r>
      <w:r>
        <w:rPr>
          <w:szCs w:val="24"/>
        </w:rPr>
        <w:tab/>
      </w:r>
      <w:r>
        <w:rPr>
          <w:szCs w:val="24"/>
          <w:lang w:val="es-ES_tradnl"/>
        </w:rPr>
        <w:t>Igualdad</w:t>
      </w:r>
    </w:p>
    <w:p w:rsidR="00F92819" w:rsidRDefault="00F92819">
      <w:pPr>
        <w:pStyle w:val="SingleTxtG"/>
        <w:rPr>
          <w:szCs w:val="24"/>
        </w:rPr>
      </w:pPr>
      <w:r>
        <w:rPr>
          <w:szCs w:val="24"/>
        </w:rPr>
        <w:t>416.</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1G"/>
        <w:ind w:firstLine="0"/>
        <w:rPr>
          <w:szCs w:val="24"/>
        </w:rPr>
      </w:pPr>
      <w:r>
        <w:rPr>
          <w:szCs w:val="24"/>
          <w:lang w:val="es-ES_tradnl"/>
        </w:rPr>
        <w:t>Artículo 11</w:t>
      </w:r>
      <w:r>
        <w:rPr>
          <w:szCs w:val="24"/>
          <w:lang w:val="es-ES_tradnl"/>
        </w:rPr>
        <w:br/>
        <w:t>Derecho a un nivel de vida adecuado</w:t>
      </w:r>
    </w:p>
    <w:p w:rsidR="00F92819" w:rsidRDefault="00F92819">
      <w:pPr>
        <w:pStyle w:val="SingleTxtG"/>
        <w:rPr>
          <w:szCs w:val="24"/>
        </w:rPr>
      </w:pPr>
      <w:r>
        <w:rPr>
          <w:szCs w:val="24"/>
        </w:rPr>
        <w:t>417.</w:t>
      </w:r>
      <w:r>
        <w:rPr>
          <w:szCs w:val="24"/>
        </w:rPr>
        <w:tab/>
      </w:r>
      <w:smartTag w:uri="urn:schemas-microsoft-com:office:smarttags" w:element="City">
        <w:r>
          <w:rPr>
            <w:szCs w:val="24"/>
            <w:lang w:val="es-ES_tradnl"/>
          </w:rPr>
          <w:t>Como</w:t>
        </w:r>
      </w:smartTag>
      <w:r>
        <w:rPr>
          <w:szCs w:val="24"/>
          <w:lang w:val="es-ES_tradnl"/>
        </w:rPr>
        <w:t xml:space="preserve"> se detalla en los anteriores informes de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xml:space="preserve">, el derecho a un nivel de vida adecuado está bien reconocido en la sociedad israelí y en su sistema jurídico, a cuyo cumplimiento continuado se dedican los poderes judicial, ejecutivo y legislativo. </w:t>
      </w:r>
    </w:p>
    <w:p w:rsidR="00F92819" w:rsidRDefault="00F92819">
      <w:pPr>
        <w:pStyle w:val="SingleTxtG"/>
        <w:rPr>
          <w:szCs w:val="24"/>
        </w:rPr>
      </w:pPr>
      <w:r>
        <w:rPr>
          <w:szCs w:val="24"/>
        </w:rPr>
        <w:t>418.</w:t>
      </w:r>
      <w:r>
        <w:rPr>
          <w:szCs w:val="24"/>
        </w:rPr>
        <w:tab/>
      </w:r>
      <w:r>
        <w:rPr>
          <w:szCs w:val="24"/>
          <w:lang w:val="es-ES_tradnl"/>
        </w:rPr>
        <w:t>Muchas dependencias del Gobierno contribuyen a fomentar el nivel de vida en toda la sociedad israelí, entre ellas los Ministerios de Salud, Infraestructuras Nacionales, Industria, Comercio y Trabajo y Asuntos Sociales y Servicios Sociales.</w:t>
      </w:r>
      <w:r>
        <w:rPr>
          <w:szCs w:val="24"/>
        </w:rPr>
        <w:t xml:space="preserve"> </w:t>
      </w:r>
      <w:r>
        <w:rPr>
          <w:szCs w:val="24"/>
          <w:lang w:val="es-ES_tradnl"/>
        </w:rPr>
        <w:t>Un ejemplo destacado del compromiso del Estado de Israel por ofrecer un nivel de vida adecuado es el Instituto Nacional de Seguros y su actividad, encaminada a garantizar una base económica para una existencia digna a las poblaciones y a las familias débiles con dificultades transitorias o de larga duración.</w:t>
      </w:r>
      <w:r>
        <w:rPr>
          <w:szCs w:val="24"/>
        </w:rPr>
        <w:t xml:space="preserve"> </w:t>
      </w:r>
      <w:r>
        <w:rPr>
          <w:szCs w:val="24"/>
          <w:lang w:val="es-ES_tradnl"/>
        </w:rPr>
        <w:t xml:space="preserve">Las diversas poblaciones de la sociedad israelí pueden acceder de forma equitativa a los servicios del Instituto Nacional de Seguros, que se describen con detalle en el artículo 9 anterior. </w:t>
      </w:r>
    </w:p>
    <w:p w:rsidR="00F92819" w:rsidRDefault="00F92819">
      <w:pPr>
        <w:pStyle w:val="SingleTxtG"/>
        <w:rPr>
          <w:szCs w:val="24"/>
        </w:rPr>
      </w:pPr>
      <w:r>
        <w:rPr>
          <w:szCs w:val="24"/>
        </w:rPr>
        <w:t>419.</w:t>
      </w:r>
      <w:r>
        <w:rPr>
          <w:szCs w:val="24"/>
        </w:rPr>
        <w:tab/>
      </w:r>
      <w:r>
        <w:rPr>
          <w:szCs w:val="24"/>
          <w:lang w:val="es-ES_tradnl"/>
        </w:rPr>
        <w:t xml:space="preserve">Los tribunales de </w:t>
      </w:r>
      <w:smartTag w:uri="urn:schemas-microsoft-com:office:smarttags" w:element="country-region">
        <w:r>
          <w:rPr>
            <w:szCs w:val="24"/>
            <w:lang w:val="es-ES_tradnl"/>
          </w:rPr>
          <w:t>Israel</w:t>
        </w:r>
      </w:smartTag>
      <w:r>
        <w:rPr>
          <w:szCs w:val="24"/>
          <w:lang w:val="es-ES_tradnl"/>
        </w:rPr>
        <w:t xml:space="preserve"> siguen contribuyendo decisivamente a la protección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derecho a un nivel de vida adecuado.</w:t>
      </w:r>
      <w:r>
        <w:rPr>
          <w:szCs w:val="24"/>
        </w:rPr>
        <w:t xml:space="preserve"> </w:t>
      </w:r>
      <w:r>
        <w:rPr>
          <w:szCs w:val="24"/>
          <w:lang w:val="es-ES_tradnl"/>
        </w:rPr>
        <w:t>El Tribunal Supremo, constituido en Tribunal Superior de Justicia, abordó la cuestión del nivel de vida en una demanda presentada por la Asociación para el Compromiso por la Paz y </w:t>
      </w:r>
      <w:smartTag w:uri="urn:schemas-microsoft-com:office:smarttags" w:element="PersonName">
        <w:smartTagPr>
          <w:attr w:name="ProductID" w:val="la Justicia Social"/>
        </w:smartTagPr>
        <w:r>
          <w:rPr>
            <w:szCs w:val="24"/>
            <w:lang w:val="es-ES_tradnl"/>
          </w:rPr>
          <w:t>la Justicia Social</w:t>
        </w:r>
      </w:smartTag>
      <w:r>
        <w:rPr>
          <w:szCs w:val="24"/>
          <w:lang w:val="es-ES_tradnl"/>
        </w:rPr>
        <w:t xml:space="preserve"> (H.C.J. 366/03</w:t>
      </w:r>
      <w:r>
        <w:rPr>
          <w:i/>
          <w:szCs w:val="24"/>
          <w:lang w:val="es-ES_tradnl"/>
        </w:rPr>
        <w:t xml:space="preserve"> La Asociación para el Compromiso por la Paz y </w:t>
      </w:r>
      <w:smartTag w:uri="urn:schemas-microsoft-com:office:smarttags" w:element="PersonName">
        <w:smartTagPr>
          <w:attr w:name="ProductID" w:val="la Justicia Social"/>
        </w:smartTagPr>
        <w:r>
          <w:rPr>
            <w:i/>
            <w:szCs w:val="24"/>
            <w:lang w:val="es-ES_tradnl"/>
          </w:rPr>
          <w:t>la Justicia Social</w:t>
        </w:r>
      </w:smartTag>
      <w:r>
        <w:rPr>
          <w:i/>
          <w:szCs w:val="24"/>
          <w:lang w:val="es-ES_tradnl"/>
        </w:rPr>
        <w:t xml:space="preserve"> c. el Ministro de Hacienda </w:t>
      </w:r>
      <w:r>
        <w:rPr>
          <w:szCs w:val="24"/>
          <w:lang w:val="es-ES_tradnl"/>
        </w:rPr>
        <w:t>(12 de diciembre de 2005).</w:t>
      </w:r>
      <w:r>
        <w:rPr>
          <w:szCs w:val="24"/>
        </w:rPr>
        <w:t xml:space="preserve"> </w:t>
      </w:r>
      <w:r>
        <w:rPr>
          <w:szCs w:val="24"/>
          <w:lang w:val="es-ES_tradnl"/>
        </w:rPr>
        <w:t xml:space="preserve">En su fallo, el Tribunal puso de relieve que, si bien la </w:t>
      </w:r>
      <w:r>
        <w:rPr>
          <w:i/>
          <w:szCs w:val="24"/>
          <w:lang w:val="es-ES_tradnl"/>
        </w:rPr>
        <w:t>Ley fundamental:</w:t>
      </w:r>
      <w:r>
        <w:rPr>
          <w:i/>
          <w:szCs w:val="24"/>
        </w:rPr>
        <w:t xml:space="preserve"> </w:t>
      </w:r>
      <w:r>
        <w:rPr>
          <w:i/>
          <w:szCs w:val="24"/>
          <w:lang w:val="es-ES_tradnl"/>
        </w:rPr>
        <w:t>dignidad y libertad humanas</w:t>
      </w:r>
      <w:r>
        <w:rPr>
          <w:szCs w:val="24"/>
          <w:lang w:val="es-ES_tradnl"/>
        </w:rPr>
        <w:t xml:space="preserve"> imponía al Estado la obligación de garantizar la dignidad humana, no preveía una protección absoluta y total de los derechos sociales.</w:t>
      </w:r>
      <w:r>
        <w:rPr>
          <w:szCs w:val="24"/>
        </w:rPr>
        <w:t xml:space="preserve"> </w:t>
      </w:r>
      <w:r>
        <w:rPr>
          <w:szCs w:val="24"/>
          <w:lang w:val="es-ES_tradnl"/>
        </w:rPr>
        <w:t>Sin embargo, el Estado estaba obligado en este sentido a mantener una “red de seguridad” que impidiera que el deterioro de la situación de las personas desfavorecidas llegara a la privación existencial, consistente en una escasez de alimentos, vivienda, higiene, servicios de atención sanitaria, etc.</w:t>
      </w:r>
    </w:p>
    <w:p w:rsidR="00F92819" w:rsidRDefault="00F92819">
      <w:pPr>
        <w:pStyle w:val="H23G"/>
        <w:rPr>
          <w:szCs w:val="24"/>
        </w:rPr>
      </w:pPr>
      <w:r>
        <w:rPr>
          <w:szCs w:val="24"/>
        </w:rPr>
        <w:tab/>
      </w:r>
      <w:r>
        <w:rPr>
          <w:szCs w:val="24"/>
        </w:rPr>
        <w:tab/>
      </w:r>
      <w:r>
        <w:rPr>
          <w:szCs w:val="24"/>
          <w:lang w:val="es-ES_tradnl"/>
        </w:rPr>
        <w:t>Nivel de vida actual de la población de Israel</w:t>
      </w:r>
    </w:p>
    <w:p w:rsidR="00F92819" w:rsidRDefault="00F92819">
      <w:pPr>
        <w:pStyle w:val="H4G"/>
        <w:rPr>
          <w:szCs w:val="24"/>
        </w:rPr>
      </w:pPr>
      <w:r>
        <w:rPr>
          <w:szCs w:val="24"/>
        </w:rPr>
        <w:tab/>
      </w:r>
      <w:r>
        <w:rPr>
          <w:szCs w:val="24"/>
        </w:rPr>
        <w:tab/>
      </w:r>
      <w:r>
        <w:rPr>
          <w:szCs w:val="24"/>
          <w:lang w:val="es-ES_tradnl"/>
        </w:rPr>
        <w:t>Datos disponibles sobre el nivel de vida y la pobreza</w:t>
      </w:r>
    </w:p>
    <w:p w:rsidR="00F92819" w:rsidRDefault="00F92819">
      <w:pPr>
        <w:pStyle w:val="H56G"/>
        <w:numPr>
          <w:ilvl w:val="0"/>
          <w:numId w:val="17"/>
        </w:numPr>
        <w:tabs>
          <w:tab w:val="clear" w:pos="2268"/>
        </w:tabs>
        <w:ind w:left="1134" w:hanging="1134"/>
        <w:rPr>
          <w:szCs w:val="24"/>
        </w:rPr>
      </w:pPr>
      <w:r>
        <w:rPr>
          <w:szCs w:val="24"/>
        </w:rPr>
        <w:tab/>
      </w:r>
      <w:r>
        <w:rPr>
          <w:szCs w:val="24"/>
          <w:lang w:val="es-ES_tradnl"/>
        </w:rPr>
        <w:t>Nivel de vida</w:t>
      </w:r>
    </w:p>
    <w:p w:rsidR="00F92819" w:rsidRDefault="00F92819">
      <w:pPr>
        <w:pStyle w:val="SingleTxtG"/>
        <w:rPr>
          <w:szCs w:val="24"/>
        </w:rPr>
      </w:pPr>
      <w:r>
        <w:rPr>
          <w:szCs w:val="24"/>
        </w:rPr>
        <w:t>420.</w:t>
      </w:r>
      <w:r>
        <w:rPr>
          <w:szCs w:val="24"/>
        </w:rPr>
        <w:tab/>
      </w:r>
      <w:r>
        <w:rPr>
          <w:szCs w:val="24"/>
          <w:lang w:val="es-ES_tradnl"/>
        </w:rPr>
        <w:t xml:space="preserve">En 2007 los ingresos mensuales brutos por hogar eran 12.935 nuevos sheqalim (3.495 dólares de los EE.UU.), lo que constituye un aumento real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4,2% frente a 2006. Se produjo un aumento real del 4% de los ingresos mensuales brutos en los hogares cuyo cabeza de familia es empleado y un aumento real del 2,7% en los hogares cuyo responsable es una persona autónoma.</w:t>
      </w:r>
    </w:p>
    <w:p w:rsidR="00F92819" w:rsidRDefault="00F92819">
      <w:pPr>
        <w:pStyle w:val="SingleTxtG"/>
        <w:rPr>
          <w:szCs w:val="24"/>
        </w:rPr>
      </w:pPr>
      <w:r>
        <w:rPr>
          <w:szCs w:val="24"/>
        </w:rPr>
        <w:t>421.</w:t>
      </w:r>
      <w:r>
        <w:rPr>
          <w:szCs w:val="24"/>
        </w:rPr>
        <w:tab/>
      </w:r>
      <w:r>
        <w:rPr>
          <w:szCs w:val="24"/>
          <w:lang w:val="es-ES_tradnl"/>
        </w:rPr>
        <w:t xml:space="preserve">En los cuadros siguientes se presentan los principales datos disponibles sobre el nivel de vida en </w:t>
      </w:r>
      <w:smartTag w:uri="urn:schemas-microsoft-com:office:smarttags" w:element="country-region">
        <w:smartTag w:uri="urn:schemas-microsoft-com:office:smarttags" w:element="place">
          <w:r>
            <w:rPr>
              <w:szCs w:val="24"/>
              <w:lang w:val="es-ES_tradnl"/>
            </w:rPr>
            <w:t>Israel</w:t>
          </w:r>
        </w:smartTag>
      </w:smartTag>
      <w:r>
        <w:rPr>
          <w:szCs w:val="24"/>
          <w:lang w:val="es-ES_tradnl"/>
        </w:rPr>
        <w:t>.</w:t>
      </w:r>
    </w:p>
    <w:p w:rsidR="00F92819" w:rsidRDefault="00F92819">
      <w:pPr>
        <w:pStyle w:val="Heading1"/>
        <w:spacing w:before="240"/>
        <w:rPr>
          <w:szCs w:val="24"/>
        </w:rPr>
      </w:pPr>
      <w:r>
        <w:rPr>
          <w:szCs w:val="24"/>
          <w:lang w:val="es-ES_tradnl"/>
        </w:rPr>
        <w:t>Cuadro 20</w:t>
      </w:r>
    </w:p>
    <w:p w:rsidR="00F92819" w:rsidRDefault="00F92819">
      <w:pPr>
        <w:pStyle w:val="SingleTxtG"/>
        <w:jc w:val="left"/>
        <w:rPr>
          <w:b/>
          <w:szCs w:val="24"/>
        </w:rPr>
      </w:pPr>
      <w:r>
        <w:rPr>
          <w:b/>
          <w:szCs w:val="24"/>
          <w:lang w:val="es-ES_tradnl"/>
        </w:rPr>
        <w:t>Ingresos y gastos mensuales, por deciles de ingresos netos (por persona estándar, 2006)</w:t>
      </w:r>
    </w:p>
    <w:tbl>
      <w:tblPr>
        <w:tblStyle w:val="TableGrid"/>
        <w:tblW w:w="962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100"/>
        <w:gridCol w:w="669"/>
        <w:gridCol w:w="670"/>
        <w:gridCol w:w="669"/>
        <w:gridCol w:w="670"/>
        <w:gridCol w:w="669"/>
        <w:gridCol w:w="670"/>
        <w:gridCol w:w="669"/>
        <w:gridCol w:w="670"/>
        <w:gridCol w:w="669"/>
        <w:gridCol w:w="670"/>
        <w:gridCol w:w="833"/>
      </w:tblGrid>
      <w:tr w:rsidR="00F92819">
        <w:trPr>
          <w:tblHeader/>
        </w:trPr>
        <w:tc>
          <w:tcPr>
            <w:tcW w:w="2100" w:type="dxa"/>
            <w:vMerge w:val="restart"/>
            <w:tcBorders>
              <w:top w:val="single" w:sz="4" w:space="0" w:color="auto"/>
            </w:tcBorders>
            <w:vAlign w:val="bottom"/>
          </w:tcPr>
          <w:p w:rsidR="00F92819" w:rsidRDefault="00F92819">
            <w:pPr>
              <w:spacing w:before="80" w:after="80" w:line="200" w:lineRule="exact"/>
              <w:rPr>
                <w:i/>
                <w:sz w:val="16"/>
                <w:szCs w:val="24"/>
              </w:rPr>
            </w:pPr>
          </w:p>
        </w:tc>
        <w:tc>
          <w:tcPr>
            <w:tcW w:w="6695" w:type="dxa"/>
            <w:gridSpan w:val="10"/>
            <w:tcBorders>
              <w:top w:val="single" w:sz="4" w:space="0" w:color="auto"/>
              <w:bottom w:val="single" w:sz="4" w:space="0" w:color="auto"/>
            </w:tcBorders>
            <w:vAlign w:val="bottom"/>
          </w:tcPr>
          <w:p w:rsidR="00F92819" w:rsidRDefault="00F92819">
            <w:pPr>
              <w:spacing w:before="80" w:after="80" w:line="200" w:lineRule="exact"/>
              <w:jc w:val="center"/>
              <w:rPr>
                <w:szCs w:val="24"/>
              </w:rPr>
            </w:pPr>
            <w:r>
              <w:rPr>
                <w:i/>
                <w:sz w:val="16"/>
                <w:szCs w:val="24"/>
                <w:lang w:val="es-ES_tradnl"/>
              </w:rPr>
              <w:t>Deciles</w:t>
            </w:r>
          </w:p>
        </w:tc>
        <w:tc>
          <w:tcPr>
            <w:tcW w:w="833" w:type="dxa"/>
            <w:vMerge w:val="restart"/>
            <w:tcBorders>
              <w:top w:val="single" w:sz="4" w:space="0" w:color="auto"/>
            </w:tcBorders>
            <w:vAlign w:val="bottom"/>
          </w:tcPr>
          <w:p w:rsidR="00F92819" w:rsidRDefault="00F92819">
            <w:pPr>
              <w:spacing w:before="80" w:after="80" w:line="200" w:lineRule="exact"/>
              <w:jc w:val="right"/>
              <w:rPr>
                <w:szCs w:val="24"/>
              </w:rPr>
            </w:pPr>
            <w:r>
              <w:rPr>
                <w:b/>
                <w:i/>
                <w:sz w:val="16"/>
                <w:szCs w:val="24"/>
                <w:lang w:val="es-ES_tradnl"/>
              </w:rPr>
              <w:t>Total</w:t>
            </w:r>
          </w:p>
        </w:tc>
      </w:tr>
      <w:tr w:rsidR="00F92819">
        <w:trPr>
          <w:tblHeader/>
        </w:trPr>
        <w:tc>
          <w:tcPr>
            <w:tcW w:w="2100" w:type="dxa"/>
            <w:vMerge/>
            <w:tcBorders>
              <w:bottom w:val="single" w:sz="12" w:space="0" w:color="auto"/>
            </w:tcBorders>
            <w:vAlign w:val="bottom"/>
          </w:tcPr>
          <w:p w:rsidR="00F92819" w:rsidRDefault="00F92819">
            <w:pPr>
              <w:spacing w:before="80" w:after="80" w:line="200" w:lineRule="exact"/>
              <w:rPr>
                <w:i/>
                <w:sz w:val="16"/>
                <w:szCs w:val="24"/>
              </w:rPr>
            </w:pPr>
          </w:p>
        </w:tc>
        <w:tc>
          <w:tcPr>
            <w:tcW w:w="669"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10</w:t>
            </w:r>
          </w:p>
        </w:tc>
        <w:tc>
          <w:tcPr>
            <w:tcW w:w="67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9</w:t>
            </w:r>
          </w:p>
        </w:tc>
        <w:tc>
          <w:tcPr>
            <w:tcW w:w="669"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8</w:t>
            </w:r>
          </w:p>
        </w:tc>
        <w:tc>
          <w:tcPr>
            <w:tcW w:w="67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7</w:t>
            </w:r>
          </w:p>
        </w:tc>
        <w:tc>
          <w:tcPr>
            <w:tcW w:w="669"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6</w:t>
            </w:r>
          </w:p>
        </w:tc>
        <w:tc>
          <w:tcPr>
            <w:tcW w:w="67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5</w:t>
            </w:r>
          </w:p>
        </w:tc>
        <w:tc>
          <w:tcPr>
            <w:tcW w:w="669"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4</w:t>
            </w:r>
          </w:p>
        </w:tc>
        <w:tc>
          <w:tcPr>
            <w:tcW w:w="67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3</w:t>
            </w:r>
          </w:p>
        </w:tc>
        <w:tc>
          <w:tcPr>
            <w:tcW w:w="669"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w:t>
            </w:r>
          </w:p>
        </w:tc>
        <w:tc>
          <w:tcPr>
            <w:tcW w:w="67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1</w:t>
            </w:r>
          </w:p>
        </w:tc>
        <w:tc>
          <w:tcPr>
            <w:tcW w:w="833" w:type="dxa"/>
            <w:vMerge/>
            <w:tcBorders>
              <w:bottom w:val="single" w:sz="12" w:space="0" w:color="auto"/>
            </w:tcBorders>
            <w:vAlign w:val="bottom"/>
          </w:tcPr>
          <w:p w:rsidR="00F92819" w:rsidRDefault="00F92819">
            <w:pPr>
              <w:spacing w:before="80" w:after="80" w:line="200" w:lineRule="exact"/>
              <w:jc w:val="right"/>
              <w:rPr>
                <w:b/>
                <w:i/>
                <w:sz w:val="16"/>
                <w:szCs w:val="24"/>
              </w:rPr>
            </w:pPr>
          </w:p>
        </w:tc>
      </w:tr>
      <w:tr w:rsidR="00F92819">
        <w:tc>
          <w:tcPr>
            <w:tcW w:w="2100" w:type="dxa"/>
            <w:tcBorders>
              <w:top w:val="single" w:sz="12" w:space="0" w:color="auto"/>
            </w:tcBorders>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Límite superior del decil (nuevos sheqalim)</w:t>
            </w:r>
          </w:p>
        </w:tc>
        <w:tc>
          <w:tcPr>
            <w:tcW w:w="669" w:type="dxa"/>
            <w:tcBorders>
              <w:top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w:t>
            </w:r>
          </w:p>
        </w:tc>
        <w:tc>
          <w:tcPr>
            <w:tcW w:w="670" w:type="dxa"/>
            <w:tcBorders>
              <w:top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8 935</w:t>
            </w:r>
          </w:p>
        </w:tc>
        <w:tc>
          <w:tcPr>
            <w:tcW w:w="669" w:type="dxa"/>
            <w:tcBorders>
              <w:top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6 906</w:t>
            </w:r>
          </w:p>
        </w:tc>
        <w:tc>
          <w:tcPr>
            <w:tcW w:w="670" w:type="dxa"/>
            <w:tcBorders>
              <w:top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5 689</w:t>
            </w:r>
          </w:p>
        </w:tc>
        <w:tc>
          <w:tcPr>
            <w:tcW w:w="669" w:type="dxa"/>
            <w:tcBorders>
              <w:top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4 882</w:t>
            </w:r>
          </w:p>
        </w:tc>
        <w:tc>
          <w:tcPr>
            <w:tcW w:w="670" w:type="dxa"/>
            <w:tcBorders>
              <w:top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4 119</w:t>
            </w:r>
          </w:p>
        </w:tc>
        <w:tc>
          <w:tcPr>
            <w:tcW w:w="669" w:type="dxa"/>
            <w:tcBorders>
              <w:top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3 470</w:t>
            </w:r>
          </w:p>
        </w:tc>
        <w:tc>
          <w:tcPr>
            <w:tcW w:w="670" w:type="dxa"/>
            <w:tcBorders>
              <w:top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2 839</w:t>
            </w:r>
          </w:p>
        </w:tc>
        <w:tc>
          <w:tcPr>
            <w:tcW w:w="669" w:type="dxa"/>
            <w:tcBorders>
              <w:top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2 206</w:t>
            </w:r>
          </w:p>
        </w:tc>
        <w:tc>
          <w:tcPr>
            <w:tcW w:w="670" w:type="dxa"/>
            <w:tcBorders>
              <w:top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1 598</w:t>
            </w:r>
          </w:p>
        </w:tc>
        <w:tc>
          <w:tcPr>
            <w:tcW w:w="833" w:type="dxa"/>
            <w:tcBorders>
              <w:top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w:t>
            </w:r>
          </w:p>
        </w:tc>
      </w:tr>
      <w:tr w:rsidR="00F92819">
        <w:tc>
          <w:tcPr>
            <w:tcW w:w="2100" w:type="dxa"/>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Hogares en la muestra</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664</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642</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667</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608</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635</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611</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636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615</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613</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568</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6 259</w:t>
            </w:r>
          </w:p>
        </w:tc>
      </w:tr>
      <w:tr w:rsidR="00F92819">
        <w:tc>
          <w:tcPr>
            <w:tcW w:w="2100" w:type="dxa"/>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Hogares en la población (en miles)</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202,5</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202,6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202,9</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202,6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202,8</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202,7</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202,6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202,6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202,8</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202,7</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2 026,8</w:t>
            </w:r>
          </w:p>
        </w:tc>
      </w:tr>
      <w:tr w:rsidR="00F92819">
        <w:tc>
          <w:tcPr>
            <w:tcW w:w="2100" w:type="dxa"/>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Promedio de personas por hogar</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2,7</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3,2</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3,3</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3,2</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4,5</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3,3</w:t>
            </w:r>
          </w:p>
        </w:tc>
      </w:tr>
      <w:tr w:rsidR="00F92819">
        <w:tc>
          <w:tcPr>
            <w:tcW w:w="2100" w:type="dxa"/>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Promedio de personas estándar en el hogar</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2,3</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2,4</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2,5</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2,7</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2,7</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2,7</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2,9</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3,3</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2,7</w:t>
            </w:r>
          </w:p>
        </w:tc>
      </w:tr>
      <w:tr w:rsidR="00F92819">
        <w:tc>
          <w:tcPr>
            <w:tcW w:w="2100" w:type="dxa"/>
            <w:vAlign w:val="center"/>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Promedio de personas con ingresos en el hogar</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1,5</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1,4</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1,4</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1,4</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1,2</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0,8</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0,4</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1,2</w:t>
            </w:r>
          </w:p>
        </w:tc>
      </w:tr>
      <w:tr w:rsidR="00F92819">
        <w:tc>
          <w:tcPr>
            <w:tcW w:w="9628" w:type="dxa"/>
            <w:gridSpan w:val="12"/>
            <w:vAlign w:val="bottom"/>
          </w:tcPr>
          <w:p w:rsidR="00F92819" w:rsidRDefault="00F92819">
            <w:pPr>
              <w:spacing w:before="80" w:after="80" w:line="200" w:lineRule="exact"/>
              <w:rPr>
                <w:szCs w:val="24"/>
              </w:rPr>
            </w:pPr>
            <w:r>
              <w:rPr>
                <w:i/>
                <w:sz w:val="16"/>
                <w:szCs w:val="24"/>
                <w:lang w:val="es-ES_tradnl"/>
              </w:rPr>
              <w:t>Nuevos sheqalim por hogar y por mes a precios medios de 2006</w:t>
            </w:r>
          </w:p>
        </w:tc>
      </w:tr>
      <w:tr w:rsidR="00F92819">
        <w:tc>
          <w:tcPr>
            <w:tcW w:w="210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Ingresos monetarios brutos</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34 635</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19 996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16 528</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12 873</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11 351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9 506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7 543</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6 343</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5 061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3 405</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12 345</w:t>
            </w:r>
          </w:p>
        </w:tc>
      </w:tr>
      <w:tr w:rsidR="00F92819">
        <w:tc>
          <w:tcPr>
            <w:tcW w:w="210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Pagos obligatorios</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9 705</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4 266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3 092</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1 974</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1 468</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1 070</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755</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576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337</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214</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2 271</w:t>
            </w:r>
          </w:p>
        </w:tc>
      </w:tr>
      <w:tr w:rsidR="00F92819">
        <w:tc>
          <w:tcPr>
            <w:tcW w:w="210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Ingresos monetarios netos</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24 931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15 728</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13 436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10 900</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9 883</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8 436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6 788</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5 767</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4 724</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3 191</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10 074</w:t>
            </w:r>
          </w:p>
        </w:tc>
      </w:tr>
      <w:tr w:rsidR="00F92819">
        <w:tc>
          <w:tcPr>
            <w:tcW w:w="2100"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Gastos monetarios de consumo</w:t>
            </w:r>
          </w:p>
        </w:tc>
        <w:tc>
          <w:tcPr>
            <w:tcW w:w="669"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14 798</w:t>
            </w:r>
          </w:p>
        </w:tc>
        <w:tc>
          <w:tcPr>
            <w:tcW w:w="670"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11 819</w:t>
            </w:r>
          </w:p>
        </w:tc>
        <w:tc>
          <w:tcPr>
            <w:tcW w:w="669"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10 411</w:t>
            </w:r>
          </w:p>
        </w:tc>
        <w:tc>
          <w:tcPr>
            <w:tcW w:w="670"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8 652</w:t>
            </w:r>
          </w:p>
        </w:tc>
        <w:tc>
          <w:tcPr>
            <w:tcW w:w="669"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8 439</w:t>
            </w:r>
          </w:p>
        </w:tc>
        <w:tc>
          <w:tcPr>
            <w:tcW w:w="670"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8 060</w:t>
            </w:r>
          </w:p>
        </w:tc>
        <w:tc>
          <w:tcPr>
            <w:tcW w:w="669"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7 003</w:t>
            </w:r>
          </w:p>
        </w:tc>
        <w:tc>
          <w:tcPr>
            <w:tcW w:w="670"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6 700</w:t>
            </w:r>
          </w:p>
        </w:tc>
        <w:tc>
          <w:tcPr>
            <w:tcW w:w="669"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5 883</w:t>
            </w:r>
          </w:p>
        </w:tc>
        <w:tc>
          <w:tcPr>
            <w:tcW w:w="670"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5 345</w:t>
            </w:r>
          </w:p>
        </w:tc>
        <w:tc>
          <w:tcPr>
            <w:tcW w:w="833" w:type="dxa"/>
            <w:tcBorders>
              <w:bottom w:val="single" w:sz="4" w:space="0" w:color="auto"/>
            </w:tcBorders>
            <w:vAlign w:val="bottom"/>
          </w:tcPr>
          <w:p w:rsidR="00F92819" w:rsidRDefault="00F92819">
            <w:pPr>
              <w:keepNext/>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8 711</w:t>
            </w:r>
          </w:p>
        </w:tc>
      </w:tr>
      <w:tr w:rsidR="00F92819">
        <w:tc>
          <w:tcPr>
            <w:tcW w:w="2100"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rPr>
                <w:szCs w:val="24"/>
              </w:rPr>
            </w:pPr>
            <w:r>
              <w:rPr>
                <w:b/>
                <w:sz w:val="18"/>
                <w:szCs w:val="24"/>
                <w:lang w:val="es-ES_tradnl"/>
              </w:rPr>
              <w:t>Total de gastos de consumo</w:t>
            </w:r>
          </w:p>
        </w:tc>
        <w:tc>
          <w:tcPr>
            <w:tcW w:w="669"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24"/>
              </w:rPr>
            </w:pPr>
            <w:r>
              <w:rPr>
                <w:b/>
                <w:sz w:val="18"/>
                <w:szCs w:val="24"/>
              </w:rPr>
              <w:t>19 423</w:t>
            </w:r>
          </w:p>
        </w:tc>
        <w:tc>
          <w:tcPr>
            <w:tcW w:w="670"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24"/>
              </w:rPr>
            </w:pPr>
            <w:r>
              <w:rPr>
                <w:b/>
                <w:sz w:val="18"/>
                <w:szCs w:val="24"/>
              </w:rPr>
              <w:t>15 336</w:t>
            </w:r>
          </w:p>
        </w:tc>
        <w:tc>
          <w:tcPr>
            <w:tcW w:w="669"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24"/>
              </w:rPr>
            </w:pPr>
            <w:r>
              <w:rPr>
                <w:b/>
                <w:sz w:val="18"/>
                <w:szCs w:val="24"/>
              </w:rPr>
              <w:t>13 610</w:t>
            </w:r>
          </w:p>
        </w:tc>
        <w:tc>
          <w:tcPr>
            <w:tcW w:w="670"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24"/>
              </w:rPr>
            </w:pPr>
            <w:r>
              <w:rPr>
                <w:b/>
                <w:sz w:val="18"/>
                <w:szCs w:val="24"/>
              </w:rPr>
              <w:t>11 408</w:t>
            </w:r>
          </w:p>
        </w:tc>
        <w:tc>
          <w:tcPr>
            <w:tcW w:w="669"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24"/>
              </w:rPr>
            </w:pPr>
            <w:r>
              <w:rPr>
                <w:b/>
                <w:sz w:val="18"/>
                <w:szCs w:val="24"/>
              </w:rPr>
              <w:t>10 873</w:t>
            </w:r>
          </w:p>
        </w:tc>
        <w:tc>
          <w:tcPr>
            <w:tcW w:w="670"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24"/>
              </w:rPr>
            </w:pPr>
            <w:r>
              <w:rPr>
                <w:b/>
                <w:sz w:val="18"/>
                <w:szCs w:val="24"/>
              </w:rPr>
              <w:t>10 128</w:t>
            </w:r>
          </w:p>
        </w:tc>
        <w:tc>
          <w:tcPr>
            <w:tcW w:w="669"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24"/>
              </w:rPr>
            </w:pPr>
            <w:r>
              <w:rPr>
                <w:b/>
                <w:sz w:val="18"/>
                <w:szCs w:val="24"/>
              </w:rPr>
              <w:t>8 861</w:t>
            </w:r>
          </w:p>
        </w:tc>
        <w:tc>
          <w:tcPr>
            <w:tcW w:w="670"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24"/>
              </w:rPr>
            </w:pPr>
            <w:r>
              <w:rPr>
                <w:b/>
                <w:sz w:val="18"/>
                <w:szCs w:val="24"/>
              </w:rPr>
              <w:t>8 317</w:t>
            </w:r>
          </w:p>
        </w:tc>
        <w:tc>
          <w:tcPr>
            <w:tcW w:w="669"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24"/>
              </w:rPr>
            </w:pPr>
            <w:r>
              <w:rPr>
                <w:b/>
                <w:sz w:val="18"/>
                <w:szCs w:val="24"/>
              </w:rPr>
              <w:t>7 095</w:t>
            </w:r>
          </w:p>
        </w:tc>
        <w:tc>
          <w:tcPr>
            <w:tcW w:w="670"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24"/>
              </w:rPr>
            </w:pPr>
            <w:r>
              <w:rPr>
                <w:b/>
                <w:sz w:val="18"/>
                <w:szCs w:val="24"/>
              </w:rPr>
              <w:t>6 282</w:t>
            </w:r>
          </w:p>
        </w:tc>
        <w:tc>
          <w:tcPr>
            <w:tcW w:w="833"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ind w:left="170" w:hanging="170"/>
              <w:jc w:val="right"/>
              <w:rPr>
                <w:b/>
                <w:sz w:val="18"/>
                <w:szCs w:val="24"/>
              </w:rPr>
            </w:pPr>
            <w:r>
              <w:rPr>
                <w:b/>
                <w:sz w:val="18"/>
                <w:szCs w:val="24"/>
              </w:rPr>
              <w:t>11 133</w:t>
            </w:r>
          </w:p>
        </w:tc>
      </w:tr>
      <w:tr w:rsidR="00F92819">
        <w:tc>
          <w:tcPr>
            <w:tcW w:w="2100"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Alimentos (sin incluir frutas y verduras)</w:t>
            </w:r>
          </w:p>
        </w:tc>
        <w:tc>
          <w:tcPr>
            <w:tcW w:w="669"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2 095</w:t>
            </w:r>
          </w:p>
        </w:tc>
        <w:tc>
          <w:tcPr>
            <w:tcW w:w="670"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1 867</w:t>
            </w:r>
          </w:p>
        </w:tc>
        <w:tc>
          <w:tcPr>
            <w:tcW w:w="669"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1 621</w:t>
            </w:r>
          </w:p>
        </w:tc>
        <w:tc>
          <w:tcPr>
            <w:tcW w:w="670"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1 444</w:t>
            </w:r>
          </w:p>
        </w:tc>
        <w:tc>
          <w:tcPr>
            <w:tcW w:w="669"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1 414</w:t>
            </w:r>
          </w:p>
        </w:tc>
        <w:tc>
          <w:tcPr>
            <w:tcW w:w="670"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1 414</w:t>
            </w:r>
          </w:p>
        </w:tc>
        <w:tc>
          <w:tcPr>
            <w:tcW w:w="669"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1 309</w:t>
            </w:r>
          </w:p>
        </w:tc>
        <w:tc>
          <w:tcPr>
            <w:tcW w:w="670"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1 358</w:t>
            </w:r>
          </w:p>
        </w:tc>
        <w:tc>
          <w:tcPr>
            <w:tcW w:w="669"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1 259</w:t>
            </w:r>
          </w:p>
        </w:tc>
        <w:tc>
          <w:tcPr>
            <w:tcW w:w="670"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1 196</w:t>
            </w:r>
          </w:p>
        </w:tc>
        <w:tc>
          <w:tcPr>
            <w:tcW w:w="833"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1 496</w:t>
            </w:r>
          </w:p>
        </w:tc>
      </w:tr>
      <w:tr w:rsidR="00F92819">
        <w:tc>
          <w:tcPr>
            <w:tcW w:w="210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Frutas y verduras</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419</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402</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396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334</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336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345</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317</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339</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330</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327</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355</w:t>
            </w:r>
          </w:p>
        </w:tc>
      </w:tr>
      <w:tr w:rsidR="00F92819">
        <w:tc>
          <w:tcPr>
            <w:tcW w:w="210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Vivienda</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3 489</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3 012</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2 839</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2 654</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2 430</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2 252</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2 146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1 909</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1 696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1 359</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2 378</w:t>
            </w:r>
          </w:p>
        </w:tc>
      </w:tr>
      <w:tr w:rsidR="00F92819">
        <w:tc>
          <w:tcPr>
            <w:tcW w:w="210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Vivienda y mantenimiento del hogar</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2 095</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1 626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1 376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1 136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1 091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994</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891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880</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786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673</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1 155</w:t>
            </w:r>
          </w:p>
        </w:tc>
      </w:tr>
      <w:tr w:rsidR="00F92819">
        <w:tc>
          <w:tcPr>
            <w:tcW w:w="210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Mobiliario y utensilios domésticos</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841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620</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549</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448</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358</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352</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369</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344</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231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230</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434</w:t>
            </w:r>
          </w:p>
        </w:tc>
      </w:tr>
      <w:tr w:rsidR="00F92819">
        <w:tc>
          <w:tcPr>
            <w:tcW w:w="210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Vestido y calzado</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662</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466</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419</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335</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377</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404</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331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328</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282</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235</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384</w:t>
            </w:r>
          </w:p>
        </w:tc>
      </w:tr>
      <w:tr w:rsidR="00F92819">
        <w:tc>
          <w:tcPr>
            <w:tcW w:w="210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Salud</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1 168</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761</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690</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602</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531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525</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407</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381</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310</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323</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570</w:t>
            </w:r>
          </w:p>
        </w:tc>
      </w:tr>
      <w:tr w:rsidR="00F92819">
        <w:tc>
          <w:tcPr>
            <w:tcW w:w="210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Educación, cultura y esparcimiento</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2 480</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2 299</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2 142</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1 575</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1 608</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1 538</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1 168</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860</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781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674</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1 512</w:t>
            </w:r>
          </w:p>
        </w:tc>
      </w:tr>
      <w:tr w:rsidR="00F92819">
        <w:tc>
          <w:tcPr>
            <w:tcW w:w="210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Transporte y comunicaciones</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5 336</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3 601</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2 971</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2 402</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2 135</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1 755</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1 582</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1 387</w:t>
            </w:r>
          </w:p>
        </w:tc>
        <w:tc>
          <w:tcPr>
            <w:tcW w:w="669"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943</w:t>
            </w:r>
          </w:p>
        </w:tc>
        <w:tc>
          <w:tcPr>
            <w:tcW w:w="670"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912</w:t>
            </w:r>
          </w:p>
        </w:tc>
        <w:tc>
          <w:tcPr>
            <w:tcW w:w="833" w:type="dxa"/>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2 302</w:t>
            </w:r>
          </w:p>
        </w:tc>
      </w:tr>
      <w:tr w:rsidR="00F92819">
        <w:tc>
          <w:tcPr>
            <w:tcW w:w="2100"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rPr>
                <w:szCs w:val="24"/>
              </w:rPr>
            </w:pPr>
            <w:r>
              <w:rPr>
                <w:sz w:val="18"/>
                <w:szCs w:val="24"/>
                <w:lang w:val="es-ES_tradnl"/>
              </w:rPr>
              <w:t>Bienes y servicios varios</w:t>
            </w:r>
          </w:p>
        </w:tc>
        <w:tc>
          <w:tcPr>
            <w:tcW w:w="669"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822</w:t>
            </w:r>
          </w:p>
        </w:tc>
        <w:tc>
          <w:tcPr>
            <w:tcW w:w="670"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746</w:t>
            </w:r>
          </w:p>
        </w:tc>
        <w:tc>
          <w:tcPr>
            <w:tcW w:w="669"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607</w:t>
            </w:r>
          </w:p>
        </w:tc>
        <w:tc>
          <w:tcPr>
            <w:tcW w:w="670"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522</w:t>
            </w:r>
          </w:p>
        </w:tc>
        <w:tc>
          <w:tcPr>
            <w:tcW w:w="669"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551</w:t>
            </w:r>
          </w:p>
        </w:tc>
        <w:tc>
          <w:tcPr>
            <w:tcW w:w="670"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536</w:t>
            </w:r>
          </w:p>
        </w:tc>
        <w:tc>
          <w:tcPr>
            <w:tcW w:w="669"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431</w:t>
            </w:r>
          </w:p>
        </w:tc>
        <w:tc>
          <w:tcPr>
            <w:tcW w:w="670"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435</w:t>
            </w:r>
          </w:p>
        </w:tc>
        <w:tc>
          <w:tcPr>
            <w:tcW w:w="669"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425</w:t>
            </w:r>
          </w:p>
        </w:tc>
        <w:tc>
          <w:tcPr>
            <w:tcW w:w="670"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sz w:val="18"/>
                <w:szCs w:val="24"/>
              </w:rPr>
            </w:pPr>
            <w:r>
              <w:rPr>
                <w:sz w:val="18"/>
                <w:szCs w:val="24"/>
              </w:rPr>
              <w:t>378</w:t>
            </w:r>
          </w:p>
        </w:tc>
        <w:tc>
          <w:tcPr>
            <w:tcW w:w="833"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20" w:lineRule="exact"/>
              <w:jc w:val="right"/>
              <w:rPr>
                <w:b/>
                <w:sz w:val="18"/>
                <w:szCs w:val="24"/>
              </w:rPr>
            </w:pPr>
            <w:r>
              <w:rPr>
                <w:b/>
                <w:sz w:val="18"/>
                <w:szCs w:val="24"/>
              </w:rPr>
              <w:t>545</w:t>
            </w:r>
          </w:p>
        </w:tc>
      </w:tr>
    </w:tbl>
    <w:p w:rsidR="00F92819" w:rsidRDefault="00F92819">
      <w:pPr>
        <w:spacing w:before="120" w:after="240"/>
        <w:ind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pStyle w:val="Heading1"/>
        <w:spacing w:before="240"/>
        <w:rPr>
          <w:szCs w:val="24"/>
        </w:rPr>
      </w:pPr>
      <w:r>
        <w:rPr>
          <w:szCs w:val="24"/>
          <w:lang w:val="es-ES_tradnl"/>
        </w:rPr>
        <w:t>Cuadro 21</w:t>
      </w:r>
    </w:p>
    <w:p w:rsidR="00F92819" w:rsidRDefault="00F92819">
      <w:pPr>
        <w:pStyle w:val="SingleTxtG"/>
        <w:jc w:val="left"/>
        <w:rPr>
          <w:b/>
          <w:szCs w:val="24"/>
        </w:rPr>
      </w:pPr>
      <w:r>
        <w:rPr>
          <w:b/>
          <w:szCs w:val="24"/>
          <w:lang w:val="es-ES_tradnl"/>
        </w:rPr>
        <w:t>Ingresos monetarios mensuales brutos por hogar, por fuente de ingresos y por situación de empleo del cabeza de familia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4166"/>
        <w:gridCol w:w="801"/>
        <w:gridCol w:w="801"/>
        <w:gridCol w:w="801"/>
        <w:gridCol w:w="801"/>
      </w:tblGrid>
      <w:tr w:rsidR="00F92819">
        <w:trPr>
          <w:tblHeader/>
        </w:trPr>
        <w:tc>
          <w:tcPr>
            <w:tcW w:w="4166" w:type="dxa"/>
            <w:tcBorders>
              <w:top w:val="single" w:sz="4" w:space="0" w:color="auto"/>
              <w:bottom w:val="single" w:sz="4" w:space="0" w:color="auto"/>
            </w:tcBorders>
            <w:vAlign w:val="bottom"/>
          </w:tcPr>
          <w:p w:rsidR="00F92819" w:rsidRDefault="00F92819">
            <w:pPr>
              <w:spacing w:before="80" w:after="80" w:line="200" w:lineRule="exact"/>
              <w:rPr>
                <w:szCs w:val="24"/>
              </w:rPr>
            </w:pPr>
            <w:r>
              <w:rPr>
                <w:i/>
                <w:sz w:val="16"/>
                <w:szCs w:val="24"/>
                <w:lang w:val="es-ES_tradnl"/>
              </w:rPr>
              <w:t>Año examinado</w:t>
            </w:r>
          </w:p>
        </w:tc>
        <w:tc>
          <w:tcPr>
            <w:tcW w:w="801" w:type="dxa"/>
            <w:tcBorders>
              <w:top w:val="single" w:sz="4" w:space="0" w:color="auto"/>
              <w:bottom w:val="single" w:sz="4" w:space="0" w:color="auto"/>
            </w:tcBorders>
            <w:vAlign w:val="bottom"/>
          </w:tcPr>
          <w:p w:rsidR="00F92819" w:rsidRDefault="00F92819">
            <w:pPr>
              <w:spacing w:before="80" w:after="80" w:line="200" w:lineRule="exact"/>
              <w:jc w:val="right"/>
              <w:rPr>
                <w:i/>
                <w:sz w:val="16"/>
                <w:szCs w:val="24"/>
              </w:rPr>
            </w:pPr>
            <w:r>
              <w:rPr>
                <w:i/>
                <w:sz w:val="16"/>
                <w:szCs w:val="24"/>
              </w:rPr>
              <w:t>2003</w:t>
            </w:r>
          </w:p>
        </w:tc>
        <w:tc>
          <w:tcPr>
            <w:tcW w:w="801" w:type="dxa"/>
            <w:tcBorders>
              <w:top w:val="single" w:sz="4" w:space="0" w:color="auto"/>
              <w:bottom w:val="single" w:sz="4" w:space="0" w:color="auto"/>
            </w:tcBorders>
            <w:vAlign w:val="bottom"/>
          </w:tcPr>
          <w:p w:rsidR="00F92819" w:rsidRDefault="00F92819">
            <w:pPr>
              <w:spacing w:before="80" w:after="80" w:line="200" w:lineRule="exact"/>
              <w:jc w:val="right"/>
              <w:rPr>
                <w:i/>
                <w:sz w:val="16"/>
                <w:szCs w:val="24"/>
              </w:rPr>
            </w:pPr>
            <w:r>
              <w:rPr>
                <w:i/>
                <w:sz w:val="16"/>
                <w:szCs w:val="24"/>
              </w:rPr>
              <w:t>2004</w:t>
            </w:r>
          </w:p>
        </w:tc>
        <w:tc>
          <w:tcPr>
            <w:tcW w:w="801" w:type="dxa"/>
            <w:tcBorders>
              <w:top w:val="single" w:sz="4" w:space="0" w:color="auto"/>
              <w:bottom w:val="single" w:sz="4" w:space="0" w:color="auto"/>
            </w:tcBorders>
            <w:vAlign w:val="bottom"/>
          </w:tcPr>
          <w:p w:rsidR="00F92819" w:rsidRDefault="00F92819">
            <w:pPr>
              <w:spacing w:before="80" w:after="80" w:line="200" w:lineRule="exact"/>
              <w:jc w:val="right"/>
              <w:rPr>
                <w:i/>
                <w:sz w:val="16"/>
                <w:szCs w:val="24"/>
              </w:rPr>
            </w:pPr>
            <w:r>
              <w:rPr>
                <w:i/>
                <w:sz w:val="16"/>
                <w:szCs w:val="24"/>
              </w:rPr>
              <w:t>2005</w:t>
            </w:r>
          </w:p>
        </w:tc>
        <w:tc>
          <w:tcPr>
            <w:tcW w:w="801" w:type="dxa"/>
            <w:tcBorders>
              <w:top w:val="single" w:sz="4" w:space="0" w:color="auto"/>
              <w:bottom w:val="single" w:sz="4" w:space="0" w:color="auto"/>
            </w:tcBorders>
            <w:vAlign w:val="bottom"/>
          </w:tcPr>
          <w:p w:rsidR="00F92819" w:rsidRDefault="00F92819">
            <w:pPr>
              <w:spacing w:before="80" w:after="80" w:line="200" w:lineRule="exact"/>
              <w:jc w:val="right"/>
              <w:rPr>
                <w:i/>
                <w:sz w:val="16"/>
                <w:szCs w:val="24"/>
              </w:rPr>
            </w:pPr>
            <w:r>
              <w:rPr>
                <w:i/>
                <w:sz w:val="16"/>
                <w:szCs w:val="24"/>
              </w:rPr>
              <w:t>2006</w:t>
            </w:r>
          </w:p>
        </w:tc>
      </w:tr>
      <w:tr w:rsidR="00F92819">
        <w:tc>
          <w:tcPr>
            <w:tcW w:w="4166" w:type="dxa"/>
            <w:tcBorders>
              <w:top w:val="single" w:sz="4" w:space="0" w:color="auto"/>
            </w:tcBorders>
            <w:vAlign w:val="bottom"/>
          </w:tcPr>
          <w:p w:rsidR="00F92819" w:rsidRDefault="00F92819">
            <w:pPr>
              <w:spacing w:before="40" w:after="40" w:line="200" w:lineRule="atLeast"/>
              <w:rPr>
                <w:szCs w:val="24"/>
              </w:rPr>
            </w:pPr>
            <w:r>
              <w:rPr>
                <w:i/>
                <w:sz w:val="16"/>
                <w:szCs w:val="24"/>
                <w:lang w:val="es-ES_tradnl"/>
              </w:rPr>
              <w:t>Cabeza de familia autónomo</w:t>
            </w:r>
          </w:p>
        </w:tc>
        <w:tc>
          <w:tcPr>
            <w:tcW w:w="801" w:type="dxa"/>
            <w:tcBorders>
              <w:top w:val="single" w:sz="4" w:space="0" w:color="auto"/>
            </w:tcBorders>
            <w:vAlign w:val="bottom"/>
          </w:tcPr>
          <w:p w:rsidR="00F92819" w:rsidRDefault="00F92819">
            <w:pPr>
              <w:spacing w:before="40" w:after="40" w:line="200" w:lineRule="atLeast"/>
              <w:jc w:val="right"/>
              <w:rPr>
                <w:i/>
                <w:sz w:val="16"/>
                <w:szCs w:val="24"/>
              </w:rPr>
            </w:pPr>
          </w:p>
        </w:tc>
        <w:tc>
          <w:tcPr>
            <w:tcW w:w="801" w:type="dxa"/>
            <w:tcBorders>
              <w:top w:val="single" w:sz="4" w:space="0" w:color="auto"/>
            </w:tcBorders>
            <w:vAlign w:val="bottom"/>
          </w:tcPr>
          <w:p w:rsidR="00F92819" w:rsidRDefault="00F92819">
            <w:pPr>
              <w:spacing w:before="40" w:after="40" w:line="200" w:lineRule="atLeast"/>
              <w:jc w:val="right"/>
              <w:rPr>
                <w:i/>
                <w:sz w:val="16"/>
                <w:szCs w:val="24"/>
              </w:rPr>
            </w:pPr>
          </w:p>
        </w:tc>
        <w:tc>
          <w:tcPr>
            <w:tcW w:w="801" w:type="dxa"/>
            <w:tcBorders>
              <w:top w:val="single" w:sz="4" w:space="0" w:color="auto"/>
            </w:tcBorders>
            <w:vAlign w:val="bottom"/>
          </w:tcPr>
          <w:p w:rsidR="00F92819" w:rsidRDefault="00F92819">
            <w:pPr>
              <w:spacing w:before="40" w:after="40" w:line="200" w:lineRule="atLeast"/>
              <w:jc w:val="right"/>
              <w:rPr>
                <w:i/>
                <w:sz w:val="16"/>
                <w:szCs w:val="24"/>
              </w:rPr>
            </w:pPr>
          </w:p>
        </w:tc>
        <w:tc>
          <w:tcPr>
            <w:tcW w:w="801" w:type="dxa"/>
            <w:tcBorders>
              <w:top w:val="single" w:sz="4" w:space="0" w:color="auto"/>
            </w:tcBorders>
            <w:vAlign w:val="bottom"/>
          </w:tcPr>
          <w:p w:rsidR="00F92819" w:rsidRDefault="00F92819">
            <w:pPr>
              <w:spacing w:before="40" w:after="40" w:line="200" w:lineRule="atLeast"/>
              <w:jc w:val="right"/>
              <w:rPr>
                <w:i/>
                <w:sz w:val="16"/>
                <w:szCs w:val="24"/>
              </w:rPr>
            </w:pP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Hogares (en miles)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174,1</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176,5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182,4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202,9</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Promedio de personas por hogar</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3,9</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3,8</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3,8</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rPr>
              <w:br w:type="page"/>
            </w:r>
            <w:r>
              <w:rPr>
                <w:sz w:val="18"/>
                <w:szCs w:val="24"/>
              </w:rPr>
              <w:br w:type="page"/>
            </w:r>
            <w:r>
              <w:rPr>
                <w:sz w:val="18"/>
                <w:szCs w:val="24"/>
                <w:lang w:val="es-ES_tradnl"/>
              </w:rPr>
              <w:t>Edad media del cabeza de familia</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45,2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46,5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46,2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46</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Promedio de personas con ingresos por hogar</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1,7</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Promedio de ingresos monetarios mensuales (nuevos sheqalim)</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 xml:space="preserve">Por hogar </w:t>
            </w:r>
            <w:r>
              <w:rPr>
                <w:sz w:val="18"/>
                <w:szCs w:val="24"/>
                <w:lang w:val="es-ES_tradnl"/>
              </w:rPr>
              <w:tab/>
              <w:t>– brutos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14 904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14 679</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15 766</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17 687</w:t>
            </w:r>
          </w:p>
        </w:tc>
      </w:tr>
      <w:tr w:rsidR="00F92819">
        <w:trPr>
          <w:hidden w:val="0"/>
        </w:trPr>
        <w:tc>
          <w:tcPr>
            <w:tcW w:w="4166" w:type="dxa"/>
            <w:vAlign w:val="bottom"/>
          </w:tcPr>
          <w:p w:rsidR="00F92819" w:rsidRDefault="00F92819">
            <w:pPr>
              <w:tabs>
                <w:tab w:val="right" w:pos="850"/>
                <w:tab w:val="left" w:pos="1066"/>
                <w:tab w:val="left" w:pos="1559"/>
                <w:tab w:val="left" w:pos="1984"/>
                <w:tab w:val="left" w:leader="dot" w:pos="8929"/>
                <w:tab w:val="right" w:pos="9638"/>
              </w:tabs>
              <w:spacing w:before="40" w:after="40" w:line="200" w:lineRule="atLeast"/>
              <w:rPr>
                <w:szCs w:val="24"/>
              </w:rPr>
            </w:pPr>
            <w:r>
              <w:rPr>
                <w:rStyle w:val="tw4winMark"/>
                <w:vanish w:val="0"/>
                <w:szCs w:val="24"/>
              </w:rPr>
              <w:tab/>
            </w:r>
            <w:r>
              <w:rPr>
                <w:rStyle w:val="tw4winMark"/>
                <w:vanish w:val="0"/>
                <w:szCs w:val="24"/>
              </w:rPr>
              <w:tab/>
            </w:r>
            <w:r>
              <w:rPr>
                <w:sz w:val="18"/>
                <w:szCs w:val="24"/>
                <w:lang w:val="es-ES_tradnl"/>
              </w:rPr>
              <w:t>– netos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10 797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11 006</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11 904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13 633</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 xml:space="preserve">Por persona estándar </w:t>
            </w:r>
            <w:r>
              <w:rPr>
                <w:sz w:val="18"/>
                <w:szCs w:val="24"/>
                <w:lang w:val="es-ES_tradnl"/>
              </w:rPr>
              <w:tab/>
              <w:t>– brutos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4 750</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4 763</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5 233</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5 829</w:t>
            </w:r>
          </w:p>
        </w:tc>
      </w:tr>
      <w:tr w:rsidR="00F92819">
        <w:tc>
          <w:tcPr>
            <w:tcW w:w="4166" w:type="dxa"/>
            <w:tcBorders>
              <w:bottom w:val="single" w:sz="4" w:space="0" w:color="auto"/>
            </w:tcBorders>
            <w:vAlign w:val="bottom"/>
          </w:tcPr>
          <w:p w:rsidR="00F92819" w:rsidRDefault="00F92819">
            <w:pPr>
              <w:tabs>
                <w:tab w:val="right" w:pos="850"/>
                <w:tab w:val="left" w:pos="1066"/>
                <w:tab w:val="left" w:pos="1466"/>
                <w:tab w:val="left" w:pos="1866"/>
                <w:tab w:val="left" w:leader="dot" w:pos="8929"/>
                <w:tab w:val="right" w:pos="9638"/>
              </w:tabs>
              <w:spacing w:before="40" w:after="40" w:line="200" w:lineRule="atLeast"/>
              <w:rPr>
                <w:szCs w:val="24"/>
              </w:rPr>
            </w:pPr>
            <w:r>
              <w:rPr>
                <w:sz w:val="18"/>
                <w:szCs w:val="24"/>
              </w:rPr>
              <w:tab/>
            </w:r>
            <w:r>
              <w:rPr>
                <w:sz w:val="18"/>
                <w:szCs w:val="24"/>
              </w:rPr>
              <w:tab/>
            </w:r>
            <w:r>
              <w:rPr>
                <w:sz w:val="18"/>
                <w:szCs w:val="24"/>
              </w:rPr>
              <w:tab/>
              <w:t xml:space="preserve">  </w:t>
            </w:r>
            <w:r>
              <w:rPr>
                <w:sz w:val="18"/>
                <w:szCs w:val="24"/>
                <w:lang w:val="es-ES_tradnl"/>
              </w:rPr>
              <w:t>– netos</w:t>
            </w:r>
          </w:p>
        </w:tc>
        <w:tc>
          <w:tcPr>
            <w:tcW w:w="801" w:type="dxa"/>
            <w:tcBorders>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3 442</w:t>
            </w:r>
          </w:p>
        </w:tc>
        <w:tc>
          <w:tcPr>
            <w:tcW w:w="801" w:type="dxa"/>
            <w:tcBorders>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3 571</w:t>
            </w:r>
          </w:p>
        </w:tc>
        <w:tc>
          <w:tcPr>
            <w:tcW w:w="801" w:type="dxa"/>
            <w:tcBorders>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3 951</w:t>
            </w:r>
          </w:p>
        </w:tc>
        <w:tc>
          <w:tcPr>
            <w:tcW w:w="801" w:type="dxa"/>
            <w:tcBorders>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4 493</w:t>
            </w:r>
          </w:p>
        </w:tc>
      </w:tr>
      <w:tr w:rsidR="00F92819">
        <w:tc>
          <w:tcPr>
            <w:tcW w:w="4166" w:type="dxa"/>
            <w:tcBorders>
              <w:top w:val="single" w:sz="4" w:space="0" w:color="auto"/>
              <w:bottom w:val="single" w:sz="4" w:space="0" w:color="auto"/>
            </w:tcBorders>
            <w:vAlign w:val="bottom"/>
          </w:tcPr>
          <w:p w:rsidR="00F92819" w:rsidRDefault="003F5999">
            <w:pPr>
              <w:tabs>
                <w:tab w:val="right" w:pos="850"/>
                <w:tab w:val="left" w:pos="1134"/>
                <w:tab w:val="left" w:pos="1559"/>
                <w:tab w:val="left" w:pos="1984"/>
                <w:tab w:val="left" w:leader="dot" w:pos="8929"/>
                <w:tab w:val="right" w:pos="9638"/>
              </w:tabs>
              <w:spacing w:before="80" w:after="80" w:line="200" w:lineRule="atLeast"/>
              <w:ind w:left="170"/>
              <w:rPr>
                <w:szCs w:val="24"/>
              </w:rPr>
            </w:pPr>
            <w:r>
              <w:rPr>
                <w:b/>
                <w:sz w:val="18"/>
                <w:szCs w:val="24"/>
                <w:lang w:val="es-ES_tradnl"/>
              </w:rPr>
              <w:t>Fuentes de ingreso – total (porcentaje</w:t>
            </w:r>
            <w:r w:rsidR="00F92819">
              <w:rPr>
                <w:b/>
                <w:sz w:val="18"/>
                <w:szCs w:val="24"/>
                <w:lang w:val="es-ES_tradnl"/>
              </w:rPr>
              <w:t>)</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jc w:val="right"/>
              <w:rPr>
                <w:b/>
                <w:sz w:val="18"/>
                <w:szCs w:val="24"/>
              </w:rPr>
            </w:pPr>
            <w:r>
              <w:rPr>
                <w:b/>
                <w:sz w:val="18"/>
                <w:szCs w:val="24"/>
              </w:rPr>
              <w:t>100</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jc w:val="right"/>
              <w:rPr>
                <w:b/>
                <w:sz w:val="18"/>
                <w:szCs w:val="24"/>
              </w:rPr>
            </w:pPr>
            <w:r>
              <w:rPr>
                <w:b/>
                <w:sz w:val="18"/>
                <w:szCs w:val="24"/>
              </w:rPr>
              <w:t>100</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jc w:val="right"/>
              <w:rPr>
                <w:b/>
                <w:sz w:val="18"/>
                <w:szCs w:val="24"/>
              </w:rPr>
            </w:pPr>
            <w:r>
              <w:rPr>
                <w:b/>
                <w:sz w:val="18"/>
                <w:szCs w:val="24"/>
              </w:rPr>
              <w:t>100</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jc w:val="right"/>
              <w:rPr>
                <w:b/>
                <w:sz w:val="18"/>
                <w:szCs w:val="24"/>
              </w:rPr>
            </w:pPr>
            <w:r>
              <w:rPr>
                <w:b/>
                <w:sz w:val="18"/>
                <w:szCs w:val="24"/>
              </w:rPr>
              <w:t>100</w:t>
            </w:r>
          </w:p>
        </w:tc>
      </w:tr>
      <w:tr w:rsidR="00F92819">
        <w:tc>
          <w:tcPr>
            <w:tcW w:w="4166"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Trabajo asalariado</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20,8</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22,4</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19,8</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19,3</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Trabajo autónomo</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66,1</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62,2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66,1</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60,7</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Bienes y asistencia social en Israel</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13,2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15,4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14,1</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(20)</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De los cuales:</w:t>
            </w:r>
            <w:r>
              <w:rPr>
                <w:sz w:val="18"/>
                <w:szCs w:val="24"/>
              </w:rPr>
              <w:t xml:space="preserve"> </w:t>
            </w:r>
            <w:r>
              <w:rPr>
                <w:sz w:val="18"/>
                <w:szCs w:val="24"/>
                <w:lang w:val="es-ES_tradnl"/>
              </w:rPr>
              <w:t>asistencia social y prestaciones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r>
      <w:tr w:rsidR="00F92819">
        <w:tc>
          <w:tcPr>
            <w:tcW w:w="4166" w:type="dxa"/>
            <w:vAlign w:val="bottom"/>
          </w:tcPr>
          <w:p w:rsidR="00F92819" w:rsidRDefault="00F92819">
            <w:pPr>
              <w:tabs>
                <w:tab w:val="right" w:pos="850"/>
                <w:tab w:val="left" w:pos="1266"/>
                <w:tab w:val="left" w:pos="1666"/>
                <w:tab w:val="left" w:pos="1984"/>
                <w:tab w:val="left" w:leader="dot" w:pos="8929"/>
                <w:tab w:val="right" w:pos="9638"/>
              </w:tabs>
              <w:spacing w:before="40" w:after="40" w:line="200" w:lineRule="atLeast"/>
              <w:rPr>
                <w:szCs w:val="24"/>
              </w:rPr>
            </w:pPr>
            <w:r>
              <w:rPr>
                <w:sz w:val="18"/>
                <w:szCs w:val="24"/>
              </w:rPr>
              <w:tab/>
            </w:r>
            <w:r>
              <w:rPr>
                <w:sz w:val="18"/>
                <w:szCs w:val="24"/>
              </w:rPr>
              <w:tab/>
            </w:r>
            <w:r>
              <w:rPr>
                <w:sz w:val="18"/>
                <w:szCs w:val="24"/>
                <w:lang w:val="es-ES_tradnl"/>
              </w:rPr>
              <w:t>– de las instituciones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5,9</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4,8</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4,7</w:t>
            </w:r>
          </w:p>
        </w:tc>
      </w:tr>
      <w:tr w:rsidR="00F92819">
        <w:tc>
          <w:tcPr>
            <w:tcW w:w="4166" w:type="dxa"/>
            <w:vAlign w:val="bottom"/>
          </w:tcPr>
          <w:p w:rsidR="00F92819" w:rsidRDefault="00F92819">
            <w:pPr>
              <w:tabs>
                <w:tab w:val="right" w:pos="850"/>
                <w:tab w:val="left" w:pos="1266"/>
                <w:tab w:val="left" w:pos="1559"/>
                <w:tab w:val="left" w:pos="1984"/>
                <w:tab w:val="left" w:leader="dot" w:pos="8929"/>
                <w:tab w:val="right" w:pos="9638"/>
              </w:tabs>
              <w:spacing w:before="40" w:after="40" w:line="200" w:lineRule="atLeast"/>
              <w:rPr>
                <w:szCs w:val="24"/>
              </w:rPr>
            </w:pPr>
            <w:r>
              <w:rPr>
                <w:sz w:val="18"/>
                <w:szCs w:val="24"/>
              </w:rPr>
              <w:tab/>
            </w:r>
            <w:r>
              <w:rPr>
                <w:sz w:val="18"/>
                <w:szCs w:val="24"/>
              </w:rPr>
              <w:tab/>
            </w:r>
            <w:r>
              <w:rPr>
                <w:sz w:val="18"/>
                <w:szCs w:val="24"/>
                <w:lang w:val="es-ES_tradnl"/>
              </w:rPr>
              <w:t>– de capital</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(2,9)</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(3,9)</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Bienes y asistencia del exterior</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w:t>
            </w:r>
          </w:p>
        </w:tc>
      </w:tr>
      <w:tr w:rsidR="00F92819">
        <w:tc>
          <w:tcPr>
            <w:tcW w:w="7370" w:type="dxa"/>
            <w:gridSpan w:val="5"/>
            <w:vAlign w:val="bottom"/>
          </w:tcPr>
          <w:p w:rsidR="00F92819" w:rsidRDefault="00F92819">
            <w:pPr>
              <w:spacing w:before="40" w:after="40" w:line="200" w:lineRule="atLeast"/>
              <w:rPr>
                <w:szCs w:val="24"/>
              </w:rPr>
            </w:pPr>
            <w:r>
              <w:rPr>
                <w:i/>
                <w:sz w:val="16"/>
                <w:szCs w:val="24"/>
                <w:lang w:val="es-ES_tradnl"/>
              </w:rPr>
              <w:t>Cabeza de familia empleado</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Hogares (en miles)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1 187,5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1 233,6</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1 269,1</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1 292,3</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Promedio de personas por hogar</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3,7</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rPr>
              <w:br w:type="page"/>
            </w:r>
            <w:r>
              <w:rPr>
                <w:sz w:val="18"/>
                <w:szCs w:val="24"/>
              </w:rPr>
              <w:br w:type="page"/>
            </w:r>
            <w:r>
              <w:rPr>
                <w:sz w:val="18"/>
                <w:szCs w:val="24"/>
                <w:lang w:val="es-ES_tradnl"/>
              </w:rPr>
              <w:t>Edad media del cabeza de familia</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40,2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40,5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40,5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40,5</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Promedio de personas con ingresos por hogar</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1,6</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1,6</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1,7</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Promedio de ingresos monetarios mensuales (nuevos sheqalim)</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Por hogar – brutos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13 377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13 613</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14 014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14 468</w:t>
            </w:r>
          </w:p>
        </w:tc>
      </w:tr>
      <w:tr w:rsidR="00F92819">
        <w:tc>
          <w:tcPr>
            <w:tcW w:w="4166" w:type="dxa"/>
            <w:vAlign w:val="bottom"/>
          </w:tcPr>
          <w:p w:rsidR="00F92819" w:rsidRDefault="00F92819">
            <w:pPr>
              <w:tabs>
                <w:tab w:val="right" w:pos="850"/>
                <w:tab w:val="left" w:pos="1066"/>
                <w:tab w:val="left" w:pos="1559"/>
                <w:tab w:val="left" w:pos="1984"/>
                <w:tab w:val="left" w:leader="dot" w:pos="8929"/>
                <w:tab w:val="right" w:pos="9638"/>
              </w:tabs>
              <w:spacing w:before="40" w:after="40" w:line="200" w:lineRule="atLeast"/>
              <w:rPr>
                <w:szCs w:val="24"/>
              </w:rPr>
            </w:pPr>
            <w:r>
              <w:rPr>
                <w:sz w:val="18"/>
                <w:szCs w:val="24"/>
              </w:rPr>
              <w:tab/>
            </w:r>
            <w:r>
              <w:rPr>
                <w:sz w:val="18"/>
                <w:szCs w:val="24"/>
              </w:rPr>
              <w:tab/>
            </w:r>
            <w:r>
              <w:rPr>
                <w:sz w:val="18"/>
                <w:szCs w:val="24"/>
                <w:lang w:val="es-ES_tradnl"/>
              </w:rPr>
              <w:t>– netos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10 385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10 702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11 189</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11 686</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Por persona estándar – brutos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4 505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4 606</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4 739</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4 917</w:t>
            </w:r>
          </w:p>
        </w:tc>
      </w:tr>
      <w:tr w:rsidR="00F92819">
        <w:tc>
          <w:tcPr>
            <w:tcW w:w="4166" w:type="dxa"/>
            <w:vAlign w:val="bottom"/>
          </w:tcPr>
          <w:p w:rsidR="00F92819" w:rsidRDefault="00F92819">
            <w:pPr>
              <w:tabs>
                <w:tab w:val="right" w:pos="850"/>
                <w:tab w:val="left" w:pos="1066"/>
                <w:tab w:val="left" w:pos="1466"/>
                <w:tab w:val="left" w:pos="1866"/>
                <w:tab w:val="left" w:leader="dot" w:pos="8929"/>
                <w:tab w:val="right" w:pos="9638"/>
              </w:tabs>
              <w:spacing w:before="40" w:after="40" w:line="200" w:lineRule="atLeast"/>
              <w:rPr>
                <w:szCs w:val="24"/>
              </w:rPr>
            </w:pPr>
            <w:r>
              <w:rPr>
                <w:sz w:val="18"/>
                <w:szCs w:val="24"/>
              </w:rPr>
              <w:tab/>
            </w:r>
            <w:r>
              <w:rPr>
                <w:sz w:val="18"/>
                <w:szCs w:val="24"/>
              </w:rPr>
              <w:tab/>
            </w:r>
            <w:r>
              <w:rPr>
                <w:sz w:val="18"/>
                <w:szCs w:val="24"/>
              </w:rPr>
              <w:tab/>
            </w:r>
            <w:r>
              <w:rPr>
                <w:sz w:val="18"/>
                <w:szCs w:val="24"/>
                <w:lang w:val="es-ES_tradnl"/>
              </w:rPr>
              <w:t>– netos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3 498</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3 621</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3 784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3 972</w:t>
            </w:r>
          </w:p>
        </w:tc>
      </w:tr>
      <w:tr w:rsidR="00F92819">
        <w:tc>
          <w:tcPr>
            <w:tcW w:w="4166" w:type="dxa"/>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Ingresos monetarios brutos por hogar</w:t>
            </w:r>
          </w:p>
        </w:tc>
        <w:tc>
          <w:tcPr>
            <w:tcW w:w="801" w:type="dxa"/>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p>
        </w:tc>
      </w:tr>
      <w:tr w:rsidR="00F92819">
        <w:tc>
          <w:tcPr>
            <w:tcW w:w="4166" w:type="dxa"/>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Variación porcentual real</w:t>
            </w:r>
          </w:p>
        </w:tc>
        <w:tc>
          <w:tcPr>
            <w:tcW w:w="801" w:type="dxa"/>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(4,9)</w:t>
            </w:r>
          </w:p>
        </w:tc>
        <w:tc>
          <w:tcPr>
            <w:tcW w:w="801" w:type="dxa"/>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2,2</w:t>
            </w:r>
          </w:p>
        </w:tc>
        <w:tc>
          <w:tcPr>
            <w:tcW w:w="801" w:type="dxa"/>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1,6</w:t>
            </w:r>
          </w:p>
        </w:tc>
        <w:tc>
          <w:tcPr>
            <w:tcW w:w="801" w:type="dxa"/>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1,1</w:t>
            </w:r>
          </w:p>
        </w:tc>
      </w:tr>
      <w:tr w:rsidR="00F92819">
        <w:tc>
          <w:tcPr>
            <w:tcW w:w="4166" w:type="dxa"/>
            <w:tcBorders>
              <w:bottom w:val="single" w:sz="4" w:space="0" w:color="auto"/>
            </w:tcBorders>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Coeficiente de Gini</w:t>
            </w:r>
          </w:p>
        </w:tc>
        <w:tc>
          <w:tcPr>
            <w:tcW w:w="801" w:type="dxa"/>
            <w:tcBorders>
              <w:bottom w:val="single" w:sz="4" w:space="0" w:color="auto"/>
            </w:tcBorders>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0,375</w:t>
            </w:r>
          </w:p>
        </w:tc>
        <w:tc>
          <w:tcPr>
            <w:tcW w:w="801" w:type="dxa"/>
            <w:tcBorders>
              <w:bottom w:val="single" w:sz="4" w:space="0" w:color="auto"/>
            </w:tcBorders>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0,380</w:t>
            </w:r>
          </w:p>
        </w:tc>
        <w:tc>
          <w:tcPr>
            <w:tcW w:w="801" w:type="dxa"/>
            <w:tcBorders>
              <w:bottom w:val="single" w:sz="4" w:space="0" w:color="auto"/>
            </w:tcBorders>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0,386</w:t>
            </w:r>
          </w:p>
        </w:tc>
        <w:tc>
          <w:tcPr>
            <w:tcW w:w="801" w:type="dxa"/>
            <w:tcBorders>
              <w:bottom w:val="single" w:sz="4" w:space="0" w:color="auto"/>
            </w:tcBorders>
            <w:vAlign w:val="bottom"/>
          </w:tcPr>
          <w:p w:rsidR="00F92819" w:rsidRDefault="00F92819">
            <w:pPr>
              <w:keepNext/>
              <w:keepLines/>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0,385</w:t>
            </w:r>
          </w:p>
        </w:tc>
      </w:tr>
      <w:tr w:rsidR="00F92819">
        <w:tc>
          <w:tcPr>
            <w:tcW w:w="4166" w:type="dxa"/>
            <w:tcBorders>
              <w:top w:val="single" w:sz="4" w:space="0" w:color="auto"/>
              <w:bottom w:val="single" w:sz="4" w:space="0" w:color="auto"/>
            </w:tcBorders>
            <w:vAlign w:val="bottom"/>
          </w:tcPr>
          <w:p w:rsidR="00F92819" w:rsidRDefault="007774AD">
            <w:pPr>
              <w:tabs>
                <w:tab w:val="right" w:pos="850"/>
                <w:tab w:val="left" w:pos="1134"/>
                <w:tab w:val="left" w:pos="1559"/>
                <w:tab w:val="left" w:pos="1984"/>
                <w:tab w:val="left" w:leader="dot" w:pos="8929"/>
                <w:tab w:val="right" w:pos="9638"/>
              </w:tabs>
              <w:spacing w:before="80" w:after="80" w:line="200" w:lineRule="atLeast"/>
              <w:ind w:left="170"/>
              <w:rPr>
                <w:szCs w:val="24"/>
              </w:rPr>
            </w:pPr>
            <w:r>
              <w:rPr>
                <w:b/>
                <w:sz w:val="18"/>
                <w:szCs w:val="24"/>
                <w:lang w:val="es-ES_tradnl"/>
              </w:rPr>
              <w:t>Fuentes de ingreso – Total (porcentaje</w:t>
            </w:r>
            <w:r w:rsidR="00F92819">
              <w:rPr>
                <w:b/>
                <w:sz w:val="18"/>
                <w:szCs w:val="24"/>
                <w:lang w:val="es-ES_tradnl"/>
              </w:rPr>
              <w:t>)</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ind w:firstLine="284"/>
              <w:jc w:val="right"/>
              <w:rPr>
                <w:b/>
                <w:sz w:val="18"/>
                <w:szCs w:val="24"/>
              </w:rPr>
            </w:pPr>
            <w:r>
              <w:rPr>
                <w:b/>
                <w:sz w:val="18"/>
                <w:szCs w:val="24"/>
              </w:rPr>
              <w:t>100</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ind w:firstLine="284"/>
              <w:jc w:val="right"/>
              <w:rPr>
                <w:b/>
                <w:sz w:val="18"/>
                <w:szCs w:val="24"/>
              </w:rPr>
            </w:pPr>
            <w:r>
              <w:rPr>
                <w:b/>
                <w:sz w:val="18"/>
                <w:szCs w:val="24"/>
              </w:rPr>
              <w:t>100</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ind w:firstLine="284"/>
              <w:jc w:val="right"/>
              <w:rPr>
                <w:b/>
                <w:sz w:val="18"/>
                <w:szCs w:val="24"/>
              </w:rPr>
            </w:pPr>
            <w:r>
              <w:rPr>
                <w:b/>
                <w:sz w:val="18"/>
                <w:szCs w:val="24"/>
              </w:rPr>
              <w:t>100</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ind w:firstLine="284"/>
              <w:jc w:val="right"/>
              <w:rPr>
                <w:b/>
                <w:sz w:val="18"/>
                <w:szCs w:val="24"/>
              </w:rPr>
            </w:pPr>
            <w:r>
              <w:rPr>
                <w:b/>
                <w:sz w:val="18"/>
                <w:szCs w:val="24"/>
              </w:rPr>
              <w:t>100</w:t>
            </w:r>
          </w:p>
        </w:tc>
      </w:tr>
      <w:tr w:rsidR="00F92819">
        <w:tc>
          <w:tcPr>
            <w:tcW w:w="4166"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ind w:left="170"/>
              <w:rPr>
                <w:szCs w:val="24"/>
              </w:rPr>
            </w:pPr>
            <w:r>
              <w:rPr>
                <w:b/>
                <w:sz w:val="18"/>
                <w:szCs w:val="24"/>
                <w:lang w:val="es-ES_tradnl"/>
              </w:rPr>
              <w:t>Trabajo asalariado – Total</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ind w:firstLine="284"/>
              <w:jc w:val="right"/>
              <w:rPr>
                <w:b/>
                <w:sz w:val="18"/>
                <w:szCs w:val="24"/>
              </w:rPr>
            </w:pPr>
            <w:r>
              <w:rPr>
                <w:b/>
                <w:sz w:val="18"/>
                <w:szCs w:val="24"/>
              </w:rPr>
              <w:t>83,9</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ind w:firstLine="284"/>
              <w:jc w:val="right"/>
              <w:rPr>
                <w:b/>
                <w:sz w:val="18"/>
                <w:szCs w:val="24"/>
              </w:rPr>
            </w:pPr>
            <w:r>
              <w:rPr>
                <w:b/>
                <w:sz w:val="18"/>
                <w:szCs w:val="24"/>
              </w:rPr>
              <w:t>83,3</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ind w:firstLine="284"/>
              <w:jc w:val="right"/>
              <w:rPr>
                <w:b/>
                <w:sz w:val="18"/>
                <w:szCs w:val="24"/>
              </w:rPr>
            </w:pPr>
            <w:r>
              <w:rPr>
                <w:b/>
                <w:sz w:val="18"/>
                <w:szCs w:val="24"/>
              </w:rPr>
              <w:t>82,6</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ind w:firstLine="284"/>
              <w:jc w:val="right"/>
              <w:rPr>
                <w:b/>
                <w:sz w:val="18"/>
                <w:szCs w:val="24"/>
              </w:rPr>
            </w:pPr>
            <w:r>
              <w:rPr>
                <w:b/>
                <w:sz w:val="18"/>
                <w:szCs w:val="24"/>
              </w:rPr>
              <w:t>81,9</w:t>
            </w:r>
          </w:p>
        </w:tc>
      </w:tr>
      <w:tr w:rsidR="00F92819">
        <w:tc>
          <w:tcPr>
            <w:tcW w:w="4166"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Ingresos del cabeza de familia</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59,5</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58,1</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58</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57</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Ingresos del cónyuge del cabeza de familia</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17,3</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18,2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18,2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17,7</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Ingresos de otras personas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7,2</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Trabajo autónomo</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2,9</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3,3</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3,6</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Bienes y asistencia</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13,3</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13,2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14,1</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14,6</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De los cuales:</w:t>
            </w:r>
            <w:r>
              <w:rPr>
                <w:sz w:val="18"/>
                <w:szCs w:val="24"/>
              </w:rPr>
              <w:t xml:space="preserve"> </w:t>
            </w:r>
            <w:r>
              <w:rPr>
                <w:sz w:val="18"/>
                <w:szCs w:val="24"/>
                <w:lang w:val="es-ES_tradnl"/>
              </w:rPr>
              <w:t>asistencia social y prestaciones de</w:t>
            </w:r>
            <w:r>
              <w:rPr>
                <w:sz w:val="18"/>
                <w:szCs w:val="24"/>
                <w:lang w:val="es-ES_tradnl"/>
              </w:rPr>
              <w:br/>
              <w:t xml:space="preserve">       instituciones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7,5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6,6</w:t>
            </w:r>
          </w:p>
        </w:tc>
      </w:tr>
      <w:tr w:rsidR="00F92819">
        <w:tc>
          <w:tcPr>
            <w:tcW w:w="7370" w:type="dxa"/>
            <w:gridSpan w:val="5"/>
            <w:vAlign w:val="bottom"/>
          </w:tcPr>
          <w:p w:rsidR="00F92819" w:rsidRDefault="00F92819">
            <w:pPr>
              <w:spacing w:before="40" w:after="40" w:line="200" w:lineRule="atLeast"/>
              <w:rPr>
                <w:szCs w:val="24"/>
              </w:rPr>
            </w:pPr>
            <w:r>
              <w:rPr>
                <w:i/>
                <w:sz w:val="16"/>
                <w:szCs w:val="24"/>
                <w:lang w:val="es-ES_tradnl"/>
              </w:rPr>
              <w:t>Cabeza de familia sin trabajo</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Hogares (en miles)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540</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536,3</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538</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529,9</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Promedio de personas por hogar</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2,3</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2,3</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Edad media del cabeza de familia</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61</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60,8</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61,4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62,2</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Promedio de ingresos monetarios mensuales (nuevos sheqalim)</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Por hogar – brutos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4 594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4 575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4 789</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5 121</w:t>
            </w:r>
          </w:p>
        </w:tc>
      </w:tr>
      <w:tr w:rsidR="00F92819">
        <w:tc>
          <w:tcPr>
            <w:tcW w:w="4166" w:type="dxa"/>
            <w:vAlign w:val="bottom"/>
          </w:tcPr>
          <w:p w:rsidR="00F92819" w:rsidRDefault="00F92819">
            <w:pPr>
              <w:tabs>
                <w:tab w:val="right" w:pos="850"/>
                <w:tab w:val="left" w:pos="1066"/>
                <w:tab w:val="left" w:pos="1559"/>
                <w:tab w:val="left" w:pos="1984"/>
                <w:tab w:val="left" w:leader="dot" w:pos="8929"/>
                <w:tab w:val="right" w:pos="9638"/>
              </w:tabs>
              <w:spacing w:before="40" w:after="40" w:line="200" w:lineRule="atLeast"/>
              <w:rPr>
                <w:szCs w:val="24"/>
              </w:rPr>
            </w:pPr>
            <w:r>
              <w:rPr>
                <w:sz w:val="18"/>
                <w:szCs w:val="24"/>
              </w:rPr>
              <w:tab/>
            </w:r>
            <w:r>
              <w:rPr>
                <w:sz w:val="18"/>
                <w:szCs w:val="24"/>
              </w:rPr>
              <w:tab/>
            </w:r>
            <w:r>
              <w:rPr>
                <w:sz w:val="18"/>
                <w:szCs w:val="24"/>
                <w:lang w:val="es-ES_tradnl"/>
              </w:rPr>
              <w:t>– netos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4 354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4 253</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4 472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4 778</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Por persona estándar – brutos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2 143</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2 146</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2 260</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2 435</w:t>
            </w:r>
          </w:p>
        </w:tc>
      </w:tr>
      <w:tr w:rsidR="00F92819">
        <w:tc>
          <w:tcPr>
            <w:tcW w:w="4166" w:type="dxa"/>
            <w:vAlign w:val="bottom"/>
          </w:tcPr>
          <w:p w:rsidR="00F92819" w:rsidRDefault="00F92819">
            <w:pPr>
              <w:tabs>
                <w:tab w:val="right" w:pos="850"/>
                <w:tab w:val="left" w:pos="1066"/>
                <w:tab w:val="left" w:pos="1466"/>
                <w:tab w:val="left" w:pos="1666"/>
                <w:tab w:val="left" w:leader="dot" w:pos="8929"/>
                <w:tab w:val="right" w:pos="9638"/>
              </w:tabs>
              <w:spacing w:before="40" w:after="40" w:line="200" w:lineRule="atLeast"/>
              <w:rPr>
                <w:szCs w:val="24"/>
              </w:rPr>
            </w:pPr>
            <w:r>
              <w:rPr>
                <w:sz w:val="18"/>
                <w:szCs w:val="24"/>
              </w:rPr>
              <w:tab/>
            </w:r>
            <w:r>
              <w:rPr>
                <w:sz w:val="18"/>
                <w:szCs w:val="24"/>
              </w:rPr>
              <w:tab/>
            </w:r>
            <w:r>
              <w:rPr>
                <w:sz w:val="18"/>
                <w:szCs w:val="24"/>
              </w:rPr>
              <w:tab/>
            </w:r>
            <w:r>
              <w:rPr>
                <w:sz w:val="18"/>
                <w:szCs w:val="24"/>
                <w:lang w:val="es-ES_tradnl"/>
              </w:rPr>
              <w:t>– netos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2 031</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1 995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2 110</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2 272</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Ingresos monetarios brutos por persona estándar</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 xml:space="preserve">Cambio porcentual real </w:t>
            </w:r>
            <w:r>
              <w:rPr>
                <w:sz w:val="18"/>
                <w:szCs w:val="24"/>
                <w:vertAlign w:val="superscript"/>
                <w:lang w:val="es-ES_tradnl"/>
              </w:rPr>
              <w:t>(1)</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1,9</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0</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3,3</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4,7</w:t>
            </w:r>
          </w:p>
        </w:tc>
      </w:tr>
      <w:tr w:rsidR="00F92819">
        <w:tc>
          <w:tcPr>
            <w:tcW w:w="4166" w:type="dxa"/>
            <w:tcBorders>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rPr>
                <w:szCs w:val="24"/>
              </w:rPr>
            </w:pPr>
            <w:r>
              <w:rPr>
                <w:sz w:val="18"/>
                <w:szCs w:val="24"/>
                <w:lang w:val="es-ES_tradnl"/>
              </w:rPr>
              <w:t>Coeficiente de Gini</w:t>
            </w:r>
          </w:p>
        </w:tc>
        <w:tc>
          <w:tcPr>
            <w:tcW w:w="801" w:type="dxa"/>
            <w:tcBorders>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0,397</w:t>
            </w:r>
          </w:p>
        </w:tc>
        <w:tc>
          <w:tcPr>
            <w:tcW w:w="801" w:type="dxa"/>
            <w:tcBorders>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0,402</w:t>
            </w:r>
          </w:p>
        </w:tc>
        <w:tc>
          <w:tcPr>
            <w:tcW w:w="801" w:type="dxa"/>
            <w:tcBorders>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0,399</w:t>
            </w:r>
          </w:p>
        </w:tc>
        <w:tc>
          <w:tcPr>
            <w:tcW w:w="801" w:type="dxa"/>
            <w:tcBorders>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atLeast"/>
              <w:jc w:val="right"/>
              <w:rPr>
                <w:sz w:val="18"/>
                <w:szCs w:val="24"/>
              </w:rPr>
            </w:pPr>
            <w:r>
              <w:rPr>
                <w:sz w:val="18"/>
                <w:szCs w:val="24"/>
              </w:rPr>
              <w:t>0,399</w:t>
            </w:r>
          </w:p>
        </w:tc>
      </w:tr>
      <w:tr w:rsidR="00F92819">
        <w:tc>
          <w:tcPr>
            <w:tcW w:w="4166" w:type="dxa"/>
            <w:tcBorders>
              <w:top w:val="single" w:sz="4" w:space="0" w:color="auto"/>
              <w:bottom w:val="single" w:sz="4" w:space="0" w:color="auto"/>
            </w:tcBorders>
            <w:vAlign w:val="bottom"/>
          </w:tcPr>
          <w:p w:rsidR="00F92819" w:rsidRDefault="00CE2561">
            <w:pPr>
              <w:tabs>
                <w:tab w:val="right" w:pos="850"/>
                <w:tab w:val="left" w:pos="1134"/>
                <w:tab w:val="left" w:pos="1559"/>
                <w:tab w:val="left" w:pos="1984"/>
                <w:tab w:val="left" w:leader="dot" w:pos="8929"/>
                <w:tab w:val="right" w:pos="9638"/>
              </w:tabs>
              <w:spacing w:before="80" w:after="80" w:line="200" w:lineRule="atLeast"/>
              <w:ind w:left="170"/>
              <w:rPr>
                <w:szCs w:val="24"/>
              </w:rPr>
            </w:pPr>
            <w:r>
              <w:rPr>
                <w:b/>
                <w:sz w:val="18"/>
                <w:szCs w:val="24"/>
                <w:lang w:val="es-ES_tradnl"/>
              </w:rPr>
              <w:t>Fuentes de ingreso – total (porcentaje</w:t>
            </w:r>
            <w:r w:rsidR="00F92819">
              <w:rPr>
                <w:b/>
                <w:sz w:val="18"/>
                <w:szCs w:val="24"/>
                <w:lang w:val="es-ES_tradnl"/>
              </w:rPr>
              <w:t>)</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jc w:val="right"/>
              <w:rPr>
                <w:b/>
                <w:sz w:val="18"/>
                <w:szCs w:val="24"/>
              </w:rPr>
            </w:pPr>
            <w:r>
              <w:rPr>
                <w:b/>
                <w:sz w:val="18"/>
                <w:szCs w:val="24"/>
              </w:rPr>
              <w:t>100</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jc w:val="right"/>
              <w:rPr>
                <w:b/>
                <w:sz w:val="18"/>
                <w:szCs w:val="24"/>
              </w:rPr>
            </w:pPr>
            <w:r>
              <w:rPr>
                <w:b/>
                <w:sz w:val="18"/>
                <w:szCs w:val="24"/>
              </w:rPr>
              <w:t>100</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jc w:val="right"/>
              <w:rPr>
                <w:b/>
                <w:sz w:val="18"/>
                <w:szCs w:val="24"/>
              </w:rPr>
            </w:pPr>
            <w:r>
              <w:rPr>
                <w:b/>
                <w:sz w:val="18"/>
                <w:szCs w:val="24"/>
              </w:rPr>
              <w:t>100</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20" w:lineRule="exact"/>
              <w:jc w:val="right"/>
              <w:rPr>
                <w:b/>
                <w:sz w:val="18"/>
                <w:szCs w:val="24"/>
              </w:rPr>
            </w:pPr>
            <w:r>
              <w:rPr>
                <w:b/>
                <w:sz w:val="18"/>
                <w:szCs w:val="24"/>
              </w:rPr>
              <w:t>100</w:t>
            </w:r>
          </w:p>
        </w:tc>
      </w:tr>
      <w:tr w:rsidR="00F92819">
        <w:tc>
          <w:tcPr>
            <w:tcW w:w="4166"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line="200" w:lineRule="atLeast"/>
              <w:ind w:left="170"/>
              <w:rPr>
                <w:szCs w:val="24"/>
              </w:rPr>
            </w:pPr>
            <w:r>
              <w:rPr>
                <w:b/>
                <w:sz w:val="18"/>
                <w:szCs w:val="24"/>
                <w:lang w:val="es-ES_tradnl"/>
              </w:rPr>
              <w:t>De los cuales:</w:t>
            </w:r>
            <w:r>
              <w:rPr>
                <w:b/>
                <w:sz w:val="18"/>
                <w:szCs w:val="24"/>
              </w:rPr>
              <w:t xml:space="preserve"> </w:t>
            </w:r>
            <w:r>
              <w:rPr>
                <w:b/>
                <w:sz w:val="18"/>
                <w:szCs w:val="24"/>
                <w:lang w:val="es-ES_tradnl"/>
              </w:rPr>
              <w:t>total de bienes y asistencia social en Israel</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ind w:left="284"/>
              <w:jc w:val="right"/>
              <w:rPr>
                <w:b/>
                <w:sz w:val="18"/>
                <w:szCs w:val="24"/>
              </w:rPr>
            </w:pPr>
            <w:r>
              <w:rPr>
                <w:b/>
                <w:sz w:val="18"/>
                <w:szCs w:val="24"/>
              </w:rPr>
              <w:t>98,7</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ind w:left="284"/>
              <w:jc w:val="right"/>
              <w:rPr>
                <w:b/>
                <w:sz w:val="18"/>
                <w:szCs w:val="24"/>
              </w:rPr>
            </w:pPr>
            <w:r>
              <w:rPr>
                <w:b/>
                <w:sz w:val="18"/>
                <w:szCs w:val="24"/>
              </w:rPr>
              <w:t>99</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ind w:left="284"/>
              <w:jc w:val="right"/>
              <w:rPr>
                <w:b/>
                <w:sz w:val="18"/>
                <w:szCs w:val="24"/>
              </w:rPr>
            </w:pPr>
            <w:r>
              <w:rPr>
                <w:b/>
                <w:sz w:val="18"/>
                <w:szCs w:val="24"/>
              </w:rPr>
              <w:t>98,7</w:t>
            </w:r>
          </w:p>
        </w:tc>
        <w:tc>
          <w:tcPr>
            <w:tcW w:w="801" w:type="dxa"/>
            <w:tcBorders>
              <w:top w:val="single" w:sz="4" w:space="0" w:color="auto"/>
              <w:bottom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80" w:after="80"/>
              <w:ind w:left="284"/>
              <w:jc w:val="right"/>
              <w:rPr>
                <w:b/>
                <w:sz w:val="18"/>
                <w:szCs w:val="24"/>
              </w:rPr>
            </w:pPr>
            <w:r>
              <w:rPr>
                <w:b/>
                <w:sz w:val="18"/>
                <w:szCs w:val="24"/>
              </w:rPr>
              <w:t>98,7</w:t>
            </w:r>
          </w:p>
        </w:tc>
      </w:tr>
      <w:tr w:rsidR="00F92819">
        <w:tc>
          <w:tcPr>
            <w:tcW w:w="4166"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rPr>
                <w:szCs w:val="24"/>
              </w:rPr>
            </w:pPr>
            <w:r>
              <w:rPr>
                <w:sz w:val="18"/>
                <w:szCs w:val="24"/>
                <w:lang w:val="es-ES_tradnl"/>
              </w:rPr>
              <w:t>Capital y bienes</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(6,9)</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7,3</w:t>
            </w:r>
          </w:p>
        </w:tc>
        <w:tc>
          <w:tcPr>
            <w:tcW w:w="801" w:type="dxa"/>
            <w:tcBorders>
              <w:top w:val="single" w:sz="4"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6,8</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rPr>
                <w:szCs w:val="24"/>
              </w:rPr>
            </w:pPr>
            <w:r>
              <w:rPr>
                <w:sz w:val="18"/>
                <w:szCs w:val="24"/>
                <w:lang w:val="es-ES_tradnl"/>
              </w:rPr>
              <w:t>Cajas de pensiones y de previsión</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29,5</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30,2</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31,1</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33,1</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rPr>
                <w:szCs w:val="24"/>
              </w:rPr>
            </w:pPr>
            <w:r>
              <w:rPr>
                <w:sz w:val="18"/>
                <w:szCs w:val="24"/>
                <w:lang w:val="es-ES_tradnl"/>
              </w:rPr>
              <w:t>Prestaciones y asistencia de instituciones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54,8</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53,4</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52,0</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49,2</w:t>
            </w:r>
          </w:p>
        </w:tc>
      </w:tr>
      <w:tr w:rsidR="00F92819">
        <w:tc>
          <w:tcPr>
            <w:tcW w:w="4166"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rPr>
                <w:szCs w:val="24"/>
              </w:rPr>
            </w:pPr>
            <w:r>
              <w:rPr>
                <w:sz w:val="18"/>
                <w:szCs w:val="24"/>
                <w:lang w:val="es-ES_tradnl"/>
              </w:rPr>
              <w:t>Asistencia de particulares</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2,6</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2,9</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2,7</w:t>
            </w:r>
          </w:p>
        </w:tc>
        <w:tc>
          <w:tcPr>
            <w:tcW w:w="801" w:type="dxa"/>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(2,7)</w:t>
            </w:r>
          </w:p>
        </w:tc>
      </w:tr>
      <w:tr w:rsidR="00F92819">
        <w:tc>
          <w:tcPr>
            <w:tcW w:w="4166"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rPr>
                <w:szCs w:val="24"/>
              </w:rPr>
            </w:pPr>
            <w:r>
              <w:rPr>
                <w:sz w:val="18"/>
                <w:szCs w:val="24"/>
                <w:lang w:val="es-ES_tradnl"/>
              </w:rPr>
              <w:t>Bienes y asistencia del exterior</w:t>
            </w:r>
          </w:p>
        </w:tc>
        <w:tc>
          <w:tcPr>
            <w:tcW w:w="801"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3,5</w:t>
            </w:r>
          </w:p>
        </w:tc>
        <w:tc>
          <w:tcPr>
            <w:tcW w:w="801"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4,3</w:t>
            </w:r>
          </w:p>
        </w:tc>
        <w:tc>
          <w:tcPr>
            <w:tcW w:w="801"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4,3</w:t>
            </w:r>
          </w:p>
        </w:tc>
        <w:tc>
          <w:tcPr>
            <w:tcW w:w="801" w:type="dxa"/>
            <w:tcBorders>
              <w:bottom w:val="single" w:sz="12" w:space="0" w:color="auto"/>
            </w:tcBorders>
            <w:vAlign w:val="bottom"/>
          </w:tcPr>
          <w:p w:rsidR="00F92819" w:rsidRDefault="00F92819">
            <w:pPr>
              <w:tabs>
                <w:tab w:val="right" w:pos="850"/>
                <w:tab w:val="left" w:pos="1134"/>
                <w:tab w:val="left" w:pos="1559"/>
                <w:tab w:val="left" w:pos="1984"/>
                <w:tab w:val="left" w:leader="dot" w:pos="8929"/>
                <w:tab w:val="right" w:pos="9638"/>
              </w:tabs>
              <w:spacing w:before="40" w:after="40" w:line="200" w:lineRule="exact"/>
              <w:jc w:val="right"/>
              <w:rPr>
                <w:sz w:val="18"/>
                <w:szCs w:val="24"/>
              </w:rPr>
            </w:pPr>
            <w:r>
              <w:rPr>
                <w:sz w:val="18"/>
                <w:szCs w:val="24"/>
              </w:rPr>
              <w:t>5,8</w:t>
            </w:r>
          </w:p>
        </w:tc>
      </w:tr>
    </w:tbl>
    <w:p w:rsidR="00F92819" w:rsidRDefault="00F92819">
      <w:pPr>
        <w:spacing w:before="12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ind w:left="1134" w:right="1134" w:firstLine="170"/>
        <w:rPr>
          <w:szCs w:val="24"/>
        </w:rPr>
      </w:pPr>
      <w:r>
        <w:rPr>
          <w:sz w:val="18"/>
          <w:szCs w:val="24"/>
          <w:lang w:val="es-ES_tradnl"/>
        </w:rPr>
        <w:t>Datos financieros a precios uniformes de cada año examinado.</w:t>
      </w:r>
      <w:r>
        <w:rPr>
          <w:i/>
          <w:sz w:val="18"/>
          <w:szCs w:val="24"/>
        </w:rPr>
        <w:t xml:space="preserve"> </w:t>
      </w:r>
    </w:p>
    <w:p w:rsidR="00F92819" w:rsidRDefault="00F92819">
      <w:pPr>
        <w:spacing w:after="240"/>
        <w:ind w:left="1134" w:right="1134" w:firstLine="170"/>
        <w:rPr>
          <w:sz w:val="18"/>
          <w:szCs w:val="24"/>
        </w:rPr>
      </w:pPr>
      <w:r>
        <w:rPr>
          <w:sz w:val="18"/>
          <w:szCs w:val="24"/>
          <w:vertAlign w:val="superscript"/>
          <w:lang w:val="es-ES_tradnl"/>
        </w:rPr>
        <w:t>(1)</w:t>
      </w:r>
      <w:r>
        <w:rPr>
          <w:i/>
          <w:sz w:val="18"/>
          <w:szCs w:val="24"/>
          <w:vertAlign w:val="superscript"/>
          <w:lang w:val="es-ES_tradnl"/>
        </w:rPr>
        <w:t xml:space="preserve"> </w:t>
      </w:r>
      <w:r>
        <w:rPr>
          <w:sz w:val="18"/>
          <w:szCs w:val="24"/>
          <w:lang w:val="es-ES_tradnl"/>
        </w:rPr>
        <w:t>Variación nominal con respecto al año anterior especificado en el cuadro, tras la deducción del cambio en el índice de precios al consumidor</w:t>
      </w:r>
      <w:r>
        <w:rPr>
          <w:szCs w:val="24"/>
          <w:lang w:val="es-ES_tradnl"/>
        </w:rPr>
        <w:t>.</w:t>
      </w:r>
    </w:p>
    <w:p w:rsidR="00F92819" w:rsidRDefault="00F92819">
      <w:pPr>
        <w:pStyle w:val="H23G"/>
        <w:rPr>
          <w:szCs w:val="24"/>
        </w:rPr>
      </w:pPr>
      <w:r>
        <w:rPr>
          <w:szCs w:val="24"/>
        </w:rPr>
        <w:tab/>
      </w:r>
      <w:r>
        <w:rPr>
          <w:szCs w:val="24"/>
        </w:rPr>
        <w:tab/>
      </w:r>
      <w:r>
        <w:rPr>
          <w:szCs w:val="24"/>
          <w:lang w:val="es-ES_tradnl"/>
        </w:rPr>
        <w:t>Pobreza</w:t>
      </w:r>
    </w:p>
    <w:p w:rsidR="00F92819" w:rsidRDefault="00F92819">
      <w:pPr>
        <w:pStyle w:val="SingleTxtG"/>
        <w:rPr>
          <w:szCs w:val="24"/>
        </w:rPr>
      </w:pPr>
      <w:r>
        <w:rPr>
          <w:szCs w:val="24"/>
        </w:rPr>
        <w:t>422.</w:t>
      </w:r>
      <w:r>
        <w:rPr>
          <w:szCs w:val="24"/>
        </w:rPr>
        <w:tab/>
      </w:r>
      <w:r>
        <w:rPr>
          <w:szCs w:val="24"/>
          <w:lang w:val="es-ES_tradnl"/>
        </w:rPr>
        <w:t xml:space="preserve">En el año 2000 hubo un ligero descenso en la incidencia de pobreza en </w:t>
      </w:r>
      <w:smartTag w:uri="urn:schemas-microsoft-com:office:smarttags" w:element="country-region">
        <w:smartTag w:uri="urn:schemas-microsoft-com:office:smarttags" w:element="place">
          <w:r>
            <w:rPr>
              <w:szCs w:val="24"/>
              <w:lang w:val="es-ES_tradnl"/>
            </w:rPr>
            <w:t>Israel</w:t>
          </w:r>
        </w:smartTag>
      </w:smartTag>
      <w:r>
        <w:rPr>
          <w:szCs w:val="24"/>
          <w:lang w:val="es-ES_tradnl"/>
        </w:rPr>
        <w:t>.</w:t>
      </w:r>
      <w:r>
        <w:rPr>
          <w:szCs w:val="24"/>
        </w:rPr>
        <w:t xml:space="preserve"> </w:t>
      </w:r>
      <w:r>
        <w:rPr>
          <w:szCs w:val="24"/>
          <w:lang w:val="es-ES_tradnl"/>
        </w:rPr>
        <w:t xml:space="preserve">El porcentaje de familias cuyos ingresos netos (después de transferencias e impuestos directos) estaban por debajo del umbral de pobreza descendió de 17,8% en </w:t>
      </w:r>
      <w:smartTag w:uri="urn:schemas-microsoft-com:office:smarttags" w:element="metricconverter">
        <w:smartTagPr>
          <w:attr w:name="ProductID" w:val="1999 a"/>
        </w:smartTagPr>
        <w:r>
          <w:rPr>
            <w:szCs w:val="24"/>
            <w:lang w:val="es-ES_tradnl"/>
          </w:rPr>
          <w:t>1999 a</w:t>
        </w:r>
      </w:smartTag>
      <w:r>
        <w:rPr>
          <w:szCs w:val="24"/>
          <w:lang w:val="es-ES_tradnl"/>
        </w:rPr>
        <w:t xml:space="preserve"> 17,6% en 2000. En 2002 no hubo cambios en la incidencia de pobreza.</w:t>
      </w:r>
      <w:r>
        <w:rPr>
          <w:szCs w:val="24"/>
        </w:rPr>
        <w:t xml:space="preserve"> </w:t>
      </w:r>
      <w:r>
        <w:rPr>
          <w:szCs w:val="24"/>
          <w:lang w:val="es-ES_tradnl"/>
        </w:rPr>
        <w:t>En 2003 aumentó el alcance de la pobreza en Israel, a raíz de la reducción en varias prestaciones del seguro nacional (seguridad social) y de una reforma fiscal</w:t>
      </w:r>
      <w:r>
        <w:rPr>
          <w:szCs w:val="24"/>
        </w:rPr>
        <w:t xml:space="preserve"> </w:t>
      </w:r>
      <w:r>
        <w:rPr>
          <w:szCs w:val="24"/>
          <w:lang w:val="es-ES_tradnl"/>
        </w:rPr>
        <w:t>y también creció en 2004. Las cifras para 2006 y para el último estudio realizado en 2007 indican un ligero descenso en la tasa de familias pobres en Israel (20% en 2006 y 19,9% en 2007).</w:t>
      </w:r>
      <w:r>
        <w:rPr>
          <w:szCs w:val="24"/>
        </w:rPr>
        <w:t xml:space="preserve"> </w:t>
      </w:r>
      <w:r>
        <w:rPr>
          <w:szCs w:val="24"/>
          <w:lang w:val="es-ES_tradnl"/>
        </w:rPr>
        <w:t>También se redujo la tasa de pobreza entre personas y entre niños, es decir, en 2007, el 23,8% de las personas eran pobres, frente al 24,5% en 2006. Por lo que respecta a los niños, el 34,2% vivían en situación de pobreza en 2007, frente al 35,8% en 2006.</w:t>
      </w:r>
    </w:p>
    <w:p w:rsidR="00F92819" w:rsidRDefault="00F92819">
      <w:pPr>
        <w:pStyle w:val="SingleTxtG"/>
        <w:rPr>
          <w:szCs w:val="24"/>
        </w:rPr>
      </w:pPr>
      <w:r>
        <w:rPr>
          <w:szCs w:val="24"/>
        </w:rPr>
        <w:t>423.</w:t>
      </w:r>
      <w:r>
        <w:rPr>
          <w:szCs w:val="24"/>
        </w:rPr>
        <w:tab/>
      </w:r>
      <w:r>
        <w:rPr>
          <w:szCs w:val="24"/>
          <w:lang w:val="es-ES_tradnl"/>
        </w:rPr>
        <w:t xml:space="preserve">Se evidencia asimismo una reducción de la incidencia de pobreza entre familias numerosas (4 hijos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mínimo): 56,5% en 2007, frente a 60% en 2006. También se dio un descenso similar entre las familias árabes, que constituyen una parte considerable de las familias de 4 o más hijos: 51,4% en 2007, frente a 54% en 2006, aunque sigue habiendo diferencias en los casos de pobreza entre las poblaciones judía y árabe.</w:t>
      </w:r>
    </w:p>
    <w:p w:rsidR="00F92819" w:rsidRDefault="00F92819">
      <w:pPr>
        <w:pStyle w:val="SingleTxtG"/>
        <w:rPr>
          <w:szCs w:val="24"/>
        </w:rPr>
      </w:pPr>
      <w:r>
        <w:rPr>
          <w:szCs w:val="24"/>
        </w:rPr>
        <w:t>424.</w:t>
      </w:r>
      <w:r>
        <w:rPr>
          <w:szCs w:val="24"/>
        </w:rPr>
        <w:tab/>
      </w:r>
      <w:r>
        <w:rPr>
          <w:szCs w:val="24"/>
          <w:lang w:val="es-ES_tradnl"/>
        </w:rPr>
        <w:t xml:space="preserve">En los últimos años ha habido un crecimiento asombroso de la economía israelí y una recuperación considerable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mercado laboral en todos sus sectores. Se estima que los factores que contribuyen en mayor medida a la reducción de la pobreza son las mayores oportunidades de empleo en el curso de 2007, la subida del salario mínimo en abril de 2007 y el aumento de las pensiones de vejez.</w:t>
      </w:r>
      <w:r>
        <w:rPr>
          <w:szCs w:val="24"/>
        </w:rPr>
        <w:t xml:space="preserve"> </w:t>
      </w:r>
      <w:r>
        <w:rPr>
          <w:szCs w:val="24"/>
          <w:lang w:val="es-ES_tradnl"/>
        </w:rPr>
        <w:t xml:space="preserve">Se calcula que estos factores seguirán contribuyendo a la disminución de la incidencia de pobreza según los ingresos económicos y a la estabilización o ligero descenso de la incidencia de pobreza según los ingresos netos. </w:t>
      </w:r>
    </w:p>
    <w:p w:rsidR="00F92819" w:rsidRDefault="00F92819">
      <w:pPr>
        <w:pStyle w:val="SingleTxtG"/>
        <w:rPr>
          <w:szCs w:val="24"/>
        </w:rPr>
      </w:pPr>
      <w:r>
        <w:rPr>
          <w:szCs w:val="24"/>
        </w:rPr>
        <w:t>425.</w:t>
      </w:r>
      <w:r>
        <w:rPr>
          <w:szCs w:val="24"/>
        </w:rPr>
        <w:tab/>
      </w:r>
      <w:r>
        <w:rPr>
          <w:szCs w:val="24"/>
          <w:lang w:val="es-ES_tradnl"/>
        </w:rPr>
        <w:t>Como se indicó en los informes anteriores de Israel, los datos sobre la pobreza deben leerse en conjunción con los cuadros en que se presentan los recursos y su utilización, incluidos el PNB, el PIB, el PNB y el PIB per cápita, los gastos de consumo privado en el curso de los años y el PNB por deciles.</w:t>
      </w:r>
      <w:r>
        <w:rPr>
          <w:szCs w:val="24"/>
        </w:rPr>
        <w:t xml:space="preserve"> </w:t>
      </w:r>
      <w:r>
        <w:rPr>
          <w:szCs w:val="24"/>
          <w:lang w:val="es-ES_tradnl"/>
        </w:rPr>
        <w:t>A continuación se presentan estos cuadros, actualizados desde la presentación del último informe.</w:t>
      </w:r>
    </w:p>
    <w:p w:rsidR="00F92819" w:rsidRDefault="00F92819">
      <w:pPr>
        <w:pStyle w:val="Heading1"/>
        <w:rPr>
          <w:szCs w:val="24"/>
        </w:rPr>
      </w:pPr>
      <w:r>
        <w:rPr>
          <w:szCs w:val="24"/>
          <w:lang w:val="es-ES_tradnl"/>
        </w:rPr>
        <w:t>Cuadro 22</w:t>
      </w:r>
    </w:p>
    <w:p w:rsidR="00F92819" w:rsidRDefault="00F92819">
      <w:pPr>
        <w:pStyle w:val="SingleTxtG"/>
        <w:jc w:val="left"/>
        <w:rPr>
          <w:b/>
          <w:szCs w:val="24"/>
        </w:rPr>
      </w:pPr>
      <w:r>
        <w:rPr>
          <w:b/>
          <w:szCs w:val="24"/>
          <w:lang w:val="es-ES_tradnl"/>
        </w:rPr>
        <w:t>Producto interno bruto y uso de recursos, 2002</w:t>
      </w:r>
      <w:r w:rsidR="008C04D7">
        <w:rPr>
          <w:b/>
          <w:szCs w:val="24"/>
          <w:lang w:val="es-ES_tradnl"/>
        </w:rPr>
        <w:t>-</w:t>
      </w:r>
      <w:r>
        <w:rPr>
          <w:b/>
          <w:szCs w:val="24"/>
          <w:lang w:val="es-ES_tradnl"/>
        </w:rPr>
        <w:t>2007 (millones de nuevos sheqalim, a precios de mercado a menos que se indique otra cosa)</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57" w:type="dxa"/>
        </w:tblCellMar>
        <w:tblLook w:val="01E0" w:firstRow="1" w:lastRow="1" w:firstColumn="1" w:lastColumn="1" w:noHBand="0" w:noVBand="0"/>
      </w:tblPr>
      <w:tblGrid>
        <w:gridCol w:w="900"/>
        <w:gridCol w:w="1000"/>
        <w:gridCol w:w="1000"/>
        <w:gridCol w:w="1200"/>
        <w:gridCol w:w="800"/>
        <w:gridCol w:w="789"/>
        <w:gridCol w:w="790"/>
        <w:gridCol w:w="790"/>
        <w:gridCol w:w="790"/>
        <w:gridCol w:w="790"/>
        <w:gridCol w:w="790"/>
      </w:tblGrid>
      <w:tr w:rsidR="00F92819">
        <w:trPr>
          <w:tblHeader/>
        </w:trPr>
        <w:tc>
          <w:tcPr>
            <w:tcW w:w="4100" w:type="dxa"/>
            <w:gridSpan w:val="4"/>
            <w:tcBorders>
              <w:top w:val="single" w:sz="4" w:space="0" w:color="auto"/>
              <w:bottom w:val="single" w:sz="12" w:space="0" w:color="auto"/>
            </w:tcBorders>
            <w:vAlign w:val="bottom"/>
          </w:tcPr>
          <w:p w:rsidR="00F92819" w:rsidRDefault="00F92819">
            <w:pPr>
              <w:spacing w:before="80" w:after="80" w:line="200" w:lineRule="exact"/>
              <w:rPr>
                <w:szCs w:val="24"/>
              </w:rPr>
            </w:pPr>
            <w:r>
              <w:rPr>
                <w:i/>
                <w:sz w:val="16"/>
                <w:szCs w:val="24"/>
                <w:lang w:val="es-ES_tradnl"/>
              </w:rPr>
              <w:t>Año</w:t>
            </w:r>
          </w:p>
        </w:tc>
        <w:tc>
          <w:tcPr>
            <w:tcW w:w="80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p>
        </w:tc>
        <w:tc>
          <w:tcPr>
            <w:tcW w:w="789"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2002</w:t>
            </w:r>
          </w:p>
        </w:tc>
        <w:tc>
          <w:tcPr>
            <w:tcW w:w="79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2003</w:t>
            </w:r>
          </w:p>
        </w:tc>
        <w:tc>
          <w:tcPr>
            <w:tcW w:w="79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2004</w:t>
            </w:r>
          </w:p>
        </w:tc>
        <w:tc>
          <w:tcPr>
            <w:tcW w:w="79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2005</w:t>
            </w:r>
          </w:p>
        </w:tc>
        <w:tc>
          <w:tcPr>
            <w:tcW w:w="79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2006</w:t>
            </w:r>
          </w:p>
        </w:tc>
        <w:tc>
          <w:tcPr>
            <w:tcW w:w="79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2007</w:t>
            </w:r>
          </w:p>
        </w:tc>
      </w:tr>
      <w:tr w:rsidR="00F92819">
        <w:tc>
          <w:tcPr>
            <w:tcW w:w="900" w:type="dxa"/>
            <w:vMerge w:val="restart"/>
            <w:tcBorders>
              <w:top w:val="single" w:sz="12" w:space="0" w:color="auto"/>
            </w:tcBorders>
            <w:vAlign w:val="center"/>
          </w:tcPr>
          <w:p w:rsidR="00F92819" w:rsidRDefault="00F92819">
            <w:pPr>
              <w:spacing w:before="40" w:after="40" w:line="220" w:lineRule="exact"/>
              <w:rPr>
                <w:szCs w:val="24"/>
                <w:rtl/>
              </w:rPr>
            </w:pPr>
            <w:r>
              <w:rPr>
                <w:sz w:val="18"/>
                <w:szCs w:val="24"/>
                <w:lang w:val="es-ES_tradnl"/>
              </w:rPr>
              <w:t>Per cápita</w:t>
            </w:r>
          </w:p>
        </w:tc>
        <w:tc>
          <w:tcPr>
            <w:tcW w:w="3200" w:type="dxa"/>
            <w:gridSpan w:val="3"/>
            <w:tcBorders>
              <w:top w:val="single" w:sz="12" w:space="0" w:color="auto"/>
            </w:tcBorders>
            <w:vAlign w:val="bottom"/>
          </w:tcPr>
          <w:p w:rsidR="00F92819" w:rsidRDefault="00F92819">
            <w:pPr>
              <w:spacing w:before="40" w:after="40" w:line="220" w:lineRule="exact"/>
              <w:rPr>
                <w:szCs w:val="24"/>
                <w:rtl/>
              </w:rPr>
            </w:pPr>
            <w:r>
              <w:rPr>
                <w:sz w:val="18"/>
                <w:szCs w:val="24"/>
                <w:lang w:val="es-ES_tradnl"/>
              </w:rPr>
              <w:t>Producto interno bruto</w:t>
            </w:r>
          </w:p>
        </w:tc>
        <w:tc>
          <w:tcPr>
            <w:tcW w:w="800" w:type="dxa"/>
            <w:vMerge w:val="restart"/>
            <w:tcBorders>
              <w:top w:val="single" w:sz="12" w:space="0" w:color="auto"/>
            </w:tcBorders>
            <w:vAlign w:val="center"/>
          </w:tcPr>
          <w:p w:rsidR="00F92819" w:rsidRDefault="00F92819">
            <w:pPr>
              <w:spacing w:before="40" w:after="40" w:line="220" w:lineRule="exact"/>
              <w:rPr>
                <w:szCs w:val="24"/>
              </w:rPr>
            </w:pPr>
            <w:r>
              <w:rPr>
                <w:sz w:val="18"/>
                <w:szCs w:val="24"/>
                <w:lang w:val="es-ES_tradnl"/>
              </w:rPr>
              <w:t>Nuevos sheqalim</w:t>
            </w:r>
          </w:p>
        </w:tc>
        <w:tc>
          <w:tcPr>
            <w:tcW w:w="789"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80 620</w:t>
            </w:r>
          </w:p>
        </w:tc>
        <w:tc>
          <w:tcPr>
            <w:tcW w:w="790"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80 225</w:t>
            </w:r>
          </w:p>
        </w:tc>
        <w:tc>
          <w:tcPr>
            <w:tcW w:w="790"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82 789</w:t>
            </w:r>
          </w:p>
        </w:tc>
        <w:tc>
          <w:tcPr>
            <w:tcW w:w="790"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86 258</w:t>
            </w:r>
          </w:p>
        </w:tc>
        <w:tc>
          <w:tcPr>
            <w:tcW w:w="790"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90 843</w:t>
            </w:r>
          </w:p>
        </w:tc>
        <w:tc>
          <w:tcPr>
            <w:tcW w:w="790"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93 808</w:t>
            </w:r>
          </w:p>
        </w:tc>
      </w:tr>
      <w:tr w:rsidR="00F92819">
        <w:tc>
          <w:tcPr>
            <w:tcW w:w="900" w:type="dxa"/>
            <w:vMerge/>
            <w:vAlign w:val="bottom"/>
          </w:tcPr>
          <w:p w:rsidR="00F92819" w:rsidRDefault="00F92819">
            <w:pPr>
              <w:spacing w:before="40" w:after="40" w:line="220" w:lineRule="exact"/>
              <w:rPr>
                <w:sz w:val="18"/>
                <w:szCs w:val="24"/>
              </w:rPr>
            </w:pPr>
          </w:p>
        </w:tc>
        <w:tc>
          <w:tcPr>
            <w:tcW w:w="3200" w:type="dxa"/>
            <w:gridSpan w:val="3"/>
            <w:vAlign w:val="bottom"/>
          </w:tcPr>
          <w:p w:rsidR="00F92819" w:rsidRDefault="00F92819">
            <w:pPr>
              <w:spacing w:before="40" w:after="40" w:line="220" w:lineRule="exact"/>
              <w:rPr>
                <w:szCs w:val="24"/>
                <w:rtl/>
              </w:rPr>
            </w:pPr>
            <w:r>
              <w:rPr>
                <w:sz w:val="18"/>
                <w:szCs w:val="24"/>
                <w:lang w:val="es-ES_tradnl"/>
              </w:rPr>
              <w:t>Gastos de consumo privado</w:t>
            </w:r>
          </w:p>
        </w:tc>
        <w:tc>
          <w:tcPr>
            <w:tcW w:w="800" w:type="dxa"/>
            <w:vMerge/>
            <w:vAlign w:val="bottom"/>
          </w:tcPr>
          <w:p w:rsidR="00F92819" w:rsidRDefault="00F92819">
            <w:pPr>
              <w:spacing w:before="40" w:after="40" w:line="220" w:lineRule="exact"/>
              <w:rPr>
                <w:sz w:val="18"/>
                <w:szCs w:val="24"/>
              </w:rPr>
            </w:pPr>
          </w:p>
        </w:tc>
        <w:tc>
          <w:tcPr>
            <w:tcW w:w="789" w:type="dxa"/>
            <w:vAlign w:val="bottom"/>
          </w:tcPr>
          <w:p w:rsidR="00F92819" w:rsidRDefault="00F92819">
            <w:pPr>
              <w:spacing w:before="40" w:after="40" w:line="220" w:lineRule="exact"/>
              <w:jc w:val="right"/>
              <w:rPr>
                <w:sz w:val="18"/>
                <w:szCs w:val="24"/>
              </w:rPr>
            </w:pPr>
            <w:r>
              <w:rPr>
                <w:sz w:val="18"/>
                <w:szCs w:val="24"/>
              </w:rPr>
              <w:t>45 227</w:t>
            </w:r>
          </w:p>
        </w:tc>
        <w:tc>
          <w:tcPr>
            <w:tcW w:w="790" w:type="dxa"/>
            <w:vAlign w:val="bottom"/>
          </w:tcPr>
          <w:p w:rsidR="00F92819" w:rsidRDefault="00F92819">
            <w:pPr>
              <w:spacing w:before="40" w:after="40" w:line="220" w:lineRule="exact"/>
              <w:jc w:val="right"/>
              <w:rPr>
                <w:sz w:val="18"/>
                <w:szCs w:val="24"/>
              </w:rPr>
            </w:pPr>
            <w:r>
              <w:rPr>
                <w:sz w:val="18"/>
                <w:szCs w:val="24"/>
              </w:rPr>
              <w:t>44 611</w:t>
            </w:r>
          </w:p>
        </w:tc>
        <w:tc>
          <w:tcPr>
            <w:tcW w:w="790" w:type="dxa"/>
            <w:vAlign w:val="bottom"/>
          </w:tcPr>
          <w:p w:rsidR="00F92819" w:rsidRDefault="00F92819">
            <w:pPr>
              <w:spacing w:before="40" w:after="40" w:line="220" w:lineRule="exact"/>
              <w:jc w:val="right"/>
              <w:rPr>
                <w:sz w:val="18"/>
                <w:szCs w:val="24"/>
              </w:rPr>
            </w:pPr>
            <w:r>
              <w:rPr>
                <w:sz w:val="18"/>
                <w:szCs w:val="24"/>
              </w:rPr>
              <w:t>46 389</w:t>
            </w:r>
          </w:p>
        </w:tc>
        <w:tc>
          <w:tcPr>
            <w:tcW w:w="790" w:type="dxa"/>
            <w:vAlign w:val="bottom"/>
          </w:tcPr>
          <w:p w:rsidR="00F92819" w:rsidRDefault="00F92819">
            <w:pPr>
              <w:spacing w:before="40" w:after="40" w:line="220" w:lineRule="exact"/>
              <w:jc w:val="right"/>
              <w:rPr>
                <w:sz w:val="18"/>
                <w:szCs w:val="24"/>
              </w:rPr>
            </w:pPr>
            <w:r>
              <w:rPr>
                <w:sz w:val="18"/>
                <w:szCs w:val="24"/>
              </w:rPr>
              <w:t>48 129</w:t>
            </w:r>
          </w:p>
        </w:tc>
        <w:tc>
          <w:tcPr>
            <w:tcW w:w="790" w:type="dxa"/>
            <w:vAlign w:val="bottom"/>
          </w:tcPr>
          <w:p w:rsidR="00F92819" w:rsidRDefault="00F92819">
            <w:pPr>
              <w:spacing w:before="40" w:after="40" w:line="220" w:lineRule="exact"/>
              <w:jc w:val="right"/>
              <w:rPr>
                <w:sz w:val="18"/>
                <w:szCs w:val="24"/>
              </w:rPr>
            </w:pPr>
            <w:r>
              <w:rPr>
                <w:sz w:val="18"/>
                <w:szCs w:val="24"/>
              </w:rPr>
              <w:t>50 055</w:t>
            </w:r>
          </w:p>
        </w:tc>
        <w:tc>
          <w:tcPr>
            <w:tcW w:w="790" w:type="dxa"/>
            <w:vAlign w:val="bottom"/>
          </w:tcPr>
          <w:p w:rsidR="00F92819" w:rsidRDefault="00F92819">
            <w:pPr>
              <w:spacing w:before="40" w:after="40" w:line="220" w:lineRule="exact"/>
              <w:jc w:val="right"/>
              <w:rPr>
                <w:sz w:val="18"/>
                <w:szCs w:val="24"/>
              </w:rPr>
            </w:pPr>
            <w:r>
              <w:rPr>
                <w:sz w:val="18"/>
                <w:szCs w:val="24"/>
              </w:rPr>
              <w:t>52 892</w:t>
            </w:r>
          </w:p>
        </w:tc>
      </w:tr>
      <w:tr w:rsidR="00F92819">
        <w:tc>
          <w:tcPr>
            <w:tcW w:w="4100" w:type="dxa"/>
            <w:gridSpan w:val="4"/>
            <w:vAlign w:val="bottom"/>
          </w:tcPr>
          <w:p w:rsidR="00F92819" w:rsidRDefault="00F92819">
            <w:pPr>
              <w:spacing w:before="40" w:after="40" w:line="220" w:lineRule="exact"/>
              <w:rPr>
                <w:szCs w:val="24"/>
                <w:rtl/>
              </w:rPr>
            </w:pPr>
            <w:r>
              <w:rPr>
                <w:sz w:val="18"/>
                <w:szCs w:val="24"/>
                <w:lang w:val="es-ES_tradnl"/>
              </w:rPr>
              <w:t>Producto interno bruto excluidos los impuestos netos sobre las importaciones</w:t>
            </w:r>
          </w:p>
        </w:tc>
        <w:tc>
          <w:tcPr>
            <w:tcW w:w="800" w:type="dxa"/>
            <w:vMerge w:val="restart"/>
            <w:vAlign w:val="bottom"/>
          </w:tcPr>
          <w:p w:rsidR="00F92819" w:rsidRDefault="00F92819">
            <w:pPr>
              <w:spacing w:before="40" w:after="40" w:line="220" w:lineRule="exact"/>
              <w:rPr>
                <w:sz w:val="18"/>
                <w:szCs w:val="24"/>
              </w:rPr>
            </w:pPr>
          </w:p>
        </w:tc>
        <w:tc>
          <w:tcPr>
            <w:tcW w:w="789" w:type="dxa"/>
            <w:vAlign w:val="bottom"/>
          </w:tcPr>
          <w:p w:rsidR="00F92819" w:rsidRDefault="00F92819">
            <w:pPr>
              <w:spacing w:before="40" w:after="40" w:line="220" w:lineRule="exact"/>
              <w:jc w:val="right"/>
              <w:rPr>
                <w:sz w:val="18"/>
                <w:szCs w:val="24"/>
                <w:rtl/>
              </w:rPr>
            </w:pPr>
            <w:r>
              <w:rPr>
                <w:sz w:val="18"/>
                <w:szCs w:val="24"/>
              </w:rPr>
              <w:t>507 364</w:t>
            </w:r>
          </w:p>
        </w:tc>
        <w:tc>
          <w:tcPr>
            <w:tcW w:w="790" w:type="dxa"/>
            <w:vAlign w:val="bottom"/>
          </w:tcPr>
          <w:p w:rsidR="00F92819" w:rsidRDefault="00F92819">
            <w:pPr>
              <w:spacing w:before="40" w:after="40" w:line="220" w:lineRule="exact"/>
              <w:jc w:val="right"/>
              <w:rPr>
                <w:sz w:val="18"/>
                <w:szCs w:val="24"/>
                <w:rtl/>
              </w:rPr>
            </w:pPr>
            <w:r>
              <w:rPr>
                <w:sz w:val="18"/>
                <w:szCs w:val="24"/>
              </w:rPr>
              <w:t>515 405</w:t>
            </w:r>
          </w:p>
        </w:tc>
        <w:tc>
          <w:tcPr>
            <w:tcW w:w="790" w:type="dxa"/>
            <w:vAlign w:val="bottom"/>
          </w:tcPr>
          <w:p w:rsidR="00F92819" w:rsidRDefault="00F92819">
            <w:pPr>
              <w:spacing w:before="40" w:after="40" w:line="220" w:lineRule="exact"/>
              <w:jc w:val="right"/>
              <w:rPr>
                <w:sz w:val="18"/>
                <w:szCs w:val="24"/>
                <w:rtl/>
              </w:rPr>
            </w:pPr>
            <w:r>
              <w:rPr>
                <w:sz w:val="18"/>
                <w:szCs w:val="24"/>
              </w:rPr>
              <w:t>539 020</w:t>
            </w:r>
          </w:p>
        </w:tc>
        <w:tc>
          <w:tcPr>
            <w:tcW w:w="790" w:type="dxa"/>
            <w:vAlign w:val="bottom"/>
          </w:tcPr>
          <w:p w:rsidR="00F92819" w:rsidRDefault="00F92819">
            <w:pPr>
              <w:spacing w:before="40" w:after="40" w:line="220" w:lineRule="exact"/>
              <w:jc w:val="right"/>
              <w:rPr>
                <w:sz w:val="18"/>
                <w:szCs w:val="24"/>
                <w:rtl/>
              </w:rPr>
            </w:pPr>
            <w:r>
              <w:rPr>
                <w:sz w:val="18"/>
                <w:szCs w:val="24"/>
              </w:rPr>
              <w:t>571 384</w:t>
            </w:r>
          </w:p>
        </w:tc>
        <w:tc>
          <w:tcPr>
            <w:tcW w:w="790" w:type="dxa"/>
            <w:vAlign w:val="bottom"/>
          </w:tcPr>
          <w:p w:rsidR="00F92819" w:rsidRDefault="00F92819">
            <w:pPr>
              <w:spacing w:before="40" w:after="40" w:line="220" w:lineRule="exact"/>
              <w:jc w:val="right"/>
              <w:rPr>
                <w:sz w:val="18"/>
                <w:szCs w:val="24"/>
                <w:rtl/>
              </w:rPr>
            </w:pPr>
            <w:r>
              <w:rPr>
                <w:sz w:val="18"/>
                <w:szCs w:val="24"/>
              </w:rPr>
              <w:t>613 652</w:t>
            </w:r>
          </w:p>
        </w:tc>
        <w:tc>
          <w:tcPr>
            <w:tcW w:w="790" w:type="dxa"/>
            <w:vAlign w:val="bottom"/>
          </w:tcPr>
          <w:p w:rsidR="00F92819" w:rsidRDefault="00F92819">
            <w:pPr>
              <w:spacing w:before="40" w:after="40" w:line="220" w:lineRule="exact"/>
              <w:jc w:val="right"/>
              <w:rPr>
                <w:sz w:val="18"/>
                <w:szCs w:val="24"/>
              </w:rPr>
            </w:pPr>
            <w:r>
              <w:rPr>
                <w:sz w:val="18"/>
                <w:szCs w:val="24"/>
              </w:rPr>
              <w:t>641 335</w:t>
            </w:r>
          </w:p>
        </w:tc>
      </w:tr>
      <w:tr w:rsidR="00F92819">
        <w:tc>
          <w:tcPr>
            <w:tcW w:w="4100" w:type="dxa"/>
            <w:gridSpan w:val="4"/>
            <w:vAlign w:val="bottom"/>
          </w:tcPr>
          <w:p w:rsidR="00F92819" w:rsidRDefault="00F92819">
            <w:pPr>
              <w:keepNext/>
              <w:spacing w:before="40" w:after="40" w:line="220" w:lineRule="exact"/>
              <w:rPr>
                <w:szCs w:val="24"/>
                <w:rtl/>
              </w:rPr>
            </w:pPr>
            <w:r>
              <w:rPr>
                <w:sz w:val="18"/>
                <w:szCs w:val="24"/>
                <w:lang w:val="es-ES_tradnl"/>
              </w:rPr>
              <w:t>Producto interno bruto, excluidas</w:t>
            </w:r>
            <w:r>
              <w:rPr>
                <w:sz w:val="18"/>
                <w:szCs w:val="24"/>
              </w:rPr>
              <w:t xml:space="preserve"> </w:t>
            </w:r>
            <w:r>
              <w:rPr>
                <w:sz w:val="18"/>
                <w:szCs w:val="24"/>
                <w:lang w:val="es-ES_tradnl"/>
              </w:rPr>
              <w:t>las empresas incipientes</w:t>
            </w:r>
          </w:p>
        </w:tc>
        <w:tc>
          <w:tcPr>
            <w:tcW w:w="800" w:type="dxa"/>
            <w:vMerge/>
            <w:vAlign w:val="bottom"/>
          </w:tcPr>
          <w:p w:rsidR="00F92819" w:rsidRDefault="00F92819">
            <w:pPr>
              <w:keepNext/>
              <w:spacing w:before="40" w:after="40" w:line="220" w:lineRule="exact"/>
              <w:jc w:val="right"/>
              <w:rPr>
                <w:sz w:val="18"/>
                <w:szCs w:val="24"/>
              </w:rPr>
            </w:pPr>
          </w:p>
        </w:tc>
        <w:tc>
          <w:tcPr>
            <w:tcW w:w="789" w:type="dxa"/>
            <w:vAlign w:val="bottom"/>
          </w:tcPr>
          <w:p w:rsidR="00F92819" w:rsidRDefault="00F92819">
            <w:pPr>
              <w:keepNext/>
              <w:spacing w:before="40" w:after="40" w:line="220" w:lineRule="exact"/>
              <w:jc w:val="right"/>
              <w:rPr>
                <w:sz w:val="18"/>
                <w:szCs w:val="24"/>
                <w:rtl/>
              </w:rPr>
            </w:pPr>
            <w:r>
              <w:rPr>
                <w:sz w:val="18"/>
                <w:szCs w:val="24"/>
              </w:rPr>
              <w:t>523 816</w:t>
            </w:r>
          </w:p>
        </w:tc>
        <w:tc>
          <w:tcPr>
            <w:tcW w:w="790" w:type="dxa"/>
            <w:vAlign w:val="bottom"/>
          </w:tcPr>
          <w:p w:rsidR="00F92819" w:rsidRDefault="00F92819">
            <w:pPr>
              <w:keepNext/>
              <w:spacing w:before="40" w:after="40" w:line="220" w:lineRule="exact"/>
              <w:jc w:val="right"/>
              <w:rPr>
                <w:sz w:val="18"/>
                <w:szCs w:val="24"/>
                <w:rtl/>
              </w:rPr>
            </w:pPr>
            <w:r>
              <w:rPr>
                <w:sz w:val="18"/>
                <w:szCs w:val="24"/>
              </w:rPr>
              <w:t>532 713</w:t>
            </w:r>
          </w:p>
        </w:tc>
        <w:tc>
          <w:tcPr>
            <w:tcW w:w="790" w:type="dxa"/>
            <w:vAlign w:val="bottom"/>
          </w:tcPr>
          <w:p w:rsidR="00F92819" w:rsidRDefault="00F92819">
            <w:pPr>
              <w:keepNext/>
              <w:spacing w:before="40" w:after="40" w:line="220" w:lineRule="exact"/>
              <w:jc w:val="right"/>
              <w:rPr>
                <w:sz w:val="18"/>
                <w:szCs w:val="24"/>
                <w:rtl/>
              </w:rPr>
            </w:pPr>
            <w:r>
              <w:rPr>
                <w:sz w:val="18"/>
                <w:szCs w:val="24"/>
              </w:rPr>
              <w:t>559 541</w:t>
            </w:r>
          </w:p>
        </w:tc>
        <w:tc>
          <w:tcPr>
            <w:tcW w:w="790" w:type="dxa"/>
            <w:vAlign w:val="bottom"/>
          </w:tcPr>
          <w:p w:rsidR="00F92819" w:rsidRDefault="00F92819">
            <w:pPr>
              <w:keepNext/>
              <w:spacing w:before="40" w:after="40" w:line="220" w:lineRule="exact"/>
              <w:jc w:val="right"/>
              <w:rPr>
                <w:sz w:val="18"/>
                <w:szCs w:val="24"/>
                <w:rtl/>
              </w:rPr>
            </w:pPr>
            <w:r>
              <w:rPr>
                <w:sz w:val="18"/>
                <w:szCs w:val="24"/>
              </w:rPr>
              <w:t>592 374</w:t>
            </w:r>
          </w:p>
        </w:tc>
        <w:tc>
          <w:tcPr>
            <w:tcW w:w="790" w:type="dxa"/>
            <w:vAlign w:val="bottom"/>
          </w:tcPr>
          <w:p w:rsidR="00F92819" w:rsidRDefault="00F92819">
            <w:pPr>
              <w:keepNext/>
              <w:spacing w:before="40" w:after="40" w:line="220" w:lineRule="exact"/>
              <w:jc w:val="right"/>
              <w:rPr>
                <w:sz w:val="18"/>
                <w:szCs w:val="24"/>
                <w:rtl/>
              </w:rPr>
            </w:pPr>
            <w:r>
              <w:rPr>
                <w:sz w:val="18"/>
                <w:szCs w:val="24"/>
              </w:rPr>
              <w:t>635 076</w:t>
            </w:r>
          </w:p>
        </w:tc>
        <w:tc>
          <w:tcPr>
            <w:tcW w:w="790" w:type="dxa"/>
            <w:vAlign w:val="bottom"/>
          </w:tcPr>
          <w:p w:rsidR="00F92819" w:rsidRDefault="00F92819">
            <w:pPr>
              <w:keepNext/>
              <w:spacing w:before="40" w:after="40" w:line="220" w:lineRule="exact"/>
              <w:jc w:val="right"/>
              <w:rPr>
                <w:sz w:val="18"/>
                <w:szCs w:val="24"/>
              </w:rPr>
            </w:pPr>
            <w:r>
              <w:rPr>
                <w:sz w:val="18"/>
                <w:szCs w:val="24"/>
              </w:rPr>
              <w:t>668 218</w:t>
            </w:r>
          </w:p>
        </w:tc>
      </w:tr>
      <w:tr w:rsidR="00F92819">
        <w:tc>
          <w:tcPr>
            <w:tcW w:w="4100" w:type="dxa"/>
            <w:gridSpan w:val="4"/>
            <w:vAlign w:val="bottom"/>
          </w:tcPr>
          <w:p w:rsidR="00F92819" w:rsidRDefault="00F92819">
            <w:pPr>
              <w:spacing w:before="40" w:after="40" w:line="220" w:lineRule="exact"/>
              <w:rPr>
                <w:szCs w:val="24"/>
                <w:rtl/>
              </w:rPr>
            </w:pPr>
            <w:r>
              <w:rPr>
                <w:sz w:val="18"/>
                <w:szCs w:val="24"/>
                <w:lang w:val="es-ES_tradnl"/>
              </w:rPr>
              <w:t>Producto interno bruto del sector empresarial</w:t>
            </w:r>
          </w:p>
        </w:tc>
        <w:tc>
          <w:tcPr>
            <w:tcW w:w="800" w:type="dxa"/>
            <w:vMerge/>
            <w:vAlign w:val="bottom"/>
          </w:tcPr>
          <w:p w:rsidR="00F92819" w:rsidRDefault="00F92819">
            <w:pPr>
              <w:spacing w:before="40" w:after="40" w:line="220" w:lineRule="exact"/>
              <w:jc w:val="right"/>
              <w:rPr>
                <w:sz w:val="18"/>
                <w:szCs w:val="24"/>
              </w:rPr>
            </w:pPr>
          </w:p>
        </w:tc>
        <w:tc>
          <w:tcPr>
            <w:tcW w:w="789" w:type="dxa"/>
            <w:vAlign w:val="bottom"/>
          </w:tcPr>
          <w:p w:rsidR="00F92819" w:rsidRDefault="00F92819">
            <w:pPr>
              <w:spacing w:before="40" w:after="40" w:line="220" w:lineRule="exact"/>
              <w:jc w:val="right"/>
              <w:rPr>
                <w:sz w:val="18"/>
                <w:szCs w:val="24"/>
              </w:rPr>
            </w:pPr>
            <w:r>
              <w:rPr>
                <w:sz w:val="18"/>
                <w:szCs w:val="24"/>
              </w:rPr>
              <w:t>369 521</w:t>
            </w:r>
          </w:p>
        </w:tc>
        <w:tc>
          <w:tcPr>
            <w:tcW w:w="790" w:type="dxa"/>
            <w:vAlign w:val="bottom"/>
          </w:tcPr>
          <w:p w:rsidR="00F92819" w:rsidRDefault="00F92819">
            <w:pPr>
              <w:spacing w:before="40" w:after="40" w:line="220" w:lineRule="exact"/>
              <w:jc w:val="right"/>
              <w:rPr>
                <w:sz w:val="18"/>
                <w:szCs w:val="24"/>
              </w:rPr>
            </w:pPr>
            <w:r>
              <w:rPr>
                <w:sz w:val="18"/>
                <w:szCs w:val="24"/>
              </w:rPr>
              <w:t>381 862</w:t>
            </w:r>
          </w:p>
        </w:tc>
        <w:tc>
          <w:tcPr>
            <w:tcW w:w="790" w:type="dxa"/>
            <w:vAlign w:val="bottom"/>
          </w:tcPr>
          <w:p w:rsidR="00F92819" w:rsidRDefault="00F92819">
            <w:pPr>
              <w:spacing w:before="40" w:after="40" w:line="220" w:lineRule="exact"/>
              <w:jc w:val="right"/>
              <w:rPr>
                <w:sz w:val="18"/>
                <w:szCs w:val="24"/>
              </w:rPr>
            </w:pPr>
            <w:r>
              <w:rPr>
                <w:sz w:val="18"/>
                <w:szCs w:val="24"/>
              </w:rPr>
              <w:t>404 064</w:t>
            </w:r>
          </w:p>
        </w:tc>
        <w:tc>
          <w:tcPr>
            <w:tcW w:w="790" w:type="dxa"/>
            <w:vAlign w:val="bottom"/>
          </w:tcPr>
          <w:p w:rsidR="00F92819" w:rsidRDefault="00F92819">
            <w:pPr>
              <w:spacing w:before="40" w:after="40" w:line="220" w:lineRule="exact"/>
              <w:jc w:val="right"/>
              <w:rPr>
                <w:sz w:val="18"/>
                <w:szCs w:val="24"/>
              </w:rPr>
            </w:pPr>
            <w:r>
              <w:rPr>
                <w:sz w:val="18"/>
                <w:szCs w:val="24"/>
              </w:rPr>
              <w:t>433 926</w:t>
            </w:r>
          </w:p>
        </w:tc>
        <w:tc>
          <w:tcPr>
            <w:tcW w:w="790" w:type="dxa"/>
            <w:vAlign w:val="bottom"/>
          </w:tcPr>
          <w:p w:rsidR="00F92819" w:rsidRDefault="00F92819">
            <w:pPr>
              <w:spacing w:before="40" w:after="40" w:line="220" w:lineRule="exact"/>
              <w:jc w:val="right"/>
              <w:rPr>
                <w:sz w:val="18"/>
                <w:szCs w:val="24"/>
              </w:rPr>
            </w:pPr>
            <w:r>
              <w:rPr>
                <w:sz w:val="18"/>
                <w:szCs w:val="24"/>
              </w:rPr>
              <w:t>470 168</w:t>
            </w:r>
          </w:p>
        </w:tc>
        <w:tc>
          <w:tcPr>
            <w:tcW w:w="790" w:type="dxa"/>
            <w:vAlign w:val="bottom"/>
          </w:tcPr>
          <w:p w:rsidR="00F92819" w:rsidRDefault="00F92819">
            <w:pPr>
              <w:spacing w:before="40" w:after="40" w:line="220" w:lineRule="exact"/>
              <w:jc w:val="right"/>
              <w:rPr>
                <w:sz w:val="18"/>
                <w:szCs w:val="24"/>
              </w:rPr>
            </w:pPr>
            <w:r>
              <w:rPr>
                <w:sz w:val="18"/>
                <w:szCs w:val="24"/>
              </w:rPr>
              <w:t>497 609</w:t>
            </w:r>
          </w:p>
        </w:tc>
      </w:tr>
      <w:tr w:rsidR="00F92819">
        <w:tc>
          <w:tcPr>
            <w:tcW w:w="4100" w:type="dxa"/>
            <w:gridSpan w:val="4"/>
            <w:vAlign w:val="bottom"/>
          </w:tcPr>
          <w:p w:rsidR="00F92819" w:rsidRDefault="00F92819">
            <w:pPr>
              <w:spacing w:before="40" w:after="40" w:line="220" w:lineRule="exact"/>
              <w:rPr>
                <w:szCs w:val="24"/>
                <w:rtl/>
              </w:rPr>
            </w:pPr>
            <w:r>
              <w:rPr>
                <w:sz w:val="18"/>
                <w:szCs w:val="24"/>
                <w:lang w:val="es-ES_tradnl"/>
              </w:rPr>
              <w:t>Producto de los servicios de vivienda</w:t>
            </w:r>
          </w:p>
        </w:tc>
        <w:tc>
          <w:tcPr>
            <w:tcW w:w="800" w:type="dxa"/>
            <w:vMerge/>
            <w:vAlign w:val="bottom"/>
          </w:tcPr>
          <w:p w:rsidR="00F92819" w:rsidRDefault="00F92819">
            <w:pPr>
              <w:spacing w:before="40" w:after="40" w:line="220" w:lineRule="exact"/>
              <w:jc w:val="right"/>
              <w:rPr>
                <w:sz w:val="18"/>
                <w:szCs w:val="24"/>
              </w:rPr>
            </w:pPr>
          </w:p>
        </w:tc>
        <w:tc>
          <w:tcPr>
            <w:tcW w:w="789" w:type="dxa"/>
            <w:vAlign w:val="bottom"/>
          </w:tcPr>
          <w:p w:rsidR="00F92819" w:rsidRDefault="00F92819">
            <w:pPr>
              <w:spacing w:before="40" w:after="40" w:line="220" w:lineRule="exact"/>
              <w:jc w:val="right"/>
              <w:rPr>
                <w:sz w:val="18"/>
                <w:szCs w:val="24"/>
                <w:rtl/>
              </w:rPr>
            </w:pPr>
            <w:r>
              <w:rPr>
                <w:sz w:val="18"/>
                <w:szCs w:val="24"/>
              </w:rPr>
              <w:t>63 015</w:t>
            </w:r>
          </w:p>
        </w:tc>
        <w:tc>
          <w:tcPr>
            <w:tcW w:w="790" w:type="dxa"/>
            <w:vAlign w:val="bottom"/>
          </w:tcPr>
          <w:p w:rsidR="00F92819" w:rsidRDefault="00F92819">
            <w:pPr>
              <w:spacing w:before="40" w:after="40" w:line="220" w:lineRule="exact"/>
              <w:jc w:val="right"/>
              <w:rPr>
                <w:sz w:val="18"/>
                <w:szCs w:val="24"/>
                <w:rtl/>
              </w:rPr>
            </w:pPr>
            <w:r>
              <w:rPr>
                <w:sz w:val="18"/>
                <w:szCs w:val="24"/>
              </w:rPr>
              <w:t>58 911</w:t>
            </w:r>
          </w:p>
        </w:tc>
        <w:tc>
          <w:tcPr>
            <w:tcW w:w="790" w:type="dxa"/>
            <w:vAlign w:val="bottom"/>
          </w:tcPr>
          <w:p w:rsidR="00F92819" w:rsidRDefault="00F92819">
            <w:pPr>
              <w:spacing w:before="40" w:after="40" w:line="220" w:lineRule="exact"/>
              <w:jc w:val="right"/>
              <w:rPr>
                <w:sz w:val="18"/>
                <w:szCs w:val="24"/>
                <w:rtl/>
              </w:rPr>
            </w:pPr>
            <w:r>
              <w:rPr>
                <w:sz w:val="18"/>
                <w:szCs w:val="24"/>
              </w:rPr>
              <w:t>60 982</w:t>
            </w:r>
          </w:p>
        </w:tc>
        <w:tc>
          <w:tcPr>
            <w:tcW w:w="790" w:type="dxa"/>
            <w:vAlign w:val="bottom"/>
          </w:tcPr>
          <w:p w:rsidR="00F92819" w:rsidRDefault="00F92819">
            <w:pPr>
              <w:spacing w:before="40" w:after="40" w:line="220" w:lineRule="exact"/>
              <w:jc w:val="right"/>
              <w:rPr>
                <w:sz w:val="18"/>
                <w:szCs w:val="24"/>
                <w:rtl/>
              </w:rPr>
            </w:pPr>
            <w:r>
              <w:rPr>
                <w:sz w:val="18"/>
                <w:szCs w:val="24"/>
              </w:rPr>
              <w:t>63 347</w:t>
            </w:r>
          </w:p>
        </w:tc>
        <w:tc>
          <w:tcPr>
            <w:tcW w:w="790" w:type="dxa"/>
            <w:vAlign w:val="bottom"/>
          </w:tcPr>
          <w:p w:rsidR="00F92819" w:rsidRDefault="00F92819">
            <w:pPr>
              <w:spacing w:before="40" w:after="40" w:line="220" w:lineRule="exact"/>
              <w:jc w:val="right"/>
              <w:rPr>
                <w:sz w:val="18"/>
                <w:szCs w:val="24"/>
                <w:rtl/>
              </w:rPr>
            </w:pPr>
            <w:r>
              <w:rPr>
                <w:sz w:val="18"/>
                <w:szCs w:val="24"/>
              </w:rPr>
              <w:t>64 095</w:t>
            </w:r>
          </w:p>
        </w:tc>
        <w:tc>
          <w:tcPr>
            <w:tcW w:w="790" w:type="dxa"/>
            <w:vAlign w:val="bottom"/>
          </w:tcPr>
          <w:p w:rsidR="00F92819" w:rsidRDefault="00F92819">
            <w:pPr>
              <w:spacing w:before="40" w:after="40" w:line="220" w:lineRule="exact"/>
              <w:jc w:val="right"/>
              <w:rPr>
                <w:sz w:val="18"/>
                <w:szCs w:val="24"/>
              </w:rPr>
            </w:pPr>
            <w:r>
              <w:rPr>
                <w:sz w:val="18"/>
                <w:szCs w:val="24"/>
              </w:rPr>
              <w:t>64 882</w:t>
            </w:r>
          </w:p>
        </w:tc>
      </w:tr>
      <w:tr w:rsidR="00F92819">
        <w:tc>
          <w:tcPr>
            <w:tcW w:w="4100" w:type="dxa"/>
            <w:gridSpan w:val="4"/>
            <w:vAlign w:val="bottom"/>
          </w:tcPr>
          <w:p w:rsidR="00F92819" w:rsidRDefault="00F92819">
            <w:pPr>
              <w:spacing w:before="40" w:after="40" w:line="220" w:lineRule="exact"/>
              <w:rPr>
                <w:szCs w:val="24"/>
                <w:rtl/>
              </w:rPr>
            </w:pPr>
            <w:r>
              <w:rPr>
                <w:sz w:val="18"/>
                <w:szCs w:val="24"/>
                <w:lang w:val="es-ES_tradnl"/>
              </w:rPr>
              <w:t>Producto de los servicios de las administraciones públicas y de las instituciones sin fines de lucro</w:t>
            </w:r>
          </w:p>
        </w:tc>
        <w:tc>
          <w:tcPr>
            <w:tcW w:w="800" w:type="dxa"/>
            <w:vMerge/>
            <w:vAlign w:val="bottom"/>
          </w:tcPr>
          <w:p w:rsidR="00F92819" w:rsidRDefault="00F92819">
            <w:pPr>
              <w:spacing w:before="40" w:after="40" w:line="220" w:lineRule="exact"/>
              <w:jc w:val="right"/>
              <w:rPr>
                <w:sz w:val="18"/>
                <w:szCs w:val="24"/>
              </w:rPr>
            </w:pPr>
          </w:p>
        </w:tc>
        <w:tc>
          <w:tcPr>
            <w:tcW w:w="789" w:type="dxa"/>
            <w:vAlign w:val="bottom"/>
          </w:tcPr>
          <w:p w:rsidR="00F92819" w:rsidRDefault="00F92819">
            <w:pPr>
              <w:spacing w:before="40" w:after="40" w:line="220" w:lineRule="exact"/>
              <w:jc w:val="right"/>
              <w:rPr>
                <w:sz w:val="18"/>
                <w:szCs w:val="24"/>
                <w:rtl/>
              </w:rPr>
            </w:pPr>
            <w:r>
              <w:rPr>
                <w:sz w:val="18"/>
                <w:szCs w:val="24"/>
              </w:rPr>
              <w:t>97 139</w:t>
            </w:r>
          </w:p>
        </w:tc>
        <w:tc>
          <w:tcPr>
            <w:tcW w:w="790" w:type="dxa"/>
            <w:vAlign w:val="bottom"/>
          </w:tcPr>
          <w:p w:rsidR="00F92819" w:rsidRDefault="00F92819">
            <w:pPr>
              <w:spacing w:before="40" w:after="40" w:line="220" w:lineRule="exact"/>
              <w:jc w:val="right"/>
              <w:rPr>
                <w:sz w:val="18"/>
                <w:szCs w:val="24"/>
                <w:rtl/>
              </w:rPr>
            </w:pPr>
            <w:r>
              <w:rPr>
                <w:sz w:val="18"/>
                <w:szCs w:val="24"/>
              </w:rPr>
              <w:t>95 908</w:t>
            </w:r>
          </w:p>
        </w:tc>
        <w:tc>
          <w:tcPr>
            <w:tcW w:w="790" w:type="dxa"/>
            <w:vAlign w:val="bottom"/>
          </w:tcPr>
          <w:p w:rsidR="00F92819" w:rsidRDefault="00F92819">
            <w:pPr>
              <w:spacing w:before="40" w:after="40" w:line="220" w:lineRule="exact"/>
              <w:jc w:val="right"/>
              <w:rPr>
                <w:sz w:val="18"/>
                <w:szCs w:val="24"/>
                <w:rtl/>
              </w:rPr>
            </w:pPr>
            <w:r>
              <w:rPr>
                <w:sz w:val="18"/>
                <w:szCs w:val="24"/>
              </w:rPr>
              <w:t>98 668</w:t>
            </w:r>
          </w:p>
        </w:tc>
        <w:tc>
          <w:tcPr>
            <w:tcW w:w="790" w:type="dxa"/>
            <w:vAlign w:val="bottom"/>
          </w:tcPr>
          <w:p w:rsidR="00F92819" w:rsidRDefault="00F92819">
            <w:pPr>
              <w:spacing w:before="40" w:after="40" w:line="220" w:lineRule="exact"/>
              <w:jc w:val="right"/>
              <w:rPr>
                <w:sz w:val="18"/>
                <w:szCs w:val="24"/>
                <w:rtl/>
              </w:rPr>
            </w:pPr>
            <w:r>
              <w:rPr>
                <w:sz w:val="18"/>
                <w:szCs w:val="24"/>
              </w:rPr>
              <w:t>100 500</w:t>
            </w:r>
          </w:p>
        </w:tc>
        <w:tc>
          <w:tcPr>
            <w:tcW w:w="790" w:type="dxa"/>
            <w:vAlign w:val="bottom"/>
          </w:tcPr>
          <w:p w:rsidR="00F92819" w:rsidRDefault="00F92819">
            <w:pPr>
              <w:spacing w:before="40" w:after="40" w:line="220" w:lineRule="exact"/>
              <w:jc w:val="right"/>
              <w:rPr>
                <w:sz w:val="18"/>
                <w:szCs w:val="24"/>
                <w:rtl/>
              </w:rPr>
            </w:pPr>
            <w:r>
              <w:rPr>
                <w:sz w:val="18"/>
                <w:szCs w:val="24"/>
              </w:rPr>
              <w:t>106 513</w:t>
            </w:r>
          </w:p>
        </w:tc>
        <w:tc>
          <w:tcPr>
            <w:tcW w:w="790" w:type="dxa"/>
            <w:vAlign w:val="bottom"/>
          </w:tcPr>
          <w:p w:rsidR="00F92819" w:rsidRDefault="00F92819">
            <w:pPr>
              <w:spacing w:before="40" w:after="40" w:line="220" w:lineRule="exact"/>
              <w:jc w:val="right"/>
              <w:rPr>
                <w:sz w:val="18"/>
                <w:szCs w:val="24"/>
              </w:rPr>
            </w:pPr>
            <w:r>
              <w:rPr>
                <w:sz w:val="18"/>
                <w:szCs w:val="24"/>
              </w:rPr>
              <w:t>111 061</w:t>
            </w:r>
          </w:p>
        </w:tc>
      </w:tr>
      <w:tr w:rsidR="00F92819">
        <w:tc>
          <w:tcPr>
            <w:tcW w:w="4100" w:type="dxa"/>
            <w:gridSpan w:val="4"/>
            <w:vAlign w:val="bottom"/>
          </w:tcPr>
          <w:p w:rsidR="00F92819" w:rsidRDefault="00F92819">
            <w:pPr>
              <w:spacing w:before="40" w:after="40" w:line="220" w:lineRule="exact"/>
              <w:rPr>
                <w:szCs w:val="24"/>
                <w:rtl/>
              </w:rPr>
            </w:pPr>
            <w:r>
              <w:rPr>
                <w:sz w:val="18"/>
                <w:szCs w:val="24"/>
                <w:lang w:val="es-ES_tradnl"/>
              </w:rPr>
              <w:t>Producto interno bruto</w:t>
            </w:r>
          </w:p>
        </w:tc>
        <w:tc>
          <w:tcPr>
            <w:tcW w:w="800" w:type="dxa"/>
            <w:vMerge/>
            <w:vAlign w:val="bottom"/>
          </w:tcPr>
          <w:p w:rsidR="00F92819" w:rsidRDefault="00F92819">
            <w:pPr>
              <w:spacing w:before="40" w:after="40" w:line="220" w:lineRule="exact"/>
              <w:jc w:val="right"/>
              <w:rPr>
                <w:sz w:val="18"/>
                <w:szCs w:val="24"/>
              </w:rPr>
            </w:pPr>
          </w:p>
        </w:tc>
        <w:tc>
          <w:tcPr>
            <w:tcW w:w="789" w:type="dxa"/>
            <w:vAlign w:val="bottom"/>
          </w:tcPr>
          <w:p w:rsidR="00F92819" w:rsidRDefault="00F92819">
            <w:pPr>
              <w:spacing w:before="40" w:after="40" w:line="220" w:lineRule="exact"/>
              <w:jc w:val="right"/>
              <w:rPr>
                <w:sz w:val="18"/>
                <w:szCs w:val="24"/>
                <w:rtl/>
              </w:rPr>
            </w:pPr>
            <w:r>
              <w:rPr>
                <w:sz w:val="18"/>
                <w:szCs w:val="24"/>
              </w:rPr>
              <w:t>529 675</w:t>
            </w:r>
          </w:p>
        </w:tc>
        <w:tc>
          <w:tcPr>
            <w:tcW w:w="790" w:type="dxa"/>
            <w:vAlign w:val="bottom"/>
          </w:tcPr>
          <w:p w:rsidR="00F92819" w:rsidRDefault="00F92819">
            <w:pPr>
              <w:spacing w:before="40" w:after="40" w:line="220" w:lineRule="exact"/>
              <w:jc w:val="right"/>
              <w:rPr>
                <w:sz w:val="18"/>
                <w:szCs w:val="24"/>
                <w:rtl/>
              </w:rPr>
            </w:pPr>
            <w:r>
              <w:rPr>
                <w:sz w:val="18"/>
                <w:szCs w:val="24"/>
              </w:rPr>
              <w:t>536 680</w:t>
            </w:r>
          </w:p>
        </w:tc>
        <w:tc>
          <w:tcPr>
            <w:tcW w:w="790" w:type="dxa"/>
            <w:vAlign w:val="bottom"/>
          </w:tcPr>
          <w:p w:rsidR="00F92819" w:rsidRDefault="00F92819">
            <w:pPr>
              <w:spacing w:before="40" w:after="40" w:line="220" w:lineRule="exact"/>
              <w:jc w:val="right"/>
              <w:rPr>
                <w:sz w:val="18"/>
                <w:szCs w:val="24"/>
                <w:rtl/>
              </w:rPr>
            </w:pPr>
            <w:r>
              <w:rPr>
                <w:sz w:val="18"/>
                <w:szCs w:val="24"/>
              </w:rPr>
              <w:t>563 713</w:t>
            </w:r>
          </w:p>
        </w:tc>
        <w:tc>
          <w:tcPr>
            <w:tcW w:w="790" w:type="dxa"/>
            <w:vAlign w:val="bottom"/>
          </w:tcPr>
          <w:p w:rsidR="00F92819" w:rsidRDefault="00F92819">
            <w:pPr>
              <w:spacing w:before="40" w:after="40" w:line="220" w:lineRule="exact"/>
              <w:jc w:val="right"/>
              <w:rPr>
                <w:sz w:val="18"/>
                <w:szCs w:val="24"/>
                <w:rtl/>
              </w:rPr>
            </w:pPr>
            <w:r>
              <w:rPr>
                <w:sz w:val="18"/>
                <w:szCs w:val="24"/>
              </w:rPr>
              <w:t>597 773</w:t>
            </w:r>
          </w:p>
        </w:tc>
        <w:tc>
          <w:tcPr>
            <w:tcW w:w="790" w:type="dxa"/>
            <w:vAlign w:val="bottom"/>
          </w:tcPr>
          <w:p w:rsidR="00F92819" w:rsidRDefault="00F92819">
            <w:pPr>
              <w:spacing w:before="40" w:after="40" w:line="220" w:lineRule="exact"/>
              <w:jc w:val="right"/>
              <w:rPr>
                <w:sz w:val="18"/>
                <w:szCs w:val="24"/>
                <w:rtl/>
              </w:rPr>
            </w:pPr>
            <w:r>
              <w:rPr>
                <w:sz w:val="18"/>
                <w:szCs w:val="24"/>
              </w:rPr>
              <w:t>640 776</w:t>
            </w:r>
          </w:p>
        </w:tc>
        <w:tc>
          <w:tcPr>
            <w:tcW w:w="790" w:type="dxa"/>
            <w:vAlign w:val="bottom"/>
          </w:tcPr>
          <w:p w:rsidR="00F92819" w:rsidRDefault="00F92819">
            <w:pPr>
              <w:spacing w:before="40" w:after="40" w:line="220" w:lineRule="exact"/>
              <w:jc w:val="right"/>
              <w:rPr>
                <w:sz w:val="18"/>
                <w:szCs w:val="24"/>
              </w:rPr>
            </w:pPr>
            <w:r>
              <w:rPr>
                <w:sz w:val="18"/>
                <w:szCs w:val="24"/>
              </w:rPr>
              <w:t>673 552</w:t>
            </w:r>
          </w:p>
        </w:tc>
      </w:tr>
      <w:tr w:rsidR="00F92819">
        <w:tc>
          <w:tcPr>
            <w:tcW w:w="4100" w:type="dxa"/>
            <w:gridSpan w:val="4"/>
            <w:vAlign w:val="bottom"/>
          </w:tcPr>
          <w:p w:rsidR="00F92819" w:rsidRDefault="00F92819">
            <w:pPr>
              <w:spacing w:before="40" w:after="40" w:line="220" w:lineRule="exact"/>
              <w:rPr>
                <w:szCs w:val="24"/>
              </w:rPr>
            </w:pPr>
            <w:r>
              <w:rPr>
                <w:sz w:val="18"/>
                <w:szCs w:val="24"/>
                <w:lang w:val="es-ES_tradnl"/>
              </w:rPr>
              <w:t>Menos:</w:t>
            </w:r>
            <w:r>
              <w:rPr>
                <w:sz w:val="18"/>
                <w:szCs w:val="24"/>
              </w:rPr>
              <w:t xml:space="preserve"> </w:t>
            </w:r>
            <w:r>
              <w:rPr>
                <w:sz w:val="18"/>
                <w:szCs w:val="24"/>
                <w:lang w:val="es-ES_tradnl"/>
              </w:rPr>
              <w:t>importaciones de bienes y servicios</w:t>
            </w:r>
          </w:p>
        </w:tc>
        <w:tc>
          <w:tcPr>
            <w:tcW w:w="800" w:type="dxa"/>
            <w:vMerge/>
            <w:vAlign w:val="bottom"/>
          </w:tcPr>
          <w:p w:rsidR="00F92819" w:rsidRDefault="00F92819">
            <w:pPr>
              <w:spacing w:before="40" w:after="40" w:line="220" w:lineRule="exact"/>
              <w:jc w:val="right"/>
              <w:rPr>
                <w:sz w:val="18"/>
                <w:szCs w:val="24"/>
              </w:rPr>
            </w:pPr>
          </w:p>
        </w:tc>
        <w:tc>
          <w:tcPr>
            <w:tcW w:w="789" w:type="dxa"/>
            <w:vAlign w:val="bottom"/>
          </w:tcPr>
          <w:p w:rsidR="00F92819" w:rsidRDefault="00F92819">
            <w:pPr>
              <w:spacing w:before="40" w:after="40" w:line="220" w:lineRule="exact"/>
              <w:jc w:val="right"/>
              <w:rPr>
                <w:sz w:val="18"/>
                <w:szCs w:val="24"/>
              </w:rPr>
            </w:pPr>
            <w:r>
              <w:rPr>
                <w:sz w:val="18"/>
                <w:szCs w:val="24"/>
              </w:rPr>
              <w:t>203 244</w:t>
            </w:r>
          </w:p>
        </w:tc>
        <w:tc>
          <w:tcPr>
            <w:tcW w:w="790" w:type="dxa"/>
            <w:vAlign w:val="bottom"/>
          </w:tcPr>
          <w:p w:rsidR="00F92819" w:rsidRDefault="00F92819">
            <w:pPr>
              <w:spacing w:before="40" w:after="40" w:line="220" w:lineRule="exact"/>
              <w:jc w:val="right"/>
              <w:rPr>
                <w:sz w:val="18"/>
                <w:szCs w:val="24"/>
              </w:rPr>
            </w:pPr>
            <w:r>
              <w:rPr>
                <w:sz w:val="18"/>
                <w:szCs w:val="24"/>
              </w:rPr>
              <w:t>202 024</w:t>
            </w:r>
          </w:p>
        </w:tc>
        <w:tc>
          <w:tcPr>
            <w:tcW w:w="790" w:type="dxa"/>
            <w:vAlign w:val="bottom"/>
          </w:tcPr>
          <w:p w:rsidR="00F92819" w:rsidRDefault="00F92819">
            <w:pPr>
              <w:spacing w:before="40" w:after="40" w:line="220" w:lineRule="exact"/>
              <w:jc w:val="right"/>
              <w:rPr>
                <w:sz w:val="18"/>
                <w:szCs w:val="24"/>
              </w:rPr>
            </w:pPr>
            <w:r>
              <w:rPr>
                <w:sz w:val="18"/>
                <w:szCs w:val="24"/>
              </w:rPr>
              <w:t>234 435</w:t>
            </w:r>
          </w:p>
        </w:tc>
        <w:tc>
          <w:tcPr>
            <w:tcW w:w="790" w:type="dxa"/>
            <w:vAlign w:val="bottom"/>
          </w:tcPr>
          <w:p w:rsidR="00F92819" w:rsidRDefault="00F92819">
            <w:pPr>
              <w:spacing w:before="40" w:after="40" w:line="220" w:lineRule="exact"/>
              <w:jc w:val="right"/>
              <w:rPr>
                <w:sz w:val="18"/>
                <w:szCs w:val="24"/>
              </w:rPr>
            </w:pPr>
            <w:r>
              <w:rPr>
                <w:sz w:val="18"/>
                <w:szCs w:val="24"/>
              </w:rPr>
              <w:t>258 474</w:t>
            </w:r>
          </w:p>
        </w:tc>
        <w:tc>
          <w:tcPr>
            <w:tcW w:w="790" w:type="dxa"/>
            <w:vAlign w:val="bottom"/>
          </w:tcPr>
          <w:p w:rsidR="00F92819" w:rsidRDefault="00F92819">
            <w:pPr>
              <w:spacing w:before="40" w:after="40" w:line="220" w:lineRule="exact"/>
              <w:jc w:val="right"/>
              <w:rPr>
                <w:sz w:val="18"/>
                <w:szCs w:val="24"/>
              </w:rPr>
            </w:pPr>
            <w:r>
              <w:rPr>
                <w:sz w:val="18"/>
                <w:szCs w:val="24"/>
              </w:rPr>
              <w:t>275 788</w:t>
            </w:r>
          </w:p>
        </w:tc>
        <w:tc>
          <w:tcPr>
            <w:tcW w:w="790" w:type="dxa"/>
            <w:vAlign w:val="bottom"/>
          </w:tcPr>
          <w:p w:rsidR="00F92819" w:rsidRDefault="00F92819">
            <w:pPr>
              <w:spacing w:before="40" w:after="40" w:line="220" w:lineRule="exact"/>
              <w:jc w:val="right"/>
              <w:rPr>
                <w:sz w:val="18"/>
                <w:szCs w:val="24"/>
              </w:rPr>
            </w:pPr>
            <w:r>
              <w:rPr>
                <w:sz w:val="18"/>
                <w:szCs w:val="24"/>
              </w:rPr>
              <w:t>302 136</w:t>
            </w:r>
          </w:p>
        </w:tc>
      </w:tr>
      <w:tr w:rsidR="00F92819">
        <w:tc>
          <w:tcPr>
            <w:tcW w:w="900" w:type="dxa"/>
            <w:vAlign w:val="bottom"/>
          </w:tcPr>
          <w:p w:rsidR="00F92819" w:rsidRDefault="00F92819">
            <w:pPr>
              <w:spacing w:before="40" w:after="40" w:line="220" w:lineRule="exact"/>
              <w:rPr>
                <w:sz w:val="18"/>
                <w:szCs w:val="24"/>
              </w:rPr>
            </w:pPr>
          </w:p>
        </w:tc>
        <w:tc>
          <w:tcPr>
            <w:tcW w:w="3200" w:type="dxa"/>
            <w:gridSpan w:val="3"/>
            <w:vAlign w:val="bottom"/>
          </w:tcPr>
          <w:p w:rsidR="00F92819" w:rsidRDefault="00F92819">
            <w:pPr>
              <w:spacing w:before="40" w:after="40" w:line="220" w:lineRule="exact"/>
              <w:rPr>
                <w:szCs w:val="24"/>
              </w:rPr>
            </w:pPr>
            <w:r>
              <w:rPr>
                <w:sz w:val="18"/>
                <w:szCs w:val="24"/>
                <w:lang w:val="es-ES_tradnl"/>
              </w:rPr>
              <w:t>Exportaciones de bienes y servicios</w:t>
            </w:r>
          </w:p>
        </w:tc>
        <w:tc>
          <w:tcPr>
            <w:tcW w:w="800" w:type="dxa"/>
            <w:vAlign w:val="bottom"/>
          </w:tcPr>
          <w:p w:rsidR="00F92819" w:rsidRDefault="00F92819">
            <w:pPr>
              <w:spacing w:before="40" w:after="40" w:line="220" w:lineRule="exact"/>
              <w:jc w:val="right"/>
              <w:rPr>
                <w:sz w:val="18"/>
                <w:szCs w:val="24"/>
              </w:rPr>
            </w:pPr>
          </w:p>
        </w:tc>
        <w:tc>
          <w:tcPr>
            <w:tcW w:w="789" w:type="dxa"/>
            <w:vAlign w:val="bottom"/>
          </w:tcPr>
          <w:p w:rsidR="00F92819" w:rsidRDefault="00F92819">
            <w:pPr>
              <w:spacing w:before="40" w:after="40" w:line="220" w:lineRule="exact"/>
              <w:jc w:val="right"/>
              <w:rPr>
                <w:sz w:val="18"/>
                <w:szCs w:val="24"/>
              </w:rPr>
            </w:pPr>
            <w:r>
              <w:rPr>
                <w:sz w:val="18"/>
                <w:szCs w:val="24"/>
              </w:rPr>
              <w:t>186 888</w:t>
            </w:r>
          </w:p>
        </w:tc>
        <w:tc>
          <w:tcPr>
            <w:tcW w:w="790" w:type="dxa"/>
            <w:vAlign w:val="bottom"/>
          </w:tcPr>
          <w:p w:rsidR="00F92819" w:rsidRDefault="00F92819">
            <w:pPr>
              <w:spacing w:before="40" w:after="40" w:line="220" w:lineRule="exact"/>
              <w:jc w:val="right"/>
              <w:rPr>
                <w:sz w:val="18"/>
                <w:szCs w:val="24"/>
              </w:rPr>
            </w:pPr>
            <w:r>
              <w:rPr>
                <w:sz w:val="18"/>
                <w:szCs w:val="24"/>
              </w:rPr>
              <w:t>198 057</w:t>
            </w:r>
          </w:p>
        </w:tc>
        <w:tc>
          <w:tcPr>
            <w:tcW w:w="790" w:type="dxa"/>
            <w:vAlign w:val="bottom"/>
          </w:tcPr>
          <w:p w:rsidR="00F92819" w:rsidRDefault="00F92819">
            <w:pPr>
              <w:spacing w:before="40" w:after="40" w:line="220" w:lineRule="exact"/>
              <w:jc w:val="right"/>
              <w:rPr>
                <w:sz w:val="18"/>
                <w:szCs w:val="24"/>
              </w:rPr>
            </w:pPr>
            <w:r>
              <w:rPr>
                <w:sz w:val="18"/>
                <w:szCs w:val="24"/>
              </w:rPr>
              <w:t>234 604</w:t>
            </w:r>
          </w:p>
        </w:tc>
        <w:tc>
          <w:tcPr>
            <w:tcW w:w="790" w:type="dxa"/>
            <w:vAlign w:val="bottom"/>
          </w:tcPr>
          <w:p w:rsidR="00F92819" w:rsidRDefault="00F92819">
            <w:pPr>
              <w:spacing w:before="40" w:after="40" w:line="220" w:lineRule="exact"/>
              <w:jc w:val="right"/>
              <w:rPr>
                <w:sz w:val="18"/>
                <w:szCs w:val="24"/>
              </w:rPr>
            </w:pPr>
            <w:r>
              <w:rPr>
                <w:sz w:val="18"/>
                <w:szCs w:val="24"/>
              </w:rPr>
              <w:t>256 640</w:t>
            </w:r>
          </w:p>
        </w:tc>
        <w:tc>
          <w:tcPr>
            <w:tcW w:w="790" w:type="dxa"/>
            <w:vAlign w:val="bottom"/>
          </w:tcPr>
          <w:p w:rsidR="00F92819" w:rsidRDefault="00F92819">
            <w:pPr>
              <w:spacing w:before="40" w:after="40" w:line="220" w:lineRule="exact"/>
              <w:jc w:val="right"/>
              <w:rPr>
                <w:sz w:val="18"/>
                <w:szCs w:val="24"/>
              </w:rPr>
            </w:pPr>
            <w:r>
              <w:rPr>
                <w:sz w:val="18"/>
                <w:szCs w:val="24"/>
              </w:rPr>
              <w:t>278 287</w:t>
            </w:r>
          </w:p>
        </w:tc>
        <w:tc>
          <w:tcPr>
            <w:tcW w:w="790" w:type="dxa"/>
            <w:vAlign w:val="bottom"/>
          </w:tcPr>
          <w:p w:rsidR="00F92819" w:rsidRDefault="00F92819">
            <w:pPr>
              <w:spacing w:before="40" w:after="40" w:line="220" w:lineRule="exact"/>
              <w:jc w:val="right"/>
              <w:rPr>
                <w:sz w:val="18"/>
                <w:szCs w:val="24"/>
              </w:rPr>
            </w:pPr>
            <w:r>
              <w:rPr>
                <w:sz w:val="18"/>
                <w:szCs w:val="24"/>
              </w:rPr>
              <w:t>290 746</w:t>
            </w:r>
          </w:p>
        </w:tc>
      </w:tr>
      <w:tr w:rsidR="00F92819">
        <w:tc>
          <w:tcPr>
            <w:tcW w:w="900" w:type="dxa"/>
            <w:vAlign w:val="bottom"/>
          </w:tcPr>
          <w:p w:rsidR="00F92819" w:rsidRDefault="00F92819">
            <w:pPr>
              <w:spacing w:before="40" w:after="40" w:line="220" w:lineRule="exact"/>
              <w:rPr>
                <w:sz w:val="18"/>
                <w:szCs w:val="24"/>
              </w:rPr>
            </w:pPr>
          </w:p>
        </w:tc>
        <w:tc>
          <w:tcPr>
            <w:tcW w:w="3200" w:type="dxa"/>
            <w:gridSpan w:val="3"/>
            <w:vAlign w:val="bottom"/>
          </w:tcPr>
          <w:p w:rsidR="00F92819" w:rsidRDefault="00F92819">
            <w:pPr>
              <w:spacing w:before="40" w:after="40" w:line="220" w:lineRule="exact"/>
              <w:rPr>
                <w:szCs w:val="24"/>
              </w:rPr>
            </w:pPr>
            <w:r>
              <w:rPr>
                <w:sz w:val="18"/>
                <w:szCs w:val="24"/>
                <w:lang w:val="es-ES_tradnl"/>
              </w:rPr>
              <w:t>Formación de capital interno bruto</w:t>
            </w:r>
          </w:p>
        </w:tc>
        <w:tc>
          <w:tcPr>
            <w:tcW w:w="800" w:type="dxa"/>
            <w:vAlign w:val="bottom"/>
          </w:tcPr>
          <w:p w:rsidR="00F92819" w:rsidRDefault="00F92819">
            <w:pPr>
              <w:spacing w:before="40" w:after="40" w:line="220" w:lineRule="exact"/>
              <w:jc w:val="right"/>
              <w:rPr>
                <w:sz w:val="18"/>
                <w:szCs w:val="24"/>
              </w:rPr>
            </w:pPr>
          </w:p>
        </w:tc>
        <w:tc>
          <w:tcPr>
            <w:tcW w:w="789" w:type="dxa"/>
            <w:vAlign w:val="bottom"/>
          </w:tcPr>
          <w:p w:rsidR="00F92819" w:rsidRDefault="00F92819">
            <w:pPr>
              <w:spacing w:before="40" w:after="40" w:line="220" w:lineRule="exact"/>
              <w:jc w:val="right"/>
              <w:rPr>
                <w:sz w:val="18"/>
                <w:szCs w:val="24"/>
              </w:rPr>
            </w:pPr>
            <w:r>
              <w:rPr>
                <w:sz w:val="18"/>
                <w:szCs w:val="24"/>
              </w:rPr>
              <w:t>96 158</w:t>
            </w:r>
          </w:p>
        </w:tc>
        <w:tc>
          <w:tcPr>
            <w:tcW w:w="790" w:type="dxa"/>
            <w:vAlign w:val="bottom"/>
          </w:tcPr>
          <w:p w:rsidR="00F92819" w:rsidRDefault="00F92819">
            <w:pPr>
              <w:spacing w:before="40" w:after="40" w:line="220" w:lineRule="exact"/>
              <w:jc w:val="right"/>
              <w:rPr>
                <w:sz w:val="18"/>
                <w:szCs w:val="24"/>
              </w:rPr>
            </w:pPr>
            <w:r>
              <w:rPr>
                <w:sz w:val="18"/>
                <w:szCs w:val="24"/>
              </w:rPr>
              <w:t>92 753</w:t>
            </w:r>
          </w:p>
        </w:tc>
        <w:tc>
          <w:tcPr>
            <w:tcW w:w="790" w:type="dxa"/>
            <w:vAlign w:val="bottom"/>
          </w:tcPr>
          <w:p w:rsidR="00F92819" w:rsidRDefault="00F92819">
            <w:pPr>
              <w:spacing w:before="40" w:after="40" w:line="220" w:lineRule="exact"/>
              <w:jc w:val="right"/>
              <w:rPr>
                <w:sz w:val="18"/>
                <w:szCs w:val="24"/>
              </w:rPr>
            </w:pPr>
            <w:r>
              <w:rPr>
                <w:sz w:val="18"/>
                <w:szCs w:val="24"/>
              </w:rPr>
              <w:t>98 312</w:t>
            </w:r>
          </w:p>
        </w:tc>
        <w:tc>
          <w:tcPr>
            <w:tcW w:w="790" w:type="dxa"/>
            <w:vAlign w:val="bottom"/>
          </w:tcPr>
          <w:p w:rsidR="00F92819" w:rsidRDefault="00F92819">
            <w:pPr>
              <w:spacing w:before="40" w:after="40" w:line="220" w:lineRule="exact"/>
              <w:jc w:val="right"/>
              <w:rPr>
                <w:sz w:val="18"/>
                <w:szCs w:val="24"/>
              </w:rPr>
            </w:pPr>
            <w:r>
              <w:rPr>
                <w:sz w:val="18"/>
                <w:szCs w:val="24"/>
              </w:rPr>
              <w:t>112 536</w:t>
            </w:r>
          </w:p>
        </w:tc>
        <w:tc>
          <w:tcPr>
            <w:tcW w:w="790" w:type="dxa"/>
            <w:vAlign w:val="bottom"/>
          </w:tcPr>
          <w:p w:rsidR="00F92819" w:rsidRDefault="00F92819">
            <w:pPr>
              <w:spacing w:before="40" w:after="40" w:line="220" w:lineRule="exact"/>
              <w:jc w:val="right"/>
              <w:rPr>
                <w:sz w:val="18"/>
                <w:szCs w:val="24"/>
              </w:rPr>
            </w:pPr>
            <w:r>
              <w:rPr>
                <w:sz w:val="18"/>
                <w:szCs w:val="24"/>
              </w:rPr>
              <w:t>121 663</w:t>
            </w:r>
          </w:p>
        </w:tc>
        <w:tc>
          <w:tcPr>
            <w:tcW w:w="790" w:type="dxa"/>
            <w:vAlign w:val="bottom"/>
          </w:tcPr>
          <w:p w:rsidR="00F92819" w:rsidRDefault="00F92819">
            <w:pPr>
              <w:spacing w:before="40" w:after="40" w:line="220" w:lineRule="exact"/>
              <w:jc w:val="right"/>
              <w:rPr>
                <w:sz w:val="18"/>
                <w:szCs w:val="24"/>
              </w:rPr>
            </w:pPr>
            <w:r>
              <w:rPr>
                <w:sz w:val="18"/>
                <w:szCs w:val="24"/>
              </w:rPr>
              <w:t>135 454</w:t>
            </w:r>
          </w:p>
        </w:tc>
      </w:tr>
      <w:tr w:rsidR="00F92819">
        <w:tc>
          <w:tcPr>
            <w:tcW w:w="900" w:type="dxa"/>
            <w:vAlign w:val="bottom"/>
          </w:tcPr>
          <w:p w:rsidR="00F92819" w:rsidRDefault="00F92819">
            <w:pPr>
              <w:spacing w:before="40" w:after="40" w:line="220" w:lineRule="exact"/>
              <w:rPr>
                <w:sz w:val="18"/>
                <w:szCs w:val="24"/>
              </w:rPr>
            </w:pPr>
          </w:p>
        </w:tc>
        <w:tc>
          <w:tcPr>
            <w:tcW w:w="1000" w:type="dxa"/>
            <w:noWrap/>
            <w:tcMar>
              <w:right w:w="28" w:type="dxa"/>
            </w:tcMar>
            <w:vAlign w:val="bottom"/>
          </w:tcPr>
          <w:p w:rsidR="00F92819" w:rsidRDefault="00F92819">
            <w:pPr>
              <w:spacing w:before="40" w:after="40" w:line="220" w:lineRule="exact"/>
              <w:rPr>
                <w:sz w:val="18"/>
                <w:szCs w:val="24"/>
              </w:rPr>
            </w:pPr>
          </w:p>
        </w:tc>
        <w:tc>
          <w:tcPr>
            <w:tcW w:w="2200" w:type="dxa"/>
            <w:gridSpan w:val="2"/>
            <w:noWrap/>
            <w:tcMar>
              <w:right w:w="28" w:type="dxa"/>
            </w:tcMar>
            <w:vAlign w:val="bottom"/>
          </w:tcPr>
          <w:p w:rsidR="00F92819" w:rsidRDefault="00F92819">
            <w:pPr>
              <w:spacing w:before="40" w:after="40" w:line="220" w:lineRule="exact"/>
              <w:rPr>
                <w:szCs w:val="24"/>
              </w:rPr>
            </w:pPr>
            <w:r>
              <w:rPr>
                <w:sz w:val="18"/>
                <w:szCs w:val="24"/>
                <w:lang w:val="es-ES_tradnl"/>
              </w:rPr>
              <w:t>Gastos de consumo generales de las administraciones públicas</w:t>
            </w:r>
          </w:p>
        </w:tc>
        <w:tc>
          <w:tcPr>
            <w:tcW w:w="800" w:type="dxa"/>
            <w:vMerge w:val="restart"/>
            <w:vAlign w:val="center"/>
          </w:tcPr>
          <w:p w:rsidR="00F92819" w:rsidRDefault="00F92819">
            <w:pPr>
              <w:spacing w:before="40" w:after="40" w:line="220" w:lineRule="exact"/>
              <w:rPr>
                <w:szCs w:val="24"/>
              </w:rPr>
            </w:pPr>
            <w:r>
              <w:rPr>
                <w:sz w:val="18"/>
                <w:szCs w:val="24"/>
                <w:lang w:val="es-ES_tradnl"/>
              </w:rPr>
              <w:t>A precios corrientes</w:t>
            </w:r>
          </w:p>
        </w:tc>
        <w:tc>
          <w:tcPr>
            <w:tcW w:w="789" w:type="dxa"/>
            <w:vAlign w:val="bottom"/>
          </w:tcPr>
          <w:p w:rsidR="00F92819" w:rsidRDefault="00F92819">
            <w:pPr>
              <w:spacing w:before="40" w:after="40" w:line="220" w:lineRule="exact"/>
              <w:jc w:val="right"/>
              <w:rPr>
                <w:sz w:val="18"/>
                <w:szCs w:val="24"/>
              </w:rPr>
            </w:pPr>
            <w:r>
              <w:rPr>
                <w:sz w:val="18"/>
                <w:szCs w:val="24"/>
              </w:rPr>
              <w:t>152 732</w:t>
            </w:r>
          </w:p>
        </w:tc>
        <w:tc>
          <w:tcPr>
            <w:tcW w:w="790" w:type="dxa"/>
            <w:vAlign w:val="bottom"/>
          </w:tcPr>
          <w:p w:rsidR="00F92819" w:rsidRDefault="00F92819">
            <w:pPr>
              <w:spacing w:before="40" w:after="40" w:line="220" w:lineRule="exact"/>
              <w:jc w:val="right"/>
              <w:rPr>
                <w:sz w:val="18"/>
                <w:szCs w:val="24"/>
              </w:rPr>
            </w:pPr>
            <w:r>
              <w:rPr>
                <w:sz w:val="18"/>
                <w:szCs w:val="24"/>
              </w:rPr>
              <w:t>149 461</w:t>
            </w:r>
          </w:p>
        </w:tc>
        <w:tc>
          <w:tcPr>
            <w:tcW w:w="790" w:type="dxa"/>
            <w:vAlign w:val="bottom"/>
          </w:tcPr>
          <w:p w:rsidR="00F92819" w:rsidRDefault="00F92819">
            <w:pPr>
              <w:spacing w:before="40" w:after="40" w:line="220" w:lineRule="exact"/>
              <w:jc w:val="right"/>
              <w:rPr>
                <w:sz w:val="18"/>
                <w:szCs w:val="24"/>
              </w:rPr>
            </w:pPr>
            <w:r>
              <w:rPr>
                <w:sz w:val="18"/>
                <w:szCs w:val="24"/>
              </w:rPr>
              <w:t>149 372</w:t>
            </w:r>
          </w:p>
        </w:tc>
        <w:tc>
          <w:tcPr>
            <w:tcW w:w="790" w:type="dxa"/>
            <w:vAlign w:val="bottom"/>
          </w:tcPr>
          <w:p w:rsidR="00F92819" w:rsidRDefault="00F92819">
            <w:pPr>
              <w:spacing w:before="40" w:after="40" w:line="220" w:lineRule="exact"/>
              <w:jc w:val="right"/>
              <w:rPr>
                <w:sz w:val="18"/>
                <w:szCs w:val="24"/>
              </w:rPr>
            </w:pPr>
            <w:r>
              <w:rPr>
                <w:sz w:val="18"/>
                <w:szCs w:val="24"/>
              </w:rPr>
              <w:t>153 536</w:t>
            </w:r>
          </w:p>
        </w:tc>
        <w:tc>
          <w:tcPr>
            <w:tcW w:w="790" w:type="dxa"/>
            <w:vAlign w:val="bottom"/>
          </w:tcPr>
          <w:p w:rsidR="00F92819" w:rsidRDefault="00F92819">
            <w:pPr>
              <w:spacing w:before="40" w:after="40" w:line="220" w:lineRule="exact"/>
              <w:jc w:val="right"/>
              <w:rPr>
                <w:sz w:val="18"/>
                <w:szCs w:val="24"/>
              </w:rPr>
            </w:pPr>
            <w:r>
              <w:rPr>
                <w:sz w:val="18"/>
                <w:szCs w:val="24"/>
              </w:rPr>
              <w:t>163 541</w:t>
            </w:r>
          </w:p>
        </w:tc>
        <w:tc>
          <w:tcPr>
            <w:tcW w:w="790" w:type="dxa"/>
            <w:vAlign w:val="bottom"/>
          </w:tcPr>
          <w:p w:rsidR="00F92819" w:rsidRDefault="00F92819">
            <w:pPr>
              <w:spacing w:before="40" w:after="40" w:line="220" w:lineRule="exact"/>
              <w:jc w:val="right"/>
              <w:rPr>
                <w:sz w:val="18"/>
                <w:szCs w:val="24"/>
              </w:rPr>
            </w:pPr>
            <w:r>
              <w:rPr>
                <w:sz w:val="18"/>
                <w:szCs w:val="24"/>
              </w:rPr>
              <w:t>169 720</w:t>
            </w:r>
          </w:p>
        </w:tc>
      </w:tr>
      <w:tr w:rsidR="00F92819">
        <w:tc>
          <w:tcPr>
            <w:tcW w:w="900" w:type="dxa"/>
            <w:vAlign w:val="bottom"/>
          </w:tcPr>
          <w:p w:rsidR="00F92819" w:rsidRDefault="00F92819">
            <w:pPr>
              <w:spacing w:before="40" w:after="40" w:line="220" w:lineRule="exact"/>
              <w:rPr>
                <w:sz w:val="18"/>
                <w:szCs w:val="24"/>
              </w:rPr>
            </w:pPr>
          </w:p>
        </w:tc>
        <w:tc>
          <w:tcPr>
            <w:tcW w:w="1000" w:type="dxa"/>
            <w:noWrap/>
            <w:tcMar>
              <w:right w:w="28" w:type="dxa"/>
            </w:tcMar>
            <w:vAlign w:val="bottom"/>
          </w:tcPr>
          <w:p w:rsidR="00F92819" w:rsidRDefault="00F92819">
            <w:pPr>
              <w:spacing w:before="40" w:after="40" w:line="220" w:lineRule="exact"/>
              <w:rPr>
                <w:sz w:val="18"/>
                <w:szCs w:val="24"/>
              </w:rPr>
            </w:pPr>
          </w:p>
        </w:tc>
        <w:tc>
          <w:tcPr>
            <w:tcW w:w="2200" w:type="dxa"/>
            <w:gridSpan w:val="2"/>
            <w:noWrap/>
            <w:tcMar>
              <w:right w:w="28" w:type="dxa"/>
            </w:tcMar>
            <w:vAlign w:val="bottom"/>
          </w:tcPr>
          <w:p w:rsidR="00F92819" w:rsidRDefault="00F92819">
            <w:pPr>
              <w:spacing w:before="40" w:after="40" w:line="220" w:lineRule="exact"/>
              <w:rPr>
                <w:szCs w:val="24"/>
              </w:rPr>
            </w:pPr>
            <w:r>
              <w:rPr>
                <w:sz w:val="18"/>
                <w:szCs w:val="24"/>
                <w:lang w:val="es-ES_tradnl"/>
              </w:rPr>
              <w:t>Gastos de consumo colectivos de las administraciones públicas</w:t>
            </w:r>
          </w:p>
        </w:tc>
        <w:tc>
          <w:tcPr>
            <w:tcW w:w="800" w:type="dxa"/>
            <w:vMerge/>
            <w:vAlign w:val="bottom"/>
          </w:tcPr>
          <w:p w:rsidR="00F92819" w:rsidRDefault="00F92819">
            <w:pPr>
              <w:spacing w:before="40" w:after="40" w:line="220" w:lineRule="exact"/>
              <w:jc w:val="right"/>
              <w:rPr>
                <w:sz w:val="18"/>
                <w:szCs w:val="24"/>
              </w:rPr>
            </w:pPr>
          </w:p>
        </w:tc>
        <w:tc>
          <w:tcPr>
            <w:tcW w:w="789" w:type="dxa"/>
            <w:vAlign w:val="bottom"/>
          </w:tcPr>
          <w:p w:rsidR="00F92819" w:rsidRDefault="00F92819">
            <w:pPr>
              <w:spacing w:before="40" w:after="40" w:line="220" w:lineRule="exact"/>
              <w:jc w:val="right"/>
              <w:rPr>
                <w:sz w:val="18"/>
                <w:szCs w:val="24"/>
                <w:rtl/>
              </w:rPr>
            </w:pPr>
            <w:r>
              <w:rPr>
                <w:sz w:val="18"/>
                <w:szCs w:val="24"/>
              </w:rPr>
              <w:t>82 492</w:t>
            </w:r>
          </w:p>
        </w:tc>
        <w:tc>
          <w:tcPr>
            <w:tcW w:w="790" w:type="dxa"/>
            <w:vAlign w:val="bottom"/>
          </w:tcPr>
          <w:p w:rsidR="00F92819" w:rsidRDefault="00F92819">
            <w:pPr>
              <w:spacing w:before="40" w:after="40" w:line="220" w:lineRule="exact"/>
              <w:jc w:val="right"/>
              <w:rPr>
                <w:sz w:val="18"/>
                <w:szCs w:val="24"/>
                <w:rtl/>
              </w:rPr>
            </w:pPr>
            <w:r>
              <w:rPr>
                <w:sz w:val="18"/>
                <w:szCs w:val="24"/>
              </w:rPr>
              <w:t>80 448</w:t>
            </w:r>
          </w:p>
        </w:tc>
        <w:tc>
          <w:tcPr>
            <w:tcW w:w="790" w:type="dxa"/>
            <w:vAlign w:val="bottom"/>
          </w:tcPr>
          <w:p w:rsidR="00F92819" w:rsidRDefault="00F92819">
            <w:pPr>
              <w:spacing w:before="40" w:after="40" w:line="220" w:lineRule="exact"/>
              <w:jc w:val="right"/>
              <w:rPr>
                <w:sz w:val="18"/>
                <w:szCs w:val="24"/>
                <w:rtl/>
              </w:rPr>
            </w:pPr>
            <w:r>
              <w:rPr>
                <w:sz w:val="18"/>
                <w:szCs w:val="24"/>
              </w:rPr>
              <w:t>78 821</w:t>
            </w:r>
          </w:p>
        </w:tc>
        <w:tc>
          <w:tcPr>
            <w:tcW w:w="790" w:type="dxa"/>
            <w:vAlign w:val="bottom"/>
          </w:tcPr>
          <w:p w:rsidR="00F92819" w:rsidRDefault="00F92819">
            <w:pPr>
              <w:spacing w:before="40" w:after="40" w:line="220" w:lineRule="exact"/>
              <w:jc w:val="right"/>
              <w:rPr>
                <w:sz w:val="18"/>
                <w:szCs w:val="24"/>
                <w:rtl/>
              </w:rPr>
            </w:pPr>
            <w:r>
              <w:rPr>
                <w:sz w:val="18"/>
                <w:szCs w:val="24"/>
              </w:rPr>
              <w:t>80 878</w:t>
            </w:r>
          </w:p>
        </w:tc>
        <w:tc>
          <w:tcPr>
            <w:tcW w:w="790" w:type="dxa"/>
            <w:vAlign w:val="bottom"/>
          </w:tcPr>
          <w:p w:rsidR="00F92819" w:rsidRDefault="00F92819">
            <w:pPr>
              <w:spacing w:before="40" w:after="40" w:line="220" w:lineRule="exact"/>
              <w:jc w:val="right"/>
              <w:rPr>
                <w:sz w:val="18"/>
                <w:szCs w:val="24"/>
                <w:rtl/>
              </w:rPr>
            </w:pPr>
            <w:r>
              <w:rPr>
                <w:sz w:val="18"/>
                <w:szCs w:val="24"/>
              </w:rPr>
              <w:t>87 485</w:t>
            </w:r>
          </w:p>
        </w:tc>
        <w:tc>
          <w:tcPr>
            <w:tcW w:w="790" w:type="dxa"/>
            <w:vAlign w:val="bottom"/>
          </w:tcPr>
          <w:p w:rsidR="00F92819" w:rsidRDefault="00F92819">
            <w:pPr>
              <w:spacing w:before="40" w:after="40" w:line="220" w:lineRule="exact"/>
              <w:jc w:val="right"/>
              <w:rPr>
                <w:sz w:val="18"/>
                <w:szCs w:val="24"/>
              </w:rPr>
            </w:pPr>
            <w:r>
              <w:rPr>
                <w:sz w:val="18"/>
                <w:szCs w:val="24"/>
              </w:rPr>
              <w:t>88 843</w:t>
            </w:r>
          </w:p>
        </w:tc>
      </w:tr>
      <w:tr w:rsidR="00F92819">
        <w:tc>
          <w:tcPr>
            <w:tcW w:w="900" w:type="dxa"/>
            <w:vAlign w:val="bottom"/>
          </w:tcPr>
          <w:p w:rsidR="00F92819" w:rsidRDefault="00F92819">
            <w:pPr>
              <w:keepNext/>
              <w:keepLines/>
              <w:spacing w:before="40" w:after="40" w:line="220" w:lineRule="exact"/>
              <w:rPr>
                <w:szCs w:val="24"/>
              </w:rPr>
            </w:pPr>
            <w:r>
              <w:rPr>
                <w:sz w:val="18"/>
                <w:szCs w:val="24"/>
                <w:lang w:val="es-ES_tradnl"/>
              </w:rPr>
              <w:t>Uso de los recursos</w:t>
            </w:r>
          </w:p>
        </w:tc>
        <w:tc>
          <w:tcPr>
            <w:tcW w:w="1000" w:type="dxa"/>
            <w:noWrap/>
            <w:tcMar>
              <w:right w:w="28" w:type="dxa"/>
            </w:tcMar>
            <w:vAlign w:val="bottom"/>
          </w:tcPr>
          <w:p w:rsidR="00F92819" w:rsidRDefault="00F92819">
            <w:pPr>
              <w:keepNext/>
              <w:keepLines/>
              <w:spacing w:before="40" w:after="40" w:line="220" w:lineRule="exact"/>
              <w:rPr>
                <w:szCs w:val="24"/>
              </w:rPr>
            </w:pPr>
            <w:r>
              <w:rPr>
                <w:sz w:val="18"/>
                <w:szCs w:val="24"/>
                <w:lang w:val="es-ES_tradnl"/>
              </w:rPr>
              <w:t>Gastos de consumo finales</w:t>
            </w:r>
          </w:p>
        </w:tc>
        <w:tc>
          <w:tcPr>
            <w:tcW w:w="1000" w:type="dxa"/>
            <w:vMerge w:val="restart"/>
            <w:noWrap/>
            <w:tcMar>
              <w:right w:w="28" w:type="dxa"/>
            </w:tcMar>
            <w:vAlign w:val="bottom"/>
          </w:tcPr>
          <w:p w:rsidR="00F92819" w:rsidRDefault="00F92819">
            <w:pPr>
              <w:keepNext/>
              <w:keepLines/>
              <w:spacing w:before="40" w:after="40" w:line="220" w:lineRule="exact"/>
              <w:rPr>
                <w:szCs w:val="24"/>
              </w:rPr>
            </w:pPr>
            <w:r>
              <w:rPr>
                <w:sz w:val="18"/>
                <w:szCs w:val="24"/>
                <w:lang w:val="es-ES_tradnl"/>
              </w:rPr>
              <w:t>Gastos individuales reales</w:t>
            </w:r>
          </w:p>
        </w:tc>
        <w:tc>
          <w:tcPr>
            <w:tcW w:w="1200" w:type="dxa"/>
            <w:noWrap/>
            <w:tcMar>
              <w:right w:w="28" w:type="dxa"/>
            </w:tcMar>
            <w:vAlign w:val="bottom"/>
          </w:tcPr>
          <w:p w:rsidR="00F92819" w:rsidRDefault="00F92819">
            <w:pPr>
              <w:keepNext/>
              <w:keepLines/>
              <w:spacing w:before="40" w:after="40" w:line="220" w:lineRule="exact"/>
              <w:rPr>
                <w:szCs w:val="24"/>
              </w:rPr>
            </w:pPr>
            <w:r>
              <w:rPr>
                <w:sz w:val="18"/>
                <w:szCs w:val="24"/>
                <w:lang w:val="es-ES_tradnl"/>
              </w:rPr>
              <w:t>Gastos de consumo finales de las admin. públicas</w:t>
            </w:r>
          </w:p>
        </w:tc>
        <w:tc>
          <w:tcPr>
            <w:tcW w:w="800" w:type="dxa"/>
            <w:vAlign w:val="bottom"/>
          </w:tcPr>
          <w:p w:rsidR="00F92819" w:rsidRDefault="00F92819">
            <w:pPr>
              <w:keepNext/>
              <w:keepLines/>
              <w:spacing w:before="40" w:after="40" w:line="220" w:lineRule="exact"/>
              <w:rPr>
                <w:sz w:val="18"/>
                <w:szCs w:val="24"/>
              </w:rPr>
            </w:pPr>
          </w:p>
        </w:tc>
        <w:tc>
          <w:tcPr>
            <w:tcW w:w="789" w:type="dxa"/>
            <w:vAlign w:val="bottom"/>
          </w:tcPr>
          <w:p w:rsidR="00F92819" w:rsidRDefault="00F92819">
            <w:pPr>
              <w:keepNext/>
              <w:keepLines/>
              <w:spacing w:before="40" w:after="40" w:line="220" w:lineRule="exact"/>
              <w:jc w:val="right"/>
              <w:rPr>
                <w:sz w:val="18"/>
                <w:szCs w:val="24"/>
                <w:rtl/>
              </w:rPr>
            </w:pPr>
            <w:r>
              <w:rPr>
                <w:sz w:val="18"/>
                <w:szCs w:val="24"/>
              </w:rPr>
              <w:t>70 240</w:t>
            </w:r>
          </w:p>
        </w:tc>
        <w:tc>
          <w:tcPr>
            <w:tcW w:w="790" w:type="dxa"/>
            <w:vAlign w:val="bottom"/>
          </w:tcPr>
          <w:p w:rsidR="00F92819" w:rsidRDefault="00F92819">
            <w:pPr>
              <w:keepNext/>
              <w:keepLines/>
              <w:spacing w:before="40" w:after="40" w:line="220" w:lineRule="exact"/>
              <w:jc w:val="right"/>
              <w:rPr>
                <w:sz w:val="18"/>
                <w:szCs w:val="24"/>
                <w:rtl/>
              </w:rPr>
            </w:pPr>
            <w:r>
              <w:rPr>
                <w:sz w:val="18"/>
                <w:szCs w:val="24"/>
              </w:rPr>
              <w:t>69 012</w:t>
            </w:r>
          </w:p>
        </w:tc>
        <w:tc>
          <w:tcPr>
            <w:tcW w:w="790" w:type="dxa"/>
            <w:vAlign w:val="bottom"/>
          </w:tcPr>
          <w:p w:rsidR="00F92819" w:rsidRDefault="00F92819">
            <w:pPr>
              <w:keepNext/>
              <w:keepLines/>
              <w:spacing w:before="40" w:after="40" w:line="220" w:lineRule="exact"/>
              <w:jc w:val="right"/>
              <w:rPr>
                <w:sz w:val="18"/>
                <w:szCs w:val="24"/>
                <w:rtl/>
              </w:rPr>
            </w:pPr>
            <w:r>
              <w:rPr>
                <w:sz w:val="18"/>
                <w:szCs w:val="24"/>
              </w:rPr>
              <w:t>70 551</w:t>
            </w:r>
          </w:p>
        </w:tc>
        <w:tc>
          <w:tcPr>
            <w:tcW w:w="790" w:type="dxa"/>
            <w:vAlign w:val="bottom"/>
          </w:tcPr>
          <w:p w:rsidR="00F92819" w:rsidRDefault="00F92819">
            <w:pPr>
              <w:keepNext/>
              <w:keepLines/>
              <w:spacing w:before="40" w:after="40" w:line="220" w:lineRule="exact"/>
              <w:jc w:val="right"/>
              <w:rPr>
                <w:sz w:val="18"/>
                <w:szCs w:val="24"/>
                <w:rtl/>
              </w:rPr>
            </w:pPr>
            <w:r>
              <w:rPr>
                <w:sz w:val="18"/>
                <w:szCs w:val="24"/>
              </w:rPr>
              <w:t>72 658</w:t>
            </w:r>
          </w:p>
        </w:tc>
        <w:tc>
          <w:tcPr>
            <w:tcW w:w="790" w:type="dxa"/>
            <w:vAlign w:val="bottom"/>
          </w:tcPr>
          <w:p w:rsidR="00F92819" w:rsidRDefault="00F92819">
            <w:pPr>
              <w:keepNext/>
              <w:keepLines/>
              <w:spacing w:before="40" w:after="40" w:line="220" w:lineRule="exact"/>
              <w:jc w:val="right"/>
              <w:rPr>
                <w:sz w:val="18"/>
                <w:szCs w:val="24"/>
                <w:rtl/>
              </w:rPr>
            </w:pPr>
            <w:r>
              <w:rPr>
                <w:sz w:val="18"/>
                <w:szCs w:val="24"/>
              </w:rPr>
              <w:t>76 057</w:t>
            </w:r>
          </w:p>
        </w:tc>
        <w:tc>
          <w:tcPr>
            <w:tcW w:w="790" w:type="dxa"/>
            <w:vAlign w:val="bottom"/>
          </w:tcPr>
          <w:p w:rsidR="00F92819" w:rsidRDefault="00F92819">
            <w:pPr>
              <w:keepNext/>
              <w:keepLines/>
              <w:spacing w:before="40" w:after="40" w:line="220" w:lineRule="exact"/>
              <w:jc w:val="right"/>
              <w:rPr>
                <w:sz w:val="18"/>
                <w:szCs w:val="24"/>
              </w:rPr>
            </w:pPr>
            <w:r>
              <w:rPr>
                <w:sz w:val="18"/>
                <w:szCs w:val="24"/>
              </w:rPr>
              <w:t>80 877</w:t>
            </w:r>
          </w:p>
        </w:tc>
      </w:tr>
      <w:tr w:rsidR="00F92819">
        <w:tc>
          <w:tcPr>
            <w:tcW w:w="900" w:type="dxa"/>
            <w:vAlign w:val="bottom"/>
          </w:tcPr>
          <w:p w:rsidR="00F92819" w:rsidRDefault="00F92819">
            <w:pPr>
              <w:keepNext/>
              <w:keepLines/>
              <w:spacing w:before="40" w:after="40" w:line="220" w:lineRule="exact"/>
              <w:rPr>
                <w:sz w:val="18"/>
                <w:szCs w:val="24"/>
              </w:rPr>
            </w:pPr>
          </w:p>
        </w:tc>
        <w:tc>
          <w:tcPr>
            <w:tcW w:w="1000" w:type="dxa"/>
            <w:vMerge w:val="restart"/>
            <w:noWrap/>
            <w:tcMar>
              <w:right w:w="28" w:type="dxa"/>
            </w:tcMar>
            <w:vAlign w:val="bottom"/>
          </w:tcPr>
          <w:p w:rsidR="00F92819" w:rsidRDefault="00F92819">
            <w:pPr>
              <w:keepNext/>
              <w:keepLines/>
              <w:spacing w:before="40" w:after="40" w:line="220" w:lineRule="exact"/>
              <w:rPr>
                <w:sz w:val="18"/>
                <w:szCs w:val="24"/>
              </w:rPr>
            </w:pPr>
          </w:p>
        </w:tc>
        <w:tc>
          <w:tcPr>
            <w:tcW w:w="1000" w:type="dxa"/>
            <w:vMerge/>
            <w:noWrap/>
            <w:tcMar>
              <w:right w:w="28" w:type="dxa"/>
            </w:tcMar>
            <w:vAlign w:val="bottom"/>
          </w:tcPr>
          <w:p w:rsidR="00F92819" w:rsidRDefault="00F92819">
            <w:pPr>
              <w:keepNext/>
              <w:keepLines/>
              <w:spacing w:before="40" w:after="40" w:line="220" w:lineRule="exact"/>
              <w:rPr>
                <w:sz w:val="18"/>
                <w:szCs w:val="24"/>
              </w:rPr>
            </w:pPr>
          </w:p>
        </w:tc>
        <w:tc>
          <w:tcPr>
            <w:tcW w:w="1200" w:type="dxa"/>
            <w:noWrap/>
            <w:tcMar>
              <w:right w:w="28" w:type="dxa"/>
            </w:tcMar>
            <w:vAlign w:val="bottom"/>
          </w:tcPr>
          <w:p w:rsidR="00F92819" w:rsidRDefault="00F92819">
            <w:pPr>
              <w:keepNext/>
              <w:keepLines/>
              <w:spacing w:before="40" w:after="40" w:line="220" w:lineRule="exact"/>
              <w:rPr>
                <w:szCs w:val="24"/>
              </w:rPr>
            </w:pPr>
            <w:r>
              <w:rPr>
                <w:sz w:val="18"/>
                <w:szCs w:val="24"/>
                <w:lang w:val="es-ES_tradnl"/>
              </w:rPr>
              <w:t>Gastos de consumo privado</w:t>
            </w:r>
          </w:p>
        </w:tc>
        <w:tc>
          <w:tcPr>
            <w:tcW w:w="800" w:type="dxa"/>
            <w:vAlign w:val="bottom"/>
          </w:tcPr>
          <w:p w:rsidR="00F92819" w:rsidRDefault="00F92819">
            <w:pPr>
              <w:keepNext/>
              <w:keepLines/>
              <w:spacing w:before="40" w:after="40" w:line="220" w:lineRule="exact"/>
              <w:jc w:val="right"/>
              <w:rPr>
                <w:sz w:val="18"/>
                <w:szCs w:val="24"/>
              </w:rPr>
            </w:pPr>
          </w:p>
        </w:tc>
        <w:tc>
          <w:tcPr>
            <w:tcW w:w="789" w:type="dxa"/>
            <w:vAlign w:val="bottom"/>
          </w:tcPr>
          <w:p w:rsidR="00F92819" w:rsidRDefault="00F92819">
            <w:pPr>
              <w:keepNext/>
              <w:keepLines/>
              <w:spacing w:before="40" w:after="40" w:line="220" w:lineRule="exact"/>
              <w:jc w:val="right"/>
              <w:rPr>
                <w:sz w:val="18"/>
                <w:szCs w:val="24"/>
                <w:rtl/>
              </w:rPr>
            </w:pPr>
            <w:r>
              <w:rPr>
                <w:sz w:val="18"/>
                <w:szCs w:val="24"/>
              </w:rPr>
              <w:t>297 140</w:t>
            </w:r>
          </w:p>
        </w:tc>
        <w:tc>
          <w:tcPr>
            <w:tcW w:w="790" w:type="dxa"/>
            <w:vAlign w:val="bottom"/>
          </w:tcPr>
          <w:p w:rsidR="00F92819" w:rsidRDefault="00F92819">
            <w:pPr>
              <w:keepNext/>
              <w:keepLines/>
              <w:spacing w:before="40" w:after="40" w:line="220" w:lineRule="exact"/>
              <w:jc w:val="right"/>
              <w:rPr>
                <w:sz w:val="18"/>
                <w:szCs w:val="24"/>
                <w:rtl/>
              </w:rPr>
            </w:pPr>
            <w:r>
              <w:rPr>
                <w:sz w:val="18"/>
                <w:szCs w:val="24"/>
              </w:rPr>
              <w:t>298 434</w:t>
            </w:r>
          </w:p>
        </w:tc>
        <w:tc>
          <w:tcPr>
            <w:tcW w:w="790" w:type="dxa"/>
            <w:vAlign w:val="bottom"/>
          </w:tcPr>
          <w:p w:rsidR="00F92819" w:rsidRDefault="00F92819">
            <w:pPr>
              <w:keepNext/>
              <w:keepLines/>
              <w:spacing w:before="40" w:after="40" w:line="220" w:lineRule="exact"/>
              <w:jc w:val="right"/>
              <w:rPr>
                <w:sz w:val="18"/>
                <w:szCs w:val="24"/>
                <w:rtl/>
              </w:rPr>
            </w:pPr>
            <w:r>
              <w:rPr>
                <w:sz w:val="18"/>
                <w:szCs w:val="24"/>
              </w:rPr>
              <w:t>315 860</w:t>
            </w:r>
          </w:p>
        </w:tc>
        <w:tc>
          <w:tcPr>
            <w:tcW w:w="790" w:type="dxa"/>
            <w:vAlign w:val="bottom"/>
          </w:tcPr>
          <w:p w:rsidR="00F92819" w:rsidRDefault="00F92819">
            <w:pPr>
              <w:keepNext/>
              <w:keepLines/>
              <w:spacing w:before="40" w:after="40" w:line="220" w:lineRule="exact"/>
              <w:jc w:val="right"/>
              <w:rPr>
                <w:sz w:val="18"/>
                <w:szCs w:val="24"/>
                <w:rtl/>
              </w:rPr>
            </w:pPr>
            <w:r>
              <w:rPr>
                <w:sz w:val="18"/>
                <w:szCs w:val="24"/>
              </w:rPr>
              <w:t>333 535</w:t>
            </w:r>
          </w:p>
        </w:tc>
        <w:tc>
          <w:tcPr>
            <w:tcW w:w="790" w:type="dxa"/>
            <w:vAlign w:val="bottom"/>
          </w:tcPr>
          <w:p w:rsidR="00F92819" w:rsidRDefault="00F92819">
            <w:pPr>
              <w:keepNext/>
              <w:keepLines/>
              <w:spacing w:before="40" w:after="40" w:line="220" w:lineRule="exact"/>
              <w:jc w:val="right"/>
              <w:rPr>
                <w:sz w:val="18"/>
                <w:szCs w:val="24"/>
                <w:rtl/>
              </w:rPr>
            </w:pPr>
            <w:r>
              <w:rPr>
                <w:sz w:val="18"/>
                <w:szCs w:val="24"/>
              </w:rPr>
              <w:t>353 073</w:t>
            </w:r>
          </w:p>
        </w:tc>
        <w:tc>
          <w:tcPr>
            <w:tcW w:w="790" w:type="dxa"/>
            <w:vAlign w:val="bottom"/>
          </w:tcPr>
          <w:p w:rsidR="00F92819" w:rsidRDefault="00F92819">
            <w:pPr>
              <w:keepNext/>
              <w:keepLines/>
              <w:spacing w:before="40" w:after="40" w:line="220" w:lineRule="exact"/>
              <w:jc w:val="right"/>
              <w:rPr>
                <w:sz w:val="18"/>
                <w:szCs w:val="24"/>
              </w:rPr>
            </w:pPr>
            <w:r>
              <w:rPr>
                <w:sz w:val="18"/>
                <w:szCs w:val="24"/>
              </w:rPr>
              <w:t>379 769</w:t>
            </w:r>
          </w:p>
        </w:tc>
      </w:tr>
      <w:tr w:rsidR="00F92819">
        <w:tc>
          <w:tcPr>
            <w:tcW w:w="900" w:type="dxa"/>
            <w:vAlign w:val="bottom"/>
          </w:tcPr>
          <w:p w:rsidR="00F92819" w:rsidRDefault="00F92819">
            <w:pPr>
              <w:keepNext/>
              <w:keepLines/>
              <w:spacing w:before="40" w:after="40" w:line="220" w:lineRule="exact"/>
              <w:rPr>
                <w:sz w:val="18"/>
                <w:szCs w:val="24"/>
              </w:rPr>
            </w:pPr>
          </w:p>
        </w:tc>
        <w:tc>
          <w:tcPr>
            <w:tcW w:w="1000" w:type="dxa"/>
            <w:vMerge/>
            <w:vAlign w:val="bottom"/>
          </w:tcPr>
          <w:p w:rsidR="00F92819" w:rsidRDefault="00F92819">
            <w:pPr>
              <w:keepNext/>
              <w:keepLines/>
              <w:spacing w:before="40" w:after="40" w:line="220" w:lineRule="exact"/>
              <w:rPr>
                <w:sz w:val="18"/>
                <w:szCs w:val="24"/>
              </w:rPr>
            </w:pPr>
          </w:p>
        </w:tc>
        <w:tc>
          <w:tcPr>
            <w:tcW w:w="1000" w:type="dxa"/>
            <w:vMerge/>
            <w:vAlign w:val="bottom"/>
          </w:tcPr>
          <w:p w:rsidR="00F92819" w:rsidRDefault="00F92819">
            <w:pPr>
              <w:keepNext/>
              <w:keepLines/>
              <w:spacing w:before="40" w:after="40" w:line="220" w:lineRule="exact"/>
              <w:rPr>
                <w:sz w:val="18"/>
                <w:szCs w:val="24"/>
              </w:rPr>
            </w:pPr>
          </w:p>
        </w:tc>
        <w:tc>
          <w:tcPr>
            <w:tcW w:w="1200" w:type="dxa"/>
            <w:vAlign w:val="bottom"/>
          </w:tcPr>
          <w:p w:rsidR="00F92819" w:rsidRDefault="00F92819">
            <w:pPr>
              <w:keepNext/>
              <w:keepLines/>
              <w:spacing w:before="80" w:after="80" w:line="200" w:lineRule="exact"/>
              <w:rPr>
                <w:szCs w:val="24"/>
              </w:rPr>
            </w:pPr>
            <w:r>
              <w:rPr>
                <w:b/>
                <w:sz w:val="18"/>
                <w:szCs w:val="24"/>
                <w:lang w:val="es-ES_tradnl"/>
              </w:rPr>
              <w:t>Total</w:t>
            </w:r>
          </w:p>
        </w:tc>
        <w:tc>
          <w:tcPr>
            <w:tcW w:w="800" w:type="dxa"/>
            <w:vAlign w:val="bottom"/>
          </w:tcPr>
          <w:p w:rsidR="00F92819" w:rsidRDefault="00F92819">
            <w:pPr>
              <w:keepNext/>
              <w:keepLines/>
              <w:spacing w:before="40" w:after="40" w:line="220" w:lineRule="exact"/>
              <w:jc w:val="right"/>
              <w:rPr>
                <w:b/>
                <w:sz w:val="18"/>
                <w:szCs w:val="24"/>
              </w:rPr>
            </w:pPr>
          </w:p>
        </w:tc>
        <w:tc>
          <w:tcPr>
            <w:tcW w:w="789" w:type="dxa"/>
            <w:vAlign w:val="bottom"/>
          </w:tcPr>
          <w:p w:rsidR="00F92819" w:rsidRDefault="00F92819">
            <w:pPr>
              <w:keepNext/>
              <w:keepLines/>
              <w:spacing w:before="80" w:after="80" w:line="200" w:lineRule="exact"/>
              <w:jc w:val="right"/>
              <w:rPr>
                <w:b/>
                <w:sz w:val="18"/>
                <w:szCs w:val="24"/>
                <w:rtl/>
              </w:rPr>
            </w:pPr>
            <w:r>
              <w:rPr>
                <w:b/>
                <w:sz w:val="18"/>
                <w:szCs w:val="24"/>
              </w:rPr>
              <w:t>367 381</w:t>
            </w:r>
          </w:p>
        </w:tc>
        <w:tc>
          <w:tcPr>
            <w:tcW w:w="790" w:type="dxa"/>
            <w:vAlign w:val="bottom"/>
          </w:tcPr>
          <w:p w:rsidR="00F92819" w:rsidRDefault="00F92819">
            <w:pPr>
              <w:keepNext/>
              <w:keepLines/>
              <w:spacing w:before="80" w:after="80" w:line="200" w:lineRule="exact"/>
              <w:jc w:val="right"/>
              <w:rPr>
                <w:b/>
                <w:sz w:val="18"/>
                <w:szCs w:val="24"/>
                <w:rtl/>
              </w:rPr>
            </w:pPr>
            <w:r>
              <w:rPr>
                <w:b/>
                <w:sz w:val="18"/>
                <w:szCs w:val="24"/>
              </w:rPr>
              <w:t>367 446</w:t>
            </w:r>
          </w:p>
        </w:tc>
        <w:tc>
          <w:tcPr>
            <w:tcW w:w="790" w:type="dxa"/>
            <w:vAlign w:val="bottom"/>
          </w:tcPr>
          <w:p w:rsidR="00F92819" w:rsidRDefault="00F92819">
            <w:pPr>
              <w:keepNext/>
              <w:keepLines/>
              <w:spacing w:before="80" w:after="80" w:line="200" w:lineRule="exact"/>
              <w:jc w:val="right"/>
              <w:rPr>
                <w:b/>
                <w:sz w:val="18"/>
                <w:szCs w:val="24"/>
                <w:rtl/>
              </w:rPr>
            </w:pPr>
            <w:r>
              <w:rPr>
                <w:b/>
                <w:sz w:val="18"/>
                <w:szCs w:val="24"/>
              </w:rPr>
              <w:t>386 411</w:t>
            </w:r>
          </w:p>
        </w:tc>
        <w:tc>
          <w:tcPr>
            <w:tcW w:w="790" w:type="dxa"/>
            <w:vAlign w:val="bottom"/>
          </w:tcPr>
          <w:p w:rsidR="00F92819" w:rsidRDefault="00F92819">
            <w:pPr>
              <w:keepNext/>
              <w:keepLines/>
              <w:spacing w:before="80" w:after="80" w:line="200" w:lineRule="exact"/>
              <w:jc w:val="right"/>
              <w:rPr>
                <w:b/>
                <w:sz w:val="18"/>
                <w:szCs w:val="24"/>
                <w:rtl/>
              </w:rPr>
            </w:pPr>
            <w:r>
              <w:rPr>
                <w:b/>
                <w:sz w:val="18"/>
                <w:szCs w:val="24"/>
              </w:rPr>
              <w:t>406 193</w:t>
            </w:r>
          </w:p>
        </w:tc>
        <w:tc>
          <w:tcPr>
            <w:tcW w:w="790" w:type="dxa"/>
            <w:vAlign w:val="bottom"/>
          </w:tcPr>
          <w:p w:rsidR="00F92819" w:rsidRDefault="00F92819">
            <w:pPr>
              <w:keepNext/>
              <w:keepLines/>
              <w:spacing w:before="80" w:after="80" w:line="200" w:lineRule="exact"/>
              <w:jc w:val="right"/>
              <w:rPr>
                <w:b/>
                <w:sz w:val="18"/>
                <w:szCs w:val="24"/>
                <w:rtl/>
              </w:rPr>
            </w:pPr>
            <w:r>
              <w:rPr>
                <w:b/>
                <w:sz w:val="18"/>
                <w:szCs w:val="24"/>
              </w:rPr>
              <w:t>429 129</w:t>
            </w:r>
          </w:p>
        </w:tc>
        <w:tc>
          <w:tcPr>
            <w:tcW w:w="790" w:type="dxa"/>
            <w:vAlign w:val="bottom"/>
          </w:tcPr>
          <w:p w:rsidR="00F92819" w:rsidRDefault="00F92819">
            <w:pPr>
              <w:keepNext/>
              <w:keepLines/>
              <w:spacing w:before="80" w:after="80" w:line="200" w:lineRule="exact"/>
              <w:jc w:val="right"/>
              <w:rPr>
                <w:b/>
                <w:sz w:val="18"/>
                <w:szCs w:val="24"/>
              </w:rPr>
            </w:pPr>
            <w:r>
              <w:rPr>
                <w:b/>
                <w:sz w:val="18"/>
                <w:szCs w:val="24"/>
              </w:rPr>
              <w:t>460 646</w:t>
            </w:r>
          </w:p>
        </w:tc>
      </w:tr>
      <w:tr w:rsidR="00F92819">
        <w:tc>
          <w:tcPr>
            <w:tcW w:w="900" w:type="dxa"/>
            <w:tcBorders>
              <w:bottom w:val="single" w:sz="4" w:space="0" w:color="auto"/>
            </w:tcBorders>
            <w:vAlign w:val="bottom"/>
          </w:tcPr>
          <w:p w:rsidR="00F92819" w:rsidRDefault="00F92819">
            <w:pPr>
              <w:keepNext/>
              <w:keepLines/>
              <w:spacing w:before="40" w:after="40" w:line="220" w:lineRule="exact"/>
              <w:rPr>
                <w:sz w:val="18"/>
                <w:szCs w:val="24"/>
              </w:rPr>
            </w:pPr>
          </w:p>
        </w:tc>
        <w:tc>
          <w:tcPr>
            <w:tcW w:w="1000" w:type="dxa"/>
            <w:vMerge/>
            <w:tcBorders>
              <w:bottom w:val="single" w:sz="4" w:space="0" w:color="auto"/>
            </w:tcBorders>
            <w:vAlign w:val="bottom"/>
          </w:tcPr>
          <w:p w:rsidR="00F92819" w:rsidRDefault="00F92819">
            <w:pPr>
              <w:keepNext/>
              <w:keepLines/>
              <w:spacing w:before="40" w:after="40" w:line="220" w:lineRule="exact"/>
              <w:rPr>
                <w:sz w:val="18"/>
                <w:szCs w:val="24"/>
              </w:rPr>
            </w:pPr>
          </w:p>
        </w:tc>
        <w:tc>
          <w:tcPr>
            <w:tcW w:w="2200" w:type="dxa"/>
            <w:gridSpan w:val="2"/>
            <w:tcBorders>
              <w:bottom w:val="single" w:sz="4" w:space="0" w:color="auto"/>
            </w:tcBorders>
            <w:vAlign w:val="bottom"/>
          </w:tcPr>
          <w:p w:rsidR="00F92819" w:rsidRDefault="00F92819">
            <w:pPr>
              <w:keepNext/>
              <w:keepLines/>
              <w:spacing w:before="80" w:after="80" w:line="200" w:lineRule="exact"/>
              <w:rPr>
                <w:szCs w:val="24"/>
              </w:rPr>
            </w:pPr>
            <w:r>
              <w:rPr>
                <w:b/>
                <w:sz w:val="18"/>
                <w:szCs w:val="24"/>
                <w:lang w:val="es-ES_tradnl"/>
              </w:rPr>
              <w:t>Total</w:t>
            </w:r>
          </w:p>
        </w:tc>
        <w:tc>
          <w:tcPr>
            <w:tcW w:w="800" w:type="dxa"/>
            <w:tcBorders>
              <w:bottom w:val="single" w:sz="4" w:space="0" w:color="auto"/>
            </w:tcBorders>
            <w:vAlign w:val="bottom"/>
          </w:tcPr>
          <w:p w:rsidR="00F92819" w:rsidRDefault="00F92819">
            <w:pPr>
              <w:keepNext/>
              <w:keepLines/>
              <w:spacing w:before="40" w:after="40" w:line="220" w:lineRule="exact"/>
              <w:jc w:val="right"/>
              <w:rPr>
                <w:b/>
                <w:sz w:val="18"/>
                <w:szCs w:val="24"/>
              </w:rPr>
            </w:pPr>
          </w:p>
        </w:tc>
        <w:tc>
          <w:tcPr>
            <w:tcW w:w="789" w:type="dxa"/>
            <w:tcBorders>
              <w:bottom w:val="single" w:sz="4" w:space="0" w:color="auto"/>
            </w:tcBorders>
            <w:vAlign w:val="bottom"/>
          </w:tcPr>
          <w:p w:rsidR="00F92819" w:rsidRDefault="00F92819">
            <w:pPr>
              <w:keepNext/>
              <w:keepLines/>
              <w:spacing w:before="80" w:after="80" w:line="200" w:lineRule="exact"/>
              <w:jc w:val="right"/>
              <w:rPr>
                <w:b/>
                <w:sz w:val="18"/>
                <w:szCs w:val="24"/>
                <w:rtl/>
              </w:rPr>
            </w:pPr>
            <w:r>
              <w:rPr>
                <w:b/>
                <w:sz w:val="18"/>
                <w:szCs w:val="24"/>
              </w:rPr>
              <w:t>449 873</w:t>
            </w:r>
          </w:p>
        </w:tc>
        <w:tc>
          <w:tcPr>
            <w:tcW w:w="790" w:type="dxa"/>
            <w:tcBorders>
              <w:bottom w:val="single" w:sz="4" w:space="0" w:color="auto"/>
            </w:tcBorders>
            <w:vAlign w:val="bottom"/>
          </w:tcPr>
          <w:p w:rsidR="00F92819" w:rsidRDefault="00F92819">
            <w:pPr>
              <w:keepNext/>
              <w:keepLines/>
              <w:spacing w:before="80" w:after="80" w:line="200" w:lineRule="exact"/>
              <w:jc w:val="right"/>
              <w:rPr>
                <w:b/>
                <w:sz w:val="18"/>
                <w:szCs w:val="24"/>
                <w:rtl/>
              </w:rPr>
            </w:pPr>
            <w:r>
              <w:rPr>
                <w:b/>
                <w:sz w:val="18"/>
                <w:szCs w:val="24"/>
              </w:rPr>
              <w:t>447 894</w:t>
            </w:r>
          </w:p>
        </w:tc>
        <w:tc>
          <w:tcPr>
            <w:tcW w:w="790" w:type="dxa"/>
            <w:tcBorders>
              <w:bottom w:val="single" w:sz="4" w:space="0" w:color="auto"/>
            </w:tcBorders>
            <w:vAlign w:val="bottom"/>
          </w:tcPr>
          <w:p w:rsidR="00F92819" w:rsidRDefault="00F92819">
            <w:pPr>
              <w:keepNext/>
              <w:keepLines/>
              <w:spacing w:before="80" w:after="80" w:line="200" w:lineRule="exact"/>
              <w:jc w:val="right"/>
              <w:rPr>
                <w:b/>
                <w:sz w:val="18"/>
                <w:szCs w:val="24"/>
                <w:rtl/>
              </w:rPr>
            </w:pPr>
            <w:r>
              <w:rPr>
                <w:b/>
                <w:sz w:val="18"/>
                <w:szCs w:val="24"/>
              </w:rPr>
              <w:t>465 232</w:t>
            </w:r>
          </w:p>
        </w:tc>
        <w:tc>
          <w:tcPr>
            <w:tcW w:w="790" w:type="dxa"/>
            <w:tcBorders>
              <w:bottom w:val="single" w:sz="4" w:space="0" w:color="auto"/>
            </w:tcBorders>
            <w:vAlign w:val="bottom"/>
          </w:tcPr>
          <w:p w:rsidR="00F92819" w:rsidRDefault="00F92819">
            <w:pPr>
              <w:keepNext/>
              <w:keepLines/>
              <w:spacing w:before="80" w:after="80" w:line="200" w:lineRule="exact"/>
              <w:jc w:val="right"/>
              <w:rPr>
                <w:b/>
                <w:sz w:val="18"/>
                <w:szCs w:val="24"/>
                <w:rtl/>
              </w:rPr>
            </w:pPr>
            <w:r>
              <w:rPr>
                <w:b/>
                <w:sz w:val="18"/>
                <w:szCs w:val="24"/>
              </w:rPr>
              <w:t>487 071</w:t>
            </w:r>
          </w:p>
        </w:tc>
        <w:tc>
          <w:tcPr>
            <w:tcW w:w="790" w:type="dxa"/>
            <w:tcBorders>
              <w:bottom w:val="single" w:sz="4" w:space="0" w:color="auto"/>
            </w:tcBorders>
            <w:vAlign w:val="bottom"/>
          </w:tcPr>
          <w:p w:rsidR="00F92819" w:rsidRDefault="00F92819">
            <w:pPr>
              <w:keepNext/>
              <w:keepLines/>
              <w:spacing w:before="80" w:after="80" w:line="200" w:lineRule="exact"/>
              <w:jc w:val="right"/>
              <w:rPr>
                <w:b/>
                <w:sz w:val="18"/>
                <w:szCs w:val="24"/>
                <w:rtl/>
              </w:rPr>
            </w:pPr>
            <w:r>
              <w:rPr>
                <w:b/>
                <w:sz w:val="18"/>
                <w:szCs w:val="24"/>
              </w:rPr>
              <w:t>516 614</w:t>
            </w:r>
          </w:p>
        </w:tc>
        <w:tc>
          <w:tcPr>
            <w:tcW w:w="790" w:type="dxa"/>
            <w:tcBorders>
              <w:bottom w:val="single" w:sz="4" w:space="0" w:color="auto"/>
            </w:tcBorders>
            <w:vAlign w:val="bottom"/>
          </w:tcPr>
          <w:p w:rsidR="00F92819" w:rsidRDefault="00F92819">
            <w:pPr>
              <w:keepNext/>
              <w:keepLines/>
              <w:spacing w:before="80" w:after="80" w:line="200" w:lineRule="exact"/>
              <w:jc w:val="right"/>
              <w:rPr>
                <w:b/>
                <w:sz w:val="18"/>
                <w:szCs w:val="24"/>
              </w:rPr>
            </w:pPr>
            <w:r>
              <w:rPr>
                <w:b/>
                <w:sz w:val="18"/>
                <w:szCs w:val="24"/>
              </w:rPr>
              <w:t>549 488</w:t>
            </w:r>
          </w:p>
        </w:tc>
      </w:tr>
      <w:tr w:rsidR="00F92819">
        <w:tc>
          <w:tcPr>
            <w:tcW w:w="4100" w:type="dxa"/>
            <w:gridSpan w:val="4"/>
            <w:tcBorders>
              <w:top w:val="single" w:sz="4" w:space="0" w:color="auto"/>
              <w:bottom w:val="single" w:sz="12" w:space="0" w:color="auto"/>
            </w:tcBorders>
            <w:vAlign w:val="bottom"/>
          </w:tcPr>
          <w:p w:rsidR="00F92819" w:rsidRDefault="00F92819">
            <w:pPr>
              <w:keepNext/>
              <w:keepLines/>
              <w:spacing w:before="80" w:after="80" w:line="220" w:lineRule="exact"/>
              <w:ind w:left="284"/>
              <w:rPr>
                <w:szCs w:val="24"/>
              </w:rPr>
            </w:pPr>
            <w:r>
              <w:rPr>
                <w:b/>
                <w:sz w:val="18"/>
                <w:szCs w:val="24"/>
                <w:lang w:val="es-ES_tradnl"/>
              </w:rPr>
              <w:t>Total general</w:t>
            </w:r>
          </w:p>
        </w:tc>
        <w:tc>
          <w:tcPr>
            <w:tcW w:w="800" w:type="dxa"/>
            <w:tcBorders>
              <w:top w:val="single" w:sz="4" w:space="0" w:color="auto"/>
              <w:bottom w:val="single" w:sz="12" w:space="0" w:color="auto"/>
            </w:tcBorders>
            <w:vAlign w:val="bottom"/>
          </w:tcPr>
          <w:p w:rsidR="00F92819" w:rsidRDefault="00F92819">
            <w:pPr>
              <w:keepNext/>
              <w:keepLines/>
              <w:spacing w:before="80" w:after="80" w:line="220" w:lineRule="exact"/>
              <w:jc w:val="right"/>
              <w:rPr>
                <w:b/>
                <w:sz w:val="18"/>
                <w:szCs w:val="24"/>
              </w:rPr>
            </w:pPr>
          </w:p>
        </w:tc>
        <w:tc>
          <w:tcPr>
            <w:tcW w:w="789"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tl/>
              </w:rPr>
            </w:pPr>
            <w:r>
              <w:rPr>
                <w:b/>
                <w:sz w:val="18"/>
                <w:szCs w:val="24"/>
              </w:rPr>
              <w:t>732 919</w:t>
            </w:r>
          </w:p>
        </w:tc>
        <w:tc>
          <w:tcPr>
            <w:tcW w:w="790"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tl/>
              </w:rPr>
            </w:pPr>
            <w:r>
              <w:rPr>
                <w:b/>
                <w:sz w:val="18"/>
                <w:szCs w:val="24"/>
              </w:rPr>
              <w:t>738 704</w:t>
            </w:r>
          </w:p>
        </w:tc>
        <w:tc>
          <w:tcPr>
            <w:tcW w:w="790"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tl/>
              </w:rPr>
            </w:pPr>
            <w:r>
              <w:rPr>
                <w:b/>
                <w:sz w:val="18"/>
                <w:szCs w:val="24"/>
              </w:rPr>
              <w:t>798 148</w:t>
            </w:r>
          </w:p>
        </w:tc>
        <w:tc>
          <w:tcPr>
            <w:tcW w:w="790"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tl/>
              </w:rPr>
            </w:pPr>
            <w:r>
              <w:rPr>
                <w:b/>
                <w:sz w:val="18"/>
                <w:szCs w:val="24"/>
              </w:rPr>
              <w:t>856 247</w:t>
            </w:r>
          </w:p>
        </w:tc>
        <w:tc>
          <w:tcPr>
            <w:tcW w:w="790"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tl/>
              </w:rPr>
            </w:pPr>
            <w:r>
              <w:rPr>
                <w:b/>
                <w:sz w:val="18"/>
                <w:szCs w:val="24"/>
              </w:rPr>
              <w:t>916 564</w:t>
            </w:r>
          </w:p>
        </w:tc>
        <w:tc>
          <w:tcPr>
            <w:tcW w:w="790" w:type="dxa"/>
            <w:tcBorders>
              <w:top w:val="single" w:sz="4" w:space="0" w:color="auto"/>
              <w:bottom w:val="single" w:sz="12" w:space="0" w:color="auto"/>
            </w:tcBorders>
            <w:vAlign w:val="bottom"/>
          </w:tcPr>
          <w:p w:rsidR="00F92819" w:rsidRDefault="00F92819">
            <w:pPr>
              <w:keepNext/>
              <w:keepLines/>
              <w:spacing w:before="80" w:after="80" w:line="200" w:lineRule="exact"/>
              <w:jc w:val="right"/>
              <w:rPr>
                <w:b/>
                <w:sz w:val="18"/>
                <w:szCs w:val="24"/>
              </w:rPr>
            </w:pPr>
            <w:r>
              <w:rPr>
                <w:b/>
                <w:sz w:val="18"/>
                <w:szCs w:val="24"/>
              </w:rPr>
              <w:t>975 688</w:t>
            </w:r>
          </w:p>
        </w:tc>
      </w:tr>
    </w:tbl>
    <w:p w:rsidR="00F92819" w:rsidRDefault="00F92819">
      <w:pPr>
        <w:spacing w:before="120" w:after="240"/>
        <w:ind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pStyle w:val="Heading1"/>
        <w:spacing w:before="240"/>
        <w:rPr>
          <w:szCs w:val="24"/>
        </w:rPr>
      </w:pPr>
      <w:r>
        <w:rPr>
          <w:szCs w:val="24"/>
          <w:lang w:val="es-ES_tradnl"/>
        </w:rPr>
        <w:t>Cuadro 23</w:t>
      </w:r>
    </w:p>
    <w:p w:rsidR="00F92819" w:rsidRDefault="00F92819">
      <w:pPr>
        <w:pStyle w:val="SingleTxtG"/>
        <w:rPr>
          <w:b/>
          <w:szCs w:val="24"/>
        </w:rPr>
      </w:pPr>
      <w:r>
        <w:rPr>
          <w:b/>
          <w:szCs w:val="24"/>
          <w:lang w:val="es-ES_tradnl"/>
        </w:rPr>
        <w:t>Producto nacional bruto y producto interno bruto, 2002</w:t>
      </w:r>
      <w:r w:rsidR="008C04D7">
        <w:rPr>
          <w:b/>
          <w:szCs w:val="24"/>
          <w:lang w:val="es-ES_tradnl"/>
        </w:rPr>
        <w:t>-</w:t>
      </w:r>
      <w:r>
        <w:rPr>
          <w:b/>
          <w:szCs w:val="24"/>
          <w:lang w:val="es-ES_tradnl"/>
        </w:rPr>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560"/>
        <w:gridCol w:w="1842"/>
        <w:gridCol w:w="2125"/>
        <w:gridCol w:w="1843"/>
      </w:tblGrid>
      <w:tr w:rsidR="00F92819">
        <w:tc>
          <w:tcPr>
            <w:tcW w:w="1560" w:type="dxa"/>
            <w:vMerge w:val="restart"/>
            <w:tcBorders>
              <w:top w:val="single" w:sz="4" w:space="0" w:color="auto"/>
            </w:tcBorders>
            <w:vAlign w:val="bottom"/>
          </w:tcPr>
          <w:p w:rsidR="00F92819" w:rsidRDefault="00F92819">
            <w:pPr>
              <w:spacing w:before="80" w:after="80" w:line="200" w:lineRule="exact"/>
              <w:rPr>
                <w:szCs w:val="24"/>
              </w:rPr>
            </w:pPr>
            <w:r>
              <w:rPr>
                <w:i/>
                <w:sz w:val="16"/>
                <w:szCs w:val="24"/>
                <w:lang w:val="es-ES_tradnl"/>
              </w:rPr>
              <w:t>Año</w:t>
            </w:r>
          </w:p>
        </w:tc>
        <w:tc>
          <w:tcPr>
            <w:tcW w:w="1842" w:type="dxa"/>
            <w:tcBorders>
              <w:top w:val="single" w:sz="4" w:space="0" w:color="auto"/>
              <w:bottom w:val="single" w:sz="4" w:space="0" w:color="auto"/>
            </w:tcBorders>
            <w:vAlign w:val="center"/>
          </w:tcPr>
          <w:p w:rsidR="00F92819" w:rsidRDefault="00F92819">
            <w:pPr>
              <w:spacing w:before="80" w:after="80" w:line="200" w:lineRule="exact"/>
              <w:jc w:val="right"/>
              <w:rPr>
                <w:szCs w:val="24"/>
              </w:rPr>
            </w:pPr>
            <w:r>
              <w:rPr>
                <w:i/>
                <w:sz w:val="16"/>
                <w:szCs w:val="24"/>
                <w:lang w:val="es-ES_tradnl"/>
              </w:rPr>
              <w:t>Producto nacional bruto</w:t>
            </w:r>
          </w:p>
        </w:tc>
        <w:tc>
          <w:tcPr>
            <w:tcW w:w="2125" w:type="dxa"/>
            <w:tcBorders>
              <w:top w:val="single" w:sz="4" w:space="0" w:color="auto"/>
              <w:bottom w:val="single" w:sz="4" w:space="0" w:color="auto"/>
            </w:tcBorders>
            <w:vAlign w:val="center"/>
          </w:tcPr>
          <w:p w:rsidR="00F92819" w:rsidRDefault="00F92819">
            <w:pPr>
              <w:spacing w:before="80" w:after="80" w:line="200" w:lineRule="exact"/>
              <w:jc w:val="right"/>
              <w:rPr>
                <w:szCs w:val="24"/>
              </w:rPr>
            </w:pPr>
            <w:r>
              <w:rPr>
                <w:i/>
                <w:sz w:val="16"/>
                <w:szCs w:val="24"/>
                <w:lang w:val="es-ES_tradnl"/>
              </w:rPr>
              <w:t>Menos:</w:t>
            </w:r>
            <w:r>
              <w:rPr>
                <w:i/>
                <w:sz w:val="16"/>
                <w:szCs w:val="24"/>
              </w:rPr>
              <w:t xml:space="preserve"> </w:t>
            </w:r>
            <w:r>
              <w:rPr>
                <w:i/>
                <w:sz w:val="16"/>
                <w:szCs w:val="24"/>
                <w:lang w:val="es-ES_tradnl"/>
              </w:rPr>
              <w:t>ingresos netos pagados en el exterior</w:t>
            </w:r>
          </w:p>
        </w:tc>
        <w:tc>
          <w:tcPr>
            <w:tcW w:w="1843" w:type="dxa"/>
            <w:tcBorders>
              <w:top w:val="single" w:sz="4" w:space="0" w:color="auto"/>
              <w:bottom w:val="single" w:sz="4" w:space="0" w:color="auto"/>
            </w:tcBorders>
            <w:vAlign w:val="center"/>
          </w:tcPr>
          <w:p w:rsidR="00F92819" w:rsidRDefault="00F92819">
            <w:pPr>
              <w:spacing w:before="80" w:after="80" w:line="200" w:lineRule="exact"/>
              <w:jc w:val="right"/>
              <w:rPr>
                <w:szCs w:val="24"/>
              </w:rPr>
            </w:pPr>
            <w:r>
              <w:rPr>
                <w:i/>
                <w:sz w:val="16"/>
                <w:szCs w:val="24"/>
                <w:lang w:val="es-ES_tradnl"/>
              </w:rPr>
              <w:t>Producto interno bruto</w:t>
            </w:r>
          </w:p>
        </w:tc>
      </w:tr>
      <w:tr w:rsidR="00F92819">
        <w:tc>
          <w:tcPr>
            <w:tcW w:w="1560" w:type="dxa"/>
            <w:vMerge/>
            <w:vAlign w:val="bottom"/>
          </w:tcPr>
          <w:p w:rsidR="00F92819" w:rsidRDefault="00F92819">
            <w:pPr>
              <w:spacing w:before="80" w:after="80" w:line="200" w:lineRule="exact"/>
              <w:rPr>
                <w:i/>
                <w:sz w:val="16"/>
                <w:szCs w:val="24"/>
              </w:rPr>
            </w:pPr>
          </w:p>
        </w:tc>
        <w:tc>
          <w:tcPr>
            <w:tcW w:w="5810" w:type="dxa"/>
            <w:gridSpan w:val="3"/>
            <w:tcBorders>
              <w:top w:val="single" w:sz="4" w:space="0" w:color="auto"/>
            </w:tcBorders>
            <w:vAlign w:val="center"/>
          </w:tcPr>
          <w:p w:rsidR="00F92819" w:rsidRDefault="00F92819">
            <w:pPr>
              <w:spacing w:before="80" w:after="80" w:line="200" w:lineRule="exact"/>
              <w:jc w:val="center"/>
              <w:rPr>
                <w:szCs w:val="24"/>
              </w:rPr>
            </w:pPr>
            <w:r>
              <w:rPr>
                <w:i/>
                <w:sz w:val="16"/>
                <w:szCs w:val="24"/>
                <w:lang w:val="es-ES_tradnl"/>
              </w:rPr>
              <w:t>A precios corrientes en millones de nuevos sheqalim</w:t>
            </w:r>
          </w:p>
        </w:tc>
      </w:tr>
      <w:tr w:rsidR="00F92819">
        <w:tc>
          <w:tcPr>
            <w:tcW w:w="1560" w:type="dxa"/>
            <w:tcBorders>
              <w:top w:val="single" w:sz="12" w:space="0" w:color="auto"/>
            </w:tcBorders>
            <w:vAlign w:val="center"/>
          </w:tcPr>
          <w:p w:rsidR="00F92819" w:rsidRDefault="00F92819">
            <w:pPr>
              <w:spacing w:before="40" w:after="40" w:line="200" w:lineRule="atLeast"/>
              <w:rPr>
                <w:sz w:val="18"/>
                <w:szCs w:val="24"/>
              </w:rPr>
            </w:pPr>
            <w:r>
              <w:rPr>
                <w:sz w:val="18"/>
                <w:szCs w:val="24"/>
              </w:rPr>
              <w:t>2002</w:t>
            </w:r>
          </w:p>
        </w:tc>
        <w:tc>
          <w:tcPr>
            <w:tcW w:w="1842" w:type="dxa"/>
            <w:tcBorders>
              <w:top w:val="single" w:sz="12" w:space="0" w:color="auto"/>
            </w:tcBorders>
            <w:vAlign w:val="center"/>
          </w:tcPr>
          <w:p w:rsidR="00F92819" w:rsidRDefault="00F92819">
            <w:pPr>
              <w:spacing w:before="40" w:after="40" w:line="200" w:lineRule="atLeast"/>
              <w:jc w:val="right"/>
              <w:rPr>
                <w:sz w:val="18"/>
                <w:szCs w:val="24"/>
              </w:rPr>
            </w:pPr>
            <w:r>
              <w:rPr>
                <w:sz w:val="18"/>
                <w:szCs w:val="24"/>
              </w:rPr>
              <w:t>509 419</w:t>
            </w:r>
          </w:p>
        </w:tc>
        <w:tc>
          <w:tcPr>
            <w:tcW w:w="2125" w:type="dxa"/>
            <w:tcBorders>
              <w:top w:val="single" w:sz="12" w:space="0" w:color="auto"/>
            </w:tcBorders>
            <w:vAlign w:val="center"/>
          </w:tcPr>
          <w:p w:rsidR="00F92819" w:rsidRDefault="00F92819">
            <w:pPr>
              <w:spacing w:before="40" w:after="40" w:line="200" w:lineRule="atLeast"/>
              <w:jc w:val="right"/>
              <w:rPr>
                <w:sz w:val="18"/>
                <w:szCs w:val="24"/>
              </w:rPr>
            </w:pPr>
            <w:r>
              <w:rPr>
                <w:sz w:val="18"/>
                <w:szCs w:val="24"/>
              </w:rPr>
              <w:t>20 256</w:t>
            </w:r>
          </w:p>
        </w:tc>
        <w:tc>
          <w:tcPr>
            <w:tcW w:w="1843" w:type="dxa"/>
            <w:tcBorders>
              <w:top w:val="single" w:sz="12" w:space="0" w:color="auto"/>
            </w:tcBorders>
            <w:vAlign w:val="center"/>
          </w:tcPr>
          <w:p w:rsidR="00F92819" w:rsidRDefault="00F92819">
            <w:pPr>
              <w:spacing w:before="40" w:after="40" w:line="200" w:lineRule="atLeast"/>
              <w:jc w:val="right"/>
              <w:rPr>
                <w:sz w:val="18"/>
                <w:szCs w:val="24"/>
              </w:rPr>
            </w:pPr>
            <w:r>
              <w:rPr>
                <w:sz w:val="18"/>
                <w:szCs w:val="24"/>
              </w:rPr>
              <w:t>529 675</w:t>
            </w:r>
          </w:p>
        </w:tc>
      </w:tr>
      <w:tr w:rsidR="00F92819">
        <w:tc>
          <w:tcPr>
            <w:tcW w:w="1560" w:type="dxa"/>
            <w:vAlign w:val="center"/>
          </w:tcPr>
          <w:p w:rsidR="00F92819" w:rsidRDefault="00F92819">
            <w:pPr>
              <w:spacing w:before="40" w:after="40" w:line="200" w:lineRule="atLeast"/>
              <w:rPr>
                <w:sz w:val="18"/>
                <w:szCs w:val="24"/>
              </w:rPr>
            </w:pPr>
            <w:r>
              <w:rPr>
                <w:sz w:val="18"/>
                <w:szCs w:val="24"/>
              </w:rPr>
              <w:t>2003</w:t>
            </w:r>
          </w:p>
        </w:tc>
        <w:tc>
          <w:tcPr>
            <w:tcW w:w="1842" w:type="dxa"/>
            <w:vAlign w:val="center"/>
          </w:tcPr>
          <w:p w:rsidR="00F92819" w:rsidRDefault="00F92819">
            <w:pPr>
              <w:spacing w:before="40" w:after="40" w:line="200" w:lineRule="atLeast"/>
              <w:jc w:val="right"/>
              <w:rPr>
                <w:sz w:val="18"/>
                <w:szCs w:val="24"/>
              </w:rPr>
            </w:pPr>
            <w:r>
              <w:rPr>
                <w:sz w:val="18"/>
                <w:szCs w:val="24"/>
              </w:rPr>
              <w:t>517 734</w:t>
            </w:r>
          </w:p>
        </w:tc>
        <w:tc>
          <w:tcPr>
            <w:tcW w:w="2125" w:type="dxa"/>
            <w:vAlign w:val="center"/>
          </w:tcPr>
          <w:p w:rsidR="00F92819" w:rsidRDefault="00F92819">
            <w:pPr>
              <w:spacing w:before="40" w:after="40" w:line="200" w:lineRule="atLeast"/>
              <w:jc w:val="right"/>
              <w:rPr>
                <w:sz w:val="18"/>
                <w:szCs w:val="24"/>
              </w:rPr>
            </w:pPr>
            <w:r>
              <w:rPr>
                <w:sz w:val="18"/>
                <w:szCs w:val="24"/>
              </w:rPr>
              <w:t>18 946</w:t>
            </w:r>
          </w:p>
        </w:tc>
        <w:tc>
          <w:tcPr>
            <w:tcW w:w="1843" w:type="dxa"/>
            <w:vAlign w:val="center"/>
          </w:tcPr>
          <w:p w:rsidR="00F92819" w:rsidRDefault="00F92819">
            <w:pPr>
              <w:spacing w:before="40" w:after="40" w:line="200" w:lineRule="atLeast"/>
              <w:jc w:val="right"/>
              <w:rPr>
                <w:sz w:val="18"/>
                <w:szCs w:val="24"/>
              </w:rPr>
            </w:pPr>
            <w:r>
              <w:rPr>
                <w:sz w:val="18"/>
                <w:szCs w:val="24"/>
              </w:rPr>
              <w:t>536 680</w:t>
            </w:r>
          </w:p>
        </w:tc>
      </w:tr>
      <w:tr w:rsidR="00F92819">
        <w:tc>
          <w:tcPr>
            <w:tcW w:w="1560" w:type="dxa"/>
            <w:vAlign w:val="center"/>
          </w:tcPr>
          <w:p w:rsidR="00F92819" w:rsidRDefault="00F92819">
            <w:pPr>
              <w:spacing w:before="40" w:after="40" w:line="200" w:lineRule="atLeast"/>
              <w:rPr>
                <w:sz w:val="18"/>
                <w:szCs w:val="24"/>
              </w:rPr>
            </w:pPr>
            <w:r>
              <w:rPr>
                <w:sz w:val="18"/>
                <w:szCs w:val="24"/>
              </w:rPr>
              <w:t>2004</w:t>
            </w:r>
          </w:p>
        </w:tc>
        <w:tc>
          <w:tcPr>
            <w:tcW w:w="1842" w:type="dxa"/>
            <w:vAlign w:val="center"/>
          </w:tcPr>
          <w:p w:rsidR="00F92819" w:rsidRDefault="00F92819">
            <w:pPr>
              <w:spacing w:before="40" w:after="40" w:line="200" w:lineRule="atLeast"/>
              <w:jc w:val="right"/>
              <w:rPr>
                <w:sz w:val="18"/>
                <w:szCs w:val="24"/>
              </w:rPr>
            </w:pPr>
            <w:r>
              <w:rPr>
                <w:sz w:val="18"/>
                <w:szCs w:val="24"/>
              </w:rPr>
              <w:t>547 243</w:t>
            </w:r>
          </w:p>
        </w:tc>
        <w:tc>
          <w:tcPr>
            <w:tcW w:w="2125" w:type="dxa"/>
            <w:vAlign w:val="center"/>
          </w:tcPr>
          <w:p w:rsidR="00F92819" w:rsidRDefault="00F92819">
            <w:pPr>
              <w:spacing w:before="40" w:after="40" w:line="200" w:lineRule="atLeast"/>
              <w:jc w:val="right"/>
              <w:rPr>
                <w:sz w:val="18"/>
                <w:szCs w:val="24"/>
              </w:rPr>
            </w:pPr>
            <w:r>
              <w:rPr>
                <w:sz w:val="18"/>
                <w:szCs w:val="24"/>
              </w:rPr>
              <w:t>16 470</w:t>
            </w:r>
          </w:p>
        </w:tc>
        <w:tc>
          <w:tcPr>
            <w:tcW w:w="1843" w:type="dxa"/>
            <w:vAlign w:val="center"/>
          </w:tcPr>
          <w:p w:rsidR="00F92819" w:rsidRDefault="00F92819">
            <w:pPr>
              <w:spacing w:before="40" w:after="40" w:line="200" w:lineRule="atLeast"/>
              <w:jc w:val="right"/>
              <w:rPr>
                <w:sz w:val="18"/>
                <w:szCs w:val="24"/>
              </w:rPr>
            </w:pPr>
            <w:r>
              <w:rPr>
                <w:sz w:val="18"/>
                <w:szCs w:val="24"/>
              </w:rPr>
              <w:t>563 713</w:t>
            </w:r>
          </w:p>
        </w:tc>
      </w:tr>
      <w:tr w:rsidR="00F92819">
        <w:tc>
          <w:tcPr>
            <w:tcW w:w="1560" w:type="dxa"/>
            <w:vAlign w:val="center"/>
          </w:tcPr>
          <w:p w:rsidR="00F92819" w:rsidRDefault="00F92819">
            <w:pPr>
              <w:spacing w:before="40" w:after="40" w:line="200" w:lineRule="atLeast"/>
              <w:rPr>
                <w:sz w:val="18"/>
                <w:szCs w:val="24"/>
              </w:rPr>
            </w:pPr>
            <w:r>
              <w:rPr>
                <w:sz w:val="18"/>
                <w:szCs w:val="24"/>
              </w:rPr>
              <w:t>2005</w:t>
            </w:r>
          </w:p>
        </w:tc>
        <w:tc>
          <w:tcPr>
            <w:tcW w:w="1842" w:type="dxa"/>
            <w:vAlign w:val="center"/>
          </w:tcPr>
          <w:p w:rsidR="00F92819" w:rsidRDefault="00F92819">
            <w:pPr>
              <w:spacing w:before="40" w:after="40" w:line="200" w:lineRule="atLeast"/>
              <w:jc w:val="right"/>
              <w:rPr>
                <w:sz w:val="18"/>
                <w:szCs w:val="24"/>
              </w:rPr>
            </w:pPr>
            <w:r>
              <w:rPr>
                <w:sz w:val="18"/>
                <w:szCs w:val="24"/>
              </w:rPr>
              <w:t>590 746</w:t>
            </w:r>
          </w:p>
        </w:tc>
        <w:tc>
          <w:tcPr>
            <w:tcW w:w="2125" w:type="dxa"/>
            <w:vAlign w:val="center"/>
          </w:tcPr>
          <w:p w:rsidR="00F92819" w:rsidRDefault="00F92819">
            <w:pPr>
              <w:spacing w:before="40" w:after="40" w:line="200" w:lineRule="atLeast"/>
              <w:jc w:val="right"/>
              <w:rPr>
                <w:sz w:val="18"/>
                <w:szCs w:val="24"/>
              </w:rPr>
            </w:pPr>
            <w:r>
              <w:rPr>
                <w:sz w:val="18"/>
                <w:szCs w:val="24"/>
              </w:rPr>
              <w:t>7 027</w:t>
            </w:r>
          </w:p>
        </w:tc>
        <w:tc>
          <w:tcPr>
            <w:tcW w:w="1843" w:type="dxa"/>
            <w:vAlign w:val="center"/>
          </w:tcPr>
          <w:p w:rsidR="00F92819" w:rsidRDefault="00F92819">
            <w:pPr>
              <w:spacing w:before="40" w:after="40" w:line="200" w:lineRule="atLeast"/>
              <w:jc w:val="right"/>
              <w:rPr>
                <w:sz w:val="18"/>
                <w:szCs w:val="24"/>
              </w:rPr>
            </w:pPr>
            <w:r>
              <w:rPr>
                <w:sz w:val="18"/>
                <w:szCs w:val="24"/>
              </w:rPr>
              <w:t>597 773</w:t>
            </w:r>
          </w:p>
        </w:tc>
      </w:tr>
      <w:tr w:rsidR="00F92819">
        <w:tc>
          <w:tcPr>
            <w:tcW w:w="1560" w:type="dxa"/>
            <w:vAlign w:val="center"/>
          </w:tcPr>
          <w:p w:rsidR="00F92819" w:rsidRDefault="00F92819">
            <w:pPr>
              <w:spacing w:before="40" w:after="40" w:line="200" w:lineRule="atLeast"/>
              <w:rPr>
                <w:sz w:val="18"/>
                <w:szCs w:val="24"/>
              </w:rPr>
            </w:pPr>
            <w:r>
              <w:rPr>
                <w:sz w:val="18"/>
                <w:szCs w:val="24"/>
              </w:rPr>
              <w:t>2006</w:t>
            </w:r>
          </w:p>
        </w:tc>
        <w:tc>
          <w:tcPr>
            <w:tcW w:w="1842" w:type="dxa"/>
            <w:vAlign w:val="center"/>
          </w:tcPr>
          <w:p w:rsidR="00F92819" w:rsidRDefault="00F92819">
            <w:pPr>
              <w:spacing w:before="40" w:after="40" w:line="200" w:lineRule="atLeast"/>
              <w:jc w:val="right"/>
              <w:rPr>
                <w:sz w:val="18"/>
                <w:szCs w:val="24"/>
              </w:rPr>
            </w:pPr>
            <w:r>
              <w:rPr>
                <w:sz w:val="18"/>
                <w:szCs w:val="24"/>
              </w:rPr>
              <w:t>641 196</w:t>
            </w:r>
          </w:p>
        </w:tc>
        <w:tc>
          <w:tcPr>
            <w:tcW w:w="2125" w:type="dxa"/>
            <w:vAlign w:val="center"/>
          </w:tcPr>
          <w:p w:rsidR="00F92819" w:rsidRDefault="00F92819">
            <w:pPr>
              <w:spacing w:before="40" w:after="40" w:line="200" w:lineRule="atLeast"/>
              <w:jc w:val="right"/>
              <w:rPr>
                <w:sz w:val="18"/>
                <w:szCs w:val="24"/>
              </w:rPr>
            </w:pPr>
            <w:r>
              <w:rPr>
                <w:sz w:val="18"/>
                <w:szCs w:val="24"/>
              </w:rPr>
              <w:t>-422</w:t>
            </w:r>
          </w:p>
        </w:tc>
        <w:tc>
          <w:tcPr>
            <w:tcW w:w="1843" w:type="dxa"/>
            <w:vAlign w:val="center"/>
          </w:tcPr>
          <w:p w:rsidR="00F92819" w:rsidRDefault="00F92819">
            <w:pPr>
              <w:spacing w:before="40" w:after="40" w:line="200" w:lineRule="atLeast"/>
              <w:jc w:val="right"/>
              <w:rPr>
                <w:sz w:val="18"/>
                <w:szCs w:val="24"/>
              </w:rPr>
            </w:pPr>
            <w:r>
              <w:rPr>
                <w:sz w:val="18"/>
                <w:szCs w:val="24"/>
              </w:rPr>
              <w:t>640 776</w:t>
            </w:r>
          </w:p>
        </w:tc>
      </w:tr>
      <w:tr w:rsidR="00F92819">
        <w:tc>
          <w:tcPr>
            <w:tcW w:w="1560" w:type="dxa"/>
            <w:tcBorders>
              <w:bottom w:val="single" w:sz="12" w:space="0" w:color="auto"/>
            </w:tcBorders>
            <w:vAlign w:val="bottom"/>
          </w:tcPr>
          <w:p w:rsidR="00F92819" w:rsidRPr="009F5C10" w:rsidRDefault="00F92819">
            <w:pPr>
              <w:spacing w:before="40" w:after="40" w:line="200" w:lineRule="atLeast"/>
              <w:rPr>
                <w:sz w:val="18"/>
                <w:szCs w:val="18"/>
              </w:rPr>
            </w:pPr>
            <w:r w:rsidRPr="009F5C10">
              <w:rPr>
                <w:sz w:val="18"/>
                <w:szCs w:val="18"/>
                <w:rtl/>
              </w:rPr>
              <w:t>2007</w:t>
            </w:r>
          </w:p>
        </w:tc>
        <w:tc>
          <w:tcPr>
            <w:tcW w:w="1842" w:type="dxa"/>
            <w:tcBorders>
              <w:bottom w:val="single" w:sz="12" w:space="0" w:color="auto"/>
            </w:tcBorders>
            <w:vAlign w:val="center"/>
          </w:tcPr>
          <w:p w:rsidR="00F92819" w:rsidRDefault="00F92819">
            <w:pPr>
              <w:spacing w:before="40" w:after="40" w:line="200" w:lineRule="atLeast"/>
              <w:jc w:val="right"/>
              <w:rPr>
                <w:sz w:val="18"/>
                <w:szCs w:val="24"/>
              </w:rPr>
            </w:pPr>
            <w:r>
              <w:rPr>
                <w:sz w:val="18"/>
                <w:szCs w:val="24"/>
              </w:rPr>
              <w:t>673 419</w:t>
            </w:r>
          </w:p>
        </w:tc>
        <w:tc>
          <w:tcPr>
            <w:tcW w:w="2125" w:type="dxa"/>
            <w:tcBorders>
              <w:bottom w:val="single" w:sz="12" w:space="0" w:color="auto"/>
            </w:tcBorders>
            <w:vAlign w:val="center"/>
          </w:tcPr>
          <w:p w:rsidR="00F92819" w:rsidRDefault="00F92819">
            <w:pPr>
              <w:spacing w:before="40" w:after="40" w:line="200" w:lineRule="atLeast"/>
              <w:jc w:val="right"/>
              <w:rPr>
                <w:sz w:val="18"/>
                <w:szCs w:val="24"/>
              </w:rPr>
            </w:pPr>
            <w:r>
              <w:rPr>
                <w:sz w:val="18"/>
                <w:szCs w:val="24"/>
              </w:rPr>
              <w:t>133</w:t>
            </w:r>
          </w:p>
        </w:tc>
        <w:tc>
          <w:tcPr>
            <w:tcW w:w="1843" w:type="dxa"/>
            <w:tcBorders>
              <w:bottom w:val="single" w:sz="12" w:space="0" w:color="auto"/>
            </w:tcBorders>
            <w:vAlign w:val="center"/>
          </w:tcPr>
          <w:p w:rsidR="00F92819" w:rsidRDefault="00F92819">
            <w:pPr>
              <w:spacing w:before="40" w:after="40" w:line="200" w:lineRule="atLeast"/>
              <w:jc w:val="right"/>
              <w:rPr>
                <w:sz w:val="18"/>
                <w:szCs w:val="24"/>
              </w:rPr>
            </w:pPr>
            <w:r>
              <w:rPr>
                <w:sz w:val="18"/>
                <w:szCs w:val="24"/>
              </w:rPr>
              <w:t>673 552</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pStyle w:val="Heading1"/>
        <w:spacing w:before="240"/>
        <w:rPr>
          <w:szCs w:val="24"/>
        </w:rPr>
      </w:pPr>
      <w:r>
        <w:rPr>
          <w:szCs w:val="24"/>
          <w:lang w:val="es-ES_tradnl"/>
        </w:rPr>
        <w:t>Cuadro 24</w:t>
      </w:r>
    </w:p>
    <w:p w:rsidR="00F92819" w:rsidRDefault="00F92819">
      <w:pPr>
        <w:pStyle w:val="SingleTxtG"/>
        <w:keepNext/>
        <w:rPr>
          <w:b/>
          <w:szCs w:val="24"/>
        </w:rPr>
      </w:pPr>
      <w:r>
        <w:rPr>
          <w:b/>
          <w:szCs w:val="24"/>
          <w:lang w:val="es-ES_tradnl"/>
        </w:rPr>
        <w:t>Gastos de consumo privado, por finalidad y tipo de gastos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4111"/>
        <w:gridCol w:w="803"/>
        <w:gridCol w:w="803"/>
        <w:gridCol w:w="804"/>
        <w:gridCol w:w="849"/>
      </w:tblGrid>
      <w:tr w:rsidR="00F92819">
        <w:trPr>
          <w:tblHeader/>
        </w:trPr>
        <w:tc>
          <w:tcPr>
            <w:tcW w:w="4111" w:type="dxa"/>
            <w:vMerge w:val="restart"/>
            <w:tcBorders>
              <w:top w:val="single" w:sz="4" w:space="0" w:color="auto"/>
            </w:tcBorders>
            <w:vAlign w:val="bottom"/>
          </w:tcPr>
          <w:p w:rsidR="00F92819" w:rsidRDefault="00F92819">
            <w:pPr>
              <w:keepNext/>
              <w:spacing w:before="80" w:after="80" w:line="200" w:lineRule="exact"/>
              <w:rPr>
                <w:i/>
                <w:sz w:val="16"/>
                <w:szCs w:val="24"/>
              </w:rPr>
            </w:pPr>
          </w:p>
        </w:tc>
        <w:tc>
          <w:tcPr>
            <w:tcW w:w="2410" w:type="dxa"/>
            <w:gridSpan w:val="3"/>
            <w:tcBorders>
              <w:top w:val="single" w:sz="4" w:space="0" w:color="auto"/>
              <w:bottom w:val="single" w:sz="4" w:space="0" w:color="auto"/>
              <w:right w:val="single" w:sz="24" w:space="0" w:color="FFFFFF"/>
            </w:tcBorders>
            <w:vAlign w:val="bottom"/>
          </w:tcPr>
          <w:p w:rsidR="00F92819" w:rsidRDefault="00F92819">
            <w:pPr>
              <w:keepNext/>
              <w:spacing w:before="80" w:after="80" w:line="200" w:lineRule="exact"/>
              <w:jc w:val="center"/>
              <w:rPr>
                <w:szCs w:val="24"/>
              </w:rPr>
            </w:pPr>
            <w:r>
              <w:rPr>
                <w:i/>
                <w:sz w:val="16"/>
                <w:szCs w:val="24"/>
                <w:lang w:val="es-ES_tradnl"/>
              </w:rPr>
              <w:t>En millones, a precios de 2005 (3)</w:t>
            </w:r>
          </w:p>
        </w:tc>
        <w:tc>
          <w:tcPr>
            <w:tcW w:w="849" w:type="dxa"/>
            <w:tcBorders>
              <w:top w:val="single" w:sz="4" w:space="0" w:color="auto"/>
              <w:left w:val="single" w:sz="24" w:space="0" w:color="FFFFFF"/>
              <w:bottom w:val="single" w:sz="4" w:space="0" w:color="auto"/>
            </w:tcBorders>
            <w:tcMar>
              <w:right w:w="57" w:type="dxa"/>
            </w:tcMar>
            <w:vAlign w:val="bottom"/>
          </w:tcPr>
          <w:p w:rsidR="00F92819" w:rsidRDefault="00F92819">
            <w:pPr>
              <w:keepNext/>
              <w:spacing w:before="80" w:after="80" w:line="200" w:lineRule="exact"/>
              <w:jc w:val="center"/>
              <w:rPr>
                <w:szCs w:val="24"/>
              </w:rPr>
            </w:pPr>
            <w:r>
              <w:rPr>
                <w:i/>
                <w:sz w:val="16"/>
                <w:szCs w:val="24"/>
                <w:lang w:val="es-ES_tradnl"/>
              </w:rPr>
              <w:t>En millones, a precios corrientes</w:t>
            </w:r>
          </w:p>
        </w:tc>
      </w:tr>
      <w:tr w:rsidR="00F92819">
        <w:trPr>
          <w:tblHeader/>
        </w:trPr>
        <w:tc>
          <w:tcPr>
            <w:tcW w:w="4111" w:type="dxa"/>
            <w:vMerge/>
            <w:tcBorders>
              <w:bottom w:val="single" w:sz="12" w:space="0" w:color="auto"/>
            </w:tcBorders>
            <w:vAlign w:val="bottom"/>
          </w:tcPr>
          <w:p w:rsidR="00F92819" w:rsidRDefault="00F92819">
            <w:pPr>
              <w:keepNext/>
              <w:spacing w:before="80" w:after="80" w:line="200" w:lineRule="exact"/>
              <w:rPr>
                <w:i/>
                <w:sz w:val="16"/>
                <w:szCs w:val="24"/>
              </w:rPr>
            </w:pPr>
          </w:p>
        </w:tc>
        <w:tc>
          <w:tcPr>
            <w:tcW w:w="803" w:type="dxa"/>
            <w:tcBorders>
              <w:top w:val="single" w:sz="4" w:space="0" w:color="auto"/>
              <w:bottom w:val="single" w:sz="12" w:space="0" w:color="auto"/>
            </w:tcBorders>
            <w:vAlign w:val="center"/>
          </w:tcPr>
          <w:p w:rsidR="00F92819" w:rsidRDefault="00F92819">
            <w:pPr>
              <w:keepNext/>
              <w:spacing w:before="80" w:after="80" w:line="200" w:lineRule="exact"/>
              <w:jc w:val="right"/>
              <w:rPr>
                <w:i/>
                <w:sz w:val="16"/>
                <w:szCs w:val="24"/>
              </w:rPr>
            </w:pPr>
            <w:r>
              <w:rPr>
                <w:i/>
                <w:sz w:val="16"/>
                <w:szCs w:val="24"/>
              </w:rPr>
              <w:t>1997</w:t>
            </w:r>
          </w:p>
        </w:tc>
        <w:tc>
          <w:tcPr>
            <w:tcW w:w="803" w:type="dxa"/>
            <w:tcBorders>
              <w:top w:val="single" w:sz="4" w:space="0" w:color="auto"/>
              <w:bottom w:val="single" w:sz="12" w:space="0" w:color="auto"/>
            </w:tcBorders>
            <w:vAlign w:val="center"/>
          </w:tcPr>
          <w:p w:rsidR="00F92819" w:rsidRDefault="00F92819">
            <w:pPr>
              <w:keepNext/>
              <w:spacing w:before="80" w:after="80" w:line="200" w:lineRule="exact"/>
              <w:jc w:val="right"/>
              <w:rPr>
                <w:i/>
                <w:sz w:val="16"/>
                <w:szCs w:val="24"/>
              </w:rPr>
            </w:pPr>
            <w:r>
              <w:rPr>
                <w:i/>
                <w:sz w:val="16"/>
                <w:szCs w:val="24"/>
              </w:rPr>
              <w:t>2002</w:t>
            </w:r>
          </w:p>
        </w:tc>
        <w:tc>
          <w:tcPr>
            <w:tcW w:w="804" w:type="dxa"/>
            <w:tcBorders>
              <w:top w:val="single" w:sz="4" w:space="0" w:color="auto"/>
              <w:bottom w:val="single" w:sz="12" w:space="0" w:color="auto"/>
              <w:right w:val="single" w:sz="24" w:space="0" w:color="FFFFFF"/>
            </w:tcBorders>
            <w:vAlign w:val="center"/>
          </w:tcPr>
          <w:p w:rsidR="00F92819" w:rsidRDefault="00F92819">
            <w:pPr>
              <w:keepNext/>
              <w:spacing w:before="80" w:after="80" w:line="200" w:lineRule="exact"/>
              <w:jc w:val="right"/>
              <w:rPr>
                <w:i/>
                <w:sz w:val="16"/>
                <w:szCs w:val="24"/>
              </w:rPr>
            </w:pPr>
            <w:r>
              <w:rPr>
                <w:i/>
                <w:sz w:val="16"/>
                <w:szCs w:val="24"/>
              </w:rPr>
              <w:t>2007</w:t>
            </w:r>
          </w:p>
        </w:tc>
        <w:tc>
          <w:tcPr>
            <w:tcW w:w="849" w:type="dxa"/>
            <w:tcBorders>
              <w:top w:val="single" w:sz="4" w:space="0" w:color="auto"/>
              <w:left w:val="single" w:sz="24" w:space="0" w:color="FFFFFF"/>
              <w:bottom w:val="single" w:sz="12" w:space="0" w:color="auto"/>
            </w:tcBorders>
            <w:vAlign w:val="center"/>
          </w:tcPr>
          <w:p w:rsidR="00F92819" w:rsidRDefault="00F92819">
            <w:pPr>
              <w:keepNext/>
              <w:spacing w:before="80" w:after="80" w:line="200" w:lineRule="exact"/>
              <w:jc w:val="right"/>
              <w:rPr>
                <w:i/>
                <w:sz w:val="16"/>
                <w:szCs w:val="24"/>
              </w:rPr>
            </w:pPr>
            <w:r>
              <w:rPr>
                <w:i/>
                <w:sz w:val="16"/>
                <w:szCs w:val="24"/>
              </w:rPr>
              <w:t>2007</w:t>
            </w:r>
          </w:p>
        </w:tc>
      </w:tr>
      <w:tr w:rsidR="00F92819">
        <w:tc>
          <w:tcPr>
            <w:tcW w:w="4111" w:type="dxa"/>
            <w:tcBorders>
              <w:top w:val="single" w:sz="12" w:space="0" w:color="auto"/>
              <w:bottom w:val="single" w:sz="4" w:space="0" w:color="auto"/>
            </w:tcBorders>
            <w:vAlign w:val="center"/>
          </w:tcPr>
          <w:p w:rsidR="00F92819" w:rsidRDefault="00F92819">
            <w:pPr>
              <w:keepNext/>
              <w:spacing w:before="80" w:after="80" w:line="220" w:lineRule="exact"/>
              <w:rPr>
                <w:szCs w:val="24"/>
              </w:rPr>
            </w:pPr>
            <w:r>
              <w:rPr>
                <w:b/>
                <w:sz w:val="18"/>
                <w:szCs w:val="24"/>
              </w:rPr>
              <w:br w:type="page"/>
              <w:t xml:space="preserve">1. </w:t>
            </w:r>
            <w:r>
              <w:rPr>
                <w:b/>
                <w:sz w:val="18"/>
                <w:szCs w:val="24"/>
                <w:lang w:val="es-ES_tradnl"/>
              </w:rPr>
              <w:t>Total general de gastos de consumo privado nacionales (2 más 6)</w:t>
            </w:r>
          </w:p>
        </w:tc>
        <w:tc>
          <w:tcPr>
            <w:tcW w:w="803" w:type="dxa"/>
            <w:tcBorders>
              <w:top w:val="single" w:sz="12" w:space="0" w:color="auto"/>
              <w:bottom w:val="single" w:sz="4" w:space="0" w:color="auto"/>
            </w:tcBorders>
            <w:vAlign w:val="bottom"/>
          </w:tcPr>
          <w:p w:rsidR="00F92819" w:rsidRDefault="00F92819">
            <w:pPr>
              <w:keepNext/>
              <w:spacing w:before="80" w:after="80" w:line="220" w:lineRule="exact"/>
              <w:jc w:val="right"/>
              <w:rPr>
                <w:b/>
                <w:sz w:val="18"/>
                <w:szCs w:val="24"/>
              </w:rPr>
            </w:pPr>
            <w:r>
              <w:rPr>
                <w:b/>
                <w:sz w:val="18"/>
                <w:szCs w:val="24"/>
              </w:rPr>
              <w:t>246 501</w:t>
            </w:r>
          </w:p>
        </w:tc>
        <w:tc>
          <w:tcPr>
            <w:tcW w:w="803" w:type="dxa"/>
            <w:tcBorders>
              <w:top w:val="single" w:sz="12" w:space="0" w:color="auto"/>
              <w:bottom w:val="single" w:sz="4" w:space="0" w:color="auto"/>
            </w:tcBorders>
            <w:vAlign w:val="bottom"/>
          </w:tcPr>
          <w:p w:rsidR="00F92819" w:rsidRDefault="00F92819">
            <w:pPr>
              <w:keepNext/>
              <w:spacing w:before="80" w:after="80" w:line="220" w:lineRule="exact"/>
              <w:jc w:val="right"/>
              <w:rPr>
                <w:b/>
                <w:sz w:val="18"/>
                <w:szCs w:val="24"/>
              </w:rPr>
            </w:pPr>
            <w:r>
              <w:rPr>
                <w:b/>
                <w:sz w:val="18"/>
                <w:szCs w:val="24"/>
              </w:rPr>
              <w:t>303 926</w:t>
            </w:r>
          </w:p>
        </w:tc>
        <w:tc>
          <w:tcPr>
            <w:tcW w:w="804" w:type="dxa"/>
            <w:tcBorders>
              <w:top w:val="single" w:sz="12" w:space="0" w:color="auto"/>
              <w:bottom w:val="single" w:sz="4" w:space="0" w:color="auto"/>
            </w:tcBorders>
            <w:vAlign w:val="bottom"/>
          </w:tcPr>
          <w:p w:rsidR="00F92819" w:rsidRDefault="00F92819">
            <w:pPr>
              <w:keepNext/>
              <w:spacing w:before="80" w:after="80" w:line="220" w:lineRule="exact"/>
              <w:jc w:val="right"/>
              <w:rPr>
                <w:b/>
                <w:sz w:val="18"/>
                <w:szCs w:val="24"/>
              </w:rPr>
            </w:pPr>
            <w:r>
              <w:rPr>
                <w:b/>
                <w:sz w:val="18"/>
                <w:szCs w:val="24"/>
              </w:rPr>
              <w:t>369 968</w:t>
            </w:r>
          </w:p>
        </w:tc>
        <w:tc>
          <w:tcPr>
            <w:tcW w:w="849" w:type="dxa"/>
            <w:tcBorders>
              <w:top w:val="single" w:sz="12" w:space="0" w:color="auto"/>
              <w:bottom w:val="single" w:sz="4" w:space="0" w:color="auto"/>
            </w:tcBorders>
            <w:vAlign w:val="bottom"/>
          </w:tcPr>
          <w:p w:rsidR="00F92819" w:rsidRDefault="00F92819">
            <w:pPr>
              <w:keepNext/>
              <w:spacing w:before="80" w:after="80" w:line="220" w:lineRule="exact"/>
              <w:jc w:val="right"/>
              <w:rPr>
                <w:b/>
                <w:sz w:val="18"/>
                <w:szCs w:val="24"/>
              </w:rPr>
            </w:pPr>
            <w:r>
              <w:rPr>
                <w:b/>
                <w:sz w:val="18"/>
                <w:szCs w:val="24"/>
              </w:rPr>
              <w:t>379 769</w:t>
            </w:r>
          </w:p>
        </w:tc>
      </w:tr>
      <w:tr w:rsidR="00F92819">
        <w:tc>
          <w:tcPr>
            <w:tcW w:w="4111" w:type="dxa"/>
            <w:tcBorders>
              <w:top w:val="single" w:sz="4" w:space="0" w:color="auto"/>
            </w:tcBorders>
            <w:vAlign w:val="center"/>
          </w:tcPr>
          <w:p w:rsidR="00F92819" w:rsidRDefault="00F92819">
            <w:pPr>
              <w:spacing w:before="40" w:after="40" w:line="220" w:lineRule="exact"/>
              <w:rPr>
                <w:szCs w:val="24"/>
              </w:rPr>
            </w:pPr>
            <w:r>
              <w:rPr>
                <w:sz w:val="18"/>
                <w:szCs w:val="24"/>
              </w:rPr>
              <w:t xml:space="preserve">2. </w:t>
            </w:r>
            <w:r>
              <w:rPr>
                <w:sz w:val="18"/>
                <w:szCs w:val="24"/>
                <w:lang w:val="es-ES_tradnl"/>
              </w:rPr>
              <w:t>Gastos de consumo de los hogares</w:t>
            </w:r>
            <w:r>
              <w:rPr>
                <w:sz w:val="18"/>
                <w:szCs w:val="24"/>
                <w:lang w:val="es-ES_tradnl"/>
              </w:rPr>
              <w:br/>
              <w:t xml:space="preserve">    israelíes (3 menos 4 más 5)</w:t>
            </w:r>
          </w:p>
        </w:tc>
        <w:tc>
          <w:tcPr>
            <w:tcW w:w="803"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239 789</w:t>
            </w:r>
          </w:p>
        </w:tc>
        <w:tc>
          <w:tcPr>
            <w:tcW w:w="803"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294 019</w:t>
            </w:r>
          </w:p>
        </w:tc>
        <w:tc>
          <w:tcPr>
            <w:tcW w:w="804"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358 445</w:t>
            </w:r>
          </w:p>
        </w:tc>
        <w:tc>
          <w:tcPr>
            <w:tcW w:w="84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367 683</w:t>
            </w:r>
          </w:p>
        </w:tc>
      </w:tr>
      <w:tr w:rsidR="00F92819">
        <w:tc>
          <w:tcPr>
            <w:tcW w:w="4111" w:type="dxa"/>
            <w:vAlign w:val="center"/>
          </w:tcPr>
          <w:p w:rsidR="00F92819" w:rsidRDefault="00F92819">
            <w:pPr>
              <w:spacing w:before="40" w:after="40" w:line="220" w:lineRule="exact"/>
              <w:rPr>
                <w:szCs w:val="24"/>
              </w:rPr>
            </w:pPr>
            <w:r>
              <w:rPr>
                <w:sz w:val="18"/>
                <w:szCs w:val="24"/>
              </w:rPr>
              <w:t xml:space="preserve">3. </w:t>
            </w:r>
            <w:r>
              <w:rPr>
                <w:sz w:val="18"/>
                <w:szCs w:val="24"/>
                <w:lang w:val="es-ES_tradnl"/>
              </w:rPr>
              <w:t>Consumo de los israelíes en el exterior</w:t>
            </w:r>
          </w:p>
        </w:tc>
        <w:tc>
          <w:tcPr>
            <w:tcW w:w="803" w:type="dxa"/>
            <w:vAlign w:val="center"/>
          </w:tcPr>
          <w:p w:rsidR="00F92819" w:rsidRDefault="00F92819">
            <w:pPr>
              <w:spacing w:before="40" w:after="40" w:line="220" w:lineRule="exact"/>
              <w:jc w:val="right"/>
              <w:rPr>
                <w:sz w:val="18"/>
                <w:szCs w:val="24"/>
              </w:rPr>
            </w:pPr>
            <w:r>
              <w:rPr>
                <w:sz w:val="18"/>
                <w:szCs w:val="24"/>
              </w:rPr>
              <w:t>7 710</w:t>
            </w:r>
          </w:p>
        </w:tc>
        <w:tc>
          <w:tcPr>
            <w:tcW w:w="803" w:type="dxa"/>
            <w:vAlign w:val="center"/>
          </w:tcPr>
          <w:p w:rsidR="00F92819" w:rsidRDefault="00F92819">
            <w:pPr>
              <w:spacing w:before="40" w:after="40" w:line="220" w:lineRule="exact"/>
              <w:jc w:val="right"/>
              <w:rPr>
                <w:sz w:val="18"/>
                <w:szCs w:val="24"/>
              </w:rPr>
            </w:pPr>
            <w:r>
              <w:rPr>
                <w:sz w:val="18"/>
                <w:szCs w:val="24"/>
              </w:rPr>
              <w:t>9 809</w:t>
            </w:r>
          </w:p>
        </w:tc>
        <w:tc>
          <w:tcPr>
            <w:tcW w:w="804" w:type="dxa"/>
            <w:vAlign w:val="center"/>
          </w:tcPr>
          <w:p w:rsidR="00F92819" w:rsidRDefault="00F92819">
            <w:pPr>
              <w:spacing w:before="40" w:after="40" w:line="220" w:lineRule="exact"/>
              <w:jc w:val="right"/>
              <w:rPr>
                <w:sz w:val="18"/>
                <w:szCs w:val="24"/>
              </w:rPr>
            </w:pPr>
            <w:r>
              <w:rPr>
                <w:sz w:val="18"/>
                <w:szCs w:val="24"/>
              </w:rPr>
              <w:t>12 333</w:t>
            </w:r>
          </w:p>
        </w:tc>
        <w:tc>
          <w:tcPr>
            <w:tcW w:w="849" w:type="dxa"/>
            <w:vAlign w:val="center"/>
          </w:tcPr>
          <w:p w:rsidR="00F92819" w:rsidRDefault="00F92819">
            <w:pPr>
              <w:spacing w:before="40" w:after="40" w:line="220" w:lineRule="exact"/>
              <w:jc w:val="right"/>
              <w:rPr>
                <w:sz w:val="18"/>
                <w:szCs w:val="24"/>
              </w:rPr>
            </w:pPr>
            <w:r>
              <w:rPr>
                <w:sz w:val="18"/>
                <w:szCs w:val="24"/>
              </w:rPr>
              <w:t>11 298</w:t>
            </w:r>
          </w:p>
        </w:tc>
      </w:tr>
      <w:tr w:rsidR="00F92819">
        <w:tc>
          <w:tcPr>
            <w:tcW w:w="4111" w:type="dxa"/>
            <w:tcBorders>
              <w:bottom w:val="single" w:sz="4" w:space="0" w:color="auto"/>
            </w:tcBorders>
            <w:vAlign w:val="center"/>
          </w:tcPr>
          <w:p w:rsidR="00F92819" w:rsidRDefault="00F92819">
            <w:pPr>
              <w:spacing w:before="40" w:after="40" w:line="220" w:lineRule="exact"/>
              <w:rPr>
                <w:szCs w:val="24"/>
              </w:rPr>
            </w:pPr>
            <w:r>
              <w:rPr>
                <w:sz w:val="18"/>
                <w:szCs w:val="24"/>
              </w:rPr>
              <w:t xml:space="preserve">4. </w:t>
            </w:r>
            <w:r>
              <w:rPr>
                <w:sz w:val="18"/>
                <w:szCs w:val="24"/>
                <w:lang w:val="es-ES_tradnl"/>
              </w:rPr>
              <w:t xml:space="preserve">Consumo de los no residentes en </w:t>
            </w:r>
            <w:smartTag w:uri="urn:schemas-microsoft-com:office:smarttags" w:element="country-region">
              <w:smartTag w:uri="urn:schemas-microsoft-com:office:smarttags" w:element="place">
                <w:r>
                  <w:rPr>
                    <w:sz w:val="18"/>
                    <w:szCs w:val="24"/>
                    <w:lang w:val="es-ES_tradnl"/>
                  </w:rPr>
                  <w:t>Israel</w:t>
                </w:r>
              </w:smartTag>
            </w:smartTag>
          </w:p>
        </w:tc>
        <w:tc>
          <w:tcPr>
            <w:tcW w:w="803"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18 324</w:t>
            </w:r>
          </w:p>
        </w:tc>
        <w:tc>
          <w:tcPr>
            <w:tcW w:w="803"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10 366</w:t>
            </w:r>
          </w:p>
        </w:tc>
        <w:tc>
          <w:tcPr>
            <w:tcW w:w="804"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13 192</w:t>
            </w:r>
          </w:p>
        </w:tc>
        <w:tc>
          <w:tcPr>
            <w:tcW w:w="849"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12 901</w:t>
            </w:r>
          </w:p>
        </w:tc>
      </w:tr>
      <w:tr w:rsidR="00F92819">
        <w:tc>
          <w:tcPr>
            <w:tcW w:w="4111" w:type="dxa"/>
            <w:tcBorders>
              <w:top w:val="single" w:sz="4" w:space="0" w:color="auto"/>
              <w:bottom w:val="single" w:sz="4" w:space="0" w:color="auto"/>
            </w:tcBorders>
            <w:vAlign w:val="center"/>
          </w:tcPr>
          <w:p w:rsidR="00F92819" w:rsidRDefault="00F92819">
            <w:pPr>
              <w:spacing w:before="80" w:after="80" w:line="220" w:lineRule="exact"/>
              <w:rPr>
                <w:szCs w:val="24"/>
              </w:rPr>
            </w:pPr>
            <w:r>
              <w:rPr>
                <w:b/>
                <w:sz w:val="18"/>
                <w:szCs w:val="24"/>
              </w:rPr>
              <w:t xml:space="preserve">5. </w:t>
            </w:r>
            <w:r>
              <w:rPr>
                <w:b/>
                <w:sz w:val="18"/>
                <w:szCs w:val="24"/>
                <w:lang w:val="es-ES_tradnl"/>
              </w:rPr>
              <w:t>Total de gastos de consumo de los hogares en</w:t>
            </w:r>
            <w:r>
              <w:rPr>
                <w:b/>
                <w:sz w:val="18"/>
                <w:szCs w:val="24"/>
                <w:lang w:val="es-ES_tradnl"/>
              </w:rPr>
              <w:br/>
              <w:t xml:space="preserve">    el mercado interno</w:t>
            </w:r>
          </w:p>
        </w:tc>
        <w:tc>
          <w:tcPr>
            <w:tcW w:w="803"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249 253</w:t>
            </w:r>
          </w:p>
        </w:tc>
        <w:tc>
          <w:tcPr>
            <w:tcW w:w="803"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294 579</w:t>
            </w:r>
          </w:p>
        </w:tc>
        <w:tc>
          <w:tcPr>
            <w:tcW w:w="804" w:type="dxa"/>
            <w:tcBorders>
              <w:top w:val="single" w:sz="4" w:space="0" w:color="auto"/>
              <w:bottom w:val="single" w:sz="4" w:space="0" w:color="auto"/>
            </w:tcBorders>
            <w:vAlign w:val="bottom"/>
          </w:tcPr>
          <w:p w:rsidR="00F92819" w:rsidRDefault="00F92819">
            <w:pPr>
              <w:keepNext/>
              <w:spacing w:before="80" w:after="80" w:line="220" w:lineRule="exact"/>
              <w:jc w:val="right"/>
              <w:rPr>
                <w:b/>
                <w:sz w:val="18"/>
                <w:szCs w:val="24"/>
              </w:rPr>
            </w:pPr>
            <w:r>
              <w:rPr>
                <w:b/>
                <w:sz w:val="18"/>
                <w:szCs w:val="24"/>
              </w:rPr>
              <w:t>359 311</w:t>
            </w:r>
          </w:p>
        </w:tc>
        <w:tc>
          <w:tcPr>
            <w:tcW w:w="849" w:type="dxa"/>
            <w:tcBorders>
              <w:top w:val="single" w:sz="4" w:space="0" w:color="auto"/>
              <w:bottom w:val="single" w:sz="4" w:space="0" w:color="auto"/>
            </w:tcBorders>
            <w:vAlign w:val="bottom"/>
          </w:tcPr>
          <w:p w:rsidR="00F92819" w:rsidRDefault="00F92819">
            <w:pPr>
              <w:keepNext/>
              <w:spacing w:before="80" w:after="80" w:line="220" w:lineRule="exact"/>
              <w:jc w:val="right"/>
              <w:rPr>
                <w:b/>
                <w:sz w:val="18"/>
                <w:szCs w:val="24"/>
              </w:rPr>
            </w:pPr>
            <w:r>
              <w:rPr>
                <w:b/>
                <w:sz w:val="18"/>
                <w:szCs w:val="24"/>
              </w:rPr>
              <w:t>369 285</w:t>
            </w:r>
          </w:p>
        </w:tc>
      </w:tr>
      <w:tr w:rsidR="00F92819">
        <w:tc>
          <w:tcPr>
            <w:tcW w:w="4111" w:type="dxa"/>
            <w:tcBorders>
              <w:top w:val="single" w:sz="4" w:space="0" w:color="auto"/>
            </w:tcBorders>
            <w:vAlign w:val="center"/>
          </w:tcPr>
          <w:p w:rsidR="00F92819" w:rsidRDefault="00F92819">
            <w:pPr>
              <w:spacing w:before="40" w:after="40" w:line="200" w:lineRule="exact"/>
              <w:rPr>
                <w:szCs w:val="24"/>
              </w:rPr>
            </w:pPr>
            <w:r>
              <w:rPr>
                <w:i/>
                <w:sz w:val="16"/>
                <w:szCs w:val="24"/>
                <w:lang w:val="es-ES_tradnl"/>
              </w:rPr>
              <w:t>Por finalidad</w:t>
            </w:r>
          </w:p>
        </w:tc>
        <w:tc>
          <w:tcPr>
            <w:tcW w:w="803" w:type="dxa"/>
            <w:tcBorders>
              <w:top w:val="single" w:sz="4" w:space="0" w:color="auto"/>
            </w:tcBorders>
            <w:vAlign w:val="center"/>
          </w:tcPr>
          <w:p w:rsidR="00F92819" w:rsidRDefault="00F92819">
            <w:pPr>
              <w:spacing w:before="40" w:after="40" w:line="220" w:lineRule="exact"/>
              <w:jc w:val="right"/>
              <w:rPr>
                <w:sz w:val="18"/>
                <w:szCs w:val="24"/>
              </w:rPr>
            </w:pPr>
          </w:p>
        </w:tc>
        <w:tc>
          <w:tcPr>
            <w:tcW w:w="803" w:type="dxa"/>
            <w:tcBorders>
              <w:top w:val="single" w:sz="4" w:space="0" w:color="auto"/>
            </w:tcBorders>
            <w:vAlign w:val="bottom"/>
          </w:tcPr>
          <w:p w:rsidR="00F92819" w:rsidRDefault="00F92819">
            <w:pPr>
              <w:spacing w:before="40" w:after="40" w:line="220" w:lineRule="exact"/>
              <w:jc w:val="right"/>
              <w:rPr>
                <w:sz w:val="18"/>
                <w:szCs w:val="24"/>
              </w:rPr>
            </w:pPr>
          </w:p>
        </w:tc>
        <w:tc>
          <w:tcPr>
            <w:tcW w:w="804" w:type="dxa"/>
            <w:tcBorders>
              <w:top w:val="single" w:sz="4" w:space="0" w:color="auto"/>
            </w:tcBorders>
            <w:vAlign w:val="bottom"/>
          </w:tcPr>
          <w:p w:rsidR="00F92819" w:rsidRDefault="00F92819">
            <w:pPr>
              <w:spacing w:before="40" w:after="40" w:line="220" w:lineRule="exact"/>
              <w:jc w:val="right"/>
              <w:rPr>
                <w:sz w:val="18"/>
                <w:szCs w:val="24"/>
              </w:rPr>
            </w:pPr>
          </w:p>
        </w:tc>
        <w:tc>
          <w:tcPr>
            <w:tcW w:w="849" w:type="dxa"/>
            <w:tcBorders>
              <w:top w:val="single" w:sz="4" w:space="0" w:color="auto"/>
            </w:tcBorders>
            <w:vAlign w:val="bottom"/>
          </w:tcPr>
          <w:p w:rsidR="00F92819" w:rsidRDefault="00F92819">
            <w:pPr>
              <w:spacing w:before="40" w:after="40" w:line="220" w:lineRule="exact"/>
              <w:jc w:val="right"/>
              <w:rPr>
                <w:sz w:val="18"/>
                <w:szCs w:val="24"/>
              </w:rPr>
            </w:pPr>
          </w:p>
        </w:tc>
      </w:tr>
      <w:tr w:rsidR="00F92819">
        <w:tc>
          <w:tcPr>
            <w:tcW w:w="4111" w:type="dxa"/>
            <w:vAlign w:val="center"/>
          </w:tcPr>
          <w:p w:rsidR="00F92819" w:rsidRDefault="00F92819">
            <w:pPr>
              <w:spacing w:before="40" w:after="40" w:line="220" w:lineRule="exact"/>
              <w:rPr>
                <w:szCs w:val="24"/>
              </w:rPr>
            </w:pPr>
            <w:r>
              <w:rPr>
                <w:sz w:val="18"/>
                <w:szCs w:val="24"/>
                <w:lang w:val="es-ES_tradnl"/>
              </w:rPr>
              <w:t>Alimentos, bebidas y tabaco</w:t>
            </w:r>
          </w:p>
        </w:tc>
        <w:tc>
          <w:tcPr>
            <w:tcW w:w="803" w:type="dxa"/>
            <w:vAlign w:val="center"/>
          </w:tcPr>
          <w:p w:rsidR="00F92819" w:rsidRDefault="00F92819">
            <w:pPr>
              <w:spacing w:before="40" w:after="40" w:line="220" w:lineRule="exact"/>
              <w:jc w:val="right"/>
              <w:rPr>
                <w:sz w:val="18"/>
                <w:szCs w:val="24"/>
              </w:rPr>
            </w:pPr>
            <w:r>
              <w:rPr>
                <w:sz w:val="18"/>
                <w:szCs w:val="24"/>
              </w:rPr>
              <w:t>49 854</w:t>
            </w:r>
          </w:p>
        </w:tc>
        <w:tc>
          <w:tcPr>
            <w:tcW w:w="803" w:type="dxa"/>
            <w:vAlign w:val="center"/>
          </w:tcPr>
          <w:p w:rsidR="00F92819" w:rsidRDefault="00F92819">
            <w:pPr>
              <w:spacing w:before="40" w:after="40" w:line="220" w:lineRule="exact"/>
              <w:jc w:val="right"/>
              <w:rPr>
                <w:sz w:val="18"/>
                <w:szCs w:val="24"/>
              </w:rPr>
            </w:pPr>
            <w:r>
              <w:rPr>
                <w:sz w:val="18"/>
                <w:szCs w:val="24"/>
              </w:rPr>
              <w:t>55 044</w:t>
            </w:r>
          </w:p>
        </w:tc>
        <w:tc>
          <w:tcPr>
            <w:tcW w:w="804" w:type="dxa"/>
            <w:vAlign w:val="center"/>
          </w:tcPr>
          <w:p w:rsidR="00F92819" w:rsidRDefault="00F92819">
            <w:pPr>
              <w:spacing w:before="40" w:after="40" w:line="220" w:lineRule="exact"/>
              <w:jc w:val="right"/>
              <w:rPr>
                <w:sz w:val="18"/>
                <w:szCs w:val="24"/>
              </w:rPr>
            </w:pPr>
            <w:r>
              <w:rPr>
                <w:sz w:val="18"/>
                <w:szCs w:val="24"/>
              </w:rPr>
              <w:t>63 392</w:t>
            </w:r>
          </w:p>
        </w:tc>
        <w:tc>
          <w:tcPr>
            <w:tcW w:w="849" w:type="dxa"/>
            <w:vAlign w:val="center"/>
          </w:tcPr>
          <w:p w:rsidR="00F92819" w:rsidRDefault="00F92819">
            <w:pPr>
              <w:spacing w:before="40" w:after="40" w:line="220" w:lineRule="exact"/>
              <w:jc w:val="right"/>
              <w:rPr>
                <w:sz w:val="18"/>
                <w:szCs w:val="24"/>
              </w:rPr>
            </w:pPr>
            <w:r>
              <w:rPr>
                <w:sz w:val="18"/>
                <w:szCs w:val="24"/>
              </w:rPr>
              <w:t>68 486</w:t>
            </w:r>
          </w:p>
        </w:tc>
      </w:tr>
      <w:tr w:rsidR="00F92819">
        <w:tc>
          <w:tcPr>
            <w:tcW w:w="4111" w:type="dxa"/>
            <w:vAlign w:val="center"/>
          </w:tcPr>
          <w:p w:rsidR="00F92819" w:rsidRDefault="00F92819">
            <w:pPr>
              <w:spacing w:before="40" w:after="40" w:line="220" w:lineRule="exact"/>
              <w:rPr>
                <w:szCs w:val="24"/>
              </w:rPr>
            </w:pPr>
            <w:r>
              <w:rPr>
                <w:sz w:val="18"/>
                <w:szCs w:val="24"/>
                <w:lang w:val="es-ES_tradnl"/>
              </w:rPr>
              <w:t>Ropa, calzado y efectos personales</w:t>
            </w:r>
          </w:p>
        </w:tc>
        <w:tc>
          <w:tcPr>
            <w:tcW w:w="803" w:type="dxa"/>
            <w:vAlign w:val="center"/>
          </w:tcPr>
          <w:p w:rsidR="00F92819" w:rsidRDefault="00F92819">
            <w:pPr>
              <w:spacing w:before="40" w:after="40" w:line="220" w:lineRule="exact"/>
              <w:jc w:val="right"/>
              <w:rPr>
                <w:sz w:val="18"/>
                <w:szCs w:val="24"/>
              </w:rPr>
            </w:pPr>
            <w:r>
              <w:rPr>
                <w:sz w:val="18"/>
                <w:szCs w:val="24"/>
              </w:rPr>
              <w:t>10 972</w:t>
            </w:r>
          </w:p>
        </w:tc>
        <w:tc>
          <w:tcPr>
            <w:tcW w:w="803" w:type="dxa"/>
            <w:vAlign w:val="center"/>
          </w:tcPr>
          <w:p w:rsidR="00F92819" w:rsidRDefault="00F92819">
            <w:pPr>
              <w:spacing w:before="40" w:after="40" w:line="220" w:lineRule="exact"/>
              <w:jc w:val="right"/>
              <w:rPr>
                <w:sz w:val="18"/>
                <w:szCs w:val="24"/>
              </w:rPr>
            </w:pPr>
            <w:r>
              <w:rPr>
                <w:sz w:val="18"/>
                <w:szCs w:val="24"/>
              </w:rPr>
              <w:t>11 972</w:t>
            </w:r>
          </w:p>
        </w:tc>
        <w:tc>
          <w:tcPr>
            <w:tcW w:w="804" w:type="dxa"/>
            <w:vAlign w:val="center"/>
          </w:tcPr>
          <w:p w:rsidR="00F92819" w:rsidRDefault="00F92819">
            <w:pPr>
              <w:spacing w:before="40" w:after="40" w:line="220" w:lineRule="exact"/>
              <w:jc w:val="right"/>
              <w:rPr>
                <w:sz w:val="18"/>
                <w:szCs w:val="24"/>
              </w:rPr>
            </w:pPr>
            <w:r>
              <w:rPr>
                <w:sz w:val="18"/>
                <w:szCs w:val="24"/>
              </w:rPr>
              <w:t>17 354</w:t>
            </w:r>
          </w:p>
        </w:tc>
        <w:tc>
          <w:tcPr>
            <w:tcW w:w="849" w:type="dxa"/>
            <w:vAlign w:val="center"/>
          </w:tcPr>
          <w:p w:rsidR="00F92819" w:rsidRDefault="00F92819">
            <w:pPr>
              <w:spacing w:before="40" w:after="40" w:line="220" w:lineRule="exact"/>
              <w:jc w:val="right"/>
              <w:rPr>
                <w:sz w:val="18"/>
                <w:szCs w:val="24"/>
              </w:rPr>
            </w:pPr>
            <w:r>
              <w:rPr>
                <w:sz w:val="18"/>
                <w:szCs w:val="24"/>
              </w:rPr>
              <w:t>17 615</w:t>
            </w:r>
          </w:p>
        </w:tc>
      </w:tr>
      <w:tr w:rsidR="00F92819">
        <w:tc>
          <w:tcPr>
            <w:tcW w:w="4111" w:type="dxa"/>
            <w:vAlign w:val="center"/>
          </w:tcPr>
          <w:p w:rsidR="00F92819" w:rsidRDefault="00F92819">
            <w:pPr>
              <w:spacing w:before="40" w:after="40" w:line="220" w:lineRule="exact"/>
              <w:rPr>
                <w:szCs w:val="24"/>
              </w:rPr>
            </w:pPr>
            <w:r>
              <w:rPr>
                <w:sz w:val="18"/>
                <w:szCs w:val="24"/>
                <w:lang w:val="es-ES_tradnl"/>
              </w:rPr>
              <w:t>Vivienda</w:t>
            </w:r>
          </w:p>
        </w:tc>
        <w:tc>
          <w:tcPr>
            <w:tcW w:w="803" w:type="dxa"/>
            <w:vAlign w:val="center"/>
          </w:tcPr>
          <w:p w:rsidR="00F92819" w:rsidRDefault="00F92819">
            <w:pPr>
              <w:spacing w:before="40" w:after="40" w:line="220" w:lineRule="exact"/>
              <w:jc w:val="right"/>
              <w:rPr>
                <w:sz w:val="18"/>
                <w:szCs w:val="24"/>
              </w:rPr>
            </w:pPr>
            <w:r>
              <w:rPr>
                <w:sz w:val="18"/>
                <w:szCs w:val="24"/>
              </w:rPr>
              <w:t>48 747</w:t>
            </w:r>
          </w:p>
        </w:tc>
        <w:tc>
          <w:tcPr>
            <w:tcW w:w="803" w:type="dxa"/>
            <w:vAlign w:val="center"/>
          </w:tcPr>
          <w:p w:rsidR="00F92819" w:rsidRDefault="00F92819">
            <w:pPr>
              <w:spacing w:before="40" w:after="40" w:line="220" w:lineRule="exact"/>
              <w:jc w:val="right"/>
              <w:rPr>
                <w:sz w:val="18"/>
                <w:szCs w:val="24"/>
              </w:rPr>
            </w:pPr>
            <w:r>
              <w:rPr>
                <w:sz w:val="18"/>
                <w:szCs w:val="24"/>
              </w:rPr>
              <w:t>60 594</w:t>
            </w:r>
          </w:p>
        </w:tc>
        <w:tc>
          <w:tcPr>
            <w:tcW w:w="804" w:type="dxa"/>
            <w:vAlign w:val="center"/>
          </w:tcPr>
          <w:p w:rsidR="00F92819" w:rsidRDefault="00F92819">
            <w:pPr>
              <w:spacing w:before="40" w:after="40" w:line="220" w:lineRule="exact"/>
              <w:jc w:val="right"/>
              <w:rPr>
                <w:sz w:val="18"/>
                <w:szCs w:val="24"/>
              </w:rPr>
            </w:pPr>
            <w:r>
              <w:rPr>
                <w:sz w:val="18"/>
                <w:szCs w:val="24"/>
              </w:rPr>
              <w:t>69 407</w:t>
            </w:r>
          </w:p>
        </w:tc>
        <w:tc>
          <w:tcPr>
            <w:tcW w:w="849" w:type="dxa"/>
            <w:vAlign w:val="center"/>
          </w:tcPr>
          <w:p w:rsidR="00F92819" w:rsidRDefault="00F92819">
            <w:pPr>
              <w:spacing w:before="40" w:after="40" w:line="220" w:lineRule="exact"/>
              <w:jc w:val="right"/>
              <w:rPr>
                <w:sz w:val="18"/>
                <w:szCs w:val="24"/>
              </w:rPr>
            </w:pPr>
            <w:r>
              <w:rPr>
                <w:sz w:val="18"/>
                <w:szCs w:val="24"/>
              </w:rPr>
              <w:t>67 494</w:t>
            </w:r>
          </w:p>
        </w:tc>
      </w:tr>
      <w:tr w:rsidR="00F92819">
        <w:tc>
          <w:tcPr>
            <w:tcW w:w="4111" w:type="dxa"/>
            <w:vAlign w:val="center"/>
          </w:tcPr>
          <w:p w:rsidR="00F92819" w:rsidRDefault="00F92819">
            <w:pPr>
              <w:spacing w:before="40" w:after="40" w:line="220" w:lineRule="exact"/>
              <w:rPr>
                <w:szCs w:val="24"/>
              </w:rPr>
            </w:pPr>
            <w:r>
              <w:rPr>
                <w:sz w:val="18"/>
                <w:szCs w:val="24"/>
                <w:lang w:val="es-ES_tradnl"/>
              </w:rPr>
              <w:t>Consumo interno de electricidad, combustible y agua (1)</w:t>
            </w:r>
          </w:p>
        </w:tc>
        <w:tc>
          <w:tcPr>
            <w:tcW w:w="803" w:type="dxa"/>
            <w:vAlign w:val="center"/>
          </w:tcPr>
          <w:p w:rsidR="00F92819" w:rsidRDefault="00F92819">
            <w:pPr>
              <w:spacing w:before="40" w:after="40" w:line="220" w:lineRule="exact"/>
              <w:jc w:val="right"/>
              <w:rPr>
                <w:sz w:val="18"/>
                <w:szCs w:val="24"/>
              </w:rPr>
            </w:pPr>
            <w:r>
              <w:rPr>
                <w:sz w:val="18"/>
                <w:szCs w:val="24"/>
              </w:rPr>
              <w:t>9 342</w:t>
            </w:r>
          </w:p>
        </w:tc>
        <w:tc>
          <w:tcPr>
            <w:tcW w:w="803" w:type="dxa"/>
            <w:vAlign w:val="center"/>
          </w:tcPr>
          <w:p w:rsidR="00F92819" w:rsidRDefault="00F92819">
            <w:pPr>
              <w:spacing w:before="40" w:after="40" w:line="220" w:lineRule="exact"/>
              <w:jc w:val="right"/>
              <w:rPr>
                <w:sz w:val="18"/>
                <w:szCs w:val="24"/>
              </w:rPr>
            </w:pPr>
            <w:r>
              <w:rPr>
                <w:sz w:val="18"/>
                <w:szCs w:val="24"/>
              </w:rPr>
              <w:t>11 794</w:t>
            </w:r>
          </w:p>
        </w:tc>
        <w:tc>
          <w:tcPr>
            <w:tcW w:w="804" w:type="dxa"/>
            <w:vAlign w:val="center"/>
          </w:tcPr>
          <w:p w:rsidR="00F92819" w:rsidRDefault="00F92819">
            <w:pPr>
              <w:spacing w:before="40" w:after="40" w:line="220" w:lineRule="exact"/>
              <w:jc w:val="right"/>
              <w:rPr>
                <w:sz w:val="18"/>
                <w:szCs w:val="24"/>
              </w:rPr>
            </w:pPr>
            <w:r>
              <w:rPr>
                <w:sz w:val="18"/>
                <w:szCs w:val="24"/>
              </w:rPr>
              <w:t>13 213</w:t>
            </w:r>
          </w:p>
        </w:tc>
        <w:tc>
          <w:tcPr>
            <w:tcW w:w="849" w:type="dxa"/>
            <w:vAlign w:val="center"/>
          </w:tcPr>
          <w:p w:rsidR="00F92819" w:rsidRDefault="00F92819">
            <w:pPr>
              <w:spacing w:before="40" w:after="40" w:line="220" w:lineRule="exact"/>
              <w:jc w:val="right"/>
              <w:rPr>
                <w:sz w:val="18"/>
                <w:szCs w:val="24"/>
              </w:rPr>
            </w:pPr>
            <w:r>
              <w:rPr>
                <w:sz w:val="18"/>
                <w:szCs w:val="24"/>
              </w:rPr>
              <w:t>13 213</w:t>
            </w:r>
          </w:p>
        </w:tc>
      </w:tr>
      <w:tr w:rsidR="00F92819">
        <w:tc>
          <w:tcPr>
            <w:tcW w:w="4111" w:type="dxa"/>
            <w:vAlign w:val="center"/>
          </w:tcPr>
          <w:p w:rsidR="00F92819" w:rsidRDefault="00F92819">
            <w:pPr>
              <w:spacing w:before="40" w:after="40" w:line="220" w:lineRule="exact"/>
              <w:rPr>
                <w:szCs w:val="24"/>
              </w:rPr>
            </w:pPr>
            <w:r>
              <w:rPr>
                <w:sz w:val="18"/>
                <w:szCs w:val="24"/>
                <w:lang w:val="es-ES_tradnl"/>
              </w:rPr>
              <w:t>Mobiliario, accesorios y equipo de los hogares</w:t>
            </w:r>
          </w:p>
        </w:tc>
        <w:tc>
          <w:tcPr>
            <w:tcW w:w="803" w:type="dxa"/>
            <w:vAlign w:val="center"/>
          </w:tcPr>
          <w:p w:rsidR="00F92819" w:rsidRDefault="00F92819">
            <w:pPr>
              <w:spacing w:before="40" w:after="40" w:line="220" w:lineRule="exact"/>
              <w:jc w:val="right"/>
              <w:rPr>
                <w:sz w:val="18"/>
                <w:szCs w:val="24"/>
              </w:rPr>
            </w:pPr>
            <w:r>
              <w:rPr>
                <w:sz w:val="18"/>
                <w:szCs w:val="24"/>
              </w:rPr>
              <w:t>12 722</w:t>
            </w:r>
          </w:p>
        </w:tc>
        <w:tc>
          <w:tcPr>
            <w:tcW w:w="803" w:type="dxa"/>
            <w:vAlign w:val="center"/>
          </w:tcPr>
          <w:p w:rsidR="00F92819" w:rsidRDefault="00F92819">
            <w:pPr>
              <w:spacing w:before="40" w:after="40" w:line="220" w:lineRule="exact"/>
              <w:jc w:val="right"/>
              <w:rPr>
                <w:sz w:val="18"/>
                <w:szCs w:val="24"/>
              </w:rPr>
            </w:pPr>
            <w:r>
              <w:rPr>
                <w:sz w:val="18"/>
                <w:szCs w:val="24"/>
              </w:rPr>
              <w:t>16 799</w:t>
            </w:r>
          </w:p>
        </w:tc>
        <w:tc>
          <w:tcPr>
            <w:tcW w:w="804" w:type="dxa"/>
            <w:vAlign w:val="center"/>
          </w:tcPr>
          <w:p w:rsidR="00F92819" w:rsidRDefault="00F92819">
            <w:pPr>
              <w:spacing w:before="40" w:after="40" w:line="220" w:lineRule="exact"/>
              <w:jc w:val="right"/>
              <w:rPr>
                <w:sz w:val="18"/>
                <w:szCs w:val="24"/>
              </w:rPr>
            </w:pPr>
            <w:r>
              <w:rPr>
                <w:sz w:val="18"/>
                <w:szCs w:val="24"/>
              </w:rPr>
              <w:t>23 852</w:t>
            </w:r>
          </w:p>
        </w:tc>
        <w:tc>
          <w:tcPr>
            <w:tcW w:w="849" w:type="dxa"/>
            <w:vAlign w:val="center"/>
          </w:tcPr>
          <w:p w:rsidR="00F92819" w:rsidRDefault="00F92819">
            <w:pPr>
              <w:spacing w:before="40" w:after="40" w:line="220" w:lineRule="exact"/>
              <w:jc w:val="right"/>
              <w:rPr>
                <w:sz w:val="18"/>
                <w:szCs w:val="24"/>
              </w:rPr>
            </w:pPr>
            <w:r>
              <w:rPr>
                <w:sz w:val="18"/>
                <w:szCs w:val="24"/>
              </w:rPr>
              <w:t>23 081</w:t>
            </w:r>
          </w:p>
        </w:tc>
      </w:tr>
      <w:tr w:rsidR="00F92819">
        <w:tc>
          <w:tcPr>
            <w:tcW w:w="4111" w:type="dxa"/>
            <w:vAlign w:val="center"/>
          </w:tcPr>
          <w:p w:rsidR="00F92819" w:rsidRDefault="00F92819">
            <w:pPr>
              <w:spacing w:before="40" w:after="40" w:line="220" w:lineRule="exact"/>
              <w:rPr>
                <w:szCs w:val="24"/>
              </w:rPr>
            </w:pPr>
            <w:r>
              <w:rPr>
                <w:sz w:val="18"/>
                <w:szCs w:val="24"/>
                <w:lang w:val="es-ES_tradnl"/>
              </w:rPr>
              <w:t>Mantenimiento de los hogares</w:t>
            </w:r>
          </w:p>
        </w:tc>
        <w:tc>
          <w:tcPr>
            <w:tcW w:w="803" w:type="dxa"/>
            <w:vAlign w:val="center"/>
          </w:tcPr>
          <w:p w:rsidR="00F92819" w:rsidRDefault="00F92819">
            <w:pPr>
              <w:spacing w:before="40" w:after="40" w:line="220" w:lineRule="exact"/>
              <w:jc w:val="right"/>
              <w:rPr>
                <w:sz w:val="18"/>
                <w:szCs w:val="24"/>
              </w:rPr>
            </w:pPr>
            <w:r>
              <w:rPr>
                <w:sz w:val="18"/>
                <w:szCs w:val="24"/>
              </w:rPr>
              <w:t>8 755</w:t>
            </w:r>
          </w:p>
        </w:tc>
        <w:tc>
          <w:tcPr>
            <w:tcW w:w="803" w:type="dxa"/>
            <w:vAlign w:val="center"/>
          </w:tcPr>
          <w:p w:rsidR="00F92819" w:rsidRDefault="00F92819">
            <w:pPr>
              <w:spacing w:before="40" w:after="40" w:line="220" w:lineRule="exact"/>
              <w:jc w:val="right"/>
              <w:rPr>
                <w:sz w:val="18"/>
                <w:szCs w:val="24"/>
              </w:rPr>
            </w:pPr>
            <w:r>
              <w:rPr>
                <w:sz w:val="18"/>
                <w:szCs w:val="24"/>
              </w:rPr>
              <w:t>11 108</w:t>
            </w:r>
          </w:p>
        </w:tc>
        <w:tc>
          <w:tcPr>
            <w:tcW w:w="804" w:type="dxa"/>
            <w:vAlign w:val="center"/>
          </w:tcPr>
          <w:p w:rsidR="00F92819" w:rsidRDefault="00F92819">
            <w:pPr>
              <w:spacing w:before="40" w:after="40" w:line="220" w:lineRule="exact"/>
              <w:jc w:val="right"/>
              <w:rPr>
                <w:sz w:val="18"/>
                <w:szCs w:val="24"/>
              </w:rPr>
            </w:pPr>
            <w:r>
              <w:rPr>
                <w:sz w:val="18"/>
                <w:szCs w:val="24"/>
              </w:rPr>
              <w:t>12 586</w:t>
            </w:r>
          </w:p>
        </w:tc>
        <w:tc>
          <w:tcPr>
            <w:tcW w:w="849" w:type="dxa"/>
            <w:vAlign w:val="center"/>
          </w:tcPr>
          <w:p w:rsidR="00F92819" w:rsidRDefault="00F92819">
            <w:pPr>
              <w:spacing w:before="40" w:after="40" w:line="220" w:lineRule="exact"/>
              <w:jc w:val="right"/>
              <w:rPr>
                <w:sz w:val="18"/>
                <w:szCs w:val="24"/>
              </w:rPr>
            </w:pPr>
            <w:r>
              <w:rPr>
                <w:sz w:val="18"/>
                <w:szCs w:val="24"/>
              </w:rPr>
              <w:t>12 890</w:t>
            </w:r>
          </w:p>
        </w:tc>
      </w:tr>
      <w:tr w:rsidR="00F92819">
        <w:tc>
          <w:tcPr>
            <w:tcW w:w="4111" w:type="dxa"/>
            <w:vAlign w:val="center"/>
          </w:tcPr>
          <w:p w:rsidR="00F92819" w:rsidRDefault="00F92819">
            <w:pPr>
              <w:spacing w:before="40" w:after="40" w:line="220" w:lineRule="exact"/>
              <w:rPr>
                <w:szCs w:val="24"/>
              </w:rPr>
            </w:pPr>
            <w:r>
              <w:rPr>
                <w:sz w:val="18"/>
                <w:szCs w:val="24"/>
                <w:lang w:val="es-ES_tradnl"/>
              </w:rPr>
              <w:t>Atención personal y salud</w:t>
            </w:r>
          </w:p>
        </w:tc>
        <w:tc>
          <w:tcPr>
            <w:tcW w:w="803" w:type="dxa"/>
            <w:vAlign w:val="center"/>
          </w:tcPr>
          <w:p w:rsidR="00F92819" w:rsidRDefault="00F92819">
            <w:pPr>
              <w:spacing w:before="40" w:after="40" w:line="220" w:lineRule="exact"/>
              <w:jc w:val="right"/>
              <w:rPr>
                <w:sz w:val="18"/>
                <w:szCs w:val="24"/>
              </w:rPr>
            </w:pPr>
            <w:r>
              <w:rPr>
                <w:sz w:val="18"/>
                <w:szCs w:val="24"/>
              </w:rPr>
              <w:t>13 954</w:t>
            </w:r>
          </w:p>
        </w:tc>
        <w:tc>
          <w:tcPr>
            <w:tcW w:w="803" w:type="dxa"/>
            <w:vAlign w:val="center"/>
          </w:tcPr>
          <w:p w:rsidR="00F92819" w:rsidRDefault="00F92819">
            <w:pPr>
              <w:spacing w:before="40" w:after="40" w:line="220" w:lineRule="exact"/>
              <w:jc w:val="right"/>
              <w:rPr>
                <w:sz w:val="18"/>
                <w:szCs w:val="24"/>
              </w:rPr>
            </w:pPr>
            <w:r>
              <w:rPr>
                <w:sz w:val="18"/>
                <w:szCs w:val="24"/>
              </w:rPr>
              <w:t>18 680</w:t>
            </w:r>
          </w:p>
        </w:tc>
        <w:tc>
          <w:tcPr>
            <w:tcW w:w="804" w:type="dxa"/>
            <w:vAlign w:val="center"/>
          </w:tcPr>
          <w:p w:rsidR="00F92819" w:rsidRDefault="00F92819">
            <w:pPr>
              <w:spacing w:before="40" w:after="40" w:line="220" w:lineRule="exact"/>
              <w:jc w:val="right"/>
              <w:rPr>
                <w:sz w:val="18"/>
                <w:szCs w:val="24"/>
              </w:rPr>
            </w:pPr>
            <w:r>
              <w:rPr>
                <w:sz w:val="18"/>
                <w:szCs w:val="24"/>
              </w:rPr>
              <w:t>23 597</w:t>
            </w:r>
          </w:p>
        </w:tc>
        <w:tc>
          <w:tcPr>
            <w:tcW w:w="849" w:type="dxa"/>
            <w:vAlign w:val="center"/>
          </w:tcPr>
          <w:p w:rsidR="00F92819" w:rsidRDefault="00F92819">
            <w:pPr>
              <w:spacing w:before="40" w:after="40" w:line="220" w:lineRule="exact"/>
              <w:jc w:val="right"/>
              <w:rPr>
                <w:sz w:val="18"/>
                <w:szCs w:val="24"/>
              </w:rPr>
            </w:pPr>
            <w:r>
              <w:rPr>
                <w:sz w:val="18"/>
                <w:szCs w:val="24"/>
              </w:rPr>
              <w:t>24 518</w:t>
            </w:r>
          </w:p>
        </w:tc>
      </w:tr>
      <w:tr w:rsidR="00F92819">
        <w:tc>
          <w:tcPr>
            <w:tcW w:w="4111" w:type="dxa"/>
            <w:vAlign w:val="center"/>
          </w:tcPr>
          <w:p w:rsidR="00F92819" w:rsidRDefault="00F92819">
            <w:pPr>
              <w:spacing w:before="40" w:after="40" w:line="220" w:lineRule="exact"/>
              <w:rPr>
                <w:szCs w:val="24"/>
              </w:rPr>
            </w:pPr>
            <w:r>
              <w:rPr>
                <w:sz w:val="18"/>
                <w:szCs w:val="24"/>
                <w:lang w:val="es-ES_tradnl"/>
              </w:rPr>
              <w:t>Transporte y comunicaciones</w:t>
            </w:r>
          </w:p>
        </w:tc>
        <w:tc>
          <w:tcPr>
            <w:tcW w:w="803" w:type="dxa"/>
            <w:vAlign w:val="center"/>
          </w:tcPr>
          <w:p w:rsidR="00F92819" w:rsidRDefault="00F92819">
            <w:pPr>
              <w:spacing w:before="40" w:after="40" w:line="220" w:lineRule="exact"/>
              <w:jc w:val="right"/>
              <w:rPr>
                <w:sz w:val="18"/>
                <w:szCs w:val="24"/>
              </w:rPr>
            </w:pPr>
            <w:r>
              <w:rPr>
                <w:sz w:val="18"/>
                <w:szCs w:val="24"/>
              </w:rPr>
              <w:t>42 737</w:t>
            </w:r>
          </w:p>
        </w:tc>
        <w:tc>
          <w:tcPr>
            <w:tcW w:w="803" w:type="dxa"/>
            <w:vAlign w:val="center"/>
          </w:tcPr>
          <w:p w:rsidR="00F92819" w:rsidRDefault="00F92819">
            <w:pPr>
              <w:spacing w:before="40" w:after="40" w:line="220" w:lineRule="exact"/>
              <w:jc w:val="right"/>
              <w:rPr>
                <w:sz w:val="18"/>
                <w:szCs w:val="24"/>
              </w:rPr>
            </w:pPr>
            <w:r>
              <w:rPr>
                <w:sz w:val="18"/>
                <w:szCs w:val="24"/>
              </w:rPr>
              <w:t>53 132</w:t>
            </w:r>
          </w:p>
        </w:tc>
        <w:tc>
          <w:tcPr>
            <w:tcW w:w="804" w:type="dxa"/>
            <w:vAlign w:val="center"/>
          </w:tcPr>
          <w:p w:rsidR="00F92819" w:rsidRDefault="00F92819">
            <w:pPr>
              <w:spacing w:before="40" w:after="40" w:line="220" w:lineRule="exact"/>
              <w:jc w:val="right"/>
              <w:rPr>
                <w:sz w:val="18"/>
                <w:szCs w:val="24"/>
              </w:rPr>
            </w:pPr>
            <w:r>
              <w:rPr>
                <w:sz w:val="18"/>
                <w:szCs w:val="24"/>
              </w:rPr>
              <w:t>66 801</w:t>
            </w:r>
          </w:p>
        </w:tc>
        <w:tc>
          <w:tcPr>
            <w:tcW w:w="849" w:type="dxa"/>
            <w:vAlign w:val="center"/>
          </w:tcPr>
          <w:p w:rsidR="00F92819" w:rsidRDefault="00F92819">
            <w:pPr>
              <w:spacing w:before="40" w:after="40" w:line="220" w:lineRule="exact"/>
              <w:jc w:val="right"/>
              <w:rPr>
                <w:sz w:val="18"/>
                <w:szCs w:val="24"/>
              </w:rPr>
            </w:pPr>
            <w:r>
              <w:rPr>
                <w:sz w:val="18"/>
                <w:szCs w:val="24"/>
              </w:rPr>
              <w:t>69 564</w:t>
            </w:r>
          </w:p>
        </w:tc>
      </w:tr>
      <w:tr w:rsidR="00F92819">
        <w:tc>
          <w:tcPr>
            <w:tcW w:w="4111" w:type="dxa"/>
            <w:vAlign w:val="center"/>
          </w:tcPr>
          <w:p w:rsidR="00F92819" w:rsidRDefault="00F92819">
            <w:pPr>
              <w:spacing w:before="40" w:after="40" w:line="220" w:lineRule="exact"/>
              <w:rPr>
                <w:szCs w:val="24"/>
              </w:rPr>
            </w:pPr>
            <w:r>
              <w:rPr>
                <w:sz w:val="18"/>
                <w:szCs w:val="24"/>
                <w:lang w:val="es-ES_tradnl"/>
              </w:rPr>
              <w:t>Esparcimiento y diversiones</w:t>
            </w:r>
          </w:p>
        </w:tc>
        <w:tc>
          <w:tcPr>
            <w:tcW w:w="803" w:type="dxa"/>
            <w:vAlign w:val="center"/>
          </w:tcPr>
          <w:p w:rsidR="00F92819" w:rsidRDefault="00F92819">
            <w:pPr>
              <w:spacing w:before="40" w:after="40" w:line="220" w:lineRule="exact"/>
              <w:jc w:val="right"/>
              <w:rPr>
                <w:sz w:val="18"/>
                <w:szCs w:val="24"/>
              </w:rPr>
            </w:pPr>
            <w:r>
              <w:rPr>
                <w:sz w:val="18"/>
                <w:szCs w:val="24"/>
              </w:rPr>
              <w:t>29 504</w:t>
            </w:r>
          </w:p>
        </w:tc>
        <w:tc>
          <w:tcPr>
            <w:tcW w:w="803" w:type="dxa"/>
            <w:vAlign w:val="center"/>
          </w:tcPr>
          <w:p w:rsidR="00F92819" w:rsidRDefault="00F92819">
            <w:pPr>
              <w:spacing w:before="40" w:after="40" w:line="220" w:lineRule="exact"/>
              <w:jc w:val="right"/>
              <w:rPr>
                <w:sz w:val="18"/>
                <w:szCs w:val="24"/>
              </w:rPr>
            </w:pPr>
            <w:r>
              <w:rPr>
                <w:sz w:val="18"/>
                <w:szCs w:val="24"/>
              </w:rPr>
              <w:t>28 641</w:t>
            </w:r>
          </w:p>
        </w:tc>
        <w:tc>
          <w:tcPr>
            <w:tcW w:w="804" w:type="dxa"/>
            <w:vAlign w:val="center"/>
          </w:tcPr>
          <w:p w:rsidR="00F92819" w:rsidRDefault="00F92819">
            <w:pPr>
              <w:spacing w:before="40" w:after="40" w:line="220" w:lineRule="exact"/>
              <w:jc w:val="right"/>
              <w:rPr>
                <w:sz w:val="18"/>
                <w:szCs w:val="24"/>
              </w:rPr>
            </w:pPr>
            <w:r>
              <w:rPr>
                <w:sz w:val="18"/>
                <w:szCs w:val="24"/>
              </w:rPr>
              <w:t>37 740</w:t>
            </w:r>
          </w:p>
        </w:tc>
        <w:tc>
          <w:tcPr>
            <w:tcW w:w="849" w:type="dxa"/>
            <w:vAlign w:val="center"/>
          </w:tcPr>
          <w:p w:rsidR="00F92819" w:rsidRDefault="00F92819">
            <w:pPr>
              <w:spacing w:before="40" w:after="40" w:line="220" w:lineRule="exact"/>
              <w:jc w:val="right"/>
              <w:rPr>
                <w:sz w:val="18"/>
                <w:szCs w:val="24"/>
              </w:rPr>
            </w:pPr>
            <w:r>
              <w:rPr>
                <w:sz w:val="18"/>
                <w:szCs w:val="24"/>
              </w:rPr>
              <w:t>39 858</w:t>
            </w:r>
          </w:p>
        </w:tc>
      </w:tr>
      <w:tr w:rsidR="00F92819">
        <w:tc>
          <w:tcPr>
            <w:tcW w:w="4111" w:type="dxa"/>
            <w:vAlign w:val="center"/>
          </w:tcPr>
          <w:p w:rsidR="00F92819" w:rsidRDefault="00F92819">
            <w:pPr>
              <w:spacing w:before="40" w:after="40" w:line="220" w:lineRule="exact"/>
              <w:rPr>
                <w:szCs w:val="24"/>
              </w:rPr>
            </w:pPr>
            <w:r>
              <w:rPr>
                <w:sz w:val="18"/>
                <w:szCs w:val="24"/>
                <w:lang w:val="es-ES_tradnl"/>
              </w:rPr>
              <w:t>Otros bienes y servicios</w:t>
            </w:r>
          </w:p>
        </w:tc>
        <w:tc>
          <w:tcPr>
            <w:tcW w:w="803" w:type="dxa"/>
            <w:vAlign w:val="center"/>
          </w:tcPr>
          <w:p w:rsidR="00F92819" w:rsidRDefault="00F92819">
            <w:pPr>
              <w:spacing w:before="40" w:after="40" w:line="220" w:lineRule="exact"/>
              <w:jc w:val="right"/>
              <w:rPr>
                <w:sz w:val="18"/>
                <w:szCs w:val="24"/>
              </w:rPr>
            </w:pPr>
            <w:r>
              <w:rPr>
                <w:sz w:val="18"/>
                <w:szCs w:val="24"/>
              </w:rPr>
              <w:t>23 075</w:t>
            </w:r>
          </w:p>
        </w:tc>
        <w:tc>
          <w:tcPr>
            <w:tcW w:w="803" w:type="dxa"/>
            <w:vAlign w:val="center"/>
          </w:tcPr>
          <w:p w:rsidR="00F92819" w:rsidRDefault="00F92819">
            <w:pPr>
              <w:spacing w:before="40" w:after="40" w:line="220" w:lineRule="exact"/>
              <w:jc w:val="right"/>
              <w:rPr>
                <w:sz w:val="18"/>
                <w:szCs w:val="24"/>
              </w:rPr>
            </w:pPr>
            <w:r>
              <w:rPr>
                <w:sz w:val="18"/>
                <w:szCs w:val="24"/>
              </w:rPr>
              <w:t>27 071</w:t>
            </w:r>
          </w:p>
        </w:tc>
        <w:tc>
          <w:tcPr>
            <w:tcW w:w="804" w:type="dxa"/>
            <w:vAlign w:val="center"/>
          </w:tcPr>
          <w:p w:rsidR="00F92819" w:rsidRDefault="00F92819">
            <w:pPr>
              <w:spacing w:before="40" w:after="40" w:line="220" w:lineRule="exact"/>
              <w:jc w:val="right"/>
              <w:rPr>
                <w:sz w:val="18"/>
                <w:szCs w:val="24"/>
              </w:rPr>
            </w:pPr>
            <w:r>
              <w:rPr>
                <w:sz w:val="18"/>
                <w:szCs w:val="24"/>
              </w:rPr>
              <w:t>31 324</w:t>
            </w:r>
          </w:p>
        </w:tc>
        <w:tc>
          <w:tcPr>
            <w:tcW w:w="849" w:type="dxa"/>
            <w:vAlign w:val="center"/>
          </w:tcPr>
          <w:p w:rsidR="00F92819" w:rsidRDefault="00F92819">
            <w:pPr>
              <w:spacing w:before="40" w:after="40" w:line="220" w:lineRule="exact"/>
              <w:jc w:val="right"/>
              <w:rPr>
                <w:sz w:val="18"/>
                <w:szCs w:val="24"/>
              </w:rPr>
            </w:pPr>
            <w:r>
              <w:rPr>
                <w:sz w:val="18"/>
                <w:szCs w:val="24"/>
              </w:rPr>
              <w:t>32 567</w:t>
            </w:r>
          </w:p>
        </w:tc>
      </w:tr>
      <w:tr w:rsidR="00F92819">
        <w:tc>
          <w:tcPr>
            <w:tcW w:w="4111" w:type="dxa"/>
            <w:tcBorders>
              <w:bottom w:val="single" w:sz="4" w:space="0" w:color="auto"/>
            </w:tcBorders>
          </w:tcPr>
          <w:p w:rsidR="00F92819" w:rsidRDefault="00F92819">
            <w:pPr>
              <w:spacing w:before="80" w:after="80" w:line="200" w:lineRule="exact"/>
              <w:rPr>
                <w:szCs w:val="24"/>
              </w:rPr>
            </w:pPr>
            <w:r>
              <w:rPr>
                <w:i/>
                <w:sz w:val="16"/>
                <w:szCs w:val="24"/>
                <w:lang w:val="es-ES_tradnl"/>
              </w:rPr>
              <w:t>Por tipo</w:t>
            </w:r>
          </w:p>
        </w:tc>
        <w:tc>
          <w:tcPr>
            <w:tcW w:w="803" w:type="dxa"/>
            <w:tcBorders>
              <w:bottom w:val="single" w:sz="4" w:space="0" w:color="auto"/>
            </w:tcBorders>
            <w:vAlign w:val="center"/>
          </w:tcPr>
          <w:p w:rsidR="00F92819" w:rsidRDefault="00F92819">
            <w:pPr>
              <w:spacing w:before="40" w:after="40" w:line="220" w:lineRule="exact"/>
              <w:jc w:val="right"/>
              <w:rPr>
                <w:sz w:val="18"/>
                <w:szCs w:val="24"/>
              </w:rPr>
            </w:pPr>
          </w:p>
        </w:tc>
        <w:tc>
          <w:tcPr>
            <w:tcW w:w="803" w:type="dxa"/>
            <w:tcBorders>
              <w:bottom w:val="single" w:sz="4" w:space="0" w:color="auto"/>
            </w:tcBorders>
            <w:vAlign w:val="center"/>
          </w:tcPr>
          <w:p w:rsidR="00F92819" w:rsidRDefault="00F92819">
            <w:pPr>
              <w:spacing w:before="40" w:after="40" w:line="220" w:lineRule="exact"/>
              <w:jc w:val="right"/>
              <w:rPr>
                <w:sz w:val="18"/>
                <w:szCs w:val="24"/>
              </w:rPr>
            </w:pPr>
          </w:p>
        </w:tc>
        <w:tc>
          <w:tcPr>
            <w:tcW w:w="804" w:type="dxa"/>
            <w:tcBorders>
              <w:bottom w:val="single" w:sz="4" w:space="0" w:color="auto"/>
            </w:tcBorders>
            <w:vAlign w:val="center"/>
          </w:tcPr>
          <w:p w:rsidR="00F92819" w:rsidRDefault="00F92819">
            <w:pPr>
              <w:spacing w:before="40" w:after="40" w:line="220" w:lineRule="exact"/>
              <w:jc w:val="right"/>
              <w:rPr>
                <w:sz w:val="18"/>
                <w:szCs w:val="24"/>
              </w:rPr>
            </w:pPr>
          </w:p>
        </w:tc>
        <w:tc>
          <w:tcPr>
            <w:tcW w:w="849" w:type="dxa"/>
            <w:tcBorders>
              <w:bottom w:val="single" w:sz="4" w:space="0" w:color="auto"/>
            </w:tcBorders>
            <w:vAlign w:val="center"/>
          </w:tcPr>
          <w:p w:rsidR="00F92819" w:rsidRDefault="00F92819">
            <w:pPr>
              <w:spacing w:before="40" w:after="40" w:line="220" w:lineRule="exact"/>
              <w:jc w:val="right"/>
              <w:rPr>
                <w:sz w:val="18"/>
                <w:szCs w:val="24"/>
              </w:rPr>
            </w:pPr>
          </w:p>
        </w:tc>
      </w:tr>
      <w:tr w:rsidR="00F92819">
        <w:tc>
          <w:tcPr>
            <w:tcW w:w="4111" w:type="dxa"/>
            <w:tcBorders>
              <w:top w:val="single" w:sz="4" w:space="0" w:color="auto"/>
              <w:bottom w:val="single" w:sz="4" w:space="0" w:color="auto"/>
            </w:tcBorders>
            <w:vAlign w:val="center"/>
          </w:tcPr>
          <w:p w:rsidR="00F92819" w:rsidRDefault="00F92819">
            <w:pPr>
              <w:spacing w:before="80" w:after="80" w:line="220" w:lineRule="exact"/>
              <w:rPr>
                <w:szCs w:val="24"/>
              </w:rPr>
            </w:pPr>
            <w:r>
              <w:rPr>
                <w:b/>
                <w:sz w:val="18"/>
                <w:szCs w:val="24"/>
                <w:lang w:val="es-ES_tradnl"/>
              </w:rPr>
              <w:t>Total de bienes duraderos</w:t>
            </w:r>
          </w:p>
        </w:tc>
        <w:tc>
          <w:tcPr>
            <w:tcW w:w="803"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22 980</w:t>
            </w:r>
          </w:p>
        </w:tc>
        <w:tc>
          <w:tcPr>
            <w:tcW w:w="803"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27 580</w:t>
            </w:r>
          </w:p>
        </w:tc>
        <w:tc>
          <w:tcPr>
            <w:tcW w:w="804"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37 096</w:t>
            </w:r>
          </w:p>
        </w:tc>
        <w:tc>
          <w:tcPr>
            <w:tcW w:w="849"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36 964</w:t>
            </w:r>
          </w:p>
        </w:tc>
      </w:tr>
      <w:tr w:rsidR="00F92819">
        <w:tc>
          <w:tcPr>
            <w:tcW w:w="4111" w:type="dxa"/>
            <w:tcBorders>
              <w:top w:val="single" w:sz="4" w:space="0" w:color="auto"/>
            </w:tcBorders>
            <w:vAlign w:val="center"/>
          </w:tcPr>
          <w:p w:rsidR="00F92819" w:rsidRDefault="00F92819">
            <w:pPr>
              <w:spacing w:before="40" w:after="40" w:line="220" w:lineRule="exact"/>
              <w:rPr>
                <w:szCs w:val="24"/>
              </w:rPr>
            </w:pPr>
            <w:r>
              <w:rPr>
                <w:sz w:val="18"/>
                <w:szCs w:val="24"/>
                <w:lang w:val="es-ES_tradnl"/>
              </w:rPr>
              <w:t>Muebles</w:t>
            </w:r>
          </w:p>
        </w:tc>
        <w:tc>
          <w:tcPr>
            <w:tcW w:w="803"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6 102</w:t>
            </w:r>
          </w:p>
        </w:tc>
        <w:tc>
          <w:tcPr>
            <w:tcW w:w="803"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7 128</w:t>
            </w:r>
          </w:p>
        </w:tc>
        <w:tc>
          <w:tcPr>
            <w:tcW w:w="804"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8 160</w:t>
            </w:r>
          </w:p>
        </w:tc>
        <w:tc>
          <w:tcPr>
            <w:tcW w:w="84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8 400</w:t>
            </w:r>
          </w:p>
        </w:tc>
      </w:tr>
      <w:tr w:rsidR="00F92819">
        <w:tc>
          <w:tcPr>
            <w:tcW w:w="4111" w:type="dxa"/>
            <w:vAlign w:val="center"/>
          </w:tcPr>
          <w:p w:rsidR="00F92819" w:rsidRDefault="00F92819">
            <w:pPr>
              <w:spacing w:before="40" w:after="40" w:line="220" w:lineRule="exact"/>
              <w:rPr>
                <w:szCs w:val="24"/>
              </w:rPr>
            </w:pPr>
            <w:r>
              <w:rPr>
                <w:sz w:val="18"/>
                <w:szCs w:val="24"/>
                <w:lang w:val="es-ES_tradnl"/>
              </w:rPr>
              <w:t>Equipo de los hogares</w:t>
            </w:r>
          </w:p>
        </w:tc>
        <w:tc>
          <w:tcPr>
            <w:tcW w:w="803" w:type="dxa"/>
            <w:vAlign w:val="center"/>
          </w:tcPr>
          <w:p w:rsidR="00F92819" w:rsidRDefault="00F92819">
            <w:pPr>
              <w:spacing w:before="40" w:after="40" w:line="220" w:lineRule="exact"/>
              <w:jc w:val="right"/>
              <w:rPr>
                <w:sz w:val="18"/>
                <w:szCs w:val="24"/>
              </w:rPr>
            </w:pPr>
            <w:r>
              <w:rPr>
                <w:sz w:val="18"/>
                <w:szCs w:val="24"/>
              </w:rPr>
              <w:t>6 755</w:t>
            </w:r>
          </w:p>
        </w:tc>
        <w:tc>
          <w:tcPr>
            <w:tcW w:w="803" w:type="dxa"/>
            <w:vAlign w:val="center"/>
          </w:tcPr>
          <w:p w:rsidR="00F92819" w:rsidRDefault="00F92819">
            <w:pPr>
              <w:spacing w:before="40" w:after="40" w:line="220" w:lineRule="exact"/>
              <w:jc w:val="right"/>
              <w:rPr>
                <w:sz w:val="18"/>
                <w:szCs w:val="24"/>
              </w:rPr>
            </w:pPr>
            <w:r>
              <w:rPr>
                <w:sz w:val="18"/>
                <w:szCs w:val="24"/>
              </w:rPr>
              <w:t>9 691</w:t>
            </w:r>
          </w:p>
        </w:tc>
        <w:tc>
          <w:tcPr>
            <w:tcW w:w="804" w:type="dxa"/>
            <w:vAlign w:val="center"/>
          </w:tcPr>
          <w:p w:rsidR="00F92819" w:rsidRDefault="00F92819">
            <w:pPr>
              <w:spacing w:before="40" w:after="40" w:line="220" w:lineRule="exact"/>
              <w:jc w:val="right"/>
              <w:rPr>
                <w:sz w:val="18"/>
                <w:szCs w:val="24"/>
              </w:rPr>
            </w:pPr>
            <w:r>
              <w:rPr>
                <w:sz w:val="18"/>
                <w:szCs w:val="24"/>
              </w:rPr>
              <w:t>15 699</w:t>
            </w:r>
          </w:p>
        </w:tc>
        <w:tc>
          <w:tcPr>
            <w:tcW w:w="849" w:type="dxa"/>
            <w:vAlign w:val="center"/>
          </w:tcPr>
          <w:p w:rsidR="00F92819" w:rsidRDefault="00F92819">
            <w:pPr>
              <w:spacing w:before="40" w:after="40" w:line="220" w:lineRule="exact"/>
              <w:jc w:val="right"/>
              <w:rPr>
                <w:sz w:val="18"/>
                <w:szCs w:val="24"/>
              </w:rPr>
            </w:pPr>
            <w:r>
              <w:rPr>
                <w:sz w:val="18"/>
                <w:szCs w:val="24"/>
              </w:rPr>
              <w:t>14 681</w:t>
            </w:r>
          </w:p>
        </w:tc>
      </w:tr>
      <w:tr w:rsidR="00F92819">
        <w:tc>
          <w:tcPr>
            <w:tcW w:w="4111" w:type="dxa"/>
            <w:tcBorders>
              <w:bottom w:val="single" w:sz="4" w:space="0" w:color="auto"/>
            </w:tcBorders>
            <w:vAlign w:val="center"/>
          </w:tcPr>
          <w:p w:rsidR="00F92819" w:rsidRDefault="00F92819">
            <w:pPr>
              <w:spacing w:before="40" w:after="40" w:line="220" w:lineRule="exact"/>
              <w:rPr>
                <w:szCs w:val="24"/>
              </w:rPr>
            </w:pPr>
            <w:r>
              <w:rPr>
                <w:sz w:val="18"/>
                <w:szCs w:val="24"/>
                <w:lang w:val="es-ES_tradnl"/>
              </w:rPr>
              <w:t>Equipo de transporte personal</w:t>
            </w:r>
          </w:p>
        </w:tc>
        <w:tc>
          <w:tcPr>
            <w:tcW w:w="803"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11 141</w:t>
            </w:r>
          </w:p>
        </w:tc>
        <w:tc>
          <w:tcPr>
            <w:tcW w:w="803"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11 034</w:t>
            </w:r>
          </w:p>
        </w:tc>
        <w:tc>
          <w:tcPr>
            <w:tcW w:w="804"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13 224</w:t>
            </w:r>
          </w:p>
        </w:tc>
        <w:tc>
          <w:tcPr>
            <w:tcW w:w="849"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13 883</w:t>
            </w:r>
          </w:p>
        </w:tc>
      </w:tr>
      <w:tr w:rsidR="00F92819">
        <w:tc>
          <w:tcPr>
            <w:tcW w:w="4111" w:type="dxa"/>
            <w:tcBorders>
              <w:top w:val="single" w:sz="4" w:space="0" w:color="auto"/>
              <w:bottom w:val="single" w:sz="4" w:space="0" w:color="auto"/>
            </w:tcBorders>
            <w:vAlign w:val="center"/>
          </w:tcPr>
          <w:p w:rsidR="00F92819" w:rsidRDefault="00F92819">
            <w:pPr>
              <w:spacing w:before="80" w:after="80" w:line="220" w:lineRule="exact"/>
              <w:rPr>
                <w:szCs w:val="24"/>
              </w:rPr>
            </w:pPr>
            <w:r>
              <w:rPr>
                <w:b/>
                <w:sz w:val="18"/>
                <w:szCs w:val="24"/>
                <w:lang w:val="es-ES_tradnl"/>
              </w:rPr>
              <w:t>Total de bienes perecederos</w:t>
            </w:r>
          </w:p>
        </w:tc>
        <w:tc>
          <w:tcPr>
            <w:tcW w:w="803"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94 005</w:t>
            </w:r>
          </w:p>
        </w:tc>
        <w:tc>
          <w:tcPr>
            <w:tcW w:w="803"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106 476</w:t>
            </w:r>
          </w:p>
        </w:tc>
        <w:tc>
          <w:tcPr>
            <w:tcW w:w="804"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128 191</w:t>
            </w:r>
          </w:p>
        </w:tc>
        <w:tc>
          <w:tcPr>
            <w:tcW w:w="849"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135 154</w:t>
            </w:r>
          </w:p>
        </w:tc>
      </w:tr>
      <w:tr w:rsidR="00F92819">
        <w:tc>
          <w:tcPr>
            <w:tcW w:w="4111" w:type="dxa"/>
            <w:tcBorders>
              <w:top w:val="single" w:sz="4" w:space="0" w:color="auto"/>
            </w:tcBorders>
            <w:vAlign w:val="center"/>
          </w:tcPr>
          <w:p w:rsidR="00F92819" w:rsidRDefault="00F92819">
            <w:pPr>
              <w:spacing w:before="40" w:after="40" w:line="220" w:lineRule="exact"/>
              <w:rPr>
                <w:szCs w:val="24"/>
              </w:rPr>
            </w:pPr>
            <w:r>
              <w:rPr>
                <w:sz w:val="18"/>
                <w:szCs w:val="24"/>
                <w:lang w:val="es-ES_tradnl"/>
              </w:rPr>
              <w:t>Alimentos, bebidas y tabaco</w:t>
            </w:r>
          </w:p>
        </w:tc>
        <w:tc>
          <w:tcPr>
            <w:tcW w:w="803"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49 854</w:t>
            </w:r>
          </w:p>
        </w:tc>
        <w:tc>
          <w:tcPr>
            <w:tcW w:w="803"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55 044</w:t>
            </w:r>
          </w:p>
        </w:tc>
        <w:tc>
          <w:tcPr>
            <w:tcW w:w="804"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63 392</w:t>
            </w:r>
          </w:p>
        </w:tc>
        <w:tc>
          <w:tcPr>
            <w:tcW w:w="84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68 486</w:t>
            </w:r>
          </w:p>
        </w:tc>
      </w:tr>
      <w:tr w:rsidR="00F92819">
        <w:tc>
          <w:tcPr>
            <w:tcW w:w="4111" w:type="dxa"/>
            <w:vAlign w:val="center"/>
          </w:tcPr>
          <w:p w:rsidR="00F92819" w:rsidRDefault="00F92819">
            <w:pPr>
              <w:spacing w:before="40" w:after="40" w:line="220" w:lineRule="exact"/>
              <w:rPr>
                <w:szCs w:val="24"/>
              </w:rPr>
            </w:pPr>
            <w:r>
              <w:rPr>
                <w:sz w:val="18"/>
                <w:szCs w:val="24"/>
                <w:lang w:val="es-ES_tradnl"/>
              </w:rPr>
              <w:t>Combustible, electricidad y agua</w:t>
            </w:r>
          </w:p>
        </w:tc>
        <w:tc>
          <w:tcPr>
            <w:tcW w:w="803" w:type="dxa"/>
            <w:vAlign w:val="center"/>
          </w:tcPr>
          <w:p w:rsidR="00F92819" w:rsidRDefault="00F92819">
            <w:pPr>
              <w:spacing w:before="40" w:after="40" w:line="220" w:lineRule="exact"/>
              <w:jc w:val="right"/>
              <w:rPr>
                <w:sz w:val="18"/>
                <w:szCs w:val="24"/>
              </w:rPr>
            </w:pPr>
            <w:r>
              <w:rPr>
                <w:sz w:val="18"/>
                <w:szCs w:val="24"/>
              </w:rPr>
              <w:t>18 930</w:t>
            </w:r>
          </w:p>
        </w:tc>
        <w:tc>
          <w:tcPr>
            <w:tcW w:w="803" w:type="dxa"/>
            <w:vAlign w:val="center"/>
          </w:tcPr>
          <w:p w:rsidR="00F92819" w:rsidRDefault="00F92819">
            <w:pPr>
              <w:spacing w:before="40" w:after="40" w:line="220" w:lineRule="exact"/>
              <w:jc w:val="right"/>
              <w:rPr>
                <w:sz w:val="18"/>
                <w:szCs w:val="24"/>
              </w:rPr>
            </w:pPr>
            <w:r>
              <w:rPr>
                <w:sz w:val="18"/>
                <w:szCs w:val="24"/>
              </w:rPr>
              <w:t>21 446</w:t>
            </w:r>
          </w:p>
        </w:tc>
        <w:tc>
          <w:tcPr>
            <w:tcW w:w="804" w:type="dxa"/>
            <w:vAlign w:val="center"/>
          </w:tcPr>
          <w:p w:rsidR="00F92819" w:rsidRDefault="00F92819">
            <w:pPr>
              <w:spacing w:before="40" w:after="40" w:line="220" w:lineRule="exact"/>
              <w:jc w:val="right"/>
              <w:rPr>
                <w:sz w:val="18"/>
                <w:szCs w:val="24"/>
              </w:rPr>
            </w:pPr>
            <w:r>
              <w:rPr>
                <w:sz w:val="18"/>
                <w:szCs w:val="24"/>
              </w:rPr>
              <w:t>25 121</w:t>
            </w:r>
          </w:p>
        </w:tc>
        <w:tc>
          <w:tcPr>
            <w:tcW w:w="849" w:type="dxa"/>
            <w:vAlign w:val="center"/>
          </w:tcPr>
          <w:p w:rsidR="00F92819" w:rsidRDefault="00F92819">
            <w:pPr>
              <w:spacing w:before="40" w:after="40" w:line="220" w:lineRule="exact"/>
              <w:jc w:val="right"/>
              <w:rPr>
                <w:sz w:val="18"/>
                <w:szCs w:val="24"/>
              </w:rPr>
            </w:pPr>
            <w:r>
              <w:rPr>
                <w:sz w:val="18"/>
                <w:szCs w:val="24"/>
              </w:rPr>
              <w:t>26 672</w:t>
            </w:r>
          </w:p>
        </w:tc>
      </w:tr>
      <w:tr w:rsidR="00F92819">
        <w:tc>
          <w:tcPr>
            <w:tcW w:w="4111" w:type="dxa"/>
            <w:vAlign w:val="center"/>
          </w:tcPr>
          <w:p w:rsidR="00F92819" w:rsidRDefault="00F92819">
            <w:pPr>
              <w:spacing w:before="40" w:after="40" w:line="220" w:lineRule="exact"/>
              <w:rPr>
                <w:szCs w:val="24"/>
              </w:rPr>
            </w:pPr>
            <w:r>
              <w:rPr>
                <w:sz w:val="18"/>
                <w:szCs w:val="24"/>
                <w:lang w:val="es-ES_tradnl"/>
              </w:rPr>
              <w:t>Ropa, calzado y efectos personales</w:t>
            </w:r>
          </w:p>
        </w:tc>
        <w:tc>
          <w:tcPr>
            <w:tcW w:w="803" w:type="dxa"/>
            <w:vAlign w:val="center"/>
          </w:tcPr>
          <w:p w:rsidR="00F92819" w:rsidRDefault="00F92819">
            <w:pPr>
              <w:spacing w:before="40" w:after="40" w:line="220" w:lineRule="exact"/>
              <w:jc w:val="right"/>
              <w:rPr>
                <w:sz w:val="18"/>
                <w:szCs w:val="24"/>
              </w:rPr>
            </w:pPr>
            <w:r>
              <w:rPr>
                <w:sz w:val="18"/>
                <w:szCs w:val="24"/>
              </w:rPr>
              <w:t>10 972</w:t>
            </w:r>
          </w:p>
        </w:tc>
        <w:tc>
          <w:tcPr>
            <w:tcW w:w="803" w:type="dxa"/>
            <w:vAlign w:val="center"/>
          </w:tcPr>
          <w:p w:rsidR="00F92819" w:rsidRDefault="00F92819">
            <w:pPr>
              <w:spacing w:before="40" w:after="40" w:line="220" w:lineRule="exact"/>
              <w:jc w:val="right"/>
              <w:rPr>
                <w:sz w:val="18"/>
                <w:szCs w:val="24"/>
              </w:rPr>
            </w:pPr>
            <w:r>
              <w:rPr>
                <w:sz w:val="18"/>
                <w:szCs w:val="24"/>
              </w:rPr>
              <w:t>11 972</w:t>
            </w:r>
          </w:p>
        </w:tc>
        <w:tc>
          <w:tcPr>
            <w:tcW w:w="804" w:type="dxa"/>
            <w:vAlign w:val="center"/>
          </w:tcPr>
          <w:p w:rsidR="00F92819" w:rsidRDefault="00F92819">
            <w:pPr>
              <w:spacing w:before="40" w:after="40" w:line="220" w:lineRule="exact"/>
              <w:jc w:val="right"/>
              <w:rPr>
                <w:sz w:val="18"/>
                <w:szCs w:val="24"/>
              </w:rPr>
            </w:pPr>
            <w:r>
              <w:rPr>
                <w:sz w:val="18"/>
                <w:szCs w:val="24"/>
              </w:rPr>
              <w:t>17 354</w:t>
            </w:r>
          </w:p>
        </w:tc>
        <w:tc>
          <w:tcPr>
            <w:tcW w:w="849" w:type="dxa"/>
            <w:vAlign w:val="center"/>
          </w:tcPr>
          <w:p w:rsidR="00F92819" w:rsidRDefault="00F92819">
            <w:pPr>
              <w:spacing w:before="40" w:after="40" w:line="220" w:lineRule="exact"/>
              <w:jc w:val="right"/>
              <w:rPr>
                <w:sz w:val="18"/>
                <w:szCs w:val="24"/>
              </w:rPr>
            </w:pPr>
            <w:r>
              <w:rPr>
                <w:sz w:val="18"/>
                <w:szCs w:val="24"/>
              </w:rPr>
              <w:t>17 615</w:t>
            </w:r>
          </w:p>
        </w:tc>
      </w:tr>
      <w:tr w:rsidR="00F92819">
        <w:tc>
          <w:tcPr>
            <w:tcW w:w="4111" w:type="dxa"/>
            <w:vAlign w:val="center"/>
          </w:tcPr>
          <w:p w:rsidR="00F92819" w:rsidRDefault="00F92819">
            <w:pPr>
              <w:spacing w:before="40" w:after="40" w:line="220" w:lineRule="exact"/>
              <w:rPr>
                <w:szCs w:val="24"/>
              </w:rPr>
            </w:pPr>
            <w:r>
              <w:rPr>
                <w:sz w:val="18"/>
                <w:szCs w:val="24"/>
                <w:lang w:val="es-ES_tradnl"/>
              </w:rPr>
              <w:t>Bienes no duraderos de los hogares</w:t>
            </w:r>
          </w:p>
        </w:tc>
        <w:tc>
          <w:tcPr>
            <w:tcW w:w="803" w:type="dxa"/>
            <w:vAlign w:val="center"/>
          </w:tcPr>
          <w:p w:rsidR="00F92819" w:rsidRDefault="00F92819">
            <w:pPr>
              <w:spacing w:before="40" w:after="40" w:line="220" w:lineRule="exact"/>
              <w:jc w:val="right"/>
              <w:rPr>
                <w:sz w:val="18"/>
                <w:szCs w:val="24"/>
              </w:rPr>
            </w:pPr>
            <w:r>
              <w:rPr>
                <w:sz w:val="18"/>
                <w:szCs w:val="24"/>
              </w:rPr>
              <w:t>3 931</w:t>
            </w:r>
          </w:p>
        </w:tc>
        <w:tc>
          <w:tcPr>
            <w:tcW w:w="803" w:type="dxa"/>
            <w:vAlign w:val="center"/>
          </w:tcPr>
          <w:p w:rsidR="00F92819" w:rsidRDefault="00F92819">
            <w:pPr>
              <w:spacing w:before="40" w:after="40" w:line="220" w:lineRule="exact"/>
              <w:jc w:val="right"/>
              <w:rPr>
                <w:sz w:val="18"/>
                <w:szCs w:val="24"/>
              </w:rPr>
            </w:pPr>
            <w:r>
              <w:rPr>
                <w:sz w:val="18"/>
                <w:szCs w:val="24"/>
              </w:rPr>
              <w:t>4 862</w:t>
            </w:r>
          </w:p>
        </w:tc>
        <w:tc>
          <w:tcPr>
            <w:tcW w:w="804" w:type="dxa"/>
            <w:vAlign w:val="center"/>
          </w:tcPr>
          <w:p w:rsidR="00F92819" w:rsidRDefault="00F92819">
            <w:pPr>
              <w:spacing w:before="40" w:after="40" w:line="220" w:lineRule="exact"/>
              <w:jc w:val="right"/>
              <w:rPr>
                <w:sz w:val="18"/>
                <w:szCs w:val="24"/>
              </w:rPr>
            </w:pPr>
            <w:r>
              <w:rPr>
                <w:sz w:val="18"/>
                <w:szCs w:val="24"/>
              </w:rPr>
              <w:t>5 729</w:t>
            </w:r>
          </w:p>
        </w:tc>
        <w:tc>
          <w:tcPr>
            <w:tcW w:w="849" w:type="dxa"/>
            <w:vAlign w:val="center"/>
          </w:tcPr>
          <w:p w:rsidR="00F92819" w:rsidRDefault="00F92819">
            <w:pPr>
              <w:spacing w:before="40" w:after="40" w:line="220" w:lineRule="exact"/>
              <w:jc w:val="right"/>
              <w:rPr>
                <w:sz w:val="18"/>
                <w:szCs w:val="24"/>
              </w:rPr>
            </w:pPr>
            <w:r>
              <w:rPr>
                <w:sz w:val="18"/>
                <w:szCs w:val="24"/>
              </w:rPr>
              <w:t>5 703</w:t>
            </w:r>
          </w:p>
        </w:tc>
      </w:tr>
      <w:tr w:rsidR="00F92819">
        <w:tc>
          <w:tcPr>
            <w:tcW w:w="4111" w:type="dxa"/>
            <w:vAlign w:val="center"/>
          </w:tcPr>
          <w:p w:rsidR="00F92819" w:rsidRDefault="00F92819">
            <w:pPr>
              <w:spacing w:before="40" w:after="40" w:line="220" w:lineRule="exact"/>
              <w:rPr>
                <w:szCs w:val="24"/>
              </w:rPr>
            </w:pPr>
            <w:r>
              <w:rPr>
                <w:sz w:val="18"/>
                <w:szCs w:val="24"/>
                <w:lang w:val="es-ES_tradnl"/>
              </w:rPr>
              <w:t>Atención personal y productos médicos</w:t>
            </w:r>
          </w:p>
        </w:tc>
        <w:tc>
          <w:tcPr>
            <w:tcW w:w="803" w:type="dxa"/>
            <w:vAlign w:val="center"/>
          </w:tcPr>
          <w:p w:rsidR="00F92819" w:rsidRDefault="00F92819">
            <w:pPr>
              <w:spacing w:before="40" w:after="40" w:line="220" w:lineRule="exact"/>
              <w:jc w:val="right"/>
              <w:rPr>
                <w:sz w:val="18"/>
                <w:szCs w:val="24"/>
              </w:rPr>
            </w:pPr>
            <w:r>
              <w:rPr>
                <w:sz w:val="18"/>
                <w:szCs w:val="24"/>
              </w:rPr>
              <w:t>6 196</w:t>
            </w:r>
          </w:p>
        </w:tc>
        <w:tc>
          <w:tcPr>
            <w:tcW w:w="803" w:type="dxa"/>
            <w:vAlign w:val="center"/>
          </w:tcPr>
          <w:p w:rsidR="00F92819" w:rsidRDefault="00F92819">
            <w:pPr>
              <w:spacing w:before="40" w:after="40" w:line="220" w:lineRule="exact"/>
              <w:jc w:val="right"/>
              <w:rPr>
                <w:sz w:val="18"/>
                <w:szCs w:val="24"/>
              </w:rPr>
            </w:pPr>
            <w:r>
              <w:rPr>
                <w:sz w:val="18"/>
                <w:szCs w:val="24"/>
              </w:rPr>
              <w:t>8 161</w:t>
            </w:r>
          </w:p>
        </w:tc>
        <w:tc>
          <w:tcPr>
            <w:tcW w:w="804" w:type="dxa"/>
            <w:vAlign w:val="center"/>
          </w:tcPr>
          <w:p w:rsidR="00F92819" w:rsidRDefault="00F92819">
            <w:pPr>
              <w:spacing w:before="40" w:after="40" w:line="220" w:lineRule="exact"/>
              <w:jc w:val="right"/>
              <w:rPr>
                <w:sz w:val="18"/>
                <w:szCs w:val="24"/>
              </w:rPr>
            </w:pPr>
            <w:r>
              <w:rPr>
                <w:sz w:val="18"/>
                <w:szCs w:val="24"/>
              </w:rPr>
              <w:t>10 631</w:t>
            </w:r>
          </w:p>
        </w:tc>
        <w:tc>
          <w:tcPr>
            <w:tcW w:w="849" w:type="dxa"/>
            <w:vAlign w:val="center"/>
          </w:tcPr>
          <w:p w:rsidR="00F92819" w:rsidRDefault="00F92819">
            <w:pPr>
              <w:spacing w:before="40" w:after="40" w:line="220" w:lineRule="exact"/>
              <w:jc w:val="right"/>
              <w:rPr>
                <w:sz w:val="18"/>
                <w:szCs w:val="24"/>
              </w:rPr>
            </w:pPr>
            <w:r>
              <w:rPr>
                <w:sz w:val="18"/>
                <w:szCs w:val="24"/>
              </w:rPr>
              <w:t>10 711</w:t>
            </w:r>
          </w:p>
        </w:tc>
      </w:tr>
      <w:tr w:rsidR="00F92819">
        <w:tc>
          <w:tcPr>
            <w:tcW w:w="4111" w:type="dxa"/>
            <w:vAlign w:val="center"/>
          </w:tcPr>
          <w:p w:rsidR="00F92819" w:rsidRDefault="00F92819">
            <w:pPr>
              <w:spacing w:before="40" w:after="40" w:line="220" w:lineRule="exact"/>
              <w:rPr>
                <w:szCs w:val="24"/>
              </w:rPr>
            </w:pPr>
            <w:r>
              <w:rPr>
                <w:sz w:val="18"/>
                <w:szCs w:val="24"/>
                <w:lang w:val="es-ES_tradnl"/>
              </w:rPr>
              <w:t>Libros, periódicos y papelería</w:t>
            </w:r>
          </w:p>
        </w:tc>
        <w:tc>
          <w:tcPr>
            <w:tcW w:w="803" w:type="dxa"/>
            <w:vAlign w:val="center"/>
          </w:tcPr>
          <w:p w:rsidR="00F92819" w:rsidRDefault="00F92819">
            <w:pPr>
              <w:spacing w:before="40" w:after="40" w:line="220" w:lineRule="exact"/>
              <w:jc w:val="right"/>
              <w:rPr>
                <w:sz w:val="18"/>
                <w:szCs w:val="24"/>
              </w:rPr>
            </w:pPr>
            <w:r>
              <w:rPr>
                <w:sz w:val="18"/>
                <w:szCs w:val="24"/>
              </w:rPr>
              <w:t>2 391</w:t>
            </w:r>
          </w:p>
        </w:tc>
        <w:tc>
          <w:tcPr>
            <w:tcW w:w="803" w:type="dxa"/>
            <w:vAlign w:val="center"/>
          </w:tcPr>
          <w:p w:rsidR="00F92819" w:rsidRDefault="00F92819">
            <w:pPr>
              <w:spacing w:before="40" w:after="40" w:line="220" w:lineRule="exact"/>
              <w:jc w:val="right"/>
              <w:rPr>
                <w:sz w:val="18"/>
                <w:szCs w:val="24"/>
              </w:rPr>
            </w:pPr>
            <w:r>
              <w:rPr>
                <w:sz w:val="18"/>
                <w:szCs w:val="24"/>
              </w:rPr>
              <w:t>2 585</w:t>
            </w:r>
          </w:p>
        </w:tc>
        <w:tc>
          <w:tcPr>
            <w:tcW w:w="804" w:type="dxa"/>
            <w:vAlign w:val="center"/>
          </w:tcPr>
          <w:p w:rsidR="00F92819" w:rsidRDefault="00F92819">
            <w:pPr>
              <w:spacing w:before="40" w:after="40" w:line="220" w:lineRule="exact"/>
              <w:jc w:val="right"/>
              <w:rPr>
                <w:sz w:val="18"/>
                <w:szCs w:val="24"/>
              </w:rPr>
            </w:pPr>
            <w:r>
              <w:rPr>
                <w:sz w:val="18"/>
                <w:szCs w:val="24"/>
              </w:rPr>
              <w:t>2 619</w:t>
            </w:r>
          </w:p>
        </w:tc>
        <w:tc>
          <w:tcPr>
            <w:tcW w:w="849" w:type="dxa"/>
            <w:vAlign w:val="center"/>
          </w:tcPr>
          <w:p w:rsidR="00F92819" w:rsidRDefault="00F92819">
            <w:pPr>
              <w:spacing w:before="40" w:after="40" w:line="220" w:lineRule="exact"/>
              <w:jc w:val="right"/>
              <w:rPr>
                <w:sz w:val="18"/>
                <w:szCs w:val="24"/>
              </w:rPr>
            </w:pPr>
            <w:r>
              <w:rPr>
                <w:sz w:val="18"/>
                <w:szCs w:val="24"/>
              </w:rPr>
              <w:t>2 676</w:t>
            </w:r>
          </w:p>
        </w:tc>
      </w:tr>
      <w:tr w:rsidR="00F92819">
        <w:tc>
          <w:tcPr>
            <w:tcW w:w="4111" w:type="dxa"/>
            <w:vAlign w:val="center"/>
          </w:tcPr>
          <w:p w:rsidR="00F92819" w:rsidRDefault="00F92819">
            <w:pPr>
              <w:spacing w:before="40" w:after="40" w:line="220" w:lineRule="exact"/>
              <w:rPr>
                <w:szCs w:val="24"/>
              </w:rPr>
            </w:pPr>
            <w:r>
              <w:rPr>
                <w:sz w:val="18"/>
                <w:szCs w:val="24"/>
                <w:lang w:val="es-ES_tradnl"/>
              </w:rPr>
              <w:t>Bienes y artículos diversos de esparcimiento</w:t>
            </w:r>
          </w:p>
        </w:tc>
        <w:tc>
          <w:tcPr>
            <w:tcW w:w="803" w:type="dxa"/>
            <w:vAlign w:val="center"/>
          </w:tcPr>
          <w:p w:rsidR="00F92819" w:rsidRDefault="00F92819">
            <w:pPr>
              <w:spacing w:before="40" w:after="40" w:line="220" w:lineRule="exact"/>
              <w:jc w:val="right"/>
              <w:rPr>
                <w:sz w:val="18"/>
                <w:szCs w:val="24"/>
              </w:rPr>
            </w:pPr>
            <w:r>
              <w:rPr>
                <w:sz w:val="18"/>
                <w:szCs w:val="24"/>
              </w:rPr>
              <w:t>1 816</w:t>
            </w:r>
          </w:p>
        </w:tc>
        <w:tc>
          <w:tcPr>
            <w:tcW w:w="803" w:type="dxa"/>
            <w:vAlign w:val="center"/>
          </w:tcPr>
          <w:p w:rsidR="00F92819" w:rsidRDefault="00F92819">
            <w:pPr>
              <w:spacing w:before="40" w:after="40" w:line="220" w:lineRule="exact"/>
              <w:jc w:val="right"/>
              <w:rPr>
                <w:sz w:val="18"/>
                <w:szCs w:val="24"/>
              </w:rPr>
            </w:pPr>
            <w:r>
              <w:rPr>
                <w:sz w:val="18"/>
                <w:szCs w:val="24"/>
              </w:rPr>
              <w:t>2 423</w:t>
            </w:r>
          </w:p>
        </w:tc>
        <w:tc>
          <w:tcPr>
            <w:tcW w:w="804" w:type="dxa"/>
            <w:vAlign w:val="center"/>
          </w:tcPr>
          <w:p w:rsidR="00F92819" w:rsidRDefault="00F92819">
            <w:pPr>
              <w:spacing w:before="40" w:after="40" w:line="220" w:lineRule="exact"/>
              <w:jc w:val="right"/>
              <w:rPr>
                <w:sz w:val="18"/>
                <w:szCs w:val="24"/>
              </w:rPr>
            </w:pPr>
            <w:r>
              <w:rPr>
                <w:sz w:val="18"/>
                <w:szCs w:val="24"/>
              </w:rPr>
              <w:t>3 387</w:t>
            </w:r>
          </w:p>
        </w:tc>
        <w:tc>
          <w:tcPr>
            <w:tcW w:w="849" w:type="dxa"/>
            <w:vAlign w:val="center"/>
          </w:tcPr>
          <w:p w:rsidR="00F92819" w:rsidRDefault="00F92819">
            <w:pPr>
              <w:spacing w:before="40" w:after="40" w:line="220" w:lineRule="exact"/>
              <w:jc w:val="right"/>
              <w:rPr>
                <w:sz w:val="18"/>
                <w:szCs w:val="24"/>
              </w:rPr>
            </w:pPr>
            <w:r>
              <w:rPr>
                <w:sz w:val="18"/>
                <w:szCs w:val="24"/>
              </w:rPr>
              <w:t>3 292</w:t>
            </w:r>
          </w:p>
        </w:tc>
      </w:tr>
      <w:tr w:rsidR="00F92819">
        <w:tc>
          <w:tcPr>
            <w:tcW w:w="4111" w:type="dxa"/>
            <w:vAlign w:val="center"/>
          </w:tcPr>
          <w:p w:rsidR="00F92819" w:rsidRDefault="00F92819">
            <w:pPr>
              <w:spacing w:before="40" w:after="40" w:line="220" w:lineRule="exact"/>
              <w:rPr>
                <w:szCs w:val="24"/>
              </w:rPr>
            </w:pPr>
            <w:r>
              <w:rPr>
                <w:sz w:val="18"/>
                <w:szCs w:val="24"/>
                <w:lang w:val="es-ES_tradnl"/>
              </w:rPr>
              <w:t>Vivienda</w:t>
            </w:r>
          </w:p>
        </w:tc>
        <w:tc>
          <w:tcPr>
            <w:tcW w:w="803" w:type="dxa"/>
            <w:vAlign w:val="center"/>
          </w:tcPr>
          <w:p w:rsidR="00F92819" w:rsidRDefault="00F92819">
            <w:pPr>
              <w:spacing w:before="40" w:after="40" w:line="220" w:lineRule="exact"/>
              <w:jc w:val="right"/>
              <w:rPr>
                <w:sz w:val="18"/>
                <w:szCs w:val="24"/>
              </w:rPr>
            </w:pPr>
            <w:r>
              <w:rPr>
                <w:sz w:val="18"/>
                <w:szCs w:val="24"/>
              </w:rPr>
              <w:t>48 747</w:t>
            </w:r>
          </w:p>
        </w:tc>
        <w:tc>
          <w:tcPr>
            <w:tcW w:w="803" w:type="dxa"/>
            <w:vAlign w:val="center"/>
          </w:tcPr>
          <w:p w:rsidR="00F92819" w:rsidRDefault="00F92819">
            <w:pPr>
              <w:spacing w:before="40" w:after="40" w:line="220" w:lineRule="exact"/>
              <w:jc w:val="right"/>
              <w:rPr>
                <w:sz w:val="18"/>
                <w:szCs w:val="24"/>
              </w:rPr>
            </w:pPr>
            <w:r>
              <w:rPr>
                <w:sz w:val="18"/>
                <w:szCs w:val="24"/>
              </w:rPr>
              <w:t>60 594</w:t>
            </w:r>
          </w:p>
        </w:tc>
        <w:tc>
          <w:tcPr>
            <w:tcW w:w="804" w:type="dxa"/>
            <w:vAlign w:val="center"/>
          </w:tcPr>
          <w:p w:rsidR="00F92819" w:rsidRDefault="00F92819">
            <w:pPr>
              <w:spacing w:before="40" w:after="40" w:line="220" w:lineRule="exact"/>
              <w:jc w:val="right"/>
              <w:rPr>
                <w:sz w:val="18"/>
                <w:szCs w:val="24"/>
              </w:rPr>
            </w:pPr>
            <w:r>
              <w:rPr>
                <w:sz w:val="18"/>
                <w:szCs w:val="24"/>
              </w:rPr>
              <w:t>69 407</w:t>
            </w:r>
          </w:p>
        </w:tc>
        <w:tc>
          <w:tcPr>
            <w:tcW w:w="849" w:type="dxa"/>
            <w:vAlign w:val="center"/>
          </w:tcPr>
          <w:p w:rsidR="00F92819" w:rsidRDefault="00F92819">
            <w:pPr>
              <w:spacing w:before="40" w:after="40" w:line="220" w:lineRule="exact"/>
              <w:jc w:val="right"/>
              <w:rPr>
                <w:sz w:val="18"/>
                <w:szCs w:val="24"/>
              </w:rPr>
            </w:pPr>
            <w:r>
              <w:rPr>
                <w:sz w:val="18"/>
                <w:szCs w:val="24"/>
              </w:rPr>
              <w:t>67 494</w:t>
            </w:r>
          </w:p>
        </w:tc>
      </w:tr>
      <w:tr w:rsidR="00F92819">
        <w:tc>
          <w:tcPr>
            <w:tcW w:w="4111" w:type="dxa"/>
            <w:vAlign w:val="center"/>
          </w:tcPr>
          <w:p w:rsidR="00F92819" w:rsidRDefault="00F92819">
            <w:pPr>
              <w:spacing w:before="40" w:after="40" w:line="220" w:lineRule="exact"/>
              <w:rPr>
                <w:szCs w:val="24"/>
              </w:rPr>
            </w:pPr>
            <w:r>
              <w:rPr>
                <w:sz w:val="18"/>
                <w:szCs w:val="24"/>
                <w:lang w:val="es-ES_tradnl"/>
              </w:rPr>
              <w:t>Otros servicios</w:t>
            </w:r>
          </w:p>
        </w:tc>
        <w:tc>
          <w:tcPr>
            <w:tcW w:w="803" w:type="dxa"/>
            <w:vAlign w:val="center"/>
          </w:tcPr>
          <w:p w:rsidR="00F92819" w:rsidRDefault="00F92819">
            <w:pPr>
              <w:spacing w:before="40" w:after="40" w:line="220" w:lineRule="exact"/>
              <w:jc w:val="right"/>
              <w:rPr>
                <w:sz w:val="18"/>
                <w:szCs w:val="24"/>
              </w:rPr>
            </w:pPr>
            <w:r>
              <w:rPr>
                <w:sz w:val="18"/>
                <w:szCs w:val="24"/>
              </w:rPr>
              <w:t>83 995</w:t>
            </w:r>
          </w:p>
        </w:tc>
        <w:tc>
          <w:tcPr>
            <w:tcW w:w="803" w:type="dxa"/>
            <w:vAlign w:val="center"/>
          </w:tcPr>
          <w:p w:rsidR="00F92819" w:rsidRDefault="00F92819">
            <w:pPr>
              <w:spacing w:before="40" w:after="40" w:line="220" w:lineRule="exact"/>
              <w:jc w:val="right"/>
              <w:rPr>
                <w:sz w:val="18"/>
                <w:szCs w:val="24"/>
              </w:rPr>
            </w:pPr>
            <w:r>
              <w:rPr>
                <w:sz w:val="18"/>
                <w:szCs w:val="24"/>
              </w:rPr>
              <w:t>100 040</w:t>
            </w:r>
          </w:p>
        </w:tc>
        <w:tc>
          <w:tcPr>
            <w:tcW w:w="804" w:type="dxa"/>
            <w:vAlign w:val="center"/>
          </w:tcPr>
          <w:p w:rsidR="00F92819" w:rsidRDefault="00F92819">
            <w:pPr>
              <w:spacing w:before="40" w:after="40" w:line="220" w:lineRule="exact"/>
              <w:jc w:val="right"/>
              <w:rPr>
                <w:sz w:val="18"/>
                <w:szCs w:val="24"/>
              </w:rPr>
            </w:pPr>
            <w:r>
              <w:rPr>
                <w:sz w:val="18"/>
                <w:szCs w:val="24"/>
              </w:rPr>
              <w:t>124 613</w:t>
            </w:r>
          </w:p>
        </w:tc>
        <w:tc>
          <w:tcPr>
            <w:tcW w:w="849" w:type="dxa"/>
            <w:vAlign w:val="center"/>
          </w:tcPr>
          <w:p w:rsidR="00F92819" w:rsidRDefault="00F92819">
            <w:pPr>
              <w:spacing w:before="40" w:after="40" w:line="220" w:lineRule="exact"/>
              <w:jc w:val="right"/>
              <w:rPr>
                <w:sz w:val="18"/>
                <w:szCs w:val="24"/>
              </w:rPr>
            </w:pPr>
            <w:r>
              <w:rPr>
                <w:sz w:val="18"/>
                <w:szCs w:val="24"/>
              </w:rPr>
              <w:t>129 673</w:t>
            </w:r>
          </w:p>
        </w:tc>
      </w:tr>
      <w:tr w:rsidR="00F92819">
        <w:tc>
          <w:tcPr>
            <w:tcW w:w="4111" w:type="dxa"/>
            <w:tcBorders>
              <w:bottom w:val="single" w:sz="4" w:space="0" w:color="auto"/>
            </w:tcBorders>
            <w:vAlign w:val="center"/>
          </w:tcPr>
          <w:p w:rsidR="00F92819" w:rsidRDefault="00F92819">
            <w:pPr>
              <w:keepNext/>
              <w:spacing w:before="80" w:after="80" w:line="220" w:lineRule="exact"/>
              <w:rPr>
                <w:szCs w:val="24"/>
              </w:rPr>
            </w:pPr>
            <w:r>
              <w:rPr>
                <w:b/>
                <w:sz w:val="18"/>
                <w:szCs w:val="24"/>
              </w:rPr>
              <w:t xml:space="preserve">6. </w:t>
            </w:r>
            <w:r>
              <w:rPr>
                <w:b/>
                <w:sz w:val="18"/>
                <w:szCs w:val="24"/>
                <w:lang w:val="es-ES_tradnl"/>
              </w:rPr>
              <w:t>Total de instituciones sin fines de lucro (2)</w:t>
            </w:r>
          </w:p>
        </w:tc>
        <w:tc>
          <w:tcPr>
            <w:tcW w:w="803" w:type="dxa"/>
            <w:tcBorders>
              <w:bottom w:val="single" w:sz="4" w:space="0" w:color="auto"/>
            </w:tcBorders>
            <w:vAlign w:val="center"/>
          </w:tcPr>
          <w:p w:rsidR="00F92819" w:rsidRDefault="00F92819">
            <w:pPr>
              <w:keepNext/>
              <w:spacing w:before="80" w:after="80" w:line="220" w:lineRule="exact"/>
              <w:jc w:val="right"/>
              <w:rPr>
                <w:b/>
                <w:sz w:val="18"/>
                <w:szCs w:val="24"/>
              </w:rPr>
            </w:pPr>
            <w:r>
              <w:rPr>
                <w:b/>
                <w:sz w:val="18"/>
                <w:szCs w:val="24"/>
              </w:rPr>
              <w:t>6 768</w:t>
            </w:r>
          </w:p>
        </w:tc>
        <w:tc>
          <w:tcPr>
            <w:tcW w:w="803" w:type="dxa"/>
            <w:tcBorders>
              <w:bottom w:val="single" w:sz="4" w:space="0" w:color="auto"/>
            </w:tcBorders>
            <w:vAlign w:val="center"/>
          </w:tcPr>
          <w:p w:rsidR="00F92819" w:rsidRDefault="00F92819">
            <w:pPr>
              <w:keepNext/>
              <w:spacing w:before="80" w:after="80" w:line="220" w:lineRule="exact"/>
              <w:jc w:val="right"/>
              <w:rPr>
                <w:b/>
                <w:sz w:val="18"/>
                <w:szCs w:val="24"/>
              </w:rPr>
            </w:pPr>
            <w:r>
              <w:rPr>
                <w:b/>
                <w:sz w:val="18"/>
                <w:szCs w:val="24"/>
              </w:rPr>
              <w:t>9 905</w:t>
            </w:r>
          </w:p>
        </w:tc>
        <w:tc>
          <w:tcPr>
            <w:tcW w:w="804" w:type="dxa"/>
            <w:tcBorders>
              <w:bottom w:val="single" w:sz="4" w:space="0" w:color="auto"/>
            </w:tcBorders>
            <w:vAlign w:val="center"/>
          </w:tcPr>
          <w:p w:rsidR="00F92819" w:rsidRDefault="00F92819">
            <w:pPr>
              <w:keepNext/>
              <w:spacing w:before="80" w:after="80" w:line="220" w:lineRule="exact"/>
              <w:jc w:val="right"/>
              <w:rPr>
                <w:b/>
                <w:sz w:val="18"/>
                <w:szCs w:val="24"/>
              </w:rPr>
            </w:pPr>
            <w:r>
              <w:rPr>
                <w:b/>
                <w:sz w:val="18"/>
                <w:szCs w:val="24"/>
              </w:rPr>
              <w:t>11 528</w:t>
            </w:r>
          </w:p>
        </w:tc>
        <w:tc>
          <w:tcPr>
            <w:tcW w:w="849" w:type="dxa"/>
            <w:tcBorders>
              <w:bottom w:val="single" w:sz="4" w:space="0" w:color="auto"/>
            </w:tcBorders>
            <w:vAlign w:val="center"/>
          </w:tcPr>
          <w:p w:rsidR="00F92819" w:rsidRDefault="00F92819">
            <w:pPr>
              <w:keepNext/>
              <w:spacing w:before="80" w:after="80" w:line="220" w:lineRule="exact"/>
              <w:jc w:val="right"/>
              <w:rPr>
                <w:b/>
                <w:sz w:val="18"/>
                <w:szCs w:val="24"/>
              </w:rPr>
            </w:pPr>
            <w:r>
              <w:rPr>
                <w:b/>
                <w:sz w:val="18"/>
                <w:szCs w:val="24"/>
              </w:rPr>
              <w:t>12 086</w:t>
            </w:r>
          </w:p>
        </w:tc>
      </w:tr>
      <w:tr w:rsidR="00F92819">
        <w:tc>
          <w:tcPr>
            <w:tcW w:w="4111" w:type="dxa"/>
            <w:tcBorders>
              <w:top w:val="single" w:sz="4" w:space="0" w:color="auto"/>
            </w:tcBorders>
            <w:vAlign w:val="center"/>
          </w:tcPr>
          <w:p w:rsidR="00F92819" w:rsidRDefault="00F92819">
            <w:pPr>
              <w:keepNext/>
              <w:spacing w:before="40" w:after="40" w:line="220" w:lineRule="exact"/>
              <w:rPr>
                <w:szCs w:val="24"/>
              </w:rPr>
            </w:pPr>
            <w:r>
              <w:rPr>
                <w:sz w:val="18"/>
                <w:szCs w:val="24"/>
                <w:lang w:val="es-ES_tradnl"/>
              </w:rPr>
              <w:t>Instituciones médicas</w:t>
            </w:r>
          </w:p>
        </w:tc>
        <w:tc>
          <w:tcPr>
            <w:tcW w:w="803" w:type="dxa"/>
            <w:tcBorders>
              <w:top w:val="single" w:sz="4" w:space="0" w:color="auto"/>
            </w:tcBorders>
            <w:vAlign w:val="center"/>
          </w:tcPr>
          <w:p w:rsidR="00F92819" w:rsidRDefault="00F92819">
            <w:pPr>
              <w:keepNext/>
              <w:spacing w:before="40" w:after="40" w:line="220" w:lineRule="exact"/>
              <w:jc w:val="right"/>
              <w:rPr>
                <w:sz w:val="18"/>
                <w:szCs w:val="24"/>
              </w:rPr>
            </w:pPr>
            <w:r>
              <w:rPr>
                <w:sz w:val="18"/>
                <w:szCs w:val="24"/>
              </w:rPr>
              <w:t>796</w:t>
            </w:r>
          </w:p>
        </w:tc>
        <w:tc>
          <w:tcPr>
            <w:tcW w:w="803" w:type="dxa"/>
            <w:tcBorders>
              <w:top w:val="single" w:sz="4" w:space="0" w:color="auto"/>
            </w:tcBorders>
            <w:vAlign w:val="center"/>
          </w:tcPr>
          <w:p w:rsidR="00F92819" w:rsidRDefault="00F92819">
            <w:pPr>
              <w:keepNext/>
              <w:spacing w:before="40" w:after="40" w:line="220" w:lineRule="exact"/>
              <w:jc w:val="right"/>
              <w:rPr>
                <w:sz w:val="18"/>
                <w:szCs w:val="24"/>
              </w:rPr>
            </w:pPr>
            <w:r>
              <w:rPr>
                <w:sz w:val="18"/>
                <w:szCs w:val="24"/>
              </w:rPr>
              <w:t>1 534</w:t>
            </w:r>
          </w:p>
        </w:tc>
        <w:tc>
          <w:tcPr>
            <w:tcW w:w="804" w:type="dxa"/>
            <w:tcBorders>
              <w:top w:val="single" w:sz="4" w:space="0" w:color="auto"/>
            </w:tcBorders>
            <w:vAlign w:val="center"/>
          </w:tcPr>
          <w:p w:rsidR="00F92819" w:rsidRDefault="00F92819">
            <w:pPr>
              <w:keepNext/>
              <w:spacing w:before="40" w:after="40" w:line="220" w:lineRule="exact"/>
              <w:jc w:val="right"/>
              <w:rPr>
                <w:sz w:val="18"/>
                <w:szCs w:val="24"/>
              </w:rPr>
            </w:pPr>
            <w:r>
              <w:rPr>
                <w:sz w:val="18"/>
                <w:szCs w:val="24"/>
              </w:rPr>
              <w:t>1 708</w:t>
            </w:r>
          </w:p>
        </w:tc>
        <w:tc>
          <w:tcPr>
            <w:tcW w:w="849" w:type="dxa"/>
            <w:tcBorders>
              <w:top w:val="single" w:sz="4" w:space="0" w:color="auto"/>
            </w:tcBorders>
            <w:vAlign w:val="center"/>
          </w:tcPr>
          <w:p w:rsidR="00F92819" w:rsidRDefault="00F92819">
            <w:pPr>
              <w:keepNext/>
              <w:spacing w:before="40" w:after="40" w:line="220" w:lineRule="exact"/>
              <w:jc w:val="right"/>
              <w:rPr>
                <w:sz w:val="18"/>
                <w:szCs w:val="24"/>
              </w:rPr>
            </w:pPr>
            <w:r>
              <w:rPr>
                <w:sz w:val="18"/>
                <w:szCs w:val="24"/>
              </w:rPr>
              <w:t>1 827</w:t>
            </w:r>
          </w:p>
        </w:tc>
      </w:tr>
      <w:tr w:rsidR="00F92819">
        <w:tc>
          <w:tcPr>
            <w:tcW w:w="4111" w:type="dxa"/>
            <w:vAlign w:val="center"/>
          </w:tcPr>
          <w:p w:rsidR="00F92819" w:rsidRDefault="00F92819">
            <w:pPr>
              <w:keepNext/>
              <w:spacing w:before="40" w:after="40" w:line="220" w:lineRule="exact"/>
              <w:rPr>
                <w:szCs w:val="24"/>
              </w:rPr>
            </w:pPr>
            <w:r>
              <w:rPr>
                <w:sz w:val="18"/>
                <w:szCs w:val="24"/>
                <w:lang w:val="es-ES_tradnl"/>
              </w:rPr>
              <w:t>Instituciones de educación, cultura</w:t>
            </w:r>
            <w:r>
              <w:rPr>
                <w:sz w:val="18"/>
                <w:szCs w:val="24"/>
                <w:lang w:val="es-ES_tradnl"/>
              </w:rPr>
              <w:br/>
              <w:t xml:space="preserve">      e investigación, bienestar social y</w:t>
            </w:r>
            <w:r>
              <w:rPr>
                <w:sz w:val="18"/>
                <w:szCs w:val="24"/>
                <w:lang w:val="es-ES_tradnl"/>
              </w:rPr>
              <w:br/>
              <w:t xml:space="preserve">      religiosas</w:t>
            </w:r>
          </w:p>
        </w:tc>
        <w:tc>
          <w:tcPr>
            <w:tcW w:w="803" w:type="dxa"/>
            <w:vAlign w:val="center"/>
          </w:tcPr>
          <w:p w:rsidR="00F92819" w:rsidRDefault="00F92819">
            <w:pPr>
              <w:keepNext/>
              <w:spacing w:before="40" w:after="40" w:line="220" w:lineRule="exact"/>
              <w:jc w:val="right"/>
              <w:rPr>
                <w:sz w:val="18"/>
                <w:szCs w:val="24"/>
              </w:rPr>
            </w:pPr>
            <w:r>
              <w:rPr>
                <w:sz w:val="18"/>
                <w:szCs w:val="24"/>
              </w:rPr>
              <w:t>5 016</w:t>
            </w:r>
          </w:p>
        </w:tc>
        <w:tc>
          <w:tcPr>
            <w:tcW w:w="803" w:type="dxa"/>
            <w:vAlign w:val="center"/>
          </w:tcPr>
          <w:p w:rsidR="00F92819" w:rsidRDefault="00F92819">
            <w:pPr>
              <w:keepNext/>
              <w:spacing w:before="40" w:after="40" w:line="220" w:lineRule="exact"/>
              <w:jc w:val="right"/>
              <w:rPr>
                <w:sz w:val="18"/>
                <w:szCs w:val="24"/>
              </w:rPr>
            </w:pPr>
            <w:r>
              <w:rPr>
                <w:sz w:val="18"/>
                <w:szCs w:val="24"/>
              </w:rPr>
              <w:t>6 826</w:t>
            </w:r>
          </w:p>
        </w:tc>
        <w:tc>
          <w:tcPr>
            <w:tcW w:w="804" w:type="dxa"/>
            <w:vAlign w:val="center"/>
          </w:tcPr>
          <w:p w:rsidR="00F92819" w:rsidRDefault="00F92819">
            <w:pPr>
              <w:keepNext/>
              <w:spacing w:before="40" w:after="40" w:line="220" w:lineRule="exact"/>
              <w:jc w:val="right"/>
              <w:rPr>
                <w:sz w:val="18"/>
                <w:szCs w:val="24"/>
              </w:rPr>
            </w:pPr>
            <w:r>
              <w:rPr>
                <w:sz w:val="18"/>
                <w:szCs w:val="24"/>
              </w:rPr>
              <w:t>7 840</w:t>
            </w:r>
          </w:p>
        </w:tc>
        <w:tc>
          <w:tcPr>
            <w:tcW w:w="849" w:type="dxa"/>
            <w:vAlign w:val="center"/>
          </w:tcPr>
          <w:p w:rsidR="00F92819" w:rsidRDefault="00F92819">
            <w:pPr>
              <w:keepNext/>
              <w:spacing w:before="40" w:after="40" w:line="220" w:lineRule="exact"/>
              <w:jc w:val="right"/>
              <w:rPr>
                <w:sz w:val="18"/>
                <w:szCs w:val="24"/>
              </w:rPr>
            </w:pPr>
            <w:r>
              <w:rPr>
                <w:sz w:val="18"/>
                <w:szCs w:val="24"/>
              </w:rPr>
              <w:t>8 182</w:t>
            </w:r>
          </w:p>
        </w:tc>
      </w:tr>
      <w:tr w:rsidR="00F92819">
        <w:tc>
          <w:tcPr>
            <w:tcW w:w="4111" w:type="dxa"/>
            <w:tcBorders>
              <w:bottom w:val="single" w:sz="12" w:space="0" w:color="auto"/>
            </w:tcBorders>
            <w:vAlign w:val="center"/>
          </w:tcPr>
          <w:p w:rsidR="00F92819" w:rsidRDefault="00F92819">
            <w:pPr>
              <w:spacing w:before="40" w:after="40" w:line="220" w:lineRule="exact"/>
              <w:rPr>
                <w:szCs w:val="24"/>
              </w:rPr>
            </w:pPr>
            <w:r>
              <w:rPr>
                <w:sz w:val="18"/>
                <w:szCs w:val="24"/>
                <w:lang w:val="es-ES_tradnl"/>
              </w:rPr>
              <w:t>Sindicatos, organizaciones políticas, etc.</w:t>
            </w:r>
          </w:p>
        </w:tc>
        <w:tc>
          <w:tcPr>
            <w:tcW w:w="803"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1 002</w:t>
            </w:r>
          </w:p>
        </w:tc>
        <w:tc>
          <w:tcPr>
            <w:tcW w:w="803"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1 557</w:t>
            </w:r>
          </w:p>
        </w:tc>
        <w:tc>
          <w:tcPr>
            <w:tcW w:w="804"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1 979</w:t>
            </w:r>
          </w:p>
        </w:tc>
        <w:tc>
          <w:tcPr>
            <w:tcW w:w="849"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2 077</w:t>
            </w:r>
          </w:p>
        </w:tc>
      </w:tr>
    </w:tbl>
    <w:p w:rsidR="00F92819" w:rsidRDefault="00F92819">
      <w:pPr>
        <w:spacing w:before="12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ind w:left="1134" w:right="1134" w:firstLine="170"/>
        <w:rPr>
          <w:sz w:val="18"/>
          <w:szCs w:val="24"/>
        </w:rPr>
      </w:pPr>
      <w:r>
        <w:rPr>
          <w:sz w:val="18"/>
          <w:szCs w:val="24"/>
          <w:lang w:val="es-ES_tradnl"/>
        </w:rPr>
        <w:t>El combustible del equipo de transporte personal se incluye en el concepto de “Transporte y comunicaciones”.</w:t>
      </w:r>
    </w:p>
    <w:p w:rsidR="00F92819" w:rsidRDefault="00F92819">
      <w:pPr>
        <w:ind w:left="1134" w:right="1134" w:firstLine="170"/>
        <w:rPr>
          <w:sz w:val="18"/>
          <w:szCs w:val="24"/>
        </w:rPr>
      </w:pPr>
      <w:r>
        <w:rPr>
          <w:sz w:val="18"/>
          <w:szCs w:val="24"/>
          <w:lang w:val="es-ES_tradnl"/>
        </w:rPr>
        <w:t>Excluidas las instituciones sin fines de lucro financiadas principalmente por el Gobierno.</w:t>
      </w:r>
    </w:p>
    <w:p w:rsidR="00F92819" w:rsidRDefault="00F92819">
      <w:pPr>
        <w:spacing w:after="240"/>
        <w:ind w:left="1134" w:right="1134" w:firstLine="170"/>
        <w:rPr>
          <w:szCs w:val="24"/>
        </w:rPr>
      </w:pPr>
      <w:r>
        <w:rPr>
          <w:sz w:val="18"/>
          <w:szCs w:val="24"/>
          <w:lang w:val="es-ES_tradnl"/>
        </w:rPr>
        <w:t>Las estimaciones de los precios de 2005 se obtuvieron concatenando las estimaciones de cada año con los precios del año anterior,</w:t>
      </w:r>
      <w:r>
        <w:rPr>
          <w:sz w:val="18"/>
          <w:szCs w:val="24"/>
        </w:rPr>
        <w:t xml:space="preserve"> </w:t>
      </w:r>
      <w:r>
        <w:rPr>
          <w:sz w:val="18"/>
          <w:szCs w:val="24"/>
          <w:lang w:val="es-ES_tradnl"/>
        </w:rPr>
        <w:t>por lo cual la suma de los componentes de gastos no equivale al total.</w:t>
      </w:r>
    </w:p>
    <w:p w:rsidR="00F92819" w:rsidRDefault="00F92819">
      <w:pPr>
        <w:pStyle w:val="H23G"/>
        <w:rPr>
          <w:szCs w:val="24"/>
        </w:rPr>
      </w:pPr>
      <w:r>
        <w:rPr>
          <w:szCs w:val="24"/>
        </w:rPr>
        <w:tab/>
      </w:r>
      <w:r>
        <w:rPr>
          <w:szCs w:val="24"/>
        </w:rPr>
        <w:tab/>
      </w:r>
      <w:r>
        <w:rPr>
          <w:szCs w:val="24"/>
          <w:lang w:val="es-ES_tradnl"/>
        </w:rPr>
        <w:t>Derecho a una alimentación adecuada</w:t>
      </w:r>
    </w:p>
    <w:p w:rsidR="00F92819" w:rsidRDefault="00F92819">
      <w:pPr>
        <w:pStyle w:val="SingleTxtG"/>
        <w:rPr>
          <w:szCs w:val="24"/>
        </w:rPr>
      </w:pPr>
      <w:r>
        <w:rPr>
          <w:szCs w:val="24"/>
        </w:rPr>
        <w:t>426.</w:t>
      </w:r>
      <w:r>
        <w:rPr>
          <w:szCs w:val="24"/>
        </w:rPr>
        <w:tab/>
      </w:r>
      <w:r>
        <w:rPr>
          <w:szCs w:val="24"/>
          <w:lang w:val="es-ES_tradnl"/>
        </w:rPr>
        <w:t xml:space="preserve">El cuadro 24 anterior revela la distribución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gasto de los hogares.</w:t>
      </w:r>
      <w:r>
        <w:rPr>
          <w:szCs w:val="24"/>
        </w:rPr>
        <w:t xml:space="preserve"> </w:t>
      </w:r>
      <w:r>
        <w:rPr>
          <w:szCs w:val="24"/>
          <w:lang w:val="es-ES_tradnl"/>
        </w:rPr>
        <w:t>Los datos indican que en 2006, el 16,6% de los gastos de consumo de los hogares se emplearon en la adquisición de alimentos.</w:t>
      </w:r>
    </w:p>
    <w:p w:rsidR="00F92819" w:rsidRDefault="00F92819">
      <w:pPr>
        <w:pStyle w:val="SingleTxtG"/>
        <w:rPr>
          <w:szCs w:val="24"/>
        </w:rPr>
      </w:pPr>
      <w:r>
        <w:rPr>
          <w:szCs w:val="24"/>
        </w:rPr>
        <w:t>427.</w:t>
      </w:r>
      <w:r>
        <w:rPr>
          <w:szCs w:val="24"/>
        </w:rPr>
        <w:tab/>
      </w:r>
      <w:r>
        <w:rPr>
          <w:szCs w:val="24"/>
          <w:lang w:val="es-ES_tradnl"/>
        </w:rPr>
        <w:t>En 2007 el Ministro de Asuntos Sociales y Servicios Sociales creó una comisión interministerial para examinar el papel y la responsabilidad del Gobierno para asegurar la seguridad alimentaria de sus ciudadanos.</w:t>
      </w:r>
      <w:r>
        <w:rPr>
          <w:szCs w:val="24"/>
        </w:rPr>
        <w:t xml:space="preserve"> </w:t>
      </w:r>
      <w:r>
        <w:rPr>
          <w:szCs w:val="24"/>
          <w:lang w:val="es-ES_tradnl"/>
        </w:rPr>
        <w:t>La comisión contaba con representantes de varios Ministerios (Asuntos Sociales y Servicios Sociales, Sanidad, Hacienda, Educación, Justicia, Industria, Comercio y Trabajo, Agricultura y Desarrollo Rural y Asuntos de Pensionistas) y con representantes del Instituto Nacional de Seguros.</w:t>
      </w:r>
      <w:r>
        <w:rPr>
          <w:szCs w:val="24"/>
        </w:rPr>
        <w:t xml:space="preserve"> </w:t>
      </w:r>
      <w:r>
        <w:rPr>
          <w:szCs w:val="24"/>
          <w:lang w:val="es-ES_tradnl"/>
        </w:rPr>
        <w:t xml:space="preserve">La comisión invitó a una participación pública en el proceso y muchas organizaciones presentaron sus posturas por escrito y/o comparecieron ante </w:t>
      </w:r>
      <w:smartTag w:uri="urn:schemas-microsoft-com:office:smarttags" w:element="PersonName">
        <w:smartTagPr>
          <w:attr w:name="ProductID" w:val="la comisi￳n. La"/>
        </w:smartTagPr>
        <w:r>
          <w:rPr>
            <w:szCs w:val="24"/>
            <w:lang w:val="es-ES_tradnl"/>
          </w:rPr>
          <w:t>la comisión.</w:t>
        </w:r>
        <w:r>
          <w:rPr>
            <w:szCs w:val="24"/>
          </w:rPr>
          <w:t xml:space="preserve"> </w:t>
        </w:r>
        <w:r>
          <w:rPr>
            <w:szCs w:val="24"/>
            <w:lang w:val="es-ES_tradnl"/>
          </w:rPr>
          <w:t>La</w:t>
        </w:r>
      </w:smartTag>
      <w:r>
        <w:rPr>
          <w:szCs w:val="24"/>
          <w:lang w:val="es-ES_tradnl"/>
        </w:rPr>
        <w:t xml:space="preserve"> comisión también escuchó la opinión de expertos en las esferas pertinentes.</w:t>
      </w:r>
    </w:p>
    <w:p w:rsidR="00F92819" w:rsidRDefault="00F92819">
      <w:pPr>
        <w:pStyle w:val="SingleTxtG"/>
        <w:rPr>
          <w:szCs w:val="24"/>
        </w:rPr>
      </w:pPr>
      <w:r>
        <w:rPr>
          <w:szCs w:val="24"/>
          <w:lang w:val="es-ES_tradnl"/>
        </w:rPr>
        <w:t>En marzo de 2008, la comisión presentó sus conclusiones y recomendaciones.</w:t>
      </w:r>
      <w:r>
        <w:rPr>
          <w:szCs w:val="24"/>
        </w:rPr>
        <w:t xml:space="preserve"> </w:t>
      </w:r>
      <w:r>
        <w:rPr>
          <w:szCs w:val="24"/>
          <w:lang w:val="es-ES_tradnl"/>
        </w:rPr>
        <w:t>Según la comisión, en 2006 el 31% de las familias de Israel tenían que renunciar a ingredientes básicos de alimentación para financiar la compra de otros productos y servicios esenciales, una ligera disminución con respecto al 34% en 2003. Por el mismo concepto, entre la población judía el 29% frente al 32,8% en 2003 y entre la población árabe el 37,3% frente al 38,3% en 2003. Sin embargo, la situación empeoró entre los ancianos y la población ultraortodoxa judía.</w:t>
      </w:r>
      <w:r>
        <w:rPr>
          <w:szCs w:val="24"/>
        </w:rPr>
        <w:t xml:space="preserve"> </w:t>
      </w:r>
      <w:r>
        <w:rPr>
          <w:szCs w:val="24"/>
          <w:lang w:val="es-ES_tradnl"/>
        </w:rPr>
        <w:t xml:space="preserve">Los datos indicaban además que la incidencia de inseguridad alimentaria aumenta con el número de niños en </w:t>
      </w:r>
      <w:smartTag w:uri="urn:schemas-microsoft-com:office:smarttags" w:element="PersonName">
        <w:smartTagPr>
          <w:attr w:name="ProductID" w:val="la familia. Aunque"/>
        </w:smartTagPr>
        <w:r>
          <w:rPr>
            <w:szCs w:val="24"/>
            <w:lang w:val="es-ES_tradnl"/>
          </w:rPr>
          <w:t>la familia.</w:t>
        </w:r>
        <w:r>
          <w:rPr>
            <w:szCs w:val="24"/>
          </w:rPr>
          <w:t xml:space="preserve"> </w:t>
        </w:r>
        <w:r>
          <w:rPr>
            <w:szCs w:val="24"/>
            <w:lang w:val="es-ES_tradnl"/>
          </w:rPr>
          <w:t>Aunque</w:t>
        </w:r>
      </w:smartTag>
      <w:r>
        <w:rPr>
          <w:szCs w:val="24"/>
          <w:lang w:val="es-ES_tradnl"/>
        </w:rPr>
        <w:t xml:space="preserve"> la situación ha mejorado en las familias con tres hijos o menos, los datos revelan un ascenso de las tasas de inseguridad alimentaria entre las familias con un mínimo de cuatro hijos.</w:t>
      </w:r>
    </w:p>
    <w:p w:rsidR="00F92819" w:rsidRDefault="00F92819">
      <w:pPr>
        <w:pStyle w:val="SingleTxtG"/>
        <w:rPr>
          <w:szCs w:val="24"/>
        </w:rPr>
      </w:pPr>
      <w:r>
        <w:rPr>
          <w:szCs w:val="24"/>
          <w:lang w:val="es-ES_tradnl"/>
        </w:rPr>
        <w:t xml:space="preserve">La comisión interministerial examinó las diferentes medidas adoptadas en Israel y en distintas economías de todo el mundo para mejorar la seguridad alimentaria, por ejemplo servicios de nutrición en las escuelas, despensas, comedores públicos, campañas educativas de administración del presupuesto familiar, subsidios, transferencias y ayudas económicas. Según la comisión, el Estado de Israel siempre se ha responsabilizado de cuidar y ofrecer ayuda a quienes </w:t>
      </w:r>
      <w:smartTag w:uri="urn:schemas-microsoft-com:office:smarttags" w:element="PersonName">
        <w:smartTagPr>
          <w:attr w:name="ProductID" w:val="la necesitan. El Gobierno"/>
        </w:smartTagPr>
        <w:r>
          <w:rPr>
            <w:szCs w:val="24"/>
            <w:lang w:val="es-ES_tradnl"/>
          </w:rPr>
          <w:t>la necesitan.</w:t>
        </w:r>
        <w:r>
          <w:rPr>
            <w:szCs w:val="24"/>
          </w:rPr>
          <w:t xml:space="preserve"> </w:t>
        </w:r>
        <w:r>
          <w:rPr>
            <w:szCs w:val="24"/>
            <w:lang w:val="es-ES_tradnl"/>
          </w:rPr>
          <w:t>El Gobierno</w:t>
        </w:r>
      </w:smartTag>
      <w:r>
        <w:rPr>
          <w:szCs w:val="24"/>
          <w:lang w:val="es-ES_tradnl"/>
        </w:rPr>
        <w:t xml:space="preserve"> ha cumplido esta responsabilidad a través de una política de transferencias y prestaciones económicas para asegurar unos ingresos suficientes</w:t>
      </w:r>
      <w:r>
        <w:rPr>
          <w:szCs w:val="24"/>
        </w:rPr>
        <w:t xml:space="preserve"> </w:t>
      </w:r>
      <w:r>
        <w:rPr>
          <w:szCs w:val="24"/>
          <w:lang w:val="es-ES_tradnl"/>
        </w:rPr>
        <w:t>y ha preferido las políticas de ayudas económicas a la participación directa en el suministro de alimentos, como han hecho la mayoría de economías occidentales, debido a las consecuencias negativas que suele tener tal implicación.</w:t>
      </w:r>
      <w:r>
        <w:rPr>
          <w:szCs w:val="24"/>
        </w:rPr>
        <w:t xml:space="preserve"> </w:t>
      </w:r>
      <w:r>
        <w:rPr>
          <w:szCs w:val="24"/>
          <w:lang w:val="es-ES_tradnl"/>
        </w:rPr>
        <w:t>Por tanto, las ONG desempeñan un papel clave e importante en la asistencia nutricional y la distribución alimentaria en Israel, en forma de despensas y comedores públicos.</w:t>
      </w:r>
    </w:p>
    <w:p w:rsidR="00F92819" w:rsidRDefault="00F92819">
      <w:pPr>
        <w:pStyle w:val="SingleTxtG"/>
        <w:rPr>
          <w:szCs w:val="24"/>
        </w:rPr>
      </w:pPr>
      <w:r>
        <w:rPr>
          <w:szCs w:val="24"/>
          <w:lang w:val="es-ES_tradnl"/>
        </w:rPr>
        <w:t xml:space="preserve">Estas son las recomendaciones de la comisión interministerial: </w:t>
      </w:r>
    </w:p>
    <w:p w:rsidR="00F92819" w:rsidRDefault="00F92819">
      <w:pPr>
        <w:pStyle w:val="SingleTxtG"/>
        <w:ind w:left="1701"/>
        <w:rPr>
          <w:szCs w:val="24"/>
        </w:rPr>
      </w:pPr>
      <w:r>
        <w:rPr>
          <w:szCs w:val="24"/>
        </w:rPr>
        <w:t>1.</w:t>
      </w:r>
      <w:r>
        <w:rPr>
          <w:szCs w:val="24"/>
        </w:rPr>
        <w:tab/>
      </w:r>
      <w:r>
        <w:rPr>
          <w:szCs w:val="24"/>
          <w:lang w:val="es-ES_tradnl"/>
        </w:rPr>
        <w:t xml:space="preserve">Regulación de la actividad de las ONG hacia el suministro de alimentos, tanto en épocas de emergencia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de paz, con el fin de facilitar su actividad, incluida la asignación de fondos estatales.</w:t>
      </w:r>
    </w:p>
    <w:p w:rsidR="00F92819" w:rsidRDefault="00F92819">
      <w:pPr>
        <w:pStyle w:val="SingleTxtG"/>
        <w:ind w:left="1701"/>
        <w:rPr>
          <w:szCs w:val="24"/>
        </w:rPr>
      </w:pPr>
      <w:r>
        <w:rPr>
          <w:szCs w:val="24"/>
        </w:rPr>
        <w:t>2.</w:t>
      </w:r>
      <w:r>
        <w:rPr>
          <w:szCs w:val="24"/>
        </w:rPr>
        <w:tab/>
      </w:r>
      <w:r>
        <w:rPr>
          <w:szCs w:val="24"/>
          <w:lang w:val="es-ES_tradnl"/>
        </w:rPr>
        <w:t>Creación de un Comité Asesor Público de Seguridad Nutricional.</w:t>
      </w:r>
    </w:p>
    <w:p w:rsidR="00F92819" w:rsidRDefault="00F92819">
      <w:pPr>
        <w:pStyle w:val="SingleTxtG"/>
        <w:ind w:left="1701"/>
        <w:rPr>
          <w:szCs w:val="24"/>
        </w:rPr>
      </w:pPr>
      <w:r>
        <w:rPr>
          <w:szCs w:val="24"/>
        </w:rPr>
        <w:t>3.</w:t>
      </w:r>
      <w:r>
        <w:rPr>
          <w:szCs w:val="24"/>
        </w:rPr>
        <w:tab/>
      </w:r>
      <w:r>
        <w:rPr>
          <w:szCs w:val="24"/>
          <w:lang w:val="es-ES_tradnl"/>
        </w:rPr>
        <w:t>Replanteamiento de la política la política de transferencias y prestaciones, y considerar la creación de servicios de nutrición específicos.</w:t>
      </w:r>
    </w:p>
    <w:p w:rsidR="00F92819" w:rsidRDefault="00F92819">
      <w:pPr>
        <w:pStyle w:val="SingleTxtG"/>
        <w:ind w:left="1701"/>
        <w:rPr>
          <w:szCs w:val="24"/>
        </w:rPr>
      </w:pPr>
      <w:r>
        <w:rPr>
          <w:szCs w:val="24"/>
        </w:rPr>
        <w:t>4.</w:t>
      </w:r>
      <w:r>
        <w:rPr>
          <w:szCs w:val="24"/>
        </w:rPr>
        <w:tab/>
      </w:r>
      <w:r>
        <w:rPr>
          <w:szCs w:val="24"/>
          <w:lang w:val="es-ES_tradnl"/>
        </w:rPr>
        <w:t>Institucionalización de la recogida de datos relativos a la seguridad alimentaria.</w:t>
      </w:r>
    </w:p>
    <w:p w:rsidR="00F92819" w:rsidRDefault="00F92819">
      <w:pPr>
        <w:pStyle w:val="SingleTxtG"/>
        <w:rPr>
          <w:szCs w:val="24"/>
        </w:rPr>
      </w:pPr>
      <w:r>
        <w:rPr>
          <w:szCs w:val="24"/>
        </w:rPr>
        <w:t>428.</w:t>
      </w:r>
      <w:r>
        <w:rPr>
          <w:szCs w:val="24"/>
        </w:rPr>
        <w:tab/>
      </w:r>
      <w:r>
        <w:rPr>
          <w:szCs w:val="24"/>
          <w:lang w:val="es-ES_tradnl"/>
        </w:rPr>
        <w:t xml:space="preserve">El Gobierno no ha adoptado las recomendaciones de la comisión interministerial debido a la objeción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Ministerio de Hacienda.</w:t>
      </w:r>
      <w:r>
        <w:rPr>
          <w:szCs w:val="24"/>
        </w:rPr>
        <w:t xml:space="preserve"> </w:t>
      </w:r>
      <w:r>
        <w:rPr>
          <w:szCs w:val="24"/>
          <w:lang w:val="es-ES_tradnl"/>
        </w:rPr>
        <w:t>No obstante, se creó un equipo conjunto formado por representantes de los Ministerios de Hacienda y Asuntos Sociales y Servicios Sociales, que está trabajando actualmente para adaptar y consolidar medidas adecuadas con el fin de facilitar la adopción y ejecución de las recomendaciones de la comisión.</w:t>
      </w:r>
    </w:p>
    <w:p w:rsidR="00F92819" w:rsidRDefault="00F92819">
      <w:pPr>
        <w:pStyle w:val="SingleTxtG"/>
        <w:rPr>
          <w:szCs w:val="24"/>
          <w:u w:val="single"/>
        </w:rPr>
      </w:pPr>
      <w:r>
        <w:rPr>
          <w:szCs w:val="24"/>
          <w:lang w:val="es-ES_tradnl"/>
        </w:rPr>
        <w:t>Antes de la consolidación de la comisión interministerial, la ONG “Latet” presentó una petición al Tribunal Superior de Justicia solicitando que el Tribunal resolviera que el Estado está obligado a asignar fondos para la construcción y el funcionamiento de una infraestructura logística que coordine la recogida, aprovisionamiento y distribución de la asistencia nutricional</w:t>
      </w:r>
      <w:r>
        <w:rPr>
          <w:szCs w:val="24"/>
        </w:rPr>
        <w:t xml:space="preserve"> </w:t>
      </w:r>
      <w:r>
        <w:rPr>
          <w:szCs w:val="24"/>
          <w:lang w:val="es-ES_tradnl"/>
        </w:rPr>
        <w:t xml:space="preserve">(H.C.J 1925/07 </w:t>
      </w:r>
      <w:r>
        <w:rPr>
          <w:i/>
          <w:szCs w:val="24"/>
          <w:lang w:val="es-ES_tradnl"/>
        </w:rPr>
        <w:t>Latet Organization et. al. c. el Primer Ministro et. al.</w:t>
      </w:r>
      <w:r>
        <w:rPr>
          <w:szCs w:val="24"/>
          <w:lang w:val="es-ES_tradnl"/>
        </w:rPr>
        <w:t>).</w:t>
      </w:r>
      <w:r>
        <w:rPr>
          <w:szCs w:val="24"/>
        </w:rPr>
        <w:t xml:space="preserve"> </w:t>
      </w:r>
      <w:r>
        <w:rPr>
          <w:szCs w:val="24"/>
          <w:lang w:val="es-ES_tradnl"/>
        </w:rPr>
        <w:t>La petición fue suprimida debido a la publicación de las recomendaciones de la comisión y su adopción por el Gobierno.</w:t>
      </w:r>
    </w:p>
    <w:p w:rsidR="00F92819" w:rsidRDefault="00F92819">
      <w:pPr>
        <w:pStyle w:val="H4G"/>
        <w:rPr>
          <w:szCs w:val="24"/>
        </w:rPr>
      </w:pPr>
      <w:r>
        <w:rPr>
          <w:szCs w:val="24"/>
        </w:rPr>
        <w:tab/>
      </w:r>
      <w:r>
        <w:rPr>
          <w:szCs w:val="24"/>
        </w:rPr>
        <w:tab/>
      </w:r>
      <w:r>
        <w:rPr>
          <w:szCs w:val="24"/>
          <w:lang w:val="es-ES_tradnl"/>
        </w:rPr>
        <w:t>Mantenimiento de los ingresos</w:t>
      </w:r>
    </w:p>
    <w:p w:rsidR="00F92819" w:rsidRDefault="00F92819">
      <w:pPr>
        <w:pStyle w:val="SingleTxtG"/>
        <w:rPr>
          <w:szCs w:val="24"/>
        </w:rPr>
      </w:pPr>
      <w:r>
        <w:rPr>
          <w:szCs w:val="24"/>
        </w:rPr>
        <w:t>429.</w:t>
      </w:r>
      <w:r>
        <w:rPr>
          <w:szCs w:val="24"/>
        </w:rPr>
        <w:tab/>
      </w:r>
      <w:r>
        <w:rPr>
          <w:szCs w:val="24"/>
          <w:lang w:val="es-ES_tradnl"/>
        </w:rPr>
        <w:t>Los avances con respecto a las prestaciones económicas, entre otras el sostenimiento de la renta, se detallan en el artículo 9 anterior.</w:t>
      </w:r>
    </w:p>
    <w:p w:rsidR="00F92819" w:rsidRDefault="00F92819">
      <w:pPr>
        <w:pStyle w:val="H4G"/>
        <w:rPr>
          <w:szCs w:val="24"/>
        </w:rPr>
      </w:pPr>
      <w:r>
        <w:rPr>
          <w:szCs w:val="24"/>
        </w:rPr>
        <w:tab/>
      </w:r>
      <w:r>
        <w:rPr>
          <w:szCs w:val="24"/>
        </w:rPr>
        <w:tab/>
      </w:r>
      <w:r>
        <w:rPr>
          <w:szCs w:val="24"/>
          <w:lang w:val="es-ES_tradnl"/>
        </w:rPr>
        <w:t>Indicadores de nutrición</w:t>
      </w:r>
    </w:p>
    <w:p w:rsidR="00F92819" w:rsidRDefault="00F92819">
      <w:pPr>
        <w:pStyle w:val="SingleTxtG"/>
        <w:rPr>
          <w:szCs w:val="24"/>
        </w:rPr>
      </w:pPr>
      <w:r>
        <w:rPr>
          <w:szCs w:val="24"/>
        </w:rPr>
        <w:t>430.</w:t>
      </w:r>
      <w:r>
        <w:rPr>
          <w:szCs w:val="24"/>
        </w:rPr>
        <w:tab/>
      </w:r>
      <w:r>
        <w:rPr>
          <w:szCs w:val="24"/>
          <w:lang w:val="es-ES_tradnl"/>
        </w:rPr>
        <w:t>Se actualizan a continuación los datos suministrados en el informe periódico anterior de Israel en materia de nutrición.</w:t>
      </w:r>
    </w:p>
    <w:p w:rsidR="00F92819" w:rsidRDefault="00F92819">
      <w:pPr>
        <w:pStyle w:val="Heading1"/>
        <w:spacing w:before="240"/>
        <w:rPr>
          <w:szCs w:val="24"/>
        </w:rPr>
      </w:pPr>
      <w:r>
        <w:rPr>
          <w:szCs w:val="24"/>
          <w:lang w:val="es-ES_tradnl"/>
        </w:rPr>
        <w:t>Cuadro 25</w:t>
      </w:r>
    </w:p>
    <w:p w:rsidR="00F92819" w:rsidRDefault="00F92819">
      <w:pPr>
        <w:pStyle w:val="SingleTxtG"/>
        <w:rPr>
          <w:szCs w:val="24"/>
        </w:rPr>
      </w:pPr>
      <w:r>
        <w:rPr>
          <w:b/>
          <w:szCs w:val="24"/>
          <w:lang w:val="es-ES_tradnl"/>
        </w:rPr>
        <w:t>Balance alimentario:</w:t>
      </w:r>
      <w:r>
        <w:rPr>
          <w:b/>
          <w:szCs w:val="24"/>
        </w:rPr>
        <w:t xml:space="preserve"> </w:t>
      </w:r>
      <w:r>
        <w:rPr>
          <w:b/>
          <w:szCs w:val="24"/>
          <w:lang w:val="es-ES_tradnl"/>
        </w:rPr>
        <w:t>calorías y nutrientes por persona y por día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686"/>
        <w:gridCol w:w="1417"/>
        <w:gridCol w:w="709"/>
        <w:gridCol w:w="851"/>
        <w:gridCol w:w="707"/>
      </w:tblGrid>
      <w:tr w:rsidR="00F92819">
        <w:trPr>
          <w:tblHeader/>
        </w:trPr>
        <w:tc>
          <w:tcPr>
            <w:tcW w:w="3686" w:type="dxa"/>
            <w:tcBorders>
              <w:top w:val="single" w:sz="4" w:space="0" w:color="auto"/>
              <w:bottom w:val="single" w:sz="12" w:space="0" w:color="auto"/>
            </w:tcBorders>
            <w:vAlign w:val="bottom"/>
          </w:tcPr>
          <w:p w:rsidR="00F92819" w:rsidRDefault="00F92819">
            <w:pPr>
              <w:spacing w:before="80" w:after="80" w:line="200" w:lineRule="exact"/>
              <w:rPr>
                <w:i/>
                <w:sz w:val="16"/>
                <w:szCs w:val="24"/>
              </w:rPr>
            </w:pPr>
          </w:p>
        </w:tc>
        <w:tc>
          <w:tcPr>
            <w:tcW w:w="1417" w:type="dxa"/>
            <w:tcBorders>
              <w:top w:val="single" w:sz="4" w:space="0" w:color="auto"/>
              <w:bottom w:val="single" w:sz="12" w:space="0" w:color="auto"/>
            </w:tcBorders>
            <w:vAlign w:val="center"/>
          </w:tcPr>
          <w:p w:rsidR="00F92819" w:rsidRDefault="00F92819">
            <w:pPr>
              <w:spacing w:before="80" w:after="80" w:line="200" w:lineRule="exact"/>
              <w:jc w:val="right"/>
              <w:rPr>
                <w:i/>
                <w:sz w:val="16"/>
                <w:szCs w:val="24"/>
              </w:rPr>
            </w:pPr>
            <w:r>
              <w:rPr>
                <w:i/>
                <w:sz w:val="16"/>
                <w:szCs w:val="24"/>
              </w:rPr>
              <w:t>1990</w:t>
            </w:r>
          </w:p>
        </w:tc>
        <w:tc>
          <w:tcPr>
            <w:tcW w:w="709" w:type="dxa"/>
            <w:tcBorders>
              <w:top w:val="single" w:sz="4" w:space="0" w:color="auto"/>
              <w:bottom w:val="single" w:sz="12" w:space="0" w:color="auto"/>
            </w:tcBorders>
            <w:vAlign w:val="center"/>
          </w:tcPr>
          <w:p w:rsidR="00F92819" w:rsidRDefault="00F92819">
            <w:pPr>
              <w:spacing w:before="80" w:after="80" w:line="200" w:lineRule="exact"/>
              <w:jc w:val="right"/>
              <w:rPr>
                <w:i/>
                <w:sz w:val="16"/>
                <w:szCs w:val="24"/>
              </w:rPr>
            </w:pPr>
            <w:r>
              <w:rPr>
                <w:i/>
                <w:sz w:val="16"/>
                <w:szCs w:val="24"/>
              </w:rPr>
              <w:t>2000</w:t>
            </w:r>
          </w:p>
        </w:tc>
        <w:tc>
          <w:tcPr>
            <w:tcW w:w="851" w:type="dxa"/>
            <w:tcBorders>
              <w:top w:val="single" w:sz="4" w:space="0" w:color="auto"/>
              <w:bottom w:val="single" w:sz="12" w:space="0" w:color="auto"/>
            </w:tcBorders>
            <w:vAlign w:val="center"/>
          </w:tcPr>
          <w:p w:rsidR="00F92819" w:rsidRDefault="00F92819">
            <w:pPr>
              <w:spacing w:before="80" w:after="80" w:line="200" w:lineRule="exact"/>
              <w:jc w:val="right"/>
              <w:rPr>
                <w:i/>
                <w:sz w:val="16"/>
                <w:szCs w:val="24"/>
              </w:rPr>
            </w:pPr>
            <w:r>
              <w:rPr>
                <w:i/>
                <w:sz w:val="16"/>
                <w:szCs w:val="24"/>
              </w:rPr>
              <w:t>2004</w:t>
            </w:r>
          </w:p>
        </w:tc>
        <w:tc>
          <w:tcPr>
            <w:tcW w:w="707" w:type="dxa"/>
            <w:tcBorders>
              <w:top w:val="single" w:sz="4" w:space="0" w:color="auto"/>
              <w:bottom w:val="single" w:sz="12" w:space="0" w:color="auto"/>
            </w:tcBorders>
            <w:vAlign w:val="center"/>
          </w:tcPr>
          <w:p w:rsidR="00F92819" w:rsidRDefault="00F92819">
            <w:pPr>
              <w:spacing w:before="80" w:after="80" w:line="200" w:lineRule="exact"/>
              <w:jc w:val="right"/>
              <w:rPr>
                <w:i/>
                <w:sz w:val="16"/>
                <w:szCs w:val="24"/>
              </w:rPr>
            </w:pPr>
            <w:r>
              <w:rPr>
                <w:i/>
                <w:sz w:val="16"/>
                <w:szCs w:val="24"/>
              </w:rPr>
              <w:t>2006</w:t>
            </w:r>
          </w:p>
        </w:tc>
      </w:tr>
      <w:tr w:rsidR="00F92819">
        <w:tc>
          <w:tcPr>
            <w:tcW w:w="3686" w:type="dxa"/>
            <w:tcBorders>
              <w:top w:val="single" w:sz="12" w:space="0" w:color="auto"/>
              <w:bottom w:val="single" w:sz="4" w:space="0" w:color="auto"/>
            </w:tcBorders>
            <w:vAlign w:val="bottom"/>
          </w:tcPr>
          <w:p w:rsidR="00F92819" w:rsidRDefault="00F92819">
            <w:pPr>
              <w:spacing w:before="80" w:after="80" w:line="200" w:lineRule="exact"/>
              <w:rPr>
                <w:szCs w:val="24"/>
              </w:rPr>
            </w:pPr>
            <w:r>
              <w:rPr>
                <w:i/>
                <w:sz w:val="16"/>
                <w:szCs w:val="24"/>
                <w:lang w:val="es-ES_tradnl"/>
              </w:rPr>
              <w:t>Calorías (Kcal)</w:t>
            </w:r>
          </w:p>
        </w:tc>
        <w:tc>
          <w:tcPr>
            <w:tcW w:w="1417" w:type="dxa"/>
            <w:tcBorders>
              <w:top w:val="single" w:sz="12" w:space="0" w:color="auto"/>
              <w:bottom w:val="single" w:sz="4" w:space="0" w:color="auto"/>
            </w:tcBorders>
            <w:vAlign w:val="bottom"/>
          </w:tcPr>
          <w:p w:rsidR="00F92819" w:rsidRDefault="00F92819">
            <w:pPr>
              <w:spacing w:before="40" w:after="40" w:line="220" w:lineRule="exact"/>
              <w:jc w:val="right"/>
              <w:rPr>
                <w:sz w:val="18"/>
                <w:szCs w:val="24"/>
              </w:rPr>
            </w:pPr>
          </w:p>
        </w:tc>
        <w:tc>
          <w:tcPr>
            <w:tcW w:w="709" w:type="dxa"/>
            <w:tcBorders>
              <w:top w:val="single" w:sz="12" w:space="0" w:color="auto"/>
              <w:bottom w:val="single" w:sz="4" w:space="0" w:color="auto"/>
            </w:tcBorders>
            <w:vAlign w:val="bottom"/>
          </w:tcPr>
          <w:p w:rsidR="00F92819" w:rsidRDefault="00F92819">
            <w:pPr>
              <w:spacing w:before="40" w:after="40" w:line="220" w:lineRule="exact"/>
              <w:jc w:val="right"/>
              <w:rPr>
                <w:sz w:val="18"/>
                <w:szCs w:val="24"/>
              </w:rPr>
            </w:pPr>
          </w:p>
        </w:tc>
        <w:tc>
          <w:tcPr>
            <w:tcW w:w="851" w:type="dxa"/>
            <w:tcBorders>
              <w:top w:val="single" w:sz="12" w:space="0" w:color="auto"/>
              <w:bottom w:val="single" w:sz="4" w:space="0" w:color="auto"/>
            </w:tcBorders>
            <w:vAlign w:val="bottom"/>
          </w:tcPr>
          <w:p w:rsidR="00F92819" w:rsidRDefault="00F92819">
            <w:pPr>
              <w:spacing w:before="40" w:after="40" w:line="220" w:lineRule="exact"/>
              <w:jc w:val="right"/>
              <w:rPr>
                <w:sz w:val="18"/>
                <w:szCs w:val="24"/>
              </w:rPr>
            </w:pPr>
          </w:p>
        </w:tc>
        <w:tc>
          <w:tcPr>
            <w:tcW w:w="707" w:type="dxa"/>
            <w:tcBorders>
              <w:top w:val="single" w:sz="12" w:space="0" w:color="auto"/>
              <w:bottom w:val="single" w:sz="4" w:space="0" w:color="auto"/>
            </w:tcBorders>
            <w:vAlign w:val="bottom"/>
          </w:tcPr>
          <w:p w:rsidR="00F92819" w:rsidRDefault="00F92819">
            <w:pPr>
              <w:spacing w:before="40" w:after="40" w:line="220" w:lineRule="exact"/>
              <w:jc w:val="right"/>
              <w:rPr>
                <w:sz w:val="18"/>
                <w:szCs w:val="24"/>
              </w:rPr>
            </w:pPr>
          </w:p>
        </w:tc>
      </w:tr>
      <w:tr w:rsidR="00F92819">
        <w:tc>
          <w:tcPr>
            <w:tcW w:w="3686" w:type="dxa"/>
            <w:tcBorders>
              <w:top w:val="single" w:sz="4" w:space="0" w:color="auto"/>
              <w:bottom w:val="single" w:sz="4" w:space="0" w:color="auto"/>
            </w:tcBorders>
          </w:tcPr>
          <w:p w:rsidR="00F92819" w:rsidRDefault="00F92819">
            <w:pPr>
              <w:spacing w:before="80" w:after="80" w:line="220" w:lineRule="exact"/>
              <w:ind w:left="284"/>
              <w:rPr>
                <w:szCs w:val="24"/>
              </w:rPr>
            </w:pPr>
            <w:r>
              <w:rPr>
                <w:b/>
                <w:sz w:val="18"/>
                <w:szCs w:val="24"/>
                <w:lang w:val="es-ES_tradnl"/>
              </w:rPr>
              <w:t>Total</w:t>
            </w:r>
          </w:p>
        </w:tc>
        <w:tc>
          <w:tcPr>
            <w:tcW w:w="1417"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3 089</w:t>
            </w:r>
          </w:p>
        </w:tc>
        <w:tc>
          <w:tcPr>
            <w:tcW w:w="709"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3 556</w:t>
            </w:r>
          </w:p>
        </w:tc>
        <w:tc>
          <w:tcPr>
            <w:tcW w:w="851"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3 649</w:t>
            </w:r>
          </w:p>
        </w:tc>
        <w:tc>
          <w:tcPr>
            <w:tcW w:w="707"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3 643</w:t>
            </w:r>
          </w:p>
        </w:tc>
      </w:tr>
      <w:tr w:rsidR="00F92819">
        <w:tc>
          <w:tcPr>
            <w:tcW w:w="3686" w:type="dxa"/>
            <w:tcBorders>
              <w:top w:val="single" w:sz="4" w:space="0" w:color="auto"/>
            </w:tcBorders>
          </w:tcPr>
          <w:p w:rsidR="00F92819" w:rsidRDefault="00F92819">
            <w:pPr>
              <w:spacing w:before="40" w:after="40" w:line="220" w:lineRule="exact"/>
              <w:rPr>
                <w:szCs w:val="24"/>
              </w:rPr>
            </w:pPr>
            <w:r>
              <w:rPr>
                <w:sz w:val="18"/>
                <w:szCs w:val="24"/>
                <w:lang w:val="es-ES_tradnl"/>
              </w:rPr>
              <w:t>Cereales y productos de cereales</w:t>
            </w:r>
          </w:p>
        </w:tc>
        <w:tc>
          <w:tcPr>
            <w:tcW w:w="1417"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986</w:t>
            </w:r>
          </w:p>
        </w:tc>
        <w:tc>
          <w:tcPr>
            <w:tcW w:w="70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1 095</w:t>
            </w:r>
          </w:p>
        </w:tc>
        <w:tc>
          <w:tcPr>
            <w:tcW w:w="851"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1 255</w:t>
            </w:r>
          </w:p>
        </w:tc>
        <w:tc>
          <w:tcPr>
            <w:tcW w:w="707"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1 220</w:t>
            </w:r>
          </w:p>
        </w:tc>
      </w:tr>
      <w:tr w:rsidR="00F92819">
        <w:tc>
          <w:tcPr>
            <w:tcW w:w="3686" w:type="dxa"/>
          </w:tcPr>
          <w:p w:rsidR="00F92819" w:rsidRDefault="00F92819">
            <w:pPr>
              <w:spacing w:before="40" w:after="40" w:line="220" w:lineRule="exact"/>
              <w:rPr>
                <w:szCs w:val="24"/>
              </w:rPr>
            </w:pPr>
            <w:r>
              <w:rPr>
                <w:sz w:val="18"/>
                <w:szCs w:val="24"/>
                <w:lang w:val="es-ES_tradnl"/>
              </w:rPr>
              <w:t>Patatas y féculas</w:t>
            </w:r>
          </w:p>
        </w:tc>
        <w:tc>
          <w:tcPr>
            <w:tcW w:w="1417" w:type="dxa"/>
            <w:vAlign w:val="center"/>
          </w:tcPr>
          <w:p w:rsidR="00F92819" w:rsidRDefault="00F92819">
            <w:pPr>
              <w:spacing w:before="40" w:after="40" w:line="220" w:lineRule="exact"/>
              <w:jc w:val="right"/>
              <w:rPr>
                <w:sz w:val="18"/>
                <w:szCs w:val="24"/>
              </w:rPr>
            </w:pPr>
            <w:r>
              <w:rPr>
                <w:sz w:val="18"/>
                <w:szCs w:val="24"/>
              </w:rPr>
              <w:t>66</w:t>
            </w:r>
          </w:p>
        </w:tc>
        <w:tc>
          <w:tcPr>
            <w:tcW w:w="709" w:type="dxa"/>
            <w:vAlign w:val="center"/>
          </w:tcPr>
          <w:p w:rsidR="00F92819" w:rsidRDefault="00F92819">
            <w:pPr>
              <w:spacing w:before="40" w:after="40" w:line="220" w:lineRule="exact"/>
              <w:jc w:val="right"/>
              <w:rPr>
                <w:sz w:val="18"/>
                <w:szCs w:val="24"/>
              </w:rPr>
            </w:pPr>
            <w:r>
              <w:rPr>
                <w:sz w:val="18"/>
                <w:szCs w:val="24"/>
              </w:rPr>
              <w:t>85</w:t>
            </w:r>
          </w:p>
        </w:tc>
        <w:tc>
          <w:tcPr>
            <w:tcW w:w="851" w:type="dxa"/>
            <w:vAlign w:val="center"/>
          </w:tcPr>
          <w:p w:rsidR="00F92819" w:rsidRDefault="00F92819">
            <w:pPr>
              <w:spacing w:before="40" w:after="40" w:line="220" w:lineRule="exact"/>
              <w:jc w:val="right"/>
              <w:rPr>
                <w:sz w:val="18"/>
                <w:szCs w:val="24"/>
              </w:rPr>
            </w:pPr>
            <w:r>
              <w:rPr>
                <w:sz w:val="18"/>
                <w:szCs w:val="24"/>
              </w:rPr>
              <w:t>128</w:t>
            </w:r>
          </w:p>
        </w:tc>
        <w:tc>
          <w:tcPr>
            <w:tcW w:w="707" w:type="dxa"/>
            <w:vAlign w:val="center"/>
          </w:tcPr>
          <w:p w:rsidR="00F92819" w:rsidRDefault="00F92819">
            <w:pPr>
              <w:spacing w:before="40" w:after="40" w:line="220" w:lineRule="exact"/>
              <w:jc w:val="right"/>
              <w:rPr>
                <w:sz w:val="18"/>
                <w:szCs w:val="24"/>
              </w:rPr>
            </w:pPr>
            <w:r>
              <w:rPr>
                <w:sz w:val="18"/>
                <w:szCs w:val="24"/>
              </w:rPr>
              <w:t>124</w:t>
            </w:r>
          </w:p>
        </w:tc>
      </w:tr>
      <w:tr w:rsidR="00F92819">
        <w:tc>
          <w:tcPr>
            <w:tcW w:w="3686" w:type="dxa"/>
          </w:tcPr>
          <w:p w:rsidR="00F92819" w:rsidRDefault="00F92819">
            <w:pPr>
              <w:spacing w:before="40" w:after="40" w:line="220" w:lineRule="exact"/>
              <w:rPr>
                <w:szCs w:val="24"/>
              </w:rPr>
            </w:pPr>
            <w:r>
              <w:rPr>
                <w:sz w:val="18"/>
                <w:szCs w:val="24"/>
                <w:lang w:val="es-ES_tradnl"/>
              </w:rPr>
              <w:t>Azúcar, dulces y miel (1)</w:t>
            </w:r>
          </w:p>
        </w:tc>
        <w:tc>
          <w:tcPr>
            <w:tcW w:w="1417" w:type="dxa"/>
            <w:vAlign w:val="center"/>
          </w:tcPr>
          <w:p w:rsidR="00F92819" w:rsidRDefault="00F92819">
            <w:pPr>
              <w:spacing w:before="40" w:after="40" w:line="220" w:lineRule="exact"/>
              <w:jc w:val="right"/>
              <w:rPr>
                <w:sz w:val="18"/>
                <w:szCs w:val="24"/>
              </w:rPr>
            </w:pPr>
            <w:r>
              <w:rPr>
                <w:sz w:val="18"/>
                <w:szCs w:val="24"/>
              </w:rPr>
              <w:t>482</w:t>
            </w:r>
          </w:p>
        </w:tc>
        <w:tc>
          <w:tcPr>
            <w:tcW w:w="709" w:type="dxa"/>
            <w:vAlign w:val="center"/>
          </w:tcPr>
          <w:p w:rsidR="00F92819" w:rsidRDefault="00F92819">
            <w:pPr>
              <w:spacing w:before="40" w:after="40" w:line="220" w:lineRule="exact"/>
              <w:jc w:val="right"/>
              <w:rPr>
                <w:sz w:val="18"/>
                <w:szCs w:val="24"/>
              </w:rPr>
            </w:pPr>
            <w:r>
              <w:rPr>
                <w:sz w:val="18"/>
                <w:szCs w:val="24"/>
              </w:rPr>
              <w:t>651</w:t>
            </w:r>
          </w:p>
        </w:tc>
        <w:tc>
          <w:tcPr>
            <w:tcW w:w="851" w:type="dxa"/>
            <w:vAlign w:val="center"/>
          </w:tcPr>
          <w:p w:rsidR="00F92819" w:rsidRDefault="00F92819">
            <w:pPr>
              <w:spacing w:before="40" w:after="40" w:line="220" w:lineRule="exact"/>
              <w:jc w:val="right"/>
              <w:rPr>
                <w:sz w:val="18"/>
                <w:szCs w:val="24"/>
              </w:rPr>
            </w:pPr>
            <w:r>
              <w:rPr>
                <w:sz w:val="18"/>
                <w:szCs w:val="24"/>
              </w:rPr>
              <w:t>214</w:t>
            </w:r>
          </w:p>
        </w:tc>
        <w:tc>
          <w:tcPr>
            <w:tcW w:w="707" w:type="dxa"/>
            <w:vAlign w:val="center"/>
          </w:tcPr>
          <w:p w:rsidR="00F92819" w:rsidRDefault="00F92819">
            <w:pPr>
              <w:spacing w:before="40" w:after="40" w:line="220" w:lineRule="exact"/>
              <w:jc w:val="right"/>
              <w:rPr>
                <w:sz w:val="18"/>
                <w:szCs w:val="24"/>
              </w:rPr>
            </w:pPr>
            <w:r>
              <w:rPr>
                <w:sz w:val="18"/>
                <w:szCs w:val="24"/>
              </w:rPr>
              <w:t>208</w:t>
            </w:r>
          </w:p>
        </w:tc>
      </w:tr>
      <w:tr w:rsidR="00F92819">
        <w:tc>
          <w:tcPr>
            <w:tcW w:w="3686" w:type="dxa"/>
          </w:tcPr>
          <w:p w:rsidR="00F92819" w:rsidRDefault="00F92819">
            <w:pPr>
              <w:spacing w:before="40" w:after="40" w:line="220" w:lineRule="exact"/>
              <w:rPr>
                <w:szCs w:val="24"/>
              </w:rPr>
            </w:pPr>
            <w:r>
              <w:rPr>
                <w:sz w:val="18"/>
                <w:szCs w:val="24"/>
                <w:lang w:val="es-ES_tradnl"/>
              </w:rPr>
              <w:t>Legumbres, semillas oleaginosas y nueces</w:t>
            </w:r>
          </w:p>
        </w:tc>
        <w:tc>
          <w:tcPr>
            <w:tcW w:w="1417" w:type="dxa"/>
            <w:vAlign w:val="center"/>
          </w:tcPr>
          <w:p w:rsidR="00F92819" w:rsidRDefault="00F92819">
            <w:pPr>
              <w:spacing w:before="40" w:after="40" w:line="220" w:lineRule="exact"/>
              <w:jc w:val="right"/>
              <w:rPr>
                <w:sz w:val="18"/>
                <w:szCs w:val="24"/>
              </w:rPr>
            </w:pPr>
            <w:r>
              <w:rPr>
                <w:sz w:val="18"/>
                <w:szCs w:val="24"/>
              </w:rPr>
              <w:t>152</w:t>
            </w:r>
          </w:p>
        </w:tc>
        <w:tc>
          <w:tcPr>
            <w:tcW w:w="709" w:type="dxa"/>
            <w:vAlign w:val="center"/>
          </w:tcPr>
          <w:p w:rsidR="00F92819" w:rsidRDefault="00F92819">
            <w:pPr>
              <w:spacing w:before="40" w:after="40" w:line="220" w:lineRule="exact"/>
              <w:jc w:val="right"/>
              <w:rPr>
                <w:sz w:val="18"/>
                <w:szCs w:val="24"/>
              </w:rPr>
            </w:pPr>
            <w:r>
              <w:rPr>
                <w:sz w:val="18"/>
                <w:szCs w:val="24"/>
              </w:rPr>
              <w:t>142</w:t>
            </w:r>
          </w:p>
        </w:tc>
        <w:tc>
          <w:tcPr>
            <w:tcW w:w="851" w:type="dxa"/>
            <w:vAlign w:val="center"/>
          </w:tcPr>
          <w:p w:rsidR="00F92819" w:rsidRDefault="00F92819">
            <w:pPr>
              <w:spacing w:before="40" w:after="40" w:line="220" w:lineRule="exact"/>
              <w:jc w:val="right"/>
              <w:rPr>
                <w:sz w:val="18"/>
                <w:szCs w:val="24"/>
              </w:rPr>
            </w:pPr>
            <w:r>
              <w:rPr>
                <w:sz w:val="18"/>
                <w:szCs w:val="24"/>
              </w:rPr>
              <w:t>198</w:t>
            </w:r>
          </w:p>
        </w:tc>
        <w:tc>
          <w:tcPr>
            <w:tcW w:w="707" w:type="dxa"/>
            <w:vAlign w:val="center"/>
          </w:tcPr>
          <w:p w:rsidR="00F92819" w:rsidRDefault="00F92819">
            <w:pPr>
              <w:spacing w:before="40" w:after="40" w:line="220" w:lineRule="exact"/>
              <w:jc w:val="right"/>
              <w:rPr>
                <w:sz w:val="18"/>
                <w:szCs w:val="24"/>
              </w:rPr>
            </w:pPr>
            <w:r>
              <w:rPr>
                <w:sz w:val="18"/>
                <w:szCs w:val="24"/>
              </w:rPr>
              <w:t>228</w:t>
            </w:r>
          </w:p>
        </w:tc>
      </w:tr>
      <w:tr w:rsidR="00F92819">
        <w:tc>
          <w:tcPr>
            <w:tcW w:w="3686" w:type="dxa"/>
          </w:tcPr>
          <w:p w:rsidR="00F92819" w:rsidRDefault="00F92819">
            <w:pPr>
              <w:spacing w:before="40" w:after="40" w:line="220" w:lineRule="exact"/>
              <w:rPr>
                <w:szCs w:val="24"/>
              </w:rPr>
            </w:pPr>
            <w:r>
              <w:rPr>
                <w:sz w:val="18"/>
                <w:szCs w:val="24"/>
                <w:lang w:val="es-ES_tradnl"/>
              </w:rPr>
              <w:t>Verduras y melones (2)</w:t>
            </w:r>
          </w:p>
        </w:tc>
        <w:tc>
          <w:tcPr>
            <w:tcW w:w="1417" w:type="dxa"/>
            <w:vAlign w:val="center"/>
          </w:tcPr>
          <w:p w:rsidR="00F92819" w:rsidRDefault="00F92819">
            <w:pPr>
              <w:spacing w:before="40" w:after="40" w:line="220" w:lineRule="exact"/>
              <w:jc w:val="right"/>
              <w:rPr>
                <w:sz w:val="18"/>
                <w:szCs w:val="24"/>
              </w:rPr>
            </w:pPr>
            <w:r>
              <w:rPr>
                <w:sz w:val="18"/>
                <w:szCs w:val="24"/>
              </w:rPr>
              <w:t>103</w:t>
            </w:r>
          </w:p>
        </w:tc>
        <w:tc>
          <w:tcPr>
            <w:tcW w:w="709" w:type="dxa"/>
            <w:vAlign w:val="center"/>
          </w:tcPr>
          <w:p w:rsidR="00F92819" w:rsidRDefault="00F92819">
            <w:pPr>
              <w:spacing w:before="40" w:after="40" w:line="220" w:lineRule="exact"/>
              <w:jc w:val="right"/>
              <w:rPr>
                <w:sz w:val="18"/>
                <w:szCs w:val="24"/>
              </w:rPr>
            </w:pPr>
            <w:r>
              <w:rPr>
                <w:sz w:val="18"/>
                <w:szCs w:val="24"/>
              </w:rPr>
              <w:t>103</w:t>
            </w:r>
          </w:p>
        </w:tc>
        <w:tc>
          <w:tcPr>
            <w:tcW w:w="851" w:type="dxa"/>
            <w:vAlign w:val="center"/>
          </w:tcPr>
          <w:p w:rsidR="00F92819" w:rsidRDefault="00F92819">
            <w:pPr>
              <w:spacing w:before="40" w:after="40" w:line="220" w:lineRule="exact"/>
              <w:jc w:val="right"/>
              <w:rPr>
                <w:sz w:val="18"/>
                <w:szCs w:val="24"/>
              </w:rPr>
            </w:pPr>
            <w:r>
              <w:rPr>
                <w:sz w:val="18"/>
                <w:szCs w:val="24"/>
              </w:rPr>
              <w:t>187</w:t>
            </w:r>
          </w:p>
        </w:tc>
        <w:tc>
          <w:tcPr>
            <w:tcW w:w="707" w:type="dxa"/>
            <w:vAlign w:val="center"/>
          </w:tcPr>
          <w:p w:rsidR="00F92819" w:rsidRDefault="00F92819">
            <w:pPr>
              <w:spacing w:before="40" w:after="40" w:line="220" w:lineRule="exact"/>
              <w:jc w:val="right"/>
              <w:rPr>
                <w:sz w:val="18"/>
                <w:szCs w:val="24"/>
              </w:rPr>
            </w:pPr>
            <w:r>
              <w:rPr>
                <w:sz w:val="18"/>
                <w:szCs w:val="24"/>
              </w:rPr>
              <w:t>182</w:t>
            </w:r>
          </w:p>
        </w:tc>
      </w:tr>
      <w:tr w:rsidR="00F92819">
        <w:tc>
          <w:tcPr>
            <w:tcW w:w="3686" w:type="dxa"/>
          </w:tcPr>
          <w:p w:rsidR="00F92819" w:rsidRDefault="00F92819">
            <w:pPr>
              <w:spacing w:before="40" w:after="40" w:line="220" w:lineRule="exact"/>
              <w:rPr>
                <w:szCs w:val="24"/>
              </w:rPr>
            </w:pPr>
            <w:r>
              <w:rPr>
                <w:sz w:val="18"/>
                <w:szCs w:val="24"/>
                <w:lang w:val="es-ES_tradnl"/>
              </w:rPr>
              <w:t>Frutas (2)</w:t>
            </w:r>
          </w:p>
        </w:tc>
        <w:tc>
          <w:tcPr>
            <w:tcW w:w="1417" w:type="dxa"/>
            <w:vAlign w:val="center"/>
          </w:tcPr>
          <w:p w:rsidR="00F92819" w:rsidRDefault="00F92819">
            <w:pPr>
              <w:spacing w:before="40" w:after="40" w:line="220" w:lineRule="exact"/>
              <w:jc w:val="right"/>
              <w:rPr>
                <w:sz w:val="18"/>
                <w:szCs w:val="24"/>
              </w:rPr>
            </w:pPr>
            <w:r>
              <w:rPr>
                <w:sz w:val="18"/>
                <w:szCs w:val="24"/>
              </w:rPr>
              <w:t>169</w:t>
            </w:r>
          </w:p>
        </w:tc>
        <w:tc>
          <w:tcPr>
            <w:tcW w:w="709" w:type="dxa"/>
            <w:vAlign w:val="center"/>
          </w:tcPr>
          <w:p w:rsidR="00F92819" w:rsidRDefault="00F92819">
            <w:pPr>
              <w:spacing w:before="40" w:after="40" w:line="220" w:lineRule="exact"/>
              <w:jc w:val="right"/>
              <w:rPr>
                <w:sz w:val="18"/>
                <w:szCs w:val="24"/>
              </w:rPr>
            </w:pPr>
            <w:r>
              <w:rPr>
                <w:sz w:val="18"/>
                <w:szCs w:val="24"/>
              </w:rPr>
              <w:t>186</w:t>
            </w:r>
          </w:p>
        </w:tc>
        <w:tc>
          <w:tcPr>
            <w:tcW w:w="851" w:type="dxa"/>
            <w:vAlign w:val="center"/>
          </w:tcPr>
          <w:p w:rsidR="00F92819" w:rsidRDefault="00F92819">
            <w:pPr>
              <w:spacing w:before="40" w:after="40" w:line="220" w:lineRule="exact"/>
              <w:jc w:val="right"/>
              <w:rPr>
                <w:sz w:val="18"/>
                <w:szCs w:val="24"/>
              </w:rPr>
            </w:pPr>
            <w:r>
              <w:rPr>
                <w:sz w:val="18"/>
                <w:szCs w:val="24"/>
              </w:rPr>
              <w:t>203</w:t>
            </w:r>
          </w:p>
        </w:tc>
        <w:tc>
          <w:tcPr>
            <w:tcW w:w="707" w:type="dxa"/>
            <w:vAlign w:val="center"/>
          </w:tcPr>
          <w:p w:rsidR="00F92819" w:rsidRDefault="00F92819">
            <w:pPr>
              <w:spacing w:before="40" w:after="40" w:line="220" w:lineRule="exact"/>
              <w:jc w:val="right"/>
              <w:rPr>
                <w:sz w:val="18"/>
                <w:szCs w:val="24"/>
              </w:rPr>
            </w:pPr>
            <w:r>
              <w:rPr>
                <w:sz w:val="18"/>
                <w:szCs w:val="24"/>
              </w:rPr>
              <w:t>192</w:t>
            </w:r>
          </w:p>
        </w:tc>
      </w:tr>
      <w:tr w:rsidR="00F92819">
        <w:tc>
          <w:tcPr>
            <w:tcW w:w="3686" w:type="dxa"/>
          </w:tcPr>
          <w:p w:rsidR="00F92819" w:rsidRDefault="00F92819">
            <w:pPr>
              <w:spacing w:before="40" w:after="40" w:line="220" w:lineRule="exact"/>
              <w:rPr>
                <w:szCs w:val="24"/>
              </w:rPr>
            </w:pPr>
            <w:r>
              <w:rPr>
                <w:sz w:val="18"/>
                <w:szCs w:val="24"/>
                <w:lang w:val="es-ES_tradnl"/>
              </w:rPr>
              <w:t>Aceites y grasas</w:t>
            </w:r>
          </w:p>
        </w:tc>
        <w:tc>
          <w:tcPr>
            <w:tcW w:w="1417" w:type="dxa"/>
            <w:vAlign w:val="center"/>
          </w:tcPr>
          <w:p w:rsidR="00F92819" w:rsidRDefault="00F92819">
            <w:pPr>
              <w:spacing w:before="40" w:after="40" w:line="220" w:lineRule="exact"/>
              <w:jc w:val="right"/>
              <w:rPr>
                <w:sz w:val="18"/>
                <w:szCs w:val="24"/>
              </w:rPr>
            </w:pPr>
            <w:r>
              <w:rPr>
                <w:sz w:val="18"/>
                <w:szCs w:val="24"/>
              </w:rPr>
              <w:t>486</w:t>
            </w:r>
          </w:p>
        </w:tc>
        <w:tc>
          <w:tcPr>
            <w:tcW w:w="709" w:type="dxa"/>
            <w:vAlign w:val="center"/>
          </w:tcPr>
          <w:p w:rsidR="00F92819" w:rsidRDefault="00F92819">
            <w:pPr>
              <w:spacing w:before="40" w:after="40" w:line="220" w:lineRule="exact"/>
              <w:jc w:val="right"/>
              <w:rPr>
                <w:sz w:val="18"/>
                <w:szCs w:val="24"/>
              </w:rPr>
            </w:pPr>
            <w:r>
              <w:rPr>
                <w:sz w:val="18"/>
                <w:szCs w:val="24"/>
              </w:rPr>
              <w:t>629</w:t>
            </w:r>
          </w:p>
        </w:tc>
        <w:tc>
          <w:tcPr>
            <w:tcW w:w="851" w:type="dxa"/>
            <w:vAlign w:val="center"/>
          </w:tcPr>
          <w:p w:rsidR="00F92819" w:rsidRDefault="00F92819">
            <w:pPr>
              <w:spacing w:before="40" w:after="40" w:line="220" w:lineRule="exact"/>
              <w:jc w:val="right"/>
              <w:rPr>
                <w:sz w:val="18"/>
                <w:szCs w:val="24"/>
              </w:rPr>
            </w:pPr>
            <w:r>
              <w:rPr>
                <w:sz w:val="18"/>
                <w:szCs w:val="24"/>
              </w:rPr>
              <w:t>716</w:t>
            </w:r>
          </w:p>
        </w:tc>
        <w:tc>
          <w:tcPr>
            <w:tcW w:w="707" w:type="dxa"/>
            <w:vAlign w:val="center"/>
          </w:tcPr>
          <w:p w:rsidR="00F92819" w:rsidRDefault="00F92819">
            <w:pPr>
              <w:spacing w:before="40" w:after="40" w:line="220" w:lineRule="exact"/>
              <w:jc w:val="right"/>
              <w:rPr>
                <w:sz w:val="18"/>
                <w:szCs w:val="24"/>
              </w:rPr>
            </w:pPr>
            <w:r>
              <w:rPr>
                <w:sz w:val="18"/>
                <w:szCs w:val="24"/>
              </w:rPr>
              <w:t>698</w:t>
            </w:r>
          </w:p>
        </w:tc>
      </w:tr>
      <w:tr w:rsidR="00F92819">
        <w:tc>
          <w:tcPr>
            <w:tcW w:w="3686" w:type="dxa"/>
          </w:tcPr>
          <w:p w:rsidR="00F92819" w:rsidRDefault="00F92819">
            <w:pPr>
              <w:spacing w:before="40" w:after="40" w:line="220" w:lineRule="exact"/>
              <w:rPr>
                <w:szCs w:val="24"/>
              </w:rPr>
            </w:pPr>
            <w:r>
              <w:rPr>
                <w:sz w:val="18"/>
                <w:szCs w:val="24"/>
                <w:lang w:val="es-ES_tradnl"/>
              </w:rPr>
              <w:t>Carne</w:t>
            </w:r>
          </w:p>
        </w:tc>
        <w:tc>
          <w:tcPr>
            <w:tcW w:w="1417" w:type="dxa"/>
            <w:vAlign w:val="center"/>
          </w:tcPr>
          <w:p w:rsidR="00F92819" w:rsidRDefault="00F92819">
            <w:pPr>
              <w:spacing w:before="40" w:after="40" w:line="220" w:lineRule="exact"/>
              <w:jc w:val="right"/>
              <w:rPr>
                <w:sz w:val="18"/>
                <w:szCs w:val="24"/>
              </w:rPr>
            </w:pPr>
            <w:r>
              <w:rPr>
                <w:sz w:val="18"/>
                <w:szCs w:val="24"/>
              </w:rPr>
              <w:t>317</w:t>
            </w:r>
          </w:p>
        </w:tc>
        <w:tc>
          <w:tcPr>
            <w:tcW w:w="709" w:type="dxa"/>
            <w:vAlign w:val="center"/>
          </w:tcPr>
          <w:p w:rsidR="00F92819" w:rsidRDefault="00F92819">
            <w:pPr>
              <w:spacing w:before="40" w:after="40" w:line="220" w:lineRule="exact"/>
              <w:jc w:val="right"/>
              <w:rPr>
                <w:sz w:val="18"/>
                <w:szCs w:val="24"/>
              </w:rPr>
            </w:pPr>
            <w:r>
              <w:rPr>
                <w:sz w:val="18"/>
                <w:szCs w:val="24"/>
              </w:rPr>
              <w:t>344</w:t>
            </w:r>
          </w:p>
        </w:tc>
        <w:tc>
          <w:tcPr>
            <w:tcW w:w="851" w:type="dxa"/>
            <w:vAlign w:val="center"/>
          </w:tcPr>
          <w:p w:rsidR="00F92819" w:rsidRDefault="00F92819">
            <w:pPr>
              <w:spacing w:before="40" w:after="40" w:line="220" w:lineRule="exact"/>
              <w:jc w:val="right"/>
              <w:rPr>
                <w:sz w:val="18"/>
                <w:szCs w:val="24"/>
              </w:rPr>
            </w:pPr>
            <w:r>
              <w:rPr>
                <w:sz w:val="18"/>
                <w:szCs w:val="24"/>
              </w:rPr>
              <w:t>346</w:t>
            </w:r>
          </w:p>
        </w:tc>
        <w:tc>
          <w:tcPr>
            <w:tcW w:w="707" w:type="dxa"/>
            <w:vAlign w:val="center"/>
          </w:tcPr>
          <w:p w:rsidR="00F92819" w:rsidRDefault="00F92819">
            <w:pPr>
              <w:spacing w:before="40" w:after="40" w:line="220" w:lineRule="exact"/>
              <w:jc w:val="right"/>
              <w:rPr>
                <w:sz w:val="18"/>
                <w:szCs w:val="24"/>
              </w:rPr>
            </w:pPr>
            <w:r>
              <w:rPr>
                <w:sz w:val="18"/>
                <w:szCs w:val="24"/>
              </w:rPr>
              <w:t>395</w:t>
            </w:r>
          </w:p>
        </w:tc>
      </w:tr>
      <w:tr w:rsidR="00F92819">
        <w:tc>
          <w:tcPr>
            <w:tcW w:w="3686" w:type="dxa"/>
          </w:tcPr>
          <w:p w:rsidR="00F92819" w:rsidRDefault="00F92819">
            <w:pPr>
              <w:spacing w:before="40" w:after="40" w:line="220" w:lineRule="exact"/>
              <w:rPr>
                <w:szCs w:val="24"/>
              </w:rPr>
            </w:pPr>
            <w:r>
              <w:rPr>
                <w:sz w:val="18"/>
                <w:szCs w:val="24"/>
                <w:lang w:val="es-ES_tradnl"/>
              </w:rPr>
              <w:t>Huevos</w:t>
            </w:r>
          </w:p>
        </w:tc>
        <w:tc>
          <w:tcPr>
            <w:tcW w:w="1417" w:type="dxa"/>
            <w:vAlign w:val="center"/>
          </w:tcPr>
          <w:p w:rsidR="00F92819" w:rsidRDefault="00F92819">
            <w:pPr>
              <w:spacing w:before="40" w:after="40" w:line="220" w:lineRule="exact"/>
              <w:jc w:val="right"/>
              <w:rPr>
                <w:sz w:val="18"/>
                <w:szCs w:val="24"/>
              </w:rPr>
            </w:pPr>
            <w:r>
              <w:rPr>
                <w:sz w:val="18"/>
                <w:szCs w:val="24"/>
              </w:rPr>
              <w:t>72</w:t>
            </w:r>
          </w:p>
        </w:tc>
        <w:tc>
          <w:tcPr>
            <w:tcW w:w="709" w:type="dxa"/>
            <w:vAlign w:val="center"/>
          </w:tcPr>
          <w:p w:rsidR="00F92819" w:rsidRDefault="00F92819">
            <w:pPr>
              <w:spacing w:before="40" w:after="40" w:line="220" w:lineRule="exact"/>
              <w:jc w:val="right"/>
              <w:rPr>
                <w:sz w:val="18"/>
                <w:szCs w:val="24"/>
              </w:rPr>
            </w:pPr>
            <w:r>
              <w:rPr>
                <w:sz w:val="18"/>
                <w:szCs w:val="24"/>
              </w:rPr>
              <w:t>49</w:t>
            </w:r>
          </w:p>
        </w:tc>
        <w:tc>
          <w:tcPr>
            <w:tcW w:w="851" w:type="dxa"/>
            <w:vAlign w:val="center"/>
          </w:tcPr>
          <w:p w:rsidR="00F92819" w:rsidRDefault="00F92819">
            <w:pPr>
              <w:spacing w:before="40" w:after="40" w:line="220" w:lineRule="exact"/>
              <w:jc w:val="right"/>
              <w:rPr>
                <w:sz w:val="18"/>
                <w:szCs w:val="24"/>
              </w:rPr>
            </w:pPr>
            <w:r>
              <w:rPr>
                <w:sz w:val="18"/>
                <w:szCs w:val="24"/>
              </w:rPr>
              <w:t>46</w:t>
            </w:r>
          </w:p>
        </w:tc>
        <w:tc>
          <w:tcPr>
            <w:tcW w:w="707" w:type="dxa"/>
            <w:vAlign w:val="center"/>
          </w:tcPr>
          <w:p w:rsidR="00F92819" w:rsidRDefault="00F92819">
            <w:pPr>
              <w:spacing w:before="40" w:after="40" w:line="220" w:lineRule="exact"/>
              <w:jc w:val="right"/>
              <w:rPr>
                <w:sz w:val="18"/>
                <w:szCs w:val="24"/>
              </w:rPr>
            </w:pPr>
            <w:r>
              <w:rPr>
                <w:sz w:val="18"/>
                <w:szCs w:val="24"/>
              </w:rPr>
              <w:t>47</w:t>
            </w:r>
          </w:p>
        </w:tc>
      </w:tr>
      <w:tr w:rsidR="00F92819">
        <w:tc>
          <w:tcPr>
            <w:tcW w:w="3686" w:type="dxa"/>
          </w:tcPr>
          <w:p w:rsidR="00F92819" w:rsidRDefault="00F92819">
            <w:pPr>
              <w:spacing w:before="40" w:after="40" w:line="220" w:lineRule="exact"/>
              <w:rPr>
                <w:szCs w:val="24"/>
              </w:rPr>
            </w:pPr>
            <w:r>
              <w:rPr>
                <w:sz w:val="18"/>
                <w:szCs w:val="24"/>
                <w:lang w:val="es-ES_tradnl"/>
              </w:rPr>
              <w:t>Pescado</w:t>
            </w:r>
          </w:p>
        </w:tc>
        <w:tc>
          <w:tcPr>
            <w:tcW w:w="1417" w:type="dxa"/>
            <w:vAlign w:val="center"/>
          </w:tcPr>
          <w:p w:rsidR="00F92819" w:rsidRDefault="00F92819">
            <w:pPr>
              <w:spacing w:before="40" w:after="40" w:line="220" w:lineRule="exact"/>
              <w:jc w:val="right"/>
              <w:rPr>
                <w:sz w:val="18"/>
                <w:szCs w:val="24"/>
              </w:rPr>
            </w:pPr>
            <w:r>
              <w:rPr>
                <w:sz w:val="18"/>
                <w:szCs w:val="24"/>
              </w:rPr>
              <w:t>18</w:t>
            </w:r>
          </w:p>
        </w:tc>
        <w:tc>
          <w:tcPr>
            <w:tcW w:w="709" w:type="dxa"/>
            <w:vAlign w:val="center"/>
          </w:tcPr>
          <w:p w:rsidR="00F92819" w:rsidRDefault="00F92819">
            <w:pPr>
              <w:spacing w:before="40" w:after="40" w:line="220" w:lineRule="exact"/>
              <w:jc w:val="right"/>
              <w:rPr>
                <w:sz w:val="18"/>
                <w:szCs w:val="24"/>
              </w:rPr>
            </w:pPr>
            <w:r>
              <w:rPr>
                <w:sz w:val="18"/>
                <w:szCs w:val="24"/>
              </w:rPr>
              <w:t>26</w:t>
            </w:r>
          </w:p>
        </w:tc>
        <w:tc>
          <w:tcPr>
            <w:tcW w:w="851" w:type="dxa"/>
            <w:vAlign w:val="center"/>
          </w:tcPr>
          <w:p w:rsidR="00F92819" w:rsidRDefault="00F92819">
            <w:pPr>
              <w:spacing w:before="40" w:after="40" w:line="220" w:lineRule="exact"/>
              <w:jc w:val="right"/>
              <w:rPr>
                <w:sz w:val="18"/>
                <w:szCs w:val="24"/>
              </w:rPr>
            </w:pPr>
            <w:r>
              <w:rPr>
                <w:sz w:val="18"/>
                <w:szCs w:val="24"/>
              </w:rPr>
              <w:t>16</w:t>
            </w:r>
          </w:p>
        </w:tc>
        <w:tc>
          <w:tcPr>
            <w:tcW w:w="707" w:type="dxa"/>
            <w:vAlign w:val="center"/>
          </w:tcPr>
          <w:p w:rsidR="00F92819" w:rsidRDefault="00F92819">
            <w:pPr>
              <w:spacing w:before="40" w:after="40" w:line="220" w:lineRule="exact"/>
              <w:jc w:val="right"/>
              <w:rPr>
                <w:sz w:val="18"/>
                <w:szCs w:val="24"/>
              </w:rPr>
            </w:pPr>
            <w:r>
              <w:rPr>
                <w:sz w:val="18"/>
                <w:szCs w:val="24"/>
              </w:rPr>
              <w:t>18</w:t>
            </w:r>
          </w:p>
        </w:tc>
      </w:tr>
      <w:tr w:rsidR="00F92819">
        <w:tc>
          <w:tcPr>
            <w:tcW w:w="3686" w:type="dxa"/>
          </w:tcPr>
          <w:p w:rsidR="00F92819" w:rsidRDefault="00F92819">
            <w:pPr>
              <w:spacing w:before="40" w:after="40" w:line="220" w:lineRule="exact"/>
              <w:rPr>
                <w:szCs w:val="24"/>
              </w:rPr>
            </w:pPr>
            <w:r>
              <w:rPr>
                <w:sz w:val="18"/>
                <w:szCs w:val="24"/>
                <w:lang w:val="es-ES_tradnl"/>
              </w:rPr>
              <w:t>Leche y productos lácteos</w:t>
            </w:r>
          </w:p>
        </w:tc>
        <w:tc>
          <w:tcPr>
            <w:tcW w:w="1417" w:type="dxa"/>
            <w:vAlign w:val="center"/>
          </w:tcPr>
          <w:p w:rsidR="00F92819" w:rsidRDefault="00F92819">
            <w:pPr>
              <w:spacing w:before="40" w:after="40" w:line="220" w:lineRule="exact"/>
              <w:jc w:val="right"/>
              <w:rPr>
                <w:sz w:val="18"/>
                <w:szCs w:val="24"/>
              </w:rPr>
            </w:pPr>
            <w:r>
              <w:rPr>
                <w:sz w:val="18"/>
                <w:szCs w:val="24"/>
              </w:rPr>
              <w:t>238</w:t>
            </w:r>
          </w:p>
        </w:tc>
        <w:tc>
          <w:tcPr>
            <w:tcW w:w="709" w:type="dxa"/>
            <w:vAlign w:val="center"/>
          </w:tcPr>
          <w:p w:rsidR="00F92819" w:rsidRDefault="00F92819">
            <w:pPr>
              <w:spacing w:before="40" w:after="40" w:line="220" w:lineRule="exact"/>
              <w:jc w:val="right"/>
              <w:rPr>
                <w:sz w:val="18"/>
                <w:szCs w:val="24"/>
              </w:rPr>
            </w:pPr>
            <w:r>
              <w:rPr>
                <w:sz w:val="18"/>
                <w:szCs w:val="24"/>
              </w:rPr>
              <w:t>246</w:t>
            </w:r>
          </w:p>
        </w:tc>
        <w:tc>
          <w:tcPr>
            <w:tcW w:w="851" w:type="dxa"/>
            <w:vAlign w:val="center"/>
          </w:tcPr>
          <w:p w:rsidR="00F92819" w:rsidRDefault="00F92819">
            <w:pPr>
              <w:spacing w:before="40" w:after="40" w:line="220" w:lineRule="exact"/>
              <w:jc w:val="right"/>
              <w:rPr>
                <w:sz w:val="18"/>
                <w:szCs w:val="24"/>
              </w:rPr>
            </w:pPr>
            <w:r>
              <w:rPr>
                <w:sz w:val="18"/>
                <w:szCs w:val="24"/>
              </w:rPr>
              <w:t>306</w:t>
            </w:r>
          </w:p>
        </w:tc>
        <w:tc>
          <w:tcPr>
            <w:tcW w:w="707" w:type="dxa"/>
            <w:vAlign w:val="center"/>
          </w:tcPr>
          <w:p w:rsidR="00F92819" w:rsidRDefault="00F92819">
            <w:pPr>
              <w:spacing w:before="40" w:after="40" w:line="220" w:lineRule="exact"/>
              <w:jc w:val="right"/>
              <w:rPr>
                <w:sz w:val="18"/>
                <w:szCs w:val="24"/>
              </w:rPr>
            </w:pPr>
            <w:r>
              <w:rPr>
                <w:sz w:val="18"/>
                <w:szCs w:val="24"/>
              </w:rPr>
              <w:t>293</w:t>
            </w:r>
          </w:p>
        </w:tc>
      </w:tr>
      <w:tr w:rsidR="00F92819">
        <w:tc>
          <w:tcPr>
            <w:tcW w:w="3686" w:type="dxa"/>
          </w:tcPr>
          <w:p w:rsidR="00F92819" w:rsidRDefault="00F92819">
            <w:pPr>
              <w:spacing w:before="40" w:after="40" w:line="220" w:lineRule="exact"/>
              <w:rPr>
                <w:szCs w:val="24"/>
              </w:rPr>
            </w:pPr>
            <w:r>
              <w:rPr>
                <w:sz w:val="18"/>
                <w:szCs w:val="24"/>
                <w:lang w:val="es-ES_tradnl"/>
              </w:rPr>
              <w:t>Bebidas</w:t>
            </w:r>
          </w:p>
        </w:tc>
        <w:tc>
          <w:tcPr>
            <w:tcW w:w="1417" w:type="dxa"/>
            <w:vAlign w:val="center"/>
          </w:tcPr>
          <w:p w:rsidR="00F92819" w:rsidRDefault="00F92819">
            <w:pPr>
              <w:spacing w:before="40" w:after="40" w:line="220" w:lineRule="exact"/>
              <w:jc w:val="right"/>
              <w:rPr>
                <w:sz w:val="18"/>
                <w:szCs w:val="24"/>
              </w:rPr>
            </w:pPr>
            <w:r>
              <w:rPr>
                <w:sz w:val="18"/>
                <w:szCs w:val="24"/>
              </w:rPr>
              <w:t>-</w:t>
            </w:r>
          </w:p>
        </w:tc>
        <w:tc>
          <w:tcPr>
            <w:tcW w:w="709" w:type="dxa"/>
            <w:vAlign w:val="center"/>
          </w:tcPr>
          <w:p w:rsidR="00F92819" w:rsidRDefault="00F92819">
            <w:pPr>
              <w:spacing w:before="40" w:after="40" w:line="220" w:lineRule="exact"/>
              <w:jc w:val="right"/>
              <w:rPr>
                <w:sz w:val="18"/>
                <w:szCs w:val="24"/>
              </w:rPr>
            </w:pPr>
            <w:r>
              <w:rPr>
                <w:sz w:val="18"/>
                <w:szCs w:val="24"/>
              </w:rPr>
              <w:t>-</w:t>
            </w:r>
          </w:p>
        </w:tc>
        <w:tc>
          <w:tcPr>
            <w:tcW w:w="851" w:type="dxa"/>
            <w:vAlign w:val="center"/>
          </w:tcPr>
          <w:p w:rsidR="00F92819" w:rsidRDefault="00F92819">
            <w:pPr>
              <w:spacing w:before="40" w:after="40" w:line="220" w:lineRule="exact"/>
              <w:jc w:val="right"/>
              <w:rPr>
                <w:sz w:val="18"/>
                <w:szCs w:val="24"/>
              </w:rPr>
            </w:pPr>
            <w:r>
              <w:rPr>
                <w:sz w:val="18"/>
                <w:szCs w:val="24"/>
              </w:rPr>
              <w:t>34</w:t>
            </w:r>
          </w:p>
        </w:tc>
        <w:tc>
          <w:tcPr>
            <w:tcW w:w="707" w:type="dxa"/>
            <w:vAlign w:val="center"/>
          </w:tcPr>
          <w:p w:rsidR="00F92819" w:rsidRDefault="00F92819">
            <w:pPr>
              <w:spacing w:before="40" w:after="40" w:line="220" w:lineRule="exact"/>
              <w:jc w:val="right"/>
              <w:rPr>
                <w:sz w:val="18"/>
                <w:szCs w:val="24"/>
              </w:rPr>
            </w:pPr>
            <w:r>
              <w:rPr>
                <w:sz w:val="18"/>
                <w:szCs w:val="24"/>
              </w:rPr>
              <w:t>37</w:t>
            </w:r>
          </w:p>
        </w:tc>
      </w:tr>
      <w:tr w:rsidR="00F92819">
        <w:tc>
          <w:tcPr>
            <w:tcW w:w="3686" w:type="dxa"/>
            <w:tcBorders>
              <w:bottom w:val="single" w:sz="4" w:space="0" w:color="auto"/>
            </w:tcBorders>
          </w:tcPr>
          <w:p w:rsidR="00F92819" w:rsidRDefault="00F92819">
            <w:pPr>
              <w:spacing w:before="80" w:after="80" w:line="200" w:lineRule="exact"/>
              <w:rPr>
                <w:szCs w:val="24"/>
              </w:rPr>
            </w:pPr>
            <w:r>
              <w:rPr>
                <w:i/>
                <w:sz w:val="16"/>
                <w:szCs w:val="24"/>
                <w:lang w:val="es-ES_tradnl"/>
              </w:rPr>
              <w:t>Proteínas (gramos)</w:t>
            </w:r>
          </w:p>
        </w:tc>
        <w:tc>
          <w:tcPr>
            <w:tcW w:w="1417" w:type="dxa"/>
            <w:tcBorders>
              <w:bottom w:val="single" w:sz="4" w:space="0" w:color="auto"/>
            </w:tcBorders>
            <w:vAlign w:val="center"/>
          </w:tcPr>
          <w:p w:rsidR="00F92819" w:rsidRDefault="00F92819">
            <w:pPr>
              <w:spacing w:before="80" w:after="80" w:line="200" w:lineRule="exact"/>
              <w:jc w:val="right"/>
              <w:rPr>
                <w:sz w:val="18"/>
                <w:szCs w:val="24"/>
              </w:rPr>
            </w:pPr>
          </w:p>
        </w:tc>
        <w:tc>
          <w:tcPr>
            <w:tcW w:w="709" w:type="dxa"/>
            <w:tcBorders>
              <w:bottom w:val="single" w:sz="4" w:space="0" w:color="auto"/>
            </w:tcBorders>
            <w:vAlign w:val="center"/>
          </w:tcPr>
          <w:p w:rsidR="00F92819" w:rsidRDefault="00F92819">
            <w:pPr>
              <w:spacing w:before="80" w:after="80" w:line="200" w:lineRule="exact"/>
              <w:jc w:val="right"/>
              <w:rPr>
                <w:sz w:val="18"/>
                <w:szCs w:val="24"/>
              </w:rPr>
            </w:pPr>
          </w:p>
        </w:tc>
        <w:tc>
          <w:tcPr>
            <w:tcW w:w="851" w:type="dxa"/>
            <w:tcBorders>
              <w:bottom w:val="single" w:sz="4" w:space="0" w:color="auto"/>
            </w:tcBorders>
            <w:vAlign w:val="center"/>
          </w:tcPr>
          <w:p w:rsidR="00F92819" w:rsidRDefault="00F92819">
            <w:pPr>
              <w:spacing w:before="80" w:after="80" w:line="200" w:lineRule="exact"/>
              <w:jc w:val="right"/>
              <w:rPr>
                <w:sz w:val="18"/>
                <w:szCs w:val="24"/>
              </w:rPr>
            </w:pPr>
          </w:p>
        </w:tc>
        <w:tc>
          <w:tcPr>
            <w:tcW w:w="707" w:type="dxa"/>
            <w:tcBorders>
              <w:bottom w:val="single" w:sz="4" w:space="0" w:color="auto"/>
            </w:tcBorders>
            <w:vAlign w:val="center"/>
          </w:tcPr>
          <w:p w:rsidR="00F92819" w:rsidRDefault="00F92819">
            <w:pPr>
              <w:spacing w:before="80" w:after="80" w:line="200" w:lineRule="exact"/>
              <w:jc w:val="right"/>
              <w:rPr>
                <w:sz w:val="18"/>
                <w:szCs w:val="24"/>
              </w:rPr>
            </w:pPr>
          </w:p>
        </w:tc>
      </w:tr>
      <w:tr w:rsidR="00F92819">
        <w:tc>
          <w:tcPr>
            <w:tcW w:w="3686" w:type="dxa"/>
            <w:tcBorders>
              <w:top w:val="single" w:sz="4" w:space="0" w:color="auto"/>
              <w:bottom w:val="single" w:sz="4" w:space="0" w:color="auto"/>
            </w:tcBorders>
          </w:tcPr>
          <w:p w:rsidR="00F92819" w:rsidRDefault="00F92819">
            <w:pPr>
              <w:spacing w:before="80" w:after="80" w:line="220" w:lineRule="exact"/>
              <w:ind w:left="284"/>
              <w:rPr>
                <w:szCs w:val="24"/>
              </w:rPr>
            </w:pPr>
            <w:r>
              <w:rPr>
                <w:b/>
                <w:sz w:val="18"/>
                <w:szCs w:val="24"/>
                <w:lang w:val="es-ES_tradnl"/>
              </w:rPr>
              <w:t>Total</w:t>
            </w:r>
          </w:p>
        </w:tc>
        <w:tc>
          <w:tcPr>
            <w:tcW w:w="1417"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97,4</w:t>
            </w:r>
          </w:p>
        </w:tc>
        <w:tc>
          <w:tcPr>
            <w:tcW w:w="709"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104,3</w:t>
            </w:r>
          </w:p>
        </w:tc>
        <w:tc>
          <w:tcPr>
            <w:tcW w:w="851"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112,5</w:t>
            </w:r>
          </w:p>
        </w:tc>
        <w:tc>
          <w:tcPr>
            <w:tcW w:w="707"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115</w:t>
            </w:r>
          </w:p>
        </w:tc>
      </w:tr>
      <w:tr w:rsidR="00F92819">
        <w:tc>
          <w:tcPr>
            <w:tcW w:w="3686" w:type="dxa"/>
            <w:tcBorders>
              <w:top w:val="single" w:sz="4" w:space="0" w:color="auto"/>
            </w:tcBorders>
          </w:tcPr>
          <w:p w:rsidR="00F92819" w:rsidRDefault="00F92819">
            <w:pPr>
              <w:spacing w:before="40" w:after="40" w:line="220" w:lineRule="exact"/>
              <w:rPr>
                <w:szCs w:val="24"/>
              </w:rPr>
            </w:pPr>
            <w:r>
              <w:rPr>
                <w:sz w:val="18"/>
                <w:szCs w:val="24"/>
                <w:lang w:val="es-ES_tradnl"/>
              </w:rPr>
              <w:t>De las cuales:</w:t>
            </w:r>
            <w:r>
              <w:rPr>
                <w:sz w:val="18"/>
                <w:szCs w:val="24"/>
              </w:rPr>
              <w:t xml:space="preserve"> </w:t>
            </w:r>
            <w:r>
              <w:rPr>
                <w:sz w:val="18"/>
                <w:szCs w:val="24"/>
                <w:lang w:val="es-ES_tradnl"/>
              </w:rPr>
              <w:t>animales</w:t>
            </w:r>
          </w:p>
        </w:tc>
        <w:tc>
          <w:tcPr>
            <w:tcW w:w="1417"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49,9</w:t>
            </w:r>
          </w:p>
        </w:tc>
        <w:tc>
          <w:tcPr>
            <w:tcW w:w="70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52,2</w:t>
            </w:r>
          </w:p>
        </w:tc>
        <w:tc>
          <w:tcPr>
            <w:tcW w:w="851"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53,9</w:t>
            </w:r>
          </w:p>
        </w:tc>
        <w:tc>
          <w:tcPr>
            <w:tcW w:w="707"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56,8</w:t>
            </w:r>
          </w:p>
        </w:tc>
      </w:tr>
      <w:tr w:rsidR="00F92819">
        <w:tc>
          <w:tcPr>
            <w:tcW w:w="3686" w:type="dxa"/>
          </w:tcPr>
          <w:p w:rsidR="00F92819" w:rsidRDefault="00F92819">
            <w:pPr>
              <w:spacing w:before="40" w:after="40" w:line="220" w:lineRule="exact"/>
              <w:rPr>
                <w:szCs w:val="24"/>
              </w:rPr>
            </w:pPr>
            <w:r>
              <w:rPr>
                <w:sz w:val="18"/>
                <w:szCs w:val="24"/>
                <w:lang w:val="es-ES_tradnl"/>
              </w:rPr>
              <w:t>Cereales y productos de cereales</w:t>
            </w:r>
          </w:p>
        </w:tc>
        <w:tc>
          <w:tcPr>
            <w:tcW w:w="1417" w:type="dxa"/>
            <w:vAlign w:val="center"/>
          </w:tcPr>
          <w:p w:rsidR="00F92819" w:rsidRDefault="00F92819">
            <w:pPr>
              <w:spacing w:before="40" w:after="40" w:line="220" w:lineRule="exact"/>
              <w:jc w:val="right"/>
              <w:rPr>
                <w:sz w:val="18"/>
                <w:szCs w:val="24"/>
              </w:rPr>
            </w:pPr>
            <w:r>
              <w:rPr>
                <w:sz w:val="18"/>
                <w:szCs w:val="24"/>
              </w:rPr>
              <w:t>31,7</w:t>
            </w:r>
          </w:p>
        </w:tc>
        <w:tc>
          <w:tcPr>
            <w:tcW w:w="709" w:type="dxa"/>
            <w:vAlign w:val="center"/>
          </w:tcPr>
          <w:p w:rsidR="00F92819" w:rsidRDefault="00F92819">
            <w:pPr>
              <w:spacing w:before="40" w:after="40" w:line="220" w:lineRule="exact"/>
              <w:jc w:val="right"/>
              <w:rPr>
                <w:sz w:val="18"/>
                <w:szCs w:val="24"/>
              </w:rPr>
            </w:pPr>
            <w:r>
              <w:rPr>
                <w:sz w:val="18"/>
                <w:szCs w:val="24"/>
              </w:rPr>
              <w:t>35,2</w:t>
            </w:r>
          </w:p>
        </w:tc>
        <w:tc>
          <w:tcPr>
            <w:tcW w:w="851" w:type="dxa"/>
            <w:vAlign w:val="center"/>
          </w:tcPr>
          <w:p w:rsidR="00F92819" w:rsidRDefault="00F92819">
            <w:pPr>
              <w:spacing w:before="40" w:after="40" w:line="220" w:lineRule="exact"/>
              <w:jc w:val="right"/>
              <w:rPr>
                <w:sz w:val="18"/>
                <w:szCs w:val="24"/>
              </w:rPr>
            </w:pPr>
            <w:r>
              <w:rPr>
                <w:sz w:val="18"/>
                <w:szCs w:val="24"/>
              </w:rPr>
              <w:t>38,2</w:t>
            </w:r>
          </w:p>
        </w:tc>
        <w:tc>
          <w:tcPr>
            <w:tcW w:w="707" w:type="dxa"/>
            <w:vAlign w:val="center"/>
          </w:tcPr>
          <w:p w:rsidR="00F92819" w:rsidRDefault="00F92819">
            <w:pPr>
              <w:spacing w:before="40" w:after="40" w:line="220" w:lineRule="exact"/>
              <w:jc w:val="right"/>
              <w:rPr>
                <w:sz w:val="18"/>
                <w:szCs w:val="24"/>
              </w:rPr>
            </w:pPr>
            <w:r>
              <w:rPr>
                <w:sz w:val="18"/>
                <w:szCs w:val="24"/>
              </w:rPr>
              <w:t>37,1</w:t>
            </w:r>
          </w:p>
        </w:tc>
      </w:tr>
      <w:tr w:rsidR="00F92819">
        <w:tc>
          <w:tcPr>
            <w:tcW w:w="3686" w:type="dxa"/>
          </w:tcPr>
          <w:p w:rsidR="00F92819" w:rsidRDefault="00F92819">
            <w:pPr>
              <w:spacing w:before="40" w:after="40" w:line="220" w:lineRule="exact"/>
              <w:rPr>
                <w:szCs w:val="24"/>
              </w:rPr>
            </w:pPr>
            <w:r>
              <w:rPr>
                <w:sz w:val="18"/>
                <w:szCs w:val="24"/>
                <w:lang w:val="es-ES_tradnl"/>
              </w:rPr>
              <w:t>Patatas y féculas</w:t>
            </w:r>
          </w:p>
        </w:tc>
        <w:tc>
          <w:tcPr>
            <w:tcW w:w="1417" w:type="dxa"/>
            <w:vAlign w:val="center"/>
          </w:tcPr>
          <w:p w:rsidR="00F92819" w:rsidRDefault="00F92819">
            <w:pPr>
              <w:spacing w:before="40" w:after="40" w:line="220" w:lineRule="exact"/>
              <w:jc w:val="right"/>
              <w:rPr>
                <w:sz w:val="18"/>
                <w:szCs w:val="24"/>
              </w:rPr>
            </w:pPr>
            <w:r>
              <w:rPr>
                <w:sz w:val="18"/>
                <w:szCs w:val="24"/>
              </w:rPr>
              <w:t>1,4</w:t>
            </w:r>
          </w:p>
        </w:tc>
        <w:tc>
          <w:tcPr>
            <w:tcW w:w="709" w:type="dxa"/>
            <w:vAlign w:val="center"/>
          </w:tcPr>
          <w:p w:rsidR="00F92819" w:rsidRDefault="00F92819">
            <w:pPr>
              <w:spacing w:before="40" w:after="40" w:line="220" w:lineRule="exact"/>
              <w:jc w:val="right"/>
              <w:rPr>
                <w:sz w:val="18"/>
                <w:szCs w:val="24"/>
              </w:rPr>
            </w:pPr>
            <w:r>
              <w:rPr>
                <w:sz w:val="18"/>
                <w:szCs w:val="24"/>
              </w:rPr>
              <w:t>1,8</w:t>
            </w:r>
          </w:p>
        </w:tc>
        <w:tc>
          <w:tcPr>
            <w:tcW w:w="851" w:type="dxa"/>
            <w:vAlign w:val="center"/>
          </w:tcPr>
          <w:p w:rsidR="00F92819" w:rsidRDefault="00F92819">
            <w:pPr>
              <w:spacing w:before="40" w:after="40" w:line="220" w:lineRule="exact"/>
              <w:jc w:val="right"/>
              <w:rPr>
                <w:sz w:val="18"/>
                <w:szCs w:val="24"/>
              </w:rPr>
            </w:pPr>
            <w:r>
              <w:rPr>
                <w:sz w:val="18"/>
                <w:szCs w:val="24"/>
              </w:rPr>
              <w:t>1,8</w:t>
            </w:r>
          </w:p>
        </w:tc>
        <w:tc>
          <w:tcPr>
            <w:tcW w:w="707" w:type="dxa"/>
            <w:vAlign w:val="center"/>
          </w:tcPr>
          <w:p w:rsidR="00F92819" w:rsidRDefault="00F92819">
            <w:pPr>
              <w:spacing w:before="40" w:after="40" w:line="220" w:lineRule="exact"/>
              <w:jc w:val="right"/>
              <w:rPr>
                <w:sz w:val="18"/>
                <w:szCs w:val="24"/>
              </w:rPr>
            </w:pPr>
            <w:r>
              <w:rPr>
                <w:sz w:val="18"/>
                <w:szCs w:val="24"/>
              </w:rPr>
              <w:t>1,7</w:t>
            </w:r>
          </w:p>
        </w:tc>
      </w:tr>
      <w:tr w:rsidR="00F92819">
        <w:tc>
          <w:tcPr>
            <w:tcW w:w="3686" w:type="dxa"/>
          </w:tcPr>
          <w:p w:rsidR="00F92819" w:rsidRDefault="00F92819">
            <w:pPr>
              <w:spacing w:before="40" w:after="40" w:line="220" w:lineRule="exact"/>
              <w:rPr>
                <w:szCs w:val="24"/>
              </w:rPr>
            </w:pPr>
            <w:r>
              <w:rPr>
                <w:sz w:val="18"/>
                <w:szCs w:val="24"/>
                <w:lang w:val="es-ES_tradnl"/>
              </w:rPr>
              <w:t>Azúcar, dulces y miel (1)</w:t>
            </w:r>
          </w:p>
        </w:tc>
        <w:tc>
          <w:tcPr>
            <w:tcW w:w="1417" w:type="dxa"/>
            <w:vAlign w:val="center"/>
          </w:tcPr>
          <w:p w:rsidR="00F92819" w:rsidRDefault="00F92819">
            <w:pPr>
              <w:spacing w:before="40" w:after="40" w:line="220" w:lineRule="exact"/>
              <w:jc w:val="right"/>
              <w:rPr>
                <w:sz w:val="18"/>
                <w:szCs w:val="24"/>
              </w:rPr>
            </w:pPr>
            <w:r>
              <w:rPr>
                <w:sz w:val="18"/>
                <w:szCs w:val="24"/>
              </w:rPr>
              <w:t>0,5</w:t>
            </w:r>
          </w:p>
        </w:tc>
        <w:tc>
          <w:tcPr>
            <w:tcW w:w="709" w:type="dxa"/>
            <w:vAlign w:val="center"/>
          </w:tcPr>
          <w:p w:rsidR="00F92819" w:rsidRDefault="00F92819">
            <w:pPr>
              <w:spacing w:before="40" w:after="40" w:line="220" w:lineRule="exact"/>
              <w:jc w:val="right"/>
              <w:rPr>
                <w:sz w:val="18"/>
                <w:szCs w:val="24"/>
              </w:rPr>
            </w:pPr>
            <w:r>
              <w:rPr>
                <w:sz w:val="18"/>
                <w:szCs w:val="24"/>
              </w:rPr>
              <w:t>1,3</w:t>
            </w:r>
          </w:p>
        </w:tc>
        <w:tc>
          <w:tcPr>
            <w:tcW w:w="851" w:type="dxa"/>
            <w:vAlign w:val="center"/>
          </w:tcPr>
          <w:p w:rsidR="00F92819" w:rsidRDefault="00F92819">
            <w:pPr>
              <w:spacing w:before="40" w:after="40" w:line="220" w:lineRule="exact"/>
              <w:jc w:val="right"/>
              <w:rPr>
                <w:sz w:val="18"/>
                <w:szCs w:val="24"/>
              </w:rPr>
            </w:pPr>
            <w:r>
              <w:rPr>
                <w:sz w:val="18"/>
                <w:szCs w:val="24"/>
              </w:rPr>
              <w:t>-</w:t>
            </w:r>
          </w:p>
        </w:tc>
        <w:tc>
          <w:tcPr>
            <w:tcW w:w="707" w:type="dxa"/>
            <w:vAlign w:val="center"/>
          </w:tcPr>
          <w:p w:rsidR="00F92819" w:rsidRDefault="00F92819">
            <w:pPr>
              <w:spacing w:before="40" w:after="40" w:line="220" w:lineRule="exact"/>
              <w:jc w:val="right"/>
              <w:rPr>
                <w:sz w:val="18"/>
                <w:szCs w:val="24"/>
              </w:rPr>
            </w:pPr>
            <w:r>
              <w:rPr>
                <w:sz w:val="18"/>
                <w:szCs w:val="24"/>
              </w:rPr>
              <w:t>-</w:t>
            </w:r>
          </w:p>
        </w:tc>
      </w:tr>
      <w:tr w:rsidR="00F92819">
        <w:tc>
          <w:tcPr>
            <w:tcW w:w="3686" w:type="dxa"/>
          </w:tcPr>
          <w:p w:rsidR="00F92819" w:rsidRDefault="00F92819">
            <w:pPr>
              <w:spacing w:before="40" w:after="40" w:line="220" w:lineRule="exact"/>
              <w:rPr>
                <w:szCs w:val="24"/>
              </w:rPr>
            </w:pPr>
            <w:r>
              <w:rPr>
                <w:sz w:val="18"/>
                <w:szCs w:val="24"/>
                <w:lang w:val="es-ES_tradnl"/>
              </w:rPr>
              <w:t>Legumbres, semillas oleaginosas y nueces</w:t>
            </w:r>
          </w:p>
        </w:tc>
        <w:tc>
          <w:tcPr>
            <w:tcW w:w="1417" w:type="dxa"/>
            <w:vAlign w:val="center"/>
          </w:tcPr>
          <w:p w:rsidR="00F92819" w:rsidRDefault="00F92819">
            <w:pPr>
              <w:spacing w:before="40" w:after="40" w:line="220" w:lineRule="exact"/>
              <w:jc w:val="right"/>
              <w:rPr>
                <w:sz w:val="18"/>
                <w:szCs w:val="24"/>
              </w:rPr>
            </w:pPr>
            <w:r>
              <w:rPr>
                <w:sz w:val="18"/>
                <w:szCs w:val="24"/>
              </w:rPr>
              <w:t>6,8</w:t>
            </w:r>
          </w:p>
        </w:tc>
        <w:tc>
          <w:tcPr>
            <w:tcW w:w="709" w:type="dxa"/>
            <w:vAlign w:val="center"/>
          </w:tcPr>
          <w:p w:rsidR="00F92819" w:rsidRDefault="00F92819">
            <w:pPr>
              <w:spacing w:before="40" w:after="40" w:line="220" w:lineRule="exact"/>
              <w:jc w:val="right"/>
              <w:rPr>
                <w:sz w:val="18"/>
                <w:szCs w:val="24"/>
              </w:rPr>
            </w:pPr>
            <w:r>
              <w:rPr>
                <w:sz w:val="18"/>
                <w:szCs w:val="24"/>
              </w:rPr>
              <w:t>6,6</w:t>
            </w:r>
          </w:p>
        </w:tc>
        <w:tc>
          <w:tcPr>
            <w:tcW w:w="851" w:type="dxa"/>
            <w:vAlign w:val="center"/>
          </w:tcPr>
          <w:p w:rsidR="00F92819" w:rsidRDefault="00F92819">
            <w:pPr>
              <w:spacing w:before="40" w:after="40" w:line="220" w:lineRule="exact"/>
              <w:jc w:val="right"/>
              <w:rPr>
                <w:sz w:val="18"/>
                <w:szCs w:val="24"/>
              </w:rPr>
            </w:pPr>
            <w:r>
              <w:rPr>
                <w:sz w:val="18"/>
                <w:szCs w:val="24"/>
              </w:rPr>
              <w:t>8,7</w:t>
            </w:r>
          </w:p>
        </w:tc>
        <w:tc>
          <w:tcPr>
            <w:tcW w:w="707" w:type="dxa"/>
            <w:vAlign w:val="center"/>
          </w:tcPr>
          <w:p w:rsidR="00F92819" w:rsidRDefault="00F92819">
            <w:pPr>
              <w:spacing w:before="40" w:after="40" w:line="220" w:lineRule="exact"/>
              <w:jc w:val="right"/>
              <w:rPr>
                <w:sz w:val="18"/>
                <w:szCs w:val="24"/>
              </w:rPr>
            </w:pPr>
            <w:r>
              <w:rPr>
                <w:sz w:val="18"/>
                <w:szCs w:val="24"/>
              </w:rPr>
              <w:t>10,1</w:t>
            </w:r>
          </w:p>
        </w:tc>
      </w:tr>
      <w:tr w:rsidR="00F92819">
        <w:tc>
          <w:tcPr>
            <w:tcW w:w="3686" w:type="dxa"/>
          </w:tcPr>
          <w:p w:rsidR="00F92819" w:rsidRDefault="00F92819">
            <w:pPr>
              <w:spacing w:before="40" w:after="40" w:line="220" w:lineRule="exact"/>
              <w:rPr>
                <w:szCs w:val="24"/>
              </w:rPr>
            </w:pPr>
            <w:r>
              <w:rPr>
                <w:sz w:val="18"/>
                <w:szCs w:val="24"/>
                <w:lang w:val="es-ES_tradnl"/>
              </w:rPr>
              <w:t>Verduras y melones (2)</w:t>
            </w:r>
          </w:p>
        </w:tc>
        <w:tc>
          <w:tcPr>
            <w:tcW w:w="1417" w:type="dxa"/>
            <w:vAlign w:val="center"/>
          </w:tcPr>
          <w:p w:rsidR="00F92819" w:rsidRDefault="00F92819">
            <w:pPr>
              <w:spacing w:before="40" w:after="40" w:line="220" w:lineRule="exact"/>
              <w:jc w:val="right"/>
              <w:rPr>
                <w:sz w:val="18"/>
                <w:szCs w:val="24"/>
              </w:rPr>
            </w:pPr>
            <w:r>
              <w:rPr>
                <w:sz w:val="18"/>
                <w:szCs w:val="24"/>
              </w:rPr>
              <w:t>5,1</w:t>
            </w:r>
          </w:p>
        </w:tc>
        <w:tc>
          <w:tcPr>
            <w:tcW w:w="709" w:type="dxa"/>
            <w:vAlign w:val="center"/>
          </w:tcPr>
          <w:p w:rsidR="00F92819" w:rsidRDefault="00F92819">
            <w:pPr>
              <w:spacing w:before="40" w:after="40" w:line="220" w:lineRule="exact"/>
              <w:jc w:val="right"/>
              <w:rPr>
                <w:sz w:val="18"/>
                <w:szCs w:val="24"/>
              </w:rPr>
            </w:pPr>
            <w:r>
              <w:rPr>
                <w:sz w:val="18"/>
                <w:szCs w:val="24"/>
              </w:rPr>
              <w:t>4,8</w:t>
            </w:r>
          </w:p>
        </w:tc>
        <w:tc>
          <w:tcPr>
            <w:tcW w:w="851" w:type="dxa"/>
            <w:vAlign w:val="center"/>
          </w:tcPr>
          <w:p w:rsidR="00F92819" w:rsidRDefault="00F92819">
            <w:pPr>
              <w:spacing w:before="40" w:after="40" w:line="220" w:lineRule="exact"/>
              <w:jc w:val="right"/>
              <w:rPr>
                <w:sz w:val="18"/>
                <w:szCs w:val="24"/>
              </w:rPr>
            </w:pPr>
            <w:r>
              <w:rPr>
                <w:sz w:val="18"/>
                <w:szCs w:val="24"/>
              </w:rPr>
              <w:t>6,7</w:t>
            </w:r>
          </w:p>
        </w:tc>
        <w:tc>
          <w:tcPr>
            <w:tcW w:w="707" w:type="dxa"/>
            <w:vAlign w:val="center"/>
          </w:tcPr>
          <w:p w:rsidR="00F92819" w:rsidRDefault="00F92819">
            <w:pPr>
              <w:spacing w:before="40" w:after="40" w:line="220" w:lineRule="exact"/>
              <w:jc w:val="right"/>
              <w:rPr>
                <w:sz w:val="18"/>
                <w:szCs w:val="24"/>
              </w:rPr>
            </w:pPr>
            <w:r>
              <w:rPr>
                <w:sz w:val="18"/>
                <w:szCs w:val="24"/>
              </w:rPr>
              <w:t>6,4</w:t>
            </w:r>
          </w:p>
        </w:tc>
      </w:tr>
      <w:tr w:rsidR="00F92819">
        <w:tc>
          <w:tcPr>
            <w:tcW w:w="3686" w:type="dxa"/>
          </w:tcPr>
          <w:p w:rsidR="00F92819" w:rsidRDefault="00F92819">
            <w:pPr>
              <w:spacing w:before="40" w:after="40" w:line="220" w:lineRule="exact"/>
              <w:rPr>
                <w:szCs w:val="24"/>
              </w:rPr>
            </w:pPr>
            <w:r>
              <w:rPr>
                <w:sz w:val="18"/>
                <w:szCs w:val="24"/>
                <w:lang w:val="es-ES_tradnl"/>
              </w:rPr>
              <w:t>Frutas (2)</w:t>
            </w:r>
          </w:p>
        </w:tc>
        <w:tc>
          <w:tcPr>
            <w:tcW w:w="1417" w:type="dxa"/>
            <w:vAlign w:val="center"/>
          </w:tcPr>
          <w:p w:rsidR="00F92819" w:rsidRDefault="00F92819">
            <w:pPr>
              <w:spacing w:before="40" w:after="40" w:line="220" w:lineRule="exact"/>
              <w:jc w:val="right"/>
              <w:rPr>
                <w:sz w:val="18"/>
                <w:szCs w:val="24"/>
              </w:rPr>
            </w:pPr>
            <w:r>
              <w:rPr>
                <w:sz w:val="18"/>
                <w:szCs w:val="24"/>
              </w:rPr>
              <w:t>2</w:t>
            </w:r>
          </w:p>
        </w:tc>
        <w:tc>
          <w:tcPr>
            <w:tcW w:w="709" w:type="dxa"/>
            <w:vAlign w:val="center"/>
          </w:tcPr>
          <w:p w:rsidR="00F92819" w:rsidRDefault="00F92819">
            <w:pPr>
              <w:spacing w:before="40" w:after="40" w:line="220" w:lineRule="exact"/>
              <w:jc w:val="right"/>
              <w:rPr>
                <w:sz w:val="18"/>
                <w:szCs w:val="24"/>
              </w:rPr>
            </w:pPr>
            <w:r>
              <w:rPr>
                <w:sz w:val="18"/>
                <w:szCs w:val="24"/>
              </w:rPr>
              <w:t>2,4</w:t>
            </w:r>
          </w:p>
        </w:tc>
        <w:tc>
          <w:tcPr>
            <w:tcW w:w="851" w:type="dxa"/>
            <w:vAlign w:val="center"/>
          </w:tcPr>
          <w:p w:rsidR="00F92819" w:rsidRDefault="00F92819">
            <w:pPr>
              <w:spacing w:before="40" w:after="40" w:line="220" w:lineRule="exact"/>
              <w:jc w:val="right"/>
              <w:rPr>
                <w:sz w:val="18"/>
                <w:szCs w:val="24"/>
              </w:rPr>
            </w:pPr>
            <w:r>
              <w:rPr>
                <w:sz w:val="18"/>
                <w:szCs w:val="24"/>
              </w:rPr>
              <w:t>2,5</w:t>
            </w:r>
          </w:p>
        </w:tc>
        <w:tc>
          <w:tcPr>
            <w:tcW w:w="707" w:type="dxa"/>
            <w:vAlign w:val="center"/>
          </w:tcPr>
          <w:p w:rsidR="00F92819" w:rsidRDefault="00F92819">
            <w:pPr>
              <w:spacing w:before="40" w:after="40" w:line="220" w:lineRule="exact"/>
              <w:jc w:val="right"/>
              <w:rPr>
                <w:sz w:val="18"/>
                <w:szCs w:val="24"/>
              </w:rPr>
            </w:pPr>
            <w:r>
              <w:rPr>
                <w:sz w:val="18"/>
                <w:szCs w:val="24"/>
              </w:rPr>
              <w:t>2,4</w:t>
            </w:r>
          </w:p>
        </w:tc>
      </w:tr>
      <w:tr w:rsidR="00F92819">
        <w:tc>
          <w:tcPr>
            <w:tcW w:w="3686" w:type="dxa"/>
          </w:tcPr>
          <w:p w:rsidR="00F92819" w:rsidRDefault="00F92819">
            <w:pPr>
              <w:spacing w:before="40" w:after="40" w:line="220" w:lineRule="exact"/>
              <w:rPr>
                <w:szCs w:val="24"/>
              </w:rPr>
            </w:pPr>
            <w:r>
              <w:rPr>
                <w:sz w:val="18"/>
                <w:szCs w:val="24"/>
                <w:lang w:val="es-ES_tradnl"/>
              </w:rPr>
              <w:t>Carne</w:t>
            </w:r>
          </w:p>
        </w:tc>
        <w:tc>
          <w:tcPr>
            <w:tcW w:w="1417" w:type="dxa"/>
            <w:vAlign w:val="center"/>
          </w:tcPr>
          <w:p w:rsidR="00F92819" w:rsidRDefault="00F92819">
            <w:pPr>
              <w:spacing w:before="40" w:after="40" w:line="220" w:lineRule="exact"/>
              <w:jc w:val="right"/>
              <w:rPr>
                <w:sz w:val="18"/>
                <w:szCs w:val="24"/>
              </w:rPr>
            </w:pPr>
            <w:r>
              <w:rPr>
                <w:sz w:val="18"/>
                <w:szCs w:val="24"/>
              </w:rPr>
              <w:t>25,6</w:t>
            </w:r>
          </w:p>
        </w:tc>
        <w:tc>
          <w:tcPr>
            <w:tcW w:w="709" w:type="dxa"/>
            <w:vAlign w:val="center"/>
          </w:tcPr>
          <w:p w:rsidR="00F92819" w:rsidRDefault="00F92819">
            <w:pPr>
              <w:spacing w:before="40" w:after="40" w:line="220" w:lineRule="exact"/>
              <w:jc w:val="right"/>
              <w:rPr>
                <w:sz w:val="18"/>
                <w:szCs w:val="24"/>
              </w:rPr>
            </w:pPr>
            <w:r>
              <w:rPr>
                <w:sz w:val="18"/>
                <w:szCs w:val="24"/>
              </w:rPr>
              <w:t>28,4</w:t>
            </w:r>
          </w:p>
        </w:tc>
        <w:tc>
          <w:tcPr>
            <w:tcW w:w="851" w:type="dxa"/>
            <w:vAlign w:val="center"/>
          </w:tcPr>
          <w:p w:rsidR="00F92819" w:rsidRDefault="00F92819">
            <w:pPr>
              <w:spacing w:before="40" w:after="40" w:line="220" w:lineRule="exact"/>
              <w:jc w:val="right"/>
              <w:rPr>
                <w:sz w:val="18"/>
                <w:szCs w:val="24"/>
              </w:rPr>
            </w:pPr>
            <w:r>
              <w:rPr>
                <w:sz w:val="18"/>
                <w:szCs w:val="24"/>
              </w:rPr>
              <w:t>31,5</w:t>
            </w:r>
          </w:p>
        </w:tc>
        <w:tc>
          <w:tcPr>
            <w:tcW w:w="707" w:type="dxa"/>
            <w:vAlign w:val="center"/>
          </w:tcPr>
          <w:p w:rsidR="00F92819" w:rsidRDefault="00F92819">
            <w:pPr>
              <w:spacing w:before="40" w:after="40" w:line="220" w:lineRule="exact"/>
              <w:jc w:val="right"/>
              <w:rPr>
                <w:sz w:val="18"/>
                <w:szCs w:val="24"/>
              </w:rPr>
            </w:pPr>
            <w:r>
              <w:rPr>
                <w:sz w:val="18"/>
                <w:szCs w:val="24"/>
              </w:rPr>
              <w:t>34,7</w:t>
            </w:r>
          </w:p>
        </w:tc>
      </w:tr>
      <w:tr w:rsidR="00F92819">
        <w:tc>
          <w:tcPr>
            <w:tcW w:w="3686" w:type="dxa"/>
          </w:tcPr>
          <w:p w:rsidR="00F92819" w:rsidRDefault="00F92819">
            <w:pPr>
              <w:spacing w:before="40" w:after="40" w:line="220" w:lineRule="exact"/>
              <w:rPr>
                <w:szCs w:val="24"/>
              </w:rPr>
            </w:pPr>
            <w:r>
              <w:rPr>
                <w:sz w:val="18"/>
                <w:szCs w:val="24"/>
                <w:lang w:val="es-ES_tradnl"/>
              </w:rPr>
              <w:t>Huevos</w:t>
            </w:r>
          </w:p>
        </w:tc>
        <w:tc>
          <w:tcPr>
            <w:tcW w:w="1417" w:type="dxa"/>
            <w:vAlign w:val="center"/>
          </w:tcPr>
          <w:p w:rsidR="00F92819" w:rsidRDefault="00F92819">
            <w:pPr>
              <w:spacing w:before="40" w:after="40" w:line="220" w:lineRule="exact"/>
              <w:jc w:val="right"/>
              <w:rPr>
                <w:sz w:val="18"/>
                <w:szCs w:val="24"/>
              </w:rPr>
            </w:pPr>
            <w:r>
              <w:rPr>
                <w:sz w:val="18"/>
                <w:szCs w:val="24"/>
              </w:rPr>
              <w:t>5,5</w:t>
            </w:r>
          </w:p>
        </w:tc>
        <w:tc>
          <w:tcPr>
            <w:tcW w:w="709" w:type="dxa"/>
            <w:vAlign w:val="center"/>
          </w:tcPr>
          <w:p w:rsidR="00F92819" w:rsidRDefault="00F92819">
            <w:pPr>
              <w:spacing w:before="40" w:after="40" w:line="220" w:lineRule="exact"/>
              <w:jc w:val="right"/>
              <w:rPr>
                <w:sz w:val="18"/>
                <w:szCs w:val="24"/>
              </w:rPr>
            </w:pPr>
            <w:r>
              <w:rPr>
                <w:sz w:val="18"/>
                <w:szCs w:val="24"/>
              </w:rPr>
              <w:t>3,8</w:t>
            </w:r>
          </w:p>
        </w:tc>
        <w:tc>
          <w:tcPr>
            <w:tcW w:w="851" w:type="dxa"/>
            <w:vAlign w:val="center"/>
          </w:tcPr>
          <w:p w:rsidR="00F92819" w:rsidRDefault="00F92819">
            <w:pPr>
              <w:spacing w:before="40" w:after="40" w:line="220" w:lineRule="exact"/>
              <w:jc w:val="right"/>
              <w:rPr>
                <w:sz w:val="18"/>
                <w:szCs w:val="24"/>
              </w:rPr>
            </w:pPr>
            <w:r>
              <w:rPr>
                <w:sz w:val="18"/>
                <w:szCs w:val="24"/>
              </w:rPr>
              <w:t>3,9</w:t>
            </w:r>
          </w:p>
        </w:tc>
        <w:tc>
          <w:tcPr>
            <w:tcW w:w="707" w:type="dxa"/>
            <w:vAlign w:val="center"/>
          </w:tcPr>
          <w:p w:rsidR="00F92819" w:rsidRDefault="00F92819">
            <w:pPr>
              <w:spacing w:before="40" w:after="40" w:line="220" w:lineRule="exact"/>
              <w:jc w:val="right"/>
              <w:rPr>
                <w:sz w:val="18"/>
                <w:szCs w:val="24"/>
              </w:rPr>
            </w:pPr>
            <w:r>
              <w:rPr>
                <w:sz w:val="18"/>
                <w:szCs w:val="24"/>
              </w:rPr>
              <w:t>3,9</w:t>
            </w:r>
          </w:p>
        </w:tc>
      </w:tr>
      <w:tr w:rsidR="00F92819">
        <w:tc>
          <w:tcPr>
            <w:tcW w:w="3686" w:type="dxa"/>
          </w:tcPr>
          <w:p w:rsidR="00F92819" w:rsidRDefault="00F92819">
            <w:pPr>
              <w:spacing w:before="40" w:after="40" w:line="220" w:lineRule="exact"/>
              <w:rPr>
                <w:szCs w:val="24"/>
              </w:rPr>
            </w:pPr>
            <w:r>
              <w:rPr>
                <w:sz w:val="18"/>
                <w:szCs w:val="24"/>
                <w:lang w:val="es-ES_tradnl"/>
              </w:rPr>
              <w:t>Pescado</w:t>
            </w:r>
          </w:p>
        </w:tc>
        <w:tc>
          <w:tcPr>
            <w:tcW w:w="1417" w:type="dxa"/>
            <w:vAlign w:val="center"/>
          </w:tcPr>
          <w:p w:rsidR="00F92819" w:rsidRDefault="00F92819">
            <w:pPr>
              <w:spacing w:before="40" w:after="40" w:line="220" w:lineRule="exact"/>
              <w:jc w:val="right"/>
              <w:rPr>
                <w:sz w:val="18"/>
                <w:szCs w:val="24"/>
              </w:rPr>
            </w:pPr>
            <w:r>
              <w:rPr>
                <w:sz w:val="18"/>
                <w:szCs w:val="24"/>
              </w:rPr>
              <w:t>3,4</w:t>
            </w:r>
          </w:p>
        </w:tc>
        <w:tc>
          <w:tcPr>
            <w:tcW w:w="709" w:type="dxa"/>
            <w:vAlign w:val="center"/>
          </w:tcPr>
          <w:p w:rsidR="00F92819" w:rsidRDefault="00F92819">
            <w:pPr>
              <w:spacing w:before="40" w:after="40" w:line="220" w:lineRule="exact"/>
              <w:jc w:val="right"/>
              <w:rPr>
                <w:sz w:val="18"/>
                <w:szCs w:val="24"/>
              </w:rPr>
            </w:pPr>
            <w:r>
              <w:rPr>
                <w:sz w:val="18"/>
                <w:szCs w:val="24"/>
              </w:rPr>
              <w:t>4,5</w:t>
            </w:r>
          </w:p>
        </w:tc>
        <w:tc>
          <w:tcPr>
            <w:tcW w:w="851" w:type="dxa"/>
            <w:vAlign w:val="center"/>
          </w:tcPr>
          <w:p w:rsidR="00F92819" w:rsidRDefault="00F92819">
            <w:pPr>
              <w:spacing w:before="40" w:after="40" w:line="220" w:lineRule="exact"/>
              <w:jc w:val="right"/>
              <w:rPr>
                <w:sz w:val="18"/>
                <w:szCs w:val="24"/>
              </w:rPr>
            </w:pPr>
            <w:r>
              <w:rPr>
                <w:sz w:val="18"/>
                <w:szCs w:val="24"/>
              </w:rPr>
              <w:t>2,9</w:t>
            </w:r>
          </w:p>
        </w:tc>
        <w:tc>
          <w:tcPr>
            <w:tcW w:w="707" w:type="dxa"/>
            <w:vAlign w:val="center"/>
          </w:tcPr>
          <w:p w:rsidR="00F92819" w:rsidRDefault="00F92819">
            <w:pPr>
              <w:spacing w:before="40" w:after="40" w:line="220" w:lineRule="exact"/>
              <w:jc w:val="right"/>
              <w:rPr>
                <w:sz w:val="18"/>
                <w:szCs w:val="24"/>
              </w:rPr>
            </w:pPr>
            <w:r>
              <w:rPr>
                <w:sz w:val="18"/>
                <w:szCs w:val="24"/>
              </w:rPr>
              <w:t>3,3</w:t>
            </w:r>
          </w:p>
        </w:tc>
      </w:tr>
      <w:tr w:rsidR="00F92819">
        <w:tc>
          <w:tcPr>
            <w:tcW w:w="3686" w:type="dxa"/>
          </w:tcPr>
          <w:p w:rsidR="00F92819" w:rsidRDefault="00F92819">
            <w:pPr>
              <w:spacing w:before="40" w:after="40" w:line="220" w:lineRule="exact"/>
              <w:rPr>
                <w:szCs w:val="24"/>
              </w:rPr>
            </w:pPr>
            <w:r>
              <w:rPr>
                <w:sz w:val="18"/>
                <w:szCs w:val="24"/>
                <w:lang w:val="es-ES_tradnl"/>
              </w:rPr>
              <w:t>Leche y productos lácteos</w:t>
            </w:r>
          </w:p>
        </w:tc>
        <w:tc>
          <w:tcPr>
            <w:tcW w:w="1417" w:type="dxa"/>
            <w:vAlign w:val="center"/>
          </w:tcPr>
          <w:p w:rsidR="00F92819" w:rsidRDefault="00F92819">
            <w:pPr>
              <w:spacing w:before="40" w:after="40" w:line="220" w:lineRule="exact"/>
              <w:jc w:val="right"/>
              <w:rPr>
                <w:sz w:val="18"/>
                <w:szCs w:val="24"/>
              </w:rPr>
            </w:pPr>
            <w:r>
              <w:rPr>
                <w:sz w:val="18"/>
                <w:szCs w:val="24"/>
              </w:rPr>
              <w:t>15,4</w:t>
            </w:r>
          </w:p>
        </w:tc>
        <w:tc>
          <w:tcPr>
            <w:tcW w:w="709" w:type="dxa"/>
            <w:vAlign w:val="center"/>
          </w:tcPr>
          <w:p w:rsidR="00F92819" w:rsidRDefault="00F92819">
            <w:pPr>
              <w:spacing w:before="40" w:after="40" w:line="220" w:lineRule="exact"/>
              <w:jc w:val="right"/>
              <w:rPr>
                <w:sz w:val="18"/>
                <w:szCs w:val="24"/>
              </w:rPr>
            </w:pPr>
            <w:r>
              <w:rPr>
                <w:sz w:val="18"/>
                <w:szCs w:val="24"/>
              </w:rPr>
              <w:t>15,5</w:t>
            </w:r>
          </w:p>
        </w:tc>
        <w:tc>
          <w:tcPr>
            <w:tcW w:w="851" w:type="dxa"/>
            <w:vAlign w:val="center"/>
          </w:tcPr>
          <w:p w:rsidR="00F92819" w:rsidRDefault="00F92819">
            <w:pPr>
              <w:spacing w:before="40" w:after="40" w:line="220" w:lineRule="exact"/>
              <w:jc w:val="right"/>
              <w:rPr>
                <w:sz w:val="18"/>
                <w:szCs w:val="24"/>
              </w:rPr>
            </w:pPr>
            <w:r>
              <w:rPr>
                <w:sz w:val="18"/>
                <w:szCs w:val="24"/>
              </w:rPr>
              <w:t>15,6</w:t>
            </w:r>
          </w:p>
        </w:tc>
        <w:tc>
          <w:tcPr>
            <w:tcW w:w="707" w:type="dxa"/>
            <w:vAlign w:val="center"/>
          </w:tcPr>
          <w:p w:rsidR="00F92819" w:rsidRDefault="00F92819">
            <w:pPr>
              <w:spacing w:before="40" w:after="40" w:line="220" w:lineRule="exact"/>
              <w:jc w:val="right"/>
              <w:rPr>
                <w:sz w:val="18"/>
                <w:szCs w:val="24"/>
              </w:rPr>
            </w:pPr>
            <w:r>
              <w:rPr>
                <w:sz w:val="18"/>
                <w:szCs w:val="24"/>
              </w:rPr>
              <w:t>14,9</w:t>
            </w:r>
          </w:p>
        </w:tc>
      </w:tr>
      <w:tr w:rsidR="00F92819">
        <w:tc>
          <w:tcPr>
            <w:tcW w:w="3686" w:type="dxa"/>
          </w:tcPr>
          <w:p w:rsidR="00F92819" w:rsidRDefault="00F92819">
            <w:pPr>
              <w:spacing w:before="40" w:after="40" w:line="220" w:lineRule="exact"/>
              <w:rPr>
                <w:szCs w:val="24"/>
              </w:rPr>
            </w:pPr>
            <w:r>
              <w:rPr>
                <w:sz w:val="18"/>
                <w:szCs w:val="24"/>
                <w:lang w:val="es-ES_tradnl"/>
              </w:rPr>
              <w:t>Bebidas</w:t>
            </w:r>
          </w:p>
        </w:tc>
        <w:tc>
          <w:tcPr>
            <w:tcW w:w="1417" w:type="dxa"/>
            <w:vAlign w:val="center"/>
          </w:tcPr>
          <w:p w:rsidR="00F92819" w:rsidRDefault="00F92819">
            <w:pPr>
              <w:spacing w:before="40" w:after="40" w:line="220" w:lineRule="exact"/>
              <w:jc w:val="right"/>
              <w:rPr>
                <w:sz w:val="18"/>
                <w:szCs w:val="24"/>
              </w:rPr>
            </w:pPr>
            <w:r>
              <w:rPr>
                <w:sz w:val="18"/>
                <w:szCs w:val="24"/>
              </w:rPr>
              <w:t>-</w:t>
            </w:r>
          </w:p>
        </w:tc>
        <w:tc>
          <w:tcPr>
            <w:tcW w:w="709" w:type="dxa"/>
            <w:vAlign w:val="center"/>
          </w:tcPr>
          <w:p w:rsidR="00F92819" w:rsidRDefault="00F92819">
            <w:pPr>
              <w:spacing w:before="40" w:after="40" w:line="220" w:lineRule="exact"/>
              <w:jc w:val="right"/>
              <w:rPr>
                <w:sz w:val="18"/>
                <w:szCs w:val="24"/>
              </w:rPr>
            </w:pPr>
            <w:r>
              <w:rPr>
                <w:sz w:val="18"/>
                <w:szCs w:val="24"/>
              </w:rPr>
              <w:t>-</w:t>
            </w:r>
          </w:p>
        </w:tc>
        <w:tc>
          <w:tcPr>
            <w:tcW w:w="851" w:type="dxa"/>
            <w:vAlign w:val="center"/>
          </w:tcPr>
          <w:p w:rsidR="00F92819" w:rsidRDefault="00F92819">
            <w:pPr>
              <w:spacing w:before="40" w:after="40" w:line="220" w:lineRule="exact"/>
              <w:jc w:val="right"/>
              <w:rPr>
                <w:sz w:val="18"/>
                <w:szCs w:val="24"/>
              </w:rPr>
            </w:pPr>
            <w:r>
              <w:rPr>
                <w:sz w:val="18"/>
                <w:szCs w:val="24"/>
              </w:rPr>
              <w:t>0,7</w:t>
            </w:r>
          </w:p>
        </w:tc>
        <w:tc>
          <w:tcPr>
            <w:tcW w:w="707" w:type="dxa"/>
            <w:vAlign w:val="center"/>
          </w:tcPr>
          <w:p w:rsidR="00F92819" w:rsidRDefault="00F92819">
            <w:pPr>
              <w:spacing w:before="40" w:after="40" w:line="220" w:lineRule="exact"/>
              <w:jc w:val="right"/>
              <w:rPr>
                <w:sz w:val="18"/>
                <w:szCs w:val="24"/>
              </w:rPr>
            </w:pPr>
            <w:r>
              <w:rPr>
                <w:sz w:val="18"/>
                <w:szCs w:val="24"/>
              </w:rPr>
              <w:t>0,5</w:t>
            </w:r>
          </w:p>
        </w:tc>
      </w:tr>
      <w:tr w:rsidR="00F92819">
        <w:tc>
          <w:tcPr>
            <w:tcW w:w="3686" w:type="dxa"/>
            <w:tcBorders>
              <w:bottom w:val="single" w:sz="4" w:space="0" w:color="auto"/>
            </w:tcBorders>
          </w:tcPr>
          <w:p w:rsidR="00F92819" w:rsidRDefault="00F92819">
            <w:pPr>
              <w:keepNext/>
              <w:keepLines/>
              <w:spacing w:before="80" w:after="80" w:line="200" w:lineRule="exact"/>
              <w:rPr>
                <w:szCs w:val="24"/>
              </w:rPr>
            </w:pPr>
            <w:r>
              <w:rPr>
                <w:i/>
                <w:sz w:val="16"/>
                <w:szCs w:val="24"/>
                <w:lang w:val="es-ES_tradnl"/>
              </w:rPr>
              <w:t>Grasas (gramos)</w:t>
            </w:r>
          </w:p>
        </w:tc>
        <w:tc>
          <w:tcPr>
            <w:tcW w:w="1417" w:type="dxa"/>
            <w:tcBorders>
              <w:bottom w:val="single" w:sz="4" w:space="0" w:color="auto"/>
            </w:tcBorders>
            <w:vAlign w:val="center"/>
          </w:tcPr>
          <w:p w:rsidR="00F92819" w:rsidRDefault="00F92819">
            <w:pPr>
              <w:keepNext/>
              <w:keepLines/>
              <w:spacing w:before="80" w:after="80" w:line="200" w:lineRule="exact"/>
              <w:rPr>
                <w:sz w:val="18"/>
                <w:szCs w:val="24"/>
              </w:rPr>
            </w:pPr>
          </w:p>
        </w:tc>
        <w:tc>
          <w:tcPr>
            <w:tcW w:w="709" w:type="dxa"/>
            <w:tcBorders>
              <w:bottom w:val="single" w:sz="4" w:space="0" w:color="auto"/>
            </w:tcBorders>
            <w:vAlign w:val="center"/>
          </w:tcPr>
          <w:p w:rsidR="00F92819" w:rsidRDefault="00F92819">
            <w:pPr>
              <w:keepNext/>
              <w:keepLines/>
              <w:spacing w:before="80" w:after="80" w:line="200" w:lineRule="exact"/>
              <w:rPr>
                <w:sz w:val="18"/>
                <w:szCs w:val="24"/>
              </w:rPr>
            </w:pPr>
          </w:p>
        </w:tc>
        <w:tc>
          <w:tcPr>
            <w:tcW w:w="851" w:type="dxa"/>
            <w:tcBorders>
              <w:bottom w:val="single" w:sz="4" w:space="0" w:color="auto"/>
            </w:tcBorders>
            <w:vAlign w:val="center"/>
          </w:tcPr>
          <w:p w:rsidR="00F92819" w:rsidRDefault="00F92819">
            <w:pPr>
              <w:keepNext/>
              <w:keepLines/>
              <w:spacing w:before="80" w:after="80" w:line="200" w:lineRule="exact"/>
              <w:rPr>
                <w:sz w:val="18"/>
                <w:szCs w:val="24"/>
              </w:rPr>
            </w:pPr>
          </w:p>
        </w:tc>
        <w:tc>
          <w:tcPr>
            <w:tcW w:w="707" w:type="dxa"/>
            <w:tcBorders>
              <w:bottom w:val="single" w:sz="4" w:space="0" w:color="auto"/>
            </w:tcBorders>
            <w:vAlign w:val="center"/>
          </w:tcPr>
          <w:p w:rsidR="00F92819" w:rsidRDefault="00F92819">
            <w:pPr>
              <w:keepNext/>
              <w:keepLines/>
              <w:spacing w:before="80" w:after="80" w:line="200" w:lineRule="exact"/>
              <w:rPr>
                <w:sz w:val="18"/>
                <w:szCs w:val="24"/>
              </w:rPr>
            </w:pPr>
          </w:p>
        </w:tc>
      </w:tr>
      <w:tr w:rsidR="00F92819">
        <w:tc>
          <w:tcPr>
            <w:tcW w:w="3686" w:type="dxa"/>
            <w:tcBorders>
              <w:top w:val="single" w:sz="4" w:space="0" w:color="auto"/>
              <w:bottom w:val="single" w:sz="4" w:space="0" w:color="auto"/>
            </w:tcBorders>
          </w:tcPr>
          <w:p w:rsidR="00F92819" w:rsidRDefault="00F92819">
            <w:pPr>
              <w:keepNext/>
              <w:keepLines/>
              <w:spacing w:before="80" w:after="80" w:line="220" w:lineRule="exact"/>
              <w:ind w:left="284"/>
              <w:rPr>
                <w:szCs w:val="24"/>
              </w:rPr>
            </w:pPr>
            <w:r>
              <w:rPr>
                <w:b/>
                <w:sz w:val="18"/>
                <w:szCs w:val="24"/>
                <w:lang w:val="es-ES_tradnl"/>
              </w:rPr>
              <w:t>Total</w:t>
            </w:r>
          </w:p>
        </w:tc>
        <w:tc>
          <w:tcPr>
            <w:tcW w:w="1417"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117,6</w:t>
            </w:r>
          </w:p>
        </w:tc>
        <w:tc>
          <w:tcPr>
            <w:tcW w:w="709"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139,6</w:t>
            </w:r>
          </w:p>
        </w:tc>
        <w:tc>
          <w:tcPr>
            <w:tcW w:w="851"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148,8</w:t>
            </w:r>
          </w:p>
        </w:tc>
        <w:tc>
          <w:tcPr>
            <w:tcW w:w="707"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150,6</w:t>
            </w:r>
          </w:p>
        </w:tc>
      </w:tr>
      <w:tr w:rsidR="00F92819">
        <w:tc>
          <w:tcPr>
            <w:tcW w:w="3686" w:type="dxa"/>
            <w:tcBorders>
              <w:top w:val="single" w:sz="4" w:space="0" w:color="auto"/>
            </w:tcBorders>
          </w:tcPr>
          <w:p w:rsidR="00F92819" w:rsidRDefault="00F92819">
            <w:pPr>
              <w:keepNext/>
              <w:keepLines/>
              <w:spacing w:before="40" w:after="40" w:line="220" w:lineRule="exact"/>
              <w:rPr>
                <w:szCs w:val="24"/>
              </w:rPr>
            </w:pPr>
            <w:r>
              <w:rPr>
                <w:sz w:val="18"/>
                <w:szCs w:val="24"/>
                <w:lang w:val="es-ES_tradnl"/>
              </w:rPr>
              <w:t>De las cuales:</w:t>
            </w:r>
            <w:r>
              <w:rPr>
                <w:sz w:val="18"/>
                <w:szCs w:val="24"/>
              </w:rPr>
              <w:t xml:space="preserve"> </w:t>
            </w:r>
            <w:r>
              <w:rPr>
                <w:sz w:val="18"/>
                <w:szCs w:val="24"/>
                <w:lang w:val="es-ES_tradnl"/>
              </w:rPr>
              <w:t>animales</w:t>
            </w:r>
          </w:p>
        </w:tc>
        <w:tc>
          <w:tcPr>
            <w:tcW w:w="1417"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42,6</w:t>
            </w:r>
          </w:p>
        </w:tc>
        <w:tc>
          <w:tcPr>
            <w:tcW w:w="709"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43,3</w:t>
            </w:r>
          </w:p>
        </w:tc>
        <w:tc>
          <w:tcPr>
            <w:tcW w:w="851"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43</w:t>
            </w:r>
          </w:p>
        </w:tc>
        <w:tc>
          <w:tcPr>
            <w:tcW w:w="707"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46,3</w:t>
            </w:r>
          </w:p>
        </w:tc>
      </w:tr>
      <w:tr w:rsidR="00F92819">
        <w:tc>
          <w:tcPr>
            <w:tcW w:w="3686" w:type="dxa"/>
          </w:tcPr>
          <w:p w:rsidR="00F92819" w:rsidRDefault="00F92819">
            <w:pPr>
              <w:keepNext/>
              <w:keepLines/>
              <w:spacing w:before="40" w:after="40" w:line="220" w:lineRule="exact"/>
              <w:rPr>
                <w:szCs w:val="24"/>
              </w:rPr>
            </w:pPr>
            <w:r>
              <w:rPr>
                <w:sz w:val="18"/>
                <w:szCs w:val="24"/>
                <w:lang w:val="es-ES_tradnl"/>
              </w:rPr>
              <w:t>Cereales y productos de cereales</w:t>
            </w:r>
          </w:p>
        </w:tc>
        <w:tc>
          <w:tcPr>
            <w:tcW w:w="1417" w:type="dxa"/>
            <w:vAlign w:val="center"/>
          </w:tcPr>
          <w:p w:rsidR="00F92819" w:rsidRDefault="00F92819">
            <w:pPr>
              <w:keepNext/>
              <w:keepLines/>
              <w:spacing w:before="40" w:after="40" w:line="220" w:lineRule="exact"/>
              <w:jc w:val="right"/>
              <w:rPr>
                <w:sz w:val="18"/>
                <w:szCs w:val="24"/>
              </w:rPr>
            </w:pPr>
            <w:r>
              <w:rPr>
                <w:sz w:val="18"/>
                <w:szCs w:val="24"/>
              </w:rPr>
              <w:t>4,1</w:t>
            </w:r>
          </w:p>
        </w:tc>
        <w:tc>
          <w:tcPr>
            <w:tcW w:w="709" w:type="dxa"/>
            <w:vAlign w:val="center"/>
          </w:tcPr>
          <w:p w:rsidR="00F92819" w:rsidRDefault="00F92819">
            <w:pPr>
              <w:keepNext/>
              <w:keepLines/>
              <w:spacing w:before="40" w:after="40" w:line="220" w:lineRule="exact"/>
              <w:jc w:val="right"/>
              <w:rPr>
                <w:sz w:val="18"/>
                <w:szCs w:val="24"/>
              </w:rPr>
            </w:pPr>
            <w:r>
              <w:rPr>
                <w:sz w:val="18"/>
                <w:szCs w:val="24"/>
              </w:rPr>
              <w:t>4,5</w:t>
            </w:r>
          </w:p>
        </w:tc>
        <w:tc>
          <w:tcPr>
            <w:tcW w:w="851" w:type="dxa"/>
            <w:vAlign w:val="center"/>
          </w:tcPr>
          <w:p w:rsidR="00F92819" w:rsidRDefault="00F92819">
            <w:pPr>
              <w:keepNext/>
              <w:keepLines/>
              <w:spacing w:before="40" w:after="40" w:line="220" w:lineRule="exact"/>
              <w:jc w:val="right"/>
              <w:rPr>
                <w:sz w:val="18"/>
                <w:szCs w:val="24"/>
              </w:rPr>
            </w:pPr>
            <w:r>
              <w:rPr>
                <w:sz w:val="18"/>
                <w:szCs w:val="24"/>
              </w:rPr>
              <w:t>7</w:t>
            </w:r>
          </w:p>
        </w:tc>
        <w:tc>
          <w:tcPr>
            <w:tcW w:w="707" w:type="dxa"/>
            <w:vAlign w:val="center"/>
          </w:tcPr>
          <w:p w:rsidR="00F92819" w:rsidRDefault="00F92819">
            <w:pPr>
              <w:keepNext/>
              <w:keepLines/>
              <w:spacing w:before="40" w:after="40" w:line="220" w:lineRule="exact"/>
              <w:jc w:val="right"/>
              <w:rPr>
                <w:sz w:val="18"/>
                <w:szCs w:val="24"/>
              </w:rPr>
            </w:pPr>
            <w:r>
              <w:rPr>
                <w:sz w:val="18"/>
                <w:szCs w:val="24"/>
              </w:rPr>
              <w:t>6,7</w:t>
            </w:r>
          </w:p>
        </w:tc>
      </w:tr>
      <w:tr w:rsidR="00F92819">
        <w:tc>
          <w:tcPr>
            <w:tcW w:w="3686" w:type="dxa"/>
          </w:tcPr>
          <w:p w:rsidR="00F92819" w:rsidRDefault="00F92819">
            <w:pPr>
              <w:spacing w:before="40" w:after="40" w:line="220" w:lineRule="exact"/>
              <w:rPr>
                <w:szCs w:val="24"/>
              </w:rPr>
            </w:pPr>
            <w:r>
              <w:rPr>
                <w:sz w:val="18"/>
                <w:szCs w:val="24"/>
                <w:lang w:val="es-ES_tradnl"/>
              </w:rPr>
              <w:t>Patatas y féculas</w:t>
            </w:r>
          </w:p>
        </w:tc>
        <w:tc>
          <w:tcPr>
            <w:tcW w:w="1417" w:type="dxa"/>
            <w:vAlign w:val="center"/>
          </w:tcPr>
          <w:p w:rsidR="00F92819" w:rsidRDefault="00F92819">
            <w:pPr>
              <w:spacing w:before="40" w:after="40" w:line="220" w:lineRule="exact"/>
              <w:jc w:val="right"/>
              <w:rPr>
                <w:sz w:val="18"/>
                <w:szCs w:val="24"/>
              </w:rPr>
            </w:pPr>
            <w:r>
              <w:rPr>
                <w:sz w:val="18"/>
                <w:szCs w:val="24"/>
              </w:rPr>
              <w:t>0,1</w:t>
            </w:r>
          </w:p>
        </w:tc>
        <w:tc>
          <w:tcPr>
            <w:tcW w:w="709" w:type="dxa"/>
            <w:vAlign w:val="center"/>
          </w:tcPr>
          <w:p w:rsidR="00F92819" w:rsidRDefault="00F92819">
            <w:pPr>
              <w:spacing w:before="40" w:after="40" w:line="220" w:lineRule="exact"/>
              <w:jc w:val="right"/>
              <w:rPr>
                <w:sz w:val="18"/>
                <w:szCs w:val="24"/>
              </w:rPr>
            </w:pPr>
            <w:r>
              <w:rPr>
                <w:sz w:val="18"/>
                <w:szCs w:val="24"/>
              </w:rPr>
              <w:t>0,1</w:t>
            </w:r>
          </w:p>
        </w:tc>
        <w:tc>
          <w:tcPr>
            <w:tcW w:w="851" w:type="dxa"/>
            <w:vAlign w:val="center"/>
          </w:tcPr>
          <w:p w:rsidR="00F92819" w:rsidRDefault="00F92819">
            <w:pPr>
              <w:spacing w:before="40" w:after="40" w:line="220" w:lineRule="exact"/>
              <w:jc w:val="right"/>
              <w:rPr>
                <w:sz w:val="18"/>
                <w:szCs w:val="24"/>
              </w:rPr>
            </w:pPr>
            <w:r>
              <w:rPr>
                <w:sz w:val="18"/>
                <w:szCs w:val="24"/>
              </w:rPr>
              <w:t>0,1</w:t>
            </w:r>
          </w:p>
        </w:tc>
        <w:tc>
          <w:tcPr>
            <w:tcW w:w="707" w:type="dxa"/>
            <w:vAlign w:val="center"/>
          </w:tcPr>
          <w:p w:rsidR="00F92819" w:rsidRDefault="00F92819">
            <w:pPr>
              <w:spacing w:before="40" w:after="40" w:line="220" w:lineRule="exact"/>
              <w:jc w:val="right"/>
              <w:rPr>
                <w:sz w:val="18"/>
                <w:szCs w:val="24"/>
              </w:rPr>
            </w:pPr>
            <w:r>
              <w:rPr>
                <w:sz w:val="18"/>
                <w:szCs w:val="24"/>
              </w:rPr>
              <w:t>0,1</w:t>
            </w:r>
          </w:p>
        </w:tc>
      </w:tr>
      <w:tr w:rsidR="00F92819">
        <w:tc>
          <w:tcPr>
            <w:tcW w:w="3686" w:type="dxa"/>
          </w:tcPr>
          <w:p w:rsidR="00F92819" w:rsidRDefault="00F92819">
            <w:pPr>
              <w:spacing w:before="40" w:after="40" w:line="220" w:lineRule="exact"/>
              <w:rPr>
                <w:szCs w:val="24"/>
              </w:rPr>
            </w:pPr>
            <w:r>
              <w:rPr>
                <w:sz w:val="18"/>
                <w:szCs w:val="24"/>
                <w:lang w:val="es-ES_tradnl"/>
              </w:rPr>
              <w:t>Azúcar, dulces y miel (1)</w:t>
            </w:r>
          </w:p>
        </w:tc>
        <w:tc>
          <w:tcPr>
            <w:tcW w:w="1417" w:type="dxa"/>
            <w:vAlign w:val="center"/>
          </w:tcPr>
          <w:p w:rsidR="00F92819" w:rsidRDefault="00F92819">
            <w:pPr>
              <w:spacing w:before="40" w:after="40" w:line="220" w:lineRule="exact"/>
              <w:jc w:val="right"/>
              <w:rPr>
                <w:sz w:val="18"/>
                <w:szCs w:val="24"/>
              </w:rPr>
            </w:pPr>
            <w:r>
              <w:rPr>
                <w:sz w:val="18"/>
                <w:szCs w:val="24"/>
              </w:rPr>
              <w:t>2,2</w:t>
            </w:r>
          </w:p>
        </w:tc>
        <w:tc>
          <w:tcPr>
            <w:tcW w:w="709" w:type="dxa"/>
            <w:vAlign w:val="center"/>
          </w:tcPr>
          <w:p w:rsidR="00F92819" w:rsidRDefault="00F92819">
            <w:pPr>
              <w:spacing w:before="40" w:after="40" w:line="220" w:lineRule="exact"/>
              <w:jc w:val="right"/>
              <w:rPr>
                <w:sz w:val="18"/>
                <w:szCs w:val="24"/>
              </w:rPr>
            </w:pPr>
            <w:r>
              <w:rPr>
                <w:sz w:val="18"/>
                <w:szCs w:val="24"/>
              </w:rPr>
              <w:t>6,6</w:t>
            </w:r>
          </w:p>
        </w:tc>
        <w:tc>
          <w:tcPr>
            <w:tcW w:w="851" w:type="dxa"/>
            <w:vAlign w:val="center"/>
          </w:tcPr>
          <w:p w:rsidR="00F92819" w:rsidRDefault="00F92819">
            <w:pPr>
              <w:spacing w:before="40" w:after="40" w:line="220" w:lineRule="exact"/>
              <w:jc w:val="right"/>
              <w:rPr>
                <w:sz w:val="18"/>
                <w:szCs w:val="24"/>
              </w:rPr>
            </w:pPr>
            <w:r>
              <w:rPr>
                <w:sz w:val="18"/>
                <w:szCs w:val="24"/>
              </w:rPr>
              <w:t>-</w:t>
            </w:r>
          </w:p>
        </w:tc>
        <w:tc>
          <w:tcPr>
            <w:tcW w:w="707" w:type="dxa"/>
            <w:vAlign w:val="center"/>
          </w:tcPr>
          <w:p w:rsidR="00F92819" w:rsidRDefault="00F92819">
            <w:pPr>
              <w:spacing w:before="40" w:after="40" w:line="220" w:lineRule="exact"/>
              <w:jc w:val="right"/>
              <w:rPr>
                <w:sz w:val="18"/>
                <w:szCs w:val="24"/>
              </w:rPr>
            </w:pPr>
            <w:r>
              <w:rPr>
                <w:sz w:val="18"/>
                <w:szCs w:val="24"/>
              </w:rPr>
              <w:t>-</w:t>
            </w:r>
          </w:p>
        </w:tc>
      </w:tr>
      <w:tr w:rsidR="00F92819">
        <w:tc>
          <w:tcPr>
            <w:tcW w:w="3686" w:type="dxa"/>
          </w:tcPr>
          <w:p w:rsidR="00F92819" w:rsidRDefault="00F92819">
            <w:pPr>
              <w:spacing w:before="40" w:after="40" w:line="220" w:lineRule="exact"/>
              <w:rPr>
                <w:szCs w:val="24"/>
              </w:rPr>
            </w:pPr>
            <w:r>
              <w:rPr>
                <w:sz w:val="18"/>
                <w:szCs w:val="24"/>
                <w:lang w:val="es-ES_tradnl"/>
              </w:rPr>
              <w:t>Legumbres, semillas oleaginosas y nueces</w:t>
            </w:r>
          </w:p>
        </w:tc>
        <w:tc>
          <w:tcPr>
            <w:tcW w:w="1417" w:type="dxa"/>
            <w:vAlign w:val="center"/>
          </w:tcPr>
          <w:p w:rsidR="00F92819" w:rsidRDefault="00F92819">
            <w:pPr>
              <w:spacing w:before="40" w:after="40" w:line="220" w:lineRule="exact"/>
              <w:jc w:val="right"/>
              <w:rPr>
                <w:sz w:val="18"/>
                <w:szCs w:val="24"/>
              </w:rPr>
            </w:pPr>
            <w:r>
              <w:rPr>
                <w:sz w:val="18"/>
                <w:szCs w:val="24"/>
              </w:rPr>
              <w:t>9,2</w:t>
            </w:r>
          </w:p>
        </w:tc>
        <w:tc>
          <w:tcPr>
            <w:tcW w:w="709" w:type="dxa"/>
            <w:vAlign w:val="center"/>
          </w:tcPr>
          <w:p w:rsidR="00F92819" w:rsidRDefault="00F92819">
            <w:pPr>
              <w:spacing w:before="40" w:after="40" w:line="220" w:lineRule="exact"/>
              <w:jc w:val="right"/>
              <w:rPr>
                <w:sz w:val="18"/>
                <w:szCs w:val="24"/>
              </w:rPr>
            </w:pPr>
            <w:r>
              <w:rPr>
                <w:sz w:val="18"/>
                <w:szCs w:val="24"/>
              </w:rPr>
              <w:t>7,9</w:t>
            </w:r>
          </w:p>
        </w:tc>
        <w:tc>
          <w:tcPr>
            <w:tcW w:w="851" w:type="dxa"/>
            <w:vAlign w:val="center"/>
          </w:tcPr>
          <w:p w:rsidR="00F92819" w:rsidRDefault="00F92819">
            <w:pPr>
              <w:spacing w:before="40" w:after="40" w:line="220" w:lineRule="exact"/>
              <w:jc w:val="right"/>
              <w:rPr>
                <w:sz w:val="18"/>
                <w:szCs w:val="24"/>
              </w:rPr>
            </w:pPr>
            <w:r>
              <w:rPr>
                <w:sz w:val="18"/>
                <w:szCs w:val="24"/>
              </w:rPr>
              <w:t>12,2</w:t>
            </w:r>
          </w:p>
        </w:tc>
        <w:tc>
          <w:tcPr>
            <w:tcW w:w="707" w:type="dxa"/>
            <w:vAlign w:val="center"/>
          </w:tcPr>
          <w:p w:rsidR="00F92819" w:rsidRDefault="00F92819">
            <w:pPr>
              <w:spacing w:before="40" w:after="40" w:line="220" w:lineRule="exact"/>
              <w:jc w:val="right"/>
              <w:rPr>
                <w:sz w:val="18"/>
                <w:szCs w:val="24"/>
              </w:rPr>
            </w:pPr>
            <w:r>
              <w:rPr>
                <w:sz w:val="18"/>
                <w:szCs w:val="24"/>
              </w:rPr>
              <w:t>13,6</w:t>
            </w:r>
          </w:p>
        </w:tc>
      </w:tr>
      <w:tr w:rsidR="00F92819">
        <w:tc>
          <w:tcPr>
            <w:tcW w:w="3686" w:type="dxa"/>
          </w:tcPr>
          <w:p w:rsidR="00F92819" w:rsidRDefault="00F92819">
            <w:pPr>
              <w:spacing w:before="40" w:after="40" w:line="220" w:lineRule="exact"/>
              <w:rPr>
                <w:szCs w:val="24"/>
              </w:rPr>
            </w:pPr>
            <w:r>
              <w:rPr>
                <w:sz w:val="18"/>
                <w:szCs w:val="24"/>
                <w:lang w:val="es-ES_tradnl"/>
              </w:rPr>
              <w:t>Verduras y melones (2)</w:t>
            </w:r>
          </w:p>
        </w:tc>
        <w:tc>
          <w:tcPr>
            <w:tcW w:w="1417" w:type="dxa"/>
            <w:vAlign w:val="center"/>
          </w:tcPr>
          <w:p w:rsidR="00F92819" w:rsidRDefault="00F92819">
            <w:pPr>
              <w:spacing w:before="40" w:after="40" w:line="220" w:lineRule="exact"/>
              <w:jc w:val="right"/>
              <w:rPr>
                <w:sz w:val="18"/>
                <w:szCs w:val="24"/>
              </w:rPr>
            </w:pPr>
            <w:r>
              <w:rPr>
                <w:sz w:val="18"/>
                <w:szCs w:val="24"/>
              </w:rPr>
              <w:t>1,0</w:t>
            </w:r>
          </w:p>
        </w:tc>
        <w:tc>
          <w:tcPr>
            <w:tcW w:w="709" w:type="dxa"/>
            <w:vAlign w:val="center"/>
          </w:tcPr>
          <w:p w:rsidR="00F92819" w:rsidRDefault="00F92819">
            <w:pPr>
              <w:spacing w:before="40" w:after="40" w:line="220" w:lineRule="exact"/>
              <w:jc w:val="right"/>
              <w:rPr>
                <w:sz w:val="18"/>
                <w:szCs w:val="24"/>
              </w:rPr>
            </w:pPr>
            <w:r>
              <w:rPr>
                <w:sz w:val="18"/>
                <w:szCs w:val="24"/>
              </w:rPr>
              <w:t>0,8</w:t>
            </w:r>
          </w:p>
        </w:tc>
        <w:tc>
          <w:tcPr>
            <w:tcW w:w="851" w:type="dxa"/>
            <w:vAlign w:val="center"/>
          </w:tcPr>
          <w:p w:rsidR="00F92819" w:rsidRDefault="00F92819">
            <w:pPr>
              <w:spacing w:before="40" w:after="40" w:line="220" w:lineRule="exact"/>
              <w:jc w:val="right"/>
              <w:rPr>
                <w:sz w:val="18"/>
                <w:szCs w:val="24"/>
              </w:rPr>
            </w:pPr>
            <w:r>
              <w:rPr>
                <w:sz w:val="18"/>
                <w:szCs w:val="24"/>
              </w:rPr>
              <w:t>1,8</w:t>
            </w:r>
          </w:p>
        </w:tc>
        <w:tc>
          <w:tcPr>
            <w:tcW w:w="707" w:type="dxa"/>
            <w:vAlign w:val="center"/>
          </w:tcPr>
          <w:p w:rsidR="00F92819" w:rsidRDefault="00F92819">
            <w:pPr>
              <w:spacing w:before="40" w:after="40" w:line="220" w:lineRule="exact"/>
              <w:jc w:val="right"/>
              <w:rPr>
                <w:sz w:val="18"/>
                <w:szCs w:val="24"/>
              </w:rPr>
            </w:pPr>
            <w:r>
              <w:rPr>
                <w:sz w:val="18"/>
                <w:szCs w:val="24"/>
              </w:rPr>
              <w:t>1,7</w:t>
            </w:r>
          </w:p>
        </w:tc>
      </w:tr>
      <w:tr w:rsidR="00F92819">
        <w:tc>
          <w:tcPr>
            <w:tcW w:w="3686" w:type="dxa"/>
          </w:tcPr>
          <w:p w:rsidR="00F92819" w:rsidRDefault="00F92819">
            <w:pPr>
              <w:spacing w:before="40" w:after="40" w:line="220" w:lineRule="exact"/>
              <w:rPr>
                <w:szCs w:val="24"/>
              </w:rPr>
            </w:pPr>
            <w:r>
              <w:rPr>
                <w:sz w:val="18"/>
                <w:szCs w:val="24"/>
                <w:lang w:val="es-ES_tradnl"/>
              </w:rPr>
              <w:t>Frutas (2)</w:t>
            </w:r>
          </w:p>
        </w:tc>
        <w:tc>
          <w:tcPr>
            <w:tcW w:w="1417" w:type="dxa"/>
            <w:vAlign w:val="center"/>
          </w:tcPr>
          <w:p w:rsidR="00F92819" w:rsidRDefault="00F92819">
            <w:pPr>
              <w:spacing w:before="40" w:after="40" w:line="220" w:lineRule="exact"/>
              <w:jc w:val="right"/>
              <w:rPr>
                <w:sz w:val="18"/>
                <w:szCs w:val="24"/>
              </w:rPr>
            </w:pPr>
            <w:r>
              <w:rPr>
                <w:sz w:val="18"/>
                <w:szCs w:val="24"/>
              </w:rPr>
              <w:t>3,2</w:t>
            </w:r>
          </w:p>
        </w:tc>
        <w:tc>
          <w:tcPr>
            <w:tcW w:w="709" w:type="dxa"/>
            <w:vAlign w:val="center"/>
          </w:tcPr>
          <w:p w:rsidR="00F92819" w:rsidRDefault="00F92819">
            <w:pPr>
              <w:spacing w:before="40" w:after="40" w:line="220" w:lineRule="exact"/>
              <w:jc w:val="right"/>
              <w:rPr>
                <w:sz w:val="18"/>
                <w:szCs w:val="24"/>
              </w:rPr>
            </w:pPr>
            <w:r>
              <w:rPr>
                <w:sz w:val="18"/>
                <w:szCs w:val="24"/>
              </w:rPr>
              <w:t>5</w:t>
            </w:r>
          </w:p>
        </w:tc>
        <w:tc>
          <w:tcPr>
            <w:tcW w:w="851" w:type="dxa"/>
            <w:vAlign w:val="center"/>
          </w:tcPr>
          <w:p w:rsidR="00F92819" w:rsidRDefault="00F92819">
            <w:pPr>
              <w:spacing w:before="40" w:after="40" w:line="220" w:lineRule="exact"/>
              <w:jc w:val="right"/>
              <w:rPr>
                <w:sz w:val="18"/>
                <w:szCs w:val="24"/>
              </w:rPr>
            </w:pPr>
            <w:r>
              <w:rPr>
                <w:sz w:val="18"/>
                <w:szCs w:val="24"/>
              </w:rPr>
              <w:t>3</w:t>
            </w:r>
          </w:p>
        </w:tc>
        <w:tc>
          <w:tcPr>
            <w:tcW w:w="707" w:type="dxa"/>
            <w:vAlign w:val="center"/>
          </w:tcPr>
          <w:p w:rsidR="00F92819" w:rsidRDefault="00F92819">
            <w:pPr>
              <w:spacing w:before="40" w:after="40" w:line="220" w:lineRule="exact"/>
              <w:jc w:val="right"/>
              <w:rPr>
                <w:sz w:val="18"/>
                <w:szCs w:val="24"/>
              </w:rPr>
            </w:pPr>
            <w:r>
              <w:rPr>
                <w:sz w:val="18"/>
                <w:szCs w:val="24"/>
              </w:rPr>
              <w:t>2,7</w:t>
            </w:r>
          </w:p>
        </w:tc>
      </w:tr>
      <w:tr w:rsidR="00F92819">
        <w:tc>
          <w:tcPr>
            <w:tcW w:w="3686" w:type="dxa"/>
          </w:tcPr>
          <w:p w:rsidR="00F92819" w:rsidRDefault="00F92819">
            <w:pPr>
              <w:spacing w:before="40" w:after="40" w:line="220" w:lineRule="exact"/>
              <w:rPr>
                <w:szCs w:val="24"/>
              </w:rPr>
            </w:pPr>
            <w:r>
              <w:rPr>
                <w:sz w:val="18"/>
                <w:szCs w:val="24"/>
                <w:lang w:val="es-ES_tradnl"/>
              </w:rPr>
              <w:t>Aceites y grasas</w:t>
            </w:r>
          </w:p>
        </w:tc>
        <w:tc>
          <w:tcPr>
            <w:tcW w:w="1417" w:type="dxa"/>
            <w:vAlign w:val="center"/>
          </w:tcPr>
          <w:p w:rsidR="00F92819" w:rsidRDefault="00F92819">
            <w:pPr>
              <w:spacing w:before="40" w:after="40" w:line="220" w:lineRule="exact"/>
              <w:jc w:val="right"/>
              <w:rPr>
                <w:sz w:val="18"/>
                <w:szCs w:val="24"/>
              </w:rPr>
            </w:pPr>
            <w:r>
              <w:rPr>
                <w:sz w:val="18"/>
                <w:szCs w:val="24"/>
              </w:rPr>
              <w:t>55,3</w:t>
            </w:r>
          </w:p>
        </w:tc>
        <w:tc>
          <w:tcPr>
            <w:tcW w:w="709" w:type="dxa"/>
            <w:vAlign w:val="center"/>
          </w:tcPr>
          <w:p w:rsidR="00F92819" w:rsidRDefault="00F92819">
            <w:pPr>
              <w:spacing w:before="40" w:after="40" w:line="220" w:lineRule="exact"/>
              <w:jc w:val="right"/>
              <w:rPr>
                <w:sz w:val="18"/>
                <w:szCs w:val="24"/>
              </w:rPr>
            </w:pPr>
            <w:r>
              <w:rPr>
                <w:sz w:val="18"/>
                <w:szCs w:val="24"/>
              </w:rPr>
              <w:t>71,4</w:t>
            </w:r>
          </w:p>
        </w:tc>
        <w:tc>
          <w:tcPr>
            <w:tcW w:w="851" w:type="dxa"/>
            <w:vAlign w:val="center"/>
          </w:tcPr>
          <w:p w:rsidR="00F92819" w:rsidRDefault="00F92819">
            <w:pPr>
              <w:spacing w:before="40" w:after="40" w:line="220" w:lineRule="exact"/>
              <w:jc w:val="right"/>
              <w:rPr>
                <w:sz w:val="18"/>
                <w:szCs w:val="24"/>
              </w:rPr>
            </w:pPr>
            <w:r>
              <w:rPr>
                <w:sz w:val="18"/>
                <w:szCs w:val="24"/>
              </w:rPr>
              <w:t>81</w:t>
            </w:r>
          </w:p>
        </w:tc>
        <w:tc>
          <w:tcPr>
            <w:tcW w:w="707" w:type="dxa"/>
            <w:vAlign w:val="center"/>
          </w:tcPr>
          <w:p w:rsidR="00F92819" w:rsidRDefault="00F92819">
            <w:pPr>
              <w:spacing w:before="40" w:after="40" w:line="220" w:lineRule="exact"/>
              <w:jc w:val="right"/>
              <w:rPr>
                <w:sz w:val="18"/>
                <w:szCs w:val="24"/>
              </w:rPr>
            </w:pPr>
            <w:r>
              <w:rPr>
                <w:sz w:val="18"/>
                <w:szCs w:val="24"/>
              </w:rPr>
              <w:t>78,9</w:t>
            </w:r>
          </w:p>
        </w:tc>
      </w:tr>
      <w:tr w:rsidR="00F92819">
        <w:tc>
          <w:tcPr>
            <w:tcW w:w="3686" w:type="dxa"/>
          </w:tcPr>
          <w:p w:rsidR="00F92819" w:rsidRDefault="00F92819">
            <w:pPr>
              <w:spacing w:before="40" w:after="40" w:line="220" w:lineRule="exact"/>
              <w:rPr>
                <w:szCs w:val="24"/>
              </w:rPr>
            </w:pPr>
            <w:r>
              <w:rPr>
                <w:sz w:val="18"/>
                <w:szCs w:val="24"/>
                <w:lang w:val="es-ES_tradnl"/>
              </w:rPr>
              <w:t>Carne</w:t>
            </w:r>
          </w:p>
        </w:tc>
        <w:tc>
          <w:tcPr>
            <w:tcW w:w="1417" w:type="dxa"/>
            <w:vAlign w:val="center"/>
          </w:tcPr>
          <w:p w:rsidR="00F92819" w:rsidRDefault="00F92819">
            <w:pPr>
              <w:spacing w:before="40" w:after="40" w:line="220" w:lineRule="exact"/>
              <w:jc w:val="right"/>
              <w:rPr>
                <w:sz w:val="18"/>
                <w:szCs w:val="24"/>
              </w:rPr>
            </w:pPr>
            <w:r>
              <w:rPr>
                <w:sz w:val="18"/>
                <w:szCs w:val="24"/>
              </w:rPr>
              <w:t>22,9</w:t>
            </w:r>
          </w:p>
        </w:tc>
        <w:tc>
          <w:tcPr>
            <w:tcW w:w="709" w:type="dxa"/>
            <w:vAlign w:val="center"/>
          </w:tcPr>
          <w:p w:rsidR="00F92819" w:rsidRDefault="00F92819">
            <w:pPr>
              <w:spacing w:before="40" w:after="40" w:line="220" w:lineRule="exact"/>
              <w:jc w:val="right"/>
              <w:rPr>
                <w:sz w:val="18"/>
                <w:szCs w:val="24"/>
              </w:rPr>
            </w:pPr>
            <w:r>
              <w:rPr>
                <w:sz w:val="18"/>
                <w:szCs w:val="24"/>
              </w:rPr>
              <w:t>24,7</w:t>
            </w:r>
          </w:p>
        </w:tc>
        <w:tc>
          <w:tcPr>
            <w:tcW w:w="851" w:type="dxa"/>
            <w:vAlign w:val="center"/>
          </w:tcPr>
          <w:p w:rsidR="00F92819" w:rsidRDefault="00F92819">
            <w:pPr>
              <w:spacing w:before="40" w:after="40" w:line="220" w:lineRule="exact"/>
              <w:jc w:val="right"/>
              <w:rPr>
                <w:sz w:val="18"/>
                <w:szCs w:val="24"/>
              </w:rPr>
            </w:pPr>
            <w:r>
              <w:rPr>
                <w:sz w:val="18"/>
                <w:szCs w:val="24"/>
              </w:rPr>
              <w:t>23,3</w:t>
            </w:r>
          </w:p>
        </w:tc>
        <w:tc>
          <w:tcPr>
            <w:tcW w:w="707" w:type="dxa"/>
            <w:vAlign w:val="center"/>
          </w:tcPr>
          <w:p w:rsidR="00F92819" w:rsidRDefault="00F92819">
            <w:pPr>
              <w:spacing w:before="40" w:after="40" w:line="220" w:lineRule="exact"/>
              <w:jc w:val="right"/>
              <w:rPr>
                <w:sz w:val="18"/>
                <w:szCs w:val="24"/>
              </w:rPr>
            </w:pPr>
            <w:r>
              <w:rPr>
                <w:sz w:val="18"/>
                <w:szCs w:val="24"/>
              </w:rPr>
              <w:t>27,3</w:t>
            </w:r>
          </w:p>
        </w:tc>
      </w:tr>
      <w:tr w:rsidR="00F92819">
        <w:tc>
          <w:tcPr>
            <w:tcW w:w="3686" w:type="dxa"/>
          </w:tcPr>
          <w:p w:rsidR="00F92819" w:rsidRDefault="00F92819">
            <w:pPr>
              <w:spacing w:before="40" w:after="40" w:line="220" w:lineRule="exact"/>
              <w:rPr>
                <w:szCs w:val="24"/>
              </w:rPr>
            </w:pPr>
            <w:r>
              <w:rPr>
                <w:sz w:val="18"/>
                <w:szCs w:val="24"/>
                <w:lang w:val="es-ES_tradnl"/>
              </w:rPr>
              <w:t>Huevos</w:t>
            </w:r>
          </w:p>
        </w:tc>
        <w:tc>
          <w:tcPr>
            <w:tcW w:w="1417" w:type="dxa"/>
            <w:vAlign w:val="center"/>
          </w:tcPr>
          <w:p w:rsidR="00F92819" w:rsidRDefault="00F92819">
            <w:pPr>
              <w:spacing w:before="40" w:after="40" w:line="220" w:lineRule="exact"/>
              <w:jc w:val="right"/>
              <w:rPr>
                <w:sz w:val="18"/>
                <w:szCs w:val="24"/>
              </w:rPr>
            </w:pPr>
            <w:r>
              <w:rPr>
                <w:sz w:val="18"/>
                <w:szCs w:val="24"/>
              </w:rPr>
              <w:t>5,2</w:t>
            </w:r>
          </w:p>
        </w:tc>
        <w:tc>
          <w:tcPr>
            <w:tcW w:w="709" w:type="dxa"/>
            <w:vAlign w:val="center"/>
          </w:tcPr>
          <w:p w:rsidR="00F92819" w:rsidRDefault="00F92819">
            <w:pPr>
              <w:spacing w:before="40" w:after="40" w:line="220" w:lineRule="exact"/>
              <w:jc w:val="right"/>
              <w:rPr>
                <w:sz w:val="18"/>
                <w:szCs w:val="24"/>
              </w:rPr>
            </w:pPr>
            <w:r>
              <w:rPr>
                <w:sz w:val="18"/>
                <w:szCs w:val="24"/>
              </w:rPr>
              <w:t>3,6</w:t>
            </w:r>
          </w:p>
        </w:tc>
        <w:tc>
          <w:tcPr>
            <w:tcW w:w="851" w:type="dxa"/>
            <w:vAlign w:val="center"/>
          </w:tcPr>
          <w:p w:rsidR="00F92819" w:rsidRDefault="00F92819">
            <w:pPr>
              <w:spacing w:before="40" w:after="40" w:line="220" w:lineRule="exact"/>
              <w:jc w:val="right"/>
              <w:rPr>
                <w:sz w:val="18"/>
                <w:szCs w:val="24"/>
              </w:rPr>
            </w:pPr>
            <w:r>
              <w:rPr>
                <w:sz w:val="18"/>
                <w:szCs w:val="24"/>
              </w:rPr>
              <w:t>3,1</w:t>
            </w:r>
          </w:p>
        </w:tc>
        <w:tc>
          <w:tcPr>
            <w:tcW w:w="707" w:type="dxa"/>
            <w:vAlign w:val="center"/>
          </w:tcPr>
          <w:p w:rsidR="00F92819" w:rsidRDefault="00F92819">
            <w:pPr>
              <w:spacing w:before="40" w:after="40" w:line="220" w:lineRule="exact"/>
              <w:jc w:val="right"/>
              <w:rPr>
                <w:sz w:val="18"/>
                <w:szCs w:val="24"/>
              </w:rPr>
            </w:pPr>
            <w:r>
              <w:rPr>
                <w:sz w:val="18"/>
                <w:szCs w:val="24"/>
              </w:rPr>
              <w:t>3,1</w:t>
            </w:r>
          </w:p>
        </w:tc>
      </w:tr>
      <w:tr w:rsidR="00F92819">
        <w:tc>
          <w:tcPr>
            <w:tcW w:w="3686" w:type="dxa"/>
          </w:tcPr>
          <w:p w:rsidR="00F92819" w:rsidRDefault="00F92819">
            <w:pPr>
              <w:spacing w:before="40" w:after="40" w:line="220" w:lineRule="exact"/>
              <w:rPr>
                <w:szCs w:val="24"/>
              </w:rPr>
            </w:pPr>
            <w:r>
              <w:rPr>
                <w:sz w:val="18"/>
                <w:szCs w:val="24"/>
                <w:lang w:val="es-ES_tradnl"/>
              </w:rPr>
              <w:t>Pescado</w:t>
            </w:r>
          </w:p>
        </w:tc>
        <w:tc>
          <w:tcPr>
            <w:tcW w:w="1417" w:type="dxa"/>
            <w:vAlign w:val="center"/>
          </w:tcPr>
          <w:p w:rsidR="00F92819" w:rsidRDefault="00F92819">
            <w:pPr>
              <w:spacing w:before="40" w:after="40" w:line="220" w:lineRule="exact"/>
              <w:jc w:val="right"/>
              <w:rPr>
                <w:sz w:val="18"/>
                <w:szCs w:val="24"/>
              </w:rPr>
            </w:pPr>
            <w:r>
              <w:rPr>
                <w:sz w:val="18"/>
                <w:szCs w:val="24"/>
              </w:rPr>
              <w:t>0,4</w:t>
            </w:r>
          </w:p>
        </w:tc>
        <w:tc>
          <w:tcPr>
            <w:tcW w:w="709" w:type="dxa"/>
            <w:vAlign w:val="center"/>
          </w:tcPr>
          <w:p w:rsidR="00F92819" w:rsidRDefault="00F92819">
            <w:pPr>
              <w:spacing w:before="40" w:after="40" w:line="220" w:lineRule="exact"/>
              <w:jc w:val="right"/>
              <w:rPr>
                <w:sz w:val="18"/>
                <w:szCs w:val="24"/>
              </w:rPr>
            </w:pPr>
            <w:r>
              <w:rPr>
                <w:sz w:val="18"/>
                <w:szCs w:val="24"/>
              </w:rPr>
              <w:t>0,8</w:t>
            </w:r>
          </w:p>
        </w:tc>
        <w:tc>
          <w:tcPr>
            <w:tcW w:w="851" w:type="dxa"/>
            <w:vAlign w:val="center"/>
          </w:tcPr>
          <w:p w:rsidR="00F92819" w:rsidRDefault="00F92819">
            <w:pPr>
              <w:spacing w:before="40" w:after="40" w:line="220" w:lineRule="exact"/>
              <w:jc w:val="right"/>
              <w:rPr>
                <w:sz w:val="18"/>
                <w:szCs w:val="24"/>
              </w:rPr>
            </w:pPr>
            <w:r>
              <w:rPr>
                <w:sz w:val="18"/>
                <w:szCs w:val="24"/>
              </w:rPr>
              <w:t>0,4</w:t>
            </w:r>
          </w:p>
        </w:tc>
        <w:tc>
          <w:tcPr>
            <w:tcW w:w="707" w:type="dxa"/>
            <w:vAlign w:val="center"/>
          </w:tcPr>
          <w:p w:rsidR="00F92819" w:rsidRDefault="00F92819">
            <w:pPr>
              <w:spacing w:before="40" w:after="40" w:line="220" w:lineRule="exact"/>
              <w:jc w:val="right"/>
              <w:rPr>
                <w:sz w:val="18"/>
                <w:szCs w:val="24"/>
              </w:rPr>
            </w:pPr>
            <w:r>
              <w:rPr>
                <w:sz w:val="18"/>
                <w:szCs w:val="24"/>
              </w:rPr>
              <w:t>0,4</w:t>
            </w:r>
          </w:p>
        </w:tc>
      </w:tr>
      <w:tr w:rsidR="00F92819">
        <w:tc>
          <w:tcPr>
            <w:tcW w:w="3686" w:type="dxa"/>
          </w:tcPr>
          <w:p w:rsidR="00F92819" w:rsidRDefault="00F92819">
            <w:pPr>
              <w:spacing w:before="40" w:after="40" w:line="220" w:lineRule="exact"/>
              <w:rPr>
                <w:szCs w:val="24"/>
              </w:rPr>
            </w:pPr>
            <w:r>
              <w:rPr>
                <w:sz w:val="18"/>
                <w:szCs w:val="24"/>
                <w:lang w:val="es-ES_tradnl"/>
              </w:rPr>
              <w:t>Leche y productos lácteos</w:t>
            </w:r>
          </w:p>
        </w:tc>
        <w:tc>
          <w:tcPr>
            <w:tcW w:w="1417" w:type="dxa"/>
            <w:vAlign w:val="center"/>
          </w:tcPr>
          <w:p w:rsidR="00F92819" w:rsidRDefault="00F92819">
            <w:pPr>
              <w:spacing w:before="40" w:after="40" w:line="220" w:lineRule="exact"/>
              <w:jc w:val="right"/>
              <w:rPr>
                <w:sz w:val="18"/>
                <w:szCs w:val="24"/>
              </w:rPr>
            </w:pPr>
            <w:r>
              <w:rPr>
                <w:sz w:val="18"/>
                <w:szCs w:val="24"/>
              </w:rPr>
              <w:t>14</w:t>
            </w:r>
          </w:p>
        </w:tc>
        <w:tc>
          <w:tcPr>
            <w:tcW w:w="709" w:type="dxa"/>
            <w:vAlign w:val="center"/>
          </w:tcPr>
          <w:p w:rsidR="00F92819" w:rsidRDefault="00F92819">
            <w:pPr>
              <w:spacing w:before="40" w:after="40" w:line="220" w:lineRule="exact"/>
              <w:jc w:val="right"/>
              <w:rPr>
                <w:sz w:val="18"/>
                <w:szCs w:val="24"/>
              </w:rPr>
            </w:pPr>
            <w:r>
              <w:rPr>
                <w:sz w:val="18"/>
                <w:szCs w:val="24"/>
              </w:rPr>
              <w:t>14,2</w:t>
            </w:r>
          </w:p>
        </w:tc>
        <w:tc>
          <w:tcPr>
            <w:tcW w:w="851" w:type="dxa"/>
            <w:vAlign w:val="center"/>
          </w:tcPr>
          <w:p w:rsidR="00F92819" w:rsidRDefault="00F92819">
            <w:pPr>
              <w:spacing w:before="40" w:after="40" w:line="220" w:lineRule="exact"/>
              <w:jc w:val="right"/>
              <w:rPr>
                <w:sz w:val="18"/>
                <w:szCs w:val="24"/>
              </w:rPr>
            </w:pPr>
            <w:r>
              <w:rPr>
                <w:sz w:val="18"/>
                <w:szCs w:val="24"/>
              </w:rPr>
              <w:t>16,2</w:t>
            </w:r>
          </w:p>
        </w:tc>
        <w:tc>
          <w:tcPr>
            <w:tcW w:w="707" w:type="dxa"/>
            <w:vAlign w:val="center"/>
          </w:tcPr>
          <w:p w:rsidR="00F92819" w:rsidRDefault="00F92819">
            <w:pPr>
              <w:spacing w:before="40" w:after="40" w:line="220" w:lineRule="exact"/>
              <w:jc w:val="right"/>
              <w:rPr>
                <w:sz w:val="18"/>
                <w:szCs w:val="24"/>
              </w:rPr>
            </w:pPr>
            <w:r>
              <w:rPr>
                <w:sz w:val="18"/>
                <w:szCs w:val="24"/>
              </w:rPr>
              <w:t>15,5</w:t>
            </w:r>
          </w:p>
        </w:tc>
      </w:tr>
      <w:tr w:rsidR="00F92819">
        <w:tc>
          <w:tcPr>
            <w:tcW w:w="3686" w:type="dxa"/>
            <w:tcBorders>
              <w:bottom w:val="single" w:sz="12" w:space="0" w:color="auto"/>
            </w:tcBorders>
          </w:tcPr>
          <w:p w:rsidR="00F92819" w:rsidRDefault="00F92819">
            <w:pPr>
              <w:spacing w:before="40" w:after="40" w:line="220" w:lineRule="exact"/>
              <w:rPr>
                <w:szCs w:val="24"/>
              </w:rPr>
            </w:pPr>
            <w:r>
              <w:rPr>
                <w:sz w:val="18"/>
                <w:szCs w:val="24"/>
                <w:lang w:val="es-ES_tradnl"/>
              </w:rPr>
              <w:t>Bebidas</w:t>
            </w:r>
          </w:p>
        </w:tc>
        <w:tc>
          <w:tcPr>
            <w:tcW w:w="1417"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w:t>
            </w:r>
          </w:p>
        </w:tc>
        <w:tc>
          <w:tcPr>
            <w:tcW w:w="709"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w:t>
            </w:r>
          </w:p>
        </w:tc>
        <w:tc>
          <w:tcPr>
            <w:tcW w:w="851"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0,7</w:t>
            </w:r>
          </w:p>
        </w:tc>
        <w:tc>
          <w:tcPr>
            <w:tcW w:w="707"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0,6</w:t>
            </w:r>
          </w:p>
        </w:tc>
      </w:tr>
    </w:tbl>
    <w:p w:rsidR="00F92819" w:rsidRDefault="00F92819">
      <w:pPr>
        <w:spacing w:before="120"/>
        <w:ind w:left="1134" w:right="1134" w:firstLine="170"/>
        <w:rPr>
          <w:i/>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ind w:left="1134" w:right="1134" w:firstLine="170"/>
        <w:rPr>
          <w:sz w:val="18"/>
          <w:szCs w:val="24"/>
        </w:rPr>
      </w:pPr>
      <w:r>
        <w:rPr>
          <w:sz w:val="18"/>
          <w:szCs w:val="24"/>
          <w:vertAlign w:val="superscript"/>
        </w:rPr>
        <w:t>1.</w:t>
      </w:r>
      <w:r>
        <w:rPr>
          <w:sz w:val="18"/>
          <w:szCs w:val="24"/>
        </w:rPr>
        <w:t xml:space="preserve"> </w:t>
      </w:r>
      <w:r>
        <w:rPr>
          <w:sz w:val="18"/>
          <w:szCs w:val="24"/>
          <w:lang w:val="es-ES_tradnl"/>
        </w:rPr>
        <w:t>Hasta 2000 el grupo incluía chocolate, dulces, azúcar, confituras y miel.</w:t>
      </w:r>
    </w:p>
    <w:p w:rsidR="00F92819" w:rsidRDefault="00F92819">
      <w:pPr>
        <w:ind w:left="1134" w:right="1134" w:firstLine="170"/>
        <w:rPr>
          <w:sz w:val="18"/>
          <w:szCs w:val="24"/>
        </w:rPr>
      </w:pPr>
      <w:r>
        <w:rPr>
          <w:sz w:val="18"/>
          <w:szCs w:val="24"/>
          <w:vertAlign w:val="superscript"/>
        </w:rPr>
        <w:t>2.</w:t>
      </w:r>
      <w:r>
        <w:rPr>
          <w:sz w:val="18"/>
          <w:szCs w:val="24"/>
        </w:rPr>
        <w:t xml:space="preserve"> </w:t>
      </w:r>
      <w:r>
        <w:rPr>
          <w:sz w:val="18"/>
          <w:szCs w:val="24"/>
          <w:lang w:val="es-ES_tradnl"/>
        </w:rPr>
        <w:t>Hasta 2000 el grupo de frutas incluía melones.</w:t>
      </w:r>
    </w:p>
    <w:p w:rsidR="00F92819" w:rsidRDefault="00F92819">
      <w:pPr>
        <w:pStyle w:val="SingleTxtG"/>
        <w:spacing w:after="240"/>
        <w:ind w:firstLine="170"/>
        <w:rPr>
          <w:sz w:val="18"/>
          <w:szCs w:val="24"/>
        </w:rPr>
      </w:pPr>
      <w:r>
        <w:rPr>
          <w:sz w:val="18"/>
          <w:szCs w:val="24"/>
          <w:vertAlign w:val="superscript"/>
        </w:rPr>
        <w:t>3.</w:t>
      </w:r>
      <w:r>
        <w:rPr>
          <w:sz w:val="18"/>
          <w:szCs w:val="24"/>
        </w:rPr>
        <w:t xml:space="preserve"> </w:t>
      </w:r>
      <w:r>
        <w:rPr>
          <w:sz w:val="18"/>
          <w:szCs w:val="24"/>
          <w:lang w:val="es-ES_tradnl"/>
        </w:rPr>
        <w:t>En 2001 se actualizaron los coeficientes para calcular los valores nutricionales.</w:t>
      </w:r>
    </w:p>
    <w:p w:rsidR="00F92819" w:rsidRDefault="00F92819">
      <w:pPr>
        <w:pStyle w:val="Heading1"/>
        <w:spacing w:before="240"/>
        <w:rPr>
          <w:szCs w:val="24"/>
        </w:rPr>
      </w:pPr>
      <w:r>
        <w:rPr>
          <w:szCs w:val="24"/>
          <w:lang w:val="es-ES_tradnl"/>
        </w:rPr>
        <w:t>Cuadro 26</w:t>
      </w:r>
    </w:p>
    <w:p w:rsidR="00F92819" w:rsidRDefault="00F92819">
      <w:pPr>
        <w:pStyle w:val="SingleTxtG"/>
        <w:keepNext/>
        <w:jc w:val="left"/>
        <w:rPr>
          <w:b/>
          <w:szCs w:val="24"/>
        </w:rPr>
      </w:pPr>
      <w:r>
        <w:rPr>
          <w:b/>
          <w:szCs w:val="24"/>
          <w:lang w:val="es-ES_tradnl"/>
        </w:rPr>
        <w:t>Suministro de vitaminas y minerales por persona y por día (en miligramos, a menos que se indique otra cosa)</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552"/>
        <w:gridCol w:w="850"/>
        <w:gridCol w:w="850"/>
        <w:gridCol w:w="851"/>
        <w:gridCol w:w="709"/>
        <w:gridCol w:w="954"/>
        <w:gridCol w:w="800"/>
        <w:gridCol w:w="939"/>
      </w:tblGrid>
      <w:tr w:rsidR="00F92819">
        <w:trPr>
          <w:tblHeader/>
        </w:trPr>
        <w:tc>
          <w:tcPr>
            <w:tcW w:w="2552" w:type="dxa"/>
            <w:tcBorders>
              <w:top w:val="single" w:sz="4" w:space="0" w:color="auto"/>
              <w:bottom w:val="single" w:sz="12" w:space="0" w:color="auto"/>
            </w:tcBorders>
            <w:vAlign w:val="bottom"/>
          </w:tcPr>
          <w:p w:rsidR="00F92819" w:rsidRDefault="00F92819">
            <w:pPr>
              <w:spacing w:before="80" w:after="80" w:line="200" w:lineRule="exact"/>
              <w:rPr>
                <w:szCs w:val="24"/>
              </w:rPr>
            </w:pPr>
            <w:r>
              <w:rPr>
                <w:i/>
                <w:sz w:val="16"/>
                <w:szCs w:val="24"/>
                <w:lang w:val="es-ES_tradnl"/>
              </w:rPr>
              <w:t>Producto</w:t>
            </w:r>
          </w:p>
        </w:tc>
        <w:tc>
          <w:tcPr>
            <w:tcW w:w="85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Hierro (Fe)</w:t>
            </w:r>
          </w:p>
        </w:tc>
        <w:tc>
          <w:tcPr>
            <w:tcW w:w="85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Calcio (Ca)</w:t>
            </w:r>
          </w:p>
        </w:tc>
        <w:tc>
          <w:tcPr>
            <w:tcW w:w="851"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Ácido</w:t>
            </w:r>
            <w:r>
              <w:rPr>
                <w:i/>
                <w:sz w:val="16"/>
                <w:szCs w:val="24"/>
              </w:rPr>
              <w:t xml:space="preserve"> </w:t>
            </w:r>
            <w:r>
              <w:rPr>
                <w:i/>
                <w:sz w:val="16"/>
                <w:szCs w:val="24"/>
                <w:lang w:val="es-ES_tradnl"/>
              </w:rPr>
              <w:t>ascórbico (Vit. C)</w:t>
            </w:r>
          </w:p>
        </w:tc>
        <w:tc>
          <w:tcPr>
            <w:tcW w:w="709"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Niacina</w:t>
            </w:r>
          </w:p>
        </w:tc>
        <w:tc>
          <w:tcPr>
            <w:tcW w:w="954"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Riboflavina</w:t>
            </w:r>
          </w:p>
        </w:tc>
        <w:tc>
          <w:tcPr>
            <w:tcW w:w="800" w:type="dxa"/>
            <w:tcBorders>
              <w:top w:val="single" w:sz="4" w:space="0" w:color="auto"/>
              <w:bottom w:val="single" w:sz="12" w:space="0" w:color="auto"/>
            </w:tcBorders>
            <w:noWrap/>
            <w:tcMar>
              <w:right w:w="28" w:type="dxa"/>
            </w:tcMar>
            <w:vAlign w:val="bottom"/>
          </w:tcPr>
          <w:p w:rsidR="00F92819" w:rsidRDefault="00F92819">
            <w:pPr>
              <w:spacing w:before="80" w:after="80" w:line="200" w:lineRule="exact"/>
              <w:jc w:val="right"/>
              <w:rPr>
                <w:szCs w:val="24"/>
              </w:rPr>
            </w:pPr>
            <w:r>
              <w:rPr>
                <w:i/>
                <w:sz w:val="16"/>
                <w:szCs w:val="24"/>
                <w:lang w:val="es-ES_tradnl"/>
              </w:rPr>
              <w:t xml:space="preserve">Tiamina </w:t>
            </w:r>
            <w:r>
              <w:rPr>
                <w:i/>
                <w:sz w:val="16"/>
                <w:szCs w:val="24"/>
                <w:lang w:val="es-ES_tradnl"/>
              </w:rPr>
              <w:br/>
              <w:t>(Vit. B)</w:t>
            </w:r>
          </w:p>
        </w:tc>
        <w:tc>
          <w:tcPr>
            <w:tcW w:w="939"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Vitamina A (unidades internacio-nales)</w:t>
            </w:r>
          </w:p>
        </w:tc>
      </w:tr>
      <w:tr w:rsidR="00F92819">
        <w:tc>
          <w:tcPr>
            <w:tcW w:w="2552" w:type="dxa"/>
            <w:tcBorders>
              <w:top w:val="single" w:sz="12" w:space="0" w:color="auto"/>
              <w:bottom w:val="single" w:sz="4" w:space="0" w:color="auto"/>
            </w:tcBorders>
          </w:tcPr>
          <w:p w:rsidR="00F92819" w:rsidRDefault="00F92819">
            <w:pPr>
              <w:spacing w:before="80" w:after="80" w:line="200" w:lineRule="exact"/>
              <w:rPr>
                <w:b/>
                <w:szCs w:val="24"/>
              </w:rPr>
            </w:pPr>
            <w:r>
              <w:rPr>
                <w:i/>
                <w:sz w:val="16"/>
                <w:szCs w:val="24"/>
              </w:rPr>
              <w:t>2005</w:t>
            </w:r>
          </w:p>
        </w:tc>
        <w:tc>
          <w:tcPr>
            <w:tcW w:w="850" w:type="dxa"/>
            <w:tcBorders>
              <w:top w:val="single" w:sz="12" w:space="0" w:color="auto"/>
              <w:bottom w:val="single" w:sz="4" w:space="0" w:color="auto"/>
            </w:tcBorders>
            <w:vAlign w:val="bottom"/>
          </w:tcPr>
          <w:p w:rsidR="00F92819" w:rsidRDefault="00F92819">
            <w:pPr>
              <w:spacing w:before="40" w:after="40" w:line="220" w:lineRule="exact"/>
              <w:jc w:val="right"/>
              <w:rPr>
                <w:sz w:val="18"/>
                <w:szCs w:val="24"/>
              </w:rPr>
            </w:pPr>
          </w:p>
        </w:tc>
        <w:tc>
          <w:tcPr>
            <w:tcW w:w="850" w:type="dxa"/>
            <w:tcBorders>
              <w:top w:val="single" w:sz="12" w:space="0" w:color="auto"/>
              <w:bottom w:val="single" w:sz="4" w:space="0" w:color="auto"/>
            </w:tcBorders>
            <w:vAlign w:val="bottom"/>
          </w:tcPr>
          <w:p w:rsidR="00F92819" w:rsidRDefault="00F92819">
            <w:pPr>
              <w:spacing w:before="40" w:after="40" w:line="220" w:lineRule="exact"/>
              <w:jc w:val="right"/>
              <w:rPr>
                <w:sz w:val="18"/>
                <w:szCs w:val="24"/>
              </w:rPr>
            </w:pPr>
          </w:p>
        </w:tc>
        <w:tc>
          <w:tcPr>
            <w:tcW w:w="851" w:type="dxa"/>
            <w:tcBorders>
              <w:top w:val="single" w:sz="12" w:space="0" w:color="auto"/>
              <w:bottom w:val="single" w:sz="4" w:space="0" w:color="auto"/>
            </w:tcBorders>
            <w:vAlign w:val="bottom"/>
          </w:tcPr>
          <w:p w:rsidR="00F92819" w:rsidRDefault="00F92819">
            <w:pPr>
              <w:spacing w:before="40" w:after="40" w:line="220" w:lineRule="exact"/>
              <w:jc w:val="right"/>
              <w:rPr>
                <w:sz w:val="18"/>
                <w:szCs w:val="24"/>
              </w:rPr>
            </w:pPr>
          </w:p>
        </w:tc>
        <w:tc>
          <w:tcPr>
            <w:tcW w:w="709" w:type="dxa"/>
            <w:tcBorders>
              <w:top w:val="single" w:sz="12" w:space="0" w:color="auto"/>
              <w:bottom w:val="single" w:sz="4" w:space="0" w:color="auto"/>
            </w:tcBorders>
            <w:vAlign w:val="bottom"/>
          </w:tcPr>
          <w:p w:rsidR="00F92819" w:rsidRDefault="00F92819">
            <w:pPr>
              <w:spacing w:before="40" w:after="40" w:line="220" w:lineRule="exact"/>
              <w:jc w:val="right"/>
              <w:rPr>
                <w:sz w:val="18"/>
                <w:szCs w:val="24"/>
              </w:rPr>
            </w:pPr>
          </w:p>
        </w:tc>
        <w:tc>
          <w:tcPr>
            <w:tcW w:w="954" w:type="dxa"/>
            <w:tcBorders>
              <w:top w:val="single" w:sz="12" w:space="0" w:color="auto"/>
              <w:bottom w:val="single" w:sz="4" w:space="0" w:color="auto"/>
            </w:tcBorders>
            <w:vAlign w:val="bottom"/>
          </w:tcPr>
          <w:p w:rsidR="00F92819" w:rsidRDefault="00F92819">
            <w:pPr>
              <w:spacing w:before="40" w:after="40" w:line="220" w:lineRule="exact"/>
              <w:jc w:val="right"/>
              <w:rPr>
                <w:sz w:val="18"/>
                <w:szCs w:val="24"/>
              </w:rPr>
            </w:pPr>
          </w:p>
        </w:tc>
        <w:tc>
          <w:tcPr>
            <w:tcW w:w="800" w:type="dxa"/>
            <w:tcBorders>
              <w:top w:val="single" w:sz="12" w:space="0" w:color="auto"/>
              <w:bottom w:val="single" w:sz="4" w:space="0" w:color="auto"/>
            </w:tcBorders>
            <w:vAlign w:val="bottom"/>
          </w:tcPr>
          <w:p w:rsidR="00F92819" w:rsidRDefault="00F92819">
            <w:pPr>
              <w:spacing w:before="40" w:after="40" w:line="220" w:lineRule="exact"/>
              <w:jc w:val="right"/>
              <w:rPr>
                <w:sz w:val="18"/>
                <w:szCs w:val="24"/>
              </w:rPr>
            </w:pPr>
          </w:p>
        </w:tc>
        <w:tc>
          <w:tcPr>
            <w:tcW w:w="939" w:type="dxa"/>
            <w:tcBorders>
              <w:top w:val="single" w:sz="12" w:space="0" w:color="auto"/>
              <w:bottom w:val="single" w:sz="4" w:space="0" w:color="auto"/>
            </w:tcBorders>
            <w:vAlign w:val="bottom"/>
          </w:tcPr>
          <w:p w:rsidR="00F92819" w:rsidRDefault="00F92819">
            <w:pPr>
              <w:spacing w:before="40" w:after="40" w:line="220" w:lineRule="exact"/>
              <w:jc w:val="right"/>
              <w:rPr>
                <w:sz w:val="18"/>
                <w:szCs w:val="24"/>
              </w:rPr>
            </w:pPr>
          </w:p>
        </w:tc>
      </w:tr>
      <w:tr w:rsidR="00F92819">
        <w:tc>
          <w:tcPr>
            <w:tcW w:w="2552" w:type="dxa"/>
            <w:tcBorders>
              <w:top w:val="single" w:sz="4" w:space="0" w:color="auto"/>
              <w:bottom w:val="single" w:sz="4" w:space="0" w:color="auto"/>
            </w:tcBorders>
          </w:tcPr>
          <w:p w:rsidR="00F92819" w:rsidRDefault="00F92819">
            <w:pPr>
              <w:spacing w:before="80" w:after="80" w:line="220" w:lineRule="exact"/>
              <w:ind w:left="284"/>
              <w:rPr>
                <w:szCs w:val="24"/>
              </w:rPr>
            </w:pPr>
            <w:r>
              <w:rPr>
                <w:b/>
                <w:sz w:val="18"/>
                <w:szCs w:val="24"/>
                <w:lang w:val="es-ES_tradnl"/>
              </w:rPr>
              <w:t>Total</w:t>
            </w:r>
          </w:p>
        </w:tc>
        <w:tc>
          <w:tcPr>
            <w:tcW w:w="850"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27,2</w:t>
            </w:r>
          </w:p>
        </w:tc>
        <w:tc>
          <w:tcPr>
            <w:tcW w:w="850" w:type="dxa"/>
            <w:tcBorders>
              <w:top w:val="single" w:sz="4" w:space="0" w:color="auto"/>
              <w:bottom w:val="single" w:sz="4" w:space="0" w:color="auto"/>
            </w:tcBorders>
            <w:vAlign w:val="center"/>
          </w:tcPr>
          <w:p w:rsidR="00F92819" w:rsidRDefault="00F92819">
            <w:pPr>
              <w:spacing w:before="40" w:after="40" w:line="220" w:lineRule="exact"/>
              <w:jc w:val="right"/>
              <w:rPr>
                <w:b/>
                <w:sz w:val="18"/>
                <w:szCs w:val="24"/>
              </w:rPr>
            </w:pPr>
            <w:r>
              <w:rPr>
                <w:b/>
                <w:sz w:val="18"/>
                <w:szCs w:val="24"/>
              </w:rPr>
              <w:t>900</w:t>
            </w:r>
          </w:p>
        </w:tc>
        <w:tc>
          <w:tcPr>
            <w:tcW w:w="851"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205</w:t>
            </w:r>
          </w:p>
        </w:tc>
        <w:tc>
          <w:tcPr>
            <w:tcW w:w="709"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34,4</w:t>
            </w:r>
          </w:p>
        </w:tc>
        <w:tc>
          <w:tcPr>
            <w:tcW w:w="954"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1,7</w:t>
            </w:r>
          </w:p>
        </w:tc>
        <w:tc>
          <w:tcPr>
            <w:tcW w:w="800"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2,2</w:t>
            </w:r>
          </w:p>
        </w:tc>
        <w:tc>
          <w:tcPr>
            <w:tcW w:w="939" w:type="dxa"/>
            <w:tcBorders>
              <w:top w:val="single" w:sz="4"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7 094</w:t>
            </w:r>
          </w:p>
        </w:tc>
      </w:tr>
      <w:tr w:rsidR="00F92819">
        <w:tc>
          <w:tcPr>
            <w:tcW w:w="2552" w:type="dxa"/>
            <w:tcBorders>
              <w:top w:val="single" w:sz="4" w:space="0" w:color="auto"/>
            </w:tcBorders>
          </w:tcPr>
          <w:p w:rsidR="00F92819" w:rsidRDefault="00F92819">
            <w:pPr>
              <w:spacing w:before="40" w:after="40" w:line="220" w:lineRule="exact"/>
              <w:rPr>
                <w:szCs w:val="24"/>
              </w:rPr>
            </w:pPr>
            <w:r>
              <w:rPr>
                <w:sz w:val="18"/>
                <w:szCs w:val="24"/>
                <w:lang w:val="es-ES_tradnl"/>
              </w:rPr>
              <w:t>Cereales y productos de cereales</w:t>
            </w:r>
          </w:p>
        </w:tc>
        <w:tc>
          <w:tcPr>
            <w:tcW w:w="850"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17,5</w:t>
            </w:r>
          </w:p>
        </w:tc>
        <w:tc>
          <w:tcPr>
            <w:tcW w:w="850"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118</w:t>
            </w:r>
          </w:p>
        </w:tc>
        <w:tc>
          <w:tcPr>
            <w:tcW w:w="851"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w:t>
            </w:r>
          </w:p>
        </w:tc>
        <w:tc>
          <w:tcPr>
            <w:tcW w:w="70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15,8</w:t>
            </w:r>
          </w:p>
        </w:tc>
        <w:tc>
          <w:tcPr>
            <w:tcW w:w="954"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0,3</w:t>
            </w:r>
          </w:p>
        </w:tc>
        <w:tc>
          <w:tcPr>
            <w:tcW w:w="800"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1,3</w:t>
            </w:r>
          </w:p>
        </w:tc>
        <w:tc>
          <w:tcPr>
            <w:tcW w:w="93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0,5</w:t>
            </w:r>
          </w:p>
        </w:tc>
      </w:tr>
      <w:tr w:rsidR="00F92819">
        <w:tc>
          <w:tcPr>
            <w:tcW w:w="2552" w:type="dxa"/>
          </w:tcPr>
          <w:p w:rsidR="00F92819" w:rsidRDefault="00F92819">
            <w:pPr>
              <w:spacing w:before="40" w:after="40" w:line="220" w:lineRule="exact"/>
              <w:rPr>
                <w:szCs w:val="24"/>
              </w:rPr>
            </w:pPr>
            <w:r>
              <w:rPr>
                <w:sz w:val="18"/>
                <w:szCs w:val="24"/>
                <w:lang w:val="es-ES_tradnl"/>
              </w:rPr>
              <w:t>Patatas y féculas</w:t>
            </w:r>
          </w:p>
        </w:tc>
        <w:tc>
          <w:tcPr>
            <w:tcW w:w="850" w:type="dxa"/>
            <w:vAlign w:val="center"/>
          </w:tcPr>
          <w:p w:rsidR="00F92819" w:rsidRDefault="00F92819">
            <w:pPr>
              <w:spacing w:before="40" w:after="40" w:line="220" w:lineRule="exact"/>
              <w:jc w:val="right"/>
              <w:rPr>
                <w:sz w:val="18"/>
                <w:szCs w:val="24"/>
              </w:rPr>
            </w:pPr>
            <w:r>
              <w:rPr>
                <w:sz w:val="18"/>
                <w:szCs w:val="24"/>
              </w:rPr>
              <w:t>0,8</w:t>
            </w:r>
          </w:p>
        </w:tc>
        <w:tc>
          <w:tcPr>
            <w:tcW w:w="850" w:type="dxa"/>
            <w:vAlign w:val="center"/>
          </w:tcPr>
          <w:p w:rsidR="00F92819" w:rsidRDefault="00F92819">
            <w:pPr>
              <w:spacing w:before="40" w:after="40" w:line="220" w:lineRule="exact"/>
              <w:jc w:val="right"/>
              <w:rPr>
                <w:sz w:val="18"/>
                <w:szCs w:val="24"/>
              </w:rPr>
            </w:pPr>
            <w:r>
              <w:rPr>
                <w:sz w:val="18"/>
                <w:szCs w:val="24"/>
              </w:rPr>
              <w:t>6</w:t>
            </w:r>
          </w:p>
        </w:tc>
        <w:tc>
          <w:tcPr>
            <w:tcW w:w="851" w:type="dxa"/>
            <w:vAlign w:val="center"/>
          </w:tcPr>
          <w:p w:rsidR="00F92819" w:rsidRDefault="00F92819">
            <w:pPr>
              <w:spacing w:before="40" w:after="40" w:line="220" w:lineRule="exact"/>
              <w:jc w:val="right"/>
              <w:rPr>
                <w:sz w:val="18"/>
                <w:szCs w:val="24"/>
              </w:rPr>
            </w:pPr>
            <w:r>
              <w:rPr>
                <w:sz w:val="18"/>
                <w:szCs w:val="24"/>
              </w:rPr>
              <w:t>17</w:t>
            </w:r>
          </w:p>
        </w:tc>
        <w:tc>
          <w:tcPr>
            <w:tcW w:w="709" w:type="dxa"/>
            <w:vAlign w:val="center"/>
          </w:tcPr>
          <w:p w:rsidR="00F92819" w:rsidRDefault="00F92819">
            <w:pPr>
              <w:spacing w:before="40" w:after="40" w:line="220" w:lineRule="exact"/>
              <w:jc w:val="right"/>
              <w:rPr>
                <w:sz w:val="18"/>
                <w:szCs w:val="24"/>
              </w:rPr>
            </w:pPr>
            <w:r>
              <w:rPr>
                <w:sz w:val="18"/>
                <w:szCs w:val="24"/>
              </w:rPr>
              <w:t>1,3</w:t>
            </w:r>
          </w:p>
        </w:tc>
        <w:tc>
          <w:tcPr>
            <w:tcW w:w="954" w:type="dxa"/>
            <w:vAlign w:val="center"/>
          </w:tcPr>
          <w:p w:rsidR="00F92819" w:rsidRDefault="00F92819">
            <w:pPr>
              <w:spacing w:before="40" w:after="40" w:line="220" w:lineRule="exact"/>
              <w:jc w:val="right"/>
              <w:rPr>
                <w:sz w:val="18"/>
                <w:szCs w:val="24"/>
              </w:rPr>
            </w:pPr>
            <w:r>
              <w:rPr>
                <w:sz w:val="18"/>
                <w:szCs w:val="24"/>
              </w:rPr>
              <w:t>-</w:t>
            </w:r>
          </w:p>
        </w:tc>
        <w:tc>
          <w:tcPr>
            <w:tcW w:w="800" w:type="dxa"/>
            <w:vAlign w:val="center"/>
          </w:tcPr>
          <w:p w:rsidR="00F92819" w:rsidRDefault="00F92819">
            <w:pPr>
              <w:spacing w:before="40" w:after="40" w:line="220" w:lineRule="exact"/>
              <w:jc w:val="right"/>
              <w:rPr>
                <w:sz w:val="18"/>
                <w:szCs w:val="24"/>
              </w:rPr>
            </w:pPr>
            <w:r>
              <w:rPr>
                <w:sz w:val="18"/>
                <w:szCs w:val="24"/>
              </w:rPr>
              <w:t>0,1</w:t>
            </w:r>
          </w:p>
        </w:tc>
        <w:tc>
          <w:tcPr>
            <w:tcW w:w="939" w:type="dxa"/>
            <w:vAlign w:val="center"/>
          </w:tcPr>
          <w:p w:rsidR="00F92819" w:rsidRDefault="00F92819">
            <w:pPr>
              <w:spacing w:before="40" w:after="40" w:line="220" w:lineRule="exact"/>
              <w:jc w:val="right"/>
              <w:rPr>
                <w:sz w:val="18"/>
                <w:szCs w:val="24"/>
              </w:rPr>
            </w:pPr>
            <w:r>
              <w:rPr>
                <w:sz w:val="18"/>
                <w:szCs w:val="24"/>
              </w:rPr>
              <w:t>-</w:t>
            </w:r>
          </w:p>
        </w:tc>
      </w:tr>
      <w:tr w:rsidR="00F92819">
        <w:tc>
          <w:tcPr>
            <w:tcW w:w="2552" w:type="dxa"/>
          </w:tcPr>
          <w:p w:rsidR="00F92819" w:rsidRDefault="00F92819">
            <w:pPr>
              <w:spacing w:before="40" w:after="40" w:line="220" w:lineRule="exact"/>
              <w:rPr>
                <w:szCs w:val="24"/>
              </w:rPr>
            </w:pPr>
            <w:r>
              <w:rPr>
                <w:sz w:val="18"/>
                <w:szCs w:val="24"/>
                <w:lang w:val="es-ES_tradnl"/>
              </w:rPr>
              <w:t>Azúcar, dulces y miel</w:t>
            </w:r>
          </w:p>
        </w:tc>
        <w:tc>
          <w:tcPr>
            <w:tcW w:w="850" w:type="dxa"/>
            <w:vAlign w:val="center"/>
          </w:tcPr>
          <w:p w:rsidR="00F92819" w:rsidRDefault="00F92819">
            <w:pPr>
              <w:spacing w:before="40" w:after="40" w:line="220" w:lineRule="exact"/>
              <w:jc w:val="right"/>
              <w:rPr>
                <w:sz w:val="18"/>
                <w:szCs w:val="24"/>
              </w:rPr>
            </w:pPr>
            <w:r>
              <w:rPr>
                <w:sz w:val="18"/>
                <w:szCs w:val="24"/>
              </w:rPr>
              <w:t>-</w:t>
            </w:r>
          </w:p>
        </w:tc>
        <w:tc>
          <w:tcPr>
            <w:tcW w:w="850" w:type="dxa"/>
            <w:vAlign w:val="center"/>
          </w:tcPr>
          <w:p w:rsidR="00F92819" w:rsidRDefault="00F92819">
            <w:pPr>
              <w:spacing w:before="40" w:after="40" w:line="220" w:lineRule="exact"/>
              <w:jc w:val="right"/>
              <w:rPr>
                <w:sz w:val="18"/>
                <w:szCs w:val="24"/>
              </w:rPr>
            </w:pPr>
            <w:r>
              <w:rPr>
                <w:sz w:val="18"/>
                <w:szCs w:val="24"/>
              </w:rPr>
              <w:t>1</w:t>
            </w:r>
          </w:p>
        </w:tc>
        <w:tc>
          <w:tcPr>
            <w:tcW w:w="851" w:type="dxa"/>
            <w:vAlign w:val="center"/>
          </w:tcPr>
          <w:p w:rsidR="00F92819" w:rsidRDefault="00F92819">
            <w:pPr>
              <w:spacing w:before="40" w:after="40" w:line="220" w:lineRule="exact"/>
              <w:jc w:val="right"/>
              <w:rPr>
                <w:sz w:val="18"/>
                <w:szCs w:val="24"/>
              </w:rPr>
            </w:pPr>
            <w:r>
              <w:rPr>
                <w:sz w:val="18"/>
                <w:szCs w:val="24"/>
              </w:rPr>
              <w:t>-</w:t>
            </w:r>
          </w:p>
        </w:tc>
        <w:tc>
          <w:tcPr>
            <w:tcW w:w="709" w:type="dxa"/>
            <w:vAlign w:val="center"/>
          </w:tcPr>
          <w:p w:rsidR="00F92819" w:rsidRDefault="00F92819">
            <w:pPr>
              <w:spacing w:before="40" w:after="40" w:line="220" w:lineRule="exact"/>
              <w:jc w:val="right"/>
              <w:rPr>
                <w:sz w:val="18"/>
                <w:szCs w:val="24"/>
              </w:rPr>
            </w:pPr>
            <w:r>
              <w:rPr>
                <w:sz w:val="18"/>
                <w:szCs w:val="24"/>
              </w:rPr>
              <w:t>-</w:t>
            </w:r>
          </w:p>
        </w:tc>
        <w:tc>
          <w:tcPr>
            <w:tcW w:w="954" w:type="dxa"/>
            <w:vAlign w:val="center"/>
          </w:tcPr>
          <w:p w:rsidR="00F92819" w:rsidRDefault="00F92819">
            <w:pPr>
              <w:spacing w:before="40" w:after="40" w:line="220" w:lineRule="exact"/>
              <w:jc w:val="right"/>
              <w:rPr>
                <w:sz w:val="18"/>
                <w:szCs w:val="24"/>
              </w:rPr>
            </w:pPr>
            <w:r>
              <w:rPr>
                <w:sz w:val="18"/>
                <w:szCs w:val="24"/>
              </w:rPr>
              <w:t>-</w:t>
            </w:r>
          </w:p>
        </w:tc>
        <w:tc>
          <w:tcPr>
            <w:tcW w:w="800" w:type="dxa"/>
            <w:vAlign w:val="center"/>
          </w:tcPr>
          <w:p w:rsidR="00F92819" w:rsidRDefault="00F92819">
            <w:pPr>
              <w:spacing w:before="40" w:after="40" w:line="220" w:lineRule="exact"/>
              <w:jc w:val="right"/>
              <w:rPr>
                <w:sz w:val="18"/>
                <w:szCs w:val="24"/>
              </w:rPr>
            </w:pPr>
            <w:r>
              <w:rPr>
                <w:sz w:val="18"/>
                <w:szCs w:val="24"/>
              </w:rPr>
              <w:t>-</w:t>
            </w:r>
          </w:p>
        </w:tc>
        <w:tc>
          <w:tcPr>
            <w:tcW w:w="939" w:type="dxa"/>
            <w:vAlign w:val="center"/>
          </w:tcPr>
          <w:p w:rsidR="00F92819" w:rsidRDefault="00F92819">
            <w:pPr>
              <w:spacing w:before="40" w:after="40" w:line="220" w:lineRule="exact"/>
              <w:jc w:val="right"/>
              <w:rPr>
                <w:sz w:val="18"/>
                <w:szCs w:val="24"/>
              </w:rPr>
            </w:pPr>
            <w:r>
              <w:rPr>
                <w:sz w:val="18"/>
                <w:szCs w:val="24"/>
              </w:rPr>
              <w:t>-</w:t>
            </w:r>
          </w:p>
        </w:tc>
      </w:tr>
      <w:tr w:rsidR="00F92819">
        <w:tc>
          <w:tcPr>
            <w:tcW w:w="2552" w:type="dxa"/>
          </w:tcPr>
          <w:p w:rsidR="00F92819" w:rsidRDefault="00F92819">
            <w:pPr>
              <w:spacing w:before="40" w:after="40" w:line="220" w:lineRule="exact"/>
              <w:rPr>
                <w:szCs w:val="24"/>
              </w:rPr>
            </w:pPr>
            <w:r>
              <w:rPr>
                <w:sz w:val="18"/>
                <w:szCs w:val="24"/>
                <w:lang w:val="es-ES_tradnl"/>
              </w:rPr>
              <w:t>Legumbres (incl. soja, semillas oleaginosas y nueces)</w:t>
            </w:r>
          </w:p>
        </w:tc>
        <w:tc>
          <w:tcPr>
            <w:tcW w:w="850" w:type="dxa"/>
            <w:vAlign w:val="center"/>
          </w:tcPr>
          <w:p w:rsidR="00F92819" w:rsidRDefault="00F92819">
            <w:pPr>
              <w:spacing w:before="40" w:after="40" w:line="220" w:lineRule="exact"/>
              <w:jc w:val="right"/>
              <w:rPr>
                <w:sz w:val="18"/>
                <w:szCs w:val="24"/>
              </w:rPr>
            </w:pPr>
            <w:r>
              <w:rPr>
                <w:sz w:val="18"/>
                <w:szCs w:val="24"/>
              </w:rPr>
              <w:t>2,7</w:t>
            </w:r>
          </w:p>
        </w:tc>
        <w:tc>
          <w:tcPr>
            <w:tcW w:w="850" w:type="dxa"/>
            <w:vAlign w:val="center"/>
          </w:tcPr>
          <w:p w:rsidR="00F92819" w:rsidRDefault="00F92819">
            <w:pPr>
              <w:spacing w:before="40" w:after="40" w:line="220" w:lineRule="exact"/>
              <w:jc w:val="right"/>
              <w:rPr>
                <w:sz w:val="18"/>
                <w:szCs w:val="24"/>
              </w:rPr>
            </w:pPr>
            <w:r>
              <w:rPr>
                <w:sz w:val="18"/>
                <w:szCs w:val="24"/>
              </w:rPr>
              <w:t>50</w:t>
            </w:r>
          </w:p>
        </w:tc>
        <w:tc>
          <w:tcPr>
            <w:tcW w:w="851" w:type="dxa"/>
            <w:vAlign w:val="center"/>
          </w:tcPr>
          <w:p w:rsidR="00F92819" w:rsidRDefault="00F92819">
            <w:pPr>
              <w:spacing w:before="40" w:after="40" w:line="220" w:lineRule="exact"/>
              <w:jc w:val="right"/>
              <w:rPr>
                <w:sz w:val="18"/>
                <w:szCs w:val="24"/>
              </w:rPr>
            </w:pPr>
            <w:r>
              <w:rPr>
                <w:sz w:val="18"/>
                <w:szCs w:val="24"/>
              </w:rPr>
              <w:t>1</w:t>
            </w:r>
          </w:p>
        </w:tc>
        <w:tc>
          <w:tcPr>
            <w:tcW w:w="709" w:type="dxa"/>
            <w:vAlign w:val="center"/>
          </w:tcPr>
          <w:p w:rsidR="00F92819" w:rsidRDefault="00F92819">
            <w:pPr>
              <w:spacing w:before="40" w:after="40" w:line="220" w:lineRule="exact"/>
              <w:jc w:val="right"/>
              <w:rPr>
                <w:sz w:val="18"/>
                <w:szCs w:val="24"/>
              </w:rPr>
            </w:pPr>
            <w:r>
              <w:rPr>
                <w:sz w:val="18"/>
                <w:szCs w:val="24"/>
              </w:rPr>
              <w:t>1,8</w:t>
            </w:r>
          </w:p>
        </w:tc>
        <w:tc>
          <w:tcPr>
            <w:tcW w:w="954" w:type="dxa"/>
            <w:vAlign w:val="center"/>
          </w:tcPr>
          <w:p w:rsidR="00F92819" w:rsidRDefault="00F92819">
            <w:pPr>
              <w:spacing w:before="40" w:after="40" w:line="220" w:lineRule="exact"/>
              <w:jc w:val="right"/>
              <w:rPr>
                <w:sz w:val="18"/>
                <w:szCs w:val="24"/>
              </w:rPr>
            </w:pPr>
            <w:r>
              <w:rPr>
                <w:sz w:val="18"/>
                <w:szCs w:val="24"/>
              </w:rPr>
              <w:t>0,1</w:t>
            </w:r>
          </w:p>
        </w:tc>
        <w:tc>
          <w:tcPr>
            <w:tcW w:w="800" w:type="dxa"/>
            <w:vAlign w:val="center"/>
          </w:tcPr>
          <w:p w:rsidR="00F92819" w:rsidRDefault="00F92819">
            <w:pPr>
              <w:spacing w:before="40" w:after="40" w:line="220" w:lineRule="exact"/>
              <w:jc w:val="right"/>
              <w:rPr>
                <w:sz w:val="18"/>
                <w:szCs w:val="24"/>
              </w:rPr>
            </w:pPr>
            <w:r>
              <w:rPr>
                <w:sz w:val="18"/>
                <w:szCs w:val="24"/>
              </w:rPr>
              <w:t>0,2</w:t>
            </w:r>
          </w:p>
        </w:tc>
        <w:tc>
          <w:tcPr>
            <w:tcW w:w="939" w:type="dxa"/>
            <w:vAlign w:val="center"/>
          </w:tcPr>
          <w:p w:rsidR="00F92819" w:rsidRDefault="00F92819">
            <w:pPr>
              <w:spacing w:before="40" w:after="40" w:line="220" w:lineRule="exact"/>
              <w:jc w:val="right"/>
              <w:rPr>
                <w:sz w:val="18"/>
                <w:szCs w:val="24"/>
              </w:rPr>
            </w:pPr>
            <w:r>
              <w:rPr>
                <w:sz w:val="18"/>
                <w:szCs w:val="24"/>
              </w:rPr>
              <w:t>19</w:t>
            </w:r>
          </w:p>
        </w:tc>
      </w:tr>
      <w:tr w:rsidR="00F92819">
        <w:tc>
          <w:tcPr>
            <w:tcW w:w="2552" w:type="dxa"/>
          </w:tcPr>
          <w:p w:rsidR="00F92819" w:rsidRDefault="00F92819">
            <w:pPr>
              <w:spacing w:before="40" w:after="40" w:line="220" w:lineRule="exact"/>
              <w:rPr>
                <w:szCs w:val="24"/>
              </w:rPr>
            </w:pPr>
            <w:r>
              <w:rPr>
                <w:sz w:val="18"/>
                <w:szCs w:val="24"/>
                <w:lang w:val="es-ES_tradnl"/>
              </w:rPr>
              <w:t>Verduras y melones</w:t>
            </w:r>
          </w:p>
        </w:tc>
        <w:tc>
          <w:tcPr>
            <w:tcW w:w="850" w:type="dxa"/>
            <w:vAlign w:val="center"/>
          </w:tcPr>
          <w:p w:rsidR="00F92819" w:rsidRDefault="00F92819">
            <w:pPr>
              <w:spacing w:before="40" w:after="40" w:line="220" w:lineRule="exact"/>
              <w:jc w:val="right"/>
              <w:rPr>
                <w:sz w:val="18"/>
                <w:szCs w:val="24"/>
              </w:rPr>
            </w:pPr>
            <w:r>
              <w:rPr>
                <w:sz w:val="18"/>
                <w:szCs w:val="24"/>
              </w:rPr>
              <w:t>2,2</w:t>
            </w:r>
          </w:p>
        </w:tc>
        <w:tc>
          <w:tcPr>
            <w:tcW w:w="850" w:type="dxa"/>
            <w:vAlign w:val="center"/>
          </w:tcPr>
          <w:p w:rsidR="00F92819" w:rsidRDefault="00F92819">
            <w:pPr>
              <w:spacing w:before="40" w:after="40" w:line="220" w:lineRule="exact"/>
              <w:jc w:val="right"/>
              <w:rPr>
                <w:sz w:val="18"/>
                <w:szCs w:val="24"/>
              </w:rPr>
            </w:pPr>
            <w:r>
              <w:rPr>
                <w:sz w:val="18"/>
                <w:szCs w:val="24"/>
              </w:rPr>
              <w:t>77</w:t>
            </w:r>
          </w:p>
        </w:tc>
        <w:tc>
          <w:tcPr>
            <w:tcW w:w="851" w:type="dxa"/>
            <w:vAlign w:val="center"/>
          </w:tcPr>
          <w:p w:rsidR="00F92819" w:rsidRDefault="00F92819">
            <w:pPr>
              <w:spacing w:before="40" w:after="40" w:line="220" w:lineRule="exact"/>
              <w:jc w:val="right"/>
              <w:rPr>
                <w:sz w:val="18"/>
                <w:szCs w:val="24"/>
              </w:rPr>
            </w:pPr>
            <w:r>
              <w:rPr>
                <w:sz w:val="18"/>
                <w:szCs w:val="24"/>
              </w:rPr>
              <w:t>104</w:t>
            </w:r>
          </w:p>
        </w:tc>
        <w:tc>
          <w:tcPr>
            <w:tcW w:w="709" w:type="dxa"/>
            <w:vAlign w:val="center"/>
          </w:tcPr>
          <w:p w:rsidR="00F92819" w:rsidRDefault="00F92819">
            <w:pPr>
              <w:spacing w:before="40" w:after="40" w:line="220" w:lineRule="exact"/>
              <w:jc w:val="right"/>
              <w:rPr>
                <w:sz w:val="18"/>
                <w:szCs w:val="24"/>
              </w:rPr>
            </w:pPr>
            <w:r>
              <w:rPr>
                <w:sz w:val="18"/>
                <w:szCs w:val="24"/>
              </w:rPr>
              <w:t>3,7</w:t>
            </w:r>
          </w:p>
        </w:tc>
        <w:tc>
          <w:tcPr>
            <w:tcW w:w="954" w:type="dxa"/>
            <w:vAlign w:val="center"/>
          </w:tcPr>
          <w:p w:rsidR="00F92819" w:rsidRDefault="00F92819">
            <w:pPr>
              <w:spacing w:before="40" w:after="40" w:line="220" w:lineRule="exact"/>
              <w:jc w:val="right"/>
              <w:rPr>
                <w:sz w:val="18"/>
                <w:szCs w:val="24"/>
              </w:rPr>
            </w:pPr>
            <w:r>
              <w:rPr>
                <w:sz w:val="18"/>
                <w:szCs w:val="24"/>
              </w:rPr>
              <w:t>0,1</w:t>
            </w:r>
          </w:p>
        </w:tc>
        <w:tc>
          <w:tcPr>
            <w:tcW w:w="800" w:type="dxa"/>
            <w:vAlign w:val="center"/>
          </w:tcPr>
          <w:p w:rsidR="00F92819" w:rsidRDefault="00F92819">
            <w:pPr>
              <w:spacing w:before="40" w:after="40" w:line="220" w:lineRule="exact"/>
              <w:jc w:val="right"/>
              <w:rPr>
                <w:sz w:val="18"/>
                <w:szCs w:val="24"/>
              </w:rPr>
            </w:pPr>
            <w:r>
              <w:rPr>
                <w:sz w:val="18"/>
                <w:szCs w:val="24"/>
              </w:rPr>
              <w:t>0,2</w:t>
            </w:r>
          </w:p>
        </w:tc>
        <w:tc>
          <w:tcPr>
            <w:tcW w:w="939" w:type="dxa"/>
            <w:vAlign w:val="center"/>
          </w:tcPr>
          <w:p w:rsidR="00F92819" w:rsidRDefault="00F92819">
            <w:pPr>
              <w:spacing w:before="40" w:after="40" w:line="220" w:lineRule="exact"/>
              <w:jc w:val="right"/>
              <w:rPr>
                <w:sz w:val="18"/>
                <w:szCs w:val="24"/>
              </w:rPr>
            </w:pPr>
            <w:r>
              <w:rPr>
                <w:sz w:val="18"/>
                <w:szCs w:val="24"/>
              </w:rPr>
              <w:t>4 561</w:t>
            </w:r>
          </w:p>
        </w:tc>
      </w:tr>
      <w:tr w:rsidR="00F92819">
        <w:tc>
          <w:tcPr>
            <w:tcW w:w="2552" w:type="dxa"/>
          </w:tcPr>
          <w:p w:rsidR="00F92819" w:rsidRDefault="00F92819">
            <w:pPr>
              <w:spacing w:before="40" w:after="40" w:line="220" w:lineRule="exact"/>
              <w:rPr>
                <w:szCs w:val="24"/>
              </w:rPr>
            </w:pPr>
            <w:r>
              <w:rPr>
                <w:sz w:val="18"/>
                <w:szCs w:val="24"/>
                <w:lang w:val="es-ES_tradnl"/>
              </w:rPr>
              <w:t>Frutas</w:t>
            </w:r>
          </w:p>
        </w:tc>
        <w:tc>
          <w:tcPr>
            <w:tcW w:w="850" w:type="dxa"/>
            <w:vAlign w:val="center"/>
          </w:tcPr>
          <w:p w:rsidR="00F92819" w:rsidRDefault="00F92819">
            <w:pPr>
              <w:spacing w:before="40" w:after="40" w:line="220" w:lineRule="exact"/>
              <w:jc w:val="right"/>
              <w:rPr>
                <w:sz w:val="18"/>
                <w:szCs w:val="24"/>
              </w:rPr>
            </w:pPr>
            <w:r>
              <w:rPr>
                <w:sz w:val="18"/>
                <w:szCs w:val="24"/>
              </w:rPr>
              <w:t>0,8</w:t>
            </w:r>
          </w:p>
        </w:tc>
        <w:tc>
          <w:tcPr>
            <w:tcW w:w="850" w:type="dxa"/>
            <w:vAlign w:val="center"/>
          </w:tcPr>
          <w:p w:rsidR="00F92819" w:rsidRDefault="00F92819">
            <w:pPr>
              <w:spacing w:before="40" w:after="40" w:line="220" w:lineRule="exact"/>
              <w:jc w:val="right"/>
              <w:rPr>
                <w:sz w:val="18"/>
                <w:szCs w:val="24"/>
              </w:rPr>
            </w:pPr>
            <w:r>
              <w:rPr>
                <w:sz w:val="18"/>
                <w:szCs w:val="24"/>
              </w:rPr>
              <w:t>59</w:t>
            </w:r>
          </w:p>
        </w:tc>
        <w:tc>
          <w:tcPr>
            <w:tcW w:w="851" w:type="dxa"/>
            <w:vAlign w:val="center"/>
          </w:tcPr>
          <w:p w:rsidR="00F92819" w:rsidRDefault="00F92819">
            <w:pPr>
              <w:spacing w:before="40" w:after="40" w:line="220" w:lineRule="exact"/>
              <w:jc w:val="right"/>
              <w:rPr>
                <w:sz w:val="18"/>
                <w:szCs w:val="24"/>
              </w:rPr>
            </w:pPr>
            <w:r>
              <w:rPr>
                <w:sz w:val="18"/>
                <w:szCs w:val="24"/>
              </w:rPr>
              <w:t>76</w:t>
            </w:r>
          </w:p>
        </w:tc>
        <w:tc>
          <w:tcPr>
            <w:tcW w:w="709" w:type="dxa"/>
            <w:vAlign w:val="center"/>
          </w:tcPr>
          <w:p w:rsidR="00F92819" w:rsidRDefault="00F92819">
            <w:pPr>
              <w:spacing w:before="40" w:after="40" w:line="220" w:lineRule="exact"/>
              <w:jc w:val="right"/>
              <w:rPr>
                <w:sz w:val="18"/>
                <w:szCs w:val="24"/>
              </w:rPr>
            </w:pPr>
            <w:r>
              <w:rPr>
                <w:sz w:val="18"/>
                <w:szCs w:val="24"/>
              </w:rPr>
              <w:t>1,1</w:t>
            </w:r>
          </w:p>
        </w:tc>
        <w:tc>
          <w:tcPr>
            <w:tcW w:w="954" w:type="dxa"/>
            <w:vAlign w:val="center"/>
          </w:tcPr>
          <w:p w:rsidR="00F92819" w:rsidRDefault="00F92819">
            <w:pPr>
              <w:spacing w:before="40" w:after="40" w:line="220" w:lineRule="exact"/>
              <w:jc w:val="right"/>
              <w:rPr>
                <w:sz w:val="18"/>
                <w:szCs w:val="24"/>
              </w:rPr>
            </w:pPr>
            <w:r>
              <w:rPr>
                <w:sz w:val="18"/>
                <w:szCs w:val="24"/>
              </w:rPr>
              <w:t>-</w:t>
            </w:r>
          </w:p>
        </w:tc>
        <w:tc>
          <w:tcPr>
            <w:tcW w:w="800" w:type="dxa"/>
            <w:vAlign w:val="center"/>
          </w:tcPr>
          <w:p w:rsidR="00F92819" w:rsidRDefault="00F92819">
            <w:pPr>
              <w:spacing w:before="40" w:after="40" w:line="220" w:lineRule="exact"/>
              <w:jc w:val="right"/>
              <w:rPr>
                <w:sz w:val="18"/>
                <w:szCs w:val="24"/>
              </w:rPr>
            </w:pPr>
            <w:r>
              <w:rPr>
                <w:sz w:val="18"/>
                <w:szCs w:val="24"/>
              </w:rPr>
              <w:t>0,1</w:t>
            </w:r>
          </w:p>
        </w:tc>
        <w:tc>
          <w:tcPr>
            <w:tcW w:w="939" w:type="dxa"/>
            <w:vAlign w:val="center"/>
          </w:tcPr>
          <w:p w:rsidR="00F92819" w:rsidRDefault="00F92819">
            <w:pPr>
              <w:spacing w:before="40" w:after="40" w:line="220" w:lineRule="exact"/>
              <w:jc w:val="right"/>
              <w:rPr>
                <w:sz w:val="18"/>
                <w:szCs w:val="24"/>
              </w:rPr>
            </w:pPr>
            <w:r>
              <w:rPr>
                <w:sz w:val="18"/>
                <w:szCs w:val="24"/>
              </w:rPr>
              <w:t>713</w:t>
            </w:r>
          </w:p>
        </w:tc>
      </w:tr>
      <w:tr w:rsidR="00F92819">
        <w:tc>
          <w:tcPr>
            <w:tcW w:w="2552" w:type="dxa"/>
          </w:tcPr>
          <w:p w:rsidR="00F92819" w:rsidRDefault="00F92819">
            <w:pPr>
              <w:spacing w:before="40" w:after="40" w:line="220" w:lineRule="exact"/>
              <w:rPr>
                <w:szCs w:val="24"/>
              </w:rPr>
            </w:pPr>
            <w:r>
              <w:rPr>
                <w:sz w:val="18"/>
                <w:szCs w:val="24"/>
                <w:lang w:val="es-ES_tradnl"/>
              </w:rPr>
              <w:t>Aceites y grasas</w:t>
            </w:r>
          </w:p>
        </w:tc>
        <w:tc>
          <w:tcPr>
            <w:tcW w:w="850" w:type="dxa"/>
            <w:vAlign w:val="center"/>
          </w:tcPr>
          <w:p w:rsidR="00F92819" w:rsidRDefault="00F92819">
            <w:pPr>
              <w:spacing w:before="40" w:after="40" w:line="220" w:lineRule="exact"/>
              <w:jc w:val="right"/>
              <w:rPr>
                <w:sz w:val="18"/>
                <w:szCs w:val="24"/>
              </w:rPr>
            </w:pPr>
            <w:r>
              <w:rPr>
                <w:sz w:val="18"/>
                <w:szCs w:val="24"/>
              </w:rPr>
              <w:t>-</w:t>
            </w:r>
          </w:p>
        </w:tc>
        <w:tc>
          <w:tcPr>
            <w:tcW w:w="850" w:type="dxa"/>
            <w:vAlign w:val="center"/>
          </w:tcPr>
          <w:p w:rsidR="00F92819" w:rsidRDefault="00F92819">
            <w:pPr>
              <w:spacing w:before="40" w:after="40" w:line="220" w:lineRule="exact"/>
              <w:jc w:val="right"/>
              <w:rPr>
                <w:sz w:val="18"/>
                <w:szCs w:val="24"/>
              </w:rPr>
            </w:pPr>
            <w:r>
              <w:rPr>
                <w:sz w:val="18"/>
                <w:szCs w:val="24"/>
              </w:rPr>
              <w:t>-</w:t>
            </w:r>
          </w:p>
        </w:tc>
        <w:tc>
          <w:tcPr>
            <w:tcW w:w="851" w:type="dxa"/>
            <w:vAlign w:val="center"/>
          </w:tcPr>
          <w:p w:rsidR="00F92819" w:rsidRDefault="00F92819">
            <w:pPr>
              <w:spacing w:before="40" w:after="40" w:line="220" w:lineRule="exact"/>
              <w:jc w:val="right"/>
              <w:rPr>
                <w:sz w:val="18"/>
                <w:szCs w:val="24"/>
              </w:rPr>
            </w:pPr>
            <w:r>
              <w:rPr>
                <w:sz w:val="18"/>
                <w:szCs w:val="24"/>
              </w:rPr>
              <w:t>-</w:t>
            </w:r>
          </w:p>
        </w:tc>
        <w:tc>
          <w:tcPr>
            <w:tcW w:w="709" w:type="dxa"/>
            <w:vAlign w:val="center"/>
          </w:tcPr>
          <w:p w:rsidR="00F92819" w:rsidRDefault="00F92819">
            <w:pPr>
              <w:spacing w:before="40" w:after="40" w:line="220" w:lineRule="exact"/>
              <w:jc w:val="right"/>
              <w:rPr>
                <w:sz w:val="18"/>
                <w:szCs w:val="24"/>
              </w:rPr>
            </w:pPr>
            <w:r>
              <w:rPr>
                <w:sz w:val="18"/>
                <w:szCs w:val="24"/>
              </w:rPr>
              <w:t>-</w:t>
            </w:r>
          </w:p>
        </w:tc>
        <w:tc>
          <w:tcPr>
            <w:tcW w:w="954" w:type="dxa"/>
            <w:vAlign w:val="center"/>
          </w:tcPr>
          <w:p w:rsidR="00F92819" w:rsidRDefault="00F92819">
            <w:pPr>
              <w:spacing w:before="40" w:after="40" w:line="220" w:lineRule="exact"/>
              <w:jc w:val="right"/>
              <w:rPr>
                <w:sz w:val="18"/>
                <w:szCs w:val="24"/>
              </w:rPr>
            </w:pPr>
            <w:r>
              <w:rPr>
                <w:sz w:val="18"/>
                <w:szCs w:val="24"/>
              </w:rPr>
              <w:t>-</w:t>
            </w:r>
          </w:p>
        </w:tc>
        <w:tc>
          <w:tcPr>
            <w:tcW w:w="800" w:type="dxa"/>
            <w:vAlign w:val="center"/>
          </w:tcPr>
          <w:p w:rsidR="00F92819" w:rsidRDefault="00F92819">
            <w:pPr>
              <w:spacing w:before="40" w:after="40" w:line="220" w:lineRule="exact"/>
              <w:jc w:val="right"/>
              <w:rPr>
                <w:sz w:val="18"/>
                <w:szCs w:val="24"/>
              </w:rPr>
            </w:pPr>
            <w:r>
              <w:rPr>
                <w:sz w:val="18"/>
                <w:szCs w:val="24"/>
              </w:rPr>
              <w:t>-</w:t>
            </w:r>
          </w:p>
        </w:tc>
        <w:tc>
          <w:tcPr>
            <w:tcW w:w="939" w:type="dxa"/>
            <w:vAlign w:val="center"/>
          </w:tcPr>
          <w:p w:rsidR="00F92819" w:rsidRDefault="00F92819">
            <w:pPr>
              <w:spacing w:before="40" w:after="40" w:line="220" w:lineRule="exact"/>
              <w:jc w:val="right"/>
              <w:rPr>
                <w:sz w:val="18"/>
                <w:szCs w:val="24"/>
              </w:rPr>
            </w:pPr>
            <w:r>
              <w:rPr>
                <w:sz w:val="18"/>
                <w:szCs w:val="24"/>
              </w:rPr>
              <w:t>41</w:t>
            </w:r>
          </w:p>
        </w:tc>
      </w:tr>
      <w:tr w:rsidR="00F92819">
        <w:tc>
          <w:tcPr>
            <w:tcW w:w="2552" w:type="dxa"/>
          </w:tcPr>
          <w:p w:rsidR="00F92819" w:rsidRDefault="00F92819">
            <w:pPr>
              <w:spacing w:before="40" w:after="40" w:line="220" w:lineRule="exact"/>
              <w:rPr>
                <w:szCs w:val="24"/>
              </w:rPr>
            </w:pPr>
            <w:r>
              <w:rPr>
                <w:sz w:val="18"/>
                <w:szCs w:val="24"/>
                <w:lang w:val="es-ES_tradnl"/>
              </w:rPr>
              <w:t>Carne</w:t>
            </w:r>
          </w:p>
        </w:tc>
        <w:tc>
          <w:tcPr>
            <w:tcW w:w="850" w:type="dxa"/>
            <w:vAlign w:val="center"/>
          </w:tcPr>
          <w:p w:rsidR="00F92819" w:rsidRDefault="00F92819">
            <w:pPr>
              <w:spacing w:before="40" w:after="40" w:line="220" w:lineRule="exact"/>
              <w:jc w:val="right"/>
              <w:rPr>
                <w:sz w:val="18"/>
                <w:szCs w:val="24"/>
              </w:rPr>
            </w:pPr>
            <w:r>
              <w:rPr>
                <w:sz w:val="18"/>
                <w:szCs w:val="24"/>
              </w:rPr>
              <w:t>2,3</w:t>
            </w:r>
          </w:p>
        </w:tc>
        <w:tc>
          <w:tcPr>
            <w:tcW w:w="850" w:type="dxa"/>
            <w:vAlign w:val="center"/>
          </w:tcPr>
          <w:p w:rsidR="00F92819" w:rsidRDefault="00F92819">
            <w:pPr>
              <w:spacing w:before="40" w:after="40" w:line="220" w:lineRule="exact"/>
              <w:jc w:val="right"/>
              <w:rPr>
                <w:sz w:val="18"/>
                <w:szCs w:val="24"/>
              </w:rPr>
            </w:pPr>
            <w:r>
              <w:rPr>
                <w:sz w:val="18"/>
                <w:szCs w:val="24"/>
              </w:rPr>
              <w:t>19</w:t>
            </w:r>
          </w:p>
        </w:tc>
        <w:tc>
          <w:tcPr>
            <w:tcW w:w="851" w:type="dxa"/>
            <w:vAlign w:val="center"/>
          </w:tcPr>
          <w:p w:rsidR="00F92819" w:rsidRDefault="00F92819">
            <w:pPr>
              <w:spacing w:before="40" w:after="40" w:line="220" w:lineRule="exact"/>
              <w:jc w:val="right"/>
              <w:rPr>
                <w:sz w:val="18"/>
                <w:szCs w:val="24"/>
              </w:rPr>
            </w:pPr>
            <w:r>
              <w:rPr>
                <w:sz w:val="18"/>
                <w:szCs w:val="24"/>
              </w:rPr>
              <w:t>3</w:t>
            </w:r>
          </w:p>
        </w:tc>
        <w:tc>
          <w:tcPr>
            <w:tcW w:w="709" w:type="dxa"/>
            <w:vAlign w:val="center"/>
          </w:tcPr>
          <w:p w:rsidR="00F92819" w:rsidRDefault="00F92819">
            <w:pPr>
              <w:spacing w:before="40" w:after="40" w:line="220" w:lineRule="exact"/>
              <w:jc w:val="right"/>
              <w:rPr>
                <w:sz w:val="18"/>
                <w:szCs w:val="24"/>
              </w:rPr>
            </w:pPr>
            <w:r>
              <w:rPr>
                <w:sz w:val="18"/>
                <w:szCs w:val="24"/>
              </w:rPr>
              <w:t>10</w:t>
            </w:r>
          </w:p>
        </w:tc>
        <w:tc>
          <w:tcPr>
            <w:tcW w:w="954" w:type="dxa"/>
            <w:vAlign w:val="center"/>
          </w:tcPr>
          <w:p w:rsidR="00F92819" w:rsidRDefault="00F92819">
            <w:pPr>
              <w:spacing w:before="40" w:after="40" w:line="220" w:lineRule="exact"/>
              <w:jc w:val="right"/>
              <w:rPr>
                <w:sz w:val="18"/>
                <w:szCs w:val="24"/>
              </w:rPr>
            </w:pPr>
            <w:r>
              <w:rPr>
                <w:sz w:val="18"/>
                <w:szCs w:val="24"/>
              </w:rPr>
              <w:t>0,2</w:t>
            </w:r>
          </w:p>
        </w:tc>
        <w:tc>
          <w:tcPr>
            <w:tcW w:w="800" w:type="dxa"/>
            <w:vAlign w:val="center"/>
          </w:tcPr>
          <w:p w:rsidR="00F92819" w:rsidRDefault="00F92819">
            <w:pPr>
              <w:spacing w:before="40" w:after="40" w:line="220" w:lineRule="exact"/>
              <w:jc w:val="right"/>
              <w:rPr>
                <w:sz w:val="18"/>
                <w:szCs w:val="24"/>
              </w:rPr>
            </w:pPr>
            <w:r>
              <w:rPr>
                <w:sz w:val="18"/>
                <w:szCs w:val="24"/>
              </w:rPr>
              <w:t>0,1</w:t>
            </w:r>
          </w:p>
        </w:tc>
        <w:tc>
          <w:tcPr>
            <w:tcW w:w="939" w:type="dxa"/>
            <w:vAlign w:val="center"/>
          </w:tcPr>
          <w:p w:rsidR="00F92819" w:rsidRDefault="00F92819">
            <w:pPr>
              <w:spacing w:before="40" w:after="40" w:line="220" w:lineRule="exact"/>
              <w:jc w:val="right"/>
              <w:rPr>
                <w:sz w:val="18"/>
                <w:szCs w:val="24"/>
              </w:rPr>
            </w:pPr>
            <w:r>
              <w:rPr>
                <w:sz w:val="18"/>
                <w:szCs w:val="24"/>
              </w:rPr>
              <w:t>1 054</w:t>
            </w:r>
          </w:p>
        </w:tc>
      </w:tr>
      <w:tr w:rsidR="00F92819">
        <w:tc>
          <w:tcPr>
            <w:tcW w:w="2552" w:type="dxa"/>
          </w:tcPr>
          <w:p w:rsidR="00F92819" w:rsidRDefault="00F92819">
            <w:pPr>
              <w:spacing w:before="40" w:after="40" w:line="220" w:lineRule="exact"/>
              <w:rPr>
                <w:szCs w:val="24"/>
              </w:rPr>
            </w:pPr>
            <w:r>
              <w:rPr>
                <w:sz w:val="18"/>
                <w:szCs w:val="24"/>
                <w:lang w:val="es-ES_tradnl"/>
              </w:rPr>
              <w:t>Huevos</w:t>
            </w:r>
          </w:p>
        </w:tc>
        <w:tc>
          <w:tcPr>
            <w:tcW w:w="850" w:type="dxa"/>
            <w:vAlign w:val="center"/>
          </w:tcPr>
          <w:p w:rsidR="00F92819" w:rsidRDefault="00F92819">
            <w:pPr>
              <w:spacing w:before="40" w:after="40" w:line="220" w:lineRule="exact"/>
              <w:jc w:val="right"/>
              <w:rPr>
                <w:sz w:val="18"/>
                <w:szCs w:val="24"/>
              </w:rPr>
            </w:pPr>
            <w:r>
              <w:rPr>
                <w:sz w:val="18"/>
                <w:szCs w:val="24"/>
              </w:rPr>
              <w:t>0,5</w:t>
            </w:r>
          </w:p>
        </w:tc>
        <w:tc>
          <w:tcPr>
            <w:tcW w:w="850" w:type="dxa"/>
            <w:vAlign w:val="center"/>
          </w:tcPr>
          <w:p w:rsidR="00F92819" w:rsidRDefault="00F92819">
            <w:pPr>
              <w:spacing w:before="40" w:after="40" w:line="220" w:lineRule="exact"/>
              <w:jc w:val="right"/>
              <w:rPr>
                <w:sz w:val="18"/>
                <w:szCs w:val="24"/>
              </w:rPr>
            </w:pPr>
            <w:r>
              <w:rPr>
                <w:sz w:val="18"/>
                <w:szCs w:val="24"/>
              </w:rPr>
              <w:t>16</w:t>
            </w:r>
          </w:p>
        </w:tc>
        <w:tc>
          <w:tcPr>
            <w:tcW w:w="851" w:type="dxa"/>
            <w:vAlign w:val="center"/>
          </w:tcPr>
          <w:p w:rsidR="00F92819" w:rsidRDefault="00F92819">
            <w:pPr>
              <w:spacing w:before="40" w:after="40" w:line="220" w:lineRule="exact"/>
              <w:jc w:val="right"/>
              <w:rPr>
                <w:sz w:val="18"/>
                <w:szCs w:val="24"/>
              </w:rPr>
            </w:pPr>
            <w:r>
              <w:rPr>
                <w:sz w:val="18"/>
                <w:szCs w:val="24"/>
              </w:rPr>
              <w:t>-</w:t>
            </w:r>
          </w:p>
        </w:tc>
        <w:tc>
          <w:tcPr>
            <w:tcW w:w="709" w:type="dxa"/>
            <w:vAlign w:val="center"/>
          </w:tcPr>
          <w:p w:rsidR="00F92819" w:rsidRDefault="00F92819">
            <w:pPr>
              <w:spacing w:before="40" w:after="40" w:line="220" w:lineRule="exact"/>
              <w:jc w:val="right"/>
              <w:rPr>
                <w:sz w:val="18"/>
                <w:szCs w:val="24"/>
              </w:rPr>
            </w:pPr>
            <w:r>
              <w:rPr>
                <w:sz w:val="18"/>
                <w:szCs w:val="24"/>
              </w:rPr>
              <w:t>-</w:t>
            </w:r>
          </w:p>
        </w:tc>
        <w:tc>
          <w:tcPr>
            <w:tcW w:w="954" w:type="dxa"/>
            <w:vAlign w:val="center"/>
          </w:tcPr>
          <w:p w:rsidR="00F92819" w:rsidRDefault="00F92819">
            <w:pPr>
              <w:spacing w:before="40" w:after="40" w:line="220" w:lineRule="exact"/>
              <w:jc w:val="right"/>
              <w:rPr>
                <w:sz w:val="18"/>
                <w:szCs w:val="24"/>
              </w:rPr>
            </w:pPr>
            <w:r>
              <w:rPr>
                <w:sz w:val="18"/>
                <w:szCs w:val="24"/>
              </w:rPr>
              <w:t>0,2</w:t>
            </w:r>
          </w:p>
        </w:tc>
        <w:tc>
          <w:tcPr>
            <w:tcW w:w="800" w:type="dxa"/>
            <w:vAlign w:val="center"/>
          </w:tcPr>
          <w:p w:rsidR="00F92819" w:rsidRDefault="00F92819">
            <w:pPr>
              <w:spacing w:before="40" w:after="40" w:line="220" w:lineRule="exact"/>
              <w:jc w:val="right"/>
              <w:rPr>
                <w:sz w:val="18"/>
                <w:szCs w:val="24"/>
              </w:rPr>
            </w:pPr>
            <w:r>
              <w:rPr>
                <w:sz w:val="18"/>
                <w:szCs w:val="24"/>
              </w:rPr>
              <w:t>-</w:t>
            </w:r>
          </w:p>
        </w:tc>
        <w:tc>
          <w:tcPr>
            <w:tcW w:w="939" w:type="dxa"/>
            <w:vAlign w:val="center"/>
          </w:tcPr>
          <w:p w:rsidR="00F92819" w:rsidRDefault="00F92819">
            <w:pPr>
              <w:spacing w:before="40" w:after="40" w:line="220" w:lineRule="exact"/>
              <w:jc w:val="right"/>
              <w:rPr>
                <w:sz w:val="18"/>
                <w:szCs w:val="24"/>
              </w:rPr>
            </w:pPr>
            <w:r>
              <w:rPr>
                <w:sz w:val="18"/>
                <w:szCs w:val="24"/>
              </w:rPr>
              <w:t>200</w:t>
            </w:r>
          </w:p>
        </w:tc>
      </w:tr>
      <w:tr w:rsidR="00F92819">
        <w:tc>
          <w:tcPr>
            <w:tcW w:w="2552" w:type="dxa"/>
          </w:tcPr>
          <w:p w:rsidR="00F92819" w:rsidRDefault="00F92819">
            <w:pPr>
              <w:spacing w:before="40" w:after="40" w:line="220" w:lineRule="exact"/>
              <w:rPr>
                <w:szCs w:val="24"/>
              </w:rPr>
            </w:pPr>
            <w:r>
              <w:rPr>
                <w:sz w:val="18"/>
                <w:szCs w:val="24"/>
                <w:lang w:val="es-ES_tradnl"/>
              </w:rPr>
              <w:t>Pescado</w:t>
            </w:r>
          </w:p>
        </w:tc>
        <w:tc>
          <w:tcPr>
            <w:tcW w:w="850" w:type="dxa"/>
            <w:vAlign w:val="center"/>
          </w:tcPr>
          <w:p w:rsidR="00F92819" w:rsidRDefault="00F92819">
            <w:pPr>
              <w:spacing w:before="40" w:after="40" w:line="220" w:lineRule="exact"/>
              <w:jc w:val="right"/>
              <w:rPr>
                <w:sz w:val="18"/>
                <w:szCs w:val="24"/>
              </w:rPr>
            </w:pPr>
            <w:r>
              <w:rPr>
                <w:sz w:val="18"/>
                <w:szCs w:val="24"/>
              </w:rPr>
              <w:t>0,2</w:t>
            </w:r>
          </w:p>
        </w:tc>
        <w:tc>
          <w:tcPr>
            <w:tcW w:w="850" w:type="dxa"/>
            <w:vAlign w:val="center"/>
          </w:tcPr>
          <w:p w:rsidR="00F92819" w:rsidRDefault="00F92819">
            <w:pPr>
              <w:spacing w:before="40" w:after="40" w:line="220" w:lineRule="exact"/>
              <w:jc w:val="right"/>
              <w:rPr>
                <w:sz w:val="18"/>
                <w:szCs w:val="24"/>
              </w:rPr>
            </w:pPr>
            <w:r>
              <w:rPr>
                <w:sz w:val="18"/>
                <w:szCs w:val="24"/>
              </w:rPr>
              <w:t>17</w:t>
            </w:r>
          </w:p>
        </w:tc>
        <w:tc>
          <w:tcPr>
            <w:tcW w:w="851" w:type="dxa"/>
            <w:vAlign w:val="center"/>
          </w:tcPr>
          <w:p w:rsidR="00F92819" w:rsidRDefault="00F92819">
            <w:pPr>
              <w:spacing w:before="40" w:after="40" w:line="220" w:lineRule="exact"/>
              <w:jc w:val="right"/>
              <w:rPr>
                <w:sz w:val="18"/>
                <w:szCs w:val="24"/>
              </w:rPr>
            </w:pPr>
            <w:r>
              <w:rPr>
                <w:sz w:val="18"/>
                <w:szCs w:val="24"/>
              </w:rPr>
              <w:t>-</w:t>
            </w:r>
          </w:p>
        </w:tc>
        <w:tc>
          <w:tcPr>
            <w:tcW w:w="709" w:type="dxa"/>
            <w:vAlign w:val="center"/>
          </w:tcPr>
          <w:p w:rsidR="00F92819" w:rsidRDefault="00F92819">
            <w:pPr>
              <w:spacing w:before="40" w:after="40" w:line="220" w:lineRule="exact"/>
              <w:jc w:val="right"/>
              <w:rPr>
                <w:sz w:val="18"/>
                <w:szCs w:val="24"/>
              </w:rPr>
            </w:pPr>
            <w:r>
              <w:rPr>
                <w:sz w:val="18"/>
                <w:szCs w:val="24"/>
              </w:rPr>
              <w:t>0,3</w:t>
            </w:r>
          </w:p>
        </w:tc>
        <w:tc>
          <w:tcPr>
            <w:tcW w:w="954" w:type="dxa"/>
            <w:vAlign w:val="center"/>
          </w:tcPr>
          <w:p w:rsidR="00F92819" w:rsidRDefault="00F92819">
            <w:pPr>
              <w:spacing w:before="40" w:after="40" w:line="220" w:lineRule="exact"/>
              <w:jc w:val="right"/>
              <w:rPr>
                <w:sz w:val="18"/>
                <w:szCs w:val="24"/>
              </w:rPr>
            </w:pPr>
            <w:r>
              <w:rPr>
                <w:sz w:val="18"/>
                <w:szCs w:val="24"/>
              </w:rPr>
              <w:t>-</w:t>
            </w:r>
          </w:p>
        </w:tc>
        <w:tc>
          <w:tcPr>
            <w:tcW w:w="800" w:type="dxa"/>
            <w:vAlign w:val="center"/>
          </w:tcPr>
          <w:p w:rsidR="00F92819" w:rsidRDefault="00F92819">
            <w:pPr>
              <w:spacing w:before="40" w:after="40" w:line="220" w:lineRule="exact"/>
              <w:jc w:val="right"/>
              <w:rPr>
                <w:sz w:val="18"/>
                <w:szCs w:val="24"/>
              </w:rPr>
            </w:pPr>
            <w:r>
              <w:rPr>
                <w:sz w:val="18"/>
                <w:szCs w:val="24"/>
              </w:rPr>
              <w:t>-</w:t>
            </w:r>
          </w:p>
        </w:tc>
        <w:tc>
          <w:tcPr>
            <w:tcW w:w="939" w:type="dxa"/>
            <w:vAlign w:val="center"/>
          </w:tcPr>
          <w:p w:rsidR="00F92819" w:rsidRDefault="00F92819">
            <w:pPr>
              <w:spacing w:before="40" w:after="40" w:line="220" w:lineRule="exact"/>
              <w:jc w:val="right"/>
              <w:rPr>
                <w:sz w:val="18"/>
                <w:szCs w:val="24"/>
              </w:rPr>
            </w:pPr>
            <w:r>
              <w:rPr>
                <w:sz w:val="18"/>
                <w:szCs w:val="24"/>
              </w:rPr>
              <w:t>5</w:t>
            </w:r>
          </w:p>
        </w:tc>
      </w:tr>
      <w:tr w:rsidR="00F92819">
        <w:tc>
          <w:tcPr>
            <w:tcW w:w="2552" w:type="dxa"/>
          </w:tcPr>
          <w:p w:rsidR="00F92819" w:rsidRDefault="00F92819">
            <w:pPr>
              <w:spacing w:before="40" w:after="40" w:line="220" w:lineRule="exact"/>
              <w:rPr>
                <w:szCs w:val="24"/>
              </w:rPr>
            </w:pPr>
            <w:r>
              <w:rPr>
                <w:sz w:val="18"/>
                <w:szCs w:val="24"/>
                <w:lang w:val="es-ES_tradnl"/>
              </w:rPr>
              <w:t>Leche y productos lácteos</w:t>
            </w:r>
          </w:p>
        </w:tc>
        <w:tc>
          <w:tcPr>
            <w:tcW w:w="850" w:type="dxa"/>
            <w:vAlign w:val="center"/>
          </w:tcPr>
          <w:p w:rsidR="00F92819" w:rsidRDefault="00F92819">
            <w:pPr>
              <w:spacing w:before="40" w:after="40" w:line="220" w:lineRule="exact"/>
              <w:jc w:val="right"/>
              <w:rPr>
                <w:sz w:val="18"/>
                <w:szCs w:val="24"/>
              </w:rPr>
            </w:pPr>
            <w:r>
              <w:rPr>
                <w:sz w:val="18"/>
                <w:szCs w:val="24"/>
              </w:rPr>
              <w:t>0,2</w:t>
            </w:r>
          </w:p>
        </w:tc>
        <w:tc>
          <w:tcPr>
            <w:tcW w:w="850" w:type="dxa"/>
            <w:vAlign w:val="center"/>
          </w:tcPr>
          <w:p w:rsidR="00F92819" w:rsidRDefault="00F92819">
            <w:pPr>
              <w:spacing w:before="40" w:after="40" w:line="220" w:lineRule="exact"/>
              <w:jc w:val="right"/>
              <w:rPr>
                <w:sz w:val="18"/>
                <w:szCs w:val="24"/>
              </w:rPr>
            </w:pPr>
            <w:r>
              <w:rPr>
                <w:sz w:val="18"/>
                <w:szCs w:val="24"/>
              </w:rPr>
              <w:t>532</w:t>
            </w:r>
          </w:p>
        </w:tc>
        <w:tc>
          <w:tcPr>
            <w:tcW w:w="851" w:type="dxa"/>
            <w:vAlign w:val="center"/>
          </w:tcPr>
          <w:p w:rsidR="00F92819" w:rsidRDefault="00F92819">
            <w:pPr>
              <w:spacing w:before="40" w:after="40" w:line="220" w:lineRule="exact"/>
              <w:jc w:val="right"/>
              <w:rPr>
                <w:sz w:val="18"/>
                <w:szCs w:val="24"/>
              </w:rPr>
            </w:pPr>
            <w:r>
              <w:rPr>
                <w:sz w:val="18"/>
                <w:szCs w:val="24"/>
              </w:rPr>
              <w:t>5</w:t>
            </w:r>
          </w:p>
        </w:tc>
        <w:tc>
          <w:tcPr>
            <w:tcW w:w="709" w:type="dxa"/>
            <w:vAlign w:val="center"/>
          </w:tcPr>
          <w:p w:rsidR="00F92819" w:rsidRDefault="00F92819">
            <w:pPr>
              <w:spacing w:before="40" w:after="40" w:line="220" w:lineRule="exact"/>
              <w:jc w:val="right"/>
              <w:rPr>
                <w:sz w:val="18"/>
                <w:szCs w:val="24"/>
              </w:rPr>
            </w:pPr>
            <w:r>
              <w:rPr>
                <w:sz w:val="18"/>
                <w:szCs w:val="24"/>
              </w:rPr>
              <w:t>0,4</w:t>
            </w:r>
          </w:p>
        </w:tc>
        <w:tc>
          <w:tcPr>
            <w:tcW w:w="954" w:type="dxa"/>
            <w:vAlign w:val="center"/>
          </w:tcPr>
          <w:p w:rsidR="00F92819" w:rsidRDefault="00F92819">
            <w:pPr>
              <w:spacing w:before="40" w:after="40" w:line="220" w:lineRule="exact"/>
              <w:jc w:val="right"/>
              <w:rPr>
                <w:sz w:val="18"/>
                <w:szCs w:val="24"/>
              </w:rPr>
            </w:pPr>
            <w:r>
              <w:rPr>
                <w:sz w:val="18"/>
                <w:szCs w:val="24"/>
              </w:rPr>
              <w:t>0,8</w:t>
            </w:r>
          </w:p>
        </w:tc>
        <w:tc>
          <w:tcPr>
            <w:tcW w:w="800" w:type="dxa"/>
            <w:vAlign w:val="center"/>
          </w:tcPr>
          <w:p w:rsidR="00F92819" w:rsidRDefault="00F92819">
            <w:pPr>
              <w:spacing w:before="40" w:after="40" w:line="220" w:lineRule="exact"/>
              <w:jc w:val="right"/>
              <w:rPr>
                <w:sz w:val="18"/>
                <w:szCs w:val="24"/>
              </w:rPr>
            </w:pPr>
            <w:r>
              <w:rPr>
                <w:sz w:val="18"/>
                <w:szCs w:val="24"/>
              </w:rPr>
              <w:t>0,2</w:t>
            </w:r>
          </w:p>
        </w:tc>
        <w:tc>
          <w:tcPr>
            <w:tcW w:w="939" w:type="dxa"/>
            <w:vAlign w:val="center"/>
          </w:tcPr>
          <w:p w:rsidR="00F92819" w:rsidRDefault="00F92819">
            <w:pPr>
              <w:spacing w:before="40" w:after="40" w:line="220" w:lineRule="exact"/>
              <w:jc w:val="right"/>
              <w:rPr>
                <w:sz w:val="18"/>
                <w:szCs w:val="24"/>
              </w:rPr>
            </w:pPr>
            <w:r>
              <w:rPr>
                <w:sz w:val="18"/>
                <w:szCs w:val="24"/>
              </w:rPr>
              <w:t>502</w:t>
            </w:r>
          </w:p>
        </w:tc>
      </w:tr>
      <w:tr w:rsidR="00F92819">
        <w:tc>
          <w:tcPr>
            <w:tcW w:w="2552" w:type="dxa"/>
          </w:tcPr>
          <w:p w:rsidR="00F92819" w:rsidRDefault="00F92819">
            <w:pPr>
              <w:spacing w:before="40" w:after="40" w:line="220" w:lineRule="exact"/>
              <w:rPr>
                <w:szCs w:val="24"/>
              </w:rPr>
            </w:pPr>
            <w:r>
              <w:rPr>
                <w:sz w:val="18"/>
                <w:szCs w:val="24"/>
                <w:lang w:val="es-ES_tradnl"/>
              </w:rPr>
              <w:t>Bebidas</w:t>
            </w:r>
          </w:p>
        </w:tc>
        <w:tc>
          <w:tcPr>
            <w:tcW w:w="850" w:type="dxa"/>
            <w:vAlign w:val="center"/>
          </w:tcPr>
          <w:p w:rsidR="00F92819" w:rsidRDefault="00F92819">
            <w:pPr>
              <w:spacing w:before="40" w:after="40" w:line="220" w:lineRule="exact"/>
              <w:jc w:val="right"/>
              <w:rPr>
                <w:sz w:val="18"/>
                <w:szCs w:val="24"/>
              </w:rPr>
            </w:pPr>
            <w:r>
              <w:rPr>
                <w:sz w:val="18"/>
                <w:szCs w:val="24"/>
              </w:rPr>
              <w:t>-</w:t>
            </w:r>
          </w:p>
        </w:tc>
        <w:tc>
          <w:tcPr>
            <w:tcW w:w="850" w:type="dxa"/>
            <w:vAlign w:val="center"/>
          </w:tcPr>
          <w:p w:rsidR="00F92819" w:rsidRDefault="00F92819">
            <w:pPr>
              <w:spacing w:before="40" w:after="40" w:line="220" w:lineRule="exact"/>
              <w:jc w:val="right"/>
              <w:rPr>
                <w:sz w:val="18"/>
                <w:szCs w:val="24"/>
              </w:rPr>
            </w:pPr>
            <w:r>
              <w:rPr>
                <w:sz w:val="18"/>
                <w:szCs w:val="24"/>
              </w:rPr>
              <w:t>5</w:t>
            </w:r>
          </w:p>
        </w:tc>
        <w:tc>
          <w:tcPr>
            <w:tcW w:w="851" w:type="dxa"/>
            <w:vAlign w:val="center"/>
          </w:tcPr>
          <w:p w:rsidR="00F92819" w:rsidRDefault="00F92819">
            <w:pPr>
              <w:spacing w:before="40" w:after="40" w:line="220" w:lineRule="exact"/>
              <w:jc w:val="right"/>
              <w:rPr>
                <w:sz w:val="18"/>
                <w:szCs w:val="24"/>
              </w:rPr>
            </w:pPr>
            <w:r>
              <w:rPr>
                <w:sz w:val="18"/>
                <w:szCs w:val="24"/>
              </w:rPr>
              <w:t>-</w:t>
            </w:r>
          </w:p>
        </w:tc>
        <w:tc>
          <w:tcPr>
            <w:tcW w:w="709" w:type="dxa"/>
            <w:vAlign w:val="center"/>
          </w:tcPr>
          <w:p w:rsidR="00F92819" w:rsidRDefault="00F92819">
            <w:pPr>
              <w:spacing w:before="40" w:after="40" w:line="220" w:lineRule="exact"/>
              <w:jc w:val="right"/>
              <w:rPr>
                <w:sz w:val="18"/>
                <w:szCs w:val="24"/>
              </w:rPr>
            </w:pPr>
            <w:r>
              <w:rPr>
                <w:sz w:val="18"/>
                <w:szCs w:val="24"/>
              </w:rPr>
              <w:t>-</w:t>
            </w:r>
          </w:p>
        </w:tc>
        <w:tc>
          <w:tcPr>
            <w:tcW w:w="954" w:type="dxa"/>
            <w:vAlign w:val="center"/>
          </w:tcPr>
          <w:p w:rsidR="00F92819" w:rsidRDefault="00F92819">
            <w:pPr>
              <w:spacing w:before="40" w:after="40" w:line="220" w:lineRule="exact"/>
              <w:jc w:val="right"/>
              <w:rPr>
                <w:sz w:val="18"/>
                <w:szCs w:val="24"/>
              </w:rPr>
            </w:pPr>
            <w:r>
              <w:rPr>
                <w:sz w:val="18"/>
                <w:szCs w:val="24"/>
              </w:rPr>
              <w:t>-</w:t>
            </w:r>
          </w:p>
        </w:tc>
        <w:tc>
          <w:tcPr>
            <w:tcW w:w="800" w:type="dxa"/>
            <w:vAlign w:val="center"/>
          </w:tcPr>
          <w:p w:rsidR="00F92819" w:rsidRDefault="00F92819">
            <w:pPr>
              <w:spacing w:before="40" w:after="40" w:line="220" w:lineRule="exact"/>
              <w:jc w:val="right"/>
              <w:rPr>
                <w:sz w:val="18"/>
                <w:szCs w:val="24"/>
              </w:rPr>
            </w:pPr>
            <w:r>
              <w:rPr>
                <w:sz w:val="18"/>
                <w:szCs w:val="24"/>
              </w:rPr>
              <w:t>-</w:t>
            </w:r>
          </w:p>
        </w:tc>
        <w:tc>
          <w:tcPr>
            <w:tcW w:w="939" w:type="dxa"/>
            <w:vAlign w:val="center"/>
          </w:tcPr>
          <w:p w:rsidR="00F92819" w:rsidRDefault="00F92819">
            <w:pPr>
              <w:spacing w:before="40" w:after="40" w:line="220" w:lineRule="exact"/>
              <w:jc w:val="right"/>
              <w:rPr>
                <w:sz w:val="18"/>
                <w:szCs w:val="24"/>
              </w:rPr>
            </w:pPr>
            <w:r>
              <w:rPr>
                <w:sz w:val="18"/>
                <w:szCs w:val="24"/>
              </w:rPr>
              <w:t>-</w:t>
            </w:r>
          </w:p>
        </w:tc>
      </w:tr>
      <w:tr w:rsidR="00F92819">
        <w:tc>
          <w:tcPr>
            <w:tcW w:w="2552" w:type="dxa"/>
            <w:tcBorders>
              <w:bottom w:val="single" w:sz="4" w:space="0" w:color="auto"/>
            </w:tcBorders>
          </w:tcPr>
          <w:p w:rsidR="00F92819" w:rsidRDefault="00F92819">
            <w:pPr>
              <w:keepNext/>
              <w:keepLines/>
              <w:spacing w:before="80" w:after="80" w:line="200" w:lineRule="exact"/>
              <w:rPr>
                <w:sz w:val="18"/>
                <w:szCs w:val="24"/>
              </w:rPr>
            </w:pPr>
            <w:r>
              <w:rPr>
                <w:i/>
                <w:sz w:val="16"/>
                <w:szCs w:val="24"/>
              </w:rPr>
              <w:t>2006</w:t>
            </w:r>
          </w:p>
        </w:tc>
        <w:tc>
          <w:tcPr>
            <w:tcW w:w="850" w:type="dxa"/>
            <w:tcBorders>
              <w:bottom w:val="single" w:sz="4" w:space="0" w:color="auto"/>
            </w:tcBorders>
            <w:vAlign w:val="center"/>
          </w:tcPr>
          <w:p w:rsidR="00F92819" w:rsidRDefault="00F92819">
            <w:pPr>
              <w:keepNext/>
              <w:keepLines/>
              <w:spacing w:before="40" w:after="40" w:line="220" w:lineRule="exact"/>
              <w:jc w:val="right"/>
              <w:rPr>
                <w:sz w:val="18"/>
                <w:szCs w:val="24"/>
              </w:rPr>
            </w:pPr>
          </w:p>
        </w:tc>
        <w:tc>
          <w:tcPr>
            <w:tcW w:w="850" w:type="dxa"/>
            <w:tcBorders>
              <w:bottom w:val="single" w:sz="4" w:space="0" w:color="auto"/>
            </w:tcBorders>
            <w:vAlign w:val="center"/>
          </w:tcPr>
          <w:p w:rsidR="00F92819" w:rsidRDefault="00F92819">
            <w:pPr>
              <w:keepNext/>
              <w:keepLines/>
              <w:spacing w:before="40" w:after="40" w:line="220" w:lineRule="exact"/>
              <w:jc w:val="right"/>
              <w:rPr>
                <w:sz w:val="18"/>
                <w:szCs w:val="24"/>
              </w:rPr>
            </w:pPr>
          </w:p>
        </w:tc>
        <w:tc>
          <w:tcPr>
            <w:tcW w:w="851" w:type="dxa"/>
            <w:tcBorders>
              <w:bottom w:val="single" w:sz="4" w:space="0" w:color="auto"/>
            </w:tcBorders>
            <w:vAlign w:val="center"/>
          </w:tcPr>
          <w:p w:rsidR="00F92819" w:rsidRDefault="00F92819">
            <w:pPr>
              <w:keepNext/>
              <w:keepLines/>
              <w:spacing w:before="40" w:after="40" w:line="220" w:lineRule="exact"/>
              <w:jc w:val="right"/>
              <w:rPr>
                <w:sz w:val="18"/>
                <w:szCs w:val="24"/>
              </w:rPr>
            </w:pPr>
          </w:p>
        </w:tc>
        <w:tc>
          <w:tcPr>
            <w:tcW w:w="709" w:type="dxa"/>
            <w:tcBorders>
              <w:bottom w:val="single" w:sz="4" w:space="0" w:color="auto"/>
            </w:tcBorders>
            <w:vAlign w:val="center"/>
          </w:tcPr>
          <w:p w:rsidR="00F92819" w:rsidRDefault="00F92819">
            <w:pPr>
              <w:keepNext/>
              <w:keepLines/>
              <w:spacing w:before="40" w:after="40" w:line="220" w:lineRule="exact"/>
              <w:jc w:val="right"/>
              <w:rPr>
                <w:sz w:val="18"/>
                <w:szCs w:val="24"/>
              </w:rPr>
            </w:pPr>
          </w:p>
        </w:tc>
        <w:tc>
          <w:tcPr>
            <w:tcW w:w="954" w:type="dxa"/>
            <w:tcBorders>
              <w:bottom w:val="single" w:sz="4" w:space="0" w:color="auto"/>
            </w:tcBorders>
            <w:vAlign w:val="center"/>
          </w:tcPr>
          <w:p w:rsidR="00F92819" w:rsidRDefault="00F92819">
            <w:pPr>
              <w:keepNext/>
              <w:keepLines/>
              <w:spacing w:before="40" w:after="40" w:line="220" w:lineRule="exact"/>
              <w:jc w:val="right"/>
              <w:rPr>
                <w:sz w:val="18"/>
                <w:szCs w:val="24"/>
              </w:rPr>
            </w:pPr>
          </w:p>
        </w:tc>
        <w:tc>
          <w:tcPr>
            <w:tcW w:w="800" w:type="dxa"/>
            <w:tcBorders>
              <w:bottom w:val="single" w:sz="4" w:space="0" w:color="auto"/>
            </w:tcBorders>
            <w:vAlign w:val="center"/>
          </w:tcPr>
          <w:p w:rsidR="00F92819" w:rsidRDefault="00F92819">
            <w:pPr>
              <w:keepNext/>
              <w:keepLines/>
              <w:spacing w:before="40" w:after="40" w:line="220" w:lineRule="exact"/>
              <w:jc w:val="right"/>
              <w:rPr>
                <w:sz w:val="18"/>
                <w:szCs w:val="24"/>
              </w:rPr>
            </w:pPr>
          </w:p>
        </w:tc>
        <w:tc>
          <w:tcPr>
            <w:tcW w:w="939" w:type="dxa"/>
            <w:tcBorders>
              <w:bottom w:val="single" w:sz="4" w:space="0" w:color="auto"/>
            </w:tcBorders>
            <w:vAlign w:val="center"/>
          </w:tcPr>
          <w:p w:rsidR="00F92819" w:rsidRDefault="00F92819">
            <w:pPr>
              <w:keepNext/>
              <w:keepLines/>
              <w:spacing w:before="40" w:after="40" w:line="220" w:lineRule="exact"/>
              <w:jc w:val="right"/>
              <w:rPr>
                <w:sz w:val="18"/>
                <w:szCs w:val="24"/>
              </w:rPr>
            </w:pPr>
          </w:p>
        </w:tc>
      </w:tr>
      <w:tr w:rsidR="00F92819">
        <w:tc>
          <w:tcPr>
            <w:tcW w:w="2552" w:type="dxa"/>
            <w:tcBorders>
              <w:top w:val="single" w:sz="4" w:space="0" w:color="auto"/>
              <w:bottom w:val="single" w:sz="4" w:space="0" w:color="auto"/>
            </w:tcBorders>
          </w:tcPr>
          <w:p w:rsidR="00F92819" w:rsidRDefault="00F92819">
            <w:pPr>
              <w:keepNext/>
              <w:keepLines/>
              <w:spacing w:before="80" w:after="80" w:line="220" w:lineRule="exact"/>
              <w:ind w:left="284"/>
              <w:rPr>
                <w:szCs w:val="24"/>
              </w:rPr>
            </w:pPr>
            <w:r>
              <w:rPr>
                <w:b/>
                <w:sz w:val="18"/>
                <w:szCs w:val="24"/>
                <w:lang w:val="es-ES_tradnl"/>
              </w:rPr>
              <w:t>Total</w:t>
            </w:r>
          </w:p>
        </w:tc>
        <w:tc>
          <w:tcPr>
            <w:tcW w:w="850"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27,8</w:t>
            </w:r>
          </w:p>
        </w:tc>
        <w:tc>
          <w:tcPr>
            <w:tcW w:w="850"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892</w:t>
            </w:r>
          </w:p>
        </w:tc>
        <w:tc>
          <w:tcPr>
            <w:tcW w:w="851"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205</w:t>
            </w:r>
          </w:p>
        </w:tc>
        <w:tc>
          <w:tcPr>
            <w:tcW w:w="709"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35,2</w:t>
            </w:r>
          </w:p>
        </w:tc>
        <w:tc>
          <w:tcPr>
            <w:tcW w:w="954"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1,7</w:t>
            </w:r>
          </w:p>
        </w:tc>
        <w:tc>
          <w:tcPr>
            <w:tcW w:w="800"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2,4</w:t>
            </w:r>
          </w:p>
        </w:tc>
        <w:tc>
          <w:tcPr>
            <w:tcW w:w="939"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7 056</w:t>
            </w:r>
          </w:p>
        </w:tc>
      </w:tr>
      <w:tr w:rsidR="00F92819">
        <w:tc>
          <w:tcPr>
            <w:tcW w:w="2552" w:type="dxa"/>
            <w:tcBorders>
              <w:top w:val="single" w:sz="4" w:space="0" w:color="auto"/>
            </w:tcBorders>
          </w:tcPr>
          <w:p w:rsidR="00F92819" w:rsidRDefault="00F92819">
            <w:pPr>
              <w:keepNext/>
              <w:keepLines/>
              <w:spacing w:before="40" w:after="40" w:line="220" w:lineRule="exact"/>
              <w:rPr>
                <w:szCs w:val="24"/>
              </w:rPr>
            </w:pPr>
            <w:r>
              <w:rPr>
                <w:sz w:val="18"/>
                <w:szCs w:val="24"/>
                <w:lang w:val="es-ES_tradnl"/>
              </w:rPr>
              <w:t>Cereales y productos de cereales</w:t>
            </w:r>
          </w:p>
        </w:tc>
        <w:tc>
          <w:tcPr>
            <w:tcW w:w="850"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17,7</w:t>
            </w:r>
          </w:p>
        </w:tc>
        <w:tc>
          <w:tcPr>
            <w:tcW w:w="850"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120</w:t>
            </w:r>
          </w:p>
        </w:tc>
        <w:tc>
          <w:tcPr>
            <w:tcW w:w="851"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w:t>
            </w:r>
          </w:p>
        </w:tc>
        <w:tc>
          <w:tcPr>
            <w:tcW w:w="709"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16,1</w:t>
            </w:r>
          </w:p>
        </w:tc>
        <w:tc>
          <w:tcPr>
            <w:tcW w:w="954"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0,3</w:t>
            </w:r>
          </w:p>
        </w:tc>
        <w:tc>
          <w:tcPr>
            <w:tcW w:w="800"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1,3</w:t>
            </w:r>
          </w:p>
        </w:tc>
        <w:tc>
          <w:tcPr>
            <w:tcW w:w="939"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w:t>
            </w:r>
          </w:p>
        </w:tc>
      </w:tr>
      <w:tr w:rsidR="00F92819">
        <w:tc>
          <w:tcPr>
            <w:tcW w:w="2552" w:type="dxa"/>
          </w:tcPr>
          <w:p w:rsidR="00F92819" w:rsidRDefault="00F92819">
            <w:pPr>
              <w:keepNext/>
              <w:keepLines/>
              <w:spacing w:before="40" w:after="40" w:line="220" w:lineRule="exact"/>
              <w:rPr>
                <w:szCs w:val="24"/>
              </w:rPr>
            </w:pPr>
            <w:r>
              <w:rPr>
                <w:sz w:val="18"/>
                <w:szCs w:val="24"/>
                <w:lang w:val="es-ES_tradnl"/>
              </w:rPr>
              <w:t>Patatas y féculas</w:t>
            </w:r>
          </w:p>
        </w:tc>
        <w:tc>
          <w:tcPr>
            <w:tcW w:w="850" w:type="dxa"/>
            <w:vAlign w:val="center"/>
          </w:tcPr>
          <w:p w:rsidR="00F92819" w:rsidRDefault="00F92819">
            <w:pPr>
              <w:keepNext/>
              <w:keepLines/>
              <w:spacing w:before="40" w:after="40" w:line="220" w:lineRule="exact"/>
              <w:jc w:val="right"/>
              <w:rPr>
                <w:sz w:val="18"/>
                <w:szCs w:val="24"/>
              </w:rPr>
            </w:pPr>
            <w:r>
              <w:rPr>
                <w:sz w:val="18"/>
                <w:szCs w:val="24"/>
              </w:rPr>
              <w:t>0,7</w:t>
            </w:r>
          </w:p>
        </w:tc>
        <w:tc>
          <w:tcPr>
            <w:tcW w:w="850" w:type="dxa"/>
            <w:vAlign w:val="center"/>
          </w:tcPr>
          <w:p w:rsidR="00F92819" w:rsidRDefault="00F92819">
            <w:pPr>
              <w:keepNext/>
              <w:keepLines/>
              <w:spacing w:before="40" w:after="40" w:line="220" w:lineRule="exact"/>
              <w:jc w:val="right"/>
              <w:rPr>
                <w:sz w:val="18"/>
                <w:szCs w:val="24"/>
              </w:rPr>
            </w:pPr>
            <w:r>
              <w:rPr>
                <w:sz w:val="18"/>
                <w:szCs w:val="24"/>
              </w:rPr>
              <w:t>6</w:t>
            </w:r>
          </w:p>
        </w:tc>
        <w:tc>
          <w:tcPr>
            <w:tcW w:w="851" w:type="dxa"/>
            <w:vAlign w:val="center"/>
          </w:tcPr>
          <w:p w:rsidR="00F92819" w:rsidRDefault="00F92819">
            <w:pPr>
              <w:keepNext/>
              <w:keepLines/>
              <w:spacing w:before="40" w:after="40" w:line="220" w:lineRule="exact"/>
              <w:jc w:val="right"/>
              <w:rPr>
                <w:sz w:val="18"/>
                <w:szCs w:val="24"/>
              </w:rPr>
            </w:pPr>
            <w:r>
              <w:rPr>
                <w:sz w:val="18"/>
                <w:szCs w:val="24"/>
              </w:rPr>
              <w:t>17</w:t>
            </w:r>
          </w:p>
        </w:tc>
        <w:tc>
          <w:tcPr>
            <w:tcW w:w="709" w:type="dxa"/>
            <w:vAlign w:val="center"/>
          </w:tcPr>
          <w:p w:rsidR="00F92819" w:rsidRDefault="00F92819">
            <w:pPr>
              <w:keepNext/>
              <w:keepLines/>
              <w:spacing w:before="40" w:after="40" w:line="220" w:lineRule="exact"/>
              <w:jc w:val="right"/>
              <w:rPr>
                <w:sz w:val="18"/>
                <w:szCs w:val="24"/>
              </w:rPr>
            </w:pPr>
            <w:r>
              <w:rPr>
                <w:sz w:val="18"/>
                <w:szCs w:val="24"/>
              </w:rPr>
              <w:t>1,2</w:t>
            </w:r>
          </w:p>
        </w:tc>
        <w:tc>
          <w:tcPr>
            <w:tcW w:w="954" w:type="dxa"/>
            <w:vAlign w:val="center"/>
          </w:tcPr>
          <w:p w:rsidR="00F92819" w:rsidRDefault="00F92819">
            <w:pPr>
              <w:keepNext/>
              <w:keepLines/>
              <w:spacing w:before="40" w:after="40" w:line="220" w:lineRule="exact"/>
              <w:jc w:val="right"/>
              <w:rPr>
                <w:sz w:val="18"/>
                <w:szCs w:val="24"/>
              </w:rPr>
            </w:pPr>
            <w:r>
              <w:rPr>
                <w:sz w:val="18"/>
                <w:szCs w:val="24"/>
              </w:rPr>
              <w:t>-</w:t>
            </w:r>
          </w:p>
        </w:tc>
        <w:tc>
          <w:tcPr>
            <w:tcW w:w="800" w:type="dxa"/>
            <w:vAlign w:val="center"/>
          </w:tcPr>
          <w:p w:rsidR="00F92819" w:rsidRDefault="00F92819">
            <w:pPr>
              <w:keepNext/>
              <w:keepLines/>
              <w:spacing w:before="40" w:after="40" w:line="220" w:lineRule="exact"/>
              <w:jc w:val="right"/>
              <w:rPr>
                <w:sz w:val="18"/>
                <w:szCs w:val="24"/>
              </w:rPr>
            </w:pPr>
            <w:r>
              <w:rPr>
                <w:sz w:val="18"/>
                <w:szCs w:val="24"/>
              </w:rPr>
              <w:t>0,1</w:t>
            </w:r>
          </w:p>
        </w:tc>
        <w:tc>
          <w:tcPr>
            <w:tcW w:w="939" w:type="dxa"/>
            <w:vAlign w:val="center"/>
          </w:tcPr>
          <w:p w:rsidR="00F92819" w:rsidRDefault="00F92819">
            <w:pPr>
              <w:keepNext/>
              <w:keepLines/>
              <w:spacing w:before="40" w:after="40" w:line="220" w:lineRule="exact"/>
              <w:jc w:val="right"/>
              <w:rPr>
                <w:sz w:val="18"/>
                <w:szCs w:val="24"/>
              </w:rPr>
            </w:pPr>
            <w:r>
              <w:rPr>
                <w:sz w:val="18"/>
                <w:szCs w:val="24"/>
              </w:rPr>
              <w:t>-</w:t>
            </w:r>
          </w:p>
        </w:tc>
      </w:tr>
      <w:tr w:rsidR="00F92819">
        <w:tc>
          <w:tcPr>
            <w:tcW w:w="2552" w:type="dxa"/>
          </w:tcPr>
          <w:p w:rsidR="00F92819" w:rsidRDefault="00F92819">
            <w:pPr>
              <w:spacing w:before="40" w:after="40" w:line="220" w:lineRule="exact"/>
              <w:rPr>
                <w:szCs w:val="24"/>
              </w:rPr>
            </w:pPr>
            <w:r>
              <w:rPr>
                <w:sz w:val="18"/>
                <w:szCs w:val="24"/>
                <w:lang w:val="es-ES_tradnl"/>
              </w:rPr>
              <w:t>Azúcar, dulces y miel</w:t>
            </w:r>
          </w:p>
        </w:tc>
        <w:tc>
          <w:tcPr>
            <w:tcW w:w="850" w:type="dxa"/>
            <w:vAlign w:val="center"/>
          </w:tcPr>
          <w:p w:rsidR="00F92819" w:rsidRDefault="00F92819">
            <w:pPr>
              <w:spacing w:before="40" w:after="40" w:line="220" w:lineRule="exact"/>
              <w:jc w:val="right"/>
              <w:rPr>
                <w:sz w:val="18"/>
                <w:szCs w:val="24"/>
              </w:rPr>
            </w:pPr>
            <w:r>
              <w:rPr>
                <w:sz w:val="18"/>
                <w:szCs w:val="24"/>
              </w:rPr>
              <w:t>-</w:t>
            </w:r>
          </w:p>
        </w:tc>
        <w:tc>
          <w:tcPr>
            <w:tcW w:w="850" w:type="dxa"/>
            <w:vAlign w:val="center"/>
          </w:tcPr>
          <w:p w:rsidR="00F92819" w:rsidRDefault="00F92819">
            <w:pPr>
              <w:spacing w:before="40" w:after="40" w:line="220" w:lineRule="exact"/>
              <w:jc w:val="right"/>
              <w:rPr>
                <w:sz w:val="18"/>
                <w:szCs w:val="24"/>
              </w:rPr>
            </w:pPr>
            <w:r>
              <w:rPr>
                <w:sz w:val="18"/>
                <w:szCs w:val="24"/>
              </w:rPr>
              <w:t>1</w:t>
            </w:r>
          </w:p>
        </w:tc>
        <w:tc>
          <w:tcPr>
            <w:tcW w:w="851" w:type="dxa"/>
            <w:vAlign w:val="center"/>
          </w:tcPr>
          <w:p w:rsidR="00F92819" w:rsidRDefault="00F92819">
            <w:pPr>
              <w:spacing w:before="40" w:after="40" w:line="220" w:lineRule="exact"/>
              <w:jc w:val="right"/>
              <w:rPr>
                <w:sz w:val="18"/>
                <w:szCs w:val="24"/>
              </w:rPr>
            </w:pPr>
            <w:r>
              <w:rPr>
                <w:sz w:val="18"/>
                <w:szCs w:val="24"/>
              </w:rPr>
              <w:t>-</w:t>
            </w:r>
          </w:p>
        </w:tc>
        <w:tc>
          <w:tcPr>
            <w:tcW w:w="709" w:type="dxa"/>
            <w:vAlign w:val="center"/>
          </w:tcPr>
          <w:p w:rsidR="00F92819" w:rsidRDefault="00F92819">
            <w:pPr>
              <w:spacing w:before="40" w:after="40" w:line="220" w:lineRule="exact"/>
              <w:jc w:val="right"/>
              <w:rPr>
                <w:sz w:val="18"/>
                <w:szCs w:val="24"/>
              </w:rPr>
            </w:pPr>
            <w:r>
              <w:rPr>
                <w:sz w:val="18"/>
                <w:szCs w:val="24"/>
              </w:rPr>
              <w:t>-</w:t>
            </w:r>
          </w:p>
        </w:tc>
        <w:tc>
          <w:tcPr>
            <w:tcW w:w="954" w:type="dxa"/>
            <w:vAlign w:val="center"/>
          </w:tcPr>
          <w:p w:rsidR="00F92819" w:rsidRDefault="00F92819">
            <w:pPr>
              <w:spacing w:before="40" w:after="40" w:line="220" w:lineRule="exact"/>
              <w:jc w:val="right"/>
              <w:rPr>
                <w:sz w:val="18"/>
                <w:szCs w:val="24"/>
              </w:rPr>
            </w:pPr>
            <w:r>
              <w:rPr>
                <w:sz w:val="18"/>
                <w:szCs w:val="24"/>
              </w:rPr>
              <w:t>-</w:t>
            </w:r>
          </w:p>
        </w:tc>
        <w:tc>
          <w:tcPr>
            <w:tcW w:w="800" w:type="dxa"/>
            <w:vAlign w:val="center"/>
          </w:tcPr>
          <w:p w:rsidR="00F92819" w:rsidRDefault="00F92819">
            <w:pPr>
              <w:spacing w:before="40" w:after="40" w:line="220" w:lineRule="exact"/>
              <w:jc w:val="right"/>
              <w:rPr>
                <w:sz w:val="18"/>
                <w:szCs w:val="24"/>
              </w:rPr>
            </w:pPr>
            <w:r>
              <w:rPr>
                <w:sz w:val="18"/>
                <w:szCs w:val="24"/>
              </w:rPr>
              <w:t>-</w:t>
            </w:r>
          </w:p>
        </w:tc>
        <w:tc>
          <w:tcPr>
            <w:tcW w:w="939" w:type="dxa"/>
            <w:vAlign w:val="center"/>
          </w:tcPr>
          <w:p w:rsidR="00F92819" w:rsidRDefault="00F92819">
            <w:pPr>
              <w:spacing w:before="40" w:after="40" w:line="220" w:lineRule="exact"/>
              <w:jc w:val="right"/>
              <w:rPr>
                <w:sz w:val="18"/>
                <w:szCs w:val="24"/>
              </w:rPr>
            </w:pPr>
            <w:r>
              <w:rPr>
                <w:sz w:val="18"/>
                <w:szCs w:val="24"/>
              </w:rPr>
              <w:t>-</w:t>
            </w:r>
          </w:p>
        </w:tc>
      </w:tr>
      <w:tr w:rsidR="00F92819">
        <w:tc>
          <w:tcPr>
            <w:tcW w:w="2552" w:type="dxa"/>
          </w:tcPr>
          <w:p w:rsidR="00F92819" w:rsidRDefault="00F92819">
            <w:pPr>
              <w:spacing w:before="40" w:after="40" w:line="220" w:lineRule="exact"/>
              <w:rPr>
                <w:szCs w:val="24"/>
              </w:rPr>
            </w:pPr>
            <w:r>
              <w:rPr>
                <w:sz w:val="18"/>
                <w:szCs w:val="24"/>
                <w:lang w:val="es-ES_tradnl"/>
              </w:rPr>
              <w:t>Legumbres</w:t>
            </w:r>
          </w:p>
        </w:tc>
        <w:tc>
          <w:tcPr>
            <w:tcW w:w="850" w:type="dxa"/>
            <w:vAlign w:val="center"/>
          </w:tcPr>
          <w:p w:rsidR="00F92819" w:rsidRDefault="00F92819">
            <w:pPr>
              <w:spacing w:before="40" w:after="40" w:line="220" w:lineRule="exact"/>
              <w:jc w:val="right"/>
              <w:rPr>
                <w:sz w:val="18"/>
                <w:szCs w:val="24"/>
              </w:rPr>
            </w:pPr>
            <w:r>
              <w:rPr>
                <w:sz w:val="18"/>
                <w:szCs w:val="24"/>
              </w:rPr>
              <w:t>3,1</w:t>
            </w:r>
          </w:p>
        </w:tc>
        <w:tc>
          <w:tcPr>
            <w:tcW w:w="850" w:type="dxa"/>
            <w:vAlign w:val="center"/>
          </w:tcPr>
          <w:p w:rsidR="00F92819" w:rsidRDefault="00F92819">
            <w:pPr>
              <w:spacing w:before="40" w:after="40" w:line="220" w:lineRule="exact"/>
              <w:jc w:val="right"/>
              <w:rPr>
                <w:sz w:val="18"/>
                <w:szCs w:val="24"/>
              </w:rPr>
            </w:pPr>
            <w:r>
              <w:rPr>
                <w:sz w:val="18"/>
                <w:szCs w:val="24"/>
              </w:rPr>
              <w:t>55</w:t>
            </w:r>
          </w:p>
        </w:tc>
        <w:tc>
          <w:tcPr>
            <w:tcW w:w="851" w:type="dxa"/>
            <w:vAlign w:val="center"/>
          </w:tcPr>
          <w:p w:rsidR="00F92819" w:rsidRDefault="00F92819">
            <w:pPr>
              <w:spacing w:before="40" w:after="40" w:line="220" w:lineRule="exact"/>
              <w:jc w:val="right"/>
              <w:rPr>
                <w:sz w:val="18"/>
                <w:szCs w:val="24"/>
              </w:rPr>
            </w:pPr>
            <w:r>
              <w:rPr>
                <w:sz w:val="18"/>
                <w:szCs w:val="24"/>
              </w:rPr>
              <w:t>1</w:t>
            </w:r>
          </w:p>
        </w:tc>
        <w:tc>
          <w:tcPr>
            <w:tcW w:w="709" w:type="dxa"/>
            <w:vAlign w:val="center"/>
          </w:tcPr>
          <w:p w:rsidR="00F92819" w:rsidRDefault="00F92819">
            <w:pPr>
              <w:spacing w:before="40" w:after="40" w:line="220" w:lineRule="exact"/>
              <w:jc w:val="right"/>
              <w:rPr>
                <w:sz w:val="18"/>
                <w:szCs w:val="24"/>
              </w:rPr>
            </w:pPr>
            <w:r>
              <w:rPr>
                <w:sz w:val="18"/>
                <w:szCs w:val="24"/>
              </w:rPr>
              <w:t>2</w:t>
            </w:r>
          </w:p>
        </w:tc>
        <w:tc>
          <w:tcPr>
            <w:tcW w:w="954" w:type="dxa"/>
            <w:vAlign w:val="center"/>
          </w:tcPr>
          <w:p w:rsidR="00F92819" w:rsidRDefault="00F92819">
            <w:pPr>
              <w:spacing w:before="40" w:after="40" w:line="220" w:lineRule="exact"/>
              <w:jc w:val="right"/>
              <w:rPr>
                <w:sz w:val="18"/>
                <w:szCs w:val="24"/>
              </w:rPr>
            </w:pPr>
            <w:r>
              <w:rPr>
                <w:sz w:val="18"/>
                <w:szCs w:val="24"/>
              </w:rPr>
              <w:t>0,1</w:t>
            </w:r>
          </w:p>
        </w:tc>
        <w:tc>
          <w:tcPr>
            <w:tcW w:w="800" w:type="dxa"/>
            <w:vAlign w:val="center"/>
          </w:tcPr>
          <w:p w:rsidR="00F92819" w:rsidRDefault="00F92819">
            <w:pPr>
              <w:spacing w:before="40" w:after="40" w:line="220" w:lineRule="exact"/>
              <w:jc w:val="right"/>
              <w:rPr>
                <w:sz w:val="18"/>
                <w:szCs w:val="24"/>
              </w:rPr>
            </w:pPr>
            <w:r>
              <w:rPr>
                <w:sz w:val="18"/>
                <w:szCs w:val="24"/>
              </w:rPr>
              <w:t>0,3</w:t>
            </w:r>
          </w:p>
        </w:tc>
        <w:tc>
          <w:tcPr>
            <w:tcW w:w="939" w:type="dxa"/>
            <w:vAlign w:val="center"/>
          </w:tcPr>
          <w:p w:rsidR="00F92819" w:rsidRDefault="00F92819">
            <w:pPr>
              <w:spacing w:before="40" w:after="40" w:line="220" w:lineRule="exact"/>
              <w:jc w:val="right"/>
              <w:rPr>
                <w:sz w:val="18"/>
                <w:szCs w:val="24"/>
              </w:rPr>
            </w:pPr>
            <w:r>
              <w:rPr>
                <w:sz w:val="18"/>
                <w:szCs w:val="24"/>
              </w:rPr>
              <w:t>22</w:t>
            </w:r>
          </w:p>
        </w:tc>
      </w:tr>
      <w:tr w:rsidR="00F92819">
        <w:tc>
          <w:tcPr>
            <w:tcW w:w="2552" w:type="dxa"/>
          </w:tcPr>
          <w:p w:rsidR="00F92819" w:rsidRDefault="00F92819">
            <w:pPr>
              <w:spacing w:before="40" w:after="40" w:line="220" w:lineRule="exact"/>
              <w:rPr>
                <w:szCs w:val="24"/>
              </w:rPr>
            </w:pPr>
            <w:r>
              <w:rPr>
                <w:sz w:val="18"/>
                <w:szCs w:val="24"/>
                <w:lang w:val="es-ES_tradnl"/>
              </w:rPr>
              <w:t>Verduras y melones</w:t>
            </w:r>
          </w:p>
        </w:tc>
        <w:tc>
          <w:tcPr>
            <w:tcW w:w="850" w:type="dxa"/>
            <w:vAlign w:val="center"/>
          </w:tcPr>
          <w:p w:rsidR="00F92819" w:rsidRDefault="00F92819">
            <w:pPr>
              <w:spacing w:before="40" w:after="40" w:line="220" w:lineRule="exact"/>
              <w:jc w:val="right"/>
              <w:rPr>
                <w:sz w:val="18"/>
                <w:szCs w:val="24"/>
              </w:rPr>
            </w:pPr>
            <w:r>
              <w:rPr>
                <w:sz w:val="18"/>
                <w:szCs w:val="24"/>
              </w:rPr>
              <w:t>2,2</w:t>
            </w:r>
          </w:p>
        </w:tc>
        <w:tc>
          <w:tcPr>
            <w:tcW w:w="850" w:type="dxa"/>
            <w:vAlign w:val="center"/>
          </w:tcPr>
          <w:p w:rsidR="00F92819" w:rsidRDefault="00F92819">
            <w:pPr>
              <w:spacing w:before="40" w:after="40" w:line="220" w:lineRule="exact"/>
              <w:jc w:val="right"/>
              <w:rPr>
                <w:sz w:val="18"/>
                <w:szCs w:val="24"/>
              </w:rPr>
            </w:pPr>
            <w:r>
              <w:rPr>
                <w:sz w:val="18"/>
                <w:szCs w:val="24"/>
              </w:rPr>
              <w:t>78</w:t>
            </w:r>
          </w:p>
        </w:tc>
        <w:tc>
          <w:tcPr>
            <w:tcW w:w="851" w:type="dxa"/>
            <w:vAlign w:val="center"/>
          </w:tcPr>
          <w:p w:rsidR="00F92819" w:rsidRDefault="00F92819">
            <w:pPr>
              <w:spacing w:before="40" w:after="40" w:line="220" w:lineRule="exact"/>
              <w:jc w:val="right"/>
              <w:rPr>
                <w:sz w:val="18"/>
                <w:szCs w:val="24"/>
              </w:rPr>
            </w:pPr>
            <w:r>
              <w:rPr>
                <w:sz w:val="18"/>
                <w:szCs w:val="24"/>
              </w:rPr>
              <w:t>104</w:t>
            </w:r>
          </w:p>
        </w:tc>
        <w:tc>
          <w:tcPr>
            <w:tcW w:w="709" w:type="dxa"/>
            <w:vAlign w:val="center"/>
          </w:tcPr>
          <w:p w:rsidR="00F92819" w:rsidRDefault="00F92819">
            <w:pPr>
              <w:spacing w:before="40" w:after="40" w:line="220" w:lineRule="exact"/>
              <w:jc w:val="right"/>
              <w:rPr>
                <w:sz w:val="18"/>
                <w:szCs w:val="24"/>
              </w:rPr>
            </w:pPr>
            <w:r>
              <w:rPr>
                <w:sz w:val="18"/>
                <w:szCs w:val="24"/>
              </w:rPr>
              <w:t>3,5</w:t>
            </w:r>
          </w:p>
        </w:tc>
        <w:tc>
          <w:tcPr>
            <w:tcW w:w="954" w:type="dxa"/>
            <w:vAlign w:val="center"/>
          </w:tcPr>
          <w:p w:rsidR="00F92819" w:rsidRDefault="00F92819">
            <w:pPr>
              <w:spacing w:before="40" w:after="40" w:line="220" w:lineRule="exact"/>
              <w:jc w:val="right"/>
              <w:rPr>
                <w:sz w:val="18"/>
                <w:szCs w:val="24"/>
              </w:rPr>
            </w:pPr>
            <w:r>
              <w:rPr>
                <w:sz w:val="18"/>
                <w:szCs w:val="24"/>
              </w:rPr>
              <w:t>0,1</w:t>
            </w:r>
          </w:p>
        </w:tc>
        <w:tc>
          <w:tcPr>
            <w:tcW w:w="800" w:type="dxa"/>
            <w:vAlign w:val="center"/>
          </w:tcPr>
          <w:p w:rsidR="00F92819" w:rsidRDefault="00F92819">
            <w:pPr>
              <w:spacing w:before="40" w:after="40" w:line="220" w:lineRule="exact"/>
              <w:jc w:val="right"/>
              <w:rPr>
                <w:sz w:val="18"/>
                <w:szCs w:val="24"/>
              </w:rPr>
            </w:pPr>
            <w:r>
              <w:rPr>
                <w:sz w:val="18"/>
                <w:szCs w:val="24"/>
              </w:rPr>
              <w:t>0,3</w:t>
            </w:r>
          </w:p>
        </w:tc>
        <w:tc>
          <w:tcPr>
            <w:tcW w:w="939" w:type="dxa"/>
            <w:vAlign w:val="center"/>
          </w:tcPr>
          <w:p w:rsidR="00F92819" w:rsidRDefault="00F92819">
            <w:pPr>
              <w:spacing w:before="40" w:after="40" w:line="220" w:lineRule="exact"/>
              <w:jc w:val="right"/>
              <w:rPr>
                <w:sz w:val="18"/>
                <w:szCs w:val="24"/>
              </w:rPr>
            </w:pPr>
            <w:r>
              <w:rPr>
                <w:sz w:val="18"/>
                <w:szCs w:val="24"/>
              </w:rPr>
              <w:t>4 799</w:t>
            </w:r>
          </w:p>
        </w:tc>
      </w:tr>
      <w:tr w:rsidR="00F92819">
        <w:tc>
          <w:tcPr>
            <w:tcW w:w="2552" w:type="dxa"/>
          </w:tcPr>
          <w:p w:rsidR="00F92819" w:rsidRDefault="00F92819">
            <w:pPr>
              <w:spacing w:before="40" w:after="40" w:line="220" w:lineRule="exact"/>
              <w:rPr>
                <w:szCs w:val="24"/>
              </w:rPr>
            </w:pPr>
            <w:r>
              <w:rPr>
                <w:sz w:val="18"/>
                <w:szCs w:val="24"/>
                <w:lang w:val="es-ES_tradnl"/>
              </w:rPr>
              <w:t>Frutas</w:t>
            </w:r>
          </w:p>
        </w:tc>
        <w:tc>
          <w:tcPr>
            <w:tcW w:w="850" w:type="dxa"/>
            <w:vAlign w:val="center"/>
          </w:tcPr>
          <w:p w:rsidR="00F92819" w:rsidRDefault="00F92819">
            <w:pPr>
              <w:spacing w:before="40" w:after="40" w:line="220" w:lineRule="exact"/>
              <w:jc w:val="right"/>
              <w:rPr>
                <w:sz w:val="18"/>
                <w:szCs w:val="24"/>
              </w:rPr>
            </w:pPr>
            <w:r>
              <w:rPr>
                <w:sz w:val="18"/>
                <w:szCs w:val="24"/>
              </w:rPr>
              <w:t>0,6</w:t>
            </w:r>
          </w:p>
        </w:tc>
        <w:tc>
          <w:tcPr>
            <w:tcW w:w="850" w:type="dxa"/>
            <w:vAlign w:val="center"/>
          </w:tcPr>
          <w:p w:rsidR="00F92819" w:rsidRDefault="00F92819">
            <w:pPr>
              <w:spacing w:before="40" w:after="40" w:line="220" w:lineRule="exact"/>
              <w:jc w:val="right"/>
              <w:rPr>
                <w:sz w:val="18"/>
                <w:szCs w:val="24"/>
              </w:rPr>
            </w:pPr>
            <w:r>
              <w:rPr>
                <w:sz w:val="18"/>
                <w:szCs w:val="24"/>
              </w:rPr>
              <w:t>55</w:t>
            </w:r>
          </w:p>
        </w:tc>
        <w:tc>
          <w:tcPr>
            <w:tcW w:w="851" w:type="dxa"/>
            <w:vAlign w:val="center"/>
          </w:tcPr>
          <w:p w:rsidR="00F92819" w:rsidRDefault="00F92819">
            <w:pPr>
              <w:spacing w:before="40" w:after="40" w:line="220" w:lineRule="exact"/>
              <w:jc w:val="right"/>
              <w:rPr>
                <w:sz w:val="18"/>
                <w:szCs w:val="24"/>
              </w:rPr>
            </w:pPr>
            <w:r>
              <w:rPr>
                <w:sz w:val="18"/>
                <w:szCs w:val="24"/>
              </w:rPr>
              <w:t>76</w:t>
            </w:r>
          </w:p>
        </w:tc>
        <w:tc>
          <w:tcPr>
            <w:tcW w:w="709" w:type="dxa"/>
            <w:vAlign w:val="center"/>
          </w:tcPr>
          <w:p w:rsidR="00F92819" w:rsidRDefault="00F92819">
            <w:pPr>
              <w:spacing w:before="40" w:after="40" w:line="220" w:lineRule="exact"/>
              <w:jc w:val="right"/>
              <w:rPr>
                <w:sz w:val="18"/>
                <w:szCs w:val="24"/>
              </w:rPr>
            </w:pPr>
            <w:r>
              <w:rPr>
                <w:sz w:val="18"/>
                <w:szCs w:val="24"/>
              </w:rPr>
              <w:t>1,1</w:t>
            </w:r>
          </w:p>
        </w:tc>
        <w:tc>
          <w:tcPr>
            <w:tcW w:w="954" w:type="dxa"/>
            <w:vAlign w:val="center"/>
          </w:tcPr>
          <w:p w:rsidR="00F92819" w:rsidRDefault="00F92819">
            <w:pPr>
              <w:spacing w:before="40" w:after="40" w:line="220" w:lineRule="exact"/>
              <w:jc w:val="right"/>
              <w:rPr>
                <w:sz w:val="18"/>
                <w:szCs w:val="24"/>
              </w:rPr>
            </w:pPr>
            <w:r>
              <w:rPr>
                <w:sz w:val="18"/>
                <w:szCs w:val="24"/>
              </w:rPr>
              <w:t>-</w:t>
            </w:r>
          </w:p>
        </w:tc>
        <w:tc>
          <w:tcPr>
            <w:tcW w:w="800" w:type="dxa"/>
            <w:vAlign w:val="center"/>
          </w:tcPr>
          <w:p w:rsidR="00F92819" w:rsidRDefault="00F92819">
            <w:pPr>
              <w:spacing w:before="40" w:after="40" w:line="220" w:lineRule="exact"/>
              <w:jc w:val="right"/>
              <w:rPr>
                <w:sz w:val="18"/>
                <w:szCs w:val="24"/>
              </w:rPr>
            </w:pPr>
            <w:r>
              <w:rPr>
                <w:sz w:val="18"/>
                <w:szCs w:val="24"/>
              </w:rPr>
              <w:t>0,1</w:t>
            </w:r>
          </w:p>
        </w:tc>
        <w:tc>
          <w:tcPr>
            <w:tcW w:w="939" w:type="dxa"/>
            <w:vAlign w:val="center"/>
          </w:tcPr>
          <w:p w:rsidR="00F92819" w:rsidRDefault="00F92819">
            <w:pPr>
              <w:spacing w:before="40" w:after="40" w:line="220" w:lineRule="exact"/>
              <w:jc w:val="right"/>
              <w:rPr>
                <w:sz w:val="18"/>
                <w:szCs w:val="24"/>
              </w:rPr>
            </w:pPr>
            <w:r>
              <w:rPr>
                <w:sz w:val="18"/>
                <w:szCs w:val="24"/>
              </w:rPr>
              <w:t>467</w:t>
            </w:r>
          </w:p>
        </w:tc>
      </w:tr>
      <w:tr w:rsidR="00F92819">
        <w:tc>
          <w:tcPr>
            <w:tcW w:w="2552" w:type="dxa"/>
          </w:tcPr>
          <w:p w:rsidR="00F92819" w:rsidRDefault="00F92819">
            <w:pPr>
              <w:spacing w:before="40" w:after="40" w:line="220" w:lineRule="exact"/>
              <w:rPr>
                <w:szCs w:val="24"/>
              </w:rPr>
            </w:pPr>
            <w:r>
              <w:rPr>
                <w:sz w:val="18"/>
                <w:szCs w:val="24"/>
                <w:lang w:val="es-ES_tradnl"/>
              </w:rPr>
              <w:t>Aceites y grasas</w:t>
            </w:r>
          </w:p>
        </w:tc>
        <w:tc>
          <w:tcPr>
            <w:tcW w:w="850" w:type="dxa"/>
            <w:vAlign w:val="center"/>
          </w:tcPr>
          <w:p w:rsidR="00F92819" w:rsidRDefault="00F92819">
            <w:pPr>
              <w:spacing w:before="40" w:after="40" w:line="220" w:lineRule="exact"/>
              <w:jc w:val="right"/>
              <w:rPr>
                <w:sz w:val="18"/>
                <w:szCs w:val="24"/>
              </w:rPr>
            </w:pPr>
            <w:r>
              <w:rPr>
                <w:sz w:val="18"/>
                <w:szCs w:val="24"/>
              </w:rPr>
              <w:t>-</w:t>
            </w:r>
          </w:p>
        </w:tc>
        <w:tc>
          <w:tcPr>
            <w:tcW w:w="850" w:type="dxa"/>
            <w:vAlign w:val="center"/>
          </w:tcPr>
          <w:p w:rsidR="00F92819" w:rsidRDefault="00F92819">
            <w:pPr>
              <w:spacing w:before="40" w:after="40" w:line="220" w:lineRule="exact"/>
              <w:jc w:val="right"/>
              <w:rPr>
                <w:sz w:val="18"/>
                <w:szCs w:val="24"/>
              </w:rPr>
            </w:pPr>
            <w:r>
              <w:rPr>
                <w:sz w:val="18"/>
                <w:szCs w:val="24"/>
              </w:rPr>
              <w:t>1</w:t>
            </w:r>
          </w:p>
        </w:tc>
        <w:tc>
          <w:tcPr>
            <w:tcW w:w="851" w:type="dxa"/>
            <w:vAlign w:val="center"/>
          </w:tcPr>
          <w:p w:rsidR="00F92819" w:rsidRDefault="00F92819">
            <w:pPr>
              <w:spacing w:before="40" w:after="40" w:line="220" w:lineRule="exact"/>
              <w:jc w:val="right"/>
              <w:rPr>
                <w:sz w:val="18"/>
                <w:szCs w:val="24"/>
              </w:rPr>
            </w:pPr>
            <w:r>
              <w:rPr>
                <w:sz w:val="18"/>
                <w:szCs w:val="24"/>
              </w:rPr>
              <w:t>-</w:t>
            </w:r>
          </w:p>
        </w:tc>
        <w:tc>
          <w:tcPr>
            <w:tcW w:w="709" w:type="dxa"/>
            <w:vAlign w:val="center"/>
          </w:tcPr>
          <w:p w:rsidR="00F92819" w:rsidRDefault="00F92819">
            <w:pPr>
              <w:spacing w:before="40" w:after="40" w:line="220" w:lineRule="exact"/>
              <w:jc w:val="right"/>
              <w:rPr>
                <w:sz w:val="18"/>
                <w:szCs w:val="24"/>
              </w:rPr>
            </w:pPr>
            <w:r>
              <w:rPr>
                <w:sz w:val="18"/>
                <w:szCs w:val="24"/>
              </w:rPr>
              <w:t>-</w:t>
            </w:r>
          </w:p>
        </w:tc>
        <w:tc>
          <w:tcPr>
            <w:tcW w:w="954" w:type="dxa"/>
            <w:vAlign w:val="center"/>
          </w:tcPr>
          <w:p w:rsidR="00F92819" w:rsidRDefault="00F92819">
            <w:pPr>
              <w:spacing w:before="40" w:after="40" w:line="220" w:lineRule="exact"/>
              <w:jc w:val="right"/>
              <w:rPr>
                <w:sz w:val="18"/>
                <w:szCs w:val="24"/>
              </w:rPr>
            </w:pPr>
            <w:r>
              <w:rPr>
                <w:sz w:val="18"/>
                <w:szCs w:val="24"/>
              </w:rPr>
              <w:t>-</w:t>
            </w:r>
          </w:p>
        </w:tc>
        <w:tc>
          <w:tcPr>
            <w:tcW w:w="800" w:type="dxa"/>
            <w:vAlign w:val="center"/>
          </w:tcPr>
          <w:p w:rsidR="00F92819" w:rsidRDefault="00F92819">
            <w:pPr>
              <w:spacing w:before="40" w:after="40" w:line="220" w:lineRule="exact"/>
              <w:jc w:val="right"/>
              <w:rPr>
                <w:sz w:val="18"/>
                <w:szCs w:val="24"/>
              </w:rPr>
            </w:pPr>
            <w:r>
              <w:rPr>
                <w:sz w:val="18"/>
                <w:szCs w:val="24"/>
              </w:rPr>
              <w:t>-</w:t>
            </w:r>
          </w:p>
        </w:tc>
        <w:tc>
          <w:tcPr>
            <w:tcW w:w="939" w:type="dxa"/>
            <w:vAlign w:val="center"/>
          </w:tcPr>
          <w:p w:rsidR="00F92819" w:rsidRDefault="00F92819">
            <w:pPr>
              <w:spacing w:before="40" w:after="40" w:line="220" w:lineRule="exact"/>
              <w:jc w:val="right"/>
              <w:rPr>
                <w:sz w:val="18"/>
                <w:szCs w:val="24"/>
              </w:rPr>
            </w:pPr>
            <w:r>
              <w:rPr>
                <w:sz w:val="18"/>
                <w:szCs w:val="24"/>
              </w:rPr>
              <w:t>-</w:t>
            </w:r>
          </w:p>
        </w:tc>
      </w:tr>
      <w:tr w:rsidR="00F92819">
        <w:tc>
          <w:tcPr>
            <w:tcW w:w="2552" w:type="dxa"/>
          </w:tcPr>
          <w:p w:rsidR="00F92819" w:rsidRDefault="00F92819">
            <w:pPr>
              <w:spacing w:before="40" w:after="40" w:line="220" w:lineRule="exact"/>
              <w:rPr>
                <w:szCs w:val="24"/>
              </w:rPr>
            </w:pPr>
            <w:r>
              <w:rPr>
                <w:sz w:val="18"/>
                <w:szCs w:val="24"/>
                <w:lang w:val="es-ES_tradnl"/>
              </w:rPr>
              <w:t>Carne</w:t>
            </w:r>
          </w:p>
        </w:tc>
        <w:tc>
          <w:tcPr>
            <w:tcW w:w="850" w:type="dxa"/>
            <w:vAlign w:val="center"/>
          </w:tcPr>
          <w:p w:rsidR="00F92819" w:rsidRDefault="00F92819">
            <w:pPr>
              <w:spacing w:before="40" w:after="40" w:line="220" w:lineRule="exact"/>
              <w:jc w:val="right"/>
              <w:rPr>
                <w:sz w:val="18"/>
                <w:szCs w:val="24"/>
              </w:rPr>
            </w:pPr>
            <w:r>
              <w:rPr>
                <w:sz w:val="18"/>
                <w:szCs w:val="24"/>
              </w:rPr>
              <w:t>2,5</w:t>
            </w:r>
          </w:p>
        </w:tc>
        <w:tc>
          <w:tcPr>
            <w:tcW w:w="850" w:type="dxa"/>
            <w:vAlign w:val="center"/>
          </w:tcPr>
          <w:p w:rsidR="00F92819" w:rsidRDefault="00F92819">
            <w:pPr>
              <w:spacing w:before="40" w:after="40" w:line="220" w:lineRule="exact"/>
              <w:jc w:val="right"/>
              <w:rPr>
                <w:sz w:val="18"/>
                <w:szCs w:val="24"/>
              </w:rPr>
            </w:pPr>
            <w:r>
              <w:rPr>
                <w:sz w:val="18"/>
                <w:szCs w:val="24"/>
              </w:rPr>
              <w:t>20</w:t>
            </w:r>
          </w:p>
        </w:tc>
        <w:tc>
          <w:tcPr>
            <w:tcW w:w="851" w:type="dxa"/>
            <w:vAlign w:val="center"/>
          </w:tcPr>
          <w:p w:rsidR="00F92819" w:rsidRDefault="00F92819">
            <w:pPr>
              <w:spacing w:before="40" w:after="40" w:line="220" w:lineRule="exact"/>
              <w:jc w:val="right"/>
              <w:rPr>
                <w:sz w:val="18"/>
                <w:szCs w:val="24"/>
              </w:rPr>
            </w:pPr>
            <w:r>
              <w:rPr>
                <w:sz w:val="18"/>
                <w:szCs w:val="24"/>
              </w:rPr>
              <w:t>3</w:t>
            </w:r>
          </w:p>
        </w:tc>
        <w:tc>
          <w:tcPr>
            <w:tcW w:w="709" w:type="dxa"/>
            <w:vAlign w:val="center"/>
          </w:tcPr>
          <w:p w:rsidR="00F92819" w:rsidRDefault="00F92819">
            <w:pPr>
              <w:spacing w:before="40" w:after="40" w:line="220" w:lineRule="exact"/>
              <w:jc w:val="right"/>
              <w:rPr>
                <w:sz w:val="18"/>
                <w:szCs w:val="24"/>
              </w:rPr>
            </w:pPr>
            <w:r>
              <w:rPr>
                <w:sz w:val="18"/>
                <w:szCs w:val="24"/>
              </w:rPr>
              <w:t>10,4</w:t>
            </w:r>
          </w:p>
        </w:tc>
        <w:tc>
          <w:tcPr>
            <w:tcW w:w="954" w:type="dxa"/>
            <w:vAlign w:val="center"/>
          </w:tcPr>
          <w:p w:rsidR="00F92819" w:rsidRDefault="00F92819">
            <w:pPr>
              <w:spacing w:before="40" w:after="40" w:line="220" w:lineRule="exact"/>
              <w:jc w:val="right"/>
              <w:rPr>
                <w:sz w:val="18"/>
                <w:szCs w:val="24"/>
              </w:rPr>
            </w:pPr>
            <w:r>
              <w:rPr>
                <w:sz w:val="18"/>
                <w:szCs w:val="24"/>
              </w:rPr>
              <w:t>0,3</w:t>
            </w:r>
          </w:p>
        </w:tc>
        <w:tc>
          <w:tcPr>
            <w:tcW w:w="800" w:type="dxa"/>
            <w:vAlign w:val="center"/>
          </w:tcPr>
          <w:p w:rsidR="00F92819" w:rsidRDefault="00F92819">
            <w:pPr>
              <w:spacing w:before="40" w:after="40" w:line="220" w:lineRule="exact"/>
              <w:jc w:val="right"/>
              <w:rPr>
                <w:sz w:val="18"/>
                <w:szCs w:val="24"/>
              </w:rPr>
            </w:pPr>
            <w:r>
              <w:rPr>
                <w:sz w:val="18"/>
                <w:szCs w:val="24"/>
              </w:rPr>
              <w:t>0,1</w:t>
            </w:r>
          </w:p>
        </w:tc>
        <w:tc>
          <w:tcPr>
            <w:tcW w:w="939" w:type="dxa"/>
            <w:vAlign w:val="center"/>
          </w:tcPr>
          <w:p w:rsidR="00F92819" w:rsidRDefault="00F92819">
            <w:pPr>
              <w:spacing w:before="40" w:after="40" w:line="220" w:lineRule="exact"/>
              <w:jc w:val="right"/>
              <w:rPr>
                <w:sz w:val="18"/>
                <w:szCs w:val="24"/>
              </w:rPr>
            </w:pPr>
            <w:r>
              <w:rPr>
                <w:sz w:val="18"/>
                <w:szCs w:val="24"/>
              </w:rPr>
              <w:t>997</w:t>
            </w:r>
          </w:p>
        </w:tc>
      </w:tr>
      <w:tr w:rsidR="00F92819">
        <w:tc>
          <w:tcPr>
            <w:tcW w:w="2552" w:type="dxa"/>
          </w:tcPr>
          <w:p w:rsidR="00F92819" w:rsidRDefault="00F92819">
            <w:pPr>
              <w:spacing w:before="40" w:after="40" w:line="220" w:lineRule="exact"/>
              <w:rPr>
                <w:szCs w:val="24"/>
              </w:rPr>
            </w:pPr>
            <w:r>
              <w:rPr>
                <w:sz w:val="18"/>
                <w:szCs w:val="24"/>
                <w:lang w:val="es-ES_tradnl"/>
              </w:rPr>
              <w:t>Huevos</w:t>
            </w:r>
          </w:p>
        </w:tc>
        <w:tc>
          <w:tcPr>
            <w:tcW w:w="850" w:type="dxa"/>
            <w:vAlign w:val="center"/>
          </w:tcPr>
          <w:p w:rsidR="00F92819" w:rsidRDefault="00F92819">
            <w:pPr>
              <w:spacing w:before="40" w:after="40" w:line="220" w:lineRule="exact"/>
              <w:jc w:val="right"/>
              <w:rPr>
                <w:sz w:val="18"/>
                <w:szCs w:val="24"/>
              </w:rPr>
            </w:pPr>
            <w:r>
              <w:rPr>
                <w:sz w:val="18"/>
                <w:szCs w:val="24"/>
              </w:rPr>
              <w:t>0,5</w:t>
            </w:r>
          </w:p>
        </w:tc>
        <w:tc>
          <w:tcPr>
            <w:tcW w:w="850" w:type="dxa"/>
            <w:vAlign w:val="center"/>
          </w:tcPr>
          <w:p w:rsidR="00F92819" w:rsidRDefault="00F92819">
            <w:pPr>
              <w:spacing w:before="40" w:after="40" w:line="220" w:lineRule="exact"/>
              <w:jc w:val="right"/>
              <w:rPr>
                <w:sz w:val="18"/>
                <w:szCs w:val="24"/>
              </w:rPr>
            </w:pPr>
            <w:r>
              <w:rPr>
                <w:sz w:val="18"/>
                <w:szCs w:val="24"/>
              </w:rPr>
              <w:t>16</w:t>
            </w:r>
          </w:p>
        </w:tc>
        <w:tc>
          <w:tcPr>
            <w:tcW w:w="851" w:type="dxa"/>
            <w:vAlign w:val="center"/>
          </w:tcPr>
          <w:p w:rsidR="00F92819" w:rsidRDefault="00F92819">
            <w:pPr>
              <w:spacing w:before="40" w:after="40" w:line="220" w:lineRule="exact"/>
              <w:jc w:val="right"/>
              <w:rPr>
                <w:sz w:val="18"/>
                <w:szCs w:val="24"/>
              </w:rPr>
            </w:pPr>
            <w:r>
              <w:rPr>
                <w:sz w:val="18"/>
                <w:szCs w:val="24"/>
              </w:rPr>
              <w:t>-</w:t>
            </w:r>
          </w:p>
        </w:tc>
        <w:tc>
          <w:tcPr>
            <w:tcW w:w="709" w:type="dxa"/>
            <w:vAlign w:val="center"/>
          </w:tcPr>
          <w:p w:rsidR="00F92819" w:rsidRDefault="00F92819">
            <w:pPr>
              <w:spacing w:before="40" w:after="40" w:line="220" w:lineRule="exact"/>
              <w:jc w:val="right"/>
              <w:rPr>
                <w:sz w:val="18"/>
                <w:szCs w:val="24"/>
              </w:rPr>
            </w:pPr>
            <w:r>
              <w:rPr>
                <w:sz w:val="18"/>
                <w:szCs w:val="24"/>
              </w:rPr>
              <w:t>-</w:t>
            </w:r>
          </w:p>
        </w:tc>
        <w:tc>
          <w:tcPr>
            <w:tcW w:w="954" w:type="dxa"/>
            <w:vAlign w:val="center"/>
          </w:tcPr>
          <w:p w:rsidR="00F92819" w:rsidRDefault="00F92819">
            <w:pPr>
              <w:spacing w:before="40" w:after="40" w:line="220" w:lineRule="exact"/>
              <w:jc w:val="right"/>
              <w:rPr>
                <w:sz w:val="18"/>
                <w:szCs w:val="24"/>
              </w:rPr>
            </w:pPr>
            <w:r>
              <w:rPr>
                <w:sz w:val="18"/>
                <w:szCs w:val="24"/>
              </w:rPr>
              <w:t>0,2</w:t>
            </w:r>
          </w:p>
        </w:tc>
        <w:tc>
          <w:tcPr>
            <w:tcW w:w="800" w:type="dxa"/>
            <w:vAlign w:val="center"/>
          </w:tcPr>
          <w:p w:rsidR="00F92819" w:rsidRDefault="00F92819">
            <w:pPr>
              <w:spacing w:before="40" w:after="40" w:line="220" w:lineRule="exact"/>
              <w:jc w:val="right"/>
              <w:rPr>
                <w:sz w:val="18"/>
                <w:szCs w:val="24"/>
              </w:rPr>
            </w:pPr>
            <w:r>
              <w:rPr>
                <w:sz w:val="18"/>
                <w:szCs w:val="24"/>
              </w:rPr>
              <w:t>-</w:t>
            </w:r>
          </w:p>
        </w:tc>
        <w:tc>
          <w:tcPr>
            <w:tcW w:w="939" w:type="dxa"/>
            <w:vAlign w:val="center"/>
          </w:tcPr>
          <w:p w:rsidR="00F92819" w:rsidRDefault="00F92819">
            <w:pPr>
              <w:spacing w:before="40" w:after="40" w:line="220" w:lineRule="exact"/>
              <w:jc w:val="right"/>
              <w:rPr>
                <w:sz w:val="18"/>
                <w:szCs w:val="24"/>
              </w:rPr>
            </w:pPr>
            <w:r>
              <w:rPr>
                <w:sz w:val="18"/>
                <w:szCs w:val="24"/>
              </w:rPr>
              <w:t>200</w:t>
            </w:r>
          </w:p>
        </w:tc>
      </w:tr>
      <w:tr w:rsidR="00F92819">
        <w:tc>
          <w:tcPr>
            <w:tcW w:w="2552" w:type="dxa"/>
          </w:tcPr>
          <w:p w:rsidR="00F92819" w:rsidRDefault="00F92819">
            <w:pPr>
              <w:spacing w:before="40" w:after="40" w:line="220" w:lineRule="exact"/>
              <w:rPr>
                <w:szCs w:val="24"/>
              </w:rPr>
            </w:pPr>
            <w:r>
              <w:rPr>
                <w:sz w:val="18"/>
                <w:szCs w:val="24"/>
                <w:lang w:val="es-ES_tradnl"/>
              </w:rPr>
              <w:t>Pescado</w:t>
            </w:r>
          </w:p>
        </w:tc>
        <w:tc>
          <w:tcPr>
            <w:tcW w:w="850" w:type="dxa"/>
            <w:vAlign w:val="center"/>
          </w:tcPr>
          <w:p w:rsidR="00F92819" w:rsidRDefault="00F92819">
            <w:pPr>
              <w:spacing w:before="40" w:after="40" w:line="220" w:lineRule="exact"/>
              <w:jc w:val="right"/>
              <w:rPr>
                <w:sz w:val="18"/>
                <w:szCs w:val="24"/>
              </w:rPr>
            </w:pPr>
            <w:r>
              <w:rPr>
                <w:sz w:val="18"/>
                <w:szCs w:val="24"/>
              </w:rPr>
              <w:t>0,3</w:t>
            </w:r>
          </w:p>
        </w:tc>
        <w:tc>
          <w:tcPr>
            <w:tcW w:w="850" w:type="dxa"/>
            <w:vAlign w:val="center"/>
          </w:tcPr>
          <w:p w:rsidR="00F92819" w:rsidRDefault="00F92819">
            <w:pPr>
              <w:spacing w:before="40" w:after="40" w:line="220" w:lineRule="exact"/>
              <w:jc w:val="right"/>
              <w:rPr>
                <w:sz w:val="18"/>
                <w:szCs w:val="24"/>
              </w:rPr>
            </w:pPr>
            <w:r>
              <w:rPr>
                <w:sz w:val="18"/>
                <w:szCs w:val="24"/>
              </w:rPr>
              <w:t>20</w:t>
            </w:r>
          </w:p>
        </w:tc>
        <w:tc>
          <w:tcPr>
            <w:tcW w:w="851" w:type="dxa"/>
            <w:vAlign w:val="center"/>
          </w:tcPr>
          <w:p w:rsidR="00F92819" w:rsidRDefault="00F92819">
            <w:pPr>
              <w:spacing w:before="40" w:after="40" w:line="220" w:lineRule="exact"/>
              <w:jc w:val="right"/>
              <w:rPr>
                <w:sz w:val="18"/>
                <w:szCs w:val="24"/>
              </w:rPr>
            </w:pPr>
            <w:r>
              <w:rPr>
                <w:sz w:val="18"/>
                <w:szCs w:val="24"/>
              </w:rPr>
              <w:t>-</w:t>
            </w:r>
          </w:p>
        </w:tc>
        <w:tc>
          <w:tcPr>
            <w:tcW w:w="709" w:type="dxa"/>
            <w:vAlign w:val="center"/>
          </w:tcPr>
          <w:p w:rsidR="00F92819" w:rsidRDefault="00F92819">
            <w:pPr>
              <w:spacing w:before="40" w:after="40" w:line="220" w:lineRule="exact"/>
              <w:jc w:val="right"/>
              <w:rPr>
                <w:sz w:val="18"/>
                <w:szCs w:val="24"/>
              </w:rPr>
            </w:pPr>
            <w:r>
              <w:rPr>
                <w:sz w:val="18"/>
                <w:szCs w:val="24"/>
              </w:rPr>
              <w:t>0,5</w:t>
            </w:r>
          </w:p>
        </w:tc>
        <w:tc>
          <w:tcPr>
            <w:tcW w:w="954" w:type="dxa"/>
            <w:vAlign w:val="center"/>
          </w:tcPr>
          <w:p w:rsidR="00F92819" w:rsidRDefault="00F92819">
            <w:pPr>
              <w:spacing w:before="40" w:after="40" w:line="220" w:lineRule="exact"/>
              <w:jc w:val="right"/>
              <w:rPr>
                <w:sz w:val="18"/>
                <w:szCs w:val="24"/>
              </w:rPr>
            </w:pPr>
            <w:r>
              <w:rPr>
                <w:sz w:val="18"/>
                <w:szCs w:val="24"/>
              </w:rPr>
              <w:t>-</w:t>
            </w:r>
          </w:p>
        </w:tc>
        <w:tc>
          <w:tcPr>
            <w:tcW w:w="800" w:type="dxa"/>
            <w:vAlign w:val="center"/>
          </w:tcPr>
          <w:p w:rsidR="00F92819" w:rsidRDefault="00F92819">
            <w:pPr>
              <w:spacing w:before="40" w:after="40" w:line="220" w:lineRule="exact"/>
              <w:jc w:val="right"/>
              <w:rPr>
                <w:sz w:val="18"/>
                <w:szCs w:val="24"/>
              </w:rPr>
            </w:pPr>
            <w:r>
              <w:rPr>
                <w:sz w:val="18"/>
                <w:szCs w:val="24"/>
              </w:rPr>
              <w:t>-</w:t>
            </w:r>
          </w:p>
        </w:tc>
        <w:tc>
          <w:tcPr>
            <w:tcW w:w="939" w:type="dxa"/>
            <w:vAlign w:val="center"/>
          </w:tcPr>
          <w:p w:rsidR="00F92819" w:rsidRDefault="00F92819">
            <w:pPr>
              <w:spacing w:before="40" w:after="40" w:line="220" w:lineRule="exact"/>
              <w:jc w:val="right"/>
              <w:rPr>
                <w:sz w:val="18"/>
                <w:szCs w:val="24"/>
              </w:rPr>
            </w:pPr>
            <w:r>
              <w:rPr>
                <w:sz w:val="18"/>
                <w:szCs w:val="24"/>
              </w:rPr>
              <w:t>6</w:t>
            </w:r>
          </w:p>
        </w:tc>
      </w:tr>
      <w:tr w:rsidR="00F92819">
        <w:tc>
          <w:tcPr>
            <w:tcW w:w="2552" w:type="dxa"/>
          </w:tcPr>
          <w:p w:rsidR="00F92819" w:rsidRDefault="00F92819">
            <w:pPr>
              <w:spacing w:before="40" w:after="40" w:line="220" w:lineRule="exact"/>
              <w:rPr>
                <w:szCs w:val="24"/>
              </w:rPr>
            </w:pPr>
            <w:r>
              <w:rPr>
                <w:sz w:val="18"/>
                <w:szCs w:val="24"/>
                <w:lang w:val="es-ES_tradnl"/>
              </w:rPr>
              <w:t>Leche y productos lácteos</w:t>
            </w:r>
          </w:p>
        </w:tc>
        <w:tc>
          <w:tcPr>
            <w:tcW w:w="850" w:type="dxa"/>
            <w:vAlign w:val="center"/>
          </w:tcPr>
          <w:p w:rsidR="00F92819" w:rsidRDefault="00F92819">
            <w:pPr>
              <w:spacing w:before="40" w:after="40" w:line="220" w:lineRule="exact"/>
              <w:jc w:val="right"/>
              <w:rPr>
                <w:sz w:val="18"/>
                <w:szCs w:val="24"/>
              </w:rPr>
            </w:pPr>
            <w:r>
              <w:rPr>
                <w:sz w:val="18"/>
                <w:szCs w:val="24"/>
              </w:rPr>
              <w:t>0,2</w:t>
            </w:r>
          </w:p>
        </w:tc>
        <w:tc>
          <w:tcPr>
            <w:tcW w:w="850" w:type="dxa"/>
            <w:vAlign w:val="center"/>
          </w:tcPr>
          <w:p w:rsidR="00F92819" w:rsidRDefault="00F92819">
            <w:pPr>
              <w:spacing w:before="40" w:after="40" w:line="220" w:lineRule="exact"/>
              <w:jc w:val="right"/>
              <w:rPr>
                <w:sz w:val="18"/>
                <w:szCs w:val="24"/>
              </w:rPr>
            </w:pPr>
            <w:r>
              <w:rPr>
                <w:sz w:val="18"/>
                <w:szCs w:val="24"/>
              </w:rPr>
              <w:t>517</w:t>
            </w:r>
          </w:p>
        </w:tc>
        <w:tc>
          <w:tcPr>
            <w:tcW w:w="851" w:type="dxa"/>
            <w:vAlign w:val="center"/>
          </w:tcPr>
          <w:p w:rsidR="00F92819" w:rsidRDefault="00F92819">
            <w:pPr>
              <w:spacing w:before="40" w:after="40" w:line="220" w:lineRule="exact"/>
              <w:jc w:val="right"/>
              <w:rPr>
                <w:sz w:val="18"/>
                <w:szCs w:val="24"/>
              </w:rPr>
            </w:pPr>
            <w:r>
              <w:rPr>
                <w:sz w:val="18"/>
                <w:szCs w:val="24"/>
              </w:rPr>
              <w:t>5</w:t>
            </w:r>
          </w:p>
        </w:tc>
        <w:tc>
          <w:tcPr>
            <w:tcW w:w="709" w:type="dxa"/>
            <w:vAlign w:val="center"/>
          </w:tcPr>
          <w:p w:rsidR="00F92819" w:rsidRDefault="00F92819">
            <w:pPr>
              <w:spacing w:before="40" w:after="40" w:line="220" w:lineRule="exact"/>
              <w:jc w:val="right"/>
              <w:rPr>
                <w:sz w:val="18"/>
                <w:szCs w:val="24"/>
              </w:rPr>
            </w:pPr>
            <w:r>
              <w:rPr>
                <w:sz w:val="18"/>
                <w:szCs w:val="24"/>
              </w:rPr>
              <w:t>0,4</w:t>
            </w:r>
          </w:p>
        </w:tc>
        <w:tc>
          <w:tcPr>
            <w:tcW w:w="954" w:type="dxa"/>
            <w:vAlign w:val="center"/>
          </w:tcPr>
          <w:p w:rsidR="00F92819" w:rsidRDefault="00F92819">
            <w:pPr>
              <w:spacing w:before="40" w:after="40" w:line="220" w:lineRule="exact"/>
              <w:jc w:val="right"/>
              <w:rPr>
                <w:sz w:val="18"/>
                <w:szCs w:val="24"/>
              </w:rPr>
            </w:pPr>
            <w:r>
              <w:rPr>
                <w:sz w:val="18"/>
                <w:szCs w:val="24"/>
              </w:rPr>
              <w:t>0,7</w:t>
            </w:r>
          </w:p>
        </w:tc>
        <w:tc>
          <w:tcPr>
            <w:tcW w:w="800" w:type="dxa"/>
            <w:vAlign w:val="center"/>
          </w:tcPr>
          <w:p w:rsidR="00F92819" w:rsidRDefault="00F92819">
            <w:pPr>
              <w:spacing w:before="40" w:after="40" w:line="220" w:lineRule="exact"/>
              <w:jc w:val="right"/>
              <w:rPr>
                <w:sz w:val="18"/>
                <w:szCs w:val="24"/>
              </w:rPr>
            </w:pPr>
            <w:r>
              <w:rPr>
                <w:sz w:val="18"/>
                <w:szCs w:val="24"/>
              </w:rPr>
              <w:t>0,2</w:t>
            </w:r>
          </w:p>
        </w:tc>
        <w:tc>
          <w:tcPr>
            <w:tcW w:w="939" w:type="dxa"/>
            <w:vAlign w:val="center"/>
          </w:tcPr>
          <w:p w:rsidR="00F92819" w:rsidRDefault="00F92819">
            <w:pPr>
              <w:spacing w:before="40" w:after="40" w:line="220" w:lineRule="exact"/>
              <w:jc w:val="right"/>
              <w:rPr>
                <w:sz w:val="18"/>
                <w:szCs w:val="24"/>
              </w:rPr>
            </w:pPr>
            <w:r>
              <w:rPr>
                <w:sz w:val="18"/>
                <w:szCs w:val="24"/>
              </w:rPr>
              <w:t>488</w:t>
            </w:r>
          </w:p>
        </w:tc>
      </w:tr>
      <w:tr w:rsidR="00F92819">
        <w:tc>
          <w:tcPr>
            <w:tcW w:w="2552" w:type="dxa"/>
            <w:tcBorders>
              <w:bottom w:val="single" w:sz="12" w:space="0" w:color="auto"/>
            </w:tcBorders>
          </w:tcPr>
          <w:p w:rsidR="00F92819" w:rsidRDefault="00F92819">
            <w:pPr>
              <w:spacing w:before="40" w:after="40" w:line="220" w:lineRule="exact"/>
              <w:rPr>
                <w:szCs w:val="24"/>
              </w:rPr>
            </w:pPr>
            <w:r>
              <w:rPr>
                <w:sz w:val="18"/>
                <w:szCs w:val="24"/>
                <w:lang w:val="es-ES_tradnl"/>
              </w:rPr>
              <w:t>Bebidas</w:t>
            </w:r>
          </w:p>
        </w:tc>
        <w:tc>
          <w:tcPr>
            <w:tcW w:w="850"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w:t>
            </w:r>
          </w:p>
        </w:tc>
        <w:tc>
          <w:tcPr>
            <w:tcW w:w="850"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5</w:t>
            </w:r>
          </w:p>
        </w:tc>
        <w:tc>
          <w:tcPr>
            <w:tcW w:w="851"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w:t>
            </w:r>
          </w:p>
        </w:tc>
        <w:tc>
          <w:tcPr>
            <w:tcW w:w="709"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w:t>
            </w:r>
          </w:p>
        </w:tc>
        <w:tc>
          <w:tcPr>
            <w:tcW w:w="954"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w:t>
            </w:r>
          </w:p>
        </w:tc>
        <w:tc>
          <w:tcPr>
            <w:tcW w:w="800"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w:t>
            </w:r>
          </w:p>
        </w:tc>
        <w:tc>
          <w:tcPr>
            <w:tcW w:w="939"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w:t>
            </w:r>
          </w:p>
        </w:tc>
      </w:tr>
    </w:tbl>
    <w:p w:rsidR="00F92819" w:rsidRDefault="00F92819">
      <w:pPr>
        <w:spacing w:before="120" w:after="240"/>
        <w:ind w:left="1134" w:right="1134" w:firstLine="170"/>
        <w:rPr>
          <w:szCs w:val="24"/>
          <w:u w:val="single"/>
        </w:rPr>
      </w:pPr>
      <w:r>
        <w:rPr>
          <w:i/>
          <w:sz w:val="18"/>
          <w:szCs w:val="24"/>
          <w:lang w:val="es-ES_tradnl"/>
        </w:rPr>
        <w:t>Fuente:</w:t>
      </w:r>
      <w:r>
        <w:rPr>
          <w:sz w:val="18"/>
          <w:szCs w:val="24"/>
        </w:rPr>
        <w:t xml:space="preserve"> </w:t>
      </w:r>
      <w:r>
        <w:rPr>
          <w:sz w:val="18"/>
          <w:szCs w:val="24"/>
          <w:lang w:val="es-ES_tradnl"/>
        </w:rPr>
        <w:t>Oficina Central de Estadística, Balance de suministro alimentario, 2008.</w:t>
      </w:r>
    </w:p>
    <w:p w:rsidR="00F92819" w:rsidRDefault="00F92819">
      <w:pPr>
        <w:pStyle w:val="H4G"/>
        <w:rPr>
          <w:szCs w:val="24"/>
        </w:rPr>
      </w:pPr>
      <w:r>
        <w:rPr>
          <w:szCs w:val="24"/>
        </w:rPr>
        <w:tab/>
      </w:r>
      <w:r>
        <w:rPr>
          <w:szCs w:val="24"/>
        </w:rPr>
        <w:tab/>
      </w:r>
      <w:r>
        <w:rPr>
          <w:szCs w:val="24"/>
          <w:lang w:val="es-ES_tradnl"/>
        </w:rPr>
        <w:t>Métodos para mejorar la producción, la conservación y la distribución de alimentos</w:t>
      </w:r>
    </w:p>
    <w:p w:rsidR="00F92819" w:rsidRDefault="00F92819">
      <w:pPr>
        <w:pStyle w:val="SingleTxtG"/>
        <w:rPr>
          <w:szCs w:val="24"/>
        </w:rPr>
      </w:pPr>
      <w:r>
        <w:rPr>
          <w:szCs w:val="24"/>
        </w:rPr>
        <w:t>431.</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El derecho a una vivienda adecuada</w:t>
      </w:r>
    </w:p>
    <w:p w:rsidR="00F92819" w:rsidRDefault="00F92819">
      <w:pPr>
        <w:pStyle w:val="SingleTxtG"/>
        <w:rPr>
          <w:szCs w:val="24"/>
        </w:rPr>
      </w:pPr>
      <w:r>
        <w:rPr>
          <w:szCs w:val="24"/>
        </w:rPr>
        <w:t>432.</w:t>
      </w:r>
      <w:r>
        <w:rPr>
          <w:szCs w:val="24"/>
        </w:rPr>
        <w:tab/>
      </w:r>
      <w:r>
        <w:rPr>
          <w:szCs w:val="24"/>
          <w:lang w:val="es-ES_tradnl"/>
        </w:rPr>
        <w:t xml:space="preserve">El 4 de noviembre de 2008 se enmendó la </w:t>
      </w:r>
      <w:r>
        <w:rPr>
          <w:i/>
          <w:szCs w:val="24"/>
          <w:lang w:val="es-ES_tradnl"/>
        </w:rPr>
        <w:t xml:space="preserve">Ley de ejecución </w:t>
      </w:r>
      <w:r>
        <w:rPr>
          <w:szCs w:val="24"/>
          <w:lang w:val="es-ES_tradnl"/>
        </w:rPr>
        <w:t xml:space="preserve">(Enmienda </w:t>
      </w:r>
      <w:r w:rsidR="00713E0E">
        <w:rPr>
          <w:szCs w:val="24"/>
          <w:lang w:val="es-ES_tradnl"/>
        </w:rPr>
        <w:t>Nº</w:t>
      </w:r>
      <w:r>
        <w:rPr>
          <w:szCs w:val="24"/>
          <w:lang w:val="es-ES_tradnl"/>
        </w:rPr>
        <w:t xml:space="preserve"> 29) para reforzar la protección que ofrece la Ley al derecho a una vivienda adecuada.</w:t>
      </w:r>
      <w:r>
        <w:rPr>
          <w:szCs w:val="24"/>
        </w:rPr>
        <w:t xml:space="preserve"> </w:t>
      </w:r>
      <w:r>
        <w:rPr>
          <w:szCs w:val="24"/>
          <w:lang w:val="es-ES_tradnl"/>
        </w:rPr>
        <w:t>La Ley dispone que en situaciones de desahucio por ejecución de deuda, hipoteca o garantía, se suministrará una vivienda alternativa antes de ejecutarse el desahucio.</w:t>
      </w:r>
    </w:p>
    <w:p w:rsidR="00F92819" w:rsidRDefault="00F92819">
      <w:pPr>
        <w:pStyle w:val="SingleTxtG"/>
        <w:rPr>
          <w:szCs w:val="24"/>
        </w:rPr>
      </w:pPr>
      <w:r>
        <w:rPr>
          <w:szCs w:val="24"/>
          <w:lang w:val="es-ES_tradnl"/>
        </w:rPr>
        <w:t>De conformidad con la Ley, el Registro de la Oficina de Ejecución no puede ordenar el desahucio de la persona endeudada y los miembros de su familia que residen con ella, a menos que se establezca que disponen de una vivienda alternativa razonable, tienen los medios económicos para costear una o se les suministre una vivienda alternativa.</w:t>
      </w:r>
    </w:p>
    <w:p w:rsidR="00F92819" w:rsidRDefault="00F92819">
      <w:pPr>
        <w:pStyle w:val="SingleTxtG"/>
        <w:rPr>
          <w:szCs w:val="24"/>
        </w:rPr>
      </w:pPr>
      <w:r>
        <w:rPr>
          <w:szCs w:val="24"/>
          <w:lang w:val="es-ES_tradnl"/>
        </w:rPr>
        <w:t>La protección que ofrece la ley también es aplicable a los desahucios debido a la ejecución de una hipoteca o de una garantía. Con arreglo a la enmienda, no es posible renunciar a la protección mientras la propiedad está pignorada o hipotecada.</w:t>
      </w:r>
    </w:p>
    <w:p w:rsidR="00F92819" w:rsidRDefault="00F92819">
      <w:pPr>
        <w:pStyle w:val="H4G"/>
        <w:rPr>
          <w:szCs w:val="24"/>
        </w:rPr>
      </w:pPr>
      <w:r>
        <w:rPr>
          <w:szCs w:val="24"/>
        </w:rPr>
        <w:tab/>
      </w:r>
      <w:r>
        <w:rPr>
          <w:szCs w:val="24"/>
        </w:rPr>
        <w:tab/>
      </w:r>
      <w:r>
        <w:rPr>
          <w:szCs w:val="24"/>
          <w:lang w:val="es-ES_tradnl"/>
        </w:rPr>
        <w:t>Asequibilidad</w:t>
      </w:r>
    </w:p>
    <w:p w:rsidR="00F92819" w:rsidRDefault="00F92819">
      <w:pPr>
        <w:pStyle w:val="SingleTxtG"/>
        <w:spacing w:after="240"/>
        <w:rPr>
          <w:szCs w:val="24"/>
        </w:rPr>
      </w:pPr>
      <w:r>
        <w:rPr>
          <w:szCs w:val="24"/>
        </w:rPr>
        <w:t>433.</w:t>
      </w:r>
      <w:r>
        <w:rPr>
          <w:szCs w:val="24"/>
        </w:rPr>
        <w:tab/>
      </w:r>
      <w:r>
        <w:rPr>
          <w:szCs w:val="24"/>
          <w:lang w:val="es-ES_tradnl"/>
        </w:rPr>
        <w:t>Véase el desglose que figura en el cuadro siguiente.</w:t>
      </w:r>
    </w:p>
    <w:p w:rsidR="00F92819" w:rsidRDefault="00F92819">
      <w:pPr>
        <w:pStyle w:val="Heading1"/>
        <w:keepLines/>
        <w:spacing w:before="240"/>
        <w:rPr>
          <w:szCs w:val="24"/>
        </w:rPr>
      </w:pPr>
      <w:r>
        <w:rPr>
          <w:szCs w:val="24"/>
          <w:lang w:val="es-ES_tradnl"/>
        </w:rPr>
        <w:t>Cuadro 27</w:t>
      </w:r>
    </w:p>
    <w:p w:rsidR="00F92819" w:rsidRDefault="00F92819">
      <w:pPr>
        <w:pStyle w:val="SingleTxtG"/>
        <w:keepNext/>
        <w:keepLines/>
        <w:jc w:val="left"/>
        <w:rPr>
          <w:b/>
          <w:szCs w:val="24"/>
        </w:rPr>
      </w:pPr>
      <w:r>
        <w:rPr>
          <w:b/>
          <w:szCs w:val="24"/>
          <w:lang w:val="es-ES_tradnl"/>
        </w:rPr>
        <w:t>Datos sobre la vivienda, por deciles de hogares, por ingresos netos y por persona estándar, 2006</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400"/>
        <w:gridCol w:w="658"/>
        <w:gridCol w:w="658"/>
        <w:gridCol w:w="658"/>
        <w:gridCol w:w="658"/>
        <w:gridCol w:w="658"/>
        <w:gridCol w:w="658"/>
        <w:gridCol w:w="658"/>
        <w:gridCol w:w="658"/>
        <w:gridCol w:w="658"/>
        <w:gridCol w:w="658"/>
        <w:gridCol w:w="20"/>
        <w:gridCol w:w="639"/>
      </w:tblGrid>
      <w:tr w:rsidR="00F92819">
        <w:trPr>
          <w:tblHeader/>
        </w:trPr>
        <w:tc>
          <w:tcPr>
            <w:tcW w:w="2400" w:type="dxa"/>
            <w:tcBorders>
              <w:top w:val="single" w:sz="4" w:space="0" w:color="auto"/>
            </w:tcBorders>
            <w:vAlign w:val="bottom"/>
          </w:tcPr>
          <w:p w:rsidR="00F92819" w:rsidRDefault="00F92819">
            <w:pPr>
              <w:keepNext/>
              <w:keepLines/>
              <w:spacing w:before="80" w:after="80" w:line="200" w:lineRule="exact"/>
              <w:rPr>
                <w:i/>
                <w:sz w:val="16"/>
                <w:szCs w:val="24"/>
              </w:rPr>
            </w:pPr>
          </w:p>
        </w:tc>
        <w:tc>
          <w:tcPr>
            <w:tcW w:w="6600" w:type="dxa"/>
            <w:gridSpan w:val="11"/>
            <w:tcBorders>
              <w:top w:val="single" w:sz="4" w:space="0" w:color="auto"/>
              <w:bottom w:val="single" w:sz="4" w:space="0" w:color="auto"/>
            </w:tcBorders>
            <w:vAlign w:val="bottom"/>
          </w:tcPr>
          <w:p w:rsidR="00F92819" w:rsidRDefault="00F92819">
            <w:pPr>
              <w:keepNext/>
              <w:keepLines/>
              <w:spacing w:before="80" w:after="80" w:line="200" w:lineRule="exact"/>
              <w:jc w:val="center"/>
              <w:rPr>
                <w:szCs w:val="24"/>
              </w:rPr>
            </w:pPr>
            <w:r>
              <w:rPr>
                <w:i/>
                <w:sz w:val="16"/>
                <w:szCs w:val="24"/>
                <w:lang w:val="es-ES_tradnl"/>
              </w:rPr>
              <w:t>Deciles</w:t>
            </w:r>
          </w:p>
        </w:tc>
        <w:tc>
          <w:tcPr>
            <w:tcW w:w="639" w:type="dxa"/>
            <w:tcBorders>
              <w:top w:val="single" w:sz="4" w:space="0" w:color="auto"/>
            </w:tcBorders>
            <w:vAlign w:val="bottom"/>
          </w:tcPr>
          <w:p w:rsidR="00F92819" w:rsidRDefault="00F92819">
            <w:pPr>
              <w:keepNext/>
              <w:keepLines/>
              <w:spacing w:before="80" w:after="80" w:line="200" w:lineRule="exact"/>
              <w:jc w:val="right"/>
              <w:rPr>
                <w:i/>
                <w:sz w:val="16"/>
                <w:szCs w:val="24"/>
              </w:rPr>
            </w:pPr>
          </w:p>
        </w:tc>
      </w:tr>
      <w:tr w:rsidR="00F92819">
        <w:trPr>
          <w:tblHeader/>
        </w:trPr>
        <w:tc>
          <w:tcPr>
            <w:tcW w:w="2400" w:type="dxa"/>
            <w:tcBorders>
              <w:bottom w:val="single" w:sz="12" w:space="0" w:color="auto"/>
            </w:tcBorders>
            <w:vAlign w:val="bottom"/>
          </w:tcPr>
          <w:p w:rsidR="00F92819" w:rsidRDefault="00F92819">
            <w:pPr>
              <w:keepNext/>
              <w:keepLines/>
              <w:spacing w:before="80" w:after="80" w:line="200" w:lineRule="exact"/>
              <w:rPr>
                <w:i/>
                <w:sz w:val="16"/>
                <w:szCs w:val="24"/>
              </w:rPr>
            </w:pPr>
          </w:p>
        </w:tc>
        <w:tc>
          <w:tcPr>
            <w:tcW w:w="658"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10</w:t>
            </w:r>
          </w:p>
        </w:tc>
        <w:tc>
          <w:tcPr>
            <w:tcW w:w="658"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9</w:t>
            </w:r>
          </w:p>
        </w:tc>
        <w:tc>
          <w:tcPr>
            <w:tcW w:w="658"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8</w:t>
            </w:r>
          </w:p>
        </w:tc>
        <w:tc>
          <w:tcPr>
            <w:tcW w:w="658"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7</w:t>
            </w:r>
          </w:p>
        </w:tc>
        <w:tc>
          <w:tcPr>
            <w:tcW w:w="658"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6</w:t>
            </w:r>
          </w:p>
        </w:tc>
        <w:tc>
          <w:tcPr>
            <w:tcW w:w="658"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5</w:t>
            </w:r>
          </w:p>
        </w:tc>
        <w:tc>
          <w:tcPr>
            <w:tcW w:w="658"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4</w:t>
            </w:r>
          </w:p>
        </w:tc>
        <w:tc>
          <w:tcPr>
            <w:tcW w:w="658"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3</w:t>
            </w:r>
          </w:p>
        </w:tc>
        <w:tc>
          <w:tcPr>
            <w:tcW w:w="658"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2</w:t>
            </w:r>
          </w:p>
        </w:tc>
        <w:tc>
          <w:tcPr>
            <w:tcW w:w="658"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1</w:t>
            </w:r>
          </w:p>
        </w:tc>
        <w:tc>
          <w:tcPr>
            <w:tcW w:w="659" w:type="dxa"/>
            <w:gridSpan w:val="2"/>
            <w:tcBorders>
              <w:bottom w:val="single" w:sz="12" w:space="0" w:color="auto"/>
            </w:tcBorders>
            <w:vAlign w:val="bottom"/>
          </w:tcPr>
          <w:p w:rsidR="00F92819" w:rsidRDefault="00F92819">
            <w:pPr>
              <w:keepNext/>
              <w:keepLines/>
              <w:spacing w:before="80" w:after="80" w:line="200" w:lineRule="exact"/>
              <w:jc w:val="right"/>
              <w:rPr>
                <w:szCs w:val="24"/>
              </w:rPr>
            </w:pPr>
            <w:r>
              <w:rPr>
                <w:b/>
                <w:i/>
                <w:sz w:val="16"/>
                <w:szCs w:val="24"/>
                <w:lang w:val="es-ES_tradnl"/>
              </w:rPr>
              <w:t>Total</w:t>
            </w:r>
          </w:p>
        </w:tc>
      </w:tr>
      <w:tr w:rsidR="00F92819">
        <w:tc>
          <w:tcPr>
            <w:tcW w:w="2400" w:type="dxa"/>
            <w:tcBorders>
              <w:top w:val="single" w:sz="12" w:space="0" w:color="auto"/>
            </w:tcBorders>
            <w:vAlign w:val="bottom"/>
          </w:tcPr>
          <w:p w:rsidR="00F92819" w:rsidRDefault="00F92819">
            <w:pPr>
              <w:keepNext/>
              <w:keepLines/>
              <w:spacing w:before="80" w:after="80" w:line="200" w:lineRule="exact"/>
              <w:rPr>
                <w:szCs w:val="24"/>
              </w:rPr>
            </w:pPr>
            <w:r>
              <w:rPr>
                <w:i/>
                <w:sz w:val="16"/>
                <w:szCs w:val="24"/>
                <w:lang w:val="es-ES_tradnl"/>
              </w:rPr>
              <w:t>Viviendas de propiedad de los ocupantes</w:t>
            </w:r>
          </w:p>
        </w:tc>
        <w:tc>
          <w:tcPr>
            <w:tcW w:w="658" w:type="dxa"/>
            <w:tcBorders>
              <w:top w:val="single" w:sz="12" w:space="0" w:color="auto"/>
            </w:tcBorders>
            <w:vAlign w:val="bottom"/>
          </w:tcPr>
          <w:p w:rsidR="00F92819" w:rsidRDefault="00F92819">
            <w:pPr>
              <w:keepNext/>
              <w:keepLines/>
              <w:spacing w:before="80" w:after="80" w:line="200" w:lineRule="exact"/>
              <w:jc w:val="right"/>
              <w:rPr>
                <w:i/>
                <w:sz w:val="16"/>
                <w:szCs w:val="24"/>
              </w:rPr>
            </w:pPr>
          </w:p>
        </w:tc>
        <w:tc>
          <w:tcPr>
            <w:tcW w:w="658" w:type="dxa"/>
            <w:tcBorders>
              <w:top w:val="single" w:sz="12" w:space="0" w:color="auto"/>
            </w:tcBorders>
            <w:vAlign w:val="bottom"/>
          </w:tcPr>
          <w:p w:rsidR="00F92819" w:rsidRDefault="00F92819">
            <w:pPr>
              <w:keepNext/>
              <w:keepLines/>
              <w:spacing w:before="80" w:after="80" w:line="200" w:lineRule="exact"/>
              <w:jc w:val="right"/>
              <w:rPr>
                <w:i/>
                <w:sz w:val="16"/>
                <w:szCs w:val="24"/>
              </w:rPr>
            </w:pPr>
          </w:p>
        </w:tc>
        <w:tc>
          <w:tcPr>
            <w:tcW w:w="658" w:type="dxa"/>
            <w:tcBorders>
              <w:top w:val="single" w:sz="12" w:space="0" w:color="auto"/>
            </w:tcBorders>
            <w:vAlign w:val="bottom"/>
          </w:tcPr>
          <w:p w:rsidR="00F92819" w:rsidRDefault="00F92819">
            <w:pPr>
              <w:keepNext/>
              <w:keepLines/>
              <w:spacing w:before="80" w:after="80" w:line="200" w:lineRule="exact"/>
              <w:jc w:val="right"/>
              <w:rPr>
                <w:i/>
                <w:sz w:val="16"/>
                <w:szCs w:val="24"/>
              </w:rPr>
            </w:pPr>
          </w:p>
        </w:tc>
        <w:tc>
          <w:tcPr>
            <w:tcW w:w="658" w:type="dxa"/>
            <w:tcBorders>
              <w:top w:val="single" w:sz="12" w:space="0" w:color="auto"/>
            </w:tcBorders>
            <w:vAlign w:val="bottom"/>
          </w:tcPr>
          <w:p w:rsidR="00F92819" w:rsidRDefault="00F92819">
            <w:pPr>
              <w:keepNext/>
              <w:keepLines/>
              <w:spacing w:before="80" w:after="80" w:line="200" w:lineRule="exact"/>
              <w:jc w:val="right"/>
              <w:rPr>
                <w:i/>
                <w:sz w:val="16"/>
                <w:szCs w:val="24"/>
              </w:rPr>
            </w:pPr>
          </w:p>
        </w:tc>
        <w:tc>
          <w:tcPr>
            <w:tcW w:w="658" w:type="dxa"/>
            <w:tcBorders>
              <w:top w:val="single" w:sz="12" w:space="0" w:color="auto"/>
            </w:tcBorders>
            <w:vAlign w:val="bottom"/>
          </w:tcPr>
          <w:p w:rsidR="00F92819" w:rsidRDefault="00F92819">
            <w:pPr>
              <w:keepNext/>
              <w:keepLines/>
              <w:spacing w:before="80" w:after="80" w:line="200" w:lineRule="exact"/>
              <w:jc w:val="right"/>
              <w:rPr>
                <w:i/>
                <w:sz w:val="16"/>
                <w:szCs w:val="24"/>
              </w:rPr>
            </w:pPr>
          </w:p>
        </w:tc>
        <w:tc>
          <w:tcPr>
            <w:tcW w:w="658" w:type="dxa"/>
            <w:tcBorders>
              <w:top w:val="single" w:sz="12" w:space="0" w:color="auto"/>
            </w:tcBorders>
            <w:vAlign w:val="bottom"/>
          </w:tcPr>
          <w:p w:rsidR="00F92819" w:rsidRDefault="00F92819">
            <w:pPr>
              <w:keepNext/>
              <w:keepLines/>
              <w:spacing w:before="80" w:after="80" w:line="200" w:lineRule="exact"/>
              <w:jc w:val="right"/>
              <w:rPr>
                <w:i/>
                <w:sz w:val="16"/>
                <w:szCs w:val="24"/>
              </w:rPr>
            </w:pPr>
          </w:p>
        </w:tc>
        <w:tc>
          <w:tcPr>
            <w:tcW w:w="658" w:type="dxa"/>
            <w:tcBorders>
              <w:top w:val="single" w:sz="12" w:space="0" w:color="auto"/>
            </w:tcBorders>
            <w:vAlign w:val="bottom"/>
          </w:tcPr>
          <w:p w:rsidR="00F92819" w:rsidRDefault="00F92819">
            <w:pPr>
              <w:keepNext/>
              <w:keepLines/>
              <w:spacing w:before="80" w:after="80" w:line="200" w:lineRule="exact"/>
              <w:jc w:val="right"/>
              <w:rPr>
                <w:i/>
                <w:sz w:val="16"/>
                <w:szCs w:val="24"/>
              </w:rPr>
            </w:pPr>
          </w:p>
        </w:tc>
        <w:tc>
          <w:tcPr>
            <w:tcW w:w="658" w:type="dxa"/>
            <w:tcBorders>
              <w:top w:val="single" w:sz="12" w:space="0" w:color="auto"/>
            </w:tcBorders>
            <w:vAlign w:val="bottom"/>
          </w:tcPr>
          <w:p w:rsidR="00F92819" w:rsidRDefault="00F92819">
            <w:pPr>
              <w:keepNext/>
              <w:keepLines/>
              <w:spacing w:before="80" w:after="80" w:line="200" w:lineRule="exact"/>
              <w:jc w:val="right"/>
              <w:rPr>
                <w:i/>
                <w:sz w:val="16"/>
                <w:szCs w:val="24"/>
              </w:rPr>
            </w:pPr>
          </w:p>
        </w:tc>
        <w:tc>
          <w:tcPr>
            <w:tcW w:w="658" w:type="dxa"/>
            <w:tcBorders>
              <w:top w:val="single" w:sz="12" w:space="0" w:color="auto"/>
            </w:tcBorders>
            <w:vAlign w:val="bottom"/>
          </w:tcPr>
          <w:p w:rsidR="00F92819" w:rsidRDefault="00F92819">
            <w:pPr>
              <w:keepNext/>
              <w:keepLines/>
              <w:spacing w:before="80" w:after="80" w:line="200" w:lineRule="exact"/>
              <w:jc w:val="right"/>
              <w:rPr>
                <w:i/>
                <w:sz w:val="16"/>
                <w:szCs w:val="24"/>
              </w:rPr>
            </w:pPr>
          </w:p>
        </w:tc>
        <w:tc>
          <w:tcPr>
            <w:tcW w:w="658" w:type="dxa"/>
            <w:tcBorders>
              <w:top w:val="single" w:sz="12" w:space="0" w:color="auto"/>
            </w:tcBorders>
            <w:vAlign w:val="bottom"/>
          </w:tcPr>
          <w:p w:rsidR="00F92819" w:rsidRDefault="00F92819">
            <w:pPr>
              <w:keepNext/>
              <w:keepLines/>
              <w:spacing w:before="80" w:after="80" w:line="200" w:lineRule="exact"/>
              <w:jc w:val="right"/>
              <w:rPr>
                <w:i/>
                <w:sz w:val="16"/>
                <w:szCs w:val="24"/>
              </w:rPr>
            </w:pPr>
          </w:p>
        </w:tc>
        <w:tc>
          <w:tcPr>
            <w:tcW w:w="659" w:type="dxa"/>
            <w:gridSpan w:val="2"/>
            <w:tcBorders>
              <w:top w:val="single" w:sz="12" w:space="0" w:color="auto"/>
            </w:tcBorders>
          </w:tcPr>
          <w:p w:rsidR="00F92819" w:rsidRDefault="00F92819">
            <w:pPr>
              <w:keepNext/>
              <w:keepLines/>
              <w:spacing w:before="80" w:after="80" w:line="200" w:lineRule="exact"/>
              <w:jc w:val="right"/>
              <w:rPr>
                <w:i/>
                <w:sz w:val="16"/>
                <w:szCs w:val="24"/>
              </w:rPr>
            </w:pPr>
          </w:p>
        </w:tc>
      </w:tr>
      <w:tr w:rsidR="00F92819">
        <w:tc>
          <w:tcPr>
            <w:tcW w:w="2400" w:type="dxa"/>
            <w:vAlign w:val="center"/>
          </w:tcPr>
          <w:p w:rsidR="00F92819" w:rsidRDefault="00F92819">
            <w:pPr>
              <w:spacing w:before="40" w:after="40" w:line="220" w:lineRule="exact"/>
              <w:rPr>
                <w:szCs w:val="24"/>
              </w:rPr>
            </w:pPr>
            <w:r>
              <w:rPr>
                <w:sz w:val="18"/>
                <w:szCs w:val="24"/>
                <w:lang w:val="es-ES_tradnl"/>
              </w:rPr>
              <w:t>Hogares en la muestra</w:t>
            </w:r>
          </w:p>
        </w:tc>
        <w:tc>
          <w:tcPr>
            <w:tcW w:w="658" w:type="dxa"/>
          </w:tcPr>
          <w:p w:rsidR="00F92819" w:rsidRDefault="00F92819">
            <w:pPr>
              <w:spacing w:before="40" w:after="40" w:line="220" w:lineRule="exact"/>
              <w:jc w:val="right"/>
              <w:rPr>
                <w:sz w:val="18"/>
                <w:szCs w:val="24"/>
              </w:rPr>
            </w:pPr>
            <w:r>
              <w:rPr>
                <w:sz w:val="18"/>
                <w:szCs w:val="24"/>
              </w:rPr>
              <w:t>561</w:t>
            </w:r>
          </w:p>
        </w:tc>
        <w:tc>
          <w:tcPr>
            <w:tcW w:w="658" w:type="dxa"/>
          </w:tcPr>
          <w:p w:rsidR="00F92819" w:rsidRDefault="00F92819">
            <w:pPr>
              <w:spacing w:before="40" w:after="40" w:line="220" w:lineRule="exact"/>
              <w:jc w:val="right"/>
              <w:rPr>
                <w:sz w:val="18"/>
                <w:szCs w:val="24"/>
              </w:rPr>
            </w:pPr>
            <w:r>
              <w:rPr>
                <w:sz w:val="18"/>
                <w:szCs w:val="24"/>
              </w:rPr>
              <w:t>527</w:t>
            </w:r>
          </w:p>
        </w:tc>
        <w:tc>
          <w:tcPr>
            <w:tcW w:w="658" w:type="dxa"/>
          </w:tcPr>
          <w:p w:rsidR="00F92819" w:rsidRDefault="00F92819">
            <w:pPr>
              <w:spacing w:before="40" w:after="40" w:line="220" w:lineRule="exact"/>
              <w:jc w:val="right"/>
              <w:rPr>
                <w:sz w:val="18"/>
                <w:szCs w:val="24"/>
              </w:rPr>
            </w:pPr>
            <w:r>
              <w:rPr>
                <w:sz w:val="18"/>
                <w:szCs w:val="24"/>
              </w:rPr>
              <w:t>554</w:t>
            </w:r>
          </w:p>
        </w:tc>
        <w:tc>
          <w:tcPr>
            <w:tcW w:w="658" w:type="dxa"/>
          </w:tcPr>
          <w:p w:rsidR="00F92819" w:rsidRDefault="00F92819">
            <w:pPr>
              <w:spacing w:before="40" w:after="40" w:line="220" w:lineRule="exact"/>
              <w:jc w:val="right"/>
              <w:rPr>
                <w:sz w:val="18"/>
                <w:szCs w:val="24"/>
              </w:rPr>
            </w:pPr>
            <w:r>
              <w:rPr>
                <w:sz w:val="18"/>
                <w:szCs w:val="24"/>
              </w:rPr>
              <w:t>482</w:t>
            </w:r>
          </w:p>
        </w:tc>
        <w:tc>
          <w:tcPr>
            <w:tcW w:w="658" w:type="dxa"/>
          </w:tcPr>
          <w:p w:rsidR="00F92819" w:rsidRDefault="00F92819">
            <w:pPr>
              <w:spacing w:before="40" w:after="40" w:line="220" w:lineRule="exact"/>
              <w:jc w:val="right"/>
              <w:rPr>
                <w:sz w:val="18"/>
                <w:szCs w:val="24"/>
              </w:rPr>
            </w:pPr>
            <w:r>
              <w:rPr>
                <w:sz w:val="18"/>
                <w:szCs w:val="24"/>
              </w:rPr>
              <w:t>476</w:t>
            </w:r>
          </w:p>
        </w:tc>
        <w:tc>
          <w:tcPr>
            <w:tcW w:w="658" w:type="dxa"/>
          </w:tcPr>
          <w:p w:rsidR="00F92819" w:rsidRDefault="00F92819">
            <w:pPr>
              <w:spacing w:before="40" w:after="40" w:line="220" w:lineRule="exact"/>
              <w:jc w:val="right"/>
              <w:rPr>
                <w:sz w:val="18"/>
                <w:szCs w:val="24"/>
              </w:rPr>
            </w:pPr>
            <w:r>
              <w:rPr>
                <w:sz w:val="18"/>
                <w:szCs w:val="24"/>
              </w:rPr>
              <w:t>441</w:t>
            </w:r>
          </w:p>
        </w:tc>
        <w:tc>
          <w:tcPr>
            <w:tcW w:w="658" w:type="dxa"/>
          </w:tcPr>
          <w:p w:rsidR="00F92819" w:rsidRDefault="00F92819">
            <w:pPr>
              <w:spacing w:before="40" w:after="40" w:line="220" w:lineRule="exact"/>
              <w:jc w:val="right"/>
              <w:rPr>
                <w:sz w:val="18"/>
                <w:szCs w:val="24"/>
              </w:rPr>
            </w:pPr>
            <w:r>
              <w:rPr>
                <w:sz w:val="18"/>
                <w:szCs w:val="24"/>
              </w:rPr>
              <w:t>424</w:t>
            </w:r>
          </w:p>
        </w:tc>
        <w:tc>
          <w:tcPr>
            <w:tcW w:w="658" w:type="dxa"/>
          </w:tcPr>
          <w:p w:rsidR="00F92819" w:rsidRDefault="00F92819">
            <w:pPr>
              <w:spacing w:before="40" w:after="40" w:line="220" w:lineRule="exact"/>
              <w:jc w:val="right"/>
              <w:rPr>
                <w:sz w:val="18"/>
                <w:szCs w:val="24"/>
              </w:rPr>
            </w:pPr>
            <w:r>
              <w:rPr>
                <w:sz w:val="18"/>
                <w:szCs w:val="24"/>
              </w:rPr>
              <w:t>393</w:t>
            </w:r>
          </w:p>
        </w:tc>
        <w:tc>
          <w:tcPr>
            <w:tcW w:w="658" w:type="dxa"/>
          </w:tcPr>
          <w:p w:rsidR="00F92819" w:rsidRDefault="00F92819">
            <w:pPr>
              <w:spacing w:before="40" w:after="40" w:line="220" w:lineRule="exact"/>
              <w:jc w:val="right"/>
              <w:rPr>
                <w:sz w:val="18"/>
                <w:szCs w:val="24"/>
              </w:rPr>
            </w:pPr>
            <w:r>
              <w:rPr>
                <w:sz w:val="18"/>
                <w:szCs w:val="24"/>
              </w:rPr>
              <w:t>328</w:t>
            </w:r>
          </w:p>
        </w:tc>
        <w:tc>
          <w:tcPr>
            <w:tcW w:w="658" w:type="dxa"/>
          </w:tcPr>
          <w:p w:rsidR="00F92819" w:rsidRDefault="00F92819">
            <w:pPr>
              <w:spacing w:before="40" w:after="40" w:line="220" w:lineRule="exact"/>
              <w:jc w:val="right"/>
              <w:rPr>
                <w:sz w:val="18"/>
                <w:szCs w:val="24"/>
              </w:rPr>
            </w:pPr>
            <w:r>
              <w:rPr>
                <w:sz w:val="18"/>
                <w:szCs w:val="24"/>
              </w:rPr>
              <w:t>241</w:t>
            </w:r>
          </w:p>
        </w:tc>
        <w:tc>
          <w:tcPr>
            <w:tcW w:w="659" w:type="dxa"/>
            <w:gridSpan w:val="2"/>
          </w:tcPr>
          <w:p w:rsidR="00F92819" w:rsidRDefault="00F92819">
            <w:pPr>
              <w:spacing w:before="40" w:after="40" w:line="220" w:lineRule="exact"/>
              <w:jc w:val="right"/>
              <w:rPr>
                <w:b/>
                <w:sz w:val="18"/>
                <w:szCs w:val="24"/>
              </w:rPr>
            </w:pPr>
            <w:r>
              <w:rPr>
                <w:b/>
                <w:sz w:val="18"/>
                <w:szCs w:val="24"/>
              </w:rPr>
              <w:t>4 427</w:t>
            </w:r>
          </w:p>
        </w:tc>
      </w:tr>
      <w:tr w:rsidR="00F92819">
        <w:tc>
          <w:tcPr>
            <w:tcW w:w="2400" w:type="dxa"/>
            <w:vAlign w:val="center"/>
          </w:tcPr>
          <w:p w:rsidR="00F92819" w:rsidRDefault="00F92819">
            <w:pPr>
              <w:spacing w:before="40" w:after="40" w:line="220" w:lineRule="exact"/>
              <w:rPr>
                <w:szCs w:val="24"/>
              </w:rPr>
            </w:pPr>
            <w:r>
              <w:rPr>
                <w:sz w:val="18"/>
                <w:szCs w:val="24"/>
                <w:lang w:val="es-ES_tradnl"/>
              </w:rPr>
              <w:t>Hogares en la población (en miles)</w:t>
            </w:r>
          </w:p>
        </w:tc>
        <w:tc>
          <w:tcPr>
            <w:tcW w:w="658" w:type="dxa"/>
          </w:tcPr>
          <w:p w:rsidR="00F92819" w:rsidRDefault="00F92819">
            <w:pPr>
              <w:spacing w:before="40" w:after="40" w:line="220" w:lineRule="exact"/>
              <w:jc w:val="right"/>
              <w:rPr>
                <w:sz w:val="18"/>
                <w:szCs w:val="24"/>
              </w:rPr>
            </w:pPr>
            <w:r>
              <w:rPr>
                <w:sz w:val="18"/>
                <w:szCs w:val="24"/>
              </w:rPr>
              <w:t>167,1</w:t>
            </w:r>
          </w:p>
        </w:tc>
        <w:tc>
          <w:tcPr>
            <w:tcW w:w="658" w:type="dxa"/>
          </w:tcPr>
          <w:p w:rsidR="00F92819" w:rsidRDefault="00F92819">
            <w:pPr>
              <w:spacing w:before="40" w:after="40" w:line="220" w:lineRule="exact"/>
              <w:jc w:val="right"/>
              <w:rPr>
                <w:sz w:val="18"/>
                <w:szCs w:val="24"/>
              </w:rPr>
            </w:pPr>
            <w:r>
              <w:rPr>
                <w:sz w:val="18"/>
                <w:szCs w:val="24"/>
              </w:rPr>
              <w:t>163,6</w:t>
            </w:r>
          </w:p>
        </w:tc>
        <w:tc>
          <w:tcPr>
            <w:tcW w:w="658" w:type="dxa"/>
          </w:tcPr>
          <w:p w:rsidR="00F92819" w:rsidRDefault="00F92819">
            <w:pPr>
              <w:spacing w:before="40" w:after="40" w:line="220" w:lineRule="exact"/>
              <w:jc w:val="right"/>
              <w:rPr>
                <w:sz w:val="18"/>
                <w:szCs w:val="24"/>
              </w:rPr>
            </w:pPr>
            <w:r>
              <w:rPr>
                <w:sz w:val="18"/>
                <w:szCs w:val="24"/>
              </w:rPr>
              <w:t>169</w:t>
            </w:r>
          </w:p>
        </w:tc>
        <w:tc>
          <w:tcPr>
            <w:tcW w:w="658" w:type="dxa"/>
          </w:tcPr>
          <w:p w:rsidR="00F92819" w:rsidRDefault="00F92819">
            <w:pPr>
              <w:spacing w:before="40" w:after="40" w:line="220" w:lineRule="exact"/>
              <w:jc w:val="right"/>
              <w:rPr>
                <w:sz w:val="18"/>
                <w:szCs w:val="24"/>
              </w:rPr>
            </w:pPr>
            <w:r>
              <w:rPr>
                <w:sz w:val="18"/>
                <w:szCs w:val="24"/>
              </w:rPr>
              <w:t>159,2</w:t>
            </w:r>
          </w:p>
        </w:tc>
        <w:tc>
          <w:tcPr>
            <w:tcW w:w="658" w:type="dxa"/>
          </w:tcPr>
          <w:p w:rsidR="00F92819" w:rsidRDefault="00F92819">
            <w:pPr>
              <w:spacing w:before="40" w:after="40" w:line="220" w:lineRule="exact"/>
              <w:jc w:val="right"/>
              <w:rPr>
                <w:sz w:val="18"/>
                <w:szCs w:val="24"/>
              </w:rPr>
            </w:pPr>
            <w:r>
              <w:rPr>
                <w:sz w:val="18"/>
                <w:szCs w:val="24"/>
              </w:rPr>
              <w:t>152,1</w:t>
            </w:r>
          </w:p>
        </w:tc>
        <w:tc>
          <w:tcPr>
            <w:tcW w:w="658" w:type="dxa"/>
          </w:tcPr>
          <w:p w:rsidR="00F92819" w:rsidRDefault="00F92819">
            <w:pPr>
              <w:spacing w:before="40" w:after="40" w:line="220" w:lineRule="exact"/>
              <w:jc w:val="right"/>
              <w:rPr>
                <w:sz w:val="18"/>
                <w:szCs w:val="24"/>
              </w:rPr>
            </w:pPr>
            <w:r>
              <w:rPr>
                <w:sz w:val="18"/>
                <w:szCs w:val="24"/>
              </w:rPr>
              <w:t>143,1</w:t>
            </w:r>
          </w:p>
        </w:tc>
        <w:tc>
          <w:tcPr>
            <w:tcW w:w="658" w:type="dxa"/>
          </w:tcPr>
          <w:p w:rsidR="00F92819" w:rsidRDefault="00F92819">
            <w:pPr>
              <w:spacing w:before="40" w:after="40" w:line="220" w:lineRule="exact"/>
              <w:jc w:val="right"/>
              <w:rPr>
                <w:sz w:val="18"/>
                <w:szCs w:val="24"/>
              </w:rPr>
            </w:pPr>
            <w:r>
              <w:rPr>
                <w:sz w:val="18"/>
                <w:szCs w:val="24"/>
              </w:rPr>
              <w:t>133,3</w:t>
            </w:r>
          </w:p>
        </w:tc>
        <w:tc>
          <w:tcPr>
            <w:tcW w:w="658" w:type="dxa"/>
          </w:tcPr>
          <w:p w:rsidR="00F92819" w:rsidRDefault="00F92819">
            <w:pPr>
              <w:spacing w:before="40" w:after="40" w:line="220" w:lineRule="exact"/>
              <w:jc w:val="right"/>
              <w:rPr>
                <w:sz w:val="18"/>
                <w:szCs w:val="24"/>
              </w:rPr>
            </w:pPr>
            <w:r>
              <w:rPr>
                <w:sz w:val="18"/>
                <w:szCs w:val="24"/>
              </w:rPr>
              <w:t>129,3</w:t>
            </w:r>
          </w:p>
        </w:tc>
        <w:tc>
          <w:tcPr>
            <w:tcW w:w="658" w:type="dxa"/>
          </w:tcPr>
          <w:p w:rsidR="00F92819" w:rsidRDefault="00F92819">
            <w:pPr>
              <w:spacing w:before="40" w:after="40" w:line="220" w:lineRule="exact"/>
              <w:jc w:val="right"/>
              <w:rPr>
                <w:sz w:val="18"/>
                <w:szCs w:val="24"/>
              </w:rPr>
            </w:pPr>
            <w:r>
              <w:rPr>
                <w:sz w:val="18"/>
                <w:szCs w:val="24"/>
              </w:rPr>
              <w:t>106,6</w:t>
            </w:r>
          </w:p>
        </w:tc>
        <w:tc>
          <w:tcPr>
            <w:tcW w:w="658" w:type="dxa"/>
          </w:tcPr>
          <w:p w:rsidR="00F92819" w:rsidRDefault="00F92819">
            <w:pPr>
              <w:spacing w:before="40" w:after="40" w:line="220" w:lineRule="exact"/>
              <w:jc w:val="right"/>
              <w:rPr>
                <w:sz w:val="18"/>
                <w:szCs w:val="24"/>
              </w:rPr>
            </w:pPr>
            <w:r>
              <w:rPr>
                <w:sz w:val="18"/>
                <w:szCs w:val="24"/>
              </w:rPr>
              <w:t>85,2</w:t>
            </w:r>
          </w:p>
        </w:tc>
        <w:tc>
          <w:tcPr>
            <w:tcW w:w="659" w:type="dxa"/>
            <w:gridSpan w:val="2"/>
          </w:tcPr>
          <w:p w:rsidR="00F92819" w:rsidRDefault="00F92819">
            <w:pPr>
              <w:spacing w:before="40" w:after="40" w:line="220" w:lineRule="exact"/>
              <w:jc w:val="right"/>
              <w:rPr>
                <w:b/>
                <w:sz w:val="18"/>
                <w:szCs w:val="24"/>
              </w:rPr>
            </w:pPr>
            <w:r>
              <w:rPr>
                <w:b/>
                <w:sz w:val="18"/>
                <w:szCs w:val="24"/>
              </w:rPr>
              <w:t>1 408,5</w:t>
            </w:r>
          </w:p>
        </w:tc>
      </w:tr>
      <w:tr w:rsidR="00F92819">
        <w:tc>
          <w:tcPr>
            <w:tcW w:w="2400" w:type="dxa"/>
            <w:vAlign w:val="center"/>
          </w:tcPr>
          <w:p w:rsidR="00F92819" w:rsidRDefault="00F92819">
            <w:pPr>
              <w:spacing w:before="40" w:after="40" w:line="220" w:lineRule="exact"/>
              <w:rPr>
                <w:szCs w:val="24"/>
              </w:rPr>
            </w:pPr>
            <w:r>
              <w:rPr>
                <w:sz w:val="18"/>
                <w:szCs w:val="24"/>
                <w:lang w:val="es-ES_tradnl"/>
              </w:rPr>
              <w:t>Promedio de personas por hogar</w:t>
            </w:r>
          </w:p>
        </w:tc>
        <w:tc>
          <w:tcPr>
            <w:tcW w:w="658" w:type="dxa"/>
          </w:tcPr>
          <w:p w:rsidR="00F92819" w:rsidRDefault="00F92819">
            <w:pPr>
              <w:spacing w:before="40" w:after="40" w:line="220" w:lineRule="exact"/>
              <w:jc w:val="right"/>
              <w:rPr>
                <w:sz w:val="18"/>
                <w:szCs w:val="24"/>
              </w:rPr>
            </w:pPr>
            <w:r>
              <w:rPr>
                <w:sz w:val="18"/>
                <w:szCs w:val="24"/>
              </w:rPr>
              <w:t>2,7</w:t>
            </w:r>
          </w:p>
        </w:tc>
        <w:tc>
          <w:tcPr>
            <w:tcW w:w="658" w:type="dxa"/>
          </w:tcPr>
          <w:p w:rsidR="00F92819" w:rsidRDefault="00F92819">
            <w:pPr>
              <w:spacing w:before="40" w:after="40" w:line="220" w:lineRule="exact"/>
              <w:jc w:val="right"/>
              <w:rPr>
                <w:sz w:val="18"/>
                <w:szCs w:val="24"/>
              </w:rPr>
            </w:pPr>
            <w:r>
              <w:rPr>
                <w:sz w:val="18"/>
                <w:szCs w:val="24"/>
              </w:rPr>
              <w:t>2,9</w:t>
            </w:r>
          </w:p>
        </w:tc>
        <w:tc>
          <w:tcPr>
            <w:tcW w:w="658" w:type="dxa"/>
          </w:tcPr>
          <w:p w:rsidR="00F92819" w:rsidRDefault="00F92819">
            <w:pPr>
              <w:spacing w:before="40" w:after="40" w:line="220" w:lineRule="exact"/>
              <w:jc w:val="right"/>
              <w:rPr>
                <w:sz w:val="18"/>
                <w:szCs w:val="24"/>
              </w:rPr>
            </w:pPr>
            <w:r>
              <w:rPr>
                <w:sz w:val="18"/>
                <w:szCs w:val="24"/>
              </w:rPr>
              <w:t>3,2</w:t>
            </w:r>
          </w:p>
        </w:tc>
        <w:tc>
          <w:tcPr>
            <w:tcW w:w="658" w:type="dxa"/>
          </w:tcPr>
          <w:p w:rsidR="00F92819" w:rsidRDefault="00F92819">
            <w:pPr>
              <w:spacing w:before="40" w:after="40" w:line="220" w:lineRule="exact"/>
              <w:jc w:val="right"/>
              <w:rPr>
                <w:sz w:val="18"/>
                <w:szCs w:val="24"/>
              </w:rPr>
            </w:pPr>
            <w:r>
              <w:rPr>
                <w:sz w:val="18"/>
                <w:szCs w:val="24"/>
              </w:rPr>
              <w:t>3,2</w:t>
            </w:r>
          </w:p>
        </w:tc>
        <w:tc>
          <w:tcPr>
            <w:tcW w:w="658" w:type="dxa"/>
          </w:tcPr>
          <w:p w:rsidR="00F92819" w:rsidRDefault="00F92819">
            <w:pPr>
              <w:spacing w:before="40" w:after="40" w:line="220" w:lineRule="exact"/>
              <w:jc w:val="right"/>
              <w:rPr>
                <w:sz w:val="18"/>
                <w:szCs w:val="24"/>
              </w:rPr>
            </w:pPr>
            <w:r>
              <w:rPr>
                <w:sz w:val="18"/>
                <w:szCs w:val="24"/>
              </w:rPr>
              <w:t>3,5</w:t>
            </w:r>
          </w:p>
        </w:tc>
        <w:tc>
          <w:tcPr>
            <w:tcW w:w="658" w:type="dxa"/>
          </w:tcPr>
          <w:p w:rsidR="00F92819" w:rsidRDefault="00F92819">
            <w:pPr>
              <w:spacing w:before="40" w:after="40" w:line="220" w:lineRule="exact"/>
              <w:jc w:val="right"/>
              <w:rPr>
                <w:sz w:val="18"/>
                <w:szCs w:val="24"/>
              </w:rPr>
            </w:pPr>
            <w:r>
              <w:rPr>
                <w:sz w:val="18"/>
                <w:szCs w:val="24"/>
              </w:rPr>
              <w:t>3,5</w:t>
            </w:r>
          </w:p>
        </w:tc>
        <w:tc>
          <w:tcPr>
            <w:tcW w:w="658" w:type="dxa"/>
          </w:tcPr>
          <w:p w:rsidR="00F92819" w:rsidRDefault="00F92819">
            <w:pPr>
              <w:spacing w:before="40" w:after="40" w:line="220" w:lineRule="exact"/>
              <w:jc w:val="right"/>
              <w:rPr>
                <w:sz w:val="18"/>
                <w:szCs w:val="24"/>
              </w:rPr>
            </w:pPr>
            <w:r>
              <w:rPr>
                <w:sz w:val="18"/>
                <w:szCs w:val="24"/>
              </w:rPr>
              <w:t>3,5</w:t>
            </w:r>
          </w:p>
        </w:tc>
        <w:tc>
          <w:tcPr>
            <w:tcW w:w="658" w:type="dxa"/>
          </w:tcPr>
          <w:p w:rsidR="00F92819" w:rsidRDefault="00F92819">
            <w:pPr>
              <w:spacing w:before="40" w:after="40" w:line="220" w:lineRule="exact"/>
              <w:jc w:val="right"/>
              <w:rPr>
                <w:sz w:val="18"/>
                <w:szCs w:val="24"/>
              </w:rPr>
            </w:pPr>
            <w:r>
              <w:rPr>
                <w:sz w:val="18"/>
                <w:szCs w:val="24"/>
              </w:rPr>
              <w:t>4,1</w:t>
            </w:r>
          </w:p>
        </w:tc>
        <w:tc>
          <w:tcPr>
            <w:tcW w:w="658" w:type="dxa"/>
          </w:tcPr>
          <w:p w:rsidR="00F92819" w:rsidRDefault="00F92819">
            <w:pPr>
              <w:spacing w:before="40" w:after="40" w:line="220" w:lineRule="exact"/>
              <w:jc w:val="right"/>
              <w:rPr>
                <w:sz w:val="18"/>
                <w:szCs w:val="24"/>
              </w:rPr>
            </w:pPr>
            <w:r>
              <w:rPr>
                <w:sz w:val="18"/>
                <w:szCs w:val="24"/>
              </w:rPr>
              <w:t>4,9</w:t>
            </w:r>
          </w:p>
        </w:tc>
        <w:tc>
          <w:tcPr>
            <w:tcW w:w="658" w:type="dxa"/>
          </w:tcPr>
          <w:p w:rsidR="00F92819" w:rsidRDefault="00F92819">
            <w:pPr>
              <w:spacing w:before="40" w:after="40" w:line="220" w:lineRule="exact"/>
              <w:jc w:val="right"/>
              <w:rPr>
                <w:sz w:val="18"/>
                <w:szCs w:val="24"/>
              </w:rPr>
            </w:pPr>
            <w:r>
              <w:rPr>
                <w:sz w:val="18"/>
                <w:szCs w:val="24"/>
              </w:rPr>
              <w:t>6,4</w:t>
            </w:r>
          </w:p>
        </w:tc>
        <w:tc>
          <w:tcPr>
            <w:tcW w:w="659" w:type="dxa"/>
            <w:gridSpan w:val="2"/>
          </w:tcPr>
          <w:p w:rsidR="00F92819" w:rsidRDefault="00F92819">
            <w:pPr>
              <w:spacing w:before="40" w:after="40" w:line="220" w:lineRule="exact"/>
              <w:jc w:val="right"/>
              <w:rPr>
                <w:b/>
                <w:sz w:val="18"/>
                <w:szCs w:val="24"/>
              </w:rPr>
            </w:pPr>
            <w:r>
              <w:rPr>
                <w:b/>
                <w:sz w:val="18"/>
                <w:szCs w:val="24"/>
              </w:rPr>
              <w:t>3,6</w:t>
            </w:r>
          </w:p>
        </w:tc>
      </w:tr>
      <w:tr w:rsidR="00F92819">
        <w:tc>
          <w:tcPr>
            <w:tcW w:w="2400" w:type="dxa"/>
            <w:vAlign w:val="center"/>
          </w:tcPr>
          <w:p w:rsidR="00F92819" w:rsidRDefault="00F92819">
            <w:pPr>
              <w:spacing w:before="40" w:after="40" w:line="220" w:lineRule="exact"/>
              <w:rPr>
                <w:szCs w:val="24"/>
              </w:rPr>
            </w:pPr>
            <w:r>
              <w:rPr>
                <w:sz w:val="18"/>
                <w:szCs w:val="24"/>
                <w:lang w:val="es-ES_tradnl"/>
              </w:rPr>
              <w:t>Promedio de personas estándar en el hogar</w:t>
            </w:r>
          </w:p>
        </w:tc>
        <w:tc>
          <w:tcPr>
            <w:tcW w:w="658" w:type="dxa"/>
          </w:tcPr>
          <w:p w:rsidR="00F92819" w:rsidRDefault="00F92819">
            <w:pPr>
              <w:spacing w:before="40" w:after="40" w:line="220" w:lineRule="exact"/>
              <w:jc w:val="right"/>
              <w:rPr>
                <w:sz w:val="18"/>
                <w:szCs w:val="24"/>
              </w:rPr>
            </w:pPr>
            <w:r>
              <w:rPr>
                <w:sz w:val="18"/>
                <w:szCs w:val="24"/>
              </w:rPr>
              <w:t>2,4</w:t>
            </w:r>
          </w:p>
        </w:tc>
        <w:tc>
          <w:tcPr>
            <w:tcW w:w="658" w:type="dxa"/>
          </w:tcPr>
          <w:p w:rsidR="00F92819" w:rsidRDefault="00F92819">
            <w:pPr>
              <w:spacing w:before="40" w:after="40" w:line="220" w:lineRule="exact"/>
              <w:jc w:val="right"/>
              <w:rPr>
                <w:sz w:val="18"/>
                <w:szCs w:val="24"/>
              </w:rPr>
            </w:pPr>
            <w:r>
              <w:rPr>
                <w:sz w:val="18"/>
                <w:szCs w:val="24"/>
              </w:rPr>
              <w:t>2,5</w:t>
            </w:r>
          </w:p>
        </w:tc>
        <w:tc>
          <w:tcPr>
            <w:tcW w:w="658" w:type="dxa"/>
          </w:tcPr>
          <w:p w:rsidR="00F92819" w:rsidRDefault="00F92819">
            <w:pPr>
              <w:spacing w:before="40" w:after="40" w:line="220" w:lineRule="exact"/>
              <w:jc w:val="right"/>
              <w:rPr>
                <w:sz w:val="18"/>
                <w:szCs w:val="24"/>
              </w:rPr>
            </w:pPr>
            <w:r>
              <w:rPr>
                <w:sz w:val="18"/>
                <w:szCs w:val="24"/>
              </w:rPr>
              <w:t>2,7</w:t>
            </w:r>
          </w:p>
        </w:tc>
        <w:tc>
          <w:tcPr>
            <w:tcW w:w="658" w:type="dxa"/>
          </w:tcPr>
          <w:p w:rsidR="00F92819" w:rsidRDefault="00F92819">
            <w:pPr>
              <w:spacing w:before="40" w:after="40" w:line="220" w:lineRule="exact"/>
              <w:jc w:val="right"/>
              <w:rPr>
                <w:sz w:val="18"/>
                <w:szCs w:val="24"/>
              </w:rPr>
            </w:pPr>
            <w:r>
              <w:rPr>
                <w:sz w:val="18"/>
                <w:szCs w:val="24"/>
              </w:rPr>
              <w:t>2,7</w:t>
            </w:r>
          </w:p>
        </w:tc>
        <w:tc>
          <w:tcPr>
            <w:tcW w:w="658" w:type="dxa"/>
          </w:tcPr>
          <w:p w:rsidR="00F92819" w:rsidRDefault="00F92819">
            <w:pPr>
              <w:spacing w:before="40" w:after="40" w:line="220" w:lineRule="exact"/>
              <w:jc w:val="right"/>
              <w:rPr>
                <w:sz w:val="18"/>
                <w:szCs w:val="24"/>
              </w:rPr>
            </w:pPr>
            <w:r>
              <w:rPr>
                <w:sz w:val="18"/>
                <w:szCs w:val="24"/>
              </w:rPr>
              <w:t>2,8</w:t>
            </w:r>
          </w:p>
        </w:tc>
        <w:tc>
          <w:tcPr>
            <w:tcW w:w="658" w:type="dxa"/>
          </w:tcPr>
          <w:p w:rsidR="00F92819" w:rsidRDefault="00F92819">
            <w:pPr>
              <w:spacing w:before="40" w:after="40" w:line="220" w:lineRule="exact"/>
              <w:jc w:val="right"/>
              <w:rPr>
                <w:sz w:val="18"/>
                <w:szCs w:val="24"/>
              </w:rPr>
            </w:pPr>
            <w:r>
              <w:rPr>
                <w:sz w:val="18"/>
                <w:szCs w:val="24"/>
              </w:rPr>
              <w:t>2,9</w:t>
            </w:r>
          </w:p>
        </w:tc>
        <w:tc>
          <w:tcPr>
            <w:tcW w:w="658" w:type="dxa"/>
          </w:tcPr>
          <w:p w:rsidR="00F92819" w:rsidRDefault="00F92819">
            <w:pPr>
              <w:spacing w:before="40" w:after="40" w:line="220" w:lineRule="exact"/>
              <w:jc w:val="right"/>
              <w:rPr>
                <w:sz w:val="18"/>
                <w:szCs w:val="24"/>
              </w:rPr>
            </w:pPr>
            <w:r>
              <w:rPr>
                <w:sz w:val="18"/>
                <w:szCs w:val="24"/>
              </w:rPr>
              <w:t>2,8</w:t>
            </w:r>
          </w:p>
        </w:tc>
        <w:tc>
          <w:tcPr>
            <w:tcW w:w="658" w:type="dxa"/>
          </w:tcPr>
          <w:p w:rsidR="00F92819" w:rsidRDefault="00F92819">
            <w:pPr>
              <w:spacing w:before="40" w:after="40" w:line="220" w:lineRule="exact"/>
              <w:jc w:val="right"/>
              <w:rPr>
                <w:sz w:val="18"/>
                <w:szCs w:val="24"/>
              </w:rPr>
            </w:pPr>
            <w:r>
              <w:rPr>
                <w:sz w:val="18"/>
                <w:szCs w:val="24"/>
              </w:rPr>
              <w:t>3,2</w:t>
            </w:r>
          </w:p>
        </w:tc>
        <w:tc>
          <w:tcPr>
            <w:tcW w:w="658" w:type="dxa"/>
          </w:tcPr>
          <w:p w:rsidR="00F92819" w:rsidRDefault="00F92819">
            <w:pPr>
              <w:spacing w:before="40" w:after="40" w:line="220" w:lineRule="exact"/>
              <w:jc w:val="right"/>
              <w:rPr>
                <w:sz w:val="18"/>
                <w:szCs w:val="24"/>
              </w:rPr>
            </w:pPr>
            <w:r>
              <w:rPr>
                <w:sz w:val="18"/>
                <w:szCs w:val="24"/>
              </w:rPr>
              <w:t>3,6</w:t>
            </w:r>
          </w:p>
        </w:tc>
        <w:tc>
          <w:tcPr>
            <w:tcW w:w="658" w:type="dxa"/>
          </w:tcPr>
          <w:p w:rsidR="00F92819" w:rsidRDefault="00F92819">
            <w:pPr>
              <w:spacing w:before="40" w:after="40" w:line="220" w:lineRule="exact"/>
              <w:jc w:val="right"/>
              <w:rPr>
                <w:sz w:val="18"/>
                <w:szCs w:val="24"/>
              </w:rPr>
            </w:pPr>
            <w:r>
              <w:rPr>
                <w:sz w:val="18"/>
                <w:szCs w:val="24"/>
              </w:rPr>
              <w:t>4,4</w:t>
            </w:r>
          </w:p>
        </w:tc>
        <w:tc>
          <w:tcPr>
            <w:tcW w:w="659" w:type="dxa"/>
            <w:gridSpan w:val="2"/>
          </w:tcPr>
          <w:p w:rsidR="00F92819" w:rsidRDefault="00F92819">
            <w:pPr>
              <w:spacing w:before="40" w:after="40" w:line="220" w:lineRule="exact"/>
              <w:jc w:val="right"/>
              <w:rPr>
                <w:b/>
                <w:sz w:val="18"/>
                <w:szCs w:val="24"/>
              </w:rPr>
            </w:pPr>
            <w:r>
              <w:rPr>
                <w:b/>
                <w:sz w:val="18"/>
                <w:szCs w:val="24"/>
              </w:rPr>
              <w:t>2,9</w:t>
            </w:r>
          </w:p>
        </w:tc>
      </w:tr>
      <w:tr w:rsidR="00F92819">
        <w:tc>
          <w:tcPr>
            <w:tcW w:w="2400" w:type="dxa"/>
            <w:vAlign w:val="center"/>
          </w:tcPr>
          <w:p w:rsidR="00F92819" w:rsidRDefault="00F92819">
            <w:pPr>
              <w:spacing w:before="40" w:after="40" w:line="220" w:lineRule="exact"/>
              <w:rPr>
                <w:szCs w:val="24"/>
              </w:rPr>
            </w:pPr>
            <w:r>
              <w:rPr>
                <w:sz w:val="18"/>
                <w:szCs w:val="24"/>
                <w:lang w:val="es-ES_tradnl"/>
              </w:rPr>
              <w:t>Promedio de personas con ingresos en el hogar</w:t>
            </w:r>
          </w:p>
        </w:tc>
        <w:tc>
          <w:tcPr>
            <w:tcW w:w="658" w:type="dxa"/>
          </w:tcPr>
          <w:p w:rsidR="00F92819" w:rsidRDefault="00F92819">
            <w:pPr>
              <w:spacing w:before="40" w:after="40" w:line="220" w:lineRule="exact"/>
              <w:jc w:val="right"/>
              <w:rPr>
                <w:sz w:val="18"/>
                <w:szCs w:val="24"/>
              </w:rPr>
            </w:pPr>
            <w:r>
              <w:rPr>
                <w:sz w:val="18"/>
                <w:szCs w:val="24"/>
              </w:rPr>
              <w:t>1,6</w:t>
            </w:r>
          </w:p>
        </w:tc>
        <w:tc>
          <w:tcPr>
            <w:tcW w:w="658" w:type="dxa"/>
          </w:tcPr>
          <w:p w:rsidR="00F92819" w:rsidRDefault="00F92819">
            <w:pPr>
              <w:spacing w:before="40" w:after="40" w:line="220" w:lineRule="exact"/>
              <w:jc w:val="right"/>
              <w:rPr>
                <w:sz w:val="18"/>
                <w:szCs w:val="24"/>
              </w:rPr>
            </w:pPr>
            <w:r>
              <w:rPr>
                <w:sz w:val="18"/>
                <w:szCs w:val="24"/>
              </w:rPr>
              <w:t>1,5</w:t>
            </w:r>
          </w:p>
        </w:tc>
        <w:tc>
          <w:tcPr>
            <w:tcW w:w="658" w:type="dxa"/>
          </w:tcPr>
          <w:p w:rsidR="00F92819" w:rsidRDefault="00F92819">
            <w:pPr>
              <w:spacing w:before="40" w:after="40" w:line="220" w:lineRule="exact"/>
              <w:jc w:val="right"/>
              <w:rPr>
                <w:sz w:val="18"/>
                <w:szCs w:val="24"/>
              </w:rPr>
            </w:pPr>
            <w:r>
              <w:rPr>
                <w:sz w:val="18"/>
                <w:szCs w:val="24"/>
              </w:rPr>
              <w:t>1,6</w:t>
            </w:r>
          </w:p>
        </w:tc>
        <w:tc>
          <w:tcPr>
            <w:tcW w:w="658" w:type="dxa"/>
          </w:tcPr>
          <w:p w:rsidR="00F92819" w:rsidRDefault="00F92819">
            <w:pPr>
              <w:spacing w:before="40" w:after="40" w:line="220" w:lineRule="exact"/>
              <w:jc w:val="right"/>
              <w:rPr>
                <w:sz w:val="18"/>
                <w:szCs w:val="24"/>
              </w:rPr>
            </w:pPr>
            <w:r>
              <w:rPr>
                <w:sz w:val="18"/>
                <w:szCs w:val="24"/>
              </w:rPr>
              <w:t>1,4</w:t>
            </w:r>
          </w:p>
        </w:tc>
        <w:tc>
          <w:tcPr>
            <w:tcW w:w="658" w:type="dxa"/>
          </w:tcPr>
          <w:p w:rsidR="00F92819" w:rsidRDefault="00F92819">
            <w:pPr>
              <w:spacing w:before="40" w:after="40" w:line="220" w:lineRule="exact"/>
              <w:jc w:val="right"/>
              <w:rPr>
                <w:sz w:val="18"/>
                <w:szCs w:val="24"/>
              </w:rPr>
            </w:pPr>
            <w:r>
              <w:rPr>
                <w:sz w:val="18"/>
                <w:szCs w:val="24"/>
              </w:rPr>
              <w:t>1,4</w:t>
            </w:r>
          </w:p>
        </w:tc>
        <w:tc>
          <w:tcPr>
            <w:tcW w:w="658" w:type="dxa"/>
          </w:tcPr>
          <w:p w:rsidR="00F92819" w:rsidRDefault="00F92819">
            <w:pPr>
              <w:spacing w:before="40" w:after="40" w:line="220" w:lineRule="exact"/>
              <w:jc w:val="right"/>
              <w:rPr>
                <w:sz w:val="18"/>
                <w:szCs w:val="24"/>
              </w:rPr>
            </w:pPr>
            <w:r>
              <w:rPr>
                <w:sz w:val="18"/>
                <w:szCs w:val="24"/>
              </w:rPr>
              <w:t>1,3</w:t>
            </w:r>
          </w:p>
        </w:tc>
        <w:tc>
          <w:tcPr>
            <w:tcW w:w="658" w:type="dxa"/>
          </w:tcPr>
          <w:p w:rsidR="00F92819" w:rsidRDefault="00F92819">
            <w:pPr>
              <w:spacing w:before="40" w:after="40" w:line="220" w:lineRule="exact"/>
              <w:jc w:val="right"/>
              <w:rPr>
                <w:sz w:val="18"/>
                <w:szCs w:val="24"/>
              </w:rPr>
            </w:pPr>
            <w:r>
              <w:rPr>
                <w:sz w:val="18"/>
                <w:szCs w:val="24"/>
              </w:rPr>
              <w:t>1,2</w:t>
            </w:r>
          </w:p>
        </w:tc>
        <w:tc>
          <w:tcPr>
            <w:tcW w:w="658" w:type="dxa"/>
          </w:tcPr>
          <w:p w:rsidR="00F92819" w:rsidRDefault="00F92819">
            <w:pPr>
              <w:spacing w:before="40" w:after="40" w:line="220" w:lineRule="exact"/>
              <w:jc w:val="right"/>
              <w:rPr>
                <w:sz w:val="18"/>
                <w:szCs w:val="24"/>
              </w:rPr>
            </w:pPr>
            <w:r>
              <w:rPr>
                <w:sz w:val="18"/>
                <w:szCs w:val="24"/>
              </w:rPr>
              <w:t>1</w:t>
            </w:r>
          </w:p>
        </w:tc>
        <w:tc>
          <w:tcPr>
            <w:tcW w:w="658" w:type="dxa"/>
          </w:tcPr>
          <w:p w:rsidR="00F92819" w:rsidRDefault="00F92819">
            <w:pPr>
              <w:spacing w:before="40" w:after="40" w:line="220" w:lineRule="exact"/>
              <w:jc w:val="right"/>
              <w:rPr>
                <w:sz w:val="18"/>
                <w:szCs w:val="24"/>
              </w:rPr>
            </w:pPr>
            <w:r>
              <w:rPr>
                <w:sz w:val="18"/>
                <w:szCs w:val="24"/>
              </w:rPr>
              <w:t>0,8</w:t>
            </w:r>
          </w:p>
        </w:tc>
        <w:tc>
          <w:tcPr>
            <w:tcW w:w="658" w:type="dxa"/>
          </w:tcPr>
          <w:p w:rsidR="00F92819" w:rsidRDefault="00F92819">
            <w:pPr>
              <w:spacing w:before="40" w:after="40" w:line="220" w:lineRule="exact"/>
              <w:jc w:val="right"/>
              <w:rPr>
                <w:sz w:val="18"/>
                <w:szCs w:val="24"/>
              </w:rPr>
            </w:pPr>
            <w:r>
              <w:rPr>
                <w:sz w:val="18"/>
                <w:szCs w:val="24"/>
              </w:rPr>
              <w:t>0,6</w:t>
            </w:r>
          </w:p>
        </w:tc>
        <w:tc>
          <w:tcPr>
            <w:tcW w:w="659" w:type="dxa"/>
            <w:gridSpan w:val="2"/>
          </w:tcPr>
          <w:p w:rsidR="00F92819" w:rsidRDefault="00F92819">
            <w:pPr>
              <w:spacing w:before="40" w:after="40" w:line="220" w:lineRule="exact"/>
              <w:jc w:val="right"/>
              <w:rPr>
                <w:b/>
                <w:sz w:val="18"/>
                <w:szCs w:val="24"/>
              </w:rPr>
            </w:pPr>
            <w:r>
              <w:rPr>
                <w:b/>
                <w:sz w:val="18"/>
                <w:szCs w:val="24"/>
              </w:rPr>
              <w:t>1,3</w:t>
            </w:r>
          </w:p>
        </w:tc>
      </w:tr>
      <w:tr w:rsidR="00F92819">
        <w:tc>
          <w:tcPr>
            <w:tcW w:w="2400" w:type="dxa"/>
            <w:vAlign w:val="center"/>
          </w:tcPr>
          <w:p w:rsidR="00F92819" w:rsidRDefault="00F92819">
            <w:pPr>
              <w:spacing w:before="40" w:after="40" w:line="220" w:lineRule="exact"/>
              <w:rPr>
                <w:szCs w:val="24"/>
              </w:rPr>
            </w:pPr>
            <w:r>
              <w:rPr>
                <w:sz w:val="18"/>
                <w:szCs w:val="24"/>
                <w:lang w:val="es-ES_tradnl"/>
              </w:rPr>
              <w:t>Habitaciones por vivienda</w:t>
            </w:r>
          </w:p>
        </w:tc>
        <w:tc>
          <w:tcPr>
            <w:tcW w:w="658" w:type="dxa"/>
          </w:tcPr>
          <w:p w:rsidR="00F92819" w:rsidRDefault="00F92819">
            <w:pPr>
              <w:spacing w:before="40" w:after="40" w:line="220" w:lineRule="exact"/>
              <w:jc w:val="right"/>
              <w:rPr>
                <w:sz w:val="18"/>
                <w:szCs w:val="24"/>
              </w:rPr>
            </w:pPr>
            <w:r>
              <w:rPr>
                <w:sz w:val="18"/>
                <w:szCs w:val="24"/>
              </w:rPr>
              <w:t>4,7</w:t>
            </w:r>
          </w:p>
        </w:tc>
        <w:tc>
          <w:tcPr>
            <w:tcW w:w="658" w:type="dxa"/>
          </w:tcPr>
          <w:p w:rsidR="00F92819" w:rsidRDefault="00F92819">
            <w:pPr>
              <w:spacing w:before="40" w:after="40" w:line="220" w:lineRule="exact"/>
              <w:jc w:val="right"/>
              <w:rPr>
                <w:sz w:val="18"/>
                <w:szCs w:val="24"/>
              </w:rPr>
            </w:pPr>
            <w:r>
              <w:rPr>
                <w:sz w:val="18"/>
                <w:szCs w:val="24"/>
              </w:rPr>
              <w:t>4,3</w:t>
            </w:r>
          </w:p>
        </w:tc>
        <w:tc>
          <w:tcPr>
            <w:tcW w:w="658" w:type="dxa"/>
          </w:tcPr>
          <w:p w:rsidR="00F92819" w:rsidRDefault="00F92819">
            <w:pPr>
              <w:spacing w:before="40" w:after="40" w:line="220" w:lineRule="exact"/>
              <w:jc w:val="right"/>
              <w:rPr>
                <w:sz w:val="18"/>
                <w:szCs w:val="24"/>
              </w:rPr>
            </w:pPr>
            <w:r>
              <w:rPr>
                <w:sz w:val="18"/>
                <w:szCs w:val="24"/>
              </w:rPr>
              <w:t>4,3</w:t>
            </w:r>
          </w:p>
        </w:tc>
        <w:tc>
          <w:tcPr>
            <w:tcW w:w="658" w:type="dxa"/>
          </w:tcPr>
          <w:p w:rsidR="00F92819" w:rsidRDefault="00F92819">
            <w:pPr>
              <w:spacing w:before="40" w:after="40" w:line="220" w:lineRule="exact"/>
              <w:jc w:val="right"/>
              <w:rPr>
                <w:sz w:val="18"/>
                <w:szCs w:val="24"/>
              </w:rPr>
            </w:pPr>
            <w:r>
              <w:rPr>
                <w:sz w:val="18"/>
                <w:szCs w:val="24"/>
              </w:rPr>
              <w:t>4</w:t>
            </w:r>
          </w:p>
        </w:tc>
        <w:tc>
          <w:tcPr>
            <w:tcW w:w="658" w:type="dxa"/>
          </w:tcPr>
          <w:p w:rsidR="00F92819" w:rsidRDefault="00F92819">
            <w:pPr>
              <w:spacing w:before="40" w:after="40" w:line="220" w:lineRule="exact"/>
              <w:jc w:val="right"/>
              <w:rPr>
                <w:sz w:val="18"/>
                <w:szCs w:val="24"/>
              </w:rPr>
            </w:pPr>
            <w:r>
              <w:rPr>
                <w:sz w:val="18"/>
                <w:szCs w:val="24"/>
              </w:rPr>
              <w:t>3,9</w:t>
            </w:r>
          </w:p>
        </w:tc>
        <w:tc>
          <w:tcPr>
            <w:tcW w:w="658" w:type="dxa"/>
          </w:tcPr>
          <w:p w:rsidR="00F92819" w:rsidRDefault="00F92819">
            <w:pPr>
              <w:spacing w:before="40" w:after="40" w:line="220" w:lineRule="exact"/>
              <w:jc w:val="right"/>
              <w:rPr>
                <w:sz w:val="18"/>
                <w:szCs w:val="24"/>
              </w:rPr>
            </w:pPr>
            <w:r>
              <w:rPr>
                <w:sz w:val="18"/>
                <w:szCs w:val="24"/>
              </w:rPr>
              <w:t>3,8</w:t>
            </w:r>
          </w:p>
        </w:tc>
        <w:tc>
          <w:tcPr>
            <w:tcW w:w="658" w:type="dxa"/>
          </w:tcPr>
          <w:p w:rsidR="00F92819" w:rsidRDefault="00F92819">
            <w:pPr>
              <w:spacing w:before="40" w:after="40" w:line="220" w:lineRule="exact"/>
              <w:jc w:val="right"/>
              <w:rPr>
                <w:sz w:val="18"/>
                <w:szCs w:val="24"/>
              </w:rPr>
            </w:pPr>
            <w:r>
              <w:rPr>
                <w:sz w:val="18"/>
                <w:szCs w:val="24"/>
              </w:rPr>
              <w:t>3,7</w:t>
            </w:r>
          </w:p>
        </w:tc>
        <w:tc>
          <w:tcPr>
            <w:tcW w:w="658" w:type="dxa"/>
          </w:tcPr>
          <w:p w:rsidR="00F92819" w:rsidRDefault="00F92819">
            <w:pPr>
              <w:spacing w:before="40" w:after="40" w:line="220" w:lineRule="exact"/>
              <w:jc w:val="right"/>
              <w:rPr>
                <w:sz w:val="18"/>
                <w:szCs w:val="24"/>
              </w:rPr>
            </w:pPr>
            <w:r>
              <w:rPr>
                <w:sz w:val="18"/>
                <w:szCs w:val="24"/>
              </w:rPr>
              <w:t>3,8</w:t>
            </w:r>
          </w:p>
        </w:tc>
        <w:tc>
          <w:tcPr>
            <w:tcW w:w="658" w:type="dxa"/>
          </w:tcPr>
          <w:p w:rsidR="00F92819" w:rsidRDefault="00F92819">
            <w:pPr>
              <w:spacing w:before="40" w:after="40" w:line="220" w:lineRule="exact"/>
              <w:jc w:val="right"/>
              <w:rPr>
                <w:sz w:val="18"/>
                <w:szCs w:val="24"/>
              </w:rPr>
            </w:pPr>
            <w:r>
              <w:rPr>
                <w:sz w:val="18"/>
                <w:szCs w:val="24"/>
              </w:rPr>
              <w:t>3,7</w:t>
            </w:r>
          </w:p>
        </w:tc>
        <w:tc>
          <w:tcPr>
            <w:tcW w:w="658" w:type="dxa"/>
          </w:tcPr>
          <w:p w:rsidR="00F92819" w:rsidRDefault="00F92819">
            <w:pPr>
              <w:spacing w:before="40" w:after="40" w:line="220" w:lineRule="exact"/>
              <w:jc w:val="right"/>
              <w:rPr>
                <w:sz w:val="18"/>
                <w:szCs w:val="24"/>
              </w:rPr>
            </w:pPr>
            <w:r>
              <w:rPr>
                <w:sz w:val="18"/>
                <w:szCs w:val="24"/>
              </w:rPr>
              <w:t>3,9</w:t>
            </w:r>
          </w:p>
        </w:tc>
        <w:tc>
          <w:tcPr>
            <w:tcW w:w="659" w:type="dxa"/>
            <w:gridSpan w:val="2"/>
          </w:tcPr>
          <w:p w:rsidR="00F92819" w:rsidRDefault="00F92819">
            <w:pPr>
              <w:spacing w:before="40" w:after="40" w:line="220" w:lineRule="exact"/>
              <w:jc w:val="right"/>
              <w:rPr>
                <w:b/>
                <w:sz w:val="18"/>
                <w:szCs w:val="24"/>
              </w:rPr>
            </w:pPr>
            <w:r>
              <w:rPr>
                <w:b/>
                <w:sz w:val="18"/>
                <w:szCs w:val="24"/>
              </w:rPr>
              <w:t>4</w:t>
            </w:r>
          </w:p>
        </w:tc>
      </w:tr>
      <w:tr w:rsidR="00F92819">
        <w:tc>
          <w:tcPr>
            <w:tcW w:w="2400" w:type="dxa"/>
            <w:vAlign w:val="center"/>
          </w:tcPr>
          <w:p w:rsidR="00F92819" w:rsidRDefault="00F92819">
            <w:pPr>
              <w:spacing w:before="40" w:after="40" w:line="220" w:lineRule="exact"/>
              <w:rPr>
                <w:szCs w:val="24"/>
              </w:rPr>
            </w:pPr>
            <w:r>
              <w:rPr>
                <w:sz w:val="18"/>
                <w:szCs w:val="24"/>
                <w:lang w:val="es-ES_tradnl"/>
              </w:rPr>
              <w:t>Habitaciones para la vida diaria</w:t>
            </w:r>
          </w:p>
        </w:tc>
        <w:tc>
          <w:tcPr>
            <w:tcW w:w="658" w:type="dxa"/>
          </w:tcPr>
          <w:p w:rsidR="00F92819" w:rsidRDefault="00F92819">
            <w:pPr>
              <w:spacing w:before="40" w:after="40" w:line="220" w:lineRule="exact"/>
              <w:jc w:val="right"/>
              <w:rPr>
                <w:sz w:val="18"/>
                <w:szCs w:val="24"/>
              </w:rPr>
            </w:pPr>
            <w:r>
              <w:rPr>
                <w:sz w:val="18"/>
                <w:szCs w:val="24"/>
              </w:rPr>
              <w:t>4,6</w:t>
            </w:r>
          </w:p>
        </w:tc>
        <w:tc>
          <w:tcPr>
            <w:tcW w:w="658" w:type="dxa"/>
          </w:tcPr>
          <w:p w:rsidR="00F92819" w:rsidRDefault="00F92819">
            <w:pPr>
              <w:spacing w:before="40" w:after="40" w:line="220" w:lineRule="exact"/>
              <w:jc w:val="right"/>
              <w:rPr>
                <w:sz w:val="18"/>
                <w:szCs w:val="24"/>
              </w:rPr>
            </w:pPr>
            <w:r>
              <w:rPr>
                <w:sz w:val="18"/>
                <w:szCs w:val="24"/>
              </w:rPr>
              <w:t>4,2</w:t>
            </w:r>
          </w:p>
        </w:tc>
        <w:tc>
          <w:tcPr>
            <w:tcW w:w="658" w:type="dxa"/>
          </w:tcPr>
          <w:p w:rsidR="00F92819" w:rsidRDefault="00F92819">
            <w:pPr>
              <w:spacing w:before="40" w:after="40" w:line="220" w:lineRule="exact"/>
              <w:jc w:val="right"/>
              <w:rPr>
                <w:sz w:val="18"/>
                <w:szCs w:val="24"/>
              </w:rPr>
            </w:pPr>
            <w:r>
              <w:rPr>
                <w:sz w:val="18"/>
                <w:szCs w:val="24"/>
              </w:rPr>
              <w:t>4,2</w:t>
            </w:r>
          </w:p>
        </w:tc>
        <w:tc>
          <w:tcPr>
            <w:tcW w:w="658" w:type="dxa"/>
          </w:tcPr>
          <w:p w:rsidR="00F92819" w:rsidRDefault="00F92819">
            <w:pPr>
              <w:spacing w:before="40" w:after="40" w:line="220" w:lineRule="exact"/>
              <w:jc w:val="right"/>
              <w:rPr>
                <w:sz w:val="18"/>
                <w:szCs w:val="24"/>
              </w:rPr>
            </w:pPr>
            <w:r>
              <w:rPr>
                <w:sz w:val="18"/>
                <w:szCs w:val="24"/>
              </w:rPr>
              <w:t>4</w:t>
            </w:r>
          </w:p>
        </w:tc>
        <w:tc>
          <w:tcPr>
            <w:tcW w:w="658" w:type="dxa"/>
          </w:tcPr>
          <w:p w:rsidR="00F92819" w:rsidRDefault="00F92819">
            <w:pPr>
              <w:spacing w:before="40" w:after="40" w:line="220" w:lineRule="exact"/>
              <w:jc w:val="right"/>
              <w:rPr>
                <w:sz w:val="18"/>
                <w:szCs w:val="24"/>
              </w:rPr>
            </w:pPr>
            <w:r>
              <w:rPr>
                <w:sz w:val="18"/>
                <w:szCs w:val="24"/>
              </w:rPr>
              <w:t>3,9</w:t>
            </w:r>
          </w:p>
        </w:tc>
        <w:tc>
          <w:tcPr>
            <w:tcW w:w="658" w:type="dxa"/>
          </w:tcPr>
          <w:p w:rsidR="00F92819" w:rsidRDefault="00F92819">
            <w:pPr>
              <w:spacing w:before="40" w:after="40" w:line="220" w:lineRule="exact"/>
              <w:jc w:val="right"/>
              <w:rPr>
                <w:sz w:val="18"/>
                <w:szCs w:val="24"/>
              </w:rPr>
            </w:pPr>
            <w:r>
              <w:rPr>
                <w:sz w:val="18"/>
                <w:szCs w:val="24"/>
              </w:rPr>
              <w:t>3,8</w:t>
            </w:r>
          </w:p>
        </w:tc>
        <w:tc>
          <w:tcPr>
            <w:tcW w:w="658" w:type="dxa"/>
          </w:tcPr>
          <w:p w:rsidR="00F92819" w:rsidRDefault="00F92819">
            <w:pPr>
              <w:spacing w:before="40" w:after="40" w:line="220" w:lineRule="exact"/>
              <w:jc w:val="right"/>
              <w:rPr>
                <w:sz w:val="18"/>
                <w:szCs w:val="24"/>
              </w:rPr>
            </w:pPr>
            <w:r>
              <w:rPr>
                <w:sz w:val="18"/>
                <w:szCs w:val="24"/>
              </w:rPr>
              <w:t>3,7</w:t>
            </w:r>
          </w:p>
        </w:tc>
        <w:tc>
          <w:tcPr>
            <w:tcW w:w="658" w:type="dxa"/>
          </w:tcPr>
          <w:p w:rsidR="00F92819" w:rsidRDefault="00F92819">
            <w:pPr>
              <w:spacing w:before="40" w:after="40" w:line="220" w:lineRule="exact"/>
              <w:jc w:val="right"/>
              <w:rPr>
                <w:sz w:val="18"/>
                <w:szCs w:val="24"/>
              </w:rPr>
            </w:pPr>
            <w:r>
              <w:rPr>
                <w:sz w:val="18"/>
                <w:szCs w:val="24"/>
              </w:rPr>
              <w:t>3,7</w:t>
            </w:r>
          </w:p>
        </w:tc>
        <w:tc>
          <w:tcPr>
            <w:tcW w:w="658" w:type="dxa"/>
          </w:tcPr>
          <w:p w:rsidR="00F92819" w:rsidRDefault="00F92819">
            <w:pPr>
              <w:spacing w:before="40" w:after="40" w:line="220" w:lineRule="exact"/>
              <w:jc w:val="right"/>
              <w:rPr>
                <w:sz w:val="18"/>
                <w:szCs w:val="24"/>
              </w:rPr>
            </w:pPr>
            <w:r>
              <w:rPr>
                <w:sz w:val="18"/>
                <w:szCs w:val="24"/>
              </w:rPr>
              <w:t>3,7</w:t>
            </w:r>
          </w:p>
        </w:tc>
        <w:tc>
          <w:tcPr>
            <w:tcW w:w="658" w:type="dxa"/>
          </w:tcPr>
          <w:p w:rsidR="00F92819" w:rsidRDefault="00F92819">
            <w:pPr>
              <w:spacing w:before="40" w:after="40" w:line="220" w:lineRule="exact"/>
              <w:jc w:val="right"/>
              <w:rPr>
                <w:sz w:val="18"/>
                <w:szCs w:val="24"/>
              </w:rPr>
            </w:pPr>
            <w:r>
              <w:rPr>
                <w:sz w:val="18"/>
                <w:szCs w:val="24"/>
              </w:rPr>
              <w:t>3,8</w:t>
            </w:r>
          </w:p>
        </w:tc>
        <w:tc>
          <w:tcPr>
            <w:tcW w:w="659" w:type="dxa"/>
            <w:gridSpan w:val="2"/>
          </w:tcPr>
          <w:p w:rsidR="00F92819" w:rsidRDefault="00F92819">
            <w:pPr>
              <w:spacing w:before="40" w:after="40" w:line="220" w:lineRule="exact"/>
              <w:jc w:val="right"/>
              <w:rPr>
                <w:b/>
                <w:sz w:val="18"/>
                <w:szCs w:val="24"/>
              </w:rPr>
            </w:pPr>
            <w:r>
              <w:rPr>
                <w:b/>
                <w:sz w:val="18"/>
                <w:szCs w:val="24"/>
              </w:rPr>
              <w:t>4</w:t>
            </w:r>
          </w:p>
        </w:tc>
      </w:tr>
      <w:tr w:rsidR="00F92819">
        <w:tc>
          <w:tcPr>
            <w:tcW w:w="2400" w:type="dxa"/>
            <w:vAlign w:val="center"/>
          </w:tcPr>
          <w:p w:rsidR="00F92819" w:rsidRDefault="00F92819">
            <w:pPr>
              <w:spacing w:before="40" w:after="40" w:line="220" w:lineRule="exact"/>
              <w:rPr>
                <w:szCs w:val="24"/>
              </w:rPr>
            </w:pPr>
            <w:r>
              <w:rPr>
                <w:sz w:val="18"/>
                <w:szCs w:val="24"/>
                <w:lang w:val="es-ES_tradnl"/>
              </w:rPr>
              <w:t>Densidad de vivienda</w:t>
            </w:r>
          </w:p>
        </w:tc>
        <w:tc>
          <w:tcPr>
            <w:tcW w:w="658" w:type="dxa"/>
          </w:tcPr>
          <w:p w:rsidR="00F92819" w:rsidRDefault="00F92819">
            <w:pPr>
              <w:spacing w:before="40" w:after="40" w:line="220" w:lineRule="exact"/>
              <w:jc w:val="right"/>
              <w:rPr>
                <w:sz w:val="18"/>
                <w:szCs w:val="24"/>
              </w:rPr>
            </w:pPr>
            <w:r>
              <w:rPr>
                <w:sz w:val="18"/>
                <w:szCs w:val="24"/>
              </w:rPr>
              <w:t>0,6</w:t>
            </w:r>
          </w:p>
        </w:tc>
        <w:tc>
          <w:tcPr>
            <w:tcW w:w="658" w:type="dxa"/>
          </w:tcPr>
          <w:p w:rsidR="00F92819" w:rsidRDefault="00F92819">
            <w:pPr>
              <w:spacing w:before="40" w:after="40" w:line="220" w:lineRule="exact"/>
              <w:jc w:val="right"/>
              <w:rPr>
                <w:sz w:val="18"/>
                <w:szCs w:val="24"/>
              </w:rPr>
            </w:pPr>
            <w:r>
              <w:rPr>
                <w:sz w:val="18"/>
                <w:szCs w:val="24"/>
              </w:rPr>
              <w:t>0,7</w:t>
            </w:r>
          </w:p>
        </w:tc>
        <w:tc>
          <w:tcPr>
            <w:tcW w:w="658" w:type="dxa"/>
          </w:tcPr>
          <w:p w:rsidR="00F92819" w:rsidRDefault="00F92819">
            <w:pPr>
              <w:spacing w:before="40" w:after="40" w:line="220" w:lineRule="exact"/>
              <w:jc w:val="right"/>
              <w:rPr>
                <w:sz w:val="18"/>
                <w:szCs w:val="24"/>
              </w:rPr>
            </w:pPr>
            <w:r>
              <w:rPr>
                <w:sz w:val="18"/>
                <w:szCs w:val="24"/>
              </w:rPr>
              <w:t>0,8</w:t>
            </w:r>
          </w:p>
        </w:tc>
        <w:tc>
          <w:tcPr>
            <w:tcW w:w="658" w:type="dxa"/>
          </w:tcPr>
          <w:p w:rsidR="00F92819" w:rsidRDefault="00F92819">
            <w:pPr>
              <w:spacing w:before="40" w:after="40" w:line="220" w:lineRule="exact"/>
              <w:jc w:val="right"/>
              <w:rPr>
                <w:sz w:val="18"/>
                <w:szCs w:val="24"/>
              </w:rPr>
            </w:pPr>
            <w:r>
              <w:rPr>
                <w:sz w:val="18"/>
                <w:szCs w:val="24"/>
              </w:rPr>
              <w:t>0,8</w:t>
            </w:r>
          </w:p>
        </w:tc>
        <w:tc>
          <w:tcPr>
            <w:tcW w:w="658" w:type="dxa"/>
          </w:tcPr>
          <w:p w:rsidR="00F92819" w:rsidRDefault="00F92819">
            <w:pPr>
              <w:spacing w:before="40" w:after="40" w:line="220" w:lineRule="exact"/>
              <w:jc w:val="right"/>
              <w:rPr>
                <w:sz w:val="18"/>
                <w:szCs w:val="24"/>
              </w:rPr>
            </w:pPr>
            <w:r>
              <w:rPr>
                <w:sz w:val="18"/>
                <w:szCs w:val="24"/>
              </w:rPr>
              <w:t>0,9</w:t>
            </w:r>
          </w:p>
        </w:tc>
        <w:tc>
          <w:tcPr>
            <w:tcW w:w="658" w:type="dxa"/>
          </w:tcPr>
          <w:p w:rsidR="00F92819" w:rsidRDefault="00F92819">
            <w:pPr>
              <w:spacing w:before="40" w:after="40" w:line="220" w:lineRule="exact"/>
              <w:jc w:val="right"/>
              <w:rPr>
                <w:sz w:val="18"/>
                <w:szCs w:val="24"/>
              </w:rPr>
            </w:pPr>
            <w:r>
              <w:rPr>
                <w:sz w:val="18"/>
                <w:szCs w:val="24"/>
              </w:rPr>
              <w:t>0,9</w:t>
            </w:r>
          </w:p>
        </w:tc>
        <w:tc>
          <w:tcPr>
            <w:tcW w:w="658" w:type="dxa"/>
          </w:tcPr>
          <w:p w:rsidR="00F92819" w:rsidRDefault="00F92819">
            <w:pPr>
              <w:spacing w:before="40" w:after="40" w:line="220" w:lineRule="exact"/>
              <w:jc w:val="right"/>
              <w:rPr>
                <w:sz w:val="18"/>
                <w:szCs w:val="24"/>
              </w:rPr>
            </w:pPr>
            <w:r>
              <w:rPr>
                <w:sz w:val="18"/>
                <w:szCs w:val="24"/>
              </w:rPr>
              <w:t>1</w:t>
            </w:r>
          </w:p>
        </w:tc>
        <w:tc>
          <w:tcPr>
            <w:tcW w:w="658" w:type="dxa"/>
          </w:tcPr>
          <w:p w:rsidR="00F92819" w:rsidRDefault="00F92819">
            <w:pPr>
              <w:spacing w:before="40" w:after="40" w:line="220" w:lineRule="exact"/>
              <w:jc w:val="right"/>
              <w:rPr>
                <w:sz w:val="18"/>
                <w:szCs w:val="24"/>
              </w:rPr>
            </w:pPr>
            <w:r>
              <w:rPr>
                <w:sz w:val="18"/>
                <w:szCs w:val="24"/>
              </w:rPr>
              <w:t>1,1</w:t>
            </w:r>
          </w:p>
        </w:tc>
        <w:tc>
          <w:tcPr>
            <w:tcW w:w="658" w:type="dxa"/>
          </w:tcPr>
          <w:p w:rsidR="00F92819" w:rsidRDefault="00F92819">
            <w:pPr>
              <w:spacing w:before="40" w:after="40" w:line="220" w:lineRule="exact"/>
              <w:jc w:val="right"/>
              <w:rPr>
                <w:sz w:val="18"/>
                <w:szCs w:val="24"/>
              </w:rPr>
            </w:pPr>
            <w:r>
              <w:rPr>
                <w:sz w:val="18"/>
                <w:szCs w:val="24"/>
              </w:rPr>
              <w:t>1,3</w:t>
            </w:r>
          </w:p>
        </w:tc>
        <w:tc>
          <w:tcPr>
            <w:tcW w:w="658" w:type="dxa"/>
          </w:tcPr>
          <w:p w:rsidR="00F92819" w:rsidRDefault="00F92819">
            <w:pPr>
              <w:spacing w:before="40" w:after="40" w:line="220" w:lineRule="exact"/>
              <w:jc w:val="right"/>
              <w:rPr>
                <w:sz w:val="18"/>
                <w:szCs w:val="24"/>
              </w:rPr>
            </w:pPr>
            <w:r>
              <w:rPr>
                <w:sz w:val="18"/>
                <w:szCs w:val="24"/>
              </w:rPr>
              <w:t>1,7</w:t>
            </w:r>
          </w:p>
        </w:tc>
        <w:tc>
          <w:tcPr>
            <w:tcW w:w="659" w:type="dxa"/>
            <w:gridSpan w:val="2"/>
          </w:tcPr>
          <w:p w:rsidR="00F92819" w:rsidRDefault="00F92819">
            <w:pPr>
              <w:spacing w:before="40" w:after="40" w:line="220" w:lineRule="exact"/>
              <w:jc w:val="right"/>
              <w:rPr>
                <w:b/>
                <w:sz w:val="18"/>
                <w:szCs w:val="24"/>
              </w:rPr>
            </w:pPr>
            <w:r>
              <w:rPr>
                <w:b/>
                <w:sz w:val="18"/>
                <w:szCs w:val="24"/>
              </w:rPr>
              <w:t>0,9</w:t>
            </w:r>
          </w:p>
        </w:tc>
      </w:tr>
      <w:tr w:rsidR="00F92819">
        <w:tc>
          <w:tcPr>
            <w:tcW w:w="2400" w:type="dxa"/>
            <w:vAlign w:val="center"/>
          </w:tcPr>
          <w:p w:rsidR="00F92819" w:rsidRDefault="00F92819">
            <w:pPr>
              <w:spacing w:before="40" w:after="40" w:line="220" w:lineRule="exact"/>
              <w:rPr>
                <w:szCs w:val="24"/>
              </w:rPr>
            </w:pPr>
            <w:r>
              <w:rPr>
                <w:sz w:val="18"/>
                <w:szCs w:val="24"/>
                <w:lang w:val="es-ES_tradnl"/>
              </w:rPr>
              <w:t>Porcentaje de vivienda propia</w:t>
            </w:r>
          </w:p>
        </w:tc>
        <w:tc>
          <w:tcPr>
            <w:tcW w:w="658" w:type="dxa"/>
          </w:tcPr>
          <w:p w:rsidR="00F92819" w:rsidRDefault="00F92819">
            <w:pPr>
              <w:spacing w:before="40" w:after="40" w:line="220" w:lineRule="exact"/>
              <w:jc w:val="right"/>
              <w:rPr>
                <w:sz w:val="18"/>
                <w:szCs w:val="24"/>
              </w:rPr>
            </w:pPr>
            <w:r>
              <w:rPr>
                <w:sz w:val="18"/>
                <w:szCs w:val="24"/>
              </w:rPr>
              <w:t>82,5</w:t>
            </w:r>
          </w:p>
        </w:tc>
        <w:tc>
          <w:tcPr>
            <w:tcW w:w="658" w:type="dxa"/>
          </w:tcPr>
          <w:p w:rsidR="00F92819" w:rsidRDefault="00F92819">
            <w:pPr>
              <w:spacing w:before="40" w:after="40" w:line="220" w:lineRule="exact"/>
              <w:jc w:val="right"/>
              <w:rPr>
                <w:sz w:val="18"/>
                <w:szCs w:val="24"/>
              </w:rPr>
            </w:pPr>
            <w:r>
              <w:rPr>
                <w:sz w:val="18"/>
                <w:szCs w:val="24"/>
              </w:rPr>
              <w:t>80,7</w:t>
            </w:r>
          </w:p>
        </w:tc>
        <w:tc>
          <w:tcPr>
            <w:tcW w:w="658" w:type="dxa"/>
          </w:tcPr>
          <w:p w:rsidR="00F92819" w:rsidRDefault="00F92819">
            <w:pPr>
              <w:spacing w:before="40" w:after="40" w:line="220" w:lineRule="exact"/>
              <w:jc w:val="right"/>
              <w:rPr>
                <w:sz w:val="18"/>
                <w:szCs w:val="24"/>
              </w:rPr>
            </w:pPr>
            <w:r>
              <w:rPr>
                <w:sz w:val="18"/>
                <w:szCs w:val="24"/>
              </w:rPr>
              <w:t>83,3</w:t>
            </w:r>
          </w:p>
        </w:tc>
        <w:tc>
          <w:tcPr>
            <w:tcW w:w="658" w:type="dxa"/>
          </w:tcPr>
          <w:p w:rsidR="00F92819" w:rsidRDefault="00F92819">
            <w:pPr>
              <w:spacing w:before="40" w:after="40" w:line="220" w:lineRule="exact"/>
              <w:jc w:val="right"/>
              <w:rPr>
                <w:sz w:val="18"/>
                <w:szCs w:val="24"/>
              </w:rPr>
            </w:pPr>
            <w:r>
              <w:rPr>
                <w:sz w:val="18"/>
                <w:szCs w:val="24"/>
              </w:rPr>
              <w:t>78,6</w:t>
            </w:r>
          </w:p>
        </w:tc>
        <w:tc>
          <w:tcPr>
            <w:tcW w:w="658" w:type="dxa"/>
          </w:tcPr>
          <w:p w:rsidR="00F92819" w:rsidRDefault="00F92819">
            <w:pPr>
              <w:spacing w:before="40" w:after="40" w:line="220" w:lineRule="exact"/>
              <w:jc w:val="right"/>
              <w:rPr>
                <w:sz w:val="18"/>
                <w:szCs w:val="24"/>
              </w:rPr>
            </w:pPr>
            <w:r>
              <w:rPr>
                <w:sz w:val="18"/>
                <w:szCs w:val="24"/>
              </w:rPr>
              <w:t>75</w:t>
            </w:r>
          </w:p>
        </w:tc>
        <w:tc>
          <w:tcPr>
            <w:tcW w:w="658" w:type="dxa"/>
          </w:tcPr>
          <w:p w:rsidR="00F92819" w:rsidRDefault="00F92819">
            <w:pPr>
              <w:spacing w:before="40" w:after="40" w:line="220" w:lineRule="exact"/>
              <w:jc w:val="right"/>
              <w:rPr>
                <w:sz w:val="18"/>
                <w:szCs w:val="24"/>
              </w:rPr>
            </w:pPr>
            <w:r>
              <w:rPr>
                <w:sz w:val="18"/>
                <w:szCs w:val="24"/>
              </w:rPr>
              <w:t>70,6</w:t>
            </w:r>
          </w:p>
        </w:tc>
        <w:tc>
          <w:tcPr>
            <w:tcW w:w="658" w:type="dxa"/>
          </w:tcPr>
          <w:p w:rsidR="00F92819" w:rsidRDefault="00F92819">
            <w:pPr>
              <w:spacing w:before="40" w:after="40" w:line="220" w:lineRule="exact"/>
              <w:jc w:val="right"/>
              <w:rPr>
                <w:sz w:val="18"/>
                <w:szCs w:val="24"/>
              </w:rPr>
            </w:pPr>
            <w:r>
              <w:rPr>
                <w:sz w:val="18"/>
                <w:szCs w:val="24"/>
              </w:rPr>
              <w:t>65,8</w:t>
            </w:r>
          </w:p>
        </w:tc>
        <w:tc>
          <w:tcPr>
            <w:tcW w:w="658" w:type="dxa"/>
          </w:tcPr>
          <w:p w:rsidR="00F92819" w:rsidRDefault="00F92819">
            <w:pPr>
              <w:spacing w:before="40" w:after="40" w:line="220" w:lineRule="exact"/>
              <w:jc w:val="right"/>
              <w:rPr>
                <w:sz w:val="18"/>
                <w:szCs w:val="24"/>
              </w:rPr>
            </w:pPr>
            <w:r>
              <w:rPr>
                <w:sz w:val="18"/>
                <w:szCs w:val="24"/>
              </w:rPr>
              <w:t>63,8</w:t>
            </w:r>
          </w:p>
        </w:tc>
        <w:tc>
          <w:tcPr>
            <w:tcW w:w="658" w:type="dxa"/>
          </w:tcPr>
          <w:p w:rsidR="00F92819" w:rsidRDefault="00F92819">
            <w:pPr>
              <w:spacing w:before="40" w:after="40" w:line="220" w:lineRule="exact"/>
              <w:jc w:val="right"/>
              <w:rPr>
                <w:sz w:val="18"/>
                <w:szCs w:val="24"/>
              </w:rPr>
            </w:pPr>
            <w:r>
              <w:rPr>
                <w:sz w:val="18"/>
                <w:szCs w:val="24"/>
              </w:rPr>
              <w:t>52,6</w:t>
            </w:r>
          </w:p>
        </w:tc>
        <w:tc>
          <w:tcPr>
            <w:tcW w:w="658" w:type="dxa"/>
          </w:tcPr>
          <w:p w:rsidR="00F92819" w:rsidRDefault="00F92819">
            <w:pPr>
              <w:spacing w:before="40" w:after="40" w:line="220" w:lineRule="exact"/>
              <w:jc w:val="right"/>
              <w:rPr>
                <w:sz w:val="18"/>
                <w:szCs w:val="24"/>
              </w:rPr>
            </w:pPr>
            <w:r>
              <w:rPr>
                <w:sz w:val="18"/>
                <w:szCs w:val="24"/>
              </w:rPr>
              <w:t>42</w:t>
            </w:r>
          </w:p>
        </w:tc>
        <w:tc>
          <w:tcPr>
            <w:tcW w:w="659" w:type="dxa"/>
            <w:gridSpan w:val="2"/>
          </w:tcPr>
          <w:p w:rsidR="00F92819" w:rsidRDefault="00F92819">
            <w:pPr>
              <w:spacing w:before="40" w:after="40" w:line="220" w:lineRule="exact"/>
              <w:jc w:val="right"/>
              <w:rPr>
                <w:b/>
                <w:sz w:val="18"/>
                <w:szCs w:val="24"/>
              </w:rPr>
            </w:pPr>
            <w:r>
              <w:rPr>
                <w:b/>
                <w:sz w:val="18"/>
                <w:szCs w:val="24"/>
              </w:rPr>
              <w:t>69,5</w:t>
            </w:r>
          </w:p>
        </w:tc>
      </w:tr>
      <w:tr w:rsidR="00F92819">
        <w:tc>
          <w:tcPr>
            <w:tcW w:w="2400" w:type="dxa"/>
            <w:vAlign w:val="center"/>
          </w:tcPr>
          <w:p w:rsidR="00F92819" w:rsidRDefault="00F92819">
            <w:pPr>
              <w:spacing w:before="40" w:after="40" w:line="220" w:lineRule="exact"/>
              <w:rPr>
                <w:szCs w:val="24"/>
              </w:rPr>
            </w:pPr>
            <w:r>
              <w:rPr>
                <w:sz w:val="18"/>
                <w:szCs w:val="24"/>
                <w:lang w:val="es-ES_tradnl"/>
              </w:rPr>
              <w:t>Valor de la vivienda propia (en miles) (1)</w:t>
            </w:r>
          </w:p>
        </w:tc>
        <w:tc>
          <w:tcPr>
            <w:tcW w:w="658" w:type="dxa"/>
          </w:tcPr>
          <w:p w:rsidR="00F92819" w:rsidRDefault="00F92819">
            <w:pPr>
              <w:spacing w:before="40" w:after="40" w:line="220" w:lineRule="exact"/>
              <w:jc w:val="right"/>
              <w:rPr>
                <w:sz w:val="18"/>
                <w:szCs w:val="24"/>
              </w:rPr>
            </w:pPr>
            <w:r>
              <w:rPr>
                <w:sz w:val="18"/>
                <w:szCs w:val="24"/>
              </w:rPr>
              <w:t>1 388</w:t>
            </w:r>
          </w:p>
        </w:tc>
        <w:tc>
          <w:tcPr>
            <w:tcW w:w="658" w:type="dxa"/>
          </w:tcPr>
          <w:p w:rsidR="00F92819" w:rsidRDefault="00F92819">
            <w:pPr>
              <w:spacing w:before="40" w:after="40" w:line="220" w:lineRule="exact"/>
              <w:jc w:val="right"/>
              <w:rPr>
                <w:sz w:val="18"/>
                <w:szCs w:val="24"/>
              </w:rPr>
            </w:pPr>
            <w:r>
              <w:rPr>
                <w:sz w:val="18"/>
                <w:szCs w:val="24"/>
              </w:rPr>
              <w:t>1 009</w:t>
            </w:r>
          </w:p>
        </w:tc>
        <w:tc>
          <w:tcPr>
            <w:tcW w:w="658" w:type="dxa"/>
          </w:tcPr>
          <w:p w:rsidR="00F92819" w:rsidRDefault="00F92819">
            <w:pPr>
              <w:spacing w:before="40" w:after="40" w:line="220" w:lineRule="exact"/>
              <w:jc w:val="right"/>
              <w:rPr>
                <w:sz w:val="18"/>
                <w:szCs w:val="24"/>
              </w:rPr>
            </w:pPr>
            <w:r>
              <w:rPr>
                <w:sz w:val="18"/>
                <w:szCs w:val="24"/>
              </w:rPr>
              <w:t>863</w:t>
            </w:r>
          </w:p>
        </w:tc>
        <w:tc>
          <w:tcPr>
            <w:tcW w:w="658" w:type="dxa"/>
          </w:tcPr>
          <w:p w:rsidR="00F92819" w:rsidRDefault="00F92819">
            <w:pPr>
              <w:spacing w:before="40" w:after="40" w:line="220" w:lineRule="exact"/>
              <w:jc w:val="right"/>
              <w:rPr>
                <w:sz w:val="18"/>
                <w:szCs w:val="24"/>
              </w:rPr>
            </w:pPr>
            <w:r>
              <w:rPr>
                <w:sz w:val="18"/>
                <w:szCs w:val="24"/>
              </w:rPr>
              <w:t>763</w:t>
            </w:r>
          </w:p>
        </w:tc>
        <w:tc>
          <w:tcPr>
            <w:tcW w:w="658" w:type="dxa"/>
          </w:tcPr>
          <w:p w:rsidR="00F92819" w:rsidRDefault="00F92819">
            <w:pPr>
              <w:spacing w:before="40" w:after="40" w:line="220" w:lineRule="exact"/>
              <w:jc w:val="right"/>
              <w:rPr>
                <w:sz w:val="18"/>
                <w:szCs w:val="24"/>
              </w:rPr>
            </w:pPr>
            <w:r>
              <w:rPr>
                <w:sz w:val="18"/>
                <w:szCs w:val="24"/>
              </w:rPr>
              <w:t>686</w:t>
            </w:r>
          </w:p>
        </w:tc>
        <w:tc>
          <w:tcPr>
            <w:tcW w:w="658" w:type="dxa"/>
          </w:tcPr>
          <w:p w:rsidR="00F92819" w:rsidRDefault="00F92819">
            <w:pPr>
              <w:spacing w:before="40" w:after="40" w:line="220" w:lineRule="exact"/>
              <w:jc w:val="right"/>
              <w:rPr>
                <w:sz w:val="18"/>
                <w:szCs w:val="24"/>
              </w:rPr>
            </w:pPr>
            <w:r>
              <w:rPr>
                <w:sz w:val="18"/>
                <w:szCs w:val="24"/>
              </w:rPr>
              <w:t>626</w:t>
            </w:r>
          </w:p>
        </w:tc>
        <w:tc>
          <w:tcPr>
            <w:tcW w:w="658" w:type="dxa"/>
          </w:tcPr>
          <w:p w:rsidR="00F92819" w:rsidRDefault="00F92819">
            <w:pPr>
              <w:spacing w:before="40" w:after="40" w:line="220" w:lineRule="exact"/>
              <w:jc w:val="right"/>
              <w:rPr>
                <w:sz w:val="18"/>
                <w:szCs w:val="24"/>
              </w:rPr>
            </w:pPr>
            <w:r>
              <w:rPr>
                <w:sz w:val="18"/>
                <w:szCs w:val="24"/>
              </w:rPr>
              <w:t>610</w:t>
            </w:r>
          </w:p>
        </w:tc>
        <w:tc>
          <w:tcPr>
            <w:tcW w:w="658" w:type="dxa"/>
          </w:tcPr>
          <w:p w:rsidR="00F92819" w:rsidRDefault="00F92819">
            <w:pPr>
              <w:spacing w:before="40" w:after="40" w:line="220" w:lineRule="exact"/>
              <w:jc w:val="right"/>
              <w:rPr>
                <w:sz w:val="18"/>
                <w:szCs w:val="24"/>
              </w:rPr>
            </w:pPr>
            <w:r>
              <w:rPr>
                <w:sz w:val="18"/>
                <w:szCs w:val="24"/>
              </w:rPr>
              <w:t>645</w:t>
            </w:r>
          </w:p>
        </w:tc>
        <w:tc>
          <w:tcPr>
            <w:tcW w:w="658" w:type="dxa"/>
          </w:tcPr>
          <w:p w:rsidR="00F92819" w:rsidRDefault="00F92819">
            <w:pPr>
              <w:spacing w:before="40" w:after="40" w:line="220" w:lineRule="exact"/>
              <w:jc w:val="right"/>
              <w:rPr>
                <w:sz w:val="18"/>
                <w:szCs w:val="24"/>
              </w:rPr>
            </w:pPr>
            <w:r>
              <w:rPr>
                <w:sz w:val="18"/>
                <w:szCs w:val="24"/>
              </w:rPr>
              <w:t>595</w:t>
            </w:r>
          </w:p>
        </w:tc>
        <w:tc>
          <w:tcPr>
            <w:tcW w:w="658" w:type="dxa"/>
          </w:tcPr>
          <w:p w:rsidR="00F92819" w:rsidRDefault="00F92819">
            <w:pPr>
              <w:spacing w:before="40" w:after="40" w:line="220" w:lineRule="exact"/>
              <w:jc w:val="right"/>
              <w:rPr>
                <w:sz w:val="18"/>
                <w:szCs w:val="24"/>
              </w:rPr>
            </w:pPr>
            <w:r>
              <w:rPr>
                <w:sz w:val="18"/>
                <w:szCs w:val="24"/>
              </w:rPr>
              <w:t>609</w:t>
            </w:r>
          </w:p>
        </w:tc>
        <w:tc>
          <w:tcPr>
            <w:tcW w:w="659" w:type="dxa"/>
            <w:gridSpan w:val="2"/>
          </w:tcPr>
          <w:p w:rsidR="00F92819" w:rsidRDefault="00F92819">
            <w:pPr>
              <w:spacing w:before="40" w:after="40" w:line="220" w:lineRule="exact"/>
              <w:jc w:val="right"/>
              <w:rPr>
                <w:b/>
                <w:sz w:val="18"/>
                <w:szCs w:val="24"/>
              </w:rPr>
            </w:pPr>
            <w:r>
              <w:rPr>
                <w:b/>
                <w:sz w:val="18"/>
                <w:szCs w:val="24"/>
              </w:rPr>
              <w:t>808</w:t>
            </w:r>
          </w:p>
        </w:tc>
      </w:tr>
      <w:tr w:rsidR="00F92819">
        <w:tc>
          <w:tcPr>
            <w:tcW w:w="2400" w:type="dxa"/>
            <w:vAlign w:val="bottom"/>
          </w:tcPr>
          <w:p w:rsidR="00F92819" w:rsidRDefault="00F92819">
            <w:pPr>
              <w:spacing w:before="80" w:after="80" w:line="200" w:lineRule="exact"/>
              <w:rPr>
                <w:szCs w:val="24"/>
              </w:rPr>
            </w:pPr>
            <w:r>
              <w:rPr>
                <w:i/>
                <w:sz w:val="16"/>
                <w:szCs w:val="24"/>
                <w:lang w:val="es-ES_tradnl"/>
              </w:rPr>
              <w:t>Gasto mensual</w:t>
            </w: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9" w:type="dxa"/>
            <w:gridSpan w:val="2"/>
            <w:vAlign w:val="bottom"/>
          </w:tcPr>
          <w:p w:rsidR="00F92819" w:rsidRDefault="00F92819">
            <w:pPr>
              <w:spacing w:before="80" w:after="80" w:line="200" w:lineRule="exact"/>
              <w:rPr>
                <w:i/>
                <w:sz w:val="16"/>
                <w:szCs w:val="24"/>
              </w:rPr>
            </w:pPr>
          </w:p>
        </w:tc>
      </w:tr>
      <w:tr w:rsidR="00F92819">
        <w:tc>
          <w:tcPr>
            <w:tcW w:w="2400" w:type="dxa"/>
            <w:vAlign w:val="center"/>
          </w:tcPr>
          <w:p w:rsidR="00F92819" w:rsidRDefault="00F92819">
            <w:pPr>
              <w:spacing w:before="40" w:after="40" w:line="220" w:lineRule="exact"/>
              <w:rPr>
                <w:szCs w:val="24"/>
              </w:rPr>
            </w:pPr>
            <w:r>
              <w:rPr>
                <w:sz w:val="18"/>
                <w:szCs w:val="24"/>
                <w:lang w:val="es-ES_tradnl"/>
              </w:rPr>
              <w:t>Gastos de consumo</w:t>
            </w:r>
          </w:p>
        </w:tc>
        <w:tc>
          <w:tcPr>
            <w:tcW w:w="658" w:type="dxa"/>
          </w:tcPr>
          <w:p w:rsidR="00F92819" w:rsidRDefault="00F92819">
            <w:pPr>
              <w:spacing w:before="40" w:after="40" w:line="220" w:lineRule="exact"/>
              <w:jc w:val="right"/>
              <w:rPr>
                <w:sz w:val="18"/>
                <w:szCs w:val="24"/>
              </w:rPr>
            </w:pPr>
            <w:r>
              <w:rPr>
                <w:sz w:val="18"/>
                <w:szCs w:val="24"/>
              </w:rPr>
              <w:t>19 728</w:t>
            </w:r>
          </w:p>
        </w:tc>
        <w:tc>
          <w:tcPr>
            <w:tcW w:w="658" w:type="dxa"/>
          </w:tcPr>
          <w:p w:rsidR="00F92819" w:rsidRDefault="00F92819">
            <w:pPr>
              <w:spacing w:before="40" w:after="40" w:line="220" w:lineRule="exact"/>
              <w:jc w:val="right"/>
              <w:rPr>
                <w:sz w:val="18"/>
                <w:szCs w:val="24"/>
              </w:rPr>
            </w:pPr>
            <w:r>
              <w:rPr>
                <w:sz w:val="18"/>
                <w:szCs w:val="24"/>
              </w:rPr>
              <w:t>15 423</w:t>
            </w:r>
          </w:p>
        </w:tc>
        <w:tc>
          <w:tcPr>
            <w:tcW w:w="658" w:type="dxa"/>
          </w:tcPr>
          <w:p w:rsidR="00F92819" w:rsidRDefault="00F92819">
            <w:pPr>
              <w:spacing w:before="40" w:after="40" w:line="220" w:lineRule="exact"/>
              <w:jc w:val="right"/>
              <w:rPr>
                <w:sz w:val="18"/>
                <w:szCs w:val="24"/>
              </w:rPr>
            </w:pPr>
            <w:r>
              <w:rPr>
                <w:sz w:val="18"/>
                <w:szCs w:val="24"/>
              </w:rPr>
              <w:t>13 692</w:t>
            </w:r>
          </w:p>
        </w:tc>
        <w:tc>
          <w:tcPr>
            <w:tcW w:w="658" w:type="dxa"/>
          </w:tcPr>
          <w:p w:rsidR="00F92819" w:rsidRDefault="00F92819">
            <w:pPr>
              <w:spacing w:before="40" w:after="40" w:line="220" w:lineRule="exact"/>
              <w:jc w:val="right"/>
              <w:rPr>
                <w:sz w:val="18"/>
                <w:szCs w:val="24"/>
              </w:rPr>
            </w:pPr>
            <w:r>
              <w:rPr>
                <w:sz w:val="18"/>
                <w:szCs w:val="24"/>
              </w:rPr>
              <w:t>11 694</w:t>
            </w:r>
          </w:p>
        </w:tc>
        <w:tc>
          <w:tcPr>
            <w:tcW w:w="658" w:type="dxa"/>
          </w:tcPr>
          <w:p w:rsidR="00F92819" w:rsidRDefault="00F92819">
            <w:pPr>
              <w:spacing w:before="40" w:after="40" w:line="220" w:lineRule="exact"/>
              <w:jc w:val="right"/>
              <w:rPr>
                <w:sz w:val="18"/>
                <w:szCs w:val="24"/>
              </w:rPr>
            </w:pPr>
            <w:r>
              <w:rPr>
                <w:sz w:val="18"/>
                <w:szCs w:val="24"/>
              </w:rPr>
              <w:t>11 056</w:t>
            </w:r>
          </w:p>
        </w:tc>
        <w:tc>
          <w:tcPr>
            <w:tcW w:w="658" w:type="dxa"/>
          </w:tcPr>
          <w:p w:rsidR="00F92819" w:rsidRDefault="00F92819">
            <w:pPr>
              <w:spacing w:before="40" w:after="40" w:line="220" w:lineRule="exact"/>
              <w:jc w:val="right"/>
              <w:rPr>
                <w:sz w:val="18"/>
                <w:szCs w:val="24"/>
              </w:rPr>
            </w:pPr>
            <w:r>
              <w:rPr>
                <w:sz w:val="18"/>
                <w:szCs w:val="24"/>
              </w:rPr>
              <w:t>10 205</w:t>
            </w:r>
          </w:p>
        </w:tc>
        <w:tc>
          <w:tcPr>
            <w:tcW w:w="658" w:type="dxa"/>
          </w:tcPr>
          <w:p w:rsidR="00F92819" w:rsidRDefault="00F92819">
            <w:pPr>
              <w:spacing w:before="40" w:after="40" w:line="220" w:lineRule="exact"/>
              <w:jc w:val="right"/>
              <w:rPr>
                <w:sz w:val="18"/>
                <w:szCs w:val="24"/>
              </w:rPr>
            </w:pPr>
            <w:r>
              <w:rPr>
                <w:sz w:val="18"/>
                <w:szCs w:val="24"/>
              </w:rPr>
              <w:t>9 056</w:t>
            </w:r>
          </w:p>
        </w:tc>
        <w:tc>
          <w:tcPr>
            <w:tcW w:w="658" w:type="dxa"/>
          </w:tcPr>
          <w:p w:rsidR="00F92819" w:rsidRDefault="00F92819">
            <w:pPr>
              <w:spacing w:before="40" w:after="40" w:line="220" w:lineRule="exact"/>
              <w:jc w:val="right"/>
              <w:rPr>
                <w:sz w:val="18"/>
                <w:szCs w:val="24"/>
              </w:rPr>
            </w:pPr>
            <w:r>
              <w:rPr>
                <w:sz w:val="18"/>
                <w:szCs w:val="24"/>
              </w:rPr>
              <w:t>9 004</w:t>
            </w:r>
          </w:p>
        </w:tc>
        <w:tc>
          <w:tcPr>
            <w:tcW w:w="658" w:type="dxa"/>
          </w:tcPr>
          <w:p w:rsidR="00F92819" w:rsidRDefault="00F92819">
            <w:pPr>
              <w:spacing w:before="40" w:after="40" w:line="220" w:lineRule="exact"/>
              <w:jc w:val="right"/>
              <w:rPr>
                <w:sz w:val="18"/>
                <w:szCs w:val="24"/>
              </w:rPr>
            </w:pPr>
            <w:r>
              <w:rPr>
                <w:sz w:val="18"/>
                <w:szCs w:val="24"/>
              </w:rPr>
              <w:t>8 306</w:t>
            </w:r>
          </w:p>
        </w:tc>
        <w:tc>
          <w:tcPr>
            <w:tcW w:w="658" w:type="dxa"/>
          </w:tcPr>
          <w:p w:rsidR="00F92819" w:rsidRDefault="00F92819">
            <w:pPr>
              <w:spacing w:before="40" w:after="40" w:line="220" w:lineRule="exact"/>
              <w:jc w:val="right"/>
              <w:rPr>
                <w:sz w:val="18"/>
                <w:szCs w:val="24"/>
              </w:rPr>
            </w:pPr>
            <w:r>
              <w:rPr>
                <w:sz w:val="18"/>
                <w:szCs w:val="24"/>
              </w:rPr>
              <w:t>8 282</w:t>
            </w:r>
          </w:p>
        </w:tc>
        <w:tc>
          <w:tcPr>
            <w:tcW w:w="659" w:type="dxa"/>
            <w:gridSpan w:val="2"/>
          </w:tcPr>
          <w:p w:rsidR="00F92819" w:rsidRDefault="00F92819">
            <w:pPr>
              <w:spacing w:before="40" w:after="40" w:line="220" w:lineRule="exact"/>
              <w:jc w:val="right"/>
              <w:rPr>
                <w:b/>
                <w:sz w:val="18"/>
                <w:szCs w:val="24"/>
              </w:rPr>
            </w:pPr>
            <w:r>
              <w:rPr>
                <w:b/>
                <w:sz w:val="18"/>
                <w:szCs w:val="24"/>
              </w:rPr>
              <w:t>12 141</w:t>
            </w:r>
          </w:p>
        </w:tc>
      </w:tr>
      <w:tr w:rsidR="00F92819">
        <w:tc>
          <w:tcPr>
            <w:tcW w:w="2400" w:type="dxa"/>
            <w:vAlign w:val="center"/>
          </w:tcPr>
          <w:p w:rsidR="00F92819" w:rsidRDefault="00F92819">
            <w:pPr>
              <w:spacing w:before="40" w:after="40" w:line="220" w:lineRule="exact"/>
              <w:rPr>
                <w:szCs w:val="24"/>
              </w:rPr>
            </w:pPr>
            <w:r>
              <w:rPr>
                <w:sz w:val="18"/>
                <w:szCs w:val="24"/>
                <w:lang w:val="es-ES_tradnl"/>
              </w:rPr>
              <w:t>Gastos del hogar</w:t>
            </w:r>
          </w:p>
        </w:tc>
        <w:tc>
          <w:tcPr>
            <w:tcW w:w="658" w:type="dxa"/>
          </w:tcPr>
          <w:p w:rsidR="00F92819" w:rsidRDefault="00F92819">
            <w:pPr>
              <w:spacing w:before="40" w:after="40" w:line="220" w:lineRule="exact"/>
              <w:jc w:val="right"/>
              <w:rPr>
                <w:sz w:val="18"/>
                <w:szCs w:val="24"/>
              </w:rPr>
            </w:pPr>
            <w:r>
              <w:rPr>
                <w:sz w:val="18"/>
                <w:szCs w:val="24"/>
              </w:rPr>
              <w:t>3 502</w:t>
            </w:r>
          </w:p>
        </w:tc>
        <w:tc>
          <w:tcPr>
            <w:tcW w:w="658" w:type="dxa"/>
          </w:tcPr>
          <w:p w:rsidR="00F92819" w:rsidRDefault="00F92819">
            <w:pPr>
              <w:spacing w:before="40" w:after="40" w:line="220" w:lineRule="exact"/>
              <w:jc w:val="right"/>
              <w:rPr>
                <w:sz w:val="18"/>
                <w:szCs w:val="24"/>
              </w:rPr>
            </w:pPr>
            <w:r>
              <w:rPr>
                <w:sz w:val="18"/>
                <w:szCs w:val="24"/>
              </w:rPr>
              <w:t>3 030</w:t>
            </w:r>
          </w:p>
        </w:tc>
        <w:tc>
          <w:tcPr>
            <w:tcW w:w="658" w:type="dxa"/>
          </w:tcPr>
          <w:p w:rsidR="00F92819" w:rsidRDefault="00F92819">
            <w:pPr>
              <w:spacing w:before="40" w:after="40" w:line="220" w:lineRule="exact"/>
              <w:jc w:val="right"/>
              <w:rPr>
                <w:sz w:val="18"/>
                <w:szCs w:val="24"/>
              </w:rPr>
            </w:pPr>
            <w:r>
              <w:rPr>
                <w:sz w:val="18"/>
                <w:szCs w:val="24"/>
              </w:rPr>
              <w:t>2 811</w:t>
            </w:r>
          </w:p>
        </w:tc>
        <w:tc>
          <w:tcPr>
            <w:tcW w:w="658" w:type="dxa"/>
          </w:tcPr>
          <w:p w:rsidR="00F92819" w:rsidRDefault="00F92819">
            <w:pPr>
              <w:spacing w:before="40" w:after="40" w:line="220" w:lineRule="exact"/>
              <w:jc w:val="right"/>
              <w:rPr>
                <w:sz w:val="18"/>
                <w:szCs w:val="24"/>
              </w:rPr>
            </w:pPr>
            <w:r>
              <w:rPr>
                <w:sz w:val="18"/>
                <w:szCs w:val="24"/>
              </w:rPr>
              <w:t>2 764</w:t>
            </w:r>
          </w:p>
        </w:tc>
        <w:tc>
          <w:tcPr>
            <w:tcW w:w="658" w:type="dxa"/>
          </w:tcPr>
          <w:p w:rsidR="00F92819" w:rsidRDefault="00F92819">
            <w:pPr>
              <w:spacing w:before="40" w:after="40" w:line="220" w:lineRule="exact"/>
              <w:jc w:val="right"/>
              <w:rPr>
                <w:sz w:val="18"/>
                <w:szCs w:val="24"/>
              </w:rPr>
            </w:pPr>
            <w:r>
              <w:rPr>
                <w:sz w:val="18"/>
                <w:szCs w:val="24"/>
              </w:rPr>
              <w:t>2 444</w:t>
            </w:r>
          </w:p>
        </w:tc>
        <w:tc>
          <w:tcPr>
            <w:tcW w:w="658" w:type="dxa"/>
          </w:tcPr>
          <w:p w:rsidR="00F92819" w:rsidRDefault="00F92819">
            <w:pPr>
              <w:spacing w:before="40" w:after="40" w:line="220" w:lineRule="exact"/>
              <w:jc w:val="right"/>
              <w:rPr>
                <w:sz w:val="18"/>
                <w:szCs w:val="24"/>
              </w:rPr>
            </w:pPr>
            <w:r>
              <w:rPr>
                <w:sz w:val="18"/>
                <w:szCs w:val="24"/>
              </w:rPr>
              <w:t>2 357</w:t>
            </w:r>
          </w:p>
        </w:tc>
        <w:tc>
          <w:tcPr>
            <w:tcW w:w="658" w:type="dxa"/>
          </w:tcPr>
          <w:p w:rsidR="00F92819" w:rsidRDefault="00F92819">
            <w:pPr>
              <w:spacing w:before="40" w:after="40" w:line="220" w:lineRule="exact"/>
              <w:jc w:val="right"/>
              <w:rPr>
                <w:sz w:val="18"/>
                <w:szCs w:val="24"/>
              </w:rPr>
            </w:pPr>
            <w:r>
              <w:rPr>
                <w:sz w:val="18"/>
                <w:szCs w:val="24"/>
              </w:rPr>
              <w:t>2 217</w:t>
            </w:r>
          </w:p>
        </w:tc>
        <w:tc>
          <w:tcPr>
            <w:tcW w:w="658" w:type="dxa"/>
          </w:tcPr>
          <w:p w:rsidR="00F92819" w:rsidRDefault="00F92819">
            <w:pPr>
              <w:spacing w:before="40" w:after="40" w:line="220" w:lineRule="exact"/>
              <w:jc w:val="right"/>
              <w:rPr>
                <w:sz w:val="18"/>
                <w:szCs w:val="24"/>
              </w:rPr>
            </w:pPr>
            <w:r>
              <w:rPr>
                <w:sz w:val="18"/>
                <w:szCs w:val="24"/>
              </w:rPr>
              <w:t>2 030</w:t>
            </w:r>
          </w:p>
        </w:tc>
        <w:tc>
          <w:tcPr>
            <w:tcW w:w="658" w:type="dxa"/>
          </w:tcPr>
          <w:p w:rsidR="00F92819" w:rsidRDefault="00F92819">
            <w:pPr>
              <w:spacing w:before="40" w:after="40" w:line="220" w:lineRule="exact"/>
              <w:jc w:val="right"/>
              <w:rPr>
                <w:sz w:val="18"/>
                <w:szCs w:val="24"/>
              </w:rPr>
            </w:pPr>
            <w:r>
              <w:rPr>
                <w:sz w:val="18"/>
                <w:szCs w:val="24"/>
              </w:rPr>
              <w:t>1 946</w:t>
            </w:r>
          </w:p>
        </w:tc>
        <w:tc>
          <w:tcPr>
            <w:tcW w:w="658" w:type="dxa"/>
          </w:tcPr>
          <w:p w:rsidR="00F92819" w:rsidRDefault="00F92819">
            <w:pPr>
              <w:spacing w:before="40" w:after="40" w:line="220" w:lineRule="exact"/>
              <w:jc w:val="right"/>
              <w:rPr>
                <w:sz w:val="18"/>
                <w:szCs w:val="24"/>
              </w:rPr>
            </w:pPr>
            <w:r>
              <w:rPr>
                <w:sz w:val="18"/>
                <w:szCs w:val="24"/>
              </w:rPr>
              <w:t>1 853</w:t>
            </w:r>
          </w:p>
        </w:tc>
        <w:tc>
          <w:tcPr>
            <w:tcW w:w="659" w:type="dxa"/>
            <w:gridSpan w:val="2"/>
          </w:tcPr>
          <w:p w:rsidR="00F92819" w:rsidRDefault="00F92819">
            <w:pPr>
              <w:spacing w:before="40" w:after="40" w:line="220" w:lineRule="exact"/>
              <w:jc w:val="right"/>
              <w:rPr>
                <w:b/>
                <w:sz w:val="18"/>
                <w:szCs w:val="24"/>
              </w:rPr>
            </w:pPr>
            <w:r>
              <w:rPr>
                <w:b/>
                <w:sz w:val="18"/>
                <w:szCs w:val="24"/>
              </w:rPr>
              <w:t>2 576</w:t>
            </w:r>
          </w:p>
        </w:tc>
      </w:tr>
      <w:tr w:rsidR="00F92819">
        <w:tc>
          <w:tcPr>
            <w:tcW w:w="2400" w:type="dxa"/>
            <w:vAlign w:val="center"/>
          </w:tcPr>
          <w:p w:rsidR="00F92819" w:rsidRDefault="00F92819">
            <w:pPr>
              <w:spacing w:before="40" w:after="40" w:line="220" w:lineRule="exact"/>
              <w:rPr>
                <w:szCs w:val="24"/>
              </w:rPr>
            </w:pPr>
            <w:r>
              <w:rPr>
                <w:sz w:val="18"/>
                <w:szCs w:val="24"/>
                <w:lang w:val="es-ES_tradnl"/>
              </w:rPr>
              <w:t>Consumo de servicios de vivienda en la vivienda propia</w:t>
            </w:r>
          </w:p>
        </w:tc>
        <w:tc>
          <w:tcPr>
            <w:tcW w:w="658" w:type="dxa"/>
          </w:tcPr>
          <w:p w:rsidR="00F92819" w:rsidRDefault="00F92819">
            <w:pPr>
              <w:spacing w:before="40" w:after="40" w:line="220" w:lineRule="exact"/>
              <w:jc w:val="right"/>
              <w:rPr>
                <w:sz w:val="18"/>
                <w:szCs w:val="24"/>
              </w:rPr>
            </w:pPr>
            <w:r>
              <w:rPr>
                <w:sz w:val="18"/>
                <w:szCs w:val="24"/>
              </w:rPr>
              <w:t>3 126</w:t>
            </w:r>
          </w:p>
        </w:tc>
        <w:tc>
          <w:tcPr>
            <w:tcW w:w="658" w:type="dxa"/>
          </w:tcPr>
          <w:p w:rsidR="00F92819" w:rsidRDefault="00F92819">
            <w:pPr>
              <w:spacing w:before="40" w:after="40" w:line="220" w:lineRule="exact"/>
              <w:jc w:val="right"/>
              <w:rPr>
                <w:sz w:val="18"/>
                <w:szCs w:val="24"/>
              </w:rPr>
            </w:pPr>
            <w:r>
              <w:rPr>
                <w:sz w:val="18"/>
                <w:szCs w:val="24"/>
              </w:rPr>
              <w:t>2 846</w:t>
            </w:r>
          </w:p>
        </w:tc>
        <w:tc>
          <w:tcPr>
            <w:tcW w:w="658" w:type="dxa"/>
          </w:tcPr>
          <w:p w:rsidR="00F92819" w:rsidRDefault="00F92819">
            <w:pPr>
              <w:spacing w:before="40" w:after="40" w:line="220" w:lineRule="exact"/>
              <w:jc w:val="right"/>
              <w:rPr>
                <w:sz w:val="18"/>
                <w:szCs w:val="24"/>
              </w:rPr>
            </w:pPr>
            <w:r>
              <w:rPr>
                <w:sz w:val="18"/>
                <w:szCs w:val="24"/>
              </w:rPr>
              <w:t>2 657</w:t>
            </w:r>
          </w:p>
        </w:tc>
        <w:tc>
          <w:tcPr>
            <w:tcW w:w="658" w:type="dxa"/>
          </w:tcPr>
          <w:p w:rsidR="00F92819" w:rsidRDefault="00F92819">
            <w:pPr>
              <w:spacing w:before="40" w:after="40" w:line="220" w:lineRule="exact"/>
              <w:jc w:val="right"/>
              <w:rPr>
                <w:sz w:val="18"/>
                <w:szCs w:val="24"/>
              </w:rPr>
            </w:pPr>
            <w:r>
              <w:rPr>
                <w:sz w:val="18"/>
                <w:szCs w:val="24"/>
              </w:rPr>
              <w:t>2 640</w:t>
            </w:r>
          </w:p>
        </w:tc>
        <w:tc>
          <w:tcPr>
            <w:tcW w:w="658" w:type="dxa"/>
          </w:tcPr>
          <w:p w:rsidR="00F92819" w:rsidRDefault="00F92819">
            <w:pPr>
              <w:spacing w:before="40" w:after="40" w:line="220" w:lineRule="exact"/>
              <w:jc w:val="right"/>
              <w:rPr>
                <w:sz w:val="18"/>
                <w:szCs w:val="24"/>
              </w:rPr>
            </w:pPr>
            <w:r>
              <w:rPr>
                <w:sz w:val="18"/>
                <w:szCs w:val="24"/>
              </w:rPr>
              <w:t>2 384</w:t>
            </w:r>
          </w:p>
        </w:tc>
        <w:tc>
          <w:tcPr>
            <w:tcW w:w="658" w:type="dxa"/>
          </w:tcPr>
          <w:p w:rsidR="00F92819" w:rsidRDefault="00F92819">
            <w:pPr>
              <w:spacing w:before="40" w:after="40" w:line="220" w:lineRule="exact"/>
              <w:jc w:val="right"/>
              <w:rPr>
                <w:sz w:val="18"/>
                <w:szCs w:val="24"/>
              </w:rPr>
            </w:pPr>
            <w:r>
              <w:rPr>
                <w:sz w:val="18"/>
                <w:szCs w:val="24"/>
              </w:rPr>
              <w:t>2 305</w:t>
            </w:r>
          </w:p>
        </w:tc>
        <w:tc>
          <w:tcPr>
            <w:tcW w:w="658" w:type="dxa"/>
          </w:tcPr>
          <w:p w:rsidR="00F92819" w:rsidRDefault="00F92819">
            <w:pPr>
              <w:spacing w:before="40" w:after="40" w:line="220" w:lineRule="exact"/>
              <w:jc w:val="right"/>
              <w:rPr>
                <w:sz w:val="18"/>
                <w:szCs w:val="24"/>
              </w:rPr>
            </w:pPr>
            <w:r>
              <w:rPr>
                <w:sz w:val="18"/>
                <w:szCs w:val="24"/>
              </w:rPr>
              <w:t>2 189</w:t>
            </w:r>
          </w:p>
        </w:tc>
        <w:tc>
          <w:tcPr>
            <w:tcW w:w="658" w:type="dxa"/>
          </w:tcPr>
          <w:p w:rsidR="00F92819" w:rsidRDefault="00F92819">
            <w:pPr>
              <w:spacing w:before="40" w:after="40" w:line="220" w:lineRule="exact"/>
              <w:jc w:val="right"/>
              <w:rPr>
                <w:sz w:val="18"/>
                <w:szCs w:val="24"/>
              </w:rPr>
            </w:pPr>
            <w:r>
              <w:rPr>
                <w:sz w:val="18"/>
                <w:szCs w:val="24"/>
              </w:rPr>
              <w:t>1 997</w:t>
            </w:r>
          </w:p>
        </w:tc>
        <w:tc>
          <w:tcPr>
            <w:tcW w:w="658" w:type="dxa"/>
          </w:tcPr>
          <w:p w:rsidR="00F92819" w:rsidRDefault="00F92819">
            <w:pPr>
              <w:spacing w:before="40" w:after="40" w:line="220" w:lineRule="exact"/>
              <w:jc w:val="right"/>
              <w:rPr>
                <w:sz w:val="18"/>
                <w:szCs w:val="24"/>
              </w:rPr>
            </w:pPr>
            <w:r>
              <w:rPr>
                <w:sz w:val="18"/>
                <w:szCs w:val="24"/>
              </w:rPr>
              <w:t>1 920</w:t>
            </w:r>
          </w:p>
        </w:tc>
        <w:tc>
          <w:tcPr>
            <w:tcW w:w="658" w:type="dxa"/>
          </w:tcPr>
          <w:p w:rsidR="00F92819" w:rsidRDefault="00F92819">
            <w:pPr>
              <w:spacing w:before="40" w:after="40" w:line="220" w:lineRule="exact"/>
              <w:jc w:val="right"/>
              <w:rPr>
                <w:sz w:val="18"/>
                <w:szCs w:val="24"/>
              </w:rPr>
            </w:pPr>
            <w:r>
              <w:rPr>
                <w:sz w:val="18"/>
                <w:szCs w:val="24"/>
              </w:rPr>
              <w:t>1 805</w:t>
            </w:r>
          </w:p>
        </w:tc>
        <w:tc>
          <w:tcPr>
            <w:tcW w:w="659" w:type="dxa"/>
            <w:gridSpan w:val="2"/>
          </w:tcPr>
          <w:p w:rsidR="00F92819" w:rsidRDefault="00F92819">
            <w:pPr>
              <w:spacing w:before="40" w:after="40" w:line="220" w:lineRule="exact"/>
              <w:jc w:val="right"/>
              <w:rPr>
                <w:b/>
                <w:sz w:val="18"/>
                <w:szCs w:val="24"/>
              </w:rPr>
            </w:pPr>
            <w:r>
              <w:rPr>
                <w:b/>
                <w:sz w:val="18"/>
                <w:szCs w:val="24"/>
              </w:rPr>
              <w:t>2 455</w:t>
            </w:r>
          </w:p>
        </w:tc>
      </w:tr>
      <w:tr w:rsidR="00F92819">
        <w:tc>
          <w:tcPr>
            <w:tcW w:w="2400" w:type="dxa"/>
            <w:vAlign w:val="center"/>
          </w:tcPr>
          <w:p w:rsidR="00F92819" w:rsidRDefault="00F92819">
            <w:pPr>
              <w:spacing w:before="40" w:after="40" w:line="220" w:lineRule="exact"/>
              <w:rPr>
                <w:szCs w:val="24"/>
              </w:rPr>
            </w:pPr>
            <w:r>
              <w:rPr>
                <w:sz w:val="18"/>
                <w:szCs w:val="24"/>
                <w:lang w:val="es-ES_tradnl"/>
              </w:rPr>
              <w:t>Seguro del contenido de la vivienda</w:t>
            </w:r>
          </w:p>
        </w:tc>
        <w:tc>
          <w:tcPr>
            <w:tcW w:w="658" w:type="dxa"/>
          </w:tcPr>
          <w:p w:rsidR="00F92819" w:rsidRDefault="00F92819">
            <w:pPr>
              <w:spacing w:before="40" w:after="40" w:line="220" w:lineRule="exact"/>
              <w:jc w:val="right"/>
              <w:rPr>
                <w:sz w:val="18"/>
                <w:szCs w:val="24"/>
              </w:rPr>
            </w:pPr>
            <w:r>
              <w:rPr>
                <w:sz w:val="18"/>
                <w:szCs w:val="24"/>
              </w:rPr>
              <w:t>118</w:t>
            </w:r>
          </w:p>
        </w:tc>
        <w:tc>
          <w:tcPr>
            <w:tcW w:w="658" w:type="dxa"/>
          </w:tcPr>
          <w:p w:rsidR="00F92819" w:rsidRDefault="00F92819">
            <w:pPr>
              <w:spacing w:before="40" w:after="40" w:line="220" w:lineRule="exact"/>
              <w:jc w:val="right"/>
              <w:rPr>
                <w:sz w:val="18"/>
                <w:szCs w:val="24"/>
              </w:rPr>
            </w:pPr>
            <w:r>
              <w:rPr>
                <w:sz w:val="18"/>
                <w:szCs w:val="24"/>
              </w:rPr>
              <w:t>84</w:t>
            </w:r>
          </w:p>
        </w:tc>
        <w:tc>
          <w:tcPr>
            <w:tcW w:w="658" w:type="dxa"/>
          </w:tcPr>
          <w:p w:rsidR="00F92819" w:rsidRDefault="00F92819">
            <w:pPr>
              <w:spacing w:before="40" w:after="40" w:line="220" w:lineRule="exact"/>
              <w:jc w:val="right"/>
              <w:rPr>
                <w:sz w:val="18"/>
                <w:szCs w:val="24"/>
              </w:rPr>
            </w:pPr>
            <w:r>
              <w:rPr>
                <w:sz w:val="18"/>
                <w:szCs w:val="24"/>
              </w:rPr>
              <w:t>51</w:t>
            </w:r>
          </w:p>
        </w:tc>
        <w:tc>
          <w:tcPr>
            <w:tcW w:w="658" w:type="dxa"/>
          </w:tcPr>
          <w:p w:rsidR="00F92819" w:rsidRDefault="00F92819">
            <w:pPr>
              <w:spacing w:before="40" w:after="40" w:line="220" w:lineRule="exact"/>
              <w:jc w:val="right"/>
              <w:rPr>
                <w:sz w:val="18"/>
                <w:szCs w:val="24"/>
              </w:rPr>
            </w:pPr>
            <w:r>
              <w:rPr>
                <w:sz w:val="18"/>
                <w:szCs w:val="24"/>
              </w:rPr>
              <w:t>41</w:t>
            </w:r>
          </w:p>
        </w:tc>
        <w:tc>
          <w:tcPr>
            <w:tcW w:w="658" w:type="dxa"/>
          </w:tcPr>
          <w:p w:rsidR="00F92819" w:rsidRDefault="00F92819">
            <w:pPr>
              <w:spacing w:before="40" w:after="40" w:line="220" w:lineRule="exact"/>
              <w:jc w:val="right"/>
              <w:rPr>
                <w:sz w:val="18"/>
                <w:szCs w:val="24"/>
              </w:rPr>
            </w:pPr>
            <w:r>
              <w:rPr>
                <w:sz w:val="18"/>
                <w:szCs w:val="24"/>
              </w:rPr>
              <w:t>38</w:t>
            </w:r>
          </w:p>
        </w:tc>
        <w:tc>
          <w:tcPr>
            <w:tcW w:w="658" w:type="dxa"/>
          </w:tcPr>
          <w:p w:rsidR="00F92819" w:rsidRDefault="00F92819">
            <w:pPr>
              <w:spacing w:before="40" w:after="40" w:line="220" w:lineRule="exact"/>
              <w:jc w:val="right"/>
              <w:rPr>
                <w:sz w:val="18"/>
                <w:szCs w:val="24"/>
              </w:rPr>
            </w:pPr>
            <w:r>
              <w:rPr>
                <w:sz w:val="18"/>
                <w:szCs w:val="24"/>
              </w:rPr>
              <w:t>17</w:t>
            </w:r>
          </w:p>
        </w:tc>
        <w:tc>
          <w:tcPr>
            <w:tcW w:w="658" w:type="dxa"/>
          </w:tcPr>
          <w:p w:rsidR="00F92819" w:rsidRDefault="00F92819">
            <w:pPr>
              <w:spacing w:before="40" w:after="40" w:line="220" w:lineRule="exact"/>
              <w:jc w:val="right"/>
              <w:rPr>
                <w:sz w:val="18"/>
                <w:szCs w:val="24"/>
              </w:rPr>
            </w:pPr>
            <w:r>
              <w:rPr>
                <w:sz w:val="18"/>
                <w:szCs w:val="24"/>
              </w:rPr>
              <w:t>15</w:t>
            </w:r>
          </w:p>
        </w:tc>
        <w:tc>
          <w:tcPr>
            <w:tcW w:w="658" w:type="dxa"/>
          </w:tcPr>
          <w:p w:rsidR="00F92819" w:rsidRDefault="00F92819">
            <w:pPr>
              <w:spacing w:before="40" w:after="40" w:line="220" w:lineRule="exact"/>
              <w:jc w:val="right"/>
              <w:rPr>
                <w:sz w:val="18"/>
                <w:szCs w:val="24"/>
              </w:rPr>
            </w:pPr>
            <w:r>
              <w:rPr>
                <w:sz w:val="18"/>
                <w:szCs w:val="24"/>
              </w:rPr>
              <w:t>10</w:t>
            </w:r>
          </w:p>
        </w:tc>
        <w:tc>
          <w:tcPr>
            <w:tcW w:w="658" w:type="dxa"/>
          </w:tcPr>
          <w:p w:rsidR="00F92819" w:rsidRDefault="00F92819">
            <w:pPr>
              <w:spacing w:before="40" w:after="40" w:line="220" w:lineRule="exact"/>
              <w:jc w:val="right"/>
              <w:rPr>
                <w:sz w:val="18"/>
                <w:szCs w:val="24"/>
              </w:rPr>
            </w:pPr>
            <w:r>
              <w:rPr>
                <w:sz w:val="18"/>
                <w:szCs w:val="24"/>
              </w:rPr>
              <w:t>3</w:t>
            </w:r>
          </w:p>
        </w:tc>
        <w:tc>
          <w:tcPr>
            <w:tcW w:w="658" w:type="dxa"/>
          </w:tcPr>
          <w:p w:rsidR="00F92819" w:rsidRDefault="00F92819">
            <w:pPr>
              <w:spacing w:before="40" w:after="40" w:line="220" w:lineRule="exact"/>
              <w:jc w:val="right"/>
              <w:rPr>
                <w:sz w:val="18"/>
                <w:szCs w:val="24"/>
              </w:rPr>
            </w:pPr>
            <w:r>
              <w:rPr>
                <w:sz w:val="18"/>
                <w:szCs w:val="24"/>
              </w:rPr>
              <w:t>5</w:t>
            </w:r>
          </w:p>
        </w:tc>
        <w:tc>
          <w:tcPr>
            <w:tcW w:w="659" w:type="dxa"/>
            <w:gridSpan w:val="2"/>
          </w:tcPr>
          <w:p w:rsidR="00F92819" w:rsidRDefault="00F92819">
            <w:pPr>
              <w:spacing w:before="40" w:after="40" w:line="220" w:lineRule="exact"/>
              <w:jc w:val="right"/>
              <w:rPr>
                <w:b/>
                <w:sz w:val="18"/>
                <w:szCs w:val="24"/>
              </w:rPr>
            </w:pPr>
            <w:r>
              <w:rPr>
                <w:b/>
                <w:sz w:val="18"/>
                <w:szCs w:val="24"/>
              </w:rPr>
              <w:t>43</w:t>
            </w:r>
          </w:p>
        </w:tc>
      </w:tr>
      <w:tr w:rsidR="00F92819">
        <w:tc>
          <w:tcPr>
            <w:tcW w:w="2400" w:type="dxa"/>
            <w:vAlign w:val="center"/>
          </w:tcPr>
          <w:p w:rsidR="00F92819" w:rsidRDefault="00F92819">
            <w:pPr>
              <w:keepNext/>
              <w:spacing w:before="40" w:after="40" w:line="220" w:lineRule="exact"/>
              <w:rPr>
                <w:szCs w:val="24"/>
              </w:rPr>
            </w:pPr>
            <w:r>
              <w:rPr>
                <w:sz w:val="18"/>
                <w:szCs w:val="24"/>
                <w:lang w:val="es-ES_tradnl"/>
              </w:rPr>
              <w:t>Consumo corriente de agua</w:t>
            </w:r>
          </w:p>
        </w:tc>
        <w:tc>
          <w:tcPr>
            <w:tcW w:w="658" w:type="dxa"/>
          </w:tcPr>
          <w:p w:rsidR="00F92819" w:rsidRDefault="00F92819">
            <w:pPr>
              <w:keepNext/>
              <w:spacing w:before="40" w:after="40" w:line="220" w:lineRule="exact"/>
              <w:jc w:val="right"/>
              <w:rPr>
                <w:sz w:val="18"/>
                <w:szCs w:val="24"/>
              </w:rPr>
            </w:pPr>
            <w:r>
              <w:rPr>
                <w:sz w:val="18"/>
                <w:szCs w:val="24"/>
              </w:rPr>
              <w:t>140</w:t>
            </w:r>
          </w:p>
        </w:tc>
        <w:tc>
          <w:tcPr>
            <w:tcW w:w="658" w:type="dxa"/>
          </w:tcPr>
          <w:p w:rsidR="00F92819" w:rsidRDefault="00F92819">
            <w:pPr>
              <w:keepNext/>
              <w:spacing w:before="40" w:after="40" w:line="220" w:lineRule="exact"/>
              <w:jc w:val="right"/>
              <w:rPr>
                <w:sz w:val="18"/>
                <w:szCs w:val="24"/>
              </w:rPr>
            </w:pPr>
            <w:r>
              <w:rPr>
                <w:sz w:val="18"/>
                <w:szCs w:val="24"/>
              </w:rPr>
              <w:t>126</w:t>
            </w:r>
          </w:p>
        </w:tc>
        <w:tc>
          <w:tcPr>
            <w:tcW w:w="658" w:type="dxa"/>
          </w:tcPr>
          <w:p w:rsidR="00F92819" w:rsidRDefault="00F92819">
            <w:pPr>
              <w:keepNext/>
              <w:spacing w:before="40" w:after="40" w:line="220" w:lineRule="exact"/>
              <w:jc w:val="right"/>
              <w:rPr>
                <w:sz w:val="18"/>
                <w:szCs w:val="24"/>
              </w:rPr>
            </w:pPr>
            <w:r>
              <w:rPr>
                <w:sz w:val="18"/>
                <w:szCs w:val="24"/>
              </w:rPr>
              <w:t>126</w:t>
            </w:r>
          </w:p>
        </w:tc>
        <w:tc>
          <w:tcPr>
            <w:tcW w:w="658" w:type="dxa"/>
          </w:tcPr>
          <w:p w:rsidR="00F92819" w:rsidRDefault="00F92819">
            <w:pPr>
              <w:keepNext/>
              <w:spacing w:before="40" w:after="40" w:line="220" w:lineRule="exact"/>
              <w:jc w:val="right"/>
              <w:rPr>
                <w:sz w:val="18"/>
                <w:szCs w:val="24"/>
              </w:rPr>
            </w:pPr>
            <w:r>
              <w:rPr>
                <w:sz w:val="18"/>
                <w:szCs w:val="24"/>
              </w:rPr>
              <w:t>118</w:t>
            </w:r>
          </w:p>
        </w:tc>
        <w:tc>
          <w:tcPr>
            <w:tcW w:w="658" w:type="dxa"/>
          </w:tcPr>
          <w:p w:rsidR="00F92819" w:rsidRDefault="00F92819">
            <w:pPr>
              <w:keepNext/>
              <w:spacing w:before="40" w:after="40" w:line="220" w:lineRule="exact"/>
              <w:jc w:val="right"/>
              <w:rPr>
                <w:sz w:val="18"/>
                <w:szCs w:val="24"/>
              </w:rPr>
            </w:pPr>
            <w:r>
              <w:rPr>
                <w:sz w:val="18"/>
                <w:szCs w:val="24"/>
              </w:rPr>
              <w:t>113</w:t>
            </w:r>
          </w:p>
        </w:tc>
        <w:tc>
          <w:tcPr>
            <w:tcW w:w="658" w:type="dxa"/>
          </w:tcPr>
          <w:p w:rsidR="00F92819" w:rsidRDefault="00F92819">
            <w:pPr>
              <w:keepNext/>
              <w:spacing w:before="40" w:after="40" w:line="220" w:lineRule="exact"/>
              <w:jc w:val="right"/>
              <w:rPr>
                <w:sz w:val="18"/>
                <w:szCs w:val="24"/>
              </w:rPr>
            </w:pPr>
            <w:r>
              <w:rPr>
                <w:sz w:val="18"/>
                <w:szCs w:val="24"/>
              </w:rPr>
              <w:t>105</w:t>
            </w:r>
          </w:p>
        </w:tc>
        <w:tc>
          <w:tcPr>
            <w:tcW w:w="658" w:type="dxa"/>
          </w:tcPr>
          <w:p w:rsidR="00F92819" w:rsidRDefault="00F92819">
            <w:pPr>
              <w:keepNext/>
              <w:spacing w:before="40" w:after="40" w:line="220" w:lineRule="exact"/>
              <w:jc w:val="right"/>
              <w:rPr>
                <w:sz w:val="18"/>
                <w:szCs w:val="24"/>
              </w:rPr>
            </w:pPr>
            <w:r>
              <w:rPr>
                <w:sz w:val="18"/>
                <w:szCs w:val="24"/>
              </w:rPr>
              <w:t>110</w:t>
            </w:r>
          </w:p>
        </w:tc>
        <w:tc>
          <w:tcPr>
            <w:tcW w:w="658" w:type="dxa"/>
          </w:tcPr>
          <w:p w:rsidR="00F92819" w:rsidRDefault="00F92819">
            <w:pPr>
              <w:keepNext/>
              <w:spacing w:before="40" w:after="40" w:line="220" w:lineRule="exact"/>
              <w:jc w:val="right"/>
              <w:rPr>
                <w:sz w:val="18"/>
                <w:szCs w:val="24"/>
              </w:rPr>
            </w:pPr>
            <w:r>
              <w:rPr>
                <w:sz w:val="18"/>
                <w:szCs w:val="24"/>
              </w:rPr>
              <w:t>108</w:t>
            </w:r>
          </w:p>
        </w:tc>
        <w:tc>
          <w:tcPr>
            <w:tcW w:w="658" w:type="dxa"/>
          </w:tcPr>
          <w:p w:rsidR="00F92819" w:rsidRDefault="00F92819">
            <w:pPr>
              <w:keepNext/>
              <w:spacing w:before="40" w:after="40" w:line="220" w:lineRule="exact"/>
              <w:jc w:val="right"/>
              <w:rPr>
                <w:sz w:val="18"/>
                <w:szCs w:val="24"/>
              </w:rPr>
            </w:pPr>
            <w:r>
              <w:rPr>
                <w:sz w:val="18"/>
                <w:szCs w:val="24"/>
              </w:rPr>
              <w:t>131</w:t>
            </w:r>
          </w:p>
        </w:tc>
        <w:tc>
          <w:tcPr>
            <w:tcW w:w="658" w:type="dxa"/>
          </w:tcPr>
          <w:p w:rsidR="00F92819" w:rsidRDefault="00F92819">
            <w:pPr>
              <w:keepNext/>
              <w:spacing w:before="40" w:after="40" w:line="220" w:lineRule="exact"/>
              <w:jc w:val="right"/>
              <w:rPr>
                <w:sz w:val="18"/>
                <w:szCs w:val="24"/>
              </w:rPr>
            </w:pPr>
            <w:r>
              <w:rPr>
                <w:sz w:val="18"/>
                <w:szCs w:val="24"/>
              </w:rPr>
              <w:t>126</w:t>
            </w:r>
          </w:p>
        </w:tc>
        <w:tc>
          <w:tcPr>
            <w:tcW w:w="659" w:type="dxa"/>
            <w:gridSpan w:val="2"/>
          </w:tcPr>
          <w:p w:rsidR="00F92819" w:rsidRDefault="00F92819">
            <w:pPr>
              <w:keepNext/>
              <w:spacing w:before="40" w:after="40" w:line="220" w:lineRule="exact"/>
              <w:jc w:val="right"/>
              <w:rPr>
                <w:b/>
                <w:sz w:val="18"/>
                <w:szCs w:val="24"/>
              </w:rPr>
            </w:pPr>
            <w:r>
              <w:rPr>
                <w:b/>
                <w:sz w:val="18"/>
                <w:szCs w:val="24"/>
              </w:rPr>
              <w:t>120</w:t>
            </w:r>
          </w:p>
        </w:tc>
      </w:tr>
      <w:tr w:rsidR="00F92819">
        <w:tc>
          <w:tcPr>
            <w:tcW w:w="2400" w:type="dxa"/>
            <w:vAlign w:val="center"/>
          </w:tcPr>
          <w:p w:rsidR="00F92819" w:rsidRDefault="00F92819">
            <w:pPr>
              <w:spacing w:before="40" w:after="40" w:line="220" w:lineRule="exact"/>
              <w:rPr>
                <w:szCs w:val="24"/>
              </w:rPr>
            </w:pPr>
            <w:r>
              <w:rPr>
                <w:sz w:val="18"/>
                <w:szCs w:val="24"/>
                <w:lang w:val="es-ES_tradnl"/>
              </w:rPr>
              <w:t>Consumo corriente de electricidad</w:t>
            </w:r>
          </w:p>
        </w:tc>
        <w:tc>
          <w:tcPr>
            <w:tcW w:w="658" w:type="dxa"/>
          </w:tcPr>
          <w:p w:rsidR="00F92819" w:rsidRDefault="00F92819">
            <w:pPr>
              <w:spacing w:before="40" w:after="40" w:line="220" w:lineRule="exact"/>
              <w:jc w:val="right"/>
              <w:rPr>
                <w:sz w:val="18"/>
                <w:szCs w:val="24"/>
              </w:rPr>
            </w:pPr>
            <w:r>
              <w:rPr>
                <w:sz w:val="18"/>
                <w:szCs w:val="24"/>
              </w:rPr>
              <w:t>416</w:t>
            </w:r>
          </w:p>
        </w:tc>
        <w:tc>
          <w:tcPr>
            <w:tcW w:w="658" w:type="dxa"/>
          </w:tcPr>
          <w:p w:rsidR="00F92819" w:rsidRDefault="00F92819">
            <w:pPr>
              <w:spacing w:before="40" w:after="40" w:line="220" w:lineRule="exact"/>
              <w:jc w:val="right"/>
              <w:rPr>
                <w:sz w:val="18"/>
                <w:szCs w:val="24"/>
              </w:rPr>
            </w:pPr>
            <w:r>
              <w:rPr>
                <w:sz w:val="18"/>
                <w:szCs w:val="24"/>
              </w:rPr>
              <w:t>362</w:t>
            </w:r>
          </w:p>
        </w:tc>
        <w:tc>
          <w:tcPr>
            <w:tcW w:w="658" w:type="dxa"/>
          </w:tcPr>
          <w:p w:rsidR="00F92819" w:rsidRDefault="00F92819">
            <w:pPr>
              <w:spacing w:before="40" w:after="40" w:line="220" w:lineRule="exact"/>
              <w:jc w:val="right"/>
              <w:rPr>
                <w:sz w:val="18"/>
                <w:szCs w:val="24"/>
              </w:rPr>
            </w:pPr>
            <w:r>
              <w:rPr>
                <w:sz w:val="18"/>
                <w:szCs w:val="24"/>
              </w:rPr>
              <w:t>351</w:t>
            </w:r>
          </w:p>
        </w:tc>
        <w:tc>
          <w:tcPr>
            <w:tcW w:w="658" w:type="dxa"/>
          </w:tcPr>
          <w:p w:rsidR="00F92819" w:rsidRDefault="00F92819">
            <w:pPr>
              <w:spacing w:before="40" w:after="40" w:line="220" w:lineRule="exact"/>
              <w:jc w:val="right"/>
              <w:rPr>
                <w:sz w:val="18"/>
                <w:szCs w:val="24"/>
              </w:rPr>
            </w:pPr>
            <w:r>
              <w:rPr>
                <w:sz w:val="18"/>
                <w:szCs w:val="24"/>
              </w:rPr>
              <w:t>319</w:t>
            </w:r>
          </w:p>
        </w:tc>
        <w:tc>
          <w:tcPr>
            <w:tcW w:w="658" w:type="dxa"/>
          </w:tcPr>
          <w:p w:rsidR="00F92819" w:rsidRDefault="00F92819">
            <w:pPr>
              <w:spacing w:before="40" w:after="40" w:line="220" w:lineRule="exact"/>
              <w:jc w:val="right"/>
              <w:rPr>
                <w:sz w:val="18"/>
                <w:szCs w:val="24"/>
              </w:rPr>
            </w:pPr>
            <w:r>
              <w:rPr>
                <w:sz w:val="18"/>
                <w:szCs w:val="24"/>
              </w:rPr>
              <w:t>316</w:t>
            </w:r>
          </w:p>
        </w:tc>
        <w:tc>
          <w:tcPr>
            <w:tcW w:w="658" w:type="dxa"/>
          </w:tcPr>
          <w:p w:rsidR="00F92819" w:rsidRDefault="00F92819">
            <w:pPr>
              <w:spacing w:before="40" w:after="40" w:line="220" w:lineRule="exact"/>
              <w:jc w:val="right"/>
              <w:rPr>
                <w:sz w:val="18"/>
                <w:szCs w:val="24"/>
              </w:rPr>
            </w:pPr>
            <w:r>
              <w:rPr>
                <w:sz w:val="18"/>
                <w:szCs w:val="24"/>
              </w:rPr>
              <w:t>323</w:t>
            </w:r>
          </w:p>
        </w:tc>
        <w:tc>
          <w:tcPr>
            <w:tcW w:w="658" w:type="dxa"/>
          </w:tcPr>
          <w:p w:rsidR="00F92819" w:rsidRDefault="00F92819">
            <w:pPr>
              <w:spacing w:before="40" w:after="40" w:line="220" w:lineRule="exact"/>
              <w:jc w:val="right"/>
              <w:rPr>
                <w:sz w:val="18"/>
                <w:szCs w:val="24"/>
              </w:rPr>
            </w:pPr>
            <w:r>
              <w:rPr>
                <w:sz w:val="18"/>
                <w:szCs w:val="24"/>
              </w:rPr>
              <w:t>301</w:t>
            </w:r>
          </w:p>
        </w:tc>
        <w:tc>
          <w:tcPr>
            <w:tcW w:w="658" w:type="dxa"/>
          </w:tcPr>
          <w:p w:rsidR="00F92819" w:rsidRDefault="00F92819">
            <w:pPr>
              <w:spacing w:before="40" w:after="40" w:line="220" w:lineRule="exact"/>
              <w:jc w:val="right"/>
              <w:rPr>
                <w:sz w:val="18"/>
                <w:szCs w:val="24"/>
              </w:rPr>
            </w:pPr>
            <w:r>
              <w:rPr>
                <w:sz w:val="18"/>
                <w:szCs w:val="24"/>
              </w:rPr>
              <w:t>307</w:t>
            </w:r>
          </w:p>
        </w:tc>
        <w:tc>
          <w:tcPr>
            <w:tcW w:w="658" w:type="dxa"/>
          </w:tcPr>
          <w:p w:rsidR="00F92819" w:rsidRDefault="00F92819">
            <w:pPr>
              <w:spacing w:before="40" w:after="40" w:line="220" w:lineRule="exact"/>
              <w:jc w:val="right"/>
              <w:rPr>
                <w:sz w:val="18"/>
                <w:szCs w:val="24"/>
              </w:rPr>
            </w:pPr>
            <w:r>
              <w:rPr>
                <w:sz w:val="18"/>
                <w:szCs w:val="24"/>
              </w:rPr>
              <w:t>315</w:t>
            </w:r>
          </w:p>
        </w:tc>
        <w:tc>
          <w:tcPr>
            <w:tcW w:w="658" w:type="dxa"/>
          </w:tcPr>
          <w:p w:rsidR="00F92819" w:rsidRDefault="00F92819">
            <w:pPr>
              <w:spacing w:before="40" w:after="40" w:line="220" w:lineRule="exact"/>
              <w:jc w:val="right"/>
              <w:rPr>
                <w:sz w:val="18"/>
                <w:szCs w:val="24"/>
              </w:rPr>
            </w:pPr>
            <w:r>
              <w:rPr>
                <w:sz w:val="18"/>
                <w:szCs w:val="24"/>
              </w:rPr>
              <w:t>326</w:t>
            </w:r>
          </w:p>
        </w:tc>
        <w:tc>
          <w:tcPr>
            <w:tcW w:w="659" w:type="dxa"/>
            <w:gridSpan w:val="2"/>
          </w:tcPr>
          <w:p w:rsidR="00F92819" w:rsidRDefault="00F92819">
            <w:pPr>
              <w:spacing w:before="40" w:after="40" w:line="220" w:lineRule="exact"/>
              <w:jc w:val="right"/>
              <w:rPr>
                <w:b/>
                <w:sz w:val="18"/>
                <w:szCs w:val="24"/>
              </w:rPr>
            </w:pPr>
            <w:r>
              <w:rPr>
                <w:b/>
                <w:sz w:val="18"/>
                <w:szCs w:val="24"/>
              </w:rPr>
              <w:t>337</w:t>
            </w:r>
          </w:p>
        </w:tc>
      </w:tr>
      <w:tr w:rsidR="00F92819">
        <w:tc>
          <w:tcPr>
            <w:tcW w:w="2400" w:type="dxa"/>
            <w:vAlign w:val="center"/>
          </w:tcPr>
          <w:p w:rsidR="00F92819" w:rsidRDefault="00F92819">
            <w:pPr>
              <w:spacing w:before="40" w:after="40" w:line="220" w:lineRule="exact"/>
              <w:rPr>
                <w:szCs w:val="24"/>
              </w:rPr>
            </w:pPr>
            <w:r>
              <w:rPr>
                <w:sz w:val="18"/>
                <w:szCs w:val="24"/>
                <w:lang w:val="es-ES_tradnl"/>
              </w:rPr>
              <w:t>Gas en bombonas</w:t>
            </w:r>
          </w:p>
        </w:tc>
        <w:tc>
          <w:tcPr>
            <w:tcW w:w="658" w:type="dxa"/>
          </w:tcPr>
          <w:p w:rsidR="00F92819" w:rsidRDefault="00F92819">
            <w:pPr>
              <w:spacing w:before="40" w:after="40" w:line="220" w:lineRule="exact"/>
              <w:jc w:val="right"/>
              <w:rPr>
                <w:sz w:val="18"/>
                <w:szCs w:val="24"/>
              </w:rPr>
            </w:pPr>
            <w:r>
              <w:rPr>
                <w:sz w:val="18"/>
                <w:szCs w:val="24"/>
              </w:rPr>
              <w:t>24</w:t>
            </w:r>
          </w:p>
        </w:tc>
        <w:tc>
          <w:tcPr>
            <w:tcW w:w="658" w:type="dxa"/>
          </w:tcPr>
          <w:p w:rsidR="00F92819" w:rsidRDefault="00F92819">
            <w:pPr>
              <w:spacing w:before="40" w:after="40" w:line="220" w:lineRule="exact"/>
              <w:jc w:val="right"/>
              <w:rPr>
                <w:sz w:val="18"/>
                <w:szCs w:val="24"/>
              </w:rPr>
            </w:pPr>
            <w:r>
              <w:rPr>
                <w:sz w:val="18"/>
                <w:szCs w:val="24"/>
              </w:rPr>
              <w:t>35</w:t>
            </w:r>
          </w:p>
        </w:tc>
        <w:tc>
          <w:tcPr>
            <w:tcW w:w="658" w:type="dxa"/>
          </w:tcPr>
          <w:p w:rsidR="00F92819" w:rsidRDefault="00F92819">
            <w:pPr>
              <w:spacing w:before="40" w:after="40" w:line="220" w:lineRule="exact"/>
              <w:jc w:val="right"/>
              <w:rPr>
                <w:sz w:val="18"/>
                <w:szCs w:val="24"/>
              </w:rPr>
            </w:pPr>
            <w:r>
              <w:rPr>
                <w:sz w:val="18"/>
                <w:szCs w:val="24"/>
              </w:rPr>
              <w:t>42</w:t>
            </w:r>
          </w:p>
        </w:tc>
        <w:tc>
          <w:tcPr>
            <w:tcW w:w="658" w:type="dxa"/>
          </w:tcPr>
          <w:p w:rsidR="00F92819" w:rsidRDefault="00F92819">
            <w:pPr>
              <w:spacing w:before="40" w:after="40" w:line="220" w:lineRule="exact"/>
              <w:jc w:val="right"/>
              <w:rPr>
                <w:sz w:val="18"/>
                <w:szCs w:val="24"/>
              </w:rPr>
            </w:pPr>
            <w:r>
              <w:rPr>
                <w:sz w:val="18"/>
                <w:szCs w:val="24"/>
              </w:rPr>
              <w:t>30</w:t>
            </w:r>
          </w:p>
        </w:tc>
        <w:tc>
          <w:tcPr>
            <w:tcW w:w="658" w:type="dxa"/>
          </w:tcPr>
          <w:p w:rsidR="00F92819" w:rsidRDefault="00F92819">
            <w:pPr>
              <w:spacing w:before="40" w:after="40" w:line="220" w:lineRule="exact"/>
              <w:jc w:val="right"/>
              <w:rPr>
                <w:sz w:val="18"/>
                <w:szCs w:val="24"/>
              </w:rPr>
            </w:pPr>
            <w:r>
              <w:rPr>
                <w:sz w:val="18"/>
                <w:szCs w:val="24"/>
              </w:rPr>
              <w:t>43</w:t>
            </w:r>
          </w:p>
        </w:tc>
        <w:tc>
          <w:tcPr>
            <w:tcW w:w="658" w:type="dxa"/>
          </w:tcPr>
          <w:p w:rsidR="00F92819" w:rsidRDefault="00F92819">
            <w:pPr>
              <w:spacing w:before="40" w:after="40" w:line="220" w:lineRule="exact"/>
              <w:jc w:val="right"/>
              <w:rPr>
                <w:sz w:val="18"/>
                <w:szCs w:val="24"/>
              </w:rPr>
            </w:pPr>
            <w:r>
              <w:rPr>
                <w:sz w:val="18"/>
                <w:szCs w:val="24"/>
              </w:rPr>
              <w:t>47</w:t>
            </w:r>
          </w:p>
        </w:tc>
        <w:tc>
          <w:tcPr>
            <w:tcW w:w="658" w:type="dxa"/>
          </w:tcPr>
          <w:p w:rsidR="00F92819" w:rsidRDefault="00F92819">
            <w:pPr>
              <w:spacing w:before="40" w:after="40" w:line="220" w:lineRule="exact"/>
              <w:jc w:val="right"/>
              <w:rPr>
                <w:sz w:val="18"/>
                <w:szCs w:val="24"/>
              </w:rPr>
            </w:pPr>
            <w:r>
              <w:rPr>
                <w:sz w:val="18"/>
                <w:szCs w:val="24"/>
              </w:rPr>
              <w:t>50</w:t>
            </w:r>
          </w:p>
        </w:tc>
        <w:tc>
          <w:tcPr>
            <w:tcW w:w="658" w:type="dxa"/>
          </w:tcPr>
          <w:p w:rsidR="00F92819" w:rsidRDefault="00F92819">
            <w:pPr>
              <w:spacing w:before="40" w:after="40" w:line="220" w:lineRule="exact"/>
              <w:jc w:val="right"/>
              <w:rPr>
                <w:sz w:val="18"/>
                <w:szCs w:val="24"/>
              </w:rPr>
            </w:pPr>
            <w:r>
              <w:rPr>
                <w:sz w:val="18"/>
                <w:szCs w:val="24"/>
              </w:rPr>
              <w:t>70</w:t>
            </w:r>
          </w:p>
        </w:tc>
        <w:tc>
          <w:tcPr>
            <w:tcW w:w="658" w:type="dxa"/>
          </w:tcPr>
          <w:p w:rsidR="00F92819" w:rsidRDefault="00F92819">
            <w:pPr>
              <w:spacing w:before="40" w:after="40" w:line="220" w:lineRule="exact"/>
              <w:jc w:val="right"/>
              <w:rPr>
                <w:sz w:val="18"/>
                <w:szCs w:val="24"/>
              </w:rPr>
            </w:pPr>
            <w:r>
              <w:rPr>
                <w:sz w:val="18"/>
                <w:szCs w:val="24"/>
              </w:rPr>
              <w:t>75</w:t>
            </w:r>
          </w:p>
        </w:tc>
        <w:tc>
          <w:tcPr>
            <w:tcW w:w="658" w:type="dxa"/>
          </w:tcPr>
          <w:p w:rsidR="00F92819" w:rsidRDefault="00F92819">
            <w:pPr>
              <w:spacing w:before="40" w:after="40" w:line="220" w:lineRule="exact"/>
              <w:jc w:val="right"/>
              <w:rPr>
                <w:sz w:val="18"/>
                <w:szCs w:val="24"/>
              </w:rPr>
            </w:pPr>
            <w:r>
              <w:rPr>
                <w:sz w:val="18"/>
                <w:szCs w:val="24"/>
              </w:rPr>
              <w:t>113</w:t>
            </w:r>
          </w:p>
        </w:tc>
        <w:tc>
          <w:tcPr>
            <w:tcW w:w="659" w:type="dxa"/>
            <w:gridSpan w:val="2"/>
          </w:tcPr>
          <w:p w:rsidR="00F92819" w:rsidRDefault="00F92819">
            <w:pPr>
              <w:spacing w:before="40" w:after="40" w:line="220" w:lineRule="exact"/>
              <w:jc w:val="right"/>
              <w:rPr>
                <w:b/>
                <w:sz w:val="18"/>
                <w:szCs w:val="24"/>
              </w:rPr>
            </w:pPr>
            <w:r>
              <w:rPr>
                <w:b/>
                <w:sz w:val="18"/>
                <w:szCs w:val="24"/>
              </w:rPr>
              <w:t>48</w:t>
            </w:r>
          </w:p>
        </w:tc>
      </w:tr>
      <w:tr w:rsidR="00F92819">
        <w:tc>
          <w:tcPr>
            <w:tcW w:w="2400" w:type="dxa"/>
            <w:vAlign w:val="center"/>
          </w:tcPr>
          <w:p w:rsidR="00F92819" w:rsidRDefault="00F92819">
            <w:pPr>
              <w:spacing w:before="40" w:after="40" w:line="220" w:lineRule="exact"/>
              <w:rPr>
                <w:szCs w:val="24"/>
              </w:rPr>
            </w:pPr>
            <w:r>
              <w:rPr>
                <w:sz w:val="18"/>
                <w:szCs w:val="24"/>
                <w:lang w:val="es-ES_tradnl"/>
              </w:rPr>
              <w:t>Gas con instalación central</w:t>
            </w:r>
          </w:p>
        </w:tc>
        <w:tc>
          <w:tcPr>
            <w:tcW w:w="658" w:type="dxa"/>
          </w:tcPr>
          <w:p w:rsidR="00F92819" w:rsidRDefault="00F92819">
            <w:pPr>
              <w:spacing w:before="40" w:after="40" w:line="220" w:lineRule="exact"/>
              <w:jc w:val="right"/>
              <w:rPr>
                <w:sz w:val="18"/>
                <w:szCs w:val="24"/>
              </w:rPr>
            </w:pPr>
            <w:r>
              <w:rPr>
                <w:sz w:val="18"/>
                <w:szCs w:val="24"/>
              </w:rPr>
              <w:t>33</w:t>
            </w:r>
          </w:p>
        </w:tc>
        <w:tc>
          <w:tcPr>
            <w:tcW w:w="658" w:type="dxa"/>
          </w:tcPr>
          <w:p w:rsidR="00F92819" w:rsidRDefault="00F92819">
            <w:pPr>
              <w:spacing w:before="40" w:after="40" w:line="220" w:lineRule="exact"/>
              <w:jc w:val="right"/>
              <w:rPr>
                <w:sz w:val="18"/>
                <w:szCs w:val="24"/>
              </w:rPr>
            </w:pPr>
            <w:r>
              <w:rPr>
                <w:sz w:val="18"/>
                <w:szCs w:val="24"/>
              </w:rPr>
              <w:t>27</w:t>
            </w:r>
          </w:p>
        </w:tc>
        <w:tc>
          <w:tcPr>
            <w:tcW w:w="658" w:type="dxa"/>
          </w:tcPr>
          <w:p w:rsidR="00F92819" w:rsidRDefault="00F92819">
            <w:pPr>
              <w:spacing w:before="40" w:after="40" w:line="220" w:lineRule="exact"/>
              <w:jc w:val="right"/>
              <w:rPr>
                <w:sz w:val="18"/>
                <w:szCs w:val="24"/>
              </w:rPr>
            </w:pPr>
            <w:r>
              <w:rPr>
                <w:sz w:val="18"/>
                <w:szCs w:val="24"/>
              </w:rPr>
              <w:t>41</w:t>
            </w:r>
          </w:p>
        </w:tc>
        <w:tc>
          <w:tcPr>
            <w:tcW w:w="658" w:type="dxa"/>
          </w:tcPr>
          <w:p w:rsidR="00F92819" w:rsidRDefault="00F92819">
            <w:pPr>
              <w:spacing w:before="40" w:after="40" w:line="220" w:lineRule="exact"/>
              <w:jc w:val="right"/>
              <w:rPr>
                <w:sz w:val="18"/>
                <w:szCs w:val="24"/>
              </w:rPr>
            </w:pPr>
            <w:r>
              <w:rPr>
                <w:sz w:val="18"/>
                <w:szCs w:val="24"/>
              </w:rPr>
              <w:t>41</w:t>
            </w:r>
          </w:p>
        </w:tc>
        <w:tc>
          <w:tcPr>
            <w:tcW w:w="658" w:type="dxa"/>
          </w:tcPr>
          <w:p w:rsidR="00F92819" w:rsidRDefault="00F92819">
            <w:pPr>
              <w:spacing w:before="40" w:after="40" w:line="220" w:lineRule="exact"/>
              <w:jc w:val="right"/>
              <w:rPr>
                <w:sz w:val="18"/>
                <w:szCs w:val="24"/>
              </w:rPr>
            </w:pPr>
            <w:r>
              <w:rPr>
                <w:sz w:val="18"/>
                <w:szCs w:val="24"/>
              </w:rPr>
              <w:t>31</w:t>
            </w:r>
          </w:p>
        </w:tc>
        <w:tc>
          <w:tcPr>
            <w:tcW w:w="658" w:type="dxa"/>
          </w:tcPr>
          <w:p w:rsidR="00F92819" w:rsidRDefault="00F92819">
            <w:pPr>
              <w:spacing w:before="40" w:after="40" w:line="220" w:lineRule="exact"/>
              <w:jc w:val="right"/>
              <w:rPr>
                <w:sz w:val="18"/>
                <w:szCs w:val="24"/>
              </w:rPr>
            </w:pPr>
            <w:r>
              <w:rPr>
                <w:sz w:val="18"/>
                <w:szCs w:val="24"/>
              </w:rPr>
              <w:t>38</w:t>
            </w:r>
          </w:p>
        </w:tc>
        <w:tc>
          <w:tcPr>
            <w:tcW w:w="658" w:type="dxa"/>
          </w:tcPr>
          <w:p w:rsidR="00F92819" w:rsidRDefault="00F92819">
            <w:pPr>
              <w:spacing w:before="40" w:after="40" w:line="220" w:lineRule="exact"/>
              <w:jc w:val="right"/>
              <w:rPr>
                <w:sz w:val="18"/>
                <w:szCs w:val="24"/>
              </w:rPr>
            </w:pPr>
            <w:r>
              <w:rPr>
                <w:sz w:val="18"/>
                <w:szCs w:val="24"/>
              </w:rPr>
              <w:t>35</w:t>
            </w:r>
          </w:p>
        </w:tc>
        <w:tc>
          <w:tcPr>
            <w:tcW w:w="658" w:type="dxa"/>
          </w:tcPr>
          <w:p w:rsidR="00F92819" w:rsidRDefault="00F92819">
            <w:pPr>
              <w:spacing w:before="40" w:after="40" w:line="220" w:lineRule="exact"/>
              <w:jc w:val="right"/>
              <w:rPr>
                <w:sz w:val="18"/>
                <w:szCs w:val="24"/>
              </w:rPr>
            </w:pPr>
            <w:r>
              <w:rPr>
                <w:sz w:val="18"/>
                <w:szCs w:val="24"/>
              </w:rPr>
              <w:t>29</w:t>
            </w:r>
          </w:p>
        </w:tc>
        <w:tc>
          <w:tcPr>
            <w:tcW w:w="658" w:type="dxa"/>
          </w:tcPr>
          <w:p w:rsidR="00F92819" w:rsidRDefault="00F92819">
            <w:pPr>
              <w:spacing w:before="40" w:after="40" w:line="220" w:lineRule="exact"/>
              <w:jc w:val="right"/>
              <w:rPr>
                <w:sz w:val="18"/>
                <w:szCs w:val="24"/>
              </w:rPr>
            </w:pPr>
            <w:r>
              <w:rPr>
                <w:sz w:val="18"/>
                <w:szCs w:val="24"/>
              </w:rPr>
              <w:t>28</w:t>
            </w:r>
          </w:p>
        </w:tc>
        <w:tc>
          <w:tcPr>
            <w:tcW w:w="658" w:type="dxa"/>
          </w:tcPr>
          <w:p w:rsidR="00F92819" w:rsidRDefault="00F92819">
            <w:pPr>
              <w:spacing w:before="40" w:after="40" w:line="220" w:lineRule="exact"/>
              <w:jc w:val="right"/>
              <w:rPr>
                <w:sz w:val="18"/>
                <w:szCs w:val="24"/>
              </w:rPr>
            </w:pPr>
            <w:r>
              <w:rPr>
                <w:sz w:val="18"/>
                <w:szCs w:val="24"/>
              </w:rPr>
              <w:t>13</w:t>
            </w:r>
          </w:p>
        </w:tc>
        <w:tc>
          <w:tcPr>
            <w:tcW w:w="659" w:type="dxa"/>
            <w:gridSpan w:val="2"/>
          </w:tcPr>
          <w:p w:rsidR="00F92819" w:rsidRDefault="00F92819">
            <w:pPr>
              <w:spacing w:before="40" w:after="40" w:line="220" w:lineRule="exact"/>
              <w:jc w:val="right"/>
              <w:rPr>
                <w:b/>
                <w:sz w:val="18"/>
                <w:szCs w:val="24"/>
              </w:rPr>
            </w:pPr>
            <w:r>
              <w:rPr>
                <w:b/>
                <w:sz w:val="18"/>
                <w:szCs w:val="24"/>
              </w:rPr>
              <w:t>33</w:t>
            </w:r>
          </w:p>
        </w:tc>
      </w:tr>
      <w:tr w:rsidR="00F92819">
        <w:tc>
          <w:tcPr>
            <w:tcW w:w="2400" w:type="dxa"/>
            <w:vAlign w:val="center"/>
          </w:tcPr>
          <w:p w:rsidR="00F92819" w:rsidRDefault="00F92819">
            <w:pPr>
              <w:spacing w:before="40" w:after="40" w:line="220" w:lineRule="exact"/>
              <w:rPr>
                <w:szCs w:val="24"/>
              </w:rPr>
            </w:pPr>
            <w:r>
              <w:rPr>
                <w:sz w:val="18"/>
                <w:szCs w:val="24"/>
                <w:lang w:val="es-ES_tradnl"/>
              </w:rPr>
              <w:t>Tarifas de las comisiones de inquilinos</w:t>
            </w:r>
          </w:p>
        </w:tc>
        <w:tc>
          <w:tcPr>
            <w:tcW w:w="658" w:type="dxa"/>
          </w:tcPr>
          <w:p w:rsidR="00F92819" w:rsidRDefault="00F92819">
            <w:pPr>
              <w:spacing w:before="40" w:after="40" w:line="220" w:lineRule="exact"/>
              <w:jc w:val="right"/>
              <w:rPr>
                <w:sz w:val="18"/>
                <w:szCs w:val="24"/>
              </w:rPr>
            </w:pPr>
            <w:r>
              <w:rPr>
                <w:sz w:val="18"/>
                <w:szCs w:val="24"/>
              </w:rPr>
              <w:t>138</w:t>
            </w:r>
          </w:p>
        </w:tc>
        <w:tc>
          <w:tcPr>
            <w:tcW w:w="658" w:type="dxa"/>
          </w:tcPr>
          <w:p w:rsidR="00F92819" w:rsidRDefault="00F92819">
            <w:pPr>
              <w:spacing w:before="40" w:after="40" w:line="220" w:lineRule="exact"/>
              <w:jc w:val="right"/>
              <w:rPr>
                <w:sz w:val="18"/>
                <w:szCs w:val="24"/>
              </w:rPr>
            </w:pPr>
            <w:r>
              <w:rPr>
                <w:sz w:val="18"/>
                <w:szCs w:val="24"/>
              </w:rPr>
              <w:t>99</w:t>
            </w:r>
          </w:p>
        </w:tc>
        <w:tc>
          <w:tcPr>
            <w:tcW w:w="658" w:type="dxa"/>
          </w:tcPr>
          <w:p w:rsidR="00F92819" w:rsidRDefault="00F92819">
            <w:pPr>
              <w:spacing w:before="40" w:after="40" w:line="220" w:lineRule="exact"/>
              <w:jc w:val="right"/>
              <w:rPr>
                <w:sz w:val="18"/>
                <w:szCs w:val="24"/>
              </w:rPr>
            </w:pPr>
            <w:r>
              <w:rPr>
                <w:sz w:val="18"/>
                <w:szCs w:val="24"/>
              </w:rPr>
              <w:t>84</w:t>
            </w:r>
          </w:p>
        </w:tc>
        <w:tc>
          <w:tcPr>
            <w:tcW w:w="658" w:type="dxa"/>
          </w:tcPr>
          <w:p w:rsidR="00F92819" w:rsidRDefault="00F92819">
            <w:pPr>
              <w:spacing w:before="40" w:after="40" w:line="220" w:lineRule="exact"/>
              <w:jc w:val="right"/>
              <w:rPr>
                <w:sz w:val="18"/>
                <w:szCs w:val="24"/>
              </w:rPr>
            </w:pPr>
            <w:r>
              <w:rPr>
                <w:sz w:val="18"/>
                <w:szCs w:val="24"/>
              </w:rPr>
              <w:t>86</w:t>
            </w:r>
          </w:p>
        </w:tc>
        <w:tc>
          <w:tcPr>
            <w:tcW w:w="658" w:type="dxa"/>
          </w:tcPr>
          <w:p w:rsidR="00F92819" w:rsidRDefault="00F92819">
            <w:pPr>
              <w:spacing w:before="40" w:after="40" w:line="220" w:lineRule="exact"/>
              <w:jc w:val="right"/>
              <w:rPr>
                <w:sz w:val="18"/>
                <w:szCs w:val="24"/>
              </w:rPr>
            </w:pPr>
            <w:r>
              <w:rPr>
                <w:sz w:val="18"/>
                <w:szCs w:val="24"/>
              </w:rPr>
              <w:t>59</w:t>
            </w:r>
          </w:p>
        </w:tc>
        <w:tc>
          <w:tcPr>
            <w:tcW w:w="658" w:type="dxa"/>
          </w:tcPr>
          <w:p w:rsidR="00F92819" w:rsidRDefault="00F92819">
            <w:pPr>
              <w:spacing w:before="40" w:after="40" w:line="220" w:lineRule="exact"/>
              <w:jc w:val="right"/>
              <w:rPr>
                <w:sz w:val="18"/>
                <w:szCs w:val="24"/>
              </w:rPr>
            </w:pPr>
            <w:r>
              <w:rPr>
                <w:sz w:val="18"/>
                <w:szCs w:val="24"/>
              </w:rPr>
              <w:t>52</w:t>
            </w:r>
          </w:p>
        </w:tc>
        <w:tc>
          <w:tcPr>
            <w:tcW w:w="658" w:type="dxa"/>
          </w:tcPr>
          <w:p w:rsidR="00F92819" w:rsidRDefault="00F92819">
            <w:pPr>
              <w:spacing w:before="40" w:after="40" w:line="220" w:lineRule="exact"/>
              <w:jc w:val="right"/>
              <w:rPr>
                <w:sz w:val="18"/>
                <w:szCs w:val="24"/>
              </w:rPr>
            </w:pPr>
            <w:r>
              <w:rPr>
                <w:sz w:val="18"/>
                <w:szCs w:val="24"/>
              </w:rPr>
              <w:t>45</w:t>
            </w:r>
          </w:p>
        </w:tc>
        <w:tc>
          <w:tcPr>
            <w:tcW w:w="658" w:type="dxa"/>
          </w:tcPr>
          <w:p w:rsidR="00F92819" w:rsidRDefault="00F92819">
            <w:pPr>
              <w:spacing w:before="40" w:after="40" w:line="220" w:lineRule="exact"/>
              <w:jc w:val="right"/>
              <w:rPr>
                <w:sz w:val="18"/>
                <w:szCs w:val="24"/>
              </w:rPr>
            </w:pPr>
            <w:r>
              <w:rPr>
                <w:sz w:val="18"/>
                <w:szCs w:val="24"/>
              </w:rPr>
              <w:t>30</w:t>
            </w:r>
          </w:p>
        </w:tc>
        <w:tc>
          <w:tcPr>
            <w:tcW w:w="658" w:type="dxa"/>
          </w:tcPr>
          <w:p w:rsidR="00F92819" w:rsidRDefault="00F92819">
            <w:pPr>
              <w:spacing w:before="40" w:after="40" w:line="220" w:lineRule="exact"/>
              <w:jc w:val="right"/>
              <w:rPr>
                <w:sz w:val="18"/>
                <w:szCs w:val="24"/>
              </w:rPr>
            </w:pPr>
            <w:r>
              <w:rPr>
                <w:sz w:val="18"/>
                <w:szCs w:val="24"/>
              </w:rPr>
              <w:t>23</w:t>
            </w:r>
          </w:p>
        </w:tc>
        <w:tc>
          <w:tcPr>
            <w:tcW w:w="658" w:type="dxa"/>
          </w:tcPr>
          <w:p w:rsidR="00F92819" w:rsidRDefault="00F92819">
            <w:pPr>
              <w:spacing w:before="40" w:after="40" w:line="220" w:lineRule="exact"/>
              <w:jc w:val="right"/>
              <w:rPr>
                <w:sz w:val="18"/>
                <w:szCs w:val="24"/>
              </w:rPr>
            </w:pPr>
            <w:r>
              <w:rPr>
                <w:sz w:val="18"/>
                <w:szCs w:val="24"/>
              </w:rPr>
              <w:t>12</w:t>
            </w:r>
          </w:p>
        </w:tc>
        <w:tc>
          <w:tcPr>
            <w:tcW w:w="659" w:type="dxa"/>
            <w:gridSpan w:val="2"/>
          </w:tcPr>
          <w:p w:rsidR="00F92819" w:rsidRDefault="00F92819">
            <w:pPr>
              <w:spacing w:before="40" w:after="40" w:line="220" w:lineRule="exact"/>
              <w:jc w:val="right"/>
              <w:rPr>
                <w:b/>
                <w:sz w:val="18"/>
                <w:szCs w:val="24"/>
              </w:rPr>
            </w:pPr>
            <w:r>
              <w:rPr>
                <w:b/>
                <w:sz w:val="18"/>
                <w:szCs w:val="24"/>
              </w:rPr>
              <w:t>69</w:t>
            </w:r>
          </w:p>
        </w:tc>
      </w:tr>
      <w:tr w:rsidR="00F92819">
        <w:tc>
          <w:tcPr>
            <w:tcW w:w="2400" w:type="dxa"/>
            <w:vAlign w:val="center"/>
          </w:tcPr>
          <w:p w:rsidR="00F92819" w:rsidRDefault="00F92819">
            <w:pPr>
              <w:spacing w:before="40" w:after="40" w:line="220" w:lineRule="exact"/>
              <w:rPr>
                <w:szCs w:val="24"/>
              </w:rPr>
            </w:pPr>
            <w:r>
              <w:rPr>
                <w:sz w:val="18"/>
                <w:szCs w:val="24"/>
                <w:lang w:val="es-ES_tradnl"/>
              </w:rPr>
              <w:t>Tributos municipales</w:t>
            </w:r>
          </w:p>
        </w:tc>
        <w:tc>
          <w:tcPr>
            <w:tcW w:w="658" w:type="dxa"/>
          </w:tcPr>
          <w:p w:rsidR="00F92819" w:rsidRDefault="00F92819">
            <w:pPr>
              <w:spacing w:before="40" w:after="40" w:line="220" w:lineRule="exact"/>
              <w:jc w:val="right"/>
              <w:rPr>
                <w:sz w:val="18"/>
                <w:szCs w:val="24"/>
              </w:rPr>
            </w:pPr>
            <w:r>
              <w:rPr>
                <w:sz w:val="18"/>
                <w:szCs w:val="24"/>
              </w:rPr>
              <w:t>482</w:t>
            </w:r>
          </w:p>
        </w:tc>
        <w:tc>
          <w:tcPr>
            <w:tcW w:w="658" w:type="dxa"/>
          </w:tcPr>
          <w:p w:rsidR="00F92819" w:rsidRDefault="00F92819">
            <w:pPr>
              <w:spacing w:before="40" w:after="40" w:line="220" w:lineRule="exact"/>
              <w:jc w:val="right"/>
              <w:rPr>
                <w:sz w:val="18"/>
                <w:szCs w:val="24"/>
              </w:rPr>
            </w:pPr>
            <w:r>
              <w:rPr>
                <w:sz w:val="18"/>
                <w:szCs w:val="24"/>
              </w:rPr>
              <w:t>402</w:t>
            </w:r>
          </w:p>
        </w:tc>
        <w:tc>
          <w:tcPr>
            <w:tcW w:w="658" w:type="dxa"/>
          </w:tcPr>
          <w:p w:rsidR="00F92819" w:rsidRDefault="00F92819">
            <w:pPr>
              <w:spacing w:before="40" w:after="40" w:line="220" w:lineRule="exact"/>
              <w:jc w:val="right"/>
              <w:rPr>
                <w:sz w:val="18"/>
                <w:szCs w:val="24"/>
              </w:rPr>
            </w:pPr>
            <w:r>
              <w:rPr>
                <w:sz w:val="18"/>
                <w:szCs w:val="24"/>
              </w:rPr>
              <w:t>350</w:t>
            </w:r>
          </w:p>
        </w:tc>
        <w:tc>
          <w:tcPr>
            <w:tcW w:w="658" w:type="dxa"/>
          </w:tcPr>
          <w:p w:rsidR="00F92819" w:rsidRDefault="00F92819">
            <w:pPr>
              <w:spacing w:before="40" w:after="40" w:line="220" w:lineRule="exact"/>
              <w:jc w:val="right"/>
              <w:rPr>
                <w:sz w:val="18"/>
                <w:szCs w:val="24"/>
              </w:rPr>
            </w:pPr>
            <w:r>
              <w:rPr>
                <w:sz w:val="18"/>
                <w:szCs w:val="24"/>
              </w:rPr>
              <w:t>294</w:t>
            </w:r>
          </w:p>
        </w:tc>
        <w:tc>
          <w:tcPr>
            <w:tcW w:w="658" w:type="dxa"/>
          </w:tcPr>
          <w:p w:rsidR="00F92819" w:rsidRDefault="00F92819">
            <w:pPr>
              <w:spacing w:before="40" w:after="40" w:line="220" w:lineRule="exact"/>
              <w:jc w:val="right"/>
              <w:rPr>
                <w:sz w:val="18"/>
                <w:szCs w:val="24"/>
              </w:rPr>
            </w:pPr>
            <w:r>
              <w:rPr>
                <w:sz w:val="18"/>
                <w:szCs w:val="24"/>
              </w:rPr>
              <w:t>283</w:t>
            </w:r>
          </w:p>
        </w:tc>
        <w:tc>
          <w:tcPr>
            <w:tcW w:w="658" w:type="dxa"/>
          </w:tcPr>
          <w:p w:rsidR="00F92819" w:rsidRDefault="00F92819">
            <w:pPr>
              <w:spacing w:before="40" w:after="40" w:line="220" w:lineRule="exact"/>
              <w:jc w:val="right"/>
              <w:rPr>
                <w:sz w:val="18"/>
                <w:szCs w:val="24"/>
              </w:rPr>
            </w:pPr>
            <w:r>
              <w:rPr>
                <w:sz w:val="18"/>
                <w:szCs w:val="24"/>
              </w:rPr>
              <w:t>241</w:t>
            </w:r>
          </w:p>
        </w:tc>
        <w:tc>
          <w:tcPr>
            <w:tcW w:w="658" w:type="dxa"/>
          </w:tcPr>
          <w:p w:rsidR="00F92819" w:rsidRDefault="00F92819">
            <w:pPr>
              <w:spacing w:before="40" w:after="40" w:line="220" w:lineRule="exact"/>
              <w:jc w:val="right"/>
              <w:rPr>
                <w:sz w:val="18"/>
                <w:szCs w:val="24"/>
              </w:rPr>
            </w:pPr>
            <w:r>
              <w:rPr>
                <w:sz w:val="18"/>
                <w:szCs w:val="24"/>
              </w:rPr>
              <w:t>219</w:t>
            </w:r>
          </w:p>
        </w:tc>
        <w:tc>
          <w:tcPr>
            <w:tcW w:w="658" w:type="dxa"/>
          </w:tcPr>
          <w:p w:rsidR="00F92819" w:rsidRDefault="00F92819">
            <w:pPr>
              <w:spacing w:before="40" w:after="40" w:line="220" w:lineRule="exact"/>
              <w:jc w:val="right"/>
              <w:rPr>
                <w:sz w:val="18"/>
                <w:szCs w:val="24"/>
              </w:rPr>
            </w:pPr>
            <w:r>
              <w:rPr>
                <w:sz w:val="18"/>
                <w:szCs w:val="24"/>
              </w:rPr>
              <w:t>215</w:t>
            </w:r>
          </w:p>
        </w:tc>
        <w:tc>
          <w:tcPr>
            <w:tcW w:w="658" w:type="dxa"/>
          </w:tcPr>
          <w:p w:rsidR="00F92819" w:rsidRDefault="00F92819">
            <w:pPr>
              <w:spacing w:before="40" w:after="40" w:line="220" w:lineRule="exact"/>
              <w:jc w:val="right"/>
              <w:rPr>
                <w:sz w:val="18"/>
                <w:szCs w:val="24"/>
              </w:rPr>
            </w:pPr>
            <w:r>
              <w:rPr>
                <w:sz w:val="18"/>
                <w:szCs w:val="24"/>
              </w:rPr>
              <w:t>207</w:t>
            </w:r>
          </w:p>
        </w:tc>
        <w:tc>
          <w:tcPr>
            <w:tcW w:w="658" w:type="dxa"/>
          </w:tcPr>
          <w:p w:rsidR="00F92819" w:rsidRDefault="00F92819">
            <w:pPr>
              <w:spacing w:before="40" w:after="40" w:line="220" w:lineRule="exact"/>
              <w:jc w:val="right"/>
              <w:rPr>
                <w:sz w:val="18"/>
                <w:szCs w:val="24"/>
              </w:rPr>
            </w:pPr>
            <w:r>
              <w:rPr>
                <w:sz w:val="18"/>
                <w:szCs w:val="24"/>
              </w:rPr>
              <w:t>147</w:t>
            </w:r>
          </w:p>
        </w:tc>
        <w:tc>
          <w:tcPr>
            <w:tcW w:w="659" w:type="dxa"/>
            <w:gridSpan w:val="2"/>
          </w:tcPr>
          <w:p w:rsidR="00F92819" w:rsidRDefault="00F92819">
            <w:pPr>
              <w:spacing w:before="40" w:after="40" w:line="220" w:lineRule="exact"/>
              <w:jc w:val="right"/>
              <w:rPr>
                <w:b/>
                <w:sz w:val="18"/>
                <w:szCs w:val="24"/>
              </w:rPr>
            </w:pPr>
            <w:r>
              <w:rPr>
                <w:b/>
                <w:sz w:val="18"/>
                <w:szCs w:val="24"/>
              </w:rPr>
              <w:t>299</w:t>
            </w:r>
          </w:p>
        </w:tc>
      </w:tr>
      <w:tr w:rsidR="00F92819">
        <w:tc>
          <w:tcPr>
            <w:tcW w:w="2400" w:type="dxa"/>
            <w:vAlign w:val="center"/>
          </w:tcPr>
          <w:p w:rsidR="00F92819" w:rsidRDefault="00F92819">
            <w:pPr>
              <w:spacing w:before="40" w:after="40" w:line="220" w:lineRule="exact"/>
              <w:rPr>
                <w:szCs w:val="24"/>
              </w:rPr>
            </w:pPr>
            <w:r>
              <w:rPr>
                <w:sz w:val="18"/>
                <w:szCs w:val="24"/>
                <w:lang w:val="es-ES_tradnl"/>
              </w:rPr>
              <w:t>Pagos hipotecarios</w:t>
            </w:r>
          </w:p>
        </w:tc>
        <w:tc>
          <w:tcPr>
            <w:tcW w:w="658" w:type="dxa"/>
          </w:tcPr>
          <w:p w:rsidR="00F92819" w:rsidRDefault="00F92819">
            <w:pPr>
              <w:spacing w:before="40" w:after="40" w:line="220" w:lineRule="exact"/>
              <w:jc w:val="right"/>
              <w:rPr>
                <w:sz w:val="18"/>
                <w:szCs w:val="24"/>
              </w:rPr>
            </w:pPr>
            <w:r>
              <w:rPr>
                <w:sz w:val="18"/>
                <w:szCs w:val="24"/>
              </w:rPr>
              <w:t>1 686</w:t>
            </w:r>
          </w:p>
        </w:tc>
        <w:tc>
          <w:tcPr>
            <w:tcW w:w="658" w:type="dxa"/>
          </w:tcPr>
          <w:p w:rsidR="00F92819" w:rsidRDefault="00F92819">
            <w:pPr>
              <w:spacing w:before="40" w:after="40" w:line="220" w:lineRule="exact"/>
              <w:jc w:val="right"/>
              <w:rPr>
                <w:sz w:val="18"/>
                <w:szCs w:val="24"/>
              </w:rPr>
            </w:pPr>
            <w:r>
              <w:rPr>
                <w:sz w:val="18"/>
                <w:szCs w:val="24"/>
              </w:rPr>
              <w:t>1 067</w:t>
            </w:r>
          </w:p>
        </w:tc>
        <w:tc>
          <w:tcPr>
            <w:tcW w:w="658" w:type="dxa"/>
          </w:tcPr>
          <w:p w:rsidR="00F92819" w:rsidRDefault="00F92819">
            <w:pPr>
              <w:spacing w:before="40" w:after="40" w:line="220" w:lineRule="exact"/>
              <w:jc w:val="right"/>
              <w:rPr>
                <w:sz w:val="18"/>
                <w:szCs w:val="24"/>
              </w:rPr>
            </w:pPr>
            <w:r>
              <w:rPr>
                <w:sz w:val="18"/>
                <w:szCs w:val="24"/>
              </w:rPr>
              <w:t>1 114</w:t>
            </w:r>
          </w:p>
        </w:tc>
        <w:tc>
          <w:tcPr>
            <w:tcW w:w="658" w:type="dxa"/>
          </w:tcPr>
          <w:p w:rsidR="00F92819" w:rsidRDefault="00F92819">
            <w:pPr>
              <w:spacing w:before="40" w:after="40" w:line="220" w:lineRule="exact"/>
              <w:jc w:val="right"/>
              <w:rPr>
                <w:sz w:val="18"/>
                <w:szCs w:val="24"/>
              </w:rPr>
            </w:pPr>
            <w:r>
              <w:rPr>
                <w:sz w:val="18"/>
                <w:szCs w:val="24"/>
              </w:rPr>
              <w:t>1 069</w:t>
            </w:r>
          </w:p>
        </w:tc>
        <w:tc>
          <w:tcPr>
            <w:tcW w:w="658" w:type="dxa"/>
          </w:tcPr>
          <w:p w:rsidR="00F92819" w:rsidRDefault="00F92819">
            <w:pPr>
              <w:spacing w:before="40" w:after="40" w:line="220" w:lineRule="exact"/>
              <w:jc w:val="right"/>
              <w:rPr>
                <w:sz w:val="18"/>
                <w:szCs w:val="24"/>
              </w:rPr>
            </w:pPr>
            <w:r>
              <w:rPr>
                <w:sz w:val="18"/>
                <w:szCs w:val="24"/>
              </w:rPr>
              <w:t>1 006</w:t>
            </w:r>
          </w:p>
        </w:tc>
        <w:tc>
          <w:tcPr>
            <w:tcW w:w="658" w:type="dxa"/>
          </w:tcPr>
          <w:p w:rsidR="00F92819" w:rsidRDefault="00F92819">
            <w:pPr>
              <w:spacing w:before="40" w:after="40" w:line="220" w:lineRule="exact"/>
              <w:jc w:val="right"/>
              <w:rPr>
                <w:sz w:val="18"/>
                <w:szCs w:val="24"/>
              </w:rPr>
            </w:pPr>
            <w:r>
              <w:rPr>
                <w:sz w:val="18"/>
                <w:szCs w:val="24"/>
              </w:rPr>
              <w:t>844</w:t>
            </w:r>
          </w:p>
        </w:tc>
        <w:tc>
          <w:tcPr>
            <w:tcW w:w="658" w:type="dxa"/>
          </w:tcPr>
          <w:p w:rsidR="00F92819" w:rsidRDefault="00F92819">
            <w:pPr>
              <w:spacing w:before="40" w:after="40" w:line="220" w:lineRule="exact"/>
              <w:jc w:val="right"/>
              <w:rPr>
                <w:sz w:val="18"/>
                <w:szCs w:val="24"/>
              </w:rPr>
            </w:pPr>
            <w:r>
              <w:rPr>
                <w:sz w:val="18"/>
                <w:szCs w:val="24"/>
              </w:rPr>
              <w:t>791</w:t>
            </w:r>
          </w:p>
        </w:tc>
        <w:tc>
          <w:tcPr>
            <w:tcW w:w="658" w:type="dxa"/>
          </w:tcPr>
          <w:p w:rsidR="00F92819" w:rsidRDefault="00F92819">
            <w:pPr>
              <w:spacing w:before="40" w:after="40" w:line="220" w:lineRule="exact"/>
              <w:jc w:val="right"/>
              <w:rPr>
                <w:sz w:val="18"/>
                <w:szCs w:val="24"/>
              </w:rPr>
            </w:pPr>
            <w:r>
              <w:rPr>
                <w:sz w:val="18"/>
                <w:szCs w:val="24"/>
              </w:rPr>
              <w:t>434</w:t>
            </w:r>
          </w:p>
        </w:tc>
        <w:tc>
          <w:tcPr>
            <w:tcW w:w="658" w:type="dxa"/>
          </w:tcPr>
          <w:p w:rsidR="00F92819" w:rsidRDefault="00F92819">
            <w:pPr>
              <w:spacing w:before="40" w:after="40" w:line="220" w:lineRule="exact"/>
              <w:jc w:val="right"/>
              <w:rPr>
                <w:sz w:val="18"/>
                <w:szCs w:val="24"/>
              </w:rPr>
            </w:pPr>
            <w:r>
              <w:rPr>
                <w:sz w:val="18"/>
                <w:szCs w:val="24"/>
              </w:rPr>
              <w:t>357</w:t>
            </w:r>
          </w:p>
        </w:tc>
        <w:tc>
          <w:tcPr>
            <w:tcW w:w="658" w:type="dxa"/>
          </w:tcPr>
          <w:p w:rsidR="00F92819" w:rsidRDefault="00F92819">
            <w:pPr>
              <w:spacing w:before="40" w:after="40" w:line="220" w:lineRule="exact"/>
              <w:jc w:val="right"/>
              <w:rPr>
                <w:sz w:val="18"/>
                <w:szCs w:val="24"/>
              </w:rPr>
            </w:pPr>
            <w:r>
              <w:rPr>
                <w:sz w:val="18"/>
                <w:szCs w:val="24"/>
              </w:rPr>
              <w:t>232</w:t>
            </w:r>
          </w:p>
        </w:tc>
        <w:tc>
          <w:tcPr>
            <w:tcW w:w="659" w:type="dxa"/>
            <w:gridSpan w:val="2"/>
          </w:tcPr>
          <w:p w:rsidR="00F92819" w:rsidRDefault="00F92819">
            <w:pPr>
              <w:spacing w:before="40" w:after="40" w:line="220" w:lineRule="exact"/>
              <w:jc w:val="right"/>
              <w:rPr>
                <w:b/>
                <w:sz w:val="18"/>
                <w:szCs w:val="24"/>
              </w:rPr>
            </w:pPr>
            <w:r>
              <w:rPr>
                <w:b/>
                <w:sz w:val="18"/>
                <w:szCs w:val="24"/>
              </w:rPr>
              <w:t>929</w:t>
            </w:r>
          </w:p>
        </w:tc>
      </w:tr>
      <w:tr w:rsidR="00F92819">
        <w:tc>
          <w:tcPr>
            <w:tcW w:w="2400" w:type="dxa"/>
            <w:vAlign w:val="center"/>
          </w:tcPr>
          <w:p w:rsidR="00F92819" w:rsidRDefault="00F92819">
            <w:pPr>
              <w:spacing w:before="40" w:after="40" w:line="220" w:lineRule="exact"/>
              <w:rPr>
                <w:szCs w:val="24"/>
              </w:rPr>
            </w:pPr>
            <w:r>
              <w:rPr>
                <w:sz w:val="18"/>
                <w:szCs w:val="24"/>
                <w:lang w:val="es-ES_tradnl"/>
              </w:rPr>
              <w:t>Otros pagos de préstamos para la vivienda</w:t>
            </w:r>
          </w:p>
        </w:tc>
        <w:tc>
          <w:tcPr>
            <w:tcW w:w="658" w:type="dxa"/>
          </w:tcPr>
          <w:p w:rsidR="00F92819" w:rsidRDefault="00F92819">
            <w:pPr>
              <w:spacing w:before="40" w:after="40" w:line="220" w:lineRule="exact"/>
              <w:jc w:val="right"/>
              <w:rPr>
                <w:sz w:val="18"/>
                <w:szCs w:val="24"/>
              </w:rPr>
            </w:pPr>
            <w:r>
              <w:rPr>
                <w:sz w:val="18"/>
                <w:szCs w:val="24"/>
              </w:rPr>
              <w:t>150</w:t>
            </w:r>
          </w:p>
        </w:tc>
        <w:tc>
          <w:tcPr>
            <w:tcW w:w="658" w:type="dxa"/>
          </w:tcPr>
          <w:p w:rsidR="00F92819" w:rsidRDefault="00F92819">
            <w:pPr>
              <w:spacing w:before="40" w:after="40" w:line="220" w:lineRule="exact"/>
              <w:jc w:val="right"/>
              <w:rPr>
                <w:sz w:val="18"/>
                <w:szCs w:val="24"/>
              </w:rPr>
            </w:pPr>
            <w:r>
              <w:rPr>
                <w:sz w:val="18"/>
                <w:szCs w:val="24"/>
              </w:rPr>
              <w:t>72</w:t>
            </w:r>
          </w:p>
        </w:tc>
        <w:tc>
          <w:tcPr>
            <w:tcW w:w="658" w:type="dxa"/>
          </w:tcPr>
          <w:p w:rsidR="00F92819" w:rsidRDefault="00F92819">
            <w:pPr>
              <w:spacing w:before="40" w:after="40" w:line="220" w:lineRule="exact"/>
              <w:jc w:val="right"/>
              <w:rPr>
                <w:sz w:val="18"/>
                <w:szCs w:val="24"/>
              </w:rPr>
            </w:pPr>
            <w:r>
              <w:rPr>
                <w:sz w:val="18"/>
                <w:szCs w:val="24"/>
              </w:rPr>
              <w:t>88</w:t>
            </w:r>
          </w:p>
        </w:tc>
        <w:tc>
          <w:tcPr>
            <w:tcW w:w="658" w:type="dxa"/>
          </w:tcPr>
          <w:p w:rsidR="00F92819" w:rsidRDefault="00F92819">
            <w:pPr>
              <w:spacing w:before="40" w:after="40" w:line="220" w:lineRule="exact"/>
              <w:jc w:val="right"/>
              <w:rPr>
                <w:sz w:val="18"/>
                <w:szCs w:val="24"/>
              </w:rPr>
            </w:pPr>
            <w:r>
              <w:rPr>
                <w:sz w:val="18"/>
                <w:szCs w:val="24"/>
              </w:rPr>
              <w:t>128</w:t>
            </w:r>
          </w:p>
        </w:tc>
        <w:tc>
          <w:tcPr>
            <w:tcW w:w="658" w:type="dxa"/>
          </w:tcPr>
          <w:p w:rsidR="00F92819" w:rsidRDefault="00F92819">
            <w:pPr>
              <w:spacing w:before="40" w:after="40" w:line="220" w:lineRule="exact"/>
              <w:jc w:val="right"/>
              <w:rPr>
                <w:sz w:val="18"/>
                <w:szCs w:val="24"/>
              </w:rPr>
            </w:pPr>
            <w:r>
              <w:rPr>
                <w:sz w:val="18"/>
                <w:szCs w:val="24"/>
              </w:rPr>
              <w:t>114</w:t>
            </w:r>
          </w:p>
        </w:tc>
        <w:tc>
          <w:tcPr>
            <w:tcW w:w="658" w:type="dxa"/>
          </w:tcPr>
          <w:p w:rsidR="00F92819" w:rsidRDefault="00F92819">
            <w:pPr>
              <w:spacing w:before="40" w:after="40" w:line="220" w:lineRule="exact"/>
              <w:jc w:val="right"/>
              <w:rPr>
                <w:sz w:val="18"/>
                <w:szCs w:val="24"/>
              </w:rPr>
            </w:pPr>
            <w:r>
              <w:rPr>
                <w:sz w:val="18"/>
                <w:szCs w:val="24"/>
              </w:rPr>
              <w:t>133</w:t>
            </w:r>
          </w:p>
        </w:tc>
        <w:tc>
          <w:tcPr>
            <w:tcW w:w="658" w:type="dxa"/>
          </w:tcPr>
          <w:p w:rsidR="00F92819" w:rsidRDefault="00F92819">
            <w:pPr>
              <w:spacing w:before="40" w:after="40" w:line="220" w:lineRule="exact"/>
              <w:jc w:val="right"/>
              <w:rPr>
                <w:sz w:val="18"/>
                <w:szCs w:val="24"/>
              </w:rPr>
            </w:pPr>
            <w:r>
              <w:rPr>
                <w:sz w:val="18"/>
                <w:szCs w:val="24"/>
              </w:rPr>
              <w:t>56</w:t>
            </w:r>
          </w:p>
        </w:tc>
        <w:tc>
          <w:tcPr>
            <w:tcW w:w="658" w:type="dxa"/>
          </w:tcPr>
          <w:p w:rsidR="00F92819" w:rsidRDefault="00F92819">
            <w:pPr>
              <w:spacing w:before="40" w:after="40" w:line="220" w:lineRule="exact"/>
              <w:jc w:val="right"/>
              <w:rPr>
                <w:sz w:val="18"/>
                <w:szCs w:val="24"/>
              </w:rPr>
            </w:pPr>
            <w:r>
              <w:rPr>
                <w:sz w:val="18"/>
                <w:szCs w:val="24"/>
              </w:rPr>
              <w:t>76</w:t>
            </w:r>
          </w:p>
        </w:tc>
        <w:tc>
          <w:tcPr>
            <w:tcW w:w="658" w:type="dxa"/>
          </w:tcPr>
          <w:p w:rsidR="00F92819" w:rsidRDefault="00F92819">
            <w:pPr>
              <w:spacing w:before="40" w:after="40" w:line="220" w:lineRule="exact"/>
              <w:jc w:val="right"/>
              <w:rPr>
                <w:sz w:val="18"/>
                <w:szCs w:val="24"/>
              </w:rPr>
            </w:pPr>
            <w:r>
              <w:rPr>
                <w:sz w:val="18"/>
                <w:szCs w:val="24"/>
              </w:rPr>
              <w:t>39</w:t>
            </w:r>
          </w:p>
        </w:tc>
        <w:tc>
          <w:tcPr>
            <w:tcW w:w="658" w:type="dxa"/>
          </w:tcPr>
          <w:p w:rsidR="00F92819" w:rsidRDefault="00F92819">
            <w:pPr>
              <w:spacing w:before="40" w:after="40" w:line="220" w:lineRule="exact"/>
              <w:jc w:val="right"/>
              <w:rPr>
                <w:sz w:val="18"/>
                <w:szCs w:val="24"/>
              </w:rPr>
            </w:pPr>
            <w:r>
              <w:rPr>
                <w:sz w:val="18"/>
                <w:szCs w:val="24"/>
              </w:rPr>
              <w:t>4</w:t>
            </w:r>
          </w:p>
        </w:tc>
        <w:tc>
          <w:tcPr>
            <w:tcW w:w="659" w:type="dxa"/>
            <w:gridSpan w:val="2"/>
          </w:tcPr>
          <w:p w:rsidR="00F92819" w:rsidRDefault="00F92819">
            <w:pPr>
              <w:spacing w:before="40" w:after="40" w:line="220" w:lineRule="exact"/>
              <w:jc w:val="right"/>
              <w:rPr>
                <w:b/>
                <w:sz w:val="18"/>
                <w:szCs w:val="24"/>
              </w:rPr>
            </w:pPr>
            <w:r>
              <w:rPr>
                <w:b/>
                <w:sz w:val="18"/>
                <w:szCs w:val="24"/>
              </w:rPr>
              <w:t>93</w:t>
            </w:r>
          </w:p>
        </w:tc>
      </w:tr>
      <w:tr w:rsidR="00F92819">
        <w:tc>
          <w:tcPr>
            <w:tcW w:w="2400" w:type="dxa"/>
            <w:vAlign w:val="bottom"/>
          </w:tcPr>
          <w:p w:rsidR="00F92819" w:rsidRDefault="00F92819">
            <w:pPr>
              <w:spacing w:before="80" w:after="80" w:line="200" w:lineRule="exact"/>
              <w:rPr>
                <w:szCs w:val="24"/>
              </w:rPr>
            </w:pPr>
            <w:r>
              <w:rPr>
                <w:i/>
                <w:sz w:val="16"/>
                <w:szCs w:val="24"/>
                <w:lang w:val="es-ES_tradnl"/>
              </w:rPr>
              <w:t>Viviendas arrendadas</w:t>
            </w: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9" w:type="dxa"/>
            <w:gridSpan w:val="2"/>
            <w:vAlign w:val="bottom"/>
          </w:tcPr>
          <w:p w:rsidR="00F92819" w:rsidRDefault="00F92819">
            <w:pPr>
              <w:spacing w:before="80" w:after="80" w:line="200" w:lineRule="exact"/>
              <w:rPr>
                <w:i/>
                <w:sz w:val="16"/>
                <w:szCs w:val="24"/>
              </w:rPr>
            </w:pPr>
          </w:p>
        </w:tc>
      </w:tr>
      <w:tr w:rsidR="00F92819">
        <w:tc>
          <w:tcPr>
            <w:tcW w:w="2400" w:type="dxa"/>
            <w:vAlign w:val="center"/>
          </w:tcPr>
          <w:p w:rsidR="00F92819" w:rsidRDefault="00F92819">
            <w:pPr>
              <w:spacing w:before="40" w:after="40" w:line="220" w:lineRule="exact"/>
              <w:rPr>
                <w:szCs w:val="24"/>
              </w:rPr>
            </w:pPr>
            <w:r>
              <w:rPr>
                <w:sz w:val="18"/>
                <w:szCs w:val="24"/>
                <w:lang w:val="es-ES_tradnl"/>
              </w:rPr>
              <w:t>Hogares en la muestra</w:t>
            </w:r>
          </w:p>
        </w:tc>
        <w:tc>
          <w:tcPr>
            <w:tcW w:w="658" w:type="dxa"/>
          </w:tcPr>
          <w:p w:rsidR="00F92819" w:rsidRDefault="00F92819">
            <w:pPr>
              <w:spacing w:before="40" w:after="40" w:line="220" w:lineRule="exact"/>
              <w:jc w:val="right"/>
              <w:rPr>
                <w:sz w:val="18"/>
                <w:szCs w:val="24"/>
              </w:rPr>
            </w:pPr>
            <w:r>
              <w:rPr>
                <w:sz w:val="18"/>
                <w:szCs w:val="24"/>
              </w:rPr>
              <w:t>86</w:t>
            </w:r>
          </w:p>
        </w:tc>
        <w:tc>
          <w:tcPr>
            <w:tcW w:w="658" w:type="dxa"/>
          </w:tcPr>
          <w:p w:rsidR="00F92819" w:rsidRDefault="00F92819">
            <w:pPr>
              <w:spacing w:before="40" w:after="40" w:line="220" w:lineRule="exact"/>
              <w:jc w:val="right"/>
              <w:rPr>
                <w:sz w:val="18"/>
                <w:szCs w:val="24"/>
              </w:rPr>
            </w:pPr>
            <w:r>
              <w:rPr>
                <w:sz w:val="18"/>
                <w:szCs w:val="24"/>
              </w:rPr>
              <w:t>94</w:t>
            </w:r>
          </w:p>
        </w:tc>
        <w:tc>
          <w:tcPr>
            <w:tcW w:w="658" w:type="dxa"/>
          </w:tcPr>
          <w:p w:rsidR="00F92819" w:rsidRDefault="00F92819">
            <w:pPr>
              <w:spacing w:before="40" w:after="40" w:line="220" w:lineRule="exact"/>
              <w:jc w:val="right"/>
              <w:rPr>
                <w:sz w:val="18"/>
                <w:szCs w:val="24"/>
              </w:rPr>
            </w:pPr>
            <w:r>
              <w:rPr>
                <w:sz w:val="18"/>
                <w:szCs w:val="24"/>
              </w:rPr>
              <w:t>92</w:t>
            </w:r>
          </w:p>
        </w:tc>
        <w:tc>
          <w:tcPr>
            <w:tcW w:w="658" w:type="dxa"/>
          </w:tcPr>
          <w:p w:rsidR="00F92819" w:rsidRDefault="00F92819">
            <w:pPr>
              <w:spacing w:before="40" w:after="40" w:line="220" w:lineRule="exact"/>
              <w:jc w:val="right"/>
              <w:rPr>
                <w:sz w:val="18"/>
                <w:szCs w:val="24"/>
              </w:rPr>
            </w:pPr>
            <w:r>
              <w:rPr>
                <w:sz w:val="18"/>
                <w:szCs w:val="24"/>
              </w:rPr>
              <w:t>97</w:t>
            </w:r>
          </w:p>
        </w:tc>
        <w:tc>
          <w:tcPr>
            <w:tcW w:w="658" w:type="dxa"/>
          </w:tcPr>
          <w:p w:rsidR="00F92819" w:rsidRDefault="00F92819">
            <w:pPr>
              <w:spacing w:before="40" w:after="40" w:line="220" w:lineRule="exact"/>
              <w:jc w:val="right"/>
              <w:rPr>
                <w:sz w:val="18"/>
                <w:szCs w:val="24"/>
              </w:rPr>
            </w:pPr>
            <w:r>
              <w:rPr>
                <w:sz w:val="18"/>
                <w:szCs w:val="24"/>
              </w:rPr>
              <w:t>116</w:t>
            </w:r>
          </w:p>
        </w:tc>
        <w:tc>
          <w:tcPr>
            <w:tcW w:w="658" w:type="dxa"/>
          </w:tcPr>
          <w:p w:rsidR="00F92819" w:rsidRDefault="00F92819">
            <w:pPr>
              <w:spacing w:before="40" w:after="40" w:line="220" w:lineRule="exact"/>
              <w:jc w:val="right"/>
              <w:rPr>
                <w:sz w:val="18"/>
                <w:szCs w:val="24"/>
              </w:rPr>
            </w:pPr>
            <w:r>
              <w:rPr>
                <w:sz w:val="18"/>
                <w:szCs w:val="24"/>
              </w:rPr>
              <w:t>135</w:t>
            </w:r>
          </w:p>
        </w:tc>
        <w:tc>
          <w:tcPr>
            <w:tcW w:w="658" w:type="dxa"/>
          </w:tcPr>
          <w:p w:rsidR="00F92819" w:rsidRDefault="00F92819">
            <w:pPr>
              <w:spacing w:before="40" w:after="40" w:line="220" w:lineRule="exact"/>
              <w:jc w:val="right"/>
              <w:rPr>
                <w:sz w:val="18"/>
                <w:szCs w:val="24"/>
              </w:rPr>
            </w:pPr>
            <w:r>
              <w:rPr>
                <w:sz w:val="18"/>
                <w:szCs w:val="24"/>
              </w:rPr>
              <w:t>184</w:t>
            </w:r>
          </w:p>
        </w:tc>
        <w:tc>
          <w:tcPr>
            <w:tcW w:w="658" w:type="dxa"/>
          </w:tcPr>
          <w:p w:rsidR="00F92819" w:rsidRDefault="00F92819">
            <w:pPr>
              <w:spacing w:before="40" w:after="40" w:line="220" w:lineRule="exact"/>
              <w:jc w:val="right"/>
              <w:rPr>
                <w:sz w:val="18"/>
                <w:szCs w:val="24"/>
              </w:rPr>
            </w:pPr>
            <w:r>
              <w:rPr>
                <w:sz w:val="18"/>
                <w:szCs w:val="24"/>
              </w:rPr>
              <w:t>188</w:t>
            </w:r>
          </w:p>
        </w:tc>
        <w:tc>
          <w:tcPr>
            <w:tcW w:w="658" w:type="dxa"/>
          </w:tcPr>
          <w:p w:rsidR="00F92819" w:rsidRDefault="00F92819">
            <w:pPr>
              <w:spacing w:before="40" w:after="40" w:line="220" w:lineRule="exact"/>
              <w:jc w:val="right"/>
              <w:rPr>
                <w:sz w:val="18"/>
                <w:szCs w:val="24"/>
              </w:rPr>
            </w:pPr>
            <w:r>
              <w:rPr>
                <w:sz w:val="18"/>
                <w:szCs w:val="24"/>
              </w:rPr>
              <w:t>255</w:t>
            </w:r>
          </w:p>
        </w:tc>
        <w:tc>
          <w:tcPr>
            <w:tcW w:w="658" w:type="dxa"/>
          </w:tcPr>
          <w:p w:rsidR="00F92819" w:rsidRDefault="00F92819">
            <w:pPr>
              <w:spacing w:before="40" w:after="40" w:line="220" w:lineRule="exact"/>
              <w:jc w:val="right"/>
              <w:rPr>
                <w:sz w:val="18"/>
                <w:szCs w:val="24"/>
              </w:rPr>
            </w:pPr>
            <w:r>
              <w:rPr>
                <w:sz w:val="18"/>
                <w:szCs w:val="24"/>
              </w:rPr>
              <w:t>299</w:t>
            </w:r>
          </w:p>
        </w:tc>
        <w:tc>
          <w:tcPr>
            <w:tcW w:w="659" w:type="dxa"/>
            <w:gridSpan w:val="2"/>
          </w:tcPr>
          <w:p w:rsidR="00F92819" w:rsidRDefault="00F92819">
            <w:pPr>
              <w:spacing w:before="40" w:after="40" w:line="220" w:lineRule="exact"/>
              <w:jc w:val="right"/>
              <w:rPr>
                <w:b/>
                <w:sz w:val="18"/>
                <w:szCs w:val="24"/>
              </w:rPr>
            </w:pPr>
            <w:r>
              <w:rPr>
                <w:b/>
                <w:sz w:val="18"/>
                <w:szCs w:val="24"/>
              </w:rPr>
              <w:t>1 546</w:t>
            </w:r>
          </w:p>
        </w:tc>
      </w:tr>
      <w:tr w:rsidR="00F92819">
        <w:tc>
          <w:tcPr>
            <w:tcW w:w="2400" w:type="dxa"/>
            <w:vAlign w:val="center"/>
          </w:tcPr>
          <w:p w:rsidR="00F92819" w:rsidRDefault="00F92819">
            <w:pPr>
              <w:spacing w:before="40" w:after="40" w:line="220" w:lineRule="exact"/>
              <w:rPr>
                <w:szCs w:val="24"/>
              </w:rPr>
            </w:pPr>
            <w:r>
              <w:rPr>
                <w:sz w:val="18"/>
                <w:szCs w:val="24"/>
                <w:lang w:val="es-ES_tradnl"/>
              </w:rPr>
              <w:t>Hogares en la población (en miles)</w:t>
            </w:r>
          </w:p>
        </w:tc>
        <w:tc>
          <w:tcPr>
            <w:tcW w:w="658" w:type="dxa"/>
          </w:tcPr>
          <w:p w:rsidR="00F92819" w:rsidRDefault="00F92819">
            <w:pPr>
              <w:spacing w:before="40" w:after="40" w:line="220" w:lineRule="exact"/>
              <w:jc w:val="right"/>
              <w:rPr>
                <w:sz w:val="18"/>
                <w:szCs w:val="24"/>
              </w:rPr>
            </w:pPr>
            <w:r>
              <w:rPr>
                <w:sz w:val="18"/>
                <w:szCs w:val="24"/>
              </w:rPr>
              <w:t>29,3</w:t>
            </w:r>
          </w:p>
        </w:tc>
        <w:tc>
          <w:tcPr>
            <w:tcW w:w="658" w:type="dxa"/>
          </w:tcPr>
          <w:p w:rsidR="00F92819" w:rsidRDefault="00F92819">
            <w:pPr>
              <w:spacing w:before="40" w:after="40" w:line="220" w:lineRule="exact"/>
              <w:jc w:val="right"/>
              <w:rPr>
                <w:sz w:val="18"/>
                <w:szCs w:val="24"/>
              </w:rPr>
            </w:pPr>
            <w:r>
              <w:rPr>
                <w:sz w:val="18"/>
                <w:szCs w:val="24"/>
              </w:rPr>
              <w:t>32,2</w:t>
            </w:r>
          </w:p>
        </w:tc>
        <w:tc>
          <w:tcPr>
            <w:tcW w:w="658" w:type="dxa"/>
          </w:tcPr>
          <w:p w:rsidR="00F92819" w:rsidRDefault="00F92819">
            <w:pPr>
              <w:spacing w:before="40" w:after="40" w:line="220" w:lineRule="exact"/>
              <w:jc w:val="right"/>
              <w:rPr>
                <w:sz w:val="18"/>
                <w:szCs w:val="24"/>
              </w:rPr>
            </w:pPr>
            <w:r>
              <w:rPr>
                <w:sz w:val="18"/>
                <w:szCs w:val="24"/>
              </w:rPr>
              <w:t>27,7</w:t>
            </w:r>
          </w:p>
        </w:tc>
        <w:tc>
          <w:tcPr>
            <w:tcW w:w="658" w:type="dxa"/>
          </w:tcPr>
          <w:p w:rsidR="00F92819" w:rsidRDefault="00F92819">
            <w:pPr>
              <w:spacing w:before="40" w:after="40" w:line="220" w:lineRule="exact"/>
              <w:jc w:val="right"/>
              <w:rPr>
                <w:sz w:val="18"/>
                <w:szCs w:val="24"/>
              </w:rPr>
            </w:pPr>
            <w:r>
              <w:rPr>
                <w:sz w:val="18"/>
                <w:szCs w:val="24"/>
              </w:rPr>
              <w:t>33,5</w:t>
            </w:r>
          </w:p>
        </w:tc>
        <w:tc>
          <w:tcPr>
            <w:tcW w:w="658" w:type="dxa"/>
          </w:tcPr>
          <w:p w:rsidR="00F92819" w:rsidRDefault="00F92819">
            <w:pPr>
              <w:spacing w:before="40" w:after="40" w:line="220" w:lineRule="exact"/>
              <w:jc w:val="right"/>
              <w:rPr>
                <w:sz w:val="18"/>
                <w:szCs w:val="24"/>
              </w:rPr>
            </w:pPr>
            <w:r>
              <w:rPr>
                <w:sz w:val="18"/>
                <w:szCs w:val="24"/>
              </w:rPr>
              <w:t>36,5</w:t>
            </w:r>
          </w:p>
        </w:tc>
        <w:tc>
          <w:tcPr>
            <w:tcW w:w="658" w:type="dxa"/>
          </w:tcPr>
          <w:p w:rsidR="00F92819" w:rsidRDefault="00F92819">
            <w:pPr>
              <w:spacing w:before="40" w:after="40" w:line="220" w:lineRule="exact"/>
              <w:jc w:val="right"/>
              <w:rPr>
                <w:sz w:val="18"/>
                <w:szCs w:val="24"/>
              </w:rPr>
            </w:pPr>
            <w:r>
              <w:rPr>
                <w:sz w:val="18"/>
                <w:szCs w:val="24"/>
              </w:rPr>
              <w:t>46,6</w:t>
            </w:r>
          </w:p>
        </w:tc>
        <w:tc>
          <w:tcPr>
            <w:tcW w:w="658" w:type="dxa"/>
          </w:tcPr>
          <w:p w:rsidR="00F92819" w:rsidRDefault="00F92819">
            <w:pPr>
              <w:spacing w:before="40" w:after="40" w:line="220" w:lineRule="exact"/>
              <w:jc w:val="right"/>
              <w:rPr>
                <w:sz w:val="18"/>
                <w:szCs w:val="24"/>
              </w:rPr>
            </w:pPr>
            <w:r>
              <w:rPr>
                <w:sz w:val="18"/>
                <w:szCs w:val="24"/>
              </w:rPr>
              <w:t>59,6</w:t>
            </w:r>
          </w:p>
        </w:tc>
        <w:tc>
          <w:tcPr>
            <w:tcW w:w="658" w:type="dxa"/>
          </w:tcPr>
          <w:p w:rsidR="00F92819" w:rsidRDefault="00F92819">
            <w:pPr>
              <w:spacing w:before="40" w:after="40" w:line="220" w:lineRule="exact"/>
              <w:jc w:val="right"/>
              <w:rPr>
                <w:sz w:val="18"/>
                <w:szCs w:val="24"/>
              </w:rPr>
            </w:pPr>
            <w:r>
              <w:rPr>
                <w:sz w:val="18"/>
                <w:szCs w:val="24"/>
              </w:rPr>
              <w:t>59,8</w:t>
            </w:r>
          </w:p>
        </w:tc>
        <w:tc>
          <w:tcPr>
            <w:tcW w:w="658" w:type="dxa"/>
          </w:tcPr>
          <w:p w:rsidR="00F92819" w:rsidRDefault="00F92819">
            <w:pPr>
              <w:spacing w:before="40" w:after="40" w:line="220" w:lineRule="exact"/>
              <w:jc w:val="right"/>
              <w:rPr>
                <w:sz w:val="18"/>
                <w:szCs w:val="24"/>
              </w:rPr>
            </w:pPr>
            <w:r>
              <w:rPr>
                <w:sz w:val="18"/>
                <w:szCs w:val="24"/>
              </w:rPr>
              <w:t>84,9</w:t>
            </w:r>
          </w:p>
        </w:tc>
        <w:tc>
          <w:tcPr>
            <w:tcW w:w="658" w:type="dxa"/>
          </w:tcPr>
          <w:p w:rsidR="00F92819" w:rsidRDefault="00F92819">
            <w:pPr>
              <w:spacing w:before="40" w:after="40" w:line="220" w:lineRule="exact"/>
              <w:jc w:val="right"/>
              <w:rPr>
                <w:sz w:val="18"/>
                <w:szCs w:val="24"/>
              </w:rPr>
            </w:pPr>
            <w:r>
              <w:rPr>
                <w:sz w:val="18"/>
                <w:szCs w:val="24"/>
              </w:rPr>
              <w:t>106,4</w:t>
            </w:r>
          </w:p>
        </w:tc>
        <w:tc>
          <w:tcPr>
            <w:tcW w:w="659" w:type="dxa"/>
            <w:gridSpan w:val="2"/>
          </w:tcPr>
          <w:p w:rsidR="00F92819" w:rsidRDefault="00F92819">
            <w:pPr>
              <w:spacing w:before="40" w:after="40" w:line="220" w:lineRule="exact"/>
              <w:jc w:val="right"/>
              <w:rPr>
                <w:b/>
                <w:sz w:val="18"/>
                <w:szCs w:val="24"/>
              </w:rPr>
            </w:pPr>
            <w:r>
              <w:rPr>
                <w:b/>
                <w:sz w:val="18"/>
                <w:szCs w:val="24"/>
              </w:rPr>
              <w:t>516,7</w:t>
            </w:r>
          </w:p>
        </w:tc>
      </w:tr>
      <w:tr w:rsidR="00F92819">
        <w:tc>
          <w:tcPr>
            <w:tcW w:w="2400" w:type="dxa"/>
            <w:vAlign w:val="center"/>
          </w:tcPr>
          <w:p w:rsidR="00F92819" w:rsidRDefault="00F92819">
            <w:pPr>
              <w:keepNext/>
              <w:spacing w:before="40" w:after="40" w:line="220" w:lineRule="exact"/>
              <w:rPr>
                <w:szCs w:val="24"/>
              </w:rPr>
            </w:pPr>
            <w:r>
              <w:rPr>
                <w:sz w:val="18"/>
                <w:szCs w:val="24"/>
                <w:lang w:val="es-ES_tradnl"/>
              </w:rPr>
              <w:t>Promedio de personas por hogar</w:t>
            </w:r>
          </w:p>
        </w:tc>
        <w:tc>
          <w:tcPr>
            <w:tcW w:w="658" w:type="dxa"/>
          </w:tcPr>
          <w:p w:rsidR="00F92819" w:rsidRDefault="00F92819">
            <w:pPr>
              <w:keepNext/>
              <w:spacing w:before="40" w:after="40" w:line="220" w:lineRule="exact"/>
              <w:jc w:val="right"/>
              <w:rPr>
                <w:sz w:val="18"/>
                <w:szCs w:val="24"/>
              </w:rPr>
            </w:pPr>
            <w:r>
              <w:rPr>
                <w:sz w:val="18"/>
                <w:szCs w:val="24"/>
              </w:rPr>
              <w:t>2</w:t>
            </w:r>
          </w:p>
        </w:tc>
        <w:tc>
          <w:tcPr>
            <w:tcW w:w="658" w:type="dxa"/>
          </w:tcPr>
          <w:p w:rsidR="00F92819" w:rsidRDefault="00F92819">
            <w:pPr>
              <w:keepNext/>
              <w:spacing w:before="40" w:after="40" w:line="220" w:lineRule="exact"/>
              <w:jc w:val="right"/>
              <w:rPr>
                <w:sz w:val="18"/>
                <w:szCs w:val="24"/>
              </w:rPr>
            </w:pPr>
            <w:r>
              <w:rPr>
                <w:sz w:val="18"/>
                <w:szCs w:val="24"/>
              </w:rPr>
              <w:t>2,4</w:t>
            </w:r>
          </w:p>
        </w:tc>
        <w:tc>
          <w:tcPr>
            <w:tcW w:w="658" w:type="dxa"/>
          </w:tcPr>
          <w:p w:rsidR="00F92819" w:rsidRDefault="00F92819">
            <w:pPr>
              <w:keepNext/>
              <w:spacing w:before="40" w:after="40" w:line="220" w:lineRule="exact"/>
              <w:jc w:val="right"/>
              <w:rPr>
                <w:sz w:val="18"/>
                <w:szCs w:val="24"/>
              </w:rPr>
            </w:pPr>
            <w:r>
              <w:rPr>
                <w:sz w:val="18"/>
                <w:szCs w:val="24"/>
              </w:rPr>
              <w:t>2,5</w:t>
            </w:r>
          </w:p>
        </w:tc>
        <w:tc>
          <w:tcPr>
            <w:tcW w:w="658" w:type="dxa"/>
          </w:tcPr>
          <w:p w:rsidR="00F92819" w:rsidRDefault="00F92819">
            <w:pPr>
              <w:keepNext/>
              <w:spacing w:before="40" w:after="40" w:line="220" w:lineRule="exact"/>
              <w:jc w:val="right"/>
              <w:rPr>
                <w:sz w:val="18"/>
                <w:szCs w:val="24"/>
              </w:rPr>
            </w:pPr>
            <w:r>
              <w:rPr>
                <w:sz w:val="18"/>
                <w:szCs w:val="24"/>
              </w:rPr>
              <w:t>2,4</w:t>
            </w:r>
          </w:p>
        </w:tc>
        <w:tc>
          <w:tcPr>
            <w:tcW w:w="658" w:type="dxa"/>
          </w:tcPr>
          <w:p w:rsidR="00F92819" w:rsidRDefault="00F92819">
            <w:pPr>
              <w:keepNext/>
              <w:spacing w:before="40" w:after="40" w:line="220" w:lineRule="exact"/>
              <w:jc w:val="right"/>
              <w:rPr>
                <w:sz w:val="18"/>
                <w:szCs w:val="24"/>
              </w:rPr>
            </w:pPr>
            <w:r>
              <w:rPr>
                <w:sz w:val="18"/>
                <w:szCs w:val="24"/>
              </w:rPr>
              <w:t>2,5</w:t>
            </w:r>
          </w:p>
        </w:tc>
        <w:tc>
          <w:tcPr>
            <w:tcW w:w="658" w:type="dxa"/>
          </w:tcPr>
          <w:p w:rsidR="00F92819" w:rsidRDefault="00F92819">
            <w:pPr>
              <w:keepNext/>
              <w:spacing w:before="40" w:after="40" w:line="220" w:lineRule="exact"/>
              <w:jc w:val="right"/>
              <w:rPr>
                <w:sz w:val="18"/>
                <w:szCs w:val="24"/>
              </w:rPr>
            </w:pPr>
            <w:r>
              <w:rPr>
                <w:sz w:val="18"/>
                <w:szCs w:val="24"/>
              </w:rPr>
              <w:t>2,8</w:t>
            </w:r>
          </w:p>
        </w:tc>
        <w:tc>
          <w:tcPr>
            <w:tcW w:w="658" w:type="dxa"/>
          </w:tcPr>
          <w:p w:rsidR="00F92819" w:rsidRDefault="00F92819">
            <w:pPr>
              <w:keepNext/>
              <w:spacing w:before="40" w:after="40" w:line="220" w:lineRule="exact"/>
              <w:jc w:val="right"/>
              <w:rPr>
                <w:sz w:val="18"/>
                <w:szCs w:val="24"/>
              </w:rPr>
            </w:pPr>
            <w:r>
              <w:rPr>
                <w:sz w:val="18"/>
                <w:szCs w:val="24"/>
              </w:rPr>
              <w:t>2,7</w:t>
            </w:r>
          </w:p>
        </w:tc>
        <w:tc>
          <w:tcPr>
            <w:tcW w:w="658" w:type="dxa"/>
          </w:tcPr>
          <w:p w:rsidR="00F92819" w:rsidRDefault="00F92819">
            <w:pPr>
              <w:keepNext/>
              <w:spacing w:before="40" w:after="40" w:line="220" w:lineRule="exact"/>
              <w:jc w:val="right"/>
              <w:rPr>
                <w:sz w:val="18"/>
                <w:szCs w:val="24"/>
              </w:rPr>
            </w:pPr>
            <w:r>
              <w:rPr>
                <w:sz w:val="18"/>
                <w:szCs w:val="24"/>
              </w:rPr>
              <w:t>2,7</w:t>
            </w:r>
          </w:p>
        </w:tc>
        <w:tc>
          <w:tcPr>
            <w:tcW w:w="658" w:type="dxa"/>
          </w:tcPr>
          <w:p w:rsidR="00F92819" w:rsidRDefault="00F92819">
            <w:pPr>
              <w:keepNext/>
              <w:spacing w:before="40" w:after="40" w:line="220" w:lineRule="exact"/>
              <w:jc w:val="right"/>
              <w:rPr>
                <w:sz w:val="18"/>
                <w:szCs w:val="24"/>
              </w:rPr>
            </w:pPr>
            <w:r>
              <w:rPr>
                <w:sz w:val="18"/>
                <w:szCs w:val="24"/>
              </w:rPr>
              <w:t>2,8</w:t>
            </w:r>
          </w:p>
        </w:tc>
        <w:tc>
          <w:tcPr>
            <w:tcW w:w="658" w:type="dxa"/>
          </w:tcPr>
          <w:p w:rsidR="00F92819" w:rsidRDefault="00F92819">
            <w:pPr>
              <w:keepNext/>
              <w:spacing w:before="40" w:after="40" w:line="220" w:lineRule="exact"/>
              <w:jc w:val="right"/>
              <w:rPr>
                <w:sz w:val="18"/>
                <w:szCs w:val="24"/>
              </w:rPr>
            </w:pPr>
            <w:r>
              <w:rPr>
                <w:sz w:val="18"/>
                <w:szCs w:val="24"/>
              </w:rPr>
              <w:t>2,9</w:t>
            </w:r>
          </w:p>
        </w:tc>
        <w:tc>
          <w:tcPr>
            <w:tcW w:w="659" w:type="dxa"/>
            <w:gridSpan w:val="2"/>
          </w:tcPr>
          <w:p w:rsidR="00F92819" w:rsidRDefault="00F92819">
            <w:pPr>
              <w:keepNext/>
              <w:spacing w:before="40" w:after="40" w:line="220" w:lineRule="exact"/>
              <w:jc w:val="right"/>
              <w:rPr>
                <w:b/>
                <w:sz w:val="18"/>
                <w:szCs w:val="24"/>
              </w:rPr>
            </w:pPr>
            <w:r>
              <w:rPr>
                <w:b/>
                <w:sz w:val="18"/>
                <w:szCs w:val="24"/>
              </w:rPr>
              <w:t>2,7</w:t>
            </w:r>
          </w:p>
        </w:tc>
      </w:tr>
      <w:tr w:rsidR="00F92819">
        <w:tc>
          <w:tcPr>
            <w:tcW w:w="2400" w:type="dxa"/>
          </w:tcPr>
          <w:p w:rsidR="00F92819" w:rsidRDefault="00F92819">
            <w:pPr>
              <w:spacing w:before="40" w:after="40" w:line="220" w:lineRule="exact"/>
              <w:rPr>
                <w:szCs w:val="24"/>
              </w:rPr>
            </w:pPr>
            <w:r>
              <w:rPr>
                <w:sz w:val="18"/>
                <w:szCs w:val="24"/>
                <w:lang w:val="es-ES_tradnl"/>
              </w:rPr>
              <w:t>Promedio de personas estándar en el hogar</w:t>
            </w:r>
          </w:p>
        </w:tc>
        <w:tc>
          <w:tcPr>
            <w:tcW w:w="658" w:type="dxa"/>
          </w:tcPr>
          <w:p w:rsidR="00F92819" w:rsidRDefault="00F92819">
            <w:pPr>
              <w:spacing w:before="40" w:after="40" w:line="220" w:lineRule="exact"/>
              <w:jc w:val="right"/>
              <w:rPr>
                <w:sz w:val="18"/>
                <w:szCs w:val="24"/>
              </w:rPr>
            </w:pPr>
            <w:r>
              <w:rPr>
                <w:sz w:val="18"/>
                <w:szCs w:val="24"/>
              </w:rPr>
              <w:t>1,9</w:t>
            </w:r>
          </w:p>
        </w:tc>
        <w:tc>
          <w:tcPr>
            <w:tcW w:w="658" w:type="dxa"/>
          </w:tcPr>
          <w:p w:rsidR="00F92819" w:rsidRDefault="00F92819">
            <w:pPr>
              <w:spacing w:before="40" w:after="40" w:line="220" w:lineRule="exact"/>
              <w:jc w:val="right"/>
              <w:rPr>
                <w:sz w:val="18"/>
                <w:szCs w:val="24"/>
              </w:rPr>
            </w:pPr>
            <w:r>
              <w:rPr>
                <w:sz w:val="18"/>
                <w:szCs w:val="24"/>
              </w:rPr>
              <w:t>2,2</w:t>
            </w:r>
          </w:p>
        </w:tc>
        <w:tc>
          <w:tcPr>
            <w:tcW w:w="658" w:type="dxa"/>
          </w:tcPr>
          <w:p w:rsidR="00F92819" w:rsidRDefault="00F92819">
            <w:pPr>
              <w:spacing w:before="40" w:after="40" w:line="220" w:lineRule="exact"/>
              <w:jc w:val="right"/>
              <w:rPr>
                <w:sz w:val="18"/>
                <w:szCs w:val="24"/>
              </w:rPr>
            </w:pPr>
            <w:r>
              <w:rPr>
                <w:sz w:val="18"/>
                <w:szCs w:val="24"/>
              </w:rPr>
              <w:t>2,3</w:t>
            </w:r>
          </w:p>
        </w:tc>
        <w:tc>
          <w:tcPr>
            <w:tcW w:w="658" w:type="dxa"/>
          </w:tcPr>
          <w:p w:rsidR="00F92819" w:rsidRDefault="00F92819">
            <w:pPr>
              <w:spacing w:before="40" w:after="40" w:line="220" w:lineRule="exact"/>
              <w:jc w:val="right"/>
              <w:rPr>
                <w:sz w:val="18"/>
                <w:szCs w:val="24"/>
              </w:rPr>
            </w:pPr>
            <w:r>
              <w:rPr>
                <w:sz w:val="18"/>
                <w:szCs w:val="24"/>
              </w:rPr>
              <w:t>2,2</w:t>
            </w:r>
          </w:p>
        </w:tc>
        <w:tc>
          <w:tcPr>
            <w:tcW w:w="658" w:type="dxa"/>
          </w:tcPr>
          <w:p w:rsidR="00F92819" w:rsidRDefault="00F92819">
            <w:pPr>
              <w:spacing w:before="40" w:after="40" w:line="220" w:lineRule="exact"/>
              <w:jc w:val="right"/>
              <w:rPr>
                <w:sz w:val="18"/>
                <w:szCs w:val="24"/>
              </w:rPr>
            </w:pPr>
            <w:r>
              <w:rPr>
                <w:sz w:val="18"/>
                <w:szCs w:val="24"/>
              </w:rPr>
              <w:t>2,2</w:t>
            </w:r>
          </w:p>
        </w:tc>
        <w:tc>
          <w:tcPr>
            <w:tcW w:w="658" w:type="dxa"/>
          </w:tcPr>
          <w:p w:rsidR="00F92819" w:rsidRDefault="00F92819">
            <w:pPr>
              <w:spacing w:before="40" w:after="40" w:line="220" w:lineRule="exact"/>
              <w:jc w:val="right"/>
              <w:rPr>
                <w:sz w:val="18"/>
                <w:szCs w:val="24"/>
              </w:rPr>
            </w:pPr>
            <w:r>
              <w:rPr>
                <w:sz w:val="18"/>
                <w:szCs w:val="24"/>
              </w:rPr>
              <w:t>2,4</w:t>
            </w:r>
          </w:p>
        </w:tc>
        <w:tc>
          <w:tcPr>
            <w:tcW w:w="658" w:type="dxa"/>
          </w:tcPr>
          <w:p w:rsidR="00F92819" w:rsidRDefault="00F92819">
            <w:pPr>
              <w:spacing w:before="40" w:after="40" w:line="220" w:lineRule="exact"/>
              <w:jc w:val="right"/>
              <w:rPr>
                <w:sz w:val="18"/>
                <w:szCs w:val="24"/>
              </w:rPr>
            </w:pPr>
            <w:r>
              <w:rPr>
                <w:sz w:val="18"/>
                <w:szCs w:val="24"/>
              </w:rPr>
              <w:t>2,4</w:t>
            </w:r>
          </w:p>
        </w:tc>
        <w:tc>
          <w:tcPr>
            <w:tcW w:w="658" w:type="dxa"/>
          </w:tcPr>
          <w:p w:rsidR="00F92819" w:rsidRDefault="00F92819">
            <w:pPr>
              <w:spacing w:before="40" w:after="40" w:line="220" w:lineRule="exact"/>
              <w:jc w:val="right"/>
              <w:rPr>
                <w:sz w:val="18"/>
                <w:szCs w:val="24"/>
              </w:rPr>
            </w:pPr>
            <w:r>
              <w:rPr>
                <w:sz w:val="18"/>
                <w:szCs w:val="24"/>
              </w:rPr>
              <w:t>2,4</w:t>
            </w:r>
          </w:p>
        </w:tc>
        <w:tc>
          <w:tcPr>
            <w:tcW w:w="658" w:type="dxa"/>
          </w:tcPr>
          <w:p w:rsidR="00F92819" w:rsidRDefault="00F92819">
            <w:pPr>
              <w:spacing w:before="40" w:after="40" w:line="220" w:lineRule="exact"/>
              <w:jc w:val="right"/>
              <w:rPr>
                <w:sz w:val="18"/>
                <w:szCs w:val="24"/>
              </w:rPr>
            </w:pPr>
            <w:r>
              <w:rPr>
                <w:sz w:val="18"/>
                <w:szCs w:val="24"/>
              </w:rPr>
              <w:t>2,4</w:t>
            </w:r>
          </w:p>
        </w:tc>
        <w:tc>
          <w:tcPr>
            <w:tcW w:w="658" w:type="dxa"/>
          </w:tcPr>
          <w:p w:rsidR="00F92819" w:rsidRDefault="00F92819">
            <w:pPr>
              <w:spacing w:before="40" w:after="40" w:line="220" w:lineRule="exact"/>
              <w:jc w:val="right"/>
              <w:rPr>
                <w:sz w:val="18"/>
                <w:szCs w:val="24"/>
              </w:rPr>
            </w:pPr>
            <w:r>
              <w:rPr>
                <w:sz w:val="18"/>
                <w:szCs w:val="24"/>
              </w:rPr>
              <w:t>2,5</w:t>
            </w:r>
          </w:p>
        </w:tc>
        <w:tc>
          <w:tcPr>
            <w:tcW w:w="659" w:type="dxa"/>
            <w:gridSpan w:val="2"/>
          </w:tcPr>
          <w:p w:rsidR="00F92819" w:rsidRDefault="00F92819">
            <w:pPr>
              <w:spacing w:before="40" w:after="40" w:line="220" w:lineRule="exact"/>
              <w:jc w:val="right"/>
              <w:rPr>
                <w:b/>
                <w:sz w:val="18"/>
                <w:szCs w:val="24"/>
              </w:rPr>
            </w:pPr>
            <w:r>
              <w:rPr>
                <w:b/>
                <w:sz w:val="18"/>
                <w:szCs w:val="24"/>
              </w:rPr>
              <w:t>2,3</w:t>
            </w:r>
          </w:p>
        </w:tc>
      </w:tr>
      <w:tr w:rsidR="00F92819">
        <w:tc>
          <w:tcPr>
            <w:tcW w:w="2400" w:type="dxa"/>
          </w:tcPr>
          <w:p w:rsidR="00F92819" w:rsidRDefault="00F92819">
            <w:pPr>
              <w:spacing w:before="40" w:after="40" w:line="220" w:lineRule="exact"/>
              <w:rPr>
                <w:szCs w:val="24"/>
              </w:rPr>
            </w:pPr>
            <w:r>
              <w:rPr>
                <w:sz w:val="18"/>
                <w:szCs w:val="24"/>
                <w:lang w:val="es-ES_tradnl"/>
              </w:rPr>
              <w:t>Promedio de personas con ingresos en el hogar</w:t>
            </w:r>
          </w:p>
        </w:tc>
        <w:tc>
          <w:tcPr>
            <w:tcW w:w="658" w:type="dxa"/>
          </w:tcPr>
          <w:p w:rsidR="00F92819" w:rsidRDefault="00F92819">
            <w:pPr>
              <w:spacing w:before="40" w:after="40" w:line="220" w:lineRule="exact"/>
              <w:jc w:val="right"/>
              <w:rPr>
                <w:sz w:val="18"/>
                <w:szCs w:val="24"/>
              </w:rPr>
            </w:pPr>
            <w:r>
              <w:rPr>
                <w:sz w:val="18"/>
                <w:szCs w:val="24"/>
              </w:rPr>
              <w:t>1,5</w:t>
            </w:r>
          </w:p>
        </w:tc>
        <w:tc>
          <w:tcPr>
            <w:tcW w:w="658" w:type="dxa"/>
          </w:tcPr>
          <w:p w:rsidR="00F92819" w:rsidRDefault="00F92819">
            <w:pPr>
              <w:spacing w:before="40" w:after="40" w:line="220" w:lineRule="exact"/>
              <w:jc w:val="right"/>
              <w:rPr>
                <w:sz w:val="18"/>
                <w:szCs w:val="24"/>
              </w:rPr>
            </w:pPr>
            <w:r>
              <w:rPr>
                <w:sz w:val="18"/>
                <w:szCs w:val="24"/>
              </w:rPr>
              <w:t>1,5</w:t>
            </w:r>
          </w:p>
        </w:tc>
        <w:tc>
          <w:tcPr>
            <w:tcW w:w="658" w:type="dxa"/>
          </w:tcPr>
          <w:p w:rsidR="00F92819" w:rsidRDefault="00F92819">
            <w:pPr>
              <w:spacing w:before="40" w:after="40" w:line="220" w:lineRule="exact"/>
              <w:jc w:val="right"/>
              <w:rPr>
                <w:sz w:val="18"/>
                <w:szCs w:val="24"/>
              </w:rPr>
            </w:pPr>
            <w:r>
              <w:rPr>
                <w:sz w:val="18"/>
                <w:szCs w:val="24"/>
              </w:rPr>
              <w:t>1,8</w:t>
            </w:r>
          </w:p>
        </w:tc>
        <w:tc>
          <w:tcPr>
            <w:tcW w:w="658" w:type="dxa"/>
          </w:tcPr>
          <w:p w:rsidR="00F92819" w:rsidRDefault="00F92819">
            <w:pPr>
              <w:spacing w:before="40" w:after="40" w:line="220" w:lineRule="exact"/>
              <w:jc w:val="right"/>
              <w:rPr>
                <w:sz w:val="18"/>
                <w:szCs w:val="24"/>
              </w:rPr>
            </w:pPr>
            <w:r>
              <w:rPr>
                <w:sz w:val="18"/>
                <w:szCs w:val="24"/>
              </w:rPr>
              <w:t>1,5</w:t>
            </w:r>
          </w:p>
        </w:tc>
        <w:tc>
          <w:tcPr>
            <w:tcW w:w="658" w:type="dxa"/>
          </w:tcPr>
          <w:p w:rsidR="00F92819" w:rsidRDefault="00F92819">
            <w:pPr>
              <w:spacing w:before="40" w:after="40" w:line="220" w:lineRule="exact"/>
              <w:jc w:val="right"/>
              <w:rPr>
                <w:sz w:val="18"/>
                <w:szCs w:val="24"/>
              </w:rPr>
            </w:pPr>
            <w:r>
              <w:rPr>
                <w:sz w:val="18"/>
                <w:szCs w:val="24"/>
              </w:rPr>
              <w:t>1,5</w:t>
            </w:r>
          </w:p>
        </w:tc>
        <w:tc>
          <w:tcPr>
            <w:tcW w:w="658" w:type="dxa"/>
          </w:tcPr>
          <w:p w:rsidR="00F92819" w:rsidRDefault="00F92819">
            <w:pPr>
              <w:spacing w:before="40" w:after="40" w:line="220" w:lineRule="exact"/>
              <w:jc w:val="right"/>
              <w:rPr>
                <w:sz w:val="18"/>
                <w:szCs w:val="24"/>
              </w:rPr>
            </w:pPr>
            <w:r>
              <w:rPr>
                <w:sz w:val="18"/>
                <w:szCs w:val="24"/>
              </w:rPr>
              <w:t>1,5</w:t>
            </w:r>
          </w:p>
        </w:tc>
        <w:tc>
          <w:tcPr>
            <w:tcW w:w="658" w:type="dxa"/>
          </w:tcPr>
          <w:p w:rsidR="00F92819" w:rsidRDefault="00F92819">
            <w:pPr>
              <w:spacing w:before="40" w:after="40" w:line="220" w:lineRule="exact"/>
              <w:jc w:val="right"/>
              <w:rPr>
                <w:sz w:val="18"/>
                <w:szCs w:val="24"/>
              </w:rPr>
            </w:pPr>
            <w:r>
              <w:rPr>
                <w:sz w:val="18"/>
                <w:szCs w:val="24"/>
              </w:rPr>
              <w:t>1.3</w:t>
            </w:r>
          </w:p>
        </w:tc>
        <w:tc>
          <w:tcPr>
            <w:tcW w:w="658" w:type="dxa"/>
          </w:tcPr>
          <w:p w:rsidR="00F92819" w:rsidRDefault="00F92819">
            <w:pPr>
              <w:spacing w:before="40" w:after="40" w:line="220" w:lineRule="exact"/>
              <w:jc w:val="right"/>
              <w:rPr>
                <w:sz w:val="18"/>
                <w:szCs w:val="24"/>
              </w:rPr>
            </w:pPr>
            <w:r>
              <w:rPr>
                <w:sz w:val="18"/>
                <w:szCs w:val="24"/>
              </w:rPr>
              <w:t>1</w:t>
            </w:r>
          </w:p>
        </w:tc>
        <w:tc>
          <w:tcPr>
            <w:tcW w:w="658" w:type="dxa"/>
          </w:tcPr>
          <w:p w:rsidR="00F92819" w:rsidRDefault="00F92819">
            <w:pPr>
              <w:spacing w:before="40" w:after="40" w:line="220" w:lineRule="exact"/>
              <w:jc w:val="right"/>
              <w:rPr>
                <w:sz w:val="18"/>
                <w:szCs w:val="24"/>
              </w:rPr>
            </w:pPr>
            <w:r>
              <w:rPr>
                <w:sz w:val="18"/>
                <w:szCs w:val="24"/>
              </w:rPr>
              <w:t>0,8</w:t>
            </w:r>
          </w:p>
        </w:tc>
        <w:tc>
          <w:tcPr>
            <w:tcW w:w="658" w:type="dxa"/>
          </w:tcPr>
          <w:p w:rsidR="00F92819" w:rsidRDefault="00F92819">
            <w:pPr>
              <w:spacing w:before="40" w:after="40" w:line="220" w:lineRule="exact"/>
              <w:jc w:val="right"/>
              <w:rPr>
                <w:sz w:val="18"/>
                <w:szCs w:val="24"/>
              </w:rPr>
            </w:pPr>
            <w:r>
              <w:rPr>
                <w:sz w:val="18"/>
                <w:szCs w:val="24"/>
              </w:rPr>
              <w:t>0,3</w:t>
            </w:r>
          </w:p>
        </w:tc>
        <w:tc>
          <w:tcPr>
            <w:tcW w:w="659" w:type="dxa"/>
            <w:gridSpan w:val="2"/>
          </w:tcPr>
          <w:p w:rsidR="00F92819" w:rsidRDefault="00F92819">
            <w:pPr>
              <w:spacing w:before="40" w:after="40" w:line="220" w:lineRule="exact"/>
              <w:jc w:val="right"/>
              <w:rPr>
                <w:b/>
                <w:sz w:val="18"/>
                <w:szCs w:val="24"/>
              </w:rPr>
            </w:pPr>
            <w:r>
              <w:rPr>
                <w:b/>
                <w:sz w:val="18"/>
                <w:szCs w:val="24"/>
              </w:rPr>
              <w:t>1,1</w:t>
            </w:r>
          </w:p>
        </w:tc>
      </w:tr>
      <w:tr w:rsidR="00F92819">
        <w:tc>
          <w:tcPr>
            <w:tcW w:w="2400" w:type="dxa"/>
          </w:tcPr>
          <w:p w:rsidR="00F92819" w:rsidRDefault="00F92819">
            <w:pPr>
              <w:spacing w:before="40" w:after="40" w:line="220" w:lineRule="exact"/>
              <w:rPr>
                <w:szCs w:val="24"/>
              </w:rPr>
            </w:pPr>
            <w:r>
              <w:rPr>
                <w:sz w:val="18"/>
                <w:szCs w:val="24"/>
                <w:lang w:val="es-ES_tradnl"/>
              </w:rPr>
              <w:t>Habitaciones por vivienda</w:t>
            </w:r>
          </w:p>
        </w:tc>
        <w:tc>
          <w:tcPr>
            <w:tcW w:w="658" w:type="dxa"/>
          </w:tcPr>
          <w:p w:rsidR="00F92819" w:rsidRDefault="00F92819">
            <w:pPr>
              <w:spacing w:before="40" w:after="40" w:line="220" w:lineRule="exact"/>
              <w:jc w:val="right"/>
              <w:rPr>
                <w:sz w:val="18"/>
                <w:szCs w:val="24"/>
              </w:rPr>
            </w:pPr>
            <w:r>
              <w:rPr>
                <w:sz w:val="18"/>
                <w:szCs w:val="24"/>
              </w:rPr>
              <w:t>3,5</w:t>
            </w:r>
          </w:p>
        </w:tc>
        <w:tc>
          <w:tcPr>
            <w:tcW w:w="658" w:type="dxa"/>
          </w:tcPr>
          <w:p w:rsidR="00F92819" w:rsidRDefault="00F92819">
            <w:pPr>
              <w:spacing w:before="40" w:after="40" w:line="220" w:lineRule="exact"/>
              <w:jc w:val="right"/>
              <w:rPr>
                <w:sz w:val="18"/>
                <w:szCs w:val="24"/>
              </w:rPr>
            </w:pPr>
            <w:r>
              <w:rPr>
                <w:sz w:val="18"/>
                <w:szCs w:val="24"/>
              </w:rPr>
              <w:t>3,4</w:t>
            </w:r>
          </w:p>
        </w:tc>
        <w:tc>
          <w:tcPr>
            <w:tcW w:w="658" w:type="dxa"/>
          </w:tcPr>
          <w:p w:rsidR="00F92819" w:rsidRDefault="00F92819">
            <w:pPr>
              <w:spacing w:before="40" w:after="40" w:line="220" w:lineRule="exact"/>
              <w:jc w:val="right"/>
              <w:rPr>
                <w:sz w:val="18"/>
                <w:szCs w:val="24"/>
              </w:rPr>
            </w:pPr>
            <w:r>
              <w:rPr>
                <w:sz w:val="18"/>
                <w:szCs w:val="24"/>
              </w:rPr>
              <w:t>3,4</w:t>
            </w:r>
          </w:p>
        </w:tc>
        <w:tc>
          <w:tcPr>
            <w:tcW w:w="658" w:type="dxa"/>
          </w:tcPr>
          <w:p w:rsidR="00F92819" w:rsidRDefault="00F92819">
            <w:pPr>
              <w:spacing w:before="40" w:after="40" w:line="220" w:lineRule="exact"/>
              <w:jc w:val="right"/>
              <w:rPr>
                <w:sz w:val="18"/>
                <w:szCs w:val="24"/>
              </w:rPr>
            </w:pPr>
            <w:r>
              <w:rPr>
                <w:sz w:val="18"/>
                <w:szCs w:val="24"/>
              </w:rPr>
              <w:t>3,2</w:t>
            </w:r>
          </w:p>
        </w:tc>
        <w:tc>
          <w:tcPr>
            <w:tcW w:w="658" w:type="dxa"/>
          </w:tcPr>
          <w:p w:rsidR="00F92819" w:rsidRDefault="00F92819">
            <w:pPr>
              <w:spacing w:before="40" w:after="40" w:line="220" w:lineRule="exact"/>
              <w:jc w:val="right"/>
              <w:rPr>
                <w:sz w:val="18"/>
                <w:szCs w:val="24"/>
              </w:rPr>
            </w:pPr>
            <w:r>
              <w:rPr>
                <w:sz w:val="18"/>
                <w:szCs w:val="24"/>
              </w:rPr>
              <w:t>3</w:t>
            </w:r>
          </w:p>
        </w:tc>
        <w:tc>
          <w:tcPr>
            <w:tcW w:w="658" w:type="dxa"/>
          </w:tcPr>
          <w:p w:rsidR="00F92819" w:rsidRDefault="00F92819">
            <w:pPr>
              <w:spacing w:before="40" w:after="40" w:line="220" w:lineRule="exact"/>
              <w:jc w:val="right"/>
              <w:rPr>
                <w:sz w:val="18"/>
                <w:szCs w:val="24"/>
              </w:rPr>
            </w:pPr>
            <w:r>
              <w:rPr>
                <w:sz w:val="18"/>
                <w:szCs w:val="24"/>
              </w:rPr>
              <w:t>3,3</w:t>
            </w:r>
          </w:p>
        </w:tc>
        <w:tc>
          <w:tcPr>
            <w:tcW w:w="658" w:type="dxa"/>
          </w:tcPr>
          <w:p w:rsidR="00F92819" w:rsidRDefault="00F92819">
            <w:pPr>
              <w:spacing w:before="40" w:after="40" w:line="220" w:lineRule="exact"/>
              <w:jc w:val="right"/>
              <w:rPr>
                <w:sz w:val="18"/>
                <w:szCs w:val="24"/>
              </w:rPr>
            </w:pPr>
            <w:r>
              <w:rPr>
                <w:sz w:val="18"/>
                <w:szCs w:val="24"/>
              </w:rPr>
              <w:t>3,2</w:t>
            </w:r>
          </w:p>
        </w:tc>
        <w:tc>
          <w:tcPr>
            <w:tcW w:w="658" w:type="dxa"/>
          </w:tcPr>
          <w:p w:rsidR="00F92819" w:rsidRDefault="00F92819">
            <w:pPr>
              <w:spacing w:before="40" w:after="40" w:line="220" w:lineRule="exact"/>
              <w:jc w:val="right"/>
              <w:rPr>
                <w:sz w:val="18"/>
                <w:szCs w:val="24"/>
              </w:rPr>
            </w:pPr>
            <w:r>
              <w:rPr>
                <w:sz w:val="18"/>
                <w:szCs w:val="24"/>
              </w:rPr>
              <w:t>3,2</w:t>
            </w:r>
          </w:p>
        </w:tc>
        <w:tc>
          <w:tcPr>
            <w:tcW w:w="658" w:type="dxa"/>
          </w:tcPr>
          <w:p w:rsidR="00F92819" w:rsidRDefault="00F92819">
            <w:pPr>
              <w:spacing w:before="40" w:after="40" w:line="220" w:lineRule="exact"/>
              <w:jc w:val="right"/>
              <w:rPr>
                <w:sz w:val="18"/>
                <w:szCs w:val="24"/>
              </w:rPr>
            </w:pPr>
            <w:r>
              <w:rPr>
                <w:sz w:val="18"/>
                <w:szCs w:val="24"/>
              </w:rPr>
              <w:t>2,9</w:t>
            </w:r>
          </w:p>
        </w:tc>
        <w:tc>
          <w:tcPr>
            <w:tcW w:w="658" w:type="dxa"/>
          </w:tcPr>
          <w:p w:rsidR="00F92819" w:rsidRDefault="00F92819">
            <w:pPr>
              <w:spacing w:before="40" w:after="40" w:line="220" w:lineRule="exact"/>
              <w:jc w:val="right"/>
              <w:rPr>
                <w:sz w:val="18"/>
                <w:szCs w:val="24"/>
              </w:rPr>
            </w:pPr>
            <w:r>
              <w:rPr>
                <w:sz w:val="18"/>
                <w:szCs w:val="24"/>
              </w:rPr>
              <w:t>2,9</w:t>
            </w:r>
          </w:p>
        </w:tc>
        <w:tc>
          <w:tcPr>
            <w:tcW w:w="659" w:type="dxa"/>
            <w:gridSpan w:val="2"/>
          </w:tcPr>
          <w:p w:rsidR="00F92819" w:rsidRDefault="00F92819">
            <w:pPr>
              <w:spacing w:before="40" w:after="40" w:line="220" w:lineRule="exact"/>
              <w:jc w:val="right"/>
              <w:rPr>
                <w:b/>
                <w:sz w:val="18"/>
                <w:szCs w:val="24"/>
              </w:rPr>
            </w:pPr>
            <w:r>
              <w:rPr>
                <w:b/>
                <w:sz w:val="18"/>
                <w:szCs w:val="24"/>
              </w:rPr>
              <w:t>3,1</w:t>
            </w:r>
          </w:p>
        </w:tc>
      </w:tr>
      <w:tr w:rsidR="00F92819">
        <w:tc>
          <w:tcPr>
            <w:tcW w:w="2400" w:type="dxa"/>
          </w:tcPr>
          <w:p w:rsidR="00F92819" w:rsidRDefault="00F92819">
            <w:pPr>
              <w:spacing w:before="40" w:after="40" w:line="220" w:lineRule="exact"/>
              <w:rPr>
                <w:szCs w:val="24"/>
              </w:rPr>
            </w:pPr>
            <w:r>
              <w:rPr>
                <w:sz w:val="18"/>
                <w:szCs w:val="24"/>
                <w:lang w:val="es-ES_tradnl"/>
              </w:rPr>
              <w:t>Habitaciones para la vida diaria</w:t>
            </w:r>
          </w:p>
        </w:tc>
        <w:tc>
          <w:tcPr>
            <w:tcW w:w="658" w:type="dxa"/>
          </w:tcPr>
          <w:p w:rsidR="00F92819" w:rsidRDefault="00F92819">
            <w:pPr>
              <w:spacing w:before="40" w:after="40" w:line="220" w:lineRule="exact"/>
              <w:jc w:val="right"/>
              <w:rPr>
                <w:sz w:val="18"/>
                <w:szCs w:val="24"/>
              </w:rPr>
            </w:pPr>
            <w:r>
              <w:rPr>
                <w:sz w:val="18"/>
                <w:szCs w:val="24"/>
              </w:rPr>
              <w:t>3,4</w:t>
            </w:r>
          </w:p>
        </w:tc>
        <w:tc>
          <w:tcPr>
            <w:tcW w:w="658" w:type="dxa"/>
          </w:tcPr>
          <w:p w:rsidR="00F92819" w:rsidRDefault="00F92819">
            <w:pPr>
              <w:spacing w:before="40" w:after="40" w:line="220" w:lineRule="exact"/>
              <w:jc w:val="right"/>
              <w:rPr>
                <w:sz w:val="18"/>
                <w:szCs w:val="24"/>
              </w:rPr>
            </w:pPr>
            <w:r>
              <w:rPr>
                <w:sz w:val="18"/>
                <w:szCs w:val="24"/>
              </w:rPr>
              <w:t>3,3</w:t>
            </w:r>
          </w:p>
        </w:tc>
        <w:tc>
          <w:tcPr>
            <w:tcW w:w="658" w:type="dxa"/>
          </w:tcPr>
          <w:p w:rsidR="00F92819" w:rsidRDefault="00F92819">
            <w:pPr>
              <w:spacing w:before="40" w:after="40" w:line="220" w:lineRule="exact"/>
              <w:jc w:val="right"/>
              <w:rPr>
                <w:sz w:val="18"/>
                <w:szCs w:val="24"/>
              </w:rPr>
            </w:pPr>
            <w:r>
              <w:rPr>
                <w:sz w:val="18"/>
                <w:szCs w:val="24"/>
              </w:rPr>
              <w:t>3,3</w:t>
            </w:r>
          </w:p>
        </w:tc>
        <w:tc>
          <w:tcPr>
            <w:tcW w:w="658" w:type="dxa"/>
          </w:tcPr>
          <w:p w:rsidR="00F92819" w:rsidRDefault="00F92819">
            <w:pPr>
              <w:spacing w:before="40" w:after="40" w:line="220" w:lineRule="exact"/>
              <w:jc w:val="right"/>
              <w:rPr>
                <w:sz w:val="18"/>
                <w:szCs w:val="24"/>
              </w:rPr>
            </w:pPr>
            <w:r>
              <w:rPr>
                <w:sz w:val="18"/>
                <w:szCs w:val="24"/>
              </w:rPr>
              <w:t>3</w:t>
            </w:r>
          </w:p>
        </w:tc>
        <w:tc>
          <w:tcPr>
            <w:tcW w:w="658" w:type="dxa"/>
          </w:tcPr>
          <w:p w:rsidR="00F92819" w:rsidRDefault="00F92819">
            <w:pPr>
              <w:spacing w:before="40" w:after="40" w:line="220" w:lineRule="exact"/>
              <w:jc w:val="right"/>
              <w:rPr>
                <w:sz w:val="18"/>
                <w:szCs w:val="24"/>
              </w:rPr>
            </w:pPr>
            <w:r>
              <w:rPr>
                <w:sz w:val="18"/>
                <w:szCs w:val="24"/>
              </w:rPr>
              <w:t>2,9</w:t>
            </w:r>
          </w:p>
        </w:tc>
        <w:tc>
          <w:tcPr>
            <w:tcW w:w="658" w:type="dxa"/>
          </w:tcPr>
          <w:p w:rsidR="00F92819" w:rsidRDefault="00F92819">
            <w:pPr>
              <w:spacing w:before="40" w:after="40" w:line="220" w:lineRule="exact"/>
              <w:jc w:val="right"/>
              <w:rPr>
                <w:sz w:val="18"/>
                <w:szCs w:val="24"/>
              </w:rPr>
            </w:pPr>
            <w:r>
              <w:rPr>
                <w:sz w:val="18"/>
                <w:szCs w:val="24"/>
              </w:rPr>
              <w:t>3,1</w:t>
            </w:r>
          </w:p>
        </w:tc>
        <w:tc>
          <w:tcPr>
            <w:tcW w:w="658" w:type="dxa"/>
          </w:tcPr>
          <w:p w:rsidR="00F92819" w:rsidRDefault="00F92819">
            <w:pPr>
              <w:spacing w:before="40" w:after="40" w:line="220" w:lineRule="exact"/>
              <w:jc w:val="right"/>
              <w:rPr>
                <w:sz w:val="18"/>
                <w:szCs w:val="24"/>
              </w:rPr>
            </w:pPr>
            <w:r>
              <w:rPr>
                <w:sz w:val="18"/>
                <w:szCs w:val="24"/>
              </w:rPr>
              <w:t>3</w:t>
            </w:r>
          </w:p>
        </w:tc>
        <w:tc>
          <w:tcPr>
            <w:tcW w:w="658" w:type="dxa"/>
          </w:tcPr>
          <w:p w:rsidR="00F92819" w:rsidRDefault="00F92819">
            <w:pPr>
              <w:spacing w:before="40" w:after="40" w:line="220" w:lineRule="exact"/>
              <w:jc w:val="right"/>
              <w:rPr>
                <w:sz w:val="18"/>
                <w:szCs w:val="24"/>
              </w:rPr>
            </w:pPr>
            <w:r>
              <w:rPr>
                <w:sz w:val="18"/>
                <w:szCs w:val="24"/>
              </w:rPr>
              <w:t>2,9</w:t>
            </w:r>
          </w:p>
        </w:tc>
        <w:tc>
          <w:tcPr>
            <w:tcW w:w="658" w:type="dxa"/>
          </w:tcPr>
          <w:p w:rsidR="00F92819" w:rsidRDefault="00F92819">
            <w:pPr>
              <w:spacing w:before="40" w:after="40" w:line="220" w:lineRule="exact"/>
              <w:jc w:val="right"/>
              <w:rPr>
                <w:sz w:val="18"/>
                <w:szCs w:val="24"/>
              </w:rPr>
            </w:pPr>
            <w:r>
              <w:rPr>
                <w:sz w:val="18"/>
                <w:szCs w:val="24"/>
              </w:rPr>
              <w:t>2,7</w:t>
            </w:r>
          </w:p>
        </w:tc>
        <w:tc>
          <w:tcPr>
            <w:tcW w:w="658" w:type="dxa"/>
          </w:tcPr>
          <w:p w:rsidR="00F92819" w:rsidRDefault="00F92819">
            <w:pPr>
              <w:spacing w:before="40" w:after="40" w:line="220" w:lineRule="exact"/>
              <w:jc w:val="right"/>
              <w:rPr>
                <w:sz w:val="18"/>
                <w:szCs w:val="24"/>
              </w:rPr>
            </w:pPr>
            <w:r>
              <w:rPr>
                <w:sz w:val="18"/>
                <w:szCs w:val="24"/>
              </w:rPr>
              <w:t>2,6</w:t>
            </w:r>
          </w:p>
        </w:tc>
        <w:tc>
          <w:tcPr>
            <w:tcW w:w="659" w:type="dxa"/>
            <w:gridSpan w:val="2"/>
          </w:tcPr>
          <w:p w:rsidR="00F92819" w:rsidRDefault="00F92819">
            <w:pPr>
              <w:spacing w:before="40" w:after="40" w:line="220" w:lineRule="exact"/>
              <w:jc w:val="right"/>
              <w:rPr>
                <w:b/>
                <w:sz w:val="18"/>
                <w:szCs w:val="24"/>
              </w:rPr>
            </w:pPr>
            <w:r>
              <w:rPr>
                <w:b/>
                <w:sz w:val="18"/>
                <w:szCs w:val="24"/>
              </w:rPr>
              <w:t>2,9</w:t>
            </w:r>
          </w:p>
        </w:tc>
      </w:tr>
      <w:tr w:rsidR="00F92819">
        <w:tc>
          <w:tcPr>
            <w:tcW w:w="2400" w:type="dxa"/>
          </w:tcPr>
          <w:p w:rsidR="00F92819" w:rsidRDefault="00F92819">
            <w:pPr>
              <w:spacing w:before="40" w:after="40" w:line="220" w:lineRule="exact"/>
              <w:rPr>
                <w:szCs w:val="24"/>
              </w:rPr>
            </w:pPr>
            <w:r>
              <w:rPr>
                <w:sz w:val="18"/>
                <w:szCs w:val="24"/>
                <w:lang w:val="es-ES_tradnl"/>
              </w:rPr>
              <w:t>Densidad de vivienda</w:t>
            </w:r>
          </w:p>
        </w:tc>
        <w:tc>
          <w:tcPr>
            <w:tcW w:w="658" w:type="dxa"/>
          </w:tcPr>
          <w:p w:rsidR="00F92819" w:rsidRDefault="00F92819">
            <w:pPr>
              <w:spacing w:before="40" w:after="40" w:line="220" w:lineRule="exact"/>
              <w:jc w:val="right"/>
              <w:rPr>
                <w:sz w:val="18"/>
                <w:szCs w:val="24"/>
              </w:rPr>
            </w:pPr>
            <w:r>
              <w:rPr>
                <w:sz w:val="18"/>
                <w:szCs w:val="24"/>
              </w:rPr>
              <w:t>0,6</w:t>
            </w:r>
          </w:p>
        </w:tc>
        <w:tc>
          <w:tcPr>
            <w:tcW w:w="658" w:type="dxa"/>
          </w:tcPr>
          <w:p w:rsidR="00F92819" w:rsidRDefault="00F92819">
            <w:pPr>
              <w:spacing w:before="40" w:after="40" w:line="220" w:lineRule="exact"/>
              <w:jc w:val="right"/>
              <w:rPr>
                <w:sz w:val="18"/>
                <w:szCs w:val="24"/>
              </w:rPr>
            </w:pPr>
            <w:r>
              <w:rPr>
                <w:sz w:val="18"/>
                <w:szCs w:val="24"/>
              </w:rPr>
              <w:t>0,7</w:t>
            </w:r>
          </w:p>
        </w:tc>
        <w:tc>
          <w:tcPr>
            <w:tcW w:w="658" w:type="dxa"/>
          </w:tcPr>
          <w:p w:rsidR="00F92819" w:rsidRDefault="00F92819">
            <w:pPr>
              <w:spacing w:before="40" w:after="40" w:line="220" w:lineRule="exact"/>
              <w:jc w:val="right"/>
              <w:rPr>
                <w:sz w:val="18"/>
                <w:szCs w:val="24"/>
              </w:rPr>
            </w:pPr>
            <w:r>
              <w:rPr>
                <w:sz w:val="18"/>
                <w:szCs w:val="24"/>
              </w:rPr>
              <w:t>0,8</w:t>
            </w:r>
          </w:p>
        </w:tc>
        <w:tc>
          <w:tcPr>
            <w:tcW w:w="658" w:type="dxa"/>
          </w:tcPr>
          <w:p w:rsidR="00F92819" w:rsidRDefault="00F92819">
            <w:pPr>
              <w:spacing w:before="40" w:after="40" w:line="220" w:lineRule="exact"/>
              <w:jc w:val="right"/>
              <w:rPr>
                <w:sz w:val="18"/>
                <w:szCs w:val="24"/>
              </w:rPr>
            </w:pPr>
            <w:r>
              <w:rPr>
                <w:sz w:val="18"/>
                <w:szCs w:val="24"/>
              </w:rPr>
              <w:t>0,8</w:t>
            </w:r>
          </w:p>
        </w:tc>
        <w:tc>
          <w:tcPr>
            <w:tcW w:w="658" w:type="dxa"/>
          </w:tcPr>
          <w:p w:rsidR="00F92819" w:rsidRDefault="00F92819">
            <w:pPr>
              <w:spacing w:before="40" w:after="40" w:line="220" w:lineRule="exact"/>
              <w:jc w:val="right"/>
              <w:rPr>
                <w:sz w:val="18"/>
                <w:szCs w:val="24"/>
              </w:rPr>
            </w:pPr>
            <w:r>
              <w:rPr>
                <w:sz w:val="18"/>
                <w:szCs w:val="24"/>
              </w:rPr>
              <w:t>0,9</w:t>
            </w:r>
          </w:p>
        </w:tc>
        <w:tc>
          <w:tcPr>
            <w:tcW w:w="658" w:type="dxa"/>
          </w:tcPr>
          <w:p w:rsidR="00F92819" w:rsidRDefault="00F92819">
            <w:pPr>
              <w:spacing w:before="40" w:after="40" w:line="220" w:lineRule="exact"/>
              <w:jc w:val="right"/>
              <w:rPr>
                <w:sz w:val="18"/>
                <w:szCs w:val="24"/>
              </w:rPr>
            </w:pPr>
            <w:r>
              <w:rPr>
                <w:sz w:val="18"/>
                <w:szCs w:val="24"/>
              </w:rPr>
              <w:t>0,9</w:t>
            </w:r>
          </w:p>
        </w:tc>
        <w:tc>
          <w:tcPr>
            <w:tcW w:w="658" w:type="dxa"/>
          </w:tcPr>
          <w:p w:rsidR="00F92819" w:rsidRDefault="00F92819">
            <w:pPr>
              <w:spacing w:before="40" w:after="40" w:line="220" w:lineRule="exact"/>
              <w:jc w:val="right"/>
              <w:rPr>
                <w:sz w:val="18"/>
                <w:szCs w:val="24"/>
              </w:rPr>
            </w:pPr>
            <w:r>
              <w:rPr>
                <w:sz w:val="18"/>
                <w:szCs w:val="24"/>
              </w:rPr>
              <w:t>0,9</w:t>
            </w:r>
          </w:p>
        </w:tc>
        <w:tc>
          <w:tcPr>
            <w:tcW w:w="658" w:type="dxa"/>
          </w:tcPr>
          <w:p w:rsidR="00F92819" w:rsidRDefault="00F92819">
            <w:pPr>
              <w:spacing w:before="40" w:after="40" w:line="220" w:lineRule="exact"/>
              <w:jc w:val="right"/>
              <w:rPr>
                <w:sz w:val="18"/>
                <w:szCs w:val="24"/>
              </w:rPr>
            </w:pPr>
            <w:r>
              <w:rPr>
                <w:sz w:val="18"/>
                <w:szCs w:val="24"/>
              </w:rPr>
              <w:t>0,9</w:t>
            </w:r>
          </w:p>
        </w:tc>
        <w:tc>
          <w:tcPr>
            <w:tcW w:w="658" w:type="dxa"/>
          </w:tcPr>
          <w:p w:rsidR="00F92819" w:rsidRDefault="00F92819">
            <w:pPr>
              <w:spacing w:before="40" w:after="40" w:line="220" w:lineRule="exact"/>
              <w:jc w:val="right"/>
              <w:rPr>
                <w:sz w:val="18"/>
                <w:szCs w:val="24"/>
              </w:rPr>
            </w:pPr>
            <w:r>
              <w:rPr>
                <w:sz w:val="18"/>
                <w:szCs w:val="24"/>
              </w:rPr>
              <w:t>1,1</w:t>
            </w:r>
          </w:p>
        </w:tc>
        <w:tc>
          <w:tcPr>
            <w:tcW w:w="658" w:type="dxa"/>
          </w:tcPr>
          <w:p w:rsidR="00F92819" w:rsidRDefault="00F92819">
            <w:pPr>
              <w:spacing w:before="40" w:after="40" w:line="220" w:lineRule="exact"/>
              <w:jc w:val="right"/>
              <w:rPr>
                <w:sz w:val="18"/>
                <w:szCs w:val="24"/>
              </w:rPr>
            </w:pPr>
            <w:r>
              <w:rPr>
                <w:sz w:val="18"/>
                <w:szCs w:val="24"/>
              </w:rPr>
              <w:t>1,1</w:t>
            </w:r>
          </w:p>
        </w:tc>
        <w:tc>
          <w:tcPr>
            <w:tcW w:w="659" w:type="dxa"/>
            <w:gridSpan w:val="2"/>
          </w:tcPr>
          <w:p w:rsidR="00F92819" w:rsidRDefault="00F92819">
            <w:pPr>
              <w:spacing w:before="40" w:after="40" w:line="220" w:lineRule="exact"/>
              <w:jc w:val="right"/>
              <w:rPr>
                <w:b/>
                <w:sz w:val="18"/>
                <w:szCs w:val="24"/>
              </w:rPr>
            </w:pPr>
            <w:r>
              <w:rPr>
                <w:b/>
                <w:sz w:val="18"/>
                <w:szCs w:val="24"/>
              </w:rPr>
              <w:t>0,9</w:t>
            </w:r>
          </w:p>
        </w:tc>
      </w:tr>
      <w:tr w:rsidR="00F92819">
        <w:tc>
          <w:tcPr>
            <w:tcW w:w="2400" w:type="dxa"/>
          </w:tcPr>
          <w:p w:rsidR="00F92819" w:rsidRDefault="00F92819">
            <w:pPr>
              <w:spacing w:before="40" w:after="40" w:line="220" w:lineRule="exact"/>
              <w:rPr>
                <w:szCs w:val="24"/>
              </w:rPr>
            </w:pPr>
            <w:r>
              <w:rPr>
                <w:sz w:val="18"/>
                <w:szCs w:val="24"/>
                <w:lang w:val="es-ES_tradnl"/>
              </w:rPr>
              <w:t>Porcentaje de viviendas arrendadas</w:t>
            </w:r>
          </w:p>
        </w:tc>
        <w:tc>
          <w:tcPr>
            <w:tcW w:w="658" w:type="dxa"/>
          </w:tcPr>
          <w:p w:rsidR="00F92819" w:rsidRDefault="00F92819">
            <w:pPr>
              <w:spacing w:before="40" w:after="40" w:line="220" w:lineRule="exact"/>
              <w:jc w:val="right"/>
              <w:rPr>
                <w:sz w:val="18"/>
                <w:szCs w:val="24"/>
              </w:rPr>
            </w:pPr>
            <w:r>
              <w:rPr>
                <w:sz w:val="18"/>
                <w:szCs w:val="24"/>
              </w:rPr>
              <w:t>14,5</w:t>
            </w:r>
          </w:p>
        </w:tc>
        <w:tc>
          <w:tcPr>
            <w:tcW w:w="658" w:type="dxa"/>
          </w:tcPr>
          <w:p w:rsidR="00F92819" w:rsidRDefault="00F92819">
            <w:pPr>
              <w:spacing w:before="40" w:after="40" w:line="220" w:lineRule="exact"/>
              <w:jc w:val="right"/>
              <w:rPr>
                <w:sz w:val="18"/>
                <w:szCs w:val="24"/>
              </w:rPr>
            </w:pPr>
            <w:r>
              <w:rPr>
                <w:sz w:val="18"/>
                <w:szCs w:val="24"/>
              </w:rPr>
              <w:t>15,9</w:t>
            </w:r>
          </w:p>
        </w:tc>
        <w:tc>
          <w:tcPr>
            <w:tcW w:w="658" w:type="dxa"/>
          </w:tcPr>
          <w:p w:rsidR="00F92819" w:rsidRDefault="00F92819">
            <w:pPr>
              <w:spacing w:before="40" w:after="40" w:line="220" w:lineRule="exact"/>
              <w:jc w:val="right"/>
              <w:rPr>
                <w:sz w:val="18"/>
                <w:szCs w:val="24"/>
              </w:rPr>
            </w:pPr>
            <w:r>
              <w:rPr>
                <w:sz w:val="18"/>
                <w:szCs w:val="24"/>
              </w:rPr>
              <w:t>13,7</w:t>
            </w:r>
          </w:p>
        </w:tc>
        <w:tc>
          <w:tcPr>
            <w:tcW w:w="658" w:type="dxa"/>
          </w:tcPr>
          <w:p w:rsidR="00F92819" w:rsidRDefault="00F92819">
            <w:pPr>
              <w:spacing w:before="40" w:after="40" w:line="220" w:lineRule="exact"/>
              <w:jc w:val="right"/>
              <w:rPr>
                <w:sz w:val="18"/>
                <w:szCs w:val="24"/>
              </w:rPr>
            </w:pPr>
            <w:r>
              <w:rPr>
                <w:sz w:val="18"/>
                <w:szCs w:val="24"/>
              </w:rPr>
              <w:t>16,5</w:t>
            </w:r>
          </w:p>
        </w:tc>
        <w:tc>
          <w:tcPr>
            <w:tcW w:w="658" w:type="dxa"/>
          </w:tcPr>
          <w:p w:rsidR="00F92819" w:rsidRDefault="00F92819">
            <w:pPr>
              <w:spacing w:before="40" w:after="40" w:line="220" w:lineRule="exact"/>
              <w:jc w:val="right"/>
              <w:rPr>
                <w:sz w:val="18"/>
                <w:szCs w:val="24"/>
              </w:rPr>
            </w:pPr>
            <w:r>
              <w:rPr>
                <w:sz w:val="18"/>
                <w:szCs w:val="24"/>
              </w:rPr>
              <w:t>18</w:t>
            </w:r>
          </w:p>
        </w:tc>
        <w:tc>
          <w:tcPr>
            <w:tcW w:w="658" w:type="dxa"/>
          </w:tcPr>
          <w:p w:rsidR="00F92819" w:rsidRDefault="00F92819">
            <w:pPr>
              <w:spacing w:before="40" w:after="40" w:line="220" w:lineRule="exact"/>
              <w:jc w:val="right"/>
              <w:rPr>
                <w:sz w:val="18"/>
                <w:szCs w:val="24"/>
              </w:rPr>
            </w:pPr>
            <w:r>
              <w:rPr>
                <w:sz w:val="18"/>
                <w:szCs w:val="24"/>
              </w:rPr>
              <w:t>23</w:t>
            </w:r>
          </w:p>
        </w:tc>
        <w:tc>
          <w:tcPr>
            <w:tcW w:w="658" w:type="dxa"/>
          </w:tcPr>
          <w:p w:rsidR="00F92819" w:rsidRDefault="00F92819">
            <w:pPr>
              <w:spacing w:before="40" w:after="40" w:line="220" w:lineRule="exact"/>
              <w:jc w:val="right"/>
              <w:rPr>
                <w:sz w:val="18"/>
                <w:szCs w:val="24"/>
              </w:rPr>
            </w:pPr>
            <w:r>
              <w:rPr>
                <w:sz w:val="18"/>
                <w:szCs w:val="24"/>
              </w:rPr>
              <w:t>29,4</w:t>
            </w:r>
          </w:p>
        </w:tc>
        <w:tc>
          <w:tcPr>
            <w:tcW w:w="658" w:type="dxa"/>
          </w:tcPr>
          <w:p w:rsidR="00F92819" w:rsidRDefault="00F92819">
            <w:pPr>
              <w:spacing w:before="40" w:after="40" w:line="220" w:lineRule="exact"/>
              <w:jc w:val="right"/>
              <w:rPr>
                <w:sz w:val="18"/>
                <w:szCs w:val="24"/>
              </w:rPr>
            </w:pPr>
            <w:r>
              <w:rPr>
                <w:sz w:val="18"/>
                <w:szCs w:val="24"/>
              </w:rPr>
              <w:t>29,5</w:t>
            </w:r>
          </w:p>
        </w:tc>
        <w:tc>
          <w:tcPr>
            <w:tcW w:w="658" w:type="dxa"/>
          </w:tcPr>
          <w:p w:rsidR="00F92819" w:rsidRDefault="00F92819">
            <w:pPr>
              <w:spacing w:before="40" w:after="40" w:line="220" w:lineRule="exact"/>
              <w:jc w:val="right"/>
              <w:rPr>
                <w:sz w:val="18"/>
                <w:szCs w:val="24"/>
              </w:rPr>
            </w:pPr>
            <w:r>
              <w:rPr>
                <w:sz w:val="18"/>
                <w:szCs w:val="24"/>
              </w:rPr>
              <w:t>41,9</w:t>
            </w:r>
          </w:p>
        </w:tc>
        <w:tc>
          <w:tcPr>
            <w:tcW w:w="658" w:type="dxa"/>
          </w:tcPr>
          <w:p w:rsidR="00F92819" w:rsidRDefault="00F92819">
            <w:pPr>
              <w:spacing w:before="40" w:after="40" w:line="220" w:lineRule="exact"/>
              <w:jc w:val="right"/>
              <w:rPr>
                <w:sz w:val="18"/>
                <w:szCs w:val="24"/>
              </w:rPr>
            </w:pPr>
            <w:r>
              <w:rPr>
                <w:sz w:val="18"/>
                <w:szCs w:val="24"/>
              </w:rPr>
              <w:t>52,5</w:t>
            </w:r>
          </w:p>
        </w:tc>
        <w:tc>
          <w:tcPr>
            <w:tcW w:w="659" w:type="dxa"/>
            <w:gridSpan w:val="2"/>
          </w:tcPr>
          <w:p w:rsidR="00F92819" w:rsidRDefault="00F92819">
            <w:pPr>
              <w:spacing w:before="40" w:after="40" w:line="220" w:lineRule="exact"/>
              <w:jc w:val="right"/>
              <w:rPr>
                <w:b/>
                <w:sz w:val="18"/>
                <w:szCs w:val="24"/>
              </w:rPr>
            </w:pPr>
            <w:r>
              <w:rPr>
                <w:b/>
                <w:sz w:val="18"/>
                <w:szCs w:val="24"/>
              </w:rPr>
              <w:t>25,5</w:t>
            </w:r>
          </w:p>
        </w:tc>
      </w:tr>
      <w:tr w:rsidR="00F92819">
        <w:tc>
          <w:tcPr>
            <w:tcW w:w="2400" w:type="dxa"/>
            <w:vAlign w:val="bottom"/>
          </w:tcPr>
          <w:p w:rsidR="00F92819" w:rsidRDefault="00F92819">
            <w:pPr>
              <w:spacing w:before="80" w:after="80" w:line="200" w:lineRule="exact"/>
              <w:rPr>
                <w:szCs w:val="24"/>
              </w:rPr>
            </w:pPr>
            <w:r>
              <w:rPr>
                <w:i/>
                <w:sz w:val="16"/>
                <w:szCs w:val="24"/>
                <w:lang w:val="es-ES_tradnl"/>
              </w:rPr>
              <w:t>Gasto mensual</w:t>
            </w: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8" w:type="dxa"/>
            <w:vAlign w:val="bottom"/>
          </w:tcPr>
          <w:p w:rsidR="00F92819" w:rsidRDefault="00F92819">
            <w:pPr>
              <w:spacing w:before="80" w:after="80" w:line="200" w:lineRule="exact"/>
              <w:rPr>
                <w:i/>
                <w:sz w:val="16"/>
                <w:szCs w:val="24"/>
              </w:rPr>
            </w:pPr>
          </w:p>
        </w:tc>
        <w:tc>
          <w:tcPr>
            <w:tcW w:w="659" w:type="dxa"/>
            <w:gridSpan w:val="2"/>
            <w:vAlign w:val="bottom"/>
          </w:tcPr>
          <w:p w:rsidR="00F92819" w:rsidRDefault="00F92819">
            <w:pPr>
              <w:spacing w:before="80" w:after="80" w:line="200" w:lineRule="exact"/>
              <w:rPr>
                <w:i/>
                <w:sz w:val="16"/>
                <w:szCs w:val="24"/>
              </w:rPr>
            </w:pPr>
          </w:p>
        </w:tc>
      </w:tr>
      <w:tr w:rsidR="00F92819">
        <w:tc>
          <w:tcPr>
            <w:tcW w:w="2400" w:type="dxa"/>
          </w:tcPr>
          <w:p w:rsidR="00F92819" w:rsidRDefault="00F92819">
            <w:pPr>
              <w:spacing w:before="40" w:after="40" w:line="220" w:lineRule="exact"/>
              <w:rPr>
                <w:szCs w:val="24"/>
              </w:rPr>
            </w:pPr>
            <w:r>
              <w:rPr>
                <w:sz w:val="18"/>
                <w:szCs w:val="24"/>
                <w:lang w:val="es-ES_tradnl"/>
              </w:rPr>
              <w:t>Gastos de consumo</w:t>
            </w:r>
          </w:p>
        </w:tc>
        <w:tc>
          <w:tcPr>
            <w:tcW w:w="658" w:type="dxa"/>
          </w:tcPr>
          <w:p w:rsidR="00F92819" w:rsidRDefault="00F92819">
            <w:pPr>
              <w:spacing w:before="40" w:after="40" w:line="220" w:lineRule="exact"/>
              <w:jc w:val="right"/>
              <w:rPr>
                <w:sz w:val="18"/>
                <w:szCs w:val="24"/>
              </w:rPr>
            </w:pPr>
            <w:r>
              <w:rPr>
                <w:sz w:val="18"/>
                <w:szCs w:val="24"/>
              </w:rPr>
              <w:t>17 022</w:t>
            </w:r>
          </w:p>
        </w:tc>
        <w:tc>
          <w:tcPr>
            <w:tcW w:w="658" w:type="dxa"/>
          </w:tcPr>
          <w:p w:rsidR="00F92819" w:rsidRDefault="00F92819">
            <w:pPr>
              <w:spacing w:before="40" w:after="40" w:line="220" w:lineRule="exact"/>
              <w:jc w:val="right"/>
              <w:rPr>
                <w:sz w:val="18"/>
                <w:szCs w:val="24"/>
              </w:rPr>
            </w:pPr>
            <w:r>
              <w:rPr>
                <w:sz w:val="18"/>
                <w:szCs w:val="24"/>
              </w:rPr>
              <w:t>15 552</w:t>
            </w:r>
          </w:p>
        </w:tc>
        <w:tc>
          <w:tcPr>
            <w:tcW w:w="658" w:type="dxa"/>
          </w:tcPr>
          <w:p w:rsidR="00F92819" w:rsidRDefault="00F92819">
            <w:pPr>
              <w:spacing w:before="40" w:after="40" w:line="220" w:lineRule="exact"/>
              <w:jc w:val="right"/>
              <w:rPr>
                <w:sz w:val="18"/>
                <w:szCs w:val="24"/>
              </w:rPr>
            </w:pPr>
            <w:r>
              <w:rPr>
                <w:sz w:val="18"/>
                <w:szCs w:val="24"/>
              </w:rPr>
              <w:t>13 168</w:t>
            </w:r>
          </w:p>
        </w:tc>
        <w:tc>
          <w:tcPr>
            <w:tcW w:w="658" w:type="dxa"/>
          </w:tcPr>
          <w:p w:rsidR="00F92819" w:rsidRDefault="00F92819">
            <w:pPr>
              <w:spacing w:before="40" w:after="40" w:line="220" w:lineRule="exact"/>
              <w:jc w:val="right"/>
              <w:rPr>
                <w:sz w:val="18"/>
                <w:szCs w:val="24"/>
              </w:rPr>
            </w:pPr>
            <w:r>
              <w:rPr>
                <w:sz w:val="18"/>
                <w:szCs w:val="24"/>
              </w:rPr>
              <w:t>10 470</w:t>
            </w:r>
          </w:p>
        </w:tc>
        <w:tc>
          <w:tcPr>
            <w:tcW w:w="658" w:type="dxa"/>
          </w:tcPr>
          <w:p w:rsidR="00F92819" w:rsidRDefault="00F92819">
            <w:pPr>
              <w:spacing w:before="40" w:after="40" w:line="220" w:lineRule="exact"/>
              <w:jc w:val="right"/>
              <w:rPr>
                <w:sz w:val="18"/>
                <w:szCs w:val="24"/>
              </w:rPr>
            </w:pPr>
            <w:r>
              <w:rPr>
                <w:sz w:val="18"/>
                <w:szCs w:val="24"/>
              </w:rPr>
              <w:t>10 010</w:t>
            </w:r>
          </w:p>
        </w:tc>
        <w:tc>
          <w:tcPr>
            <w:tcW w:w="658" w:type="dxa"/>
          </w:tcPr>
          <w:p w:rsidR="00F92819" w:rsidRDefault="00F92819">
            <w:pPr>
              <w:spacing w:before="40" w:after="40" w:line="220" w:lineRule="exact"/>
              <w:jc w:val="right"/>
              <w:rPr>
                <w:sz w:val="18"/>
                <w:szCs w:val="24"/>
              </w:rPr>
            </w:pPr>
            <w:r>
              <w:rPr>
                <w:sz w:val="18"/>
                <w:szCs w:val="24"/>
              </w:rPr>
              <w:t>10 313</w:t>
            </w:r>
          </w:p>
        </w:tc>
        <w:tc>
          <w:tcPr>
            <w:tcW w:w="658" w:type="dxa"/>
          </w:tcPr>
          <w:p w:rsidR="00F92819" w:rsidRDefault="00F92819">
            <w:pPr>
              <w:spacing w:before="40" w:after="40" w:line="220" w:lineRule="exact"/>
              <w:jc w:val="right"/>
              <w:rPr>
                <w:sz w:val="18"/>
                <w:szCs w:val="24"/>
              </w:rPr>
            </w:pPr>
            <w:r>
              <w:rPr>
                <w:sz w:val="18"/>
                <w:szCs w:val="24"/>
              </w:rPr>
              <w:t>8 608</w:t>
            </w:r>
          </w:p>
        </w:tc>
        <w:tc>
          <w:tcPr>
            <w:tcW w:w="658" w:type="dxa"/>
          </w:tcPr>
          <w:p w:rsidR="00F92819" w:rsidRDefault="00F92819">
            <w:pPr>
              <w:spacing w:before="40" w:after="40" w:line="220" w:lineRule="exact"/>
              <w:jc w:val="right"/>
              <w:rPr>
                <w:sz w:val="18"/>
                <w:szCs w:val="24"/>
              </w:rPr>
            </w:pPr>
            <w:r>
              <w:rPr>
                <w:sz w:val="18"/>
                <w:szCs w:val="24"/>
              </w:rPr>
              <w:t>7 073</w:t>
            </w:r>
          </w:p>
        </w:tc>
        <w:tc>
          <w:tcPr>
            <w:tcW w:w="658" w:type="dxa"/>
          </w:tcPr>
          <w:p w:rsidR="00F92819" w:rsidRDefault="00F92819">
            <w:pPr>
              <w:spacing w:before="40" w:after="40" w:line="220" w:lineRule="exact"/>
              <w:jc w:val="right"/>
              <w:rPr>
                <w:sz w:val="18"/>
                <w:szCs w:val="24"/>
              </w:rPr>
            </w:pPr>
            <w:r>
              <w:rPr>
                <w:sz w:val="18"/>
                <w:szCs w:val="24"/>
              </w:rPr>
              <w:t>5 533</w:t>
            </w:r>
          </w:p>
        </w:tc>
        <w:tc>
          <w:tcPr>
            <w:tcW w:w="658" w:type="dxa"/>
          </w:tcPr>
          <w:p w:rsidR="00F92819" w:rsidRDefault="00F92819">
            <w:pPr>
              <w:spacing w:before="40" w:after="40" w:line="220" w:lineRule="exact"/>
              <w:jc w:val="right"/>
              <w:rPr>
                <w:sz w:val="18"/>
                <w:szCs w:val="24"/>
              </w:rPr>
            </w:pPr>
            <w:r>
              <w:rPr>
                <w:sz w:val="18"/>
                <w:szCs w:val="24"/>
              </w:rPr>
              <w:t>4 681</w:t>
            </w:r>
          </w:p>
        </w:tc>
        <w:tc>
          <w:tcPr>
            <w:tcW w:w="659" w:type="dxa"/>
            <w:gridSpan w:val="2"/>
          </w:tcPr>
          <w:p w:rsidR="00F92819" w:rsidRDefault="00F92819">
            <w:pPr>
              <w:spacing w:before="40" w:after="40" w:line="220" w:lineRule="exact"/>
              <w:jc w:val="right"/>
              <w:rPr>
                <w:b/>
                <w:sz w:val="18"/>
                <w:szCs w:val="24"/>
              </w:rPr>
            </w:pPr>
            <w:r>
              <w:rPr>
                <w:b/>
                <w:sz w:val="18"/>
                <w:szCs w:val="24"/>
              </w:rPr>
              <w:t>8 646</w:t>
            </w:r>
          </w:p>
        </w:tc>
      </w:tr>
      <w:tr w:rsidR="00F92819">
        <w:tc>
          <w:tcPr>
            <w:tcW w:w="2400" w:type="dxa"/>
          </w:tcPr>
          <w:p w:rsidR="00F92819" w:rsidRDefault="00F92819">
            <w:pPr>
              <w:spacing w:before="40" w:after="40" w:line="220" w:lineRule="exact"/>
              <w:rPr>
                <w:szCs w:val="24"/>
              </w:rPr>
            </w:pPr>
            <w:r>
              <w:rPr>
                <w:sz w:val="18"/>
                <w:szCs w:val="24"/>
                <w:lang w:val="es-ES_tradnl"/>
              </w:rPr>
              <w:t>Gastos del hogar</w:t>
            </w:r>
          </w:p>
        </w:tc>
        <w:tc>
          <w:tcPr>
            <w:tcW w:w="658" w:type="dxa"/>
          </w:tcPr>
          <w:p w:rsidR="00F92819" w:rsidRDefault="00F92819">
            <w:pPr>
              <w:spacing w:before="40" w:after="40" w:line="220" w:lineRule="exact"/>
              <w:jc w:val="right"/>
              <w:rPr>
                <w:sz w:val="18"/>
                <w:szCs w:val="24"/>
              </w:rPr>
            </w:pPr>
            <w:r>
              <w:rPr>
                <w:sz w:val="18"/>
                <w:szCs w:val="24"/>
              </w:rPr>
              <w:t>3 332</w:t>
            </w:r>
          </w:p>
        </w:tc>
        <w:tc>
          <w:tcPr>
            <w:tcW w:w="658" w:type="dxa"/>
          </w:tcPr>
          <w:p w:rsidR="00F92819" w:rsidRDefault="00F92819">
            <w:pPr>
              <w:spacing w:before="40" w:after="40" w:line="220" w:lineRule="exact"/>
              <w:jc w:val="right"/>
              <w:rPr>
                <w:sz w:val="18"/>
                <w:szCs w:val="24"/>
              </w:rPr>
            </w:pPr>
            <w:r>
              <w:rPr>
                <w:sz w:val="18"/>
                <w:szCs w:val="24"/>
              </w:rPr>
              <w:t>2 970</w:t>
            </w:r>
          </w:p>
        </w:tc>
        <w:tc>
          <w:tcPr>
            <w:tcW w:w="658" w:type="dxa"/>
          </w:tcPr>
          <w:p w:rsidR="00F92819" w:rsidRDefault="00F92819">
            <w:pPr>
              <w:spacing w:before="40" w:after="40" w:line="220" w:lineRule="exact"/>
              <w:jc w:val="right"/>
              <w:rPr>
                <w:sz w:val="18"/>
                <w:szCs w:val="24"/>
              </w:rPr>
            </w:pPr>
            <w:r>
              <w:rPr>
                <w:sz w:val="18"/>
                <w:szCs w:val="24"/>
              </w:rPr>
              <w:t>3 043</w:t>
            </w:r>
          </w:p>
        </w:tc>
        <w:tc>
          <w:tcPr>
            <w:tcW w:w="658" w:type="dxa"/>
          </w:tcPr>
          <w:p w:rsidR="00F92819" w:rsidRDefault="00F92819">
            <w:pPr>
              <w:spacing w:before="40" w:after="40" w:line="220" w:lineRule="exact"/>
              <w:jc w:val="right"/>
              <w:rPr>
                <w:sz w:val="18"/>
                <w:szCs w:val="24"/>
              </w:rPr>
            </w:pPr>
            <w:r>
              <w:rPr>
                <w:sz w:val="18"/>
                <w:szCs w:val="24"/>
              </w:rPr>
              <w:t>2 208</w:t>
            </w:r>
          </w:p>
        </w:tc>
        <w:tc>
          <w:tcPr>
            <w:tcW w:w="658" w:type="dxa"/>
          </w:tcPr>
          <w:p w:rsidR="00F92819" w:rsidRDefault="00F92819">
            <w:pPr>
              <w:spacing w:before="40" w:after="40" w:line="220" w:lineRule="exact"/>
              <w:jc w:val="right"/>
              <w:rPr>
                <w:sz w:val="18"/>
                <w:szCs w:val="24"/>
              </w:rPr>
            </w:pPr>
            <w:r>
              <w:rPr>
                <w:sz w:val="18"/>
                <w:szCs w:val="24"/>
              </w:rPr>
              <w:t>2 100</w:t>
            </w:r>
          </w:p>
        </w:tc>
        <w:tc>
          <w:tcPr>
            <w:tcW w:w="658" w:type="dxa"/>
          </w:tcPr>
          <w:p w:rsidR="00F92819" w:rsidRDefault="00F92819">
            <w:pPr>
              <w:spacing w:before="40" w:after="40" w:line="220" w:lineRule="exact"/>
              <w:jc w:val="right"/>
              <w:rPr>
                <w:sz w:val="18"/>
                <w:szCs w:val="24"/>
              </w:rPr>
            </w:pPr>
            <w:r>
              <w:rPr>
                <w:sz w:val="18"/>
                <w:szCs w:val="24"/>
              </w:rPr>
              <w:t>1 977</w:t>
            </w:r>
          </w:p>
        </w:tc>
        <w:tc>
          <w:tcPr>
            <w:tcW w:w="658" w:type="dxa"/>
          </w:tcPr>
          <w:p w:rsidR="00F92819" w:rsidRDefault="00F92819">
            <w:pPr>
              <w:spacing w:before="40" w:after="40" w:line="220" w:lineRule="exact"/>
              <w:jc w:val="right"/>
              <w:rPr>
                <w:sz w:val="18"/>
                <w:szCs w:val="24"/>
              </w:rPr>
            </w:pPr>
            <w:r>
              <w:rPr>
                <w:sz w:val="18"/>
                <w:szCs w:val="24"/>
              </w:rPr>
              <w:t>2 018</w:t>
            </w:r>
          </w:p>
        </w:tc>
        <w:tc>
          <w:tcPr>
            <w:tcW w:w="658" w:type="dxa"/>
          </w:tcPr>
          <w:p w:rsidR="00F92819" w:rsidRDefault="00F92819">
            <w:pPr>
              <w:spacing w:before="40" w:after="40" w:line="220" w:lineRule="exact"/>
              <w:jc w:val="right"/>
              <w:rPr>
                <w:sz w:val="18"/>
                <w:szCs w:val="24"/>
              </w:rPr>
            </w:pPr>
            <w:r>
              <w:rPr>
                <w:sz w:val="18"/>
                <w:szCs w:val="24"/>
              </w:rPr>
              <w:t>1 662</w:t>
            </w:r>
          </w:p>
        </w:tc>
        <w:tc>
          <w:tcPr>
            <w:tcW w:w="658" w:type="dxa"/>
          </w:tcPr>
          <w:p w:rsidR="00F92819" w:rsidRDefault="00F92819">
            <w:pPr>
              <w:spacing w:before="40" w:after="40" w:line="220" w:lineRule="exact"/>
              <w:jc w:val="right"/>
              <w:rPr>
                <w:sz w:val="18"/>
                <w:szCs w:val="24"/>
              </w:rPr>
            </w:pPr>
            <w:r>
              <w:rPr>
                <w:sz w:val="18"/>
                <w:szCs w:val="24"/>
              </w:rPr>
              <w:t>1 366</w:t>
            </w:r>
          </w:p>
        </w:tc>
        <w:tc>
          <w:tcPr>
            <w:tcW w:w="658" w:type="dxa"/>
          </w:tcPr>
          <w:p w:rsidR="00F92819" w:rsidRDefault="00F92819">
            <w:pPr>
              <w:spacing w:before="40" w:after="40" w:line="220" w:lineRule="exact"/>
              <w:jc w:val="right"/>
              <w:rPr>
                <w:sz w:val="18"/>
                <w:szCs w:val="24"/>
              </w:rPr>
            </w:pPr>
            <w:r>
              <w:rPr>
                <w:sz w:val="18"/>
                <w:szCs w:val="24"/>
              </w:rPr>
              <w:t>920</w:t>
            </w:r>
          </w:p>
        </w:tc>
        <w:tc>
          <w:tcPr>
            <w:tcW w:w="659" w:type="dxa"/>
            <w:gridSpan w:val="2"/>
          </w:tcPr>
          <w:p w:rsidR="00F92819" w:rsidRDefault="00F92819">
            <w:pPr>
              <w:spacing w:before="40" w:after="40" w:line="220" w:lineRule="exact"/>
              <w:jc w:val="right"/>
              <w:rPr>
                <w:b/>
                <w:sz w:val="18"/>
                <w:szCs w:val="24"/>
              </w:rPr>
            </w:pPr>
            <w:r>
              <w:rPr>
                <w:b/>
                <w:sz w:val="18"/>
                <w:szCs w:val="24"/>
              </w:rPr>
              <w:t>1 847</w:t>
            </w:r>
          </w:p>
        </w:tc>
      </w:tr>
      <w:tr w:rsidR="00F92819">
        <w:tc>
          <w:tcPr>
            <w:tcW w:w="2400" w:type="dxa"/>
          </w:tcPr>
          <w:p w:rsidR="00F92819" w:rsidRDefault="00F92819">
            <w:pPr>
              <w:spacing w:before="40" w:after="40" w:line="220" w:lineRule="exact"/>
              <w:rPr>
                <w:szCs w:val="24"/>
              </w:rPr>
            </w:pPr>
            <w:r>
              <w:rPr>
                <w:sz w:val="18"/>
                <w:szCs w:val="24"/>
                <w:lang w:val="es-ES_tradnl"/>
              </w:rPr>
              <w:t>Alquiler de las viviendas o las habitaciones</w:t>
            </w:r>
          </w:p>
        </w:tc>
        <w:tc>
          <w:tcPr>
            <w:tcW w:w="658" w:type="dxa"/>
          </w:tcPr>
          <w:p w:rsidR="00F92819" w:rsidRDefault="00F92819">
            <w:pPr>
              <w:spacing w:before="40" w:after="40" w:line="220" w:lineRule="exact"/>
              <w:jc w:val="right"/>
              <w:rPr>
                <w:sz w:val="18"/>
                <w:szCs w:val="24"/>
              </w:rPr>
            </w:pPr>
            <w:r>
              <w:rPr>
                <w:sz w:val="18"/>
                <w:szCs w:val="24"/>
              </w:rPr>
              <w:t>2 999</w:t>
            </w:r>
          </w:p>
        </w:tc>
        <w:tc>
          <w:tcPr>
            <w:tcW w:w="658" w:type="dxa"/>
          </w:tcPr>
          <w:p w:rsidR="00F92819" w:rsidRDefault="00F92819">
            <w:pPr>
              <w:spacing w:before="40" w:after="40" w:line="220" w:lineRule="exact"/>
              <w:jc w:val="right"/>
              <w:rPr>
                <w:sz w:val="18"/>
                <w:szCs w:val="24"/>
              </w:rPr>
            </w:pPr>
            <w:r>
              <w:rPr>
                <w:sz w:val="18"/>
                <w:szCs w:val="24"/>
              </w:rPr>
              <w:t>2 811</w:t>
            </w:r>
          </w:p>
        </w:tc>
        <w:tc>
          <w:tcPr>
            <w:tcW w:w="658" w:type="dxa"/>
          </w:tcPr>
          <w:p w:rsidR="00F92819" w:rsidRDefault="00F92819">
            <w:pPr>
              <w:spacing w:before="40" w:after="40" w:line="220" w:lineRule="exact"/>
              <w:jc w:val="right"/>
              <w:rPr>
                <w:sz w:val="18"/>
                <w:szCs w:val="24"/>
              </w:rPr>
            </w:pPr>
            <w:r>
              <w:rPr>
                <w:sz w:val="18"/>
                <w:szCs w:val="24"/>
              </w:rPr>
              <w:t>2 857</w:t>
            </w:r>
          </w:p>
        </w:tc>
        <w:tc>
          <w:tcPr>
            <w:tcW w:w="658" w:type="dxa"/>
          </w:tcPr>
          <w:p w:rsidR="00F92819" w:rsidRDefault="00F92819">
            <w:pPr>
              <w:spacing w:before="40" w:after="40" w:line="220" w:lineRule="exact"/>
              <w:jc w:val="right"/>
              <w:rPr>
                <w:sz w:val="18"/>
                <w:szCs w:val="24"/>
              </w:rPr>
            </w:pPr>
            <w:r>
              <w:rPr>
                <w:sz w:val="18"/>
                <w:szCs w:val="24"/>
              </w:rPr>
              <w:t>2 174</w:t>
            </w:r>
          </w:p>
        </w:tc>
        <w:tc>
          <w:tcPr>
            <w:tcW w:w="658" w:type="dxa"/>
          </w:tcPr>
          <w:p w:rsidR="00F92819" w:rsidRDefault="00F92819">
            <w:pPr>
              <w:spacing w:before="40" w:after="40" w:line="220" w:lineRule="exact"/>
              <w:jc w:val="right"/>
              <w:rPr>
                <w:sz w:val="18"/>
                <w:szCs w:val="24"/>
              </w:rPr>
            </w:pPr>
            <w:r>
              <w:rPr>
                <w:sz w:val="18"/>
                <w:szCs w:val="24"/>
              </w:rPr>
              <w:t>1 964</w:t>
            </w:r>
          </w:p>
        </w:tc>
        <w:tc>
          <w:tcPr>
            <w:tcW w:w="658" w:type="dxa"/>
          </w:tcPr>
          <w:p w:rsidR="00F92819" w:rsidRDefault="00F92819">
            <w:pPr>
              <w:spacing w:before="40" w:after="40" w:line="220" w:lineRule="exact"/>
              <w:jc w:val="right"/>
              <w:rPr>
                <w:sz w:val="18"/>
                <w:szCs w:val="24"/>
              </w:rPr>
            </w:pPr>
            <w:r>
              <w:rPr>
                <w:sz w:val="18"/>
                <w:szCs w:val="24"/>
              </w:rPr>
              <w:t>1 945</w:t>
            </w:r>
          </w:p>
        </w:tc>
        <w:tc>
          <w:tcPr>
            <w:tcW w:w="658" w:type="dxa"/>
          </w:tcPr>
          <w:p w:rsidR="00F92819" w:rsidRDefault="00F92819">
            <w:pPr>
              <w:spacing w:before="40" w:after="40" w:line="220" w:lineRule="exact"/>
              <w:jc w:val="right"/>
              <w:rPr>
                <w:sz w:val="18"/>
                <w:szCs w:val="24"/>
              </w:rPr>
            </w:pPr>
            <w:r>
              <w:rPr>
                <w:sz w:val="18"/>
                <w:szCs w:val="24"/>
              </w:rPr>
              <w:t>1 924</w:t>
            </w:r>
          </w:p>
        </w:tc>
        <w:tc>
          <w:tcPr>
            <w:tcW w:w="658" w:type="dxa"/>
          </w:tcPr>
          <w:p w:rsidR="00F92819" w:rsidRDefault="00F92819">
            <w:pPr>
              <w:spacing w:before="40" w:after="40" w:line="220" w:lineRule="exact"/>
              <w:jc w:val="right"/>
              <w:rPr>
                <w:sz w:val="18"/>
                <w:szCs w:val="24"/>
              </w:rPr>
            </w:pPr>
            <w:r>
              <w:rPr>
                <w:sz w:val="18"/>
                <w:szCs w:val="24"/>
              </w:rPr>
              <w:t>1 563</w:t>
            </w:r>
          </w:p>
        </w:tc>
        <w:tc>
          <w:tcPr>
            <w:tcW w:w="658" w:type="dxa"/>
          </w:tcPr>
          <w:p w:rsidR="00F92819" w:rsidRDefault="00F92819">
            <w:pPr>
              <w:spacing w:before="40" w:after="40" w:line="220" w:lineRule="exact"/>
              <w:jc w:val="right"/>
              <w:rPr>
                <w:sz w:val="18"/>
                <w:szCs w:val="24"/>
              </w:rPr>
            </w:pPr>
            <w:r>
              <w:rPr>
                <w:sz w:val="18"/>
                <w:szCs w:val="24"/>
              </w:rPr>
              <w:t>1 309</w:t>
            </w:r>
          </w:p>
        </w:tc>
        <w:tc>
          <w:tcPr>
            <w:tcW w:w="658" w:type="dxa"/>
          </w:tcPr>
          <w:p w:rsidR="00F92819" w:rsidRDefault="00F92819">
            <w:pPr>
              <w:spacing w:before="40" w:after="40" w:line="220" w:lineRule="exact"/>
              <w:jc w:val="right"/>
              <w:rPr>
                <w:sz w:val="18"/>
                <w:szCs w:val="24"/>
              </w:rPr>
            </w:pPr>
            <w:r>
              <w:rPr>
                <w:sz w:val="18"/>
                <w:szCs w:val="24"/>
              </w:rPr>
              <w:t>898</w:t>
            </w:r>
          </w:p>
        </w:tc>
        <w:tc>
          <w:tcPr>
            <w:tcW w:w="659" w:type="dxa"/>
            <w:gridSpan w:val="2"/>
          </w:tcPr>
          <w:p w:rsidR="00F92819" w:rsidRDefault="00F92819">
            <w:pPr>
              <w:spacing w:before="40" w:after="40" w:line="220" w:lineRule="exact"/>
              <w:jc w:val="right"/>
              <w:rPr>
                <w:b/>
                <w:sz w:val="18"/>
                <w:szCs w:val="24"/>
              </w:rPr>
            </w:pPr>
            <w:r>
              <w:rPr>
                <w:b/>
                <w:sz w:val="18"/>
                <w:szCs w:val="24"/>
              </w:rPr>
              <w:t>1 757</w:t>
            </w:r>
          </w:p>
        </w:tc>
      </w:tr>
      <w:tr w:rsidR="00F92819">
        <w:tc>
          <w:tcPr>
            <w:tcW w:w="2400" w:type="dxa"/>
          </w:tcPr>
          <w:p w:rsidR="00F92819" w:rsidRDefault="00F92819">
            <w:pPr>
              <w:spacing w:before="40" w:after="40" w:line="220" w:lineRule="exact"/>
              <w:rPr>
                <w:szCs w:val="24"/>
              </w:rPr>
            </w:pPr>
            <w:r>
              <w:rPr>
                <w:sz w:val="18"/>
                <w:szCs w:val="24"/>
                <w:lang w:val="es-ES_tradnl"/>
              </w:rPr>
              <w:t>Consumo corriente de agua</w:t>
            </w:r>
          </w:p>
        </w:tc>
        <w:tc>
          <w:tcPr>
            <w:tcW w:w="658" w:type="dxa"/>
          </w:tcPr>
          <w:p w:rsidR="00F92819" w:rsidRDefault="00F92819">
            <w:pPr>
              <w:spacing w:before="40" w:after="40" w:line="220" w:lineRule="exact"/>
              <w:jc w:val="right"/>
              <w:rPr>
                <w:sz w:val="18"/>
                <w:szCs w:val="24"/>
              </w:rPr>
            </w:pPr>
            <w:r>
              <w:rPr>
                <w:sz w:val="18"/>
                <w:szCs w:val="24"/>
              </w:rPr>
              <w:t>94</w:t>
            </w:r>
          </w:p>
        </w:tc>
        <w:tc>
          <w:tcPr>
            <w:tcW w:w="658" w:type="dxa"/>
          </w:tcPr>
          <w:p w:rsidR="00F92819" w:rsidRDefault="00F92819">
            <w:pPr>
              <w:spacing w:before="40" w:after="40" w:line="220" w:lineRule="exact"/>
              <w:jc w:val="right"/>
              <w:rPr>
                <w:sz w:val="18"/>
                <w:szCs w:val="24"/>
              </w:rPr>
            </w:pPr>
            <w:r>
              <w:rPr>
                <w:sz w:val="18"/>
                <w:szCs w:val="24"/>
              </w:rPr>
              <w:t>90</w:t>
            </w:r>
          </w:p>
        </w:tc>
        <w:tc>
          <w:tcPr>
            <w:tcW w:w="658" w:type="dxa"/>
          </w:tcPr>
          <w:p w:rsidR="00F92819" w:rsidRDefault="00F92819">
            <w:pPr>
              <w:spacing w:before="40" w:after="40" w:line="220" w:lineRule="exact"/>
              <w:jc w:val="right"/>
              <w:rPr>
                <w:sz w:val="18"/>
                <w:szCs w:val="24"/>
              </w:rPr>
            </w:pPr>
            <w:r>
              <w:rPr>
                <w:sz w:val="18"/>
                <w:szCs w:val="24"/>
              </w:rPr>
              <w:t>90</w:t>
            </w:r>
          </w:p>
        </w:tc>
        <w:tc>
          <w:tcPr>
            <w:tcW w:w="658" w:type="dxa"/>
          </w:tcPr>
          <w:p w:rsidR="00F92819" w:rsidRDefault="00F92819">
            <w:pPr>
              <w:spacing w:before="40" w:after="40" w:line="220" w:lineRule="exact"/>
              <w:jc w:val="right"/>
              <w:rPr>
                <w:sz w:val="18"/>
                <w:szCs w:val="24"/>
              </w:rPr>
            </w:pPr>
            <w:r>
              <w:rPr>
                <w:sz w:val="18"/>
                <w:szCs w:val="24"/>
              </w:rPr>
              <w:t>79</w:t>
            </w:r>
          </w:p>
        </w:tc>
        <w:tc>
          <w:tcPr>
            <w:tcW w:w="658" w:type="dxa"/>
          </w:tcPr>
          <w:p w:rsidR="00F92819" w:rsidRDefault="00F92819">
            <w:pPr>
              <w:spacing w:before="40" w:after="40" w:line="220" w:lineRule="exact"/>
              <w:jc w:val="right"/>
              <w:rPr>
                <w:sz w:val="18"/>
                <w:szCs w:val="24"/>
              </w:rPr>
            </w:pPr>
            <w:r>
              <w:rPr>
                <w:sz w:val="18"/>
                <w:szCs w:val="24"/>
              </w:rPr>
              <w:t>80</w:t>
            </w:r>
          </w:p>
        </w:tc>
        <w:tc>
          <w:tcPr>
            <w:tcW w:w="658" w:type="dxa"/>
          </w:tcPr>
          <w:p w:rsidR="00F92819" w:rsidRDefault="00F92819">
            <w:pPr>
              <w:spacing w:before="40" w:after="40" w:line="220" w:lineRule="exact"/>
              <w:jc w:val="right"/>
              <w:rPr>
                <w:sz w:val="18"/>
                <w:szCs w:val="24"/>
              </w:rPr>
            </w:pPr>
            <w:r>
              <w:rPr>
                <w:sz w:val="18"/>
                <w:szCs w:val="24"/>
              </w:rPr>
              <w:t>78</w:t>
            </w:r>
          </w:p>
        </w:tc>
        <w:tc>
          <w:tcPr>
            <w:tcW w:w="658" w:type="dxa"/>
          </w:tcPr>
          <w:p w:rsidR="00F92819" w:rsidRDefault="00F92819">
            <w:pPr>
              <w:spacing w:before="40" w:after="40" w:line="220" w:lineRule="exact"/>
              <w:jc w:val="right"/>
              <w:rPr>
                <w:sz w:val="18"/>
                <w:szCs w:val="24"/>
              </w:rPr>
            </w:pPr>
            <w:r>
              <w:rPr>
                <w:sz w:val="18"/>
                <w:szCs w:val="24"/>
              </w:rPr>
              <w:t>77</w:t>
            </w:r>
          </w:p>
        </w:tc>
        <w:tc>
          <w:tcPr>
            <w:tcW w:w="658" w:type="dxa"/>
          </w:tcPr>
          <w:p w:rsidR="00F92819" w:rsidRDefault="00F92819">
            <w:pPr>
              <w:spacing w:before="40" w:after="40" w:line="220" w:lineRule="exact"/>
              <w:jc w:val="right"/>
              <w:rPr>
                <w:sz w:val="18"/>
                <w:szCs w:val="24"/>
              </w:rPr>
            </w:pPr>
            <w:r>
              <w:rPr>
                <w:sz w:val="18"/>
                <w:szCs w:val="24"/>
              </w:rPr>
              <w:t>68</w:t>
            </w:r>
          </w:p>
        </w:tc>
        <w:tc>
          <w:tcPr>
            <w:tcW w:w="658" w:type="dxa"/>
          </w:tcPr>
          <w:p w:rsidR="00F92819" w:rsidRDefault="00F92819">
            <w:pPr>
              <w:spacing w:before="40" w:after="40" w:line="220" w:lineRule="exact"/>
              <w:jc w:val="right"/>
              <w:rPr>
                <w:sz w:val="18"/>
                <w:szCs w:val="24"/>
              </w:rPr>
            </w:pPr>
            <w:r>
              <w:rPr>
                <w:sz w:val="18"/>
                <w:szCs w:val="24"/>
              </w:rPr>
              <w:t>70</w:t>
            </w:r>
          </w:p>
        </w:tc>
        <w:tc>
          <w:tcPr>
            <w:tcW w:w="658" w:type="dxa"/>
          </w:tcPr>
          <w:p w:rsidR="00F92819" w:rsidRDefault="00F92819">
            <w:pPr>
              <w:spacing w:before="40" w:after="40" w:line="220" w:lineRule="exact"/>
              <w:jc w:val="right"/>
              <w:rPr>
                <w:sz w:val="18"/>
                <w:szCs w:val="24"/>
              </w:rPr>
            </w:pPr>
            <w:r>
              <w:rPr>
                <w:sz w:val="18"/>
                <w:szCs w:val="24"/>
              </w:rPr>
              <w:t>67</w:t>
            </w:r>
          </w:p>
        </w:tc>
        <w:tc>
          <w:tcPr>
            <w:tcW w:w="659" w:type="dxa"/>
            <w:gridSpan w:val="2"/>
          </w:tcPr>
          <w:p w:rsidR="00F92819" w:rsidRDefault="00F92819">
            <w:pPr>
              <w:spacing w:before="40" w:after="40" w:line="220" w:lineRule="exact"/>
              <w:jc w:val="right"/>
              <w:rPr>
                <w:b/>
                <w:sz w:val="18"/>
                <w:szCs w:val="24"/>
              </w:rPr>
            </w:pPr>
            <w:r>
              <w:rPr>
                <w:b/>
                <w:sz w:val="18"/>
                <w:szCs w:val="24"/>
              </w:rPr>
              <w:t>76</w:t>
            </w:r>
          </w:p>
        </w:tc>
      </w:tr>
      <w:tr w:rsidR="00F92819">
        <w:tc>
          <w:tcPr>
            <w:tcW w:w="2400" w:type="dxa"/>
          </w:tcPr>
          <w:p w:rsidR="00F92819" w:rsidRDefault="00F92819">
            <w:pPr>
              <w:keepNext/>
              <w:keepLines/>
              <w:spacing w:before="40" w:after="40" w:line="220" w:lineRule="exact"/>
              <w:rPr>
                <w:szCs w:val="24"/>
              </w:rPr>
            </w:pPr>
            <w:r>
              <w:rPr>
                <w:sz w:val="18"/>
                <w:szCs w:val="24"/>
                <w:lang w:val="es-ES_tradnl"/>
              </w:rPr>
              <w:t>Consumo corriente de electricidad</w:t>
            </w:r>
          </w:p>
        </w:tc>
        <w:tc>
          <w:tcPr>
            <w:tcW w:w="658" w:type="dxa"/>
          </w:tcPr>
          <w:p w:rsidR="00F92819" w:rsidRDefault="00F92819">
            <w:pPr>
              <w:keepNext/>
              <w:keepLines/>
              <w:spacing w:before="40" w:after="40" w:line="220" w:lineRule="exact"/>
              <w:jc w:val="right"/>
              <w:rPr>
                <w:sz w:val="18"/>
                <w:szCs w:val="24"/>
              </w:rPr>
            </w:pPr>
            <w:r>
              <w:rPr>
                <w:sz w:val="18"/>
                <w:szCs w:val="24"/>
              </w:rPr>
              <w:t>370</w:t>
            </w:r>
          </w:p>
        </w:tc>
        <w:tc>
          <w:tcPr>
            <w:tcW w:w="658" w:type="dxa"/>
          </w:tcPr>
          <w:p w:rsidR="00F92819" w:rsidRDefault="00F92819">
            <w:pPr>
              <w:keepNext/>
              <w:keepLines/>
              <w:spacing w:before="40" w:after="40" w:line="220" w:lineRule="exact"/>
              <w:jc w:val="right"/>
              <w:rPr>
                <w:sz w:val="18"/>
                <w:szCs w:val="24"/>
              </w:rPr>
            </w:pPr>
            <w:r>
              <w:rPr>
                <w:sz w:val="18"/>
                <w:szCs w:val="24"/>
              </w:rPr>
              <w:t>269</w:t>
            </w:r>
          </w:p>
        </w:tc>
        <w:tc>
          <w:tcPr>
            <w:tcW w:w="658" w:type="dxa"/>
          </w:tcPr>
          <w:p w:rsidR="00F92819" w:rsidRDefault="00F92819">
            <w:pPr>
              <w:keepNext/>
              <w:keepLines/>
              <w:spacing w:before="40" w:after="40" w:line="220" w:lineRule="exact"/>
              <w:jc w:val="right"/>
              <w:rPr>
                <w:sz w:val="18"/>
                <w:szCs w:val="24"/>
              </w:rPr>
            </w:pPr>
            <w:r>
              <w:rPr>
                <w:sz w:val="18"/>
                <w:szCs w:val="24"/>
              </w:rPr>
              <w:t>287</w:t>
            </w:r>
          </w:p>
        </w:tc>
        <w:tc>
          <w:tcPr>
            <w:tcW w:w="658" w:type="dxa"/>
          </w:tcPr>
          <w:p w:rsidR="00F92819" w:rsidRDefault="00F92819">
            <w:pPr>
              <w:keepNext/>
              <w:keepLines/>
              <w:spacing w:before="40" w:after="40" w:line="220" w:lineRule="exact"/>
              <w:jc w:val="right"/>
              <w:rPr>
                <w:sz w:val="18"/>
                <w:szCs w:val="24"/>
              </w:rPr>
            </w:pPr>
            <w:r>
              <w:rPr>
                <w:sz w:val="18"/>
                <w:szCs w:val="24"/>
              </w:rPr>
              <w:t>235</w:t>
            </w:r>
          </w:p>
        </w:tc>
        <w:tc>
          <w:tcPr>
            <w:tcW w:w="658" w:type="dxa"/>
          </w:tcPr>
          <w:p w:rsidR="00F92819" w:rsidRDefault="00F92819">
            <w:pPr>
              <w:keepNext/>
              <w:keepLines/>
              <w:spacing w:before="40" w:after="40" w:line="220" w:lineRule="exact"/>
              <w:jc w:val="right"/>
              <w:rPr>
                <w:sz w:val="18"/>
                <w:szCs w:val="24"/>
              </w:rPr>
            </w:pPr>
            <w:r>
              <w:rPr>
                <w:sz w:val="18"/>
                <w:szCs w:val="24"/>
              </w:rPr>
              <w:t>247</w:t>
            </w:r>
          </w:p>
        </w:tc>
        <w:tc>
          <w:tcPr>
            <w:tcW w:w="658" w:type="dxa"/>
          </w:tcPr>
          <w:p w:rsidR="00F92819" w:rsidRDefault="00F92819">
            <w:pPr>
              <w:keepNext/>
              <w:keepLines/>
              <w:spacing w:before="40" w:after="40" w:line="220" w:lineRule="exact"/>
              <w:jc w:val="right"/>
              <w:rPr>
                <w:sz w:val="18"/>
                <w:szCs w:val="24"/>
              </w:rPr>
            </w:pPr>
            <w:r>
              <w:rPr>
                <w:sz w:val="18"/>
                <w:szCs w:val="24"/>
              </w:rPr>
              <w:t>239</w:t>
            </w:r>
          </w:p>
        </w:tc>
        <w:tc>
          <w:tcPr>
            <w:tcW w:w="658" w:type="dxa"/>
          </w:tcPr>
          <w:p w:rsidR="00F92819" w:rsidRDefault="00F92819">
            <w:pPr>
              <w:keepNext/>
              <w:keepLines/>
              <w:spacing w:before="40" w:after="40" w:line="220" w:lineRule="exact"/>
              <w:jc w:val="right"/>
              <w:rPr>
                <w:sz w:val="18"/>
                <w:szCs w:val="24"/>
              </w:rPr>
            </w:pPr>
            <w:r>
              <w:rPr>
                <w:sz w:val="18"/>
                <w:szCs w:val="24"/>
              </w:rPr>
              <w:t>217</w:t>
            </w:r>
          </w:p>
        </w:tc>
        <w:tc>
          <w:tcPr>
            <w:tcW w:w="658" w:type="dxa"/>
          </w:tcPr>
          <w:p w:rsidR="00F92819" w:rsidRDefault="00F92819">
            <w:pPr>
              <w:keepNext/>
              <w:keepLines/>
              <w:spacing w:before="40" w:after="40" w:line="220" w:lineRule="exact"/>
              <w:jc w:val="right"/>
              <w:rPr>
                <w:sz w:val="18"/>
                <w:szCs w:val="24"/>
              </w:rPr>
            </w:pPr>
            <w:r>
              <w:rPr>
                <w:sz w:val="18"/>
                <w:szCs w:val="24"/>
              </w:rPr>
              <w:t>196</w:t>
            </w:r>
          </w:p>
        </w:tc>
        <w:tc>
          <w:tcPr>
            <w:tcW w:w="658" w:type="dxa"/>
          </w:tcPr>
          <w:p w:rsidR="00F92819" w:rsidRDefault="00F92819">
            <w:pPr>
              <w:keepNext/>
              <w:keepLines/>
              <w:spacing w:before="40" w:after="40" w:line="220" w:lineRule="exact"/>
              <w:jc w:val="right"/>
              <w:rPr>
                <w:sz w:val="18"/>
                <w:szCs w:val="24"/>
              </w:rPr>
            </w:pPr>
            <w:r>
              <w:rPr>
                <w:sz w:val="18"/>
                <w:szCs w:val="24"/>
              </w:rPr>
              <w:t>188</w:t>
            </w:r>
          </w:p>
        </w:tc>
        <w:tc>
          <w:tcPr>
            <w:tcW w:w="658" w:type="dxa"/>
          </w:tcPr>
          <w:p w:rsidR="00F92819" w:rsidRDefault="00F92819">
            <w:pPr>
              <w:keepNext/>
              <w:keepLines/>
              <w:spacing w:before="40" w:after="40" w:line="220" w:lineRule="exact"/>
              <w:jc w:val="right"/>
              <w:rPr>
                <w:sz w:val="18"/>
                <w:szCs w:val="24"/>
              </w:rPr>
            </w:pPr>
            <w:r>
              <w:rPr>
                <w:sz w:val="18"/>
                <w:szCs w:val="24"/>
              </w:rPr>
              <w:t>169</w:t>
            </w:r>
          </w:p>
        </w:tc>
        <w:tc>
          <w:tcPr>
            <w:tcW w:w="659" w:type="dxa"/>
            <w:gridSpan w:val="2"/>
          </w:tcPr>
          <w:p w:rsidR="00F92819" w:rsidRDefault="00F92819">
            <w:pPr>
              <w:keepNext/>
              <w:keepLines/>
              <w:spacing w:before="40" w:after="40" w:line="220" w:lineRule="exact"/>
              <w:jc w:val="right"/>
              <w:rPr>
                <w:b/>
                <w:sz w:val="18"/>
                <w:szCs w:val="24"/>
              </w:rPr>
            </w:pPr>
            <w:r>
              <w:rPr>
                <w:b/>
                <w:sz w:val="18"/>
                <w:szCs w:val="24"/>
              </w:rPr>
              <w:t>221</w:t>
            </w:r>
          </w:p>
        </w:tc>
      </w:tr>
      <w:tr w:rsidR="00F92819">
        <w:tc>
          <w:tcPr>
            <w:tcW w:w="2400" w:type="dxa"/>
          </w:tcPr>
          <w:p w:rsidR="00F92819" w:rsidRDefault="00F92819">
            <w:pPr>
              <w:spacing w:before="40" w:after="40" w:line="220" w:lineRule="exact"/>
              <w:rPr>
                <w:szCs w:val="24"/>
              </w:rPr>
            </w:pPr>
            <w:r>
              <w:rPr>
                <w:sz w:val="18"/>
                <w:szCs w:val="24"/>
                <w:lang w:val="es-ES_tradnl"/>
              </w:rPr>
              <w:t>Gas en bombonas</w:t>
            </w:r>
          </w:p>
        </w:tc>
        <w:tc>
          <w:tcPr>
            <w:tcW w:w="658" w:type="dxa"/>
          </w:tcPr>
          <w:p w:rsidR="00F92819" w:rsidRDefault="00F92819">
            <w:pPr>
              <w:spacing w:before="40" w:after="40" w:line="220" w:lineRule="exact"/>
              <w:jc w:val="right"/>
              <w:rPr>
                <w:sz w:val="18"/>
                <w:szCs w:val="24"/>
              </w:rPr>
            </w:pPr>
            <w:r>
              <w:rPr>
                <w:sz w:val="18"/>
                <w:szCs w:val="24"/>
              </w:rPr>
              <w:t>11</w:t>
            </w:r>
          </w:p>
        </w:tc>
        <w:tc>
          <w:tcPr>
            <w:tcW w:w="658" w:type="dxa"/>
          </w:tcPr>
          <w:p w:rsidR="00F92819" w:rsidRDefault="00F92819">
            <w:pPr>
              <w:spacing w:before="40" w:after="40" w:line="220" w:lineRule="exact"/>
              <w:jc w:val="right"/>
              <w:rPr>
                <w:sz w:val="18"/>
                <w:szCs w:val="24"/>
              </w:rPr>
            </w:pPr>
            <w:r>
              <w:rPr>
                <w:sz w:val="18"/>
                <w:szCs w:val="24"/>
              </w:rPr>
              <w:t>12</w:t>
            </w:r>
          </w:p>
        </w:tc>
        <w:tc>
          <w:tcPr>
            <w:tcW w:w="658" w:type="dxa"/>
          </w:tcPr>
          <w:p w:rsidR="00F92819" w:rsidRDefault="00F92819">
            <w:pPr>
              <w:spacing w:before="40" w:after="40" w:line="220" w:lineRule="exact"/>
              <w:jc w:val="right"/>
              <w:rPr>
                <w:sz w:val="18"/>
                <w:szCs w:val="24"/>
              </w:rPr>
            </w:pPr>
            <w:r>
              <w:rPr>
                <w:sz w:val="18"/>
                <w:szCs w:val="24"/>
              </w:rPr>
              <w:t>15</w:t>
            </w:r>
          </w:p>
        </w:tc>
        <w:tc>
          <w:tcPr>
            <w:tcW w:w="658" w:type="dxa"/>
          </w:tcPr>
          <w:p w:rsidR="00F92819" w:rsidRDefault="00F92819">
            <w:pPr>
              <w:spacing w:before="40" w:after="40" w:line="220" w:lineRule="exact"/>
              <w:jc w:val="right"/>
              <w:rPr>
                <w:sz w:val="18"/>
                <w:szCs w:val="24"/>
              </w:rPr>
            </w:pPr>
            <w:r>
              <w:rPr>
                <w:sz w:val="18"/>
                <w:szCs w:val="24"/>
              </w:rPr>
              <w:t>12</w:t>
            </w:r>
          </w:p>
        </w:tc>
        <w:tc>
          <w:tcPr>
            <w:tcW w:w="658" w:type="dxa"/>
          </w:tcPr>
          <w:p w:rsidR="00F92819" w:rsidRDefault="00F92819">
            <w:pPr>
              <w:spacing w:before="40" w:after="40" w:line="220" w:lineRule="exact"/>
              <w:jc w:val="right"/>
              <w:rPr>
                <w:sz w:val="18"/>
                <w:szCs w:val="24"/>
              </w:rPr>
            </w:pPr>
            <w:r>
              <w:rPr>
                <w:sz w:val="18"/>
                <w:szCs w:val="24"/>
              </w:rPr>
              <w:t>21</w:t>
            </w:r>
          </w:p>
        </w:tc>
        <w:tc>
          <w:tcPr>
            <w:tcW w:w="658" w:type="dxa"/>
          </w:tcPr>
          <w:p w:rsidR="00F92819" w:rsidRDefault="00F92819">
            <w:pPr>
              <w:spacing w:before="40" w:after="40" w:line="220" w:lineRule="exact"/>
              <w:jc w:val="right"/>
              <w:rPr>
                <w:sz w:val="18"/>
                <w:szCs w:val="24"/>
              </w:rPr>
            </w:pPr>
            <w:r>
              <w:rPr>
                <w:sz w:val="18"/>
                <w:szCs w:val="24"/>
              </w:rPr>
              <w:t>22</w:t>
            </w:r>
          </w:p>
        </w:tc>
        <w:tc>
          <w:tcPr>
            <w:tcW w:w="658" w:type="dxa"/>
          </w:tcPr>
          <w:p w:rsidR="00F92819" w:rsidRDefault="00F92819">
            <w:pPr>
              <w:spacing w:before="40" w:after="40" w:line="220" w:lineRule="exact"/>
              <w:jc w:val="right"/>
              <w:rPr>
                <w:sz w:val="18"/>
                <w:szCs w:val="24"/>
              </w:rPr>
            </w:pPr>
            <w:r>
              <w:rPr>
                <w:sz w:val="18"/>
                <w:szCs w:val="24"/>
              </w:rPr>
              <w:t>19</w:t>
            </w:r>
          </w:p>
        </w:tc>
        <w:tc>
          <w:tcPr>
            <w:tcW w:w="658" w:type="dxa"/>
          </w:tcPr>
          <w:p w:rsidR="00F92819" w:rsidRDefault="00F92819">
            <w:pPr>
              <w:spacing w:before="40" w:after="40" w:line="220" w:lineRule="exact"/>
              <w:jc w:val="right"/>
              <w:rPr>
                <w:sz w:val="18"/>
                <w:szCs w:val="24"/>
              </w:rPr>
            </w:pPr>
            <w:r>
              <w:rPr>
                <w:sz w:val="18"/>
                <w:szCs w:val="24"/>
              </w:rPr>
              <w:t>22</w:t>
            </w:r>
          </w:p>
        </w:tc>
        <w:tc>
          <w:tcPr>
            <w:tcW w:w="658" w:type="dxa"/>
          </w:tcPr>
          <w:p w:rsidR="00F92819" w:rsidRDefault="00F92819">
            <w:pPr>
              <w:spacing w:before="40" w:after="40" w:line="220" w:lineRule="exact"/>
              <w:jc w:val="right"/>
              <w:rPr>
                <w:sz w:val="18"/>
                <w:szCs w:val="24"/>
              </w:rPr>
            </w:pPr>
            <w:r>
              <w:rPr>
                <w:sz w:val="18"/>
                <w:szCs w:val="24"/>
              </w:rPr>
              <w:t>27</w:t>
            </w:r>
          </w:p>
        </w:tc>
        <w:tc>
          <w:tcPr>
            <w:tcW w:w="658" w:type="dxa"/>
          </w:tcPr>
          <w:p w:rsidR="00F92819" w:rsidRDefault="00F92819">
            <w:pPr>
              <w:spacing w:before="40" w:after="40" w:line="220" w:lineRule="exact"/>
              <w:jc w:val="right"/>
              <w:rPr>
                <w:sz w:val="18"/>
                <w:szCs w:val="24"/>
              </w:rPr>
            </w:pPr>
            <w:r>
              <w:rPr>
                <w:sz w:val="18"/>
                <w:szCs w:val="24"/>
              </w:rPr>
              <w:t>32</w:t>
            </w:r>
          </w:p>
        </w:tc>
        <w:tc>
          <w:tcPr>
            <w:tcW w:w="659" w:type="dxa"/>
            <w:gridSpan w:val="2"/>
          </w:tcPr>
          <w:p w:rsidR="00F92819" w:rsidRDefault="00F92819">
            <w:pPr>
              <w:spacing w:before="40" w:after="40" w:line="220" w:lineRule="exact"/>
              <w:jc w:val="right"/>
              <w:rPr>
                <w:b/>
                <w:sz w:val="18"/>
                <w:szCs w:val="24"/>
              </w:rPr>
            </w:pPr>
            <w:r>
              <w:rPr>
                <w:b/>
                <w:sz w:val="18"/>
                <w:szCs w:val="24"/>
              </w:rPr>
              <w:t>22</w:t>
            </w:r>
          </w:p>
        </w:tc>
      </w:tr>
      <w:tr w:rsidR="00F92819">
        <w:tc>
          <w:tcPr>
            <w:tcW w:w="2400" w:type="dxa"/>
          </w:tcPr>
          <w:p w:rsidR="00F92819" w:rsidRDefault="00F92819">
            <w:pPr>
              <w:spacing w:before="40" w:after="40" w:line="220" w:lineRule="exact"/>
              <w:rPr>
                <w:szCs w:val="24"/>
              </w:rPr>
            </w:pPr>
            <w:r>
              <w:rPr>
                <w:sz w:val="18"/>
                <w:szCs w:val="24"/>
                <w:lang w:val="es-ES_tradnl"/>
              </w:rPr>
              <w:t>Gas con instalación central</w:t>
            </w:r>
          </w:p>
        </w:tc>
        <w:tc>
          <w:tcPr>
            <w:tcW w:w="658" w:type="dxa"/>
          </w:tcPr>
          <w:p w:rsidR="00F92819" w:rsidRDefault="00F92819">
            <w:pPr>
              <w:spacing w:before="40" w:after="40" w:line="220" w:lineRule="exact"/>
              <w:jc w:val="right"/>
              <w:rPr>
                <w:sz w:val="18"/>
                <w:szCs w:val="24"/>
              </w:rPr>
            </w:pPr>
            <w:r>
              <w:rPr>
                <w:sz w:val="18"/>
                <w:szCs w:val="24"/>
              </w:rPr>
              <w:t>23</w:t>
            </w:r>
          </w:p>
        </w:tc>
        <w:tc>
          <w:tcPr>
            <w:tcW w:w="658" w:type="dxa"/>
          </w:tcPr>
          <w:p w:rsidR="00F92819" w:rsidRDefault="00F92819">
            <w:pPr>
              <w:spacing w:before="40" w:after="40" w:line="220" w:lineRule="exact"/>
              <w:jc w:val="right"/>
              <w:rPr>
                <w:sz w:val="18"/>
                <w:szCs w:val="24"/>
              </w:rPr>
            </w:pPr>
            <w:r>
              <w:rPr>
                <w:sz w:val="18"/>
                <w:szCs w:val="24"/>
              </w:rPr>
              <w:t>25</w:t>
            </w:r>
          </w:p>
        </w:tc>
        <w:tc>
          <w:tcPr>
            <w:tcW w:w="658" w:type="dxa"/>
          </w:tcPr>
          <w:p w:rsidR="00F92819" w:rsidRDefault="00F92819">
            <w:pPr>
              <w:spacing w:before="40" w:after="40" w:line="220" w:lineRule="exact"/>
              <w:jc w:val="right"/>
              <w:rPr>
                <w:sz w:val="18"/>
                <w:szCs w:val="24"/>
              </w:rPr>
            </w:pPr>
            <w:r>
              <w:rPr>
                <w:sz w:val="18"/>
                <w:szCs w:val="24"/>
              </w:rPr>
              <w:t>19</w:t>
            </w:r>
          </w:p>
        </w:tc>
        <w:tc>
          <w:tcPr>
            <w:tcW w:w="658" w:type="dxa"/>
          </w:tcPr>
          <w:p w:rsidR="00F92819" w:rsidRDefault="00F92819">
            <w:pPr>
              <w:spacing w:before="40" w:after="40" w:line="220" w:lineRule="exact"/>
              <w:jc w:val="right"/>
              <w:rPr>
                <w:sz w:val="18"/>
                <w:szCs w:val="24"/>
              </w:rPr>
            </w:pPr>
            <w:r>
              <w:rPr>
                <w:sz w:val="18"/>
                <w:szCs w:val="24"/>
              </w:rPr>
              <w:t>32</w:t>
            </w:r>
          </w:p>
        </w:tc>
        <w:tc>
          <w:tcPr>
            <w:tcW w:w="658" w:type="dxa"/>
          </w:tcPr>
          <w:p w:rsidR="00F92819" w:rsidRDefault="00F92819">
            <w:pPr>
              <w:spacing w:before="40" w:after="40" w:line="220" w:lineRule="exact"/>
              <w:jc w:val="right"/>
              <w:rPr>
                <w:sz w:val="18"/>
                <w:szCs w:val="24"/>
              </w:rPr>
            </w:pPr>
            <w:r>
              <w:rPr>
                <w:sz w:val="18"/>
                <w:szCs w:val="24"/>
              </w:rPr>
              <w:t>24</w:t>
            </w:r>
          </w:p>
        </w:tc>
        <w:tc>
          <w:tcPr>
            <w:tcW w:w="658" w:type="dxa"/>
          </w:tcPr>
          <w:p w:rsidR="00F92819" w:rsidRDefault="00F92819">
            <w:pPr>
              <w:spacing w:before="40" w:after="40" w:line="220" w:lineRule="exact"/>
              <w:jc w:val="right"/>
              <w:rPr>
                <w:sz w:val="18"/>
                <w:szCs w:val="24"/>
              </w:rPr>
            </w:pPr>
            <w:r>
              <w:rPr>
                <w:sz w:val="18"/>
                <w:szCs w:val="24"/>
              </w:rPr>
              <w:t>27</w:t>
            </w:r>
          </w:p>
        </w:tc>
        <w:tc>
          <w:tcPr>
            <w:tcW w:w="658" w:type="dxa"/>
          </w:tcPr>
          <w:p w:rsidR="00F92819" w:rsidRDefault="00F92819">
            <w:pPr>
              <w:spacing w:before="40" w:after="40" w:line="220" w:lineRule="exact"/>
              <w:jc w:val="right"/>
              <w:rPr>
                <w:sz w:val="18"/>
                <w:szCs w:val="24"/>
              </w:rPr>
            </w:pPr>
            <w:r>
              <w:rPr>
                <w:sz w:val="18"/>
                <w:szCs w:val="24"/>
              </w:rPr>
              <w:t>23</w:t>
            </w:r>
          </w:p>
        </w:tc>
        <w:tc>
          <w:tcPr>
            <w:tcW w:w="658" w:type="dxa"/>
          </w:tcPr>
          <w:p w:rsidR="00F92819" w:rsidRDefault="00F92819">
            <w:pPr>
              <w:spacing w:before="40" w:after="40" w:line="220" w:lineRule="exact"/>
              <w:jc w:val="right"/>
              <w:rPr>
                <w:sz w:val="18"/>
                <w:szCs w:val="24"/>
              </w:rPr>
            </w:pPr>
            <w:r>
              <w:rPr>
                <w:sz w:val="18"/>
                <w:szCs w:val="24"/>
              </w:rPr>
              <w:t>30</w:t>
            </w:r>
          </w:p>
        </w:tc>
        <w:tc>
          <w:tcPr>
            <w:tcW w:w="658" w:type="dxa"/>
          </w:tcPr>
          <w:p w:rsidR="00F92819" w:rsidRDefault="00F92819">
            <w:pPr>
              <w:spacing w:before="40" w:after="40" w:line="220" w:lineRule="exact"/>
              <w:jc w:val="right"/>
              <w:rPr>
                <w:sz w:val="18"/>
                <w:szCs w:val="24"/>
              </w:rPr>
            </w:pPr>
            <w:r>
              <w:rPr>
                <w:sz w:val="18"/>
                <w:szCs w:val="24"/>
              </w:rPr>
              <w:t>30</w:t>
            </w:r>
          </w:p>
        </w:tc>
        <w:tc>
          <w:tcPr>
            <w:tcW w:w="658" w:type="dxa"/>
          </w:tcPr>
          <w:p w:rsidR="00F92819" w:rsidRDefault="00F92819">
            <w:pPr>
              <w:spacing w:before="40" w:after="40" w:line="220" w:lineRule="exact"/>
              <w:jc w:val="right"/>
              <w:rPr>
                <w:sz w:val="18"/>
                <w:szCs w:val="24"/>
              </w:rPr>
            </w:pPr>
            <w:r>
              <w:rPr>
                <w:sz w:val="18"/>
                <w:szCs w:val="24"/>
              </w:rPr>
              <w:t>29</w:t>
            </w:r>
          </w:p>
        </w:tc>
        <w:tc>
          <w:tcPr>
            <w:tcW w:w="659" w:type="dxa"/>
            <w:gridSpan w:val="2"/>
          </w:tcPr>
          <w:p w:rsidR="00F92819" w:rsidRDefault="00F92819">
            <w:pPr>
              <w:spacing w:before="40" w:after="40" w:line="220" w:lineRule="exact"/>
              <w:jc w:val="right"/>
              <w:rPr>
                <w:b/>
                <w:sz w:val="18"/>
                <w:szCs w:val="24"/>
              </w:rPr>
            </w:pPr>
            <w:r>
              <w:rPr>
                <w:b/>
                <w:sz w:val="18"/>
                <w:szCs w:val="24"/>
              </w:rPr>
              <w:t>27</w:t>
            </w:r>
          </w:p>
        </w:tc>
      </w:tr>
      <w:tr w:rsidR="00F92819">
        <w:tc>
          <w:tcPr>
            <w:tcW w:w="2400" w:type="dxa"/>
          </w:tcPr>
          <w:p w:rsidR="00F92819" w:rsidRDefault="00F92819">
            <w:pPr>
              <w:spacing w:before="40" w:after="40" w:line="220" w:lineRule="exact"/>
              <w:rPr>
                <w:szCs w:val="24"/>
              </w:rPr>
            </w:pPr>
            <w:r>
              <w:rPr>
                <w:sz w:val="18"/>
                <w:szCs w:val="24"/>
                <w:lang w:val="es-ES_tradnl"/>
              </w:rPr>
              <w:t>Tarifas de las comisiones de inquilinos</w:t>
            </w:r>
          </w:p>
        </w:tc>
        <w:tc>
          <w:tcPr>
            <w:tcW w:w="658" w:type="dxa"/>
          </w:tcPr>
          <w:p w:rsidR="00F92819" w:rsidRDefault="00F92819">
            <w:pPr>
              <w:spacing w:before="40" w:after="40" w:line="220" w:lineRule="exact"/>
              <w:jc w:val="right"/>
              <w:rPr>
                <w:sz w:val="18"/>
                <w:szCs w:val="24"/>
              </w:rPr>
            </w:pPr>
            <w:r>
              <w:rPr>
                <w:sz w:val="18"/>
                <w:szCs w:val="24"/>
              </w:rPr>
              <w:t>80</w:t>
            </w:r>
          </w:p>
        </w:tc>
        <w:tc>
          <w:tcPr>
            <w:tcW w:w="658" w:type="dxa"/>
          </w:tcPr>
          <w:p w:rsidR="00F92819" w:rsidRDefault="00F92819">
            <w:pPr>
              <w:spacing w:before="40" w:after="40" w:line="220" w:lineRule="exact"/>
              <w:jc w:val="right"/>
              <w:rPr>
                <w:sz w:val="18"/>
                <w:szCs w:val="24"/>
              </w:rPr>
            </w:pPr>
            <w:r>
              <w:rPr>
                <w:sz w:val="18"/>
                <w:szCs w:val="24"/>
              </w:rPr>
              <w:t>91</w:t>
            </w:r>
          </w:p>
        </w:tc>
        <w:tc>
          <w:tcPr>
            <w:tcW w:w="658" w:type="dxa"/>
          </w:tcPr>
          <w:p w:rsidR="00F92819" w:rsidRDefault="00F92819">
            <w:pPr>
              <w:spacing w:before="40" w:after="40" w:line="220" w:lineRule="exact"/>
              <w:jc w:val="right"/>
              <w:rPr>
                <w:sz w:val="18"/>
                <w:szCs w:val="24"/>
              </w:rPr>
            </w:pPr>
            <w:r>
              <w:rPr>
                <w:sz w:val="18"/>
                <w:szCs w:val="24"/>
              </w:rPr>
              <w:t>86</w:t>
            </w:r>
          </w:p>
        </w:tc>
        <w:tc>
          <w:tcPr>
            <w:tcW w:w="658" w:type="dxa"/>
          </w:tcPr>
          <w:p w:rsidR="00F92819" w:rsidRDefault="00F92819">
            <w:pPr>
              <w:spacing w:before="40" w:after="40" w:line="220" w:lineRule="exact"/>
              <w:jc w:val="right"/>
              <w:rPr>
                <w:sz w:val="18"/>
                <w:szCs w:val="24"/>
              </w:rPr>
            </w:pPr>
            <w:r>
              <w:rPr>
                <w:sz w:val="18"/>
                <w:szCs w:val="24"/>
              </w:rPr>
              <w:t>82</w:t>
            </w:r>
          </w:p>
        </w:tc>
        <w:tc>
          <w:tcPr>
            <w:tcW w:w="658" w:type="dxa"/>
          </w:tcPr>
          <w:p w:rsidR="00F92819" w:rsidRDefault="00F92819">
            <w:pPr>
              <w:spacing w:before="40" w:after="40" w:line="220" w:lineRule="exact"/>
              <w:jc w:val="right"/>
              <w:rPr>
                <w:sz w:val="18"/>
                <w:szCs w:val="24"/>
              </w:rPr>
            </w:pPr>
            <w:r>
              <w:rPr>
                <w:sz w:val="18"/>
                <w:szCs w:val="24"/>
              </w:rPr>
              <w:t>62</w:t>
            </w:r>
          </w:p>
        </w:tc>
        <w:tc>
          <w:tcPr>
            <w:tcW w:w="658" w:type="dxa"/>
          </w:tcPr>
          <w:p w:rsidR="00F92819" w:rsidRDefault="00F92819">
            <w:pPr>
              <w:spacing w:before="40" w:after="40" w:line="220" w:lineRule="exact"/>
              <w:jc w:val="right"/>
              <w:rPr>
                <w:sz w:val="18"/>
                <w:szCs w:val="24"/>
              </w:rPr>
            </w:pPr>
            <w:r>
              <w:rPr>
                <w:sz w:val="18"/>
                <w:szCs w:val="24"/>
              </w:rPr>
              <w:t>86</w:t>
            </w:r>
          </w:p>
        </w:tc>
        <w:tc>
          <w:tcPr>
            <w:tcW w:w="658" w:type="dxa"/>
          </w:tcPr>
          <w:p w:rsidR="00F92819" w:rsidRDefault="00F92819">
            <w:pPr>
              <w:spacing w:before="40" w:after="40" w:line="220" w:lineRule="exact"/>
              <w:jc w:val="right"/>
              <w:rPr>
                <w:sz w:val="18"/>
                <w:szCs w:val="24"/>
              </w:rPr>
            </w:pPr>
            <w:r>
              <w:rPr>
                <w:sz w:val="18"/>
                <w:szCs w:val="24"/>
              </w:rPr>
              <w:t>51</w:t>
            </w:r>
          </w:p>
        </w:tc>
        <w:tc>
          <w:tcPr>
            <w:tcW w:w="658" w:type="dxa"/>
          </w:tcPr>
          <w:p w:rsidR="00F92819" w:rsidRDefault="00F92819">
            <w:pPr>
              <w:spacing w:before="40" w:after="40" w:line="220" w:lineRule="exact"/>
              <w:jc w:val="right"/>
              <w:rPr>
                <w:sz w:val="18"/>
                <w:szCs w:val="24"/>
              </w:rPr>
            </w:pPr>
            <w:r>
              <w:rPr>
                <w:sz w:val="18"/>
                <w:szCs w:val="24"/>
              </w:rPr>
              <w:t>45</w:t>
            </w:r>
          </w:p>
        </w:tc>
        <w:tc>
          <w:tcPr>
            <w:tcW w:w="658" w:type="dxa"/>
          </w:tcPr>
          <w:p w:rsidR="00F92819" w:rsidRDefault="00F92819">
            <w:pPr>
              <w:spacing w:before="40" w:after="40" w:line="220" w:lineRule="exact"/>
              <w:jc w:val="right"/>
              <w:rPr>
                <w:sz w:val="18"/>
                <w:szCs w:val="24"/>
              </w:rPr>
            </w:pPr>
            <w:r>
              <w:rPr>
                <w:sz w:val="18"/>
                <w:szCs w:val="24"/>
              </w:rPr>
              <w:t>33</w:t>
            </w:r>
          </w:p>
        </w:tc>
        <w:tc>
          <w:tcPr>
            <w:tcW w:w="658" w:type="dxa"/>
          </w:tcPr>
          <w:p w:rsidR="00F92819" w:rsidRDefault="00F92819">
            <w:pPr>
              <w:spacing w:before="40" w:after="40" w:line="220" w:lineRule="exact"/>
              <w:jc w:val="right"/>
              <w:rPr>
                <w:sz w:val="18"/>
                <w:szCs w:val="24"/>
              </w:rPr>
            </w:pPr>
            <w:r>
              <w:rPr>
                <w:sz w:val="18"/>
                <w:szCs w:val="24"/>
              </w:rPr>
              <w:t>17</w:t>
            </w:r>
          </w:p>
        </w:tc>
        <w:tc>
          <w:tcPr>
            <w:tcW w:w="659" w:type="dxa"/>
            <w:gridSpan w:val="2"/>
          </w:tcPr>
          <w:p w:rsidR="00F92819" w:rsidRDefault="00F92819">
            <w:pPr>
              <w:spacing w:before="40" w:after="40" w:line="220" w:lineRule="exact"/>
              <w:jc w:val="right"/>
              <w:rPr>
                <w:b/>
                <w:sz w:val="18"/>
                <w:szCs w:val="24"/>
              </w:rPr>
            </w:pPr>
            <w:r>
              <w:rPr>
                <w:b/>
                <w:sz w:val="18"/>
                <w:szCs w:val="24"/>
              </w:rPr>
              <w:t>52</w:t>
            </w:r>
          </w:p>
        </w:tc>
      </w:tr>
      <w:tr w:rsidR="00F92819">
        <w:tc>
          <w:tcPr>
            <w:tcW w:w="2400" w:type="dxa"/>
            <w:tcBorders>
              <w:bottom w:val="single" w:sz="12" w:space="0" w:color="auto"/>
            </w:tcBorders>
            <w:vAlign w:val="bottom"/>
          </w:tcPr>
          <w:p w:rsidR="00F92819" w:rsidRDefault="00F92819">
            <w:pPr>
              <w:spacing w:before="40" w:after="40" w:line="220" w:lineRule="exact"/>
              <w:rPr>
                <w:szCs w:val="24"/>
              </w:rPr>
            </w:pPr>
            <w:r>
              <w:rPr>
                <w:sz w:val="18"/>
                <w:szCs w:val="24"/>
                <w:lang w:val="es-ES_tradnl"/>
              </w:rPr>
              <w:t>Tributos municipales</w:t>
            </w:r>
          </w:p>
        </w:tc>
        <w:tc>
          <w:tcPr>
            <w:tcW w:w="658" w:type="dxa"/>
            <w:tcBorders>
              <w:bottom w:val="single" w:sz="12" w:space="0" w:color="auto"/>
            </w:tcBorders>
          </w:tcPr>
          <w:p w:rsidR="00F92819" w:rsidRDefault="00F92819">
            <w:pPr>
              <w:spacing w:before="40" w:after="40" w:line="220" w:lineRule="exact"/>
              <w:jc w:val="right"/>
              <w:rPr>
                <w:sz w:val="18"/>
                <w:szCs w:val="24"/>
              </w:rPr>
            </w:pPr>
            <w:r>
              <w:rPr>
                <w:sz w:val="18"/>
                <w:szCs w:val="24"/>
              </w:rPr>
              <w:t>354</w:t>
            </w:r>
          </w:p>
        </w:tc>
        <w:tc>
          <w:tcPr>
            <w:tcW w:w="658" w:type="dxa"/>
            <w:tcBorders>
              <w:bottom w:val="single" w:sz="12" w:space="0" w:color="auto"/>
            </w:tcBorders>
          </w:tcPr>
          <w:p w:rsidR="00F92819" w:rsidRDefault="00F92819">
            <w:pPr>
              <w:spacing w:before="40" w:after="40" w:line="220" w:lineRule="exact"/>
              <w:jc w:val="right"/>
              <w:rPr>
                <w:sz w:val="18"/>
                <w:szCs w:val="24"/>
              </w:rPr>
            </w:pPr>
            <w:r>
              <w:rPr>
                <w:sz w:val="18"/>
                <w:szCs w:val="24"/>
              </w:rPr>
              <w:t>288</w:t>
            </w:r>
          </w:p>
        </w:tc>
        <w:tc>
          <w:tcPr>
            <w:tcW w:w="658" w:type="dxa"/>
            <w:tcBorders>
              <w:bottom w:val="single" w:sz="12" w:space="0" w:color="auto"/>
            </w:tcBorders>
          </w:tcPr>
          <w:p w:rsidR="00F92819" w:rsidRDefault="00F92819">
            <w:pPr>
              <w:spacing w:before="40" w:after="40" w:line="220" w:lineRule="exact"/>
              <w:jc w:val="right"/>
              <w:rPr>
                <w:sz w:val="18"/>
                <w:szCs w:val="24"/>
              </w:rPr>
            </w:pPr>
            <w:r>
              <w:rPr>
                <w:sz w:val="18"/>
                <w:szCs w:val="24"/>
              </w:rPr>
              <w:t>286</w:t>
            </w:r>
          </w:p>
        </w:tc>
        <w:tc>
          <w:tcPr>
            <w:tcW w:w="658" w:type="dxa"/>
            <w:tcBorders>
              <w:bottom w:val="single" w:sz="12" w:space="0" w:color="auto"/>
            </w:tcBorders>
          </w:tcPr>
          <w:p w:rsidR="00F92819" w:rsidRDefault="00F92819">
            <w:pPr>
              <w:spacing w:before="40" w:after="40" w:line="220" w:lineRule="exact"/>
              <w:jc w:val="right"/>
              <w:rPr>
                <w:sz w:val="18"/>
                <w:szCs w:val="24"/>
              </w:rPr>
            </w:pPr>
            <w:r>
              <w:rPr>
                <w:sz w:val="18"/>
                <w:szCs w:val="24"/>
              </w:rPr>
              <w:t>217</w:t>
            </w:r>
          </w:p>
        </w:tc>
        <w:tc>
          <w:tcPr>
            <w:tcW w:w="658" w:type="dxa"/>
            <w:tcBorders>
              <w:bottom w:val="single" w:sz="12" w:space="0" w:color="auto"/>
            </w:tcBorders>
          </w:tcPr>
          <w:p w:rsidR="00F92819" w:rsidRDefault="00F92819">
            <w:pPr>
              <w:spacing w:before="40" w:after="40" w:line="220" w:lineRule="exact"/>
              <w:jc w:val="right"/>
              <w:rPr>
                <w:sz w:val="18"/>
                <w:szCs w:val="24"/>
              </w:rPr>
            </w:pPr>
            <w:r>
              <w:rPr>
                <w:sz w:val="18"/>
                <w:szCs w:val="24"/>
              </w:rPr>
              <w:t>212</w:t>
            </w:r>
          </w:p>
        </w:tc>
        <w:tc>
          <w:tcPr>
            <w:tcW w:w="658" w:type="dxa"/>
            <w:tcBorders>
              <w:bottom w:val="single" w:sz="12" w:space="0" w:color="auto"/>
            </w:tcBorders>
          </w:tcPr>
          <w:p w:rsidR="00F92819" w:rsidRDefault="00F92819">
            <w:pPr>
              <w:spacing w:before="40" w:after="40" w:line="220" w:lineRule="exact"/>
              <w:jc w:val="right"/>
              <w:rPr>
                <w:sz w:val="18"/>
                <w:szCs w:val="24"/>
              </w:rPr>
            </w:pPr>
            <w:r>
              <w:rPr>
                <w:sz w:val="18"/>
                <w:szCs w:val="24"/>
              </w:rPr>
              <w:t>228</w:t>
            </w:r>
          </w:p>
        </w:tc>
        <w:tc>
          <w:tcPr>
            <w:tcW w:w="658" w:type="dxa"/>
            <w:tcBorders>
              <w:bottom w:val="single" w:sz="12" w:space="0" w:color="auto"/>
            </w:tcBorders>
          </w:tcPr>
          <w:p w:rsidR="00F92819" w:rsidRDefault="00F92819">
            <w:pPr>
              <w:spacing w:before="40" w:after="40" w:line="220" w:lineRule="exact"/>
              <w:jc w:val="right"/>
              <w:rPr>
                <w:sz w:val="18"/>
                <w:szCs w:val="24"/>
              </w:rPr>
            </w:pPr>
            <w:r>
              <w:rPr>
                <w:sz w:val="18"/>
                <w:szCs w:val="24"/>
              </w:rPr>
              <w:t>174</w:t>
            </w:r>
          </w:p>
        </w:tc>
        <w:tc>
          <w:tcPr>
            <w:tcW w:w="658" w:type="dxa"/>
            <w:tcBorders>
              <w:bottom w:val="single" w:sz="12" w:space="0" w:color="auto"/>
            </w:tcBorders>
          </w:tcPr>
          <w:p w:rsidR="00F92819" w:rsidRDefault="00F92819">
            <w:pPr>
              <w:spacing w:before="40" w:after="40" w:line="220" w:lineRule="exact"/>
              <w:jc w:val="right"/>
              <w:rPr>
                <w:sz w:val="18"/>
                <w:szCs w:val="24"/>
              </w:rPr>
            </w:pPr>
            <w:r>
              <w:rPr>
                <w:sz w:val="18"/>
                <w:szCs w:val="24"/>
              </w:rPr>
              <w:t>156</w:t>
            </w:r>
          </w:p>
        </w:tc>
        <w:tc>
          <w:tcPr>
            <w:tcW w:w="658" w:type="dxa"/>
            <w:tcBorders>
              <w:bottom w:val="single" w:sz="12" w:space="0" w:color="auto"/>
            </w:tcBorders>
          </w:tcPr>
          <w:p w:rsidR="00F92819" w:rsidRDefault="00F92819">
            <w:pPr>
              <w:spacing w:before="40" w:after="40" w:line="220" w:lineRule="exact"/>
              <w:jc w:val="right"/>
              <w:rPr>
                <w:sz w:val="18"/>
                <w:szCs w:val="24"/>
              </w:rPr>
            </w:pPr>
            <w:r>
              <w:rPr>
                <w:sz w:val="18"/>
                <w:szCs w:val="24"/>
              </w:rPr>
              <w:t>108</w:t>
            </w:r>
          </w:p>
        </w:tc>
        <w:tc>
          <w:tcPr>
            <w:tcW w:w="658" w:type="dxa"/>
            <w:tcBorders>
              <w:bottom w:val="single" w:sz="12" w:space="0" w:color="auto"/>
            </w:tcBorders>
          </w:tcPr>
          <w:p w:rsidR="00F92819" w:rsidRDefault="00F92819">
            <w:pPr>
              <w:spacing w:before="40" w:after="40" w:line="220" w:lineRule="exact"/>
              <w:jc w:val="right"/>
              <w:rPr>
                <w:sz w:val="18"/>
                <w:szCs w:val="24"/>
              </w:rPr>
            </w:pPr>
            <w:r>
              <w:rPr>
                <w:sz w:val="18"/>
                <w:szCs w:val="24"/>
              </w:rPr>
              <w:t>98</w:t>
            </w:r>
          </w:p>
        </w:tc>
        <w:tc>
          <w:tcPr>
            <w:tcW w:w="659" w:type="dxa"/>
            <w:gridSpan w:val="2"/>
            <w:tcBorders>
              <w:bottom w:val="single" w:sz="12" w:space="0" w:color="auto"/>
            </w:tcBorders>
          </w:tcPr>
          <w:p w:rsidR="00F92819" w:rsidRDefault="00F92819">
            <w:pPr>
              <w:spacing w:before="40" w:after="40" w:line="220" w:lineRule="exact"/>
              <w:jc w:val="right"/>
              <w:rPr>
                <w:b/>
                <w:sz w:val="18"/>
                <w:szCs w:val="24"/>
              </w:rPr>
            </w:pPr>
            <w:r>
              <w:rPr>
                <w:b/>
                <w:sz w:val="18"/>
                <w:szCs w:val="24"/>
              </w:rPr>
              <w:t>179</w:t>
            </w:r>
          </w:p>
        </w:tc>
      </w:tr>
    </w:tbl>
    <w:p w:rsidR="00F92819" w:rsidRDefault="00F92819">
      <w:pPr>
        <w:spacing w:before="120" w:after="240"/>
        <w:ind w:firstLine="170"/>
        <w:rPr>
          <w:szCs w:val="24"/>
          <w:rtl/>
          <w:lang w:bidi="he-IL"/>
        </w:rPr>
      </w:pPr>
      <w:r>
        <w:rPr>
          <w:i/>
          <w:sz w:val="18"/>
          <w:szCs w:val="24"/>
          <w:lang w:val="es-ES_tradnl"/>
        </w:rPr>
        <w:t>Fuente:</w:t>
      </w:r>
      <w:r>
        <w:rPr>
          <w:sz w:val="18"/>
          <w:szCs w:val="24"/>
        </w:rPr>
        <w:t xml:space="preserve"> </w:t>
      </w:r>
      <w:r>
        <w:rPr>
          <w:sz w:val="18"/>
          <w:szCs w:val="24"/>
          <w:lang w:val="es-ES_tradnl"/>
        </w:rPr>
        <w:t>Oficina Central de Estadísticas, 2008</w:t>
      </w:r>
    </w:p>
    <w:p w:rsidR="00F92819" w:rsidRDefault="00F92819">
      <w:pPr>
        <w:pStyle w:val="H4G"/>
        <w:rPr>
          <w:szCs w:val="24"/>
        </w:rPr>
      </w:pPr>
      <w:r>
        <w:rPr>
          <w:szCs w:val="24"/>
        </w:rPr>
        <w:tab/>
      </w:r>
      <w:r>
        <w:rPr>
          <w:szCs w:val="24"/>
        </w:rPr>
        <w:tab/>
      </w:r>
      <w:r>
        <w:rPr>
          <w:szCs w:val="24"/>
          <w:lang w:val="es-ES_tradnl"/>
        </w:rPr>
        <w:t>Servicios de saneamiento</w:t>
      </w:r>
    </w:p>
    <w:p w:rsidR="00F92819" w:rsidRDefault="00F92819">
      <w:pPr>
        <w:pStyle w:val="SingleTxtG"/>
        <w:rPr>
          <w:szCs w:val="24"/>
        </w:rPr>
      </w:pPr>
      <w:r>
        <w:rPr>
          <w:szCs w:val="24"/>
        </w:rPr>
        <w:t>434.</w:t>
      </w:r>
      <w:r>
        <w:rPr>
          <w:szCs w:val="24"/>
        </w:rPr>
        <w:tab/>
      </w:r>
      <w:smartTag w:uri="urn:schemas-microsoft-com:office:smarttags" w:element="City">
        <w:r>
          <w:rPr>
            <w:szCs w:val="24"/>
            <w:lang w:val="es-ES_tradnl"/>
          </w:rPr>
          <w:t>Como</w:t>
        </w:r>
      </w:smartTag>
      <w:r>
        <w:rPr>
          <w:szCs w:val="24"/>
          <w:lang w:val="es-ES_tradnl"/>
        </w:rPr>
        <w:t xml:space="preserve"> parte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mencionado plan plurianual de 2000, se han llevado a cabo proyectos de infraestructuras de alcantarillado en 73 localidades árabes (que afectan a un total de 700.000 residentes).</w:t>
      </w:r>
    </w:p>
    <w:p w:rsidR="00F92819" w:rsidRDefault="00F92819">
      <w:pPr>
        <w:pStyle w:val="SingleTxtG"/>
        <w:rPr>
          <w:szCs w:val="24"/>
        </w:rPr>
      </w:pPr>
      <w:r>
        <w:rPr>
          <w:szCs w:val="24"/>
        </w:rPr>
        <w:t>435.</w:t>
      </w:r>
      <w:r>
        <w:rPr>
          <w:szCs w:val="24"/>
        </w:rPr>
        <w:tab/>
      </w:r>
      <w:r>
        <w:rPr>
          <w:szCs w:val="24"/>
          <w:lang w:val="es-ES_tradnl"/>
        </w:rPr>
        <w:t xml:space="preserve">El 4 de febrero de 2007 el Gobierno consolidó otro plan plurianual para promover y ayudar a la construcción y desarrollo de infraestructuras de alcantarillado en localidades árabes, drusas y circasianas, así como en localidades beduinas del norte (resolución del Gobierno </w:t>
      </w:r>
      <w:r w:rsidR="00713E0E">
        <w:rPr>
          <w:szCs w:val="24"/>
          <w:lang w:val="es-ES_tradnl"/>
        </w:rPr>
        <w:t>Nº</w:t>
      </w:r>
      <w:r>
        <w:rPr>
          <w:szCs w:val="24"/>
          <w:lang w:val="es-ES_tradnl"/>
        </w:rPr>
        <w:t xml:space="preserve"> 1140).</w:t>
      </w:r>
      <w:r>
        <w:rPr>
          <w:szCs w:val="24"/>
        </w:rPr>
        <w:t xml:space="preserve"> </w:t>
      </w:r>
      <w:r>
        <w:rPr>
          <w:szCs w:val="24"/>
          <w:lang w:val="es-ES_tradnl"/>
        </w:rPr>
        <w:t>El plan plurianual se ejecutará en el período 2007</w:t>
      </w:r>
      <w:r w:rsidR="008C04D7">
        <w:rPr>
          <w:szCs w:val="24"/>
          <w:lang w:val="es-ES_tradnl"/>
        </w:rPr>
        <w:t>-</w:t>
      </w:r>
      <w:r>
        <w:rPr>
          <w:szCs w:val="24"/>
          <w:lang w:val="es-ES_tradnl"/>
        </w:rPr>
        <w:t>2011 y tiene asignado un presupuesto total de 400 millones de nuevos sheqalim (105 millones de dólares de los EE.UU.).</w:t>
      </w:r>
      <w:r>
        <w:rPr>
          <w:szCs w:val="24"/>
        </w:rPr>
        <w:t xml:space="preserve"> </w:t>
      </w:r>
      <w:r>
        <w:rPr>
          <w:szCs w:val="24"/>
          <w:lang w:val="es-ES_tradnl"/>
        </w:rPr>
        <w:t xml:space="preserve">Con arreglo a la resolución del Gobierno, las localidades deben crear compañías de abastecimiento de agua y de alcantarillado como requisito para la aplicación del plan, como se establece en la </w:t>
      </w:r>
      <w:r>
        <w:rPr>
          <w:i/>
          <w:szCs w:val="24"/>
          <w:lang w:val="es-ES_tradnl"/>
        </w:rPr>
        <w:t>Ley de compañías de abastecimiento de agua y de alcantarillado</w:t>
      </w:r>
      <w:r>
        <w:rPr>
          <w:szCs w:val="24"/>
          <w:lang w:val="es-ES_tradnl"/>
        </w:rPr>
        <w:t xml:space="preserve"> de 5761/2001.</w:t>
      </w:r>
      <w:r>
        <w:rPr>
          <w:i/>
          <w:szCs w:val="24"/>
          <w:lang w:val="es-ES_tradnl"/>
        </w:rPr>
        <w:t xml:space="preserve"> </w:t>
      </w:r>
      <w:r>
        <w:rPr>
          <w:szCs w:val="24"/>
          <w:lang w:val="es-ES_tradnl"/>
        </w:rPr>
        <w:t>Las localidades han hecho progresos para la creación de estas compañías, aunque todavía no se han llevado a cabo.</w:t>
      </w:r>
    </w:p>
    <w:p w:rsidR="00F92819" w:rsidRDefault="00F92819">
      <w:pPr>
        <w:pStyle w:val="H56G"/>
        <w:rPr>
          <w:i/>
          <w:szCs w:val="24"/>
        </w:rPr>
      </w:pPr>
      <w:r>
        <w:rPr>
          <w:szCs w:val="24"/>
        </w:rPr>
        <w:tab/>
      </w:r>
      <w:r>
        <w:rPr>
          <w:szCs w:val="24"/>
        </w:rPr>
        <w:tab/>
      </w:r>
      <w:r>
        <w:rPr>
          <w:i/>
          <w:szCs w:val="24"/>
          <w:lang w:val="es-ES_tradnl"/>
        </w:rPr>
        <w:t>Densidad</w:t>
      </w:r>
    </w:p>
    <w:p w:rsidR="00F92819" w:rsidRDefault="00F92819">
      <w:pPr>
        <w:pStyle w:val="SingleTxtG"/>
        <w:rPr>
          <w:szCs w:val="24"/>
        </w:rPr>
      </w:pPr>
      <w:r>
        <w:rPr>
          <w:szCs w:val="24"/>
        </w:rPr>
        <w:t>436.</w:t>
      </w:r>
      <w:r>
        <w:rPr>
          <w:szCs w:val="24"/>
        </w:rPr>
        <w:tab/>
      </w:r>
      <w:r>
        <w:rPr>
          <w:szCs w:val="24"/>
          <w:lang w:val="es-ES_tradnl"/>
        </w:rPr>
        <w:t>A continuación se presentan datos recientes sobre la densidad de vivienda.</w:t>
      </w:r>
    </w:p>
    <w:p w:rsidR="00F92819" w:rsidRDefault="00F92819">
      <w:pPr>
        <w:pStyle w:val="Heading1"/>
        <w:keepLines/>
        <w:spacing w:before="240"/>
        <w:rPr>
          <w:szCs w:val="24"/>
        </w:rPr>
      </w:pPr>
      <w:r>
        <w:rPr>
          <w:szCs w:val="24"/>
          <w:lang w:val="es-ES_tradnl"/>
        </w:rPr>
        <w:t>Cuadro 28</w:t>
      </w:r>
    </w:p>
    <w:p w:rsidR="00F92819" w:rsidRDefault="00F92819">
      <w:pPr>
        <w:pStyle w:val="SingleTxtG"/>
        <w:keepNext/>
        <w:keepLines/>
        <w:jc w:val="left"/>
        <w:rPr>
          <w:b/>
          <w:szCs w:val="24"/>
        </w:rPr>
      </w:pPr>
      <w:r>
        <w:rPr>
          <w:b/>
          <w:szCs w:val="24"/>
          <w:lang w:val="es-ES_tradnl"/>
        </w:rPr>
        <w:t>Hogares, por densidad de vivienda, tamaño de la familia y población, 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766"/>
        <w:gridCol w:w="782"/>
        <w:gridCol w:w="647"/>
        <w:gridCol w:w="647"/>
        <w:gridCol w:w="648"/>
        <w:gridCol w:w="647"/>
        <w:gridCol w:w="648"/>
        <w:gridCol w:w="647"/>
        <w:gridCol w:w="648"/>
        <w:gridCol w:w="662"/>
        <w:gridCol w:w="763"/>
      </w:tblGrid>
      <w:tr w:rsidR="00F92819">
        <w:trPr>
          <w:tblHeader/>
        </w:trPr>
        <w:tc>
          <w:tcPr>
            <w:tcW w:w="1766" w:type="dxa"/>
            <w:vMerge w:val="restart"/>
            <w:tcBorders>
              <w:top w:val="single" w:sz="4" w:space="0" w:color="auto"/>
            </w:tcBorders>
            <w:vAlign w:val="bottom"/>
          </w:tcPr>
          <w:p w:rsidR="00F92819" w:rsidRDefault="00F92819">
            <w:pPr>
              <w:spacing w:before="80" w:after="80" w:line="200" w:lineRule="exact"/>
              <w:rPr>
                <w:szCs w:val="24"/>
              </w:rPr>
            </w:pPr>
            <w:r>
              <w:rPr>
                <w:i/>
                <w:sz w:val="16"/>
                <w:szCs w:val="24"/>
                <w:lang w:val="es-ES_tradnl"/>
              </w:rPr>
              <w:t>Personas por habitación</w:t>
            </w:r>
          </w:p>
        </w:tc>
        <w:tc>
          <w:tcPr>
            <w:tcW w:w="6739" w:type="dxa"/>
            <w:gridSpan w:val="10"/>
            <w:tcBorders>
              <w:top w:val="single" w:sz="4" w:space="0" w:color="auto"/>
              <w:bottom w:val="single" w:sz="4" w:space="0" w:color="auto"/>
            </w:tcBorders>
            <w:vAlign w:val="bottom"/>
          </w:tcPr>
          <w:p w:rsidR="00F92819" w:rsidRDefault="00F92819">
            <w:pPr>
              <w:spacing w:before="80" w:after="80" w:line="200" w:lineRule="exact"/>
              <w:jc w:val="center"/>
              <w:rPr>
                <w:szCs w:val="24"/>
              </w:rPr>
            </w:pPr>
            <w:r>
              <w:rPr>
                <w:i/>
                <w:sz w:val="16"/>
                <w:szCs w:val="24"/>
                <w:lang w:val="es-ES_tradnl"/>
              </w:rPr>
              <w:t>Personas en el hogar</w:t>
            </w:r>
          </w:p>
        </w:tc>
      </w:tr>
      <w:tr w:rsidR="00F92819">
        <w:trPr>
          <w:tblHeader/>
        </w:trPr>
        <w:tc>
          <w:tcPr>
            <w:tcW w:w="1766" w:type="dxa"/>
            <w:vMerge/>
            <w:tcBorders>
              <w:bottom w:val="single" w:sz="12" w:space="0" w:color="auto"/>
            </w:tcBorders>
            <w:vAlign w:val="bottom"/>
          </w:tcPr>
          <w:p w:rsidR="00F92819" w:rsidRDefault="00F92819">
            <w:pPr>
              <w:spacing w:before="80" w:after="80" w:line="200" w:lineRule="exact"/>
              <w:rPr>
                <w:i/>
                <w:sz w:val="16"/>
                <w:szCs w:val="24"/>
              </w:rPr>
            </w:pPr>
          </w:p>
        </w:tc>
        <w:tc>
          <w:tcPr>
            <w:tcW w:w="782"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Promedio por hogar</w:t>
            </w:r>
          </w:p>
        </w:tc>
        <w:tc>
          <w:tcPr>
            <w:tcW w:w="647"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7+</w:t>
            </w:r>
          </w:p>
        </w:tc>
        <w:tc>
          <w:tcPr>
            <w:tcW w:w="647"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6</w:t>
            </w:r>
          </w:p>
        </w:tc>
        <w:tc>
          <w:tcPr>
            <w:tcW w:w="648"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5</w:t>
            </w:r>
          </w:p>
        </w:tc>
        <w:tc>
          <w:tcPr>
            <w:tcW w:w="647"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4</w:t>
            </w:r>
          </w:p>
        </w:tc>
        <w:tc>
          <w:tcPr>
            <w:tcW w:w="648"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3</w:t>
            </w:r>
          </w:p>
        </w:tc>
        <w:tc>
          <w:tcPr>
            <w:tcW w:w="647"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w:t>
            </w:r>
          </w:p>
        </w:tc>
        <w:tc>
          <w:tcPr>
            <w:tcW w:w="648"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1</w:t>
            </w:r>
          </w:p>
        </w:tc>
        <w:tc>
          <w:tcPr>
            <w:tcW w:w="662"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b/>
                <w:i/>
                <w:sz w:val="16"/>
                <w:szCs w:val="24"/>
                <w:lang w:val="es-ES_tradnl"/>
              </w:rPr>
              <w:t>Total</w:t>
            </w:r>
            <w:r>
              <w:rPr>
                <w:b/>
                <w:i/>
                <w:sz w:val="16"/>
                <w:szCs w:val="24"/>
                <w:lang w:val="es-ES_tradnl"/>
              </w:rPr>
              <w:br/>
              <w:t>(%)</w:t>
            </w:r>
          </w:p>
        </w:tc>
        <w:tc>
          <w:tcPr>
            <w:tcW w:w="763"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‘000</w:t>
            </w:r>
          </w:p>
        </w:tc>
      </w:tr>
      <w:tr w:rsidR="00F92819">
        <w:tc>
          <w:tcPr>
            <w:tcW w:w="1766" w:type="dxa"/>
            <w:tcBorders>
              <w:top w:val="single" w:sz="12" w:space="0" w:color="auto"/>
              <w:bottom w:val="single" w:sz="4" w:space="0" w:color="auto"/>
            </w:tcBorders>
            <w:vAlign w:val="bottom"/>
          </w:tcPr>
          <w:p w:rsidR="00F92819" w:rsidRDefault="00F92819">
            <w:pPr>
              <w:spacing w:before="80" w:after="80" w:line="220" w:lineRule="exact"/>
              <w:ind w:left="284"/>
              <w:rPr>
                <w:szCs w:val="24"/>
              </w:rPr>
            </w:pPr>
            <w:r>
              <w:rPr>
                <w:b/>
                <w:sz w:val="18"/>
                <w:szCs w:val="24"/>
                <w:lang w:val="es-ES_tradnl"/>
              </w:rPr>
              <w:t>Judíos (1) - Total</w:t>
            </w:r>
          </w:p>
        </w:tc>
        <w:tc>
          <w:tcPr>
            <w:tcW w:w="782"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3,10</w:t>
            </w:r>
          </w:p>
        </w:tc>
        <w:tc>
          <w:tcPr>
            <w:tcW w:w="647"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w:t>
            </w:r>
          </w:p>
        </w:tc>
        <w:tc>
          <w:tcPr>
            <w:tcW w:w="647"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5</w:t>
            </w:r>
          </w:p>
        </w:tc>
        <w:tc>
          <w:tcPr>
            <w:tcW w:w="648"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11,9</w:t>
            </w:r>
          </w:p>
        </w:tc>
        <w:tc>
          <w:tcPr>
            <w:tcW w:w="647"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16,6</w:t>
            </w:r>
          </w:p>
        </w:tc>
        <w:tc>
          <w:tcPr>
            <w:tcW w:w="648"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16,8</w:t>
            </w:r>
          </w:p>
        </w:tc>
        <w:tc>
          <w:tcPr>
            <w:tcW w:w="647"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25,7</w:t>
            </w:r>
          </w:p>
        </w:tc>
        <w:tc>
          <w:tcPr>
            <w:tcW w:w="648"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20</w:t>
            </w:r>
          </w:p>
        </w:tc>
        <w:tc>
          <w:tcPr>
            <w:tcW w:w="662"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100</w:t>
            </w:r>
          </w:p>
        </w:tc>
        <w:tc>
          <w:tcPr>
            <w:tcW w:w="763"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1 721,4</w:t>
            </w:r>
          </w:p>
        </w:tc>
      </w:tr>
      <w:tr w:rsidR="00F92819">
        <w:tc>
          <w:tcPr>
            <w:tcW w:w="1766"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Hasta 0,49</w:t>
            </w:r>
          </w:p>
        </w:tc>
        <w:tc>
          <w:tcPr>
            <w:tcW w:w="782"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1,26</w:t>
            </w:r>
          </w:p>
        </w:tc>
        <w:tc>
          <w:tcPr>
            <w:tcW w:w="647"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47"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48"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47"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48"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w:t>
            </w:r>
          </w:p>
        </w:tc>
        <w:tc>
          <w:tcPr>
            <w:tcW w:w="647"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20,9</w:t>
            </w:r>
          </w:p>
        </w:tc>
        <w:tc>
          <w:tcPr>
            <w:tcW w:w="648"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76,9</w:t>
            </w:r>
          </w:p>
        </w:tc>
        <w:tc>
          <w:tcPr>
            <w:tcW w:w="662"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763"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278,9</w:t>
            </w:r>
          </w:p>
        </w:tc>
      </w:tr>
      <w:tr w:rsidR="00F92819">
        <w:tc>
          <w:tcPr>
            <w:tcW w:w="1766" w:type="dxa"/>
            <w:vAlign w:val="bottom"/>
          </w:tcPr>
          <w:p w:rsidR="00F92819" w:rsidRDefault="00F92819">
            <w:pPr>
              <w:spacing w:before="40" w:after="40" w:line="220" w:lineRule="exact"/>
              <w:rPr>
                <w:sz w:val="18"/>
                <w:szCs w:val="24"/>
              </w:rPr>
            </w:pPr>
            <w:r>
              <w:rPr>
                <w:sz w:val="18"/>
                <w:szCs w:val="24"/>
              </w:rPr>
              <w:t>0,5</w:t>
            </w:r>
          </w:p>
        </w:tc>
        <w:tc>
          <w:tcPr>
            <w:tcW w:w="782" w:type="dxa"/>
            <w:vAlign w:val="bottom"/>
          </w:tcPr>
          <w:p w:rsidR="00F92819" w:rsidRDefault="00F92819">
            <w:pPr>
              <w:spacing w:before="40" w:after="40" w:line="220" w:lineRule="exact"/>
              <w:jc w:val="right"/>
              <w:rPr>
                <w:sz w:val="18"/>
                <w:szCs w:val="24"/>
              </w:rPr>
            </w:pPr>
            <w:r>
              <w:rPr>
                <w:sz w:val="18"/>
                <w:szCs w:val="24"/>
              </w:rPr>
              <w:t>1,69</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6,7</w:t>
            </w:r>
          </w:p>
        </w:tc>
        <w:tc>
          <w:tcPr>
            <w:tcW w:w="647" w:type="dxa"/>
            <w:vAlign w:val="bottom"/>
          </w:tcPr>
          <w:p w:rsidR="00F92819" w:rsidRDefault="00F92819">
            <w:pPr>
              <w:spacing w:before="40" w:after="40" w:line="220" w:lineRule="exact"/>
              <w:jc w:val="right"/>
              <w:rPr>
                <w:sz w:val="18"/>
                <w:szCs w:val="24"/>
              </w:rPr>
            </w:pPr>
            <w:r>
              <w:rPr>
                <w:sz w:val="18"/>
                <w:szCs w:val="24"/>
              </w:rPr>
              <w:t>54,6</w:t>
            </w:r>
          </w:p>
        </w:tc>
        <w:tc>
          <w:tcPr>
            <w:tcW w:w="648" w:type="dxa"/>
            <w:vAlign w:val="bottom"/>
          </w:tcPr>
          <w:p w:rsidR="00F92819" w:rsidRDefault="00F92819">
            <w:pPr>
              <w:spacing w:before="40" w:after="40" w:line="220" w:lineRule="exact"/>
              <w:jc w:val="right"/>
              <w:rPr>
                <w:sz w:val="18"/>
                <w:szCs w:val="24"/>
              </w:rPr>
            </w:pPr>
            <w:r>
              <w:rPr>
                <w:sz w:val="18"/>
                <w:szCs w:val="24"/>
              </w:rPr>
              <w:t>38,4</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200,4</w:t>
            </w:r>
          </w:p>
        </w:tc>
      </w:tr>
      <w:tr w:rsidR="00F92819">
        <w:tc>
          <w:tcPr>
            <w:tcW w:w="1766" w:type="dxa"/>
            <w:vAlign w:val="bottom"/>
          </w:tcPr>
          <w:p w:rsidR="00F92819" w:rsidRDefault="00F92819">
            <w:pPr>
              <w:spacing w:before="40" w:after="40" w:line="220" w:lineRule="exact"/>
              <w:rPr>
                <w:szCs w:val="24"/>
              </w:rPr>
            </w:pPr>
            <w:r>
              <w:rPr>
                <w:sz w:val="18"/>
                <w:szCs w:val="24"/>
              </w:rPr>
              <w:t>0,51–0,99</w:t>
            </w:r>
          </w:p>
        </w:tc>
        <w:tc>
          <w:tcPr>
            <w:tcW w:w="782" w:type="dxa"/>
            <w:vAlign w:val="bottom"/>
          </w:tcPr>
          <w:p w:rsidR="00F92819" w:rsidRDefault="00F92819">
            <w:pPr>
              <w:spacing w:before="40" w:after="40" w:line="220" w:lineRule="exact"/>
              <w:jc w:val="right"/>
              <w:rPr>
                <w:sz w:val="18"/>
                <w:szCs w:val="24"/>
              </w:rPr>
            </w:pPr>
            <w:r>
              <w:rPr>
                <w:sz w:val="18"/>
                <w:szCs w:val="24"/>
              </w:rPr>
              <w:t>2,86</w:t>
            </w:r>
          </w:p>
        </w:tc>
        <w:tc>
          <w:tcPr>
            <w:tcW w:w="647" w:type="dxa"/>
            <w:vAlign w:val="bottom"/>
          </w:tcPr>
          <w:p w:rsidR="00F92819" w:rsidRDefault="00F92819">
            <w:pPr>
              <w:spacing w:before="40" w:after="40" w:line="220" w:lineRule="exact"/>
              <w:jc w:val="right"/>
              <w:rPr>
                <w:sz w:val="18"/>
                <w:szCs w:val="24"/>
              </w:rPr>
            </w:pPr>
            <w:r>
              <w:rPr>
                <w:sz w:val="18"/>
                <w:szCs w:val="24"/>
              </w:rPr>
              <w:t>0,3</w:t>
            </w:r>
          </w:p>
        </w:tc>
        <w:tc>
          <w:tcPr>
            <w:tcW w:w="647" w:type="dxa"/>
            <w:vAlign w:val="bottom"/>
          </w:tcPr>
          <w:p w:rsidR="00F92819" w:rsidRDefault="00F92819">
            <w:pPr>
              <w:spacing w:before="40" w:after="40" w:line="220" w:lineRule="exact"/>
              <w:jc w:val="right"/>
              <w:rPr>
                <w:sz w:val="18"/>
                <w:szCs w:val="24"/>
              </w:rPr>
            </w:pPr>
            <w:r>
              <w:rPr>
                <w:sz w:val="18"/>
                <w:szCs w:val="24"/>
              </w:rPr>
              <w:t>1,1</w:t>
            </w:r>
          </w:p>
        </w:tc>
        <w:tc>
          <w:tcPr>
            <w:tcW w:w="648" w:type="dxa"/>
            <w:vAlign w:val="bottom"/>
          </w:tcPr>
          <w:p w:rsidR="00F92819" w:rsidRDefault="00F92819">
            <w:pPr>
              <w:spacing w:before="40" w:after="40" w:line="220" w:lineRule="exact"/>
              <w:jc w:val="right"/>
              <w:rPr>
                <w:sz w:val="18"/>
                <w:szCs w:val="24"/>
              </w:rPr>
            </w:pPr>
            <w:r>
              <w:rPr>
                <w:sz w:val="18"/>
                <w:szCs w:val="24"/>
              </w:rPr>
              <w:t>6,7</w:t>
            </w:r>
          </w:p>
        </w:tc>
        <w:tc>
          <w:tcPr>
            <w:tcW w:w="647" w:type="dxa"/>
            <w:vAlign w:val="bottom"/>
          </w:tcPr>
          <w:p w:rsidR="00F92819" w:rsidRDefault="00F92819">
            <w:pPr>
              <w:spacing w:before="40" w:after="40" w:line="220" w:lineRule="exact"/>
              <w:jc w:val="right"/>
              <w:rPr>
                <w:sz w:val="18"/>
                <w:szCs w:val="24"/>
              </w:rPr>
            </w:pPr>
            <w:r>
              <w:rPr>
                <w:sz w:val="18"/>
                <w:szCs w:val="24"/>
              </w:rPr>
              <w:t>16,9</w:t>
            </w:r>
          </w:p>
        </w:tc>
        <w:tc>
          <w:tcPr>
            <w:tcW w:w="648" w:type="dxa"/>
            <w:vAlign w:val="bottom"/>
          </w:tcPr>
          <w:p w:rsidR="00F92819" w:rsidRDefault="00F92819">
            <w:pPr>
              <w:spacing w:before="40" w:after="40" w:line="220" w:lineRule="exact"/>
              <w:jc w:val="right"/>
              <w:rPr>
                <w:sz w:val="18"/>
                <w:szCs w:val="24"/>
              </w:rPr>
            </w:pPr>
            <w:r>
              <w:rPr>
                <w:sz w:val="18"/>
                <w:szCs w:val="24"/>
              </w:rPr>
              <w:t>30,2</w:t>
            </w:r>
          </w:p>
        </w:tc>
        <w:tc>
          <w:tcPr>
            <w:tcW w:w="647" w:type="dxa"/>
            <w:vAlign w:val="bottom"/>
          </w:tcPr>
          <w:p w:rsidR="00F92819" w:rsidRDefault="00F92819">
            <w:pPr>
              <w:spacing w:before="40" w:after="40" w:line="220" w:lineRule="exact"/>
              <w:jc w:val="right"/>
              <w:rPr>
                <w:sz w:val="18"/>
                <w:szCs w:val="24"/>
              </w:rPr>
            </w:pPr>
            <w:r>
              <w:rPr>
                <w:sz w:val="18"/>
                <w:szCs w:val="24"/>
              </w:rPr>
              <w:t>41,5</w:t>
            </w:r>
          </w:p>
        </w:tc>
        <w:tc>
          <w:tcPr>
            <w:tcW w:w="648" w:type="dxa"/>
            <w:vAlign w:val="bottom"/>
          </w:tcPr>
          <w:p w:rsidR="00F92819" w:rsidRDefault="00F92819">
            <w:pPr>
              <w:spacing w:before="40" w:after="40" w:line="220" w:lineRule="exact"/>
              <w:jc w:val="right"/>
              <w:rPr>
                <w:sz w:val="18"/>
                <w:szCs w:val="24"/>
              </w:rPr>
            </w:pPr>
            <w:r>
              <w:rPr>
                <w:sz w:val="18"/>
                <w:szCs w:val="24"/>
              </w:rPr>
              <w:t>3,3</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526,3</w:t>
            </w:r>
          </w:p>
        </w:tc>
      </w:tr>
      <w:tr w:rsidR="00F92819">
        <w:tc>
          <w:tcPr>
            <w:tcW w:w="1766" w:type="dxa"/>
            <w:vAlign w:val="bottom"/>
          </w:tcPr>
          <w:p w:rsidR="00F92819" w:rsidRDefault="00F92819">
            <w:pPr>
              <w:spacing w:before="40" w:after="40" w:line="220" w:lineRule="exact"/>
              <w:rPr>
                <w:sz w:val="18"/>
                <w:szCs w:val="24"/>
              </w:rPr>
            </w:pPr>
            <w:r>
              <w:rPr>
                <w:sz w:val="18"/>
                <w:szCs w:val="24"/>
              </w:rPr>
              <w:t>1,00</w:t>
            </w:r>
          </w:p>
        </w:tc>
        <w:tc>
          <w:tcPr>
            <w:tcW w:w="782" w:type="dxa"/>
            <w:vAlign w:val="bottom"/>
          </w:tcPr>
          <w:p w:rsidR="00F92819" w:rsidRDefault="00F92819">
            <w:pPr>
              <w:spacing w:before="40" w:after="40" w:line="220" w:lineRule="exact"/>
              <w:jc w:val="right"/>
              <w:rPr>
                <w:sz w:val="18"/>
                <w:szCs w:val="24"/>
              </w:rPr>
            </w:pPr>
            <w:r>
              <w:rPr>
                <w:sz w:val="18"/>
                <w:szCs w:val="24"/>
              </w:rPr>
              <w:t>3,41</w:t>
            </w:r>
          </w:p>
        </w:tc>
        <w:tc>
          <w:tcPr>
            <w:tcW w:w="647" w:type="dxa"/>
            <w:vAlign w:val="bottom"/>
          </w:tcPr>
          <w:p w:rsidR="00F92819" w:rsidRDefault="00F92819">
            <w:pPr>
              <w:spacing w:before="40" w:after="40" w:line="220" w:lineRule="exact"/>
              <w:jc w:val="right"/>
              <w:rPr>
                <w:sz w:val="18"/>
                <w:szCs w:val="24"/>
              </w:rPr>
            </w:pPr>
            <w:r>
              <w:rPr>
                <w:sz w:val="18"/>
                <w:szCs w:val="24"/>
              </w:rPr>
              <w:t>0,5</w:t>
            </w:r>
          </w:p>
        </w:tc>
        <w:tc>
          <w:tcPr>
            <w:tcW w:w="647" w:type="dxa"/>
            <w:vAlign w:val="bottom"/>
          </w:tcPr>
          <w:p w:rsidR="00F92819" w:rsidRDefault="00F92819">
            <w:pPr>
              <w:spacing w:before="40" w:after="40" w:line="220" w:lineRule="exact"/>
              <w:jc w:val="right"/>
              <w:rPr>
                <w:sz w:val="18"/>
                <w:szCs w:val="24"/>
              </w:rPr>
            </w:pPr>
            <w:r>
              <w:rPr>
                <w:sz w:val="18"/>
                <w:szCs w:val="24"/>
              </w:rPr>
              <w:t>3</w:t>
            </w:r>
          </w:p>
        </w:tc>
        <w:tc>
          <w:tcPr>
            <w:tcW w:w="648" w:type="dxa"/>
            <w:vAlign w:val="bottom"/>
          </w:tcPr>
          <w:p w:rsidR="00F92819" w:rsidRDefault="00F92819">
            <w:pPr>
              <w:spacing w:before="40" w:after="40" w:line="220" w:lineRule="exact"/>
              <w:jc w:val="right"/>
              <w:rPr>
                <w:sz w:val="18"/>
                <w:szCs w:val="24"/>
              </w:rPr>
            </w:pPr>
            <w:r>
              <w:rPr>
                <w:sz w:val="18"/>
                <w:szCs w:val="24"/>
              </w:rPr>
              <w:t>16,6</w:t>
            </w:r>
          </w:p>
        </w:tc>
        <w:tc>
          <w:tcPr>
            <w:tcW w:w="647" w:type="dxa"/>
            <w:vAlign w:val="bottom"/>
          </w:tcPr>
          <w:p w:rsidR="00F92819" w:rsidRDefault="00F92819">
            <w:pPr>
              <w:spacing w:before="40" w:after="40" w:line="220" w:lineRule="exact"/>
              <w:jc w:val="right"/>
              <w:rPr>
                <w:sz w:val="18"/>
                <w:szCs w:val="24"/>
              </w:rPr>
            </w:pPr>
            <w:r>
              <w:rPr>
                <w:sz w:val="18"/>
                <w:szCs w:val="24"/>
              </w:rPr>
              <w:t>30,2</w:t>
            </w:r>
          </w:p>
        </w:tc>
        <w:tc>
          <w:tcPr>
            <w:tcW w:w="648" w:type="dxa"/>
            <w:vAlign w:val="bottom"/>
          </w:tcPr>
          <w:p w:rsidR="00F92819" w:rsidRDefault="00F92819">
            <w:pPr>
              <w:spacing w:before="40" w:after="40" w:line="220" w:lineRule="exact"/>
              <w:jc w:val="right"/>
              <w:rPr>
                <w:sz w:val="18"/>
                <w:szCs w:val="24"/>
              </w:rPr>
            </w:pPr>
            <w:r>
              <w:rPr>
                <w:sz w:val="18"/>
                <w:szCs w:val="24"/>
              </w:rPr>
              <w:t>26</w:t>
            </w:r>
          </w:p>
        </w:tc>
        <w:tc>
          <w:tcPr>
            <w:tcW w:w="647" w:type="dxa"/>
            <w:vAlign w:val="bottom"/>
          </w:tcPr>
          <w:p w:rsidR="00F92819" w:rsidRDefault="00F92819">
            <w:pPr>
              <w:spacing w:before="40" w:after="40" w:line="220" w:lineRule="exact"/>
              <w:jc w:val="right"/>
              <w:rPr>
                <w:sz w:val="18"/>
                <w:szCs w:val="24"/>
              </w:rPr>
            </w:pPr>
            <w:r>
              <w:rPr>
                <w:sz w:val="18"/>
                <w:szCs w:val="24"/>
              </w:rPr>
              <w:t>13,9</w:t>
            </w:r>
          </w:p>
        </w:tc>
        <w:tc>
          <w:tcPr>
            <w:tcW w:w="648" w:type="dxa"/>
            <w:vAlign w:val="bottom"/>
          </w:tcPr>
          <w:p w:rsidR="00F92819" w:rsidRDefault="00F92819">
            <w:pPr>
              <w:spacing w:before="40" w:after="40" w:line="220" w:lineRule="exact"/>
              <w:jc w:val="right"/>
              <w:rPr>
                <w:sz w:val="18"/>
                <w:szCs w:val="24"/>
              </w:rPr>
            </w:pPr>
            <w:r>
              <w:rPr>
                <w:sz w:val="18"/>
                <w:szCs w:val="24"/>
              </w:rPr>
              <w:t>9,8</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341,5</w:t>
            </w:r>
          </w:p>
        </w:tc>
      </w:tr>
      <w:tr w:rsidR="00F92819">
        <w:tc>
          <w:tcPr>
            <w:tcW w:w="1766" w:type="dxa"/>
            <w:vAlign w:val="bottom"/>
          </w:tcPr>
          <w:p w:rsidR="00F92819" w:rsidRDefault="00F92819">
            <w:pPr>
              <w:spacing w:before="40" w:after="40" w:line="220" w:lineRule="exact"/>
              <w:rPr>
                <w:szCs w:val="24"/>
              </w:rPr>
            </w:pPr>
            <w:r>
              <w:rPr>
                <w:sz w:val="18"/>
                <w:szCs w:val="24"/>
              </w:rPr>
              <w:t>1,01–1,49</w:t>
            </w:r>
          </w:p>
        </w:tc>
        <w:tc>
          <w:tcPr>
            <w:tcW w:w="782" w:type="dxa"/>
            <w:vAlign w:val="bottom"/>
          </w:tcPr>
          <w:p w:rsidR="00F92819" w:rsidRDefault="00F92819">
            <w:pPr>
              <w:spacing w:before="40" w:after="40" w:line="220" w:lineRule="exact"/>
              <w:jc w:val="right"/>
              <w:rPr>
                <w:sz w:val="18"/>
                <w:szCs w:val="24"/>
              </w:rPr>
            </w:pPr>
            <w:r>
              <w:rPr>
                <w:sz w:val="18"/>
                <w:szCs w:val="24"/>
              </w:rPr>
              <w:t>4,77</w:t>
            </w:r>
          </w:p>
        </w:tc>
        <w:tc>
          <w:tcPr>
            <w:tcW w:w="647" w:type="dxa"/>
            <w:vAlign w:val="bottom"/>
          </w:tcPr>
          <w:p w:rsidR="00F92819" w:rsidRDefault="00F92819">
            <w:pPr>
              <w:spacing w:before="40" w:after="40" w:line="220" w:lineRule="exact"/>
              <w:jc w:val="right"/>
              <w:rPr>
                <w:sz w:val="18"/>
                <w:szCs w:val="24"/>
              </w:rPr>
            </w:pPr>
            <w:r>
              <w:rPr>
                <w:sz w:val="18"/>
                <w:szCs w:val="24"/>
              </w:rPr>
              <w:t>7,1</w:t>
            </w:r>
          </w:p>
        </w:tc>
        <w:tc>
          <w:tcPr>
            <w:tcW w:w="647" w:type="dxa"/>
            <w:vAlign w:val="bottom"/>
          </w:tcPr>
          <w:p w:rsidR="00F92819" w:rsidRDefault="00F92819">
            <w:pPr>
              <w:spacing w:before="40" w:after="40" w:line="220" w:lineRule="exact"/>
              <w:jc w:val="right"/>
              <w:rPr>
                <w:sz w:val="18"/>
                <w:szCs w:val="24"/>
              </w:rPr>
            </w:pPr>
            <w:r>
              <w:rPr>
                <w:sz w:val="18"/>
                <w:szCs w:val="24"/>
              </w:rPr>
              <w:t>12,3</w:t>
            </w:r>
          </w:p>
        </w:tc>
        <w:tc>
          <w:tcPr>
            <w:tcW w:w="648" w:type="dxa"/>
            <w:vAlign w:val="bottom"/>
          </w:tcPr>
          <w:p w:rsidR="00F92819" w:rsidRDefault="00F92819">
            <w:pPr>
              <w:spacing w:before="40" w:after="40" w:line="220" w:lineRule="exact"/>
              <w:jc w:val="right"/>
              <w:rPr>
                <w:sz w:val="18"/>
                <w:szCs w:val="24"/>
              </w:rPr>
            </w:pPr>
            <w:r>
              <w:rPr>
                <w:sz w:val="18"/>
                <w:szCs w:val="24"/>
              </w:rPr>
              <w:t>36,6</w:t>
            </w:r>
          </w:p>
        </w:tc>
        <w:tc>
          <w:tcPr>
            <w:tcW w:w="647" w:type="dxa"/>
            <w:vAlign w:val="bottom"/>
          </w:tcPr>
          <w:p w:rsidR="00F92819" w:rsidRDefault="00F92819">
            <w:pPr>
              <w:spacing w:before="40" w:after="40" w:line="220" w:lineRule="exact"/>
              <w:jc w:val="right"/>
              <w:rPr>
                <w:sz w:val="18"/>
                <w:szCs w:val="24"/>
              </w:rPr>
            </w:pPr>
            <w:r>
              <w:rPr>
                <w:sz w:val="18"/>
                <w:szCs w:val="24"/>
              </w:rPr>
              <w:t>38</w:t>
            </w:r>
          </w:p>
        </w:tc>
        <w:tc>
          <w:tcPr>
            <w:tcW w:w="648" w:type="dxa"/>
            <w:vAlign w:val="bottom"/>
          </w:tcPr>
          <w:p w:rsidR="00F92819" w:rsidRDefault="00F92819">
            <w:pPr>
              <w:spacing w:before="40" w:after="40" w:line="220" w:lineRule="exact"/>
              <w:jc w:val="right"/>
              <w:rPr>
                <w:sz w:val="18"/>
                <w:szCs w:val="24"/>
              </w:rPr>
            </w:pPr>
            <w:r>
              <w:rPr>
                <w:sz w:val="18"/>
                <w:szCs w:val="24"/>
              </w:rPr>
              <w:t>4,3</w:t>
            </w:r>
          </w:p>
        </w:tc>
        <w:tc>
          <w:tcPr>
            <w:tcW w:w="647" w:type="dxa"/>
            <w:vAlign w:val="bottom"/>
          </w:tcPr>
          <w:p w:rsidR="00F92819" w:rsidRDefault="00F92819">
            <w:pPr>
              <w:spacing w:before="40" w:after="40" w:line="220" w:lineRule="exact"/>
              <w:jc w:val="right"/>
              <w:rPr>
                <w:sz w:val="18"/>
                <w:szCs w:val="24"/>
              </w:rPr>
            </w:pPr>
            <w:r>
              <w:rPr>
                <w:sz w:val="18"/>
                <w:szCs w:val="24"/>
              </w:rPr>
              <w:t>1,7</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214,5</w:t>
            </w:r>
          </w:p>
        </w:tc>
      </w:tr>
      <w:tr w:rsidR="00F92819">
        <w:tc>
          <w:tcPr>
            <w:tcW w:w="1766" w:type="dxa"/>
            <w:vAlign w:val="bottom"/>
          </w:tcPr>
          <w:p w:rsidR="00F92819" w:rsidRDefault="00F92819">
            <w:pPr>
              <w:spacing w:before="40" w:after="40" w:line="220" w:lineRule="exact"/>
              <w:rPr>
                <w:szCs w:val="24"/>
              </w:rPr>
            </w:pPr>
            <w:r>
              <w:rPr>
                <w:sz w:val="18"/>
                <w:szCs w:val="24"/>
              </w:rPr>
              <w:t>1,50–1,99</w:t>
            </w:r>
          </w:p>
        </w:tc>
        <w:tc>
          <w:tcPr>
            <w:tcW w:w="782" w:type="dxa"/>
            <w:vAlign w:val="bottom"/>
          </w:tcPr>
          <w:p w:rsidR="00F92819" w:rsidRDefault="00F92819">
            <w:pPr>
              <w:spacing w:before="40" w:after="40" w:line="220" w:lineRule="exact"/>
              <w:jc w:val="right"/>
              <w:rPr>
                <w:sz w:val="18"/>
                <w:szCs w:val="24"/>
              </w:rPr>
            </w:pPr>
            <w:r>
              <w:rPr>
                <w:sz w:val="18"/>
                <w:szCs w:val="24"/>
              </w:rPr>
              <w:t>5,56</w:t>
            </w:r>
          </w:p>
        </w:tc>
        <w:tc>
          <w:tcPr>
            <w:tcW w:w="647" w:type="dxa"/>
            <w:vAlign w:val="bottom"/>
          </w:tcPr>
          <w:p w:rsidR="00F92819" w:rsidRDefault="00F92819">
            <w:pPr>
              <w:spacing w:before="40" w:after="40" w:line="220" w:lineRule="exact"/>
              <w:jc w:val="right"/>
              <w:rPr>
                <w:sz w:val="18"/>
                <w:szCs w:val="24"/>
              </w:rPr>
            </w:pPr>
            <w:r>
              <w:rPr>
                <w:sz w:val="18"/>
                <w:szCs w:val="24"/>
              </w:rPr>
              <w:t>21</w:t>
            </w:r>
          </w:p>
        </w:tc>
        <w:tc>
          <w:tcPr>
            <w:tcW w:w="647" w:type="dxa"/>
            <w:vAlign w:val="bottom"/>
          </w:tcPr>
          <w:p w:rsidR="00F92819" w:rsidRDefault="00F92819">
            <w:pPr>
              <w:spacing w:before="40" w:after="40" w:line="220" w:lineRule="exact"/>
              <w:jc w:val="right"/>
              <w:rPr>
                <w:sz w:val="18"/>
                <w:szCs w:val="24"/>
              </w:rPr>
            </w:pPr>
            <w:r>
              <w:rPr>
                <w:sz w:val="18"/>
                <w:szCs w:val="24"/>
              </w:rPr>
              <w:t>30,4</w:t>
            </w:r>
          </w:p>
        </w:tc>
        <w:tc>
          <w:tcPr>
            <w:tcW w:w="648" w:type="dxa"/>
            <w:vAlign w:val="bottom"/>
          </w:tcPr>
          <w:p w:rsidR="00F92819" w:rsidRDefault="00F92819">
            <w:pPr>
              <w:spacing w:before="40" w:after="40" w:line="220" w:lineRule="exact"/>
              <w:jc w:val="right"/>
              <w:rPr>
                <w:sz w:val="18"/>
                <w:szCs w:val="24"/>
              </w:rPr>
            </w:pPr>
            <w:r>
              <w:rPr>
                <w:sz w:val="18"/>
                <w:szCs w:val="24"/>
              </w:rPr>
              <w:t>30,2</w:t>
            </w:r>
          </w:p>
        </w:tc>
        <w:tc>
          <w:tcPr>
            <w:tcW w:w="647" w:type="dxa"/>
            <w:vAlign w:val="bottom"/>
          </w:tcPr>
          <w:p w:rsidR="00F92819" w:rsidRDefault="00F92819">
            <w:pPr>
              <w:spacing w:before="40" w:after="40" w:line="220" w:lineRule="exact"/>
              <w:jc w:val="right"/>
              <w:rPr>
                <w:sz w:val="18"/>
                <w:szCs w:val="24"/>
              </w:rPr>
            </w:pPr>
            <w:r>
              <w:rPr>
                <w:sz w:val="18"/>
                <w:szCs w:val="24"/>
              </w:rPr>
              <w:t>6,3</w:t>
            </w:r>
          </w:p>
        </w:tc>
        <w:tc>
          <w:tcPr>
            <w:tcW w:w="648" w:type="dxa"/>
            <w:vAlign w:val="bottom"/>
          </w:tcPr>
          <w:p w:rsidR="00F92819" w:rsidRDefault="00F92819">
            <w:pPr>
              <w:spacing w:before="40" w:after="40" w:line="220" w:lineRule="exact"/>
              <w:jc w:val="right"/>
              <w:rPr>
                <w:sz w:val="18"/>
                <w:szCs w:val="24"/>
              </w:rPr>
            </w:pPr>
            <w:r>
              <w:rPr>
                <w:sz w:val="18"/>
                <w:szCs w:val="24"/>
              </w:rPr>
              <w:t>12,1</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96,1</w:t>
            </w:r>
          </w:p>
        </w:tc>
      </w:tr>
      <w:tr w:rsidR="00F92819">
        <w:tc>
          <w:tcPr>
            <w:tcW w:w="1766" w:type="dxa"/>
            <w:vAlign w:val="bottom"/>
          </w:tcPr>
          <w:p w:rsidR="00F92819" w:rsidRDefault="00F92819">
            <w:pPr>
              <w:spacing w:before="40" w:after="40" w:line="220" w:lineRule="exact"/>
              <w:rPr>
                <w:sz w:val="18"/>
                <w:szCs w:val="24"/>
              </w:rPr>
            </w:pPr>
            <w:r>
              <w:rPr>
                <w:sz w:val="18"/>
                <w:szCs w:val="24"/>
              </w:rPr>
              <w:t>2,00</w:t>
            </w:r>
          </w:p>
        </w:tc>
        <w:tc>
          <w:tcPr>
            <w:tcW w:w="782" w:type="dxa"/>
            <w:vAlign w:val="bottom"/>
          </w:tcPr>
          <w:p w:rsidR="00F92819" w:rsidRDefault="00F92819">
            <w:pPr>
              <w:spacing w:before="40" w:after="40" w:line="220" w:lineRule="exact"/>
              <w:jc w:val="right"/>
              <w:rPr>
                <w:sz w:val="18"/>
                <w:szCs w:val="24"/>
              </w:rPr>
            </w:pPr>
            <w:r>
              <w:rPr>
                <w:sz w:val="18"/>
                <w:szCs w:val="24"/>
              </w:rPr>
              <w:t>5,71</w:t>
            </w:r>
          </w:p>
        </w:tc>
        <w:tc>
          <w:tcPr>
            <w:tcW w:w="647" w:type="dxa"/>
            <w:vAlign w:val="bottom"/>
          </w:tcPr>
          <w:p w:rsidR="00F92819" w:rsidRDefault="00F92819">
            <w:pPr>
              <w:spacing w:before="40" w:after="40" w:line="220" w:lineRule="exact"/>
              <w:jc w:val="right"/>
              <w:rPr>
                <w:sz w:val="18"/>
                <w:szCs w:val="24"/>
              </w:rPr>
            </w:pPr>
            <w:r>
              <w:rPr>
                <w:sz w:val="18"/>
                <w:szCs w:val="24"/>
              </w:rPr>
              <w:t>24</w:t>
            </w:r>
          </w:p>
        </w:tc>
        <w:tc>
          <w:tcPr>
            <w:tcW w:w="647" w:type="dxa"/>
            <w:vAlign w:val="bottom"/>
          </w:tcPr>
          <w:p w:rsidR="00F92819" w:rsidRDefault="00F92819">
            <w:pPr>
              <w:spacing w:before="40" w:after="40" w:line="220" w:lineRule="exact"/>
              <w:jc w:val="right"/>
              <w:rPr>
                <w:sz w:val="18"/>
                <w:szCs w:val="24"/>
              </w:rPr>
            </w:pPr>
            <w:r>
              <w:rPr>
                <w:sz w:val="18"/>
                <w:szCs w:val="24"/>
              </w:rPr>
              <w:t>40,8</w:t>
            </w:r>
          </w:p>
        </w:tc>
        <w:tc>
          <w:tcPr>
            <w:tcW w:w="648" w:type="dxa"/>
            <w:vAlign w:val="bottom"/>
          </w:tcPr>
          <w:p w:rsidR="00F92819" w:rsidRDefault="00F92819">
            <w:pPr>
              <w:spacing w:before="40" w:after="40" w:line="220" w:lineRule="exact"/>
              <w:jc w:val="right"/>
              <w:rPr>
                <w:sz w:val="18"/>
                <w:szCs w:val="24"/>
              </w:rPr>
            </w:pPr>
            <w:r>
              <w:rPr>
                <w:sz w:val="18"/>
                <w:szCs w:val="24"/>
              </w:rPr>
              <w:t>11,2</w:t>
            </w:r>
          </w:p>
        </w:tc>
        <w:tc>
          <w:tcPr>
            <w:tcW w:w="647" w:type="dxa"/>
            <w:vAlign w:val="bottom"/>
          </w:tcPr>
          <w:p w:rsidR="00F92819" w:rsidRDefault="00F92819">
            <w:pPr>
              <w:spacing w:before="40" w:after="40" w:line="220" w:lineRule="exact"/>
              <w:jc w:val="right"/>
              <w:rPr>
                <w:sz w:val="18"/>
                <w:szCs w:val="24"/>
              </w:rPr>
            </w:pPr>
            <w:r>
              <w:rPr>
                <w:sz w:val="18"/>
                <w:szCs w:val="24"/>
              </w:rPr>
              <w:t>10,9</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9,3</w:t>
            </w:r>
          </w:p>
        </w:tc>
        <w:tc>
          <w:tcPr>
            <w:tcW w:w="648" w:type="dxa"/>
            <w:vAlign w:val="bottom"/>
          </w:tcPr>
          <w:p w:rsidR="00F92819" w:rsidRDefault="00F92819">
            <w:pPr>
              <w:spacing w:before="40" w:after="40" w:line="220" w:lineRule="exact"/>
              <w:jc w:val="right"/>
              <w:rPr>
                <w:sz w:val="18"/>
                <w:szCs w:val="24"/>
              </w:rPr>
            </w:pPr>
            <w:r>
              <w:rPr>
                <w:sz w:val="18"/>
                <w:szCs w:val="24"/>
              </w:rPr>
              <w:t>1,2</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32,2</w:t>
            </w:r>
          </w:p>
        </w:tc>
      </w:tr>
      <w:tr w:rsidR="00F92819">
        <w:tc>
          <w:tcPr>
            <w:tcW w:w="1766" w:type="dxa"/>
            <w:vAlign w:val="bottom"/>
          </w:tcPr>
          <w:p w:rsidR="00F92819" w:rsidRDefault="00F92819">
            <w:pPr>
              <w:spacing w:before="40" w:after="40" w:line="220" w:lineRule="exact"/>
              <w:rPr>
                <w:szCs w:val="24"/>
              </w:rPr>
            </w:pPr>
            <w:r>
              <w:rPr>
                <w:sz w:val="18"/>
                <w:szCs w:val="24"/>
              </w:rPr>
              <w:t>2,01–2,49</w:t>
            </w:r>
          </w:p>
        </w:tc>
        <w:tc>
          <w:tcPr>
            <w:tcW w:w="782" w:type="dxa"/>
            <w:vAlign w:val="bottom"/>
          </w:tcPr>
          <w:p w:rsidR="00F92819" w:rsidRDefault="00F92819">
            <w:pPr>
              <w:spacing w:before="40" w:after="40" w:line="220" w:lineRule="exact"/>
              <w:jc w:val="right"/>
              <w:rPr>
                <w:sz w:val="18"/>
                <w:szCs w:val="24"/>
              </w:rPr>
            </w:pPr>
            <w:r>
              <w:rPr>
                <w:sz w:val="18"/>
                <w:szCs w:val="24"/>
              </w:rPr>
              <w:t>8,09</w:t>
            </w:r>
          </w:p>
        </w:tc>
        <w:tc>
          <w:tcPr>
            <w:tcW w:w="647" w:type="dxa"/>
            <w:vAlign w:val="bottom"/>
          </w:tcPr>
          <w:p w:rsidR="00F92819" w:rsidRDefault="00F92819">
            <w:pPr>
              <w:spacing w:before="40" w:after="40" w:line="220" w:lineRule="exact"/>
              <w:jc w:val="right"/>
              <w:rPr>
                <w:sz w:val="18"/>
                <w:szCs w:val="24"/>
              </w:rPr>
            </w:pPr>
            <w:r>
              <w:rPr>
                <w:sz w:val="18"/>
                <w:szCs w:val="24"/>
              </w:rPr>
              <w:t>92,4</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11,8</w:t>
            </w:r>
          </w:p>
        </w:tc>
      </w:tr>
      <w:tr w:rsidR="00F92819">
        <w:tc>
          <w:tcPr>
            <w:tcW w:w="1766" w:type="dxa"/>
            <w:vAlign w:val="bottom"/>
          </w:tcPr>
          <w:p w:rsidR="00F92819" w:rsidRDefault="00F92819">
            <w:pPr>
              <w:spacing w:before="40" w:after="40" w:line="220" w:lineRule="exact"/>
              <w:rPr>
                <w:szCs w:val="24"/>
              </w:rPr>
            </w:pPr>
            <w:r>
              <w:rPr>
                <w:sz w:val="18"/>
                <w:szCs w:val="24"/>
              </w:rPr>
              <w:t>2,50–2,99</w:t>
            </w:r>
          </w:p>
        </w:tc>
        <w:tc>
          <w:tcPr>
            <w:tcW w:w="782" w:type="dxa"/>
            <w:vAlign w:val="bottom"/>
          </w:tcPr>
          <w:p w:rsidR="00F92819" w:rsidRDefault="00F92819">
            <w:pPr>
              <w:spacing w:before="40" w:after="40" w:line="220" w:lineRule="exact"/>
              <w:jc w:val="right"/>
              <w:rPr>
                <w:sz w:val="18"/>
                <w:szCs w:val="24"/>
              </w:rPr>
            </w:pPr>
            <w:r>
              <w:rPr>
                <w:sz w:val="18"/>
                <w:szCs w:val="24"/>
              </w:rPr>
              <w:t>7,92</w:t>
            </w:r>
          </w:p>
        </w:tc>
        <w:tc>
          <w:tcPr>
            <w:tcW w:w="647" w:type="dxa"/>
            <w:vAlign w:val="bottom"/>
          </w:tcPr>
          <w:p w:rsidR="00F92819" w:rsidRDefault="00F92819">
            <w:pPr>
              <w:spacing w:before="40" w:after="40" w:line="220" w:lineRule="exact"/>
              <w:jc w:val="right"/>
              <w:rPr>
                <w:sz w:val="18"/>
                <w:szCs w:val="24"/>
              </w:rPr>
            </w:pPr>
            <w:r>
              <w:rPr>
                <w:sz w:val="18"/>
                <w:szCs w:val="24"/>
              </w:rPr>
              <w:t>71,1</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24,1</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8,3</w:t>
            </w:r>
          </w:p>
        </w:tc>
      </w:tr>
      <w:tr w:rsidR="00F92819">
        <w:tc>
          <w:tcPr>
            <w:tcW w:w="1766" w:type="dxa"/>
            <w:tcBorders>
              <w:bottom w:val="single" w:sz="4" w:space="0" w:color="auto"/>
            </w:tcBorders>
            <w:vAlign w:val="bottom"/>
          </w:tcPr>
          <w:p w:rsidR="00F92819" w:rsidRDefault="00F92819">
            <w:pPr>
              <w:spacing w:before="40" w:after="40" w:line="220" w:lineRule="exact"/>
              <w:rPr>
                <w:sz w:val="18"/>
                <w:szCs w:val="24"/>
              </w:rPr>
            </w:pPr>
            <w:r>
              <w:rPr>
                <w:sz w:val="18"/>
                <w:szCs w:val="24"/>
              </w:rPr>
              <w:t>3,00+</w:t>
            </w:r>
          </w:p>
        </w:tc>
        <w:tc>
          <w:tcPr>
            <w:tcW w:w="782"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8,48</w:t>
            </w:r>
          </w:p>
        </w:tc>
        <w:tc>
          <w:tcPr>
            <w:tcW w:w="647"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69,1</w:t>
            </w:r>
          </w:p>
        </w:tc>
        <w:tc>
          <w:tcPr>
            <w:tcW w:w="647"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14,7</w:t>
            </w:r>
          </w:p>
        </w:tc>
        <w:tc>
          <w:tcPr>
            <w:tcW w:w="648"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47"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48"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47"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48"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62" w:type="dxa"/>
            <w:tcBorders>
              <w:bottom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763"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6,7</w:t>
            </w:r>
          </w:p>
        </w:tc>
      </w:tr>
      <w:tr w:rsidR="00F92819">
        <w:tc>
          <w:tcPr>
            <w:tcW w:w="1766" w:type="dxa"/>
            <w:tcBorders>
              <w:top w:val="single" w:sz="4" w:space="0" w:color="auto"/>
              <w:bottom w:val="single" w:sz="4" w:space="0" w:color="auto"/>
            </w:tcBorders>
            <w:vAlign w:val="bottom"/>
          </w:tcPr>
          <w:p w:rsidR="00F92819" w:rsidRDefault="00F92819">
            <w:pPr>
              <w:spacing w:before="80" w:after="80" w:line="220" w:lineRule="exact"/>
              <w:ind w:left="284"/>
              <w:rPr>
                <w:szCs w:val="24"/>
              </w:rPr>
            </w:pPr>
            <w:r>
              <w:rPr>
                <w:b/>
                <w:sz w:val="18"/>
                <w:szCs w:val="24"/>
                <w:lang w:val="es-ES_tradnl"/>
              </w:rPr>
              <w:t>Árabes (2) - Total</w:t>
            </w:r>
          </w:p>
        </w:tc>
        <w:tc>
          <w:tcPr>
            <w:tcW w:w="782"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4,86</w:t>
            </w:r>
          </w:p>
        </w:tc>
        <w:tc>
          <w:tcPr>
            <w:tcW w:w="647"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19,8</w:t>
            </w:r>
          </w:p>
        </w:tc>
        <w:tc>
          <w:tcPr>
            <w:tcW w:w="647"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15,4</w:t>
            </w:r>
          </w:p>
        </w:tc>
        <w:tc>
          <w:tcPr>
            <w:tcW w:w="648"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19,2</w:t>
            </w:r>
          </w:p>
        </w:tc>
        <w:tc>
          <w:tcPr>
            <w:tcW w:w="647"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18,3</w:t>
            </w:r>
          </w:p>
        </w:tc>
        <w:tc>
          <w:tcPr>
            <w:tcW w:w="648"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11,4</w:t>
            </w:r>
          </w:p>
        </w:tc>
        <w:tc>
          <w:tcPr>
            <w:tcW w:w="647"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10,8</w:t>
            </w:r>
          </w:p>
        </w:tc>
        <w:tc>
          <w:tcPr>
            <w:tcW w:w="648"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5</w:t>
            </w:r>
          </w:p>
        </w:tc>
        <w:tc>
          <w:tcPr>
            <w:tcW w:w="662"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100</w:t>
            </w:r>
          </w:p>
        </w:tc>
        <w:tc>
          <w:tcPr>
            <w:tcW w:w="763"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279,2</w:t>
            </w:r>
          </w:p>
        </w:tc>
      </w:tr>
      <w:tr w:rsidR="00F92819">
        <w:tc>
          <w:tcPr>
            <w:tcW w:w="1766" w:type="dxa"/>
            <w:vAlign w:val="bottom"/>
          </w:tcPr>
          <w:p w:rsidR="00F92819" w:rsidRDefault="00F92819">
            <w:pPr>
              <w:spacing w:before="40" w:after="40" w:line="220" w:lineRule="exact"/>
              <w:rPr>
                <w:szCs w:val="24"/>
              </w:rPr>
            </w:pPr>
            <w:r>
              <w:rPr>
                <w:sz w:val="18"/>
                <w:szCs w:val="24"/>
                <w:lang w:val="es-ES_tradnl"/>
              </w:rPr>
              <w:t>Hasta 0,99</w:t>
            </w:r>
          </w:p>
        </w:tc>
        <w:tc>
          <w:tcPr>
            <w:tcW w:w="782" w:type="dxa"/>
            <w:vAlign w:val="bottom"/>
          </w:tcPr>
          <w:p w:rsidR="00F92819" w:rsidRDefault="00F92819">
            <w:pPr>
              <w:spacing w:before="40" w:after="40" w:line="220" w:lineRule="exact"/>
              <w:jc w:val="right"/>
              <w:rPr>
                <w:sz w:val="18"/>
                <w:szCs w:val="24"/>
              </w:rPr>
            </w:pPr>
            <w:r>
              <w:rPr>
                <w:sz w:val="18"/>
                <w:szCs w:val="24"/>
              </w:rPr>
              <w:t>2,29</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3,7</w:t>
            </w:r>
          </w:p>
        </w:tc>
        <w:tc>
          <w:tcPr>
            <w:tcW w:w="647" w:type="dxa"/>
            <w:vAlign w:val="bottom"/>
          </w:tcPr>
          <w:p w:rsidR="00F92819" w:rsidRDefault="00F92819">
            <w:pPr>
              <w:spacing w:before="40" w:after="40" w:line="220" w:lineRule="exact"/>
              <w:jc w:val="right"/>
              <w:rPr>
                <w:sz w:val="18"/>
                <w:szCs w:val="24"/>
              </w:rPr>
            </w:pPr>
            <w:r>
              <w:rPr>
                <w:sz w:val="18"/>
                <w:szCs w:val="24"/>
              </w:rPr>
              <w:t>8,6</w:t>
            </w:r>
          </w:p>
        </w:tc>
        <w:tc>
          <w:tcPr>
            <w:tcW w:w="648" w:type="dxa"/>
            <w:vAlign w:val="bottom"/>
          </w:tcPr>
          <w:p w:rsidR="00F92819" w:rsidRDefault="00F92819">
            <w:pPr>
              <w:spacing w:before="40" w:after="40" w:line="220" w:lineRule="exact"/>
              <w:jc w:val="right"/>
              <w:rPr>
                <w:sz w:val="18"/>
                <w:szCs w:val="24"/>
              </w:rPr>
            </w:pPr>
            <w:r>
              <w:rPr>
                <w:sz w:val="18"/>
                <w:szCs w:val="24"/>
              </w:rPr>
              <w:t>20,7</w:t>
            </w:r>
          </w:p>
        </w:tc>
        <w:tc>
          <w:tcPr>
            <w:tcW w:w="647" w:type="dxa"/>
            <w:vAlign w:val="bottom"/>
          </w:tcPr>
          <w:p w:rsidR="00F92819" w:rsidRDefault="00F92819">
            <w:pPr>
              <w:spacing w:before="40" w:after="40" w:line="220" w:lineRule="exact"/>
              <w:jc w:val="right"/>
              <w:rPr>
                <w:sz w:val="18"/>
                <w:szCs w:val="24"/>
              </w:rPr>
            </w:pPr>
            <w:r>
              <w:rPr>
                <w:sz w:val="18"/>
                <w:szCs w:val="24"/>
              </w:rPr>
              <w:t>43,9</w:t>
            </w:r>
          </w:p>
        </w:tc>
        <w:tc>
          <w:tcPr>
            <w:tcW w:w="648" w:type="dxa"/>
            <w:vAlign w:val="bottom"/>
          </w:tcPr>
          <w:p w:rsidR="00F92819" w:rsidRDefault="00F92819">
            <w:pPr>
              <w:spacing w:before="40" w:after="40" w:line="220" w:lineRule="exact"/>
              <w:jc w:val="right"/>
              <w:rPr>
                <w:sz w:val="18"/>
                <w:szCs w:val="24"/>
              </w:rPr>
            </w:pPr>
            <w:r>
              <w:rPr>
                <w:sz w:val="18"/>
                <w:szCs w:val="24"/>
              </w:rPr>
              <w:t>22,6</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51,3</w:t>
            </w:r>
          </w:p>
        </w:tc>
      </w:tr>
      <w:tr w:rsidR="00F92819">
        <w:tc>
          <w:tcPr>
            <w:tcW w:w="1766" w:type="dxa"/>
            <w:vAlign w:val="bottom"/>
          </w:tcPr>
          <w:p w:rsidR="00F92819" w:rsidRDefault="00F92819">
            <w:pPr>
              <w:spacing w:before="40" w:after="40" w:line="220" w:lineRule="exact"/>
              <w:rPr>
                <w:sz w:val="18"/>
                <w:szCs w:val="24"/>
              </w:rPr>
            </w:pPr>
            <w:r>
              <w:rPr>
                <w:sz w:val="18"/>
                <w:szCs w:val="24"/>
              </w:rPr>
              <w:t>1,00</w:t>
            </w:r>
          </w:p>
        </w:tc>
        <w:tc>
          <w:tcPr>
            <w:tcW w:w="782" w:type="dxa"/>
            <w:vAlign w:val="bottom"/>
          </w:tcPr>
          <w:p w:rsidR="00F92819" w:rsidRDefault="00F92819">
            <w:pPr>
              <w:spacing w:before="40" w:after="40" w:line="220" w:lineRule="exact"/>
              <w:jc w:val="right"/>
              <w:rPr>
                <w:sz w:val="18"/>
                <w:szCs w:val="24"/>
              </w:rPr>
            </w:pPr>
            <w:r>
              <w:rPr>
                <w:sz w:val="18"/>
                <w:szCs w:val="24"/>
              </w:rPr>
              <w:t>3,47</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9,3</w:t>
            </w:r>
          </w:p>
        </w:tc>
        <w:tc>
          <w:tcPr>
            <w:tcW w:w="647" w:type="dxa"/>
            <w:vAlign w:val="bottom"/>
          </w:tcPr>
          <w:p w:rsidR="00F92819" w:rsidRDefault="00F92819">
            <w:pPr>
              <w:spacing w:before="40" w:after="40" w:line="220" w:lineRule="exact"/>
              <w:jc w:val="right"/>
              <w:rPr>
                <w:sz w:val="18"/>
                <w:szCs w:val="24"/>
              </w:rPr>
            </w:pPr>
            <w:r>
              <w:rPr>
                <w:sz w:val="18"/>
                <w:szCs w:val="24"/>
              </w:rPr>
              <w:t>39,6</w:t>
            </w:r>
          </w:p>
        </w:tc>
        <w:tc>
          <w:tcPr>
            <w:tcW w:w="648" w:type="dxa"/>
            <w:vAlign w:val="bottom"/>
          </w:tcPr>
          <w:p w:rsidR="00F92819" w:rsidRDefault="00F92819">
            <w:pPr>
              <w:spacing w:before="40" w:after="40" w:line="220" w:lineRule="exact"/>
              <w:jc w:val="right"/>
              <w:rPr>
                <w:sz w:val="18"/>
                <w:szCs w:val="24"/>
              </w:rPr>
            </w:pPr>
            <w:r>
              <w:rPr>
                <w:sz w:val="18"/>
                <w:szCs w:val="24"/>
              </w:rPr>
              <w:t>31,3</w:t>
            </w:r>
          </w:p>
        </w:tc>
        <w:tc>
          <w:tcPr>
            <w:tcW w:w="647" w:type="dxa"/>
            <w:vAlign w:val="bottom"/>
          </w:tcPr>
          <w:p w:rsidR="00F92819" w:rsidRDefault="00F92819">
            <w:pPr>
              <w:spacing w:before="40" w:after="40" w:line="220" w:lineRule="exact"/>
              <w:jc w:val="right"/>
              <w:rPr>
                <w:sz w:val="18"/>
                <w:szCs w:val="24"/>
              </w:rPr>
            </w:pPr>
            <w:r>
              <w:rPr>
                <w:sz w:val="18"/>
                <w:szCs w:val="24"/>
              </w:rPr>
              <w:t>12,4</w:t>
            </w:r>
          </w:p>
        </w:tc>
        <w:tc>
          <w:tcPr>
            <w:tcW w:w="648" w:type="dxa"/>
            <w:vAlign w:val="bottom"/>
          </w:tcPr>
          <w:p w:rsidR="00F92819" w:rsidRDefault="00F92819">
            <w:pPr>
              <w:spacing w:before="40" w:after="40" w:line="220" w:lineRule="exact"/>
              <w:jc w:val="right"/>
              <w:rPr>
                <w:sz w:val="18"/>
                <w:szCs w:val="24"/>
              </w:rPr>
            </w:pPr>
            <w:r>
              <w:rPr>
                <w:sz w:val="18"/>
                <w:szCs w:val="24"/>
              </w:rPr>
              <w:t>5,4</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46,0</w:t>
            </w:r>
          </w:p>
        </w:tc>
      </w:tr>
      <w:tr w:rsidR="00F92819">
        <w:tc>
          <w:tcPr>
            <w:tcW w:w="1766" w:type="dxa"/>
            <w:vAlign w:val="bottom"/>
          </w:tcPr>
          <w:p w:rsidR="00F92819" w:rsidRDefault="00F92819">
            <w:pPr>
              <w:spacing w:before="40" w:after="40" w:line="220" w:lineRule="exact"/>
              <w:rPr>
                <w:szCs w:val="24"/>
              </w:rPr>
            </w:pPr>
            <w:r>
              <w:rPr>
                <w:sz w:val="18"/>
                <w:szCs w:val="24"/>
              </w:rPr>
              <w:t>1,01–1,49</w:t>
            </w:r>
          </w:p>
        </w:tc>
        <w:tc>
          <w:tcPr>
            <w:tcW w:w="782" w:type="dxa"/>
            <w:vAlign w:val="bottom"/>
          </w:tcPr>
          <w:p w:rsidR="00F92819" w:rsidRDefault="00F92819">
            <w:pPr>
              <w:spacing w:before="40" w:after="40" w:line="220" w:lineRule="exact"/>
              <w:jc w:val="right"/>
              <w:rPr>
                <w:sz w:val="18"/>
                <w:szCs w:val="24"/>
              </w:rPr>
            </w:pPr>
            <w:r>
              <w:rPr>
                <w:sz w:val="18"/>
                <w:szCs w:val="24"/>
              </w:rPr>
              <w:t>4,77</w:t>
            </w:r>
          </w:p>
        </w:tc>
        <w:tc>
          <w:tcPr>
            <w:tcW w:w="647" w:type="dxa"/>
            <w:vAlign w:val="bottom"/>
          </w:tcPr>
          <w:p w:rsidR="00F92819" w:rsidRDefault="00F92819">
            <w:pPr>
              <w:spacing w:before="40" w:after="40" w:line="220" w:lineRule="exact"/>
              <w:jc w:val="right"/>
              <w:rPr>
                <w:sz w:val="18"/>
                <w:szCs w:val="24"/>
              </w:rPr>
            </w:pPr>
            <w:r>
              <w:rPr>
                <w:sz w:val="18"/>
                <w:szCs w:val="24"/>
              </w:rPr>
              <w:t>6,9</w:t>
            </w:r>
          </w:p>
        </w:tc>
        <w:tc>
          <w:tcPr>
            <w:tcW w:w="647" w:type="dxa"/>
            <w:vAlign w:val="bottom"/>
          </w:tcPr>
          <w:p w:rsidR="00F92819" w:rsidRDefault="00F92819">
            <w:pPr>
              <w:spacing w:before="40" w:after="40" w:line="220" w:lineRule="exact"/>
              <w:jc w:val="right"/>
              <w:rPr>
                <w:sz w:val="18"/>
                <w:szCs w:val="24"/>
              </w:rPr>
            </w:pPr>
            <w:r>
              <w:rPr>
                <w:sz w:val="18"/>
                <w:szCs w:val="24"/>
              </w:rPr>
              <w:t>5,1</w:t>
            </w:r>
          </w:p>
        </w:tc>
        <w:tc>
          <w:tcPr>
            <w:tcW w:w="648" w:type="dxa"/>
            <w:vAlign w:val="bottom"/>
          </w:tcPr>
          <w:p w:rsidR="00F92819" w:rsidRDefault="00F92819">
            <w:pPr>
              <w:spacing w:before="40" w:after="40" w:line="220" w:lineRule="exact"/>
              <w:jc w:val="right"/>
              <w:rPr>
                <w:sz w:val="18"/>
                <w:szCs w:val="24"/>
              </w:rPr>
            </w:pPr>
            <w:r>
              <w:rPr>
                <w:sz w:val="18"/>
                <w:szCs w:val="24"/>
              </w:rPr>
              <w:t>43,1</w:t>
            </w:r>
          </w:p>
        </w:tc>
        <w:tc>
          <w:tcPr>
            <w:tcW w:w="647" w:type="dxa"/>
            <w:vAlign w:val="bottom"/>
          </w:tcPr>
          <w:p w:rsidR="00F92819" w:rsidRDefault="00F92819">
            <w:pPr>
              <w:spacing w:before="40" w:after="40" w:line="220" w:lineRule="exact"/>
              <w:jc w:val="right"/>
              <w:rPr>
                <w:sz w:val="18"/>
                <w:szCs w:val="24"/>
              </w:rPr>
            </w:pPr>
            <w:r>
              <w:rPr>
                <w:sz w:val="18"/>
                <w:szCs w:val="24"/>
              </w:rPr>
              <w:t>41,6</w:t>
            </w:r>
          </w:p>
        </w:tc>
        <w:tc>
          <w:tcPr>
            <w:tcW w:w="648" w:type="dxa"/>
            <w:vAlign w:val="bottom"/>
          </w:tcPr>
          <w:p w:rsidR="00F92819" w:rsidRDefault="00F92819">
            <w:pPr>
              <w:spacing w:before="40" w:after="40" w:line="220" w:lineRule="exact"/>
              <w:jc w:val="right"/>
              <w:rPr>
                <w:sz w:val="18"/>
                <w:szCs w:val="24"/>
              </w:rPr>
            </w:pPr>
            <w:r>
              <w:rPr>
                <w:sz w:val="18"/>
                <w:szCs w:val="24"/>
              </w:rPr>
              <w:t>2,2</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50,9</w:t>
            </w:r>
          </w:p>
        </w:tc>
      </w:tr>
      <w:tr w:rsidR="00F92819">
        <w:tc>
          <w:tcPr>
            <w:tcW w:w="1766" w:type="dxa"/>
            <w:vAlign w:val="bottom"/>
          </w:tcPr>
          <w:p w:rsidR="00F92819" w:rsidRDefault="00F92819">
            <w:pPr>
              <w:spacing w:before="40" w:after="40" w:line="220" w:lineRule="exact"/>
              <w:rPr>
                <w:szCs w:val="24"/>
              </w:rPr>
            </w:pPr>
            <w:r>
              <w:rPr>
                <w:sz w:val="18"/>
                <w:szCs w:val="24"/>
              </w:rPr>
              <w:t>1,50–1,99</w:t>
            </w:r>
          </w:p>
        </w:tc>
        <w:tc>
          <w:tcPr>
            <w:tcW w:w="782" w:type="dxa"/>
            <w:vAlign w:val="bottom"/>
          </w:tcPr>
          <w:p w:rsidR="00F92819" w:rsidRDefault="00F92819">
            <w:pPr>
              <w:spacing w:before="40" w:after="40" w:line="220" w:lineRule="exact"/>
              <w:jc w:val="right"/>
              <w:rPr>
                <w:sz w:val="18"/>
                <w:szCs w:val="24"/>
              </w:rPr>
            </w:pPr>
            <w:r>
              <w:rPr>
                <w:sz w:val="18"/>
                <w:szCs w:val="24"/>
              </w:rPr>
              <w:t>5,78</w:t>
            </w:r>
          </w:p>
        </w:tc>
        <w:tc>
          <w:tcPr>
            <w:tcW w:w="647" w:type="dxa"/>
            <w:vAlign w:val="bottom"/>
          </w:tcPr>
          <w:p w:rsidR="00F92819" w:rsidRDefault="00F92819">
            <w:pPr>
              <w:spacing w:before="40" w:after="40" w:line="220" w:lineRule="exact"/>
              <w:jc w:val="right"/>
              <w:rPr>
                <w:sz w:val="18"/>
                <w:szCs w:val="24"/>
              </w:rPr>
            </w:pPr>
            <w:r>
              <w:rPr>
                <w:sz w:val="18"/>
                <w:szCs w:val="24"/>
              </w:rPr>
              <w:t>23,2</w:t>
            </w:r>
          </w:p>
        </w:tc>
        <w:tc>
          <w:tcPr>
            <w:tcW w:w="647" w:type="dxa"/>
            <w:vAlign w:val="bottom"/>
          </w:tcPr>
          <w:p w:rsidR="00F92819" w:rsidRDefault="00F92819">
            <w:pPr>
              <w:spacing w:before="40" w:after="40" w:line="220" w:lineRule="exact"/>
              <w:jc w:val="right"/>
              <w:rPr>
                <w:sz w:val="18"/>
                <w:szCs w:val="24"/>
              </w:rPr>
            </w:pPr>
            <w:r>
              <w:rPr>
                <w:sz w:val="18"/>
                <w:szCs w:val="24"/>
              </w:rPr>
              <w:t>33,6</w:t>
            </w:r>
          </w:p>
        </w:tc>
        <w:tc>
          <w:tcPr>
            <w:tcW w:w="648" w:type="dxa"/>
            <w:vAlign w:val="bottom"/>
          </w:tcPr>
          <w:p w:rsidR="00F92819" w:rsidRDefault="00F92819">
            <w:pPr>
              <w:spacing w:before="40" w:after="40" w:line="220" w:lineRule="exact"/>
              <w:jc w:val="right"/>
              <w:rPr>
                <w:sz w:val="18"/>
                <w:szCs w:val="24"/>
              </w:rPr>
            </w:pPr>
            <w:r>
              <w:rPr>
                <w:sz w:val="18"/>
                <w:szCs w:val="24"/>
              </w:rPr>
              <w:t>32,2</w:t>
            </w:r>
          </w:p>
        </w:tc>
        <w:tc>
          <w:tcPr>
            <w:tcW w:w="647" w:type="dxa"/>
            <w:vAlign w:val="bottom"/>
          </w:tcPr>
          <w:p w:rsidR="00F92819" w:rsidRDefault="00F92819">
            <w:pPr>
              <w:spacing w:before="40" w:after="40" w:line="220" w:lineRule="exact"/>
              <w:jc w:val="right"/>
              <w:rPr>
                <w:sz w:val="18"/>
                <w:szCs w:val="24"/>
              </w:rPr>
            </w:pPr>
            <w:r>
              <w:rPr>
                <w:sz w:val="18"/>
                <w:szCs w:val="24"/>
              </w:rPr>
              <w:t>2</w:t>
            </w:r>
          </w:p>
        </w:tc>
        <w:tc>
          <w:tcPr>
            <w:tcW w:w="648" w:type="dxa"/>
            <w:vAlign w:val="bottom"/>
          </w:tcPr>
          <w:p w:rsidR="00F92819" w:rsidRDefault="00F92819">
            <w:pPr>
              <w:spacing w:before="40" w:after="40" w:line="220" w:lineRule="exact"/>
              <w:jc w:val="right"/>
              <w:rPr>
                <w:sz w:val="18"/>
                <w:szCs w:val="24"/>
              </w:rPr>
            </w:pPr>
            <w:r>
              <w:rPr>
                <w:sz w:val="18"/>
                <w:szCs w:val="24"/>
              </w:rPr>
              <w:t>9</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58,6</w:t>
            </w:r>
          </w:p>
        </w:tc>
      </w:tr>
      <w:tr w:rsidR="00F92819">
        <w:tc>
          <w:tcPr>
            <w:tcW w:w="1766" w:type="dxa"/>
            <w:vAlign w:val="bottom"/>
          </w:tcPr>
          <w:p w:rsidR="00F92819" w:rsidRDefault="00F92819">
            <w:pPr>
              <w:spacing w:before="40" w:after="40" w:line="220" w:lineRule="exact"/>
              <w:rPr>
                <w:sz w:val="18"/>
                <w:szCs w:val="24"/>
              </w:rPr>
            </w:pPr>
            <w:r>
              <w:rPr>
                <w:sz w:val="18"/>
                <w:szCs w:val="24"/>
              </w:rPr>
              <w:t>2,00</w:t>
            </w:r>
          </w:p>
        </w:tc>
        <w:tc>
          <w:tcPr>
            <w:tcW w:w="782" w:type="dxa"/>
            <w:vAlign w:val="bottom"/>
          </w:tcPr>
          <w:p w:rsidR="00F92819" w:rsidRDefault="00F92819">
            <w:pPr>
              <w:spacing w:before="40" w:after="40" w:line="220" w:lineRule="exact"/>
              <w:jc w:val="right"/>
              <w:rPr>
                <w:sz w:val="18"/>
                <w:szCs w:val="24"/>
              </w:rPr>
            </w:pPr>
            <w:r>
              <w:rPr>
                <w:sz w:val="18"/>
                <w:szCs w:val="24"/>
              </w:rPr>
              <w:t>6,10</w:t>
            </w:r>
          </w:p>
        </w:tc>
        <w:tc>
          <w:tcPr>
            <w:tcW w:w="647" w:type="dxa"/>
            <w:vAlign w:val="bottom"/>
          </w:tcPr>
          <w:p w:rsidR="00F92819" w:rsidRDefault="00F92819">
            <w:pPr>
              <w:spacing w:before="40" w:after="40" w:line="220" w:lineRule="exact"/>
              <w:jc w:val="right"/>
              <w:rPr>
                <w:sz w:val="18"/>
                <w:szCs w:val="24"/>
              </w:rPr>
            </w:pPr>
            <w:r>
              <w:rPr>
                <w:sz w:val="18"/>
                <w:szCs w:val="24"/>
              </w:rPr>
              <w:t>23,7</w:t>
            </w:r>
          </w:p>
        </w:tc>
        <w:tc>
          <w:tcPr>
            <w:tcW w:w="647" w:type="dxa"/>
            <w:vAlign w:val="bottom"/>
          </w:tcPr>
          <w:p w:rsidR="00F92819" w:rsidRDefault="00F92819">
            <w:pPr>
              <w:spacing w:before="40" w:after="40" w:line="220" w:lineRule="exact"/>
              <w:jc w:val="right"/>
              <w:rPr>
                <w:sz w:val="18"/>
                <w:szCs w:val="24"/>
              </w:rPr>
            </w:pPr>
            <w:r>
              <w:rPr>
                <w:sz w:val="18"/>
                <w:szCs w:val="24"/>
              </w:rPr>
              <w:t>51,5</w:t>
            </w:r>
          </w:p>
        </w:tc>
        <w:tc>
          <w:tcPr>
            <w:tcW w:w="648" w:type="dxa"/>
            <w:vAlign w:val="bottom"/>
          </w:tcPr>
          <w:p w:rsidR="00F92819" w:rsidRDefault="00F92819">
            <w:pPr>
              <w:spacing w:before="40" w:after="40" w:line="220" w:lineRule="exact"/>
              <w:jc w:val="right"/>
              <w:rPr>
                <w:sz w:val="18"/>
                <w:szCs w:val="24"/>
              </w:rPr>
            </w:pPr>
            <w:r>
              <w:rPr>
                <w:sz w:val="18"/>
                <w:szCs w:val="24"/>
              </w:rPr>
              <w:t>3,8</w:t>
            </w:r>
          </w:p>
        </w:tc>
        <w:tc>
          <w:tcPr>
            <w:tcW w:w="647" w:type="dxa"/>
            <w:vAlign w:val="bottom"/>
          </w:tcPr>
          <w:p w:rsidR="00F92819" w:rsidRDefault="00F92819">
            <w:pPr>
              <w:spacing w:before="40" w:after="40" w:line="220" w:lineRule="exact"/>
              <w:jc w:val="right"/>
              <w:rPr>
                <w:sz w:val="18"/>
                <w:szCs w:val="24"/>
              </w:rPr>
            </w:pPr>
            <w:r>
              <w:rPr>
                <w:sz w:val="18"/>
                <w:szCs w:val="24"/>
              </w:rPr>
              <w:t>16,2</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4,1</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29,1</w:t>
            </w:r>
          </w:p>
        </w:tc>
      </w:tr>
      <w:tr w:rsidR="00F92819">
        <w:tc>
          <w:tcPr>
            <w:tcW w:w="1766" w:type="dxa"/>
            <w:vAlign w:val="bottom"/>
          </w:tcPr>
          <w:p w:rsidR="00F92819" w:rsidRDefault="00F92819">
            <w:pPr>
              <w:spacing w:before="40" w:after="40" w:line="220" w:lineRule="exact"/>
              <w:rPr>
                <w:szCs w:val="24"/>
              </w:rPr>
            </w:pPr>
            <w:r>
              <w:rPr>
                <w:sz w:val="18"/>
                <w:szCs w:val="24"/>
              </w:rPr>
              <w:t>2,01–2,49</w:t>
            </w:r>
          </w:p>
        </w:tc>
        <w:tc>
          <w:tcPr>
            <w:tcW w:w="782" w:type="dxa"/>
            <w:vAlign w:val="bottom"/>
          </w:tcPr>
          <w:p w:rsidR="00F92819" w:rsidRDefault="00F92819">
            <w:pPr>
              <w:spacing w:before="40" w:after="40" w:line="220" w:lineRule="exact"/>
              <w:jc w:val="right"/>
              <w:rPr>
                <w:sz w:val="18"/>
                <w:szCs w:val="24"/>
              </w:rPr>
            </w:pPr>
            <w:r>
              <w:rPr>
                <w:sz w:val="18"/>
                <w:szCs w:val="24"/>
              </w:rPr>
              <w:t>7,96</w:t>
            </w:r>
          </w:p>
        </w:tc>
        <w:tc>
          <w:tcPr>
            <w:tcW w:w="647" w:type="dxa"/>
            <w:vAlign w:val="bottom"/>
          </w:tcPr>
          <w:p w:rsidR="00F92819" w:rsidRDefault="00F92819">
            <w:pPr>
              <w:spacing w:before="40" w:after="40" w:line="220" w:lineRule="exact"/>
              <w:jc w:val="right"/>
              <w:rPr>
                <w:sz w:val="18"/>
                <w:szCs w:val="24"/>
              </w:rPr>
            </w:pPr>
            <w:r>
              <w:rPr>
                <w:sz w:val="18"/>
                <w:szCs w:val="24"/>
              </w:rPr>
              <w:t>95,5</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13,4</w:t>
            </w:r>
          </w:p>
        </w:tc>
      </w:tr>
      <w:tr w:rsidR="00F92819">
        <w:tc>
          <w:tcPr>
            <w:tcW w:w="1766" w:type="dxa"/>
            <w:vAlign w:val="bottom"/>
          </w:tcPr>
          <w:p w:rsidR="00F92819" w:rsidRDefault="00F92819">
            <w:pPr>
              <w:spacing w:before="40" w:after="40" w:line="220" w:lineRule="exact"/>
              <w:rPr>
                <w:szCs w:val="24"/>
              </w:rPr>
            </w:pPr>
            <w:r>
              <w:rPr>
                <w:sz w:val="18"/>
                <w:szCs w:val="24"/>
              </w:rPr>
              <w:t>2,50–2,99</w:t>
            </w:r>
          </w:p>
        </w:tc>
        <w:tc>
          <w:tcPr>
            <w:tcW w:w="782" w:type="dxa"/>
            <w:vAlign w:val="bottom"/>
          </w:tcPr>
          <w:p w:rsidR="00F92819" w:rsidRDefault="00F92819">
            <w:pPr>
              <w:spacing w:before="40" w:after="40" w:line="220" w:lineRule="exact"/>
              <w:jc w:val="right"/>
              <w:rPr>
                <w:sz w:val="18"/>
                <w:szCs w:val="24"/>
              </w:rPr>
            </w:pPr>
            <w:r>
              <w:rPr>
                <w:sz w:val="18"/>
                <w:szCs w:val="24"/>
              </w:rPr>
              <w:t>7,91</w:t>
            </w:r>
          </w:p>
        </w:tc>
        <w:tc>
          <w:tcPr>
            <w:tcW w:w="647" w:type="dxa"/>
            <w:vAlign w:val="bottom"/>
          </w:tcPr>
          <w:p w:rsidR="00F92819" w:rsidRDefault="00F92819">
            <w:pPr>
              <w:spacing w:before="40" w:after="40" w:line="220" w:lineRule="exact"/>
              <w:jc w:val="right"/>
              <w:rPr>
                <w:sz w:val="18"/>
                <w:szCs w:val="24"/>
              </w:rPr>
            </w:pPr>
            <w:r>
              <w:rPr>
                <w:sz w:val="18"/>
                <w:szCs w:val="24"/>
              </w:rPr>
              <w:t>63,5</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34,1</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12,6</w:t>
            </w:r>
          </w:p>
        </w:tc>
      </w:tr>
      <w:tr w:rsidR="00F92819">
        <w:tc>
          <w:tcPr>
            <w:tcW w:w="1766" w:type="dxa"/>
            <w:vAlign w:val="bottom"/>
          </w:tcPr>
          <w:p w:rsidR="00F92819" w:rsidRDefault="00F92819">
            <w:pPr>
              <w:spacing w:before="40" w:after="40" w:line="220" w:lineRule="exact"/>
              <w:rPr>
                <w:sz w:val="18"/>
                <w:szCs w:val="24"/>
              </w:rPr>
            </w:pPr>
            <w:r>
              <w:rPr>
                <w:sz w:val="18"/>
                <w:szCs w:val="24"/>
              </w:rPr>
              <w:t>3,00+</w:t>
            </w:r>
          </w:p>
        </w:tc>
        <w:tc>
          <w:tcPr>
            <w:tcW w:w="782" w:type="dxa"/>
            <w:vAlign w:val="bottom"/>
          </w:tcPr>
          <w:p w:rsidR="00F92819" w:rsidRDefault="00F92819">
            <w:pPr>
              <w:spacing w:before="40" w:after="40" w:line="220" w:lineRule="exact"/>
              <w:jc w:val="right"/>
              <w:rPr>
                <w:sz w:val="18"/>
                <w:szCs w:val="24"/>
              </w:rPr>
            </w:pPr>
            <w:r>
              <w:rPr>
                <w:sz w:val="18"/>
                <w:szCs w:val="24"/>
              </w:rPr>
              <w:t>7,81</w:t>
            </w:r>
          </w:p>
        </w:tc>
        <w:tc>
          <w:tcPr>
            <w:tcW w:w="647" w:type="dxa"/>
            <w:vAlign w:val="bottom"/>
          </w:tcPr>
          <w:p w:rsidR="00F92819" w:rsidRDefault="00F92819">
            <w:pPr>
              <w:spacing w:before="40" w:after="40" w:line="220" w:lineRule="exact"/>
              <w:jc w:val="right"/>
              <w:rPr>
                <w:sz w:val="18"/>
                <w:szCs w:val="24"/>
              </w:rPr>
            </w:pPr>
            <w:r>
              <w:rPr>
                <w:sz w:val="18"/>
                <w:szCs w:val="24"/>
              </w:rPr>
              <w:t>61,4</w:t>
            </w:r>
          </w:p>
        </w:tc>
        <w:tc>
          <w:tcPr>
            <w:tcW w:w="647" w:type="dxa"/>
            <w:vAlign w:val="bottom"/>
          </w:tcPr>
          <w:p w:rsidR="00F92819" w:rsidRDefault="00F92819">
            <w:pPr>
              <w:spacing w:before="40" w:after="40" w:line="220" w:lineRule="exact"/>
              <w:jc w:val="right"/>
              <w:rPr>
                <w:sz w:val="18"/>
                <w:szCs w:val="24"/>
              </w:rPr>
            </w:pPr>
            <w:r>
              <w:rPr>
                <w:sz w:val="18"/>
                <w:szCs w:val="24"/>
              </w:rPr>
              <w:t>22,8</w:t>
            </w:r>
          </w:p>
        </w:tc>
        <w:tc>
          <w:tcPr>
            <w:tcW w:w="648" w:type="dxa"/>
            <w:vAlign w:val="bottom"/>
          </w:tcPr>
          <w:p w:rsidR="00F92819" w:rsidRDefault="00F92819">
            <w:pPr>
              <w:spacing w:before="40" w:after="40" w:line="220" w:lineRule="exact"/>
              <w:jc w:val="right"/>
              <w:rPr>
                <w:sz w:val="18"/>
                <w:szCs w:val="24"/>
              </w:rPr>
            </w:pPr>
            <w:r>
              <w:rPr>
                <w:sz w:val="18"/>
                <w:szCs w:val="24"/>
              </w:rPr>
              <w:t>7,6</w:t>
            </w:r>
          </w:p>
        </w:tc>
        <w:tc>
          <w:tcPr>
            <w:tcW w:w="647" w:type="dxa"/>
            <w:vAlign w:val="bottom"/>
          </w:tcPr>
          <w:p w:rsidR="00F92819" w:rsidRDefault="00F92819">
            <w:pPr>
              <w:spacing w:before="40" w:after="40" w:line="220" w:lineRule="exact"/>
              <w:jc w:val="right"/>
              <w:rPr>
                <w:sz w:val="18"/>
                <w:szCs w:val="24"/>
              </w:rPr>
            </w:pPr>
            <w:r>
              <w:rPr>
                <w:sz w:val="18"/>
                <w:szCs w:val="24"/>
              </w:rPr>
              <w:t>7</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47" w:type="dxa"/>
            <w:vAlign w:val="bottom"/>
          </w:tcPr>
          <w:p w:rsidR="00F92819" w:rsidRDefault="00F92819">
            <w:pPr>
              <w:spacing w:before="40" w:after="40" w:line="220" w:lineRule="exact"/>
              <w:jc w:val="right"/>
              <w:rPr>
                <w:sz w:val="18"/>
                <w:szCs w:val="24"/>
              </w:rPr>
            </w:pPr>
            <w:r>
              <w:rPr>
                <w:sz w:val="18"/>
                <w:szCs w:val="24"/>
              </w:rPr>
              <w:t>-</w:t>
            </w:r>
          </w:p>
        </w:tc>
        <w:tc>
          <w:tcPr>
            <w:tcW w:w="648" w:type="dxa"/>
            <w:vAlign w:val="bottom"/>
          </w:tcPr>
          <w:p w:rsidR="00F92819" w:rsidRDefault="00F92819">
            <w:pPr>
              <w:spacing w:before="40" w:after="40" w:line="220" w:lineRule="exact"/>
              <w:jc w:val="right"/>
              <w:rPr>
                <w:sz w:val="18"/>
                <w:szCs w:val="24"/>
              </w:rPr>
            </w:pPr>
            <w:r>
              <w:rPr>
                <w:sz w:val="18"/>
                <w:szCs w:val="24"/>
              </w:rPr>
              <w:t>-</w:t>
            </w:r>
          </w:p>
        </w:tc>
        <w:tc>
          <w:tcPr>
            <w:tcW w:w="662" w:type="dxa"/>
            <w:vAlign w:val="bottom"/>
          </w:tcPr>
          <w:p w:rsidR="00F92819" w:rsidRDefault="00F92819">
            <w:pPr>
              <w:spacing w:before="40" w:after="40" w:line="220" w:lineRule="exact"/>
              <w:jc w:val="right"/>
              <w:rPr>
                <w:b/>
                <w:sz w:val="18"/>
                <w:szCs w:val="24"/>
              </w:rPr>
            </w:pPr>
            <w:r>
              <w:rPr>
                <w:b/>
                <w:sz w:val="18"/>
                <w:szCs w:val="24"/>
              </w:rPr>
              <w:t>100</w:t>
            </w:r>
          </w:p>
        </w:tc>
        <w:tc>
          <w:tcPr>
            <w:tcW w:w="763" w:type="dxa"/>
            <w:vAlign w:val="bottom"/>
          </w:tcPr>
          <w:p w:rsidR="00F92819" w:rsidRDefault="00F92819">
            <w:pPr>
              <w:spacing w:before="40" w:after="40" w:line="220" w:lineRule="exact"/>
              <w:jc w:val="right"/>
              <w:rPr>
                <w:sz w:val="18"/>
                <w:szCs w:val="24"/>
              </w:rPr>
            </w:pPr>
            <w:r>
              <w:rPr>
                <w:sz w:val="18"/>
                <w:szCs w:val="24"/>
              </w:rPr>
              <w:t>17,1</w:t>
            </w:r>
          </w:p>
        </w:tc>
      </w:tr>
      <w:tr w:rsidR="00F92819">
        <w:tc>
          <w:tcPr>
            <w:tcW w:w="8505" w:type="dxa"/>
            <w:gridSpan w:val="11"/>
            <w:vAlign w:val="bottom"/>
          </w:tcPr>
          <w:p w:rsidR="00F92819" w:rsidRDefault="00F92819">
            <w:pPr>
              <w:keepNext/>
              <w:spacing w:before="80" w:after="80" w:line="200" w:lineRule="exact"/>
              <w:rPr>
                <w:szCs w:val="24"/>
              </w:rPr>
            </w:pPr>
            <w:r>
              <w:rPr>
                <w:i/>
                <w:sz w:val="16"/>
                <w:szCs w:val="24"/>
                <w:lang w:val="es-ES_tradnl"/>
              </w:rPr>
              <w:t>Promedio de personas por habitación</w:t>
            </w:r>
          </w:p>
        </w:tc>
      </w:tr>
      <w:tr w:rsidR="00F92819">
        <w:tc>
          <w:tcPr>
            <w:tcW w:w="1766" w:type="dxa"/>
            <w:vAlign w:val="bottom"/>
          </w:tcPr>
          <w:p w:rsidR="00F92819" w:rsidRDefault="00F92819">
            <w:pPr>
              <w:keepNext/>
              <w:spacing w:before="40" w:after="40" w:line="220" w:lineRule="exact"/>
              <w:rPr>
                <w:szCs w:val="24"/>
              </w:rPr>
            </w:pPr>
            <w:r>
              <w:rPr>
                <w:sz w:val="18"/>
                <w:szCs w:val="24"/>
                <w:lang w:val="es-ES_tradnl"/>
              </w:rPr>
              <w:t>Judíos</w:t>
            </w:r>
          </w:p>
        </w:tc>
        <w:tc>
          <w:tcPr>
            <w:tcW w:w="782" w:type="dxa"/>
            <w:vAlign w:val="bottom"/>
          </w:tcPr>
          <w:p w:rsidR="00F92819" w:rsidRDefault="00F92819">
            <w:pPr>
              <w:spacing w:before="40" w:after="40" w:line="220" w:lineRule="exact"/>
              <w:jc w:val="right"/>
              <w:rPr>
                <w:sz w:val="18"/>
                <w:szCs w:val="24"/>
              </w:rPr>
            </w:pPr>
          </w:p>
        </w:tc>
        <w:tc>
          <w:tcPr>
            <w:tcW w:w="647" w:type="dxa"/>
            <w:vAlign w:val="bottom"/>
          </w:tcPr>
          <w:p w:rsidR="00F92819" w:rsidRDefault="00F92819">
            <w:pPr>
              <w:spacing w:before="40" w:after="40" w:line="220" w:lineRule="exact"/>
              <w:jc w:val="right"/>
              <w:rPr>
                <w:sz w:val="18"/>
                <w:szCs w:val="24"/>
              </w:rPr>
            </w:pPr>
            <w:r>
              <w:rPr>
                <w:sz w:val="18"/>
                <w:szCs w:val="24"/>
              </w:rPr>
              <w:t>1,75</w:t>
            </w:r>
          </w:p>
        </w:tc>
        <w:tc>
          <w:tcPr>
            <w:tcW w:w="647" w:type="dxa"/>
            <w:vAlign w:val="bottom"/>
          </w:tcPr>
          <w:p w:rsidR="00F92819" w:rsidRDefault="00F92819">
            <w:pPr>
              <w:spacing w:before="40" w:after="40" w:line="220" w:lineRule="exact"/>
              <w:jc w:val="right"/>
              <w:rPr>
                <w:sz w:val="18"/>
                <w:szCs w:val="24"/>
              </w:rPr>
            </w:pPr>
            <w:r>
              <w:rPr>
                <w:sz w:val="18"/>
                <w:szCs w:val="24"/>
              </w:rPr>
              <w:t>1,31</w:t>
            </w:r>
          </w:p>
        </w:tc>
        <w:tc>
          <w:tcPr>
            <w:tcW w:w="648" w:type="dxa"/>
            <w:vAlign w:val="bottom"/>
          </w:tcPr>
          <w:p w:rsidR="00F92819" w:rsidRDefault="00F92819">
            <w:pPr>
              <w:spacing w:before="40" w:after="40" w:line="220" w:lineRule="exact"/>
              <w:jc w:val="right"/>
              <w:rPr>
                <w:sz w:val="18"/>
                <w:szCs w:val="24"/>
              </w:rPr>
            </w:pPr>
            <w:r>
              <w:rPr>
                <w:sz w:val="18"/>
                <w:szCs w:val="24"/>
              </w:rPr>
              <w:t>1,12</w:t>
            </w:r>
          </w:p>
        </w:tc>
        <w:tc>
          <w:tcPr>
            <w:tcW w:w="647" w:type="dxa"/>
            <w:vAlign w:val="bottom"/>
          </w:tcPr>
          <w:p w:rsidR="00F92819" w:rsidRDefault="00F92819">
            <w:pPr>
              <w:spacing w:before="40" w:after="40" w:line="220" w:lineRule="exact"/>
              <w:jc w:val="right"/>
              <w:rPr>
                <w:sz w:val="18"/>
                <w:szCs w:val="24"/>
              </w:rPr>
            </w:pPr>
            <w:r>
              <w:rPr>
                <w:sz w:val="18"/>
                <w:szCs w:val="24"/>
              </w:rPr>
              <w:t>0,97</w:t>
            </w:r>
          </w:p>
        </w:tc>
        <w:tc>
          <w:tcPr>
            <w:tcW w:w="648" w:type="dxa"/>
            <w:vAlign w:val="bottom"/>
          </w:tcPr>
          <w:p w:rsidR="00F92819" w:rsidRDefault="00F92819">
            <w:pPr>
              <w:spacing w:before="40" w:after="40" w:line="220" w:lineRule="exact"/>
              <w:jc w:val="right"/>
              <w:rPr>
                <w:sz w:val="18"/>
                <w:szCs w:val="24"/>
              </w:rPr>
            </w:pPr>
            <w:r>
              <w:rPr>
                <w:sz w:val="18"/>
                <w:szCs w:val="24"/>
              </w:rPr>
              <w:t>0,78</w:t>
            </w:r>
          </w:p>
        </w:tc>
        <w:tc>
          <w:tcPr>
            <w:tcW w:w="647" w:type="dxa"/>
            <w:vAlign w:val="bottom"/>
          </w:tcPr>
          <w:p w:rsidR="00F92819" w:rsidRDefault="00F92819">
            <w:pPr>
              <w:spacing w:before="40" w:after="40" w:line="220" w:lineRule="exact"/>
              <w:jc w:val="right"/>
              <w:rPr>
                <w:sz w:val="18"/>
                <w:szCs w:val="24"/>
              </w:rPr>
            </w:pPr>
            <w:r>
              <w:rPr>
                <w:sz w:val="18"/>
                <w:szCs w:val="24"/>
              </w:rPr>
              <w:t>0,58</w:t>
            </w:r>
          </w:p>
        </w:tc>
        <w:tc>
          <w:tcPr>
            <w:tcW w:w="648" w:type="dxa"/>
            <w:vAlign w:val="bottom"/>
          </w:tcPr>
          <w:p w:rsidR="00F92819" w:rsidRDefault="00F92819">
            <w:pPr>
              <w:spacing w:before="40" w:after="40" w:line="220" w:lineRule="exact"/>
              <w:jc w:val="right"/>
              <w:rPr>
                <w:sz w:val="18"/>
                <w:szCs w:val="24"/>
              </w:rPr>
            </w:pPr>
            <w:r>
              <w:rPr>
                <w:sz w:val="18"/>
                <w:szCs w:val="24"/>
              </w:rPr>
              <w:t>0,37</w:t>
            </w:r>
          </w:p>
        </w:tc>
        <w:tc>
          <w:tcPr>
            <w:tcW w:w="662" w:type="dxa"/>
            <w:vAlign w:val="bottom"/>
          </w:tcPr>
          <w:p w:rsidR="00F92819" w:rsidRDefault="00F92819">
            <w:pPr>
              <w:spacing w:before="40" w:after="40" w:line="220" w:lineRule="exact"/>
              <w:jc w:val="right"/>
              <w:rPr>
                <w:b/>
                <w:sz w:val="18"/>
                <w:szCs w:val="24"/>
              </w:rPr>
            </w:pPr>
          </w:p>
        </w:tc>
        <w:tc>
          <w:tcPr>
            <w:tcW w:w="763" w:type="dxa"/>
            <w:vAlign w:val="bottom"/>
          </w:tcPr>
          <w:p w:rsidR="00F92819" w:rsidRDefault="00F92819">
            <w:pPr>
              <w:spacing w:before="40" w:after="40" w:line="220" w:lineRule="exact"/>
              <w:jc w:val="right"/>
              <w:rPr>
                <w:sz w:val="18"/>
                <w:szCs w:val="24"/>
              </w:rPr>
            </w:pPr>
            <w:r>
              <w:rPr>
                <w:sz w:val="18"/>
                <w:szCs w:val="24"/>
              </w:rPr>
              <w:t>0,84</w:t>
            </w:r>
          </w:p>
        </w:tc>
      </w:tr>
      <w:tr w:rsidR="00F92819">
        <w:tc>
          <w:tcPr>
            <w:tcW w:w="1766" w:type="dxa"/>
            <w:tcBorders>
              <w:bottom w:val="single" w:sz="12" w:space="0" w:color="auto"/>
            </w:tcBorders>
            <w:vAlign w:val="bottom"/>
          </w:tcPr>
          <w:p w:rsidR="00F92819" w:rsidRDefault="00F92819">
            <w:pPr>
              <w:spacing w:before="40" w:after="40" w:line="220" w:lineRule="exact"/>
              <w:rPr>
                <w:szCs w:val="24"/>
              </w:rPr>
            </w:pPr>
            <w:r>
              <w:rPr>
                <w:sz w:val="18"/>
                <w:szCs w:val="24"/>
                <w:lang w:val="es-ES_tradnl"/>
              </w:rPr>
              <w:t>Árabes</w:t>
            </w:r>
          </w:p>
        </w:tc>
        <w:tc>
          <w:tcPr>
            <w:tcW w:w="782" w:type="dxa"/>
            <w:tcBorders>
              <w:bottom w:val="single" w:sz="12" w:space="0" w:color="auto"/>
            </w:tcBorders>
            <w:vAlign w:val="bottom"/>
          </w:tcPr>
          <w:p w:rsidR="00F92819" w:rsidRDefault="00F92819">
            <w:pPr>
              <w:spacing w:before="40" w:after="40" w:line="220" w:lineRule="exact"/>
              <w:jc w:val="right"/>
              <w:rPr>
                <w:sz w:val="18"/>
                <w:szCs w:val="24"/>
              </w:rPr>
            </w:pPr>
          </w:p>
        </w:tc>
        <w:tc>
          <w:tcPr>
            <w:tcW w:w="647"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2,19</w:t>
            </w:r>
          </w:p>
        </w:tc>
        <w:tc>
          <w:tcPr>
            <w:tcW w:w="647"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1,69</w:t>
            </w:r>
          </w:p>
        </w:tc>
        <w:tc>
          <w:tcPr>
            <w:tcW w:w="64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1,41</w:t>
            </w:r>
          </w:p>
        </w:tc>
        <w:tc>
          <w:tcPr>
            <w:tcW w:w="647"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1,17</w:t>
            </w:r>
          </w:p>
        </w:tc>
        <w:tc>
          <w:tcPr>
            <w:tcW w:w="64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0,93</w:t>
            </w:r>
          </w:p>
        </w:tc>
        <w:tc>
          <w:tcPr>
            <w:tcW w:w="647"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0,67</w:t>
            </w:r>
          </w:p>
        </w:tc>
        <w:tc>
          <w:tcPr>
            <w:tcW w:w="64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0,43</w:t>
            </w:r>
          </w:p>
        </w:tc>
        <w:tc>
          <w:tcPr>
            <w:tcW w:w="662" w:type="dxa"/>
            <w:tcBorders>
              <w:bottom w:val="single" w:sz="12" w:space="0" w:color="auto"/>
            </w:tcBorders>
            <w:vAlign w:val="bottom"/>
          </w:tcPr>
          <w:p w:rsidR="00F92819" w:rsidRDefault="00F92819">
            <w:pPr>
              <w:spacing w:before="40" w:after="40" w:line="220" w:lineRule="exact"/>
              <w:jc w:val="right"/>
              <w:rPr>
                <w:b/>
                <w:sz w:val="18"/>
                <w:szCs w:val="24"/>
              </w:rPr>
            </w:pPr>
          </w:p>
        </w:tc>
        <w:tc>
          <w:tcPr>
            <w:tcW w:w="763"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1,43</w:t>
            </w:r>
          </w:p>
        </w:tc>
      </w:tr>
    </w:tbl>
    <w:p w:rsidR="00F92819" w:rsidRDefault="00F92819">
      <w:pPr>
        <w:spacing w:before="12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ind w:left="1134" w:right="1134" w:firstLine="170"/>
        <w:rPr>
          <w:sz w:val="18"/>
          <w:szCs w:val="24"/>
        </w:rPr>
      </w:pPr>
      <w:r>
        <w:rPr>
          <w:sz w:val="18"/>
          <w:szCs w:val="24"/>
          <w:vertAlign w:val="superscript"/>
          <w:lang w:val="es-ES_tradnl"/>
        </w:rPr>
        <w:t>1</w:t>
      </w:r>
      <w:r>
        <w:rPr>
          <w:sz w:val="18"/>
          <w:szCs w:val="24"/>
          <w:lang w:val="es-ES_tradnl"/>
        </w:rPr>
        <w:t xml:space="preserve"> </w:t>
      </w:r>
      <w:r w:rsidR="00734563">
        <w:rPr>
          <w:sz w:val="18"/>
          <w:szCs w:val="24"/>
          <w:lang w:val="es-ES_tradnl"/>
        </w:rPr>
        <w:t xml:space="preserve"> </w:t>
      </w:r>
      <w:r>
        <w:rPr>
          <w:sz w:val="18"/>
          <w:szCs w:val="24"/>
          <w:lang w:val="es-ES_tradnl"/>
        </w:rPr>
        <w:t>Excluidas las instituciones y los que viven fuera de las localidades (beduinos en el sur y otros) y excluidos los que viven en residencias de estudiantes y kibbutzim, y excluidos también los centros de absorción.</w:t>
      </w:r>
    </w:p>
    <w:p w:rsidR="00F92819" w:rsidRDefault="00F92819">
      <w:pPr>
        <w:spacing w:after="240"/>
        <w:ind w:left="1134" w:right="1134" w:firstLine="170"/>
        <w:rPr>
          <w:sz w:val="18"/>
          <w:szCs w:val="24"/>
        </w:rPr>
      </w:pPr>
      <w:r>
        <w:rPr>
          <w:sz w:val="18"/>
          <w:szCs w:val="24"/>
          <w:vertAlign w:val="superscript"/>
          <w:lang w:val="es-ES_tradnl"/>
        </w:rPr>
        <w:t>2</w:t>
      </w:r>
      <w:r>
        <w:rPr>
          <w:sz w:val="18"/>
          <w:szCs w:val="24"/>
          <w:lang w:val="es-ES_tradnl"/>
        </w:rPr>
        <w:t xml:space="preserve"> </w:t>
      </w:r>
      <w:r w:rsidR="00734563">
        <w:rPr>
          <w:sz w:val="18"/>
          <w:szCs w:val="24"/>
          <w:lang w:val="es-ES_tradnl"/>
        </w:rPr>
        <w:t xml:space="preserve"> </w:t>
      </w:r>
      <w:r>
        <w:rPr>
          <w:sz w:val="18"/>
          <w:szCs w:val="24"/>
          <w:lang w:val="es-ES_tradnl"/>
        </w:rPr>
        <w:t>Incluidos los casos en que se desconoce el número de habitaciones.</w:t>
      </w:r>
    </w:p>
    <w:p w:rsidR="00F92819" w:rsidRDefault="00F92819">
      <w:pPr>
        <w:pStyle w:val="H56G"/>
        <w:rPr>
          <w:i/>
          <w:szCs w:val="24"/>
        </w:rPr>
      </w:pPr>
      <w:r>
        <w:rPr>
          <w:szCs w:val="24"/>
        </w:rPr>
        <w:tab/>
      </w:r>
      <w:r>
        <w:rPr>
          <w:szCs w:val="24"/>
        </w:rPr>
        <w:tab/>
      </w:r>
      <w:r>
        <w:rPr>
          <w:i/>
          <w:szCs w:val="24"/>
          <w:lang w:val="es-ES_tradnl"/>
        </w:rPr>
        <w:t>Vivienda pública</w:t>
      </w:r>
    </w:p>
    <w:p w:rsidR="00F92819" w:rsidRDefault="00F92819">
      <w:pPr>
        <w:pStyle w:val="SingleTxtG"/>
        <w:rPr>
          <w:szCs w:val="24"/>
        </w:rPr>
      </w:pPr>
      <w:r>
        <w:rPr>
          <w:szCs w:val="24"/>
        </w:rPr>
        <w:t>437.</w:t>
      </w:r>
      <w:r>
        <w:rPr>
          <w:szCs w:val="24"/>
        </w:rPr>
        <w:tab/>
      </w:r>
      <w:r>
        <w:rPr>
          <w:szCs w:val="24"/>
          <w:lang w:val="es-ES_tradnl"/>
        </w:rPr>
        <w:t>El 17 de julio de 2008 el Tribunal de Contratos Estándar puso fin a un largo litigio entre la empresa estatal de viviendas “Amidar” y sus inquilinos sobre el contrato estándar que se les aplicaba.</w:t>
      </w:r>
      <w:r>
        <w:rPr>
          <w:szCs w:val="24"/>
        </w:rPr>
        <w:t xml:space="preserve"> </w:t>
      </w:r>
      <w:r>
        <w:rPr>
          <w:szCs w:val="24"/>
          <w:lang w:val="es-ES_tradnl"/>
        </w:rPr>
        <w:t xml:space="preserve">El Tribunal determinó que debían corregirse algunas condiciones injustas del contrato estándar actual y que el contrato modificado debería aplicarse retroactivamente a los contratos similares que ya se hubieran firmado (St.Con.Trib 803/07 </w:t>
      </w:r>
      <w:r>
        <w:rPr>
          <w:i/>
          <w:szCs w:val="24"/>
          <w:lang w:val="es-ES_tradnl"/>
        </w:rPr>
        <w:t>The Community Advocacy Association c. el Fiscal General et. al.</w:t>
      </w:r>
      <w:r>
        <w:rPr>
          <w:szCs w:val="24"/>
          <w:lang w:val="es-ES_tradnl"/>
        </w:rPr>
        <w:t>).</w:t>
      </w:r>
    </w:p>
    <w:p w:rsidR="00F92819" w:rsidRDefault="00F92819">
      <w:pPr>
        <w:pStyle w:val="H56G"/>
        <w:rPr>
          <w:i/>
          <w:szCs w:val="24"/>
        </w:rPr>
      </w:pPr>
      <w:r>
        <w:rPr>
          <w:szCs w:val="24"/>
        </w:rPr>
        <w:tab/>
      </w:r>
      <w:r>
        <w:rPr>
          <w:szCs w:val="24"/>
        </w:rPr>
        <w:tab/>
      </w:r>
      <w:r>
        <w:rPr>
          <w:i/>
          <w:szCs w:val="24"/>
          <w:lang w:val="es-ES_tradnl"/>
        </w:rPr>
        <w:t>Personas de la calle</w:t>
      </w:r>
    </w:p>
    <w:p w:rsidR="00F92819" w:rsidRDefault="00F92819">
      <w:pPr>
        <w:pStyle w:val="SingleTxtG"/>
        <w:rPr>
          <w:szCs w:val="24"/>
        </w:rPr>
      </w:pPr>
      <w:r>
        <w:rPr>
          <w:szCs w:val="24"/>
        </w:rPr>
        <w:t>438.</w:t>
      </w:r>
      <w:r>
        <w:rPr>
          <w:szCs w:val="24"/>
        </w:rPr>
        <w:tab/>
      </w:r>
      <w:r>
        <w:rPr>
          <w:szCs w:val="24"/>
          <w:lang w:val="es-ES_tradnl"/>
        </w:rPr>
        <w:t>El Ministerio de Asuntos Sociales y Servicios Sociales define como “personas de la calle” a las que viven en la calle, en una casa abandonada o en parques públicos, sufren de grave desatención física y mental, y están alienadas y desvinculadas de familiares y amigos. Estas personas se caracterizan por su inestabilidad de residencia y su movilidad por todo el país, y la mayoría carece de documentación personal.</w:t>
      </w:r>
      <w:r>
        <w:rPr>
          <w:szCs w:val="24"/>
        </w:rPr>
        <w:t xml:space="preserve"> </w:t>
      </w:r>
      <w:r>
        <w:rPr>
          <w:szCs w:val="24"/>
          <w:lang w:val="es-ES_tradnl"/>
        </w:rPr>
        <w:t>Algunas padecen adicción a sustancias psicoactivas (drogas y alcohol) y tienen un historial de crisis personales y familiares.</w:t>
      </w:r>
      <w:r>
        <w:rPr>
          <w:szCs w:val="24"/>
        </w:rPr>
        <w:t xml:space="preserve"> </w:t>
      </w:r>
      <w:r>
        <w:rPr>
          <w:szCs w:val="24"/>
          <w:lang w:val="es-ES_tradnl"/>
        </w:rPr>
        <w:t>La mayoría se diagnostican como pacientes de doble pronóstico: enfermedad mental y adicción.</w:t>
      </w:r>
    </w:p>
    <w:p w:rsidR="00F92819" w:rsidRDefault="00F92819">
      <w:pPr>
        <w:pStyle w:val="SingleTxtG"/>
        <w:rPr>
          <w:szCs w:val="24"/>
        </w:rPr>
      </w:pPr>
      <w:r>
        <w:rPr>
          <w:szCs w:val="24"/>
        </w:rPr>
        <w:t>439.</w:t>
      </w:r>
      <w:r>
        <w:rPr>
          <w:szCs w:val="24"/>
        </w:rPr>
        <w:tab/>
      </w:r>
      <w:r>
        <w:rPr>
          <w:szCs w:val="24"/>
          <w:lang w:val="es-ES_tradnl"/>
        </w:rPr>
        <w:t>El objetivo del Ministerio es primeramente impedir la mortalidad de las personas de la calle y suministrarles unas condiciones de vida adecuadas.</w:t>
      </w:r>
      <w:r>
        <w:rPr>
          <w:szCs w:val="24"/>
        </w:rPr>
        <w:t xml:space="preserve"> </w:t>
      </w:r>
      <w:r>
        <w:rPr>
          <w:szCs w:val="24"/>
          <w:lang w:val="es-ES_tradnl"/>
        </w:rPr>
        <w:t xml:space="preserve">El Ministerio tiene como objetivo ayudar a las personas de la calle en la tipificación de sus derechos legales (prestaciones de la seguridad social, documentación personal, etc.) y con el tiempo lograr la completa reintegración en </w:t>
      </w:r>
      <w:smartTag w:uri="urn:schemas-microsoft-com:office:smarttags" w:element="PersonName">
        <w:smartTagPr>
          <w:attr w:name="ProductID" w:val="la comunidad. Para"/>
        </w:smartTagPr>
        <w:r>
          <w:rPr>
            <w:szCs w:val="24"/>
            <w:lang w:val="es-ES_tradnl"/>
          </w:rPr>
          <w:t>la comunidad.</w:t>
        </w:r>
        <w:r>
          <w:rPr>
            <w:szCs w:val="24"/>
          </w:rPr>
          <w:t xml:space="preserve"> </w:t>
        </w:r>
        <w:r>
          <w:rPr>
            <w:szCs w:val="24"/>
            <w:lang w:val="es-ES_tradnl"/>
          </w:rPr>
          <w:t>Para</w:t>
        </w:r>
      </w:smartTag>
      <w:r>
        <w:rPr>
          <w:szCs w:val="24"/>
          <w:lang w:val="es-ES_tradnl"/>
        </w:rPr>
        <w:t xml:space="preserve"> alcanzar estos objetivos, el Ministerio trabaja conjuntamente con las autoridades locales y otros ministerios pertinentes.</w:t>
      </w:r>
      <w:r>
        <w:rPr>
          <w:szCs w:val="24"/>
        </w:rPr>
        <w:t xml:space="preserve"> </w:t>
      </w:r>
      <w:r>
        <w:rPr>
          <w:szCs w:val="24"/>
          <w:lang w:val="es-ES_tradnl"/>
        </w:rPr>
        <w:t>En mayo de 2004 el administrador general del Ministerio publicó una directiva actualizada sobre los programas de tratamiento de las personas de la calle (que sustituía a la directiva de 1997) para todas las autoridades locales. Estas directivas se actualizan ocasionalmente.</w:t>
      </w:r>
    </w:p>
    <w:p w:rsidR="00F92819" w:rsidRDefault="00F92819">
      <w:pPr>
        <w:pStyle w:val="SingleTxtG"/>
        <w:rPr>
          <w:szCs w:val="24"/>
        </w:rPr>
      </w:pPr>
      <w:r>
        <w:rPr>
          <w:szCs w:val="24"/>
        </w:rPr>
        <w:t>440.</w:t>
      </w:r>
      <w:r>
        <w:rPr>
          <w:szCs w:val="24"/>
        </w:rPr>
        <w:tab/>
      </w:r>
      <w:r>
        <w:rPr>
          <w:szCs w:val="24"/>
          <w:lang w:val="es-ES_tradnl"/>
        </w:rPr>
        <w:t>Además, el Gobierno destina expresamente presupuestos que se asignan a las autoridades locales para que fomenten el desarrollo de programas para el tratamiento y la integración de las personas de la calle a nivel local y con el fin de aumentar la responsabilidad de la autoridad local para con las personas de la calle en su jurisdicción.</w:t>
      </w:r>
    </w:p>
    <w:p w:rsidR="00F92819" w:rsidRDefault="00F92819">
      <w:pPr>
        <w:pStyle w:val="SingleTxtG"/>
        <w:rPr>
          <w:szCs w:val="24"/>
        </w:rPr>
      </w:pPr>
      <w:r>
        <w:rPr>
          <w:szCs w:val="24"/>
        </w:rPr>
        <w:t>441.</w:t>
      </w:r>
      <w:r>
        <w:rPr>
          <w:szCs w:val="24"/>
        </w:rPr>
        <w:tab/>
      </w:r>
      <w:r>
        <w:rPr>
          <w:szCs w:val="24"/>
          <w:lang w:val="es-ES_tradnl"/>
        </w:rPr>
        <w:t>Actualmente hay catorce centros locales, dos de ellos inaugurados durante 2008, que ofrecen tratamiento para las personas de la calle en el marco de albergues de noche, centros de rehabilitación con o sin alojamiento y apartamentos de transición.</w:t>
      </w:r>
      <w:r>
        <w:rPr>
          <w:szCs w:val="24"/>
        </w:rPr>
        <w:t xml:space="preserve"> </w:t>
      </w:r>
      <w:r>
        <w:rPr>
          <w:szCs w:val="24"/>
          <w:lang w:val="es-ES_tradnl"/>
        </w:rPr>
        <w:t>Además, cuatro centros estatales ofrecen tratamiento para casos graves y para las personas derivadas por las municipalidades que no tienen centros de tratamiento locales en funcionamiento.</w:t>
      </w:r>
      <w:r>
        <w:rPr>
          <w:szCs w:val="24"/>
        </w:rPr>
        <w:t xml:space="preserve"> </w:t>
      </w:r>
      <w:r>
        <w:rPr>
          <w:szCs w:val="24"/>
          <w:lang w:val="es-ES_tradnl"/>
        </w:rPr>
        <w:t>Entre ellos se incluye el programa de vivienda de por vida “</w:t>
      </w:r>
      <w:r>
        <w:rPr>
          <w:i/>
          <w:szCs w:val="24"/>
          <w:lang w:val="es-ES_tradnl"/>
        </w:rPr>
        <w:t>House for Life</w:t>
      </w:r>
      <w:r>
        <w:rPr>
          <w:szCs w:val="24"/>
          <w:lang w:val="es-ES_tradnl"/>
        </w:rPr>
        <w:t>”, que desde 2007 ofrece un marco de tratamiento para las personas de la calle que son incapaces de rehabilitarse y de vivir de forma independiente en la comunidad.</w:t>
      </w:r>
    </w:p>
    <w:p w:rsidR="00F92819" w:rsidRDefault="00F92819">
      <w:pPr>
        <w:pStyle w:val="SingleTxtG"/>
        <w:rPr>
          <w:szCs w:val="24"/>
        </w:rPr>
      </w:pPr>
      <w:r>
        <w:rPr>
          <w:szCs w:val="24"/>
        </w:rPr>
        <w:t>442.</w:t>
      </w:r>
      <w:r>
        <w:rPr>
          <w:szCs w:val="24"/>
        </w:rPr>
        <w:tab/>
      </w:r>
      <w:r>
        <w:rPr>
          <w:szCs w:val="24"/>
          <w:lang w:val="es-ES_tradnl"/>
        </w:rPr>
        <w:t>Durante 2007 recibieron tratamiento 1.737 personas de la calle, 232 de ellas en los centros estatales.</w:t>
      </w:r>
      <w:r>
        <w:rPr>
          <w:szCs w:val="24"/>
        </w:rPr>
        <w:t xml:space="preserve"> </w:t>
      </w:r>
      <w:r>
        <w:rPr>
          <w:szCs w:val="24"/>
          <w:lang w:val="es-ES_tradnl"/>
        </w:rPr>
        <w:t>Se calcula que unas 1.000 personas que habitan en la calle no reciben tratamiento alguno debido a su movilidad y a su actitud reacia y recelosa hacia el sistema.</w:t>
      </w:r>
    </w:p>
    <w:p w:rsidR="00F92819" w:rsidRDefault="00F92819">
      <w:pPr>
        <w:pStyle w:val="SingleTxtG"/>
        <w:rPr>
          <w:szCs w:val="24"/>
        </w:rPr>
      </w:pPr>
      <w:r>
        <w:rPr>
          <w:szCs w:val="24"/>
        </w:rPr>
        <w:t>443.</w:t>
      </w:r>
      <w:r>
        <w:rPr>
          <w:szCs w:val="24"/>
        </w:rPr>
        <w:tab/>
      </w:r>
      <w:r>
        <w:rPr>
          <w:szCs w:val="24"/>
          <w:lang w:val="es-ES_tradnl"/>
        </w:rPr>
        <w:t>En los últimos años se han recogido de forma sistemática datos sobre el tratamiento de las “personas de la calle”.</w:t>
      </w:r>
      <w:r>
        <w:rPr>
          <w:szCs w:val="24"/>
        </w:rPr>
        <w:t xml:space="preserve"> </w:t>
      </w:r>
      <w:r>
        <w:rPr>
          <w:szCs w:val="24"/>
          <w:lang w:val="es-ES_tradnl"/>
        </w:rPr>
        <w:t>Estadísticamente, el 91% de los que habitan en la calle y reciben tratamiento son hombres.</w:t>
      </w:r>
      <w:r>
        <w:rPr>
          <w:szCs w:val="24"/>
        </w:rPr>
        <w:t xml:space="preserve"> </w:t>
      </w:r>
      <w:r>
        <w:rPr>
          <w:szCs w:val="24"/>
          <w:lang w:val="es-ES_tradnl"/>
        </w:rPr>
        <w:t>39% son solteros y 53% divorciados.</w:t>
      </w:r>
      <w:r>
        <w:rPr>
          <w:szCs w:val="24"/>
        </w:rPr>
        <w:t xml:space="preserve"> </w:t>
      </w:r>
      <w:r>
        <w:rPr>
          <w:szCs w:val="24"/>
          <w:lang w:val="es-ES_tradnl"/>
        </w:rPr>
        <w:t>El 80% de las personas de la calle que reciben tratamiento tienen entre 26 y 55 años (56% entre 36 y 55 años).</w:t>
      </w:r>
      <w:r>
        <w:rPr>
          <w:szCs w:val="24"/>
        </w:rPr>
        <w:t xml:space="preserve"> </w:t>
      </w:r>
      <w:r>
        <w:rPr>
          <w:szCs w:val="24"/>
          <w:lang w:val="es-ES_tradnl"/>
        </w:rPr>
        <w:t xml:space="preserve">64% son nuevos inmigrantes (la mayoría de </w:t>
      </w:r>
      <w:smartTag w:uri="urn:schemas-microsoft-com:office:smarttags" w:element="PersonName">
        <w:smartTagPr>
          <w:attr w:name="ProductID" w:val="la ex Uni￳n Sovi￩tica"/>
        </w:smartTagPr>
        <w:r>
          <w:rPr>
            <w:szCs w:val="24"/>
            <w:lang w:val="es-ES_tradnl"/>
          </w:rPr>
          <w:t>la ex Unión Soviética</w:t>
        </w:r>
      </w:smartTag>
      <w:r>
        <w:rPr>
          <w:szCs w:val="24"/>
          <w:lang w:val="es-ES_tradnl"/>
        </w:rPr>
        <w:t>).</w:t>
      </w:r>
      <w:r>
        <w:rPr>
          <w:szCs w:val="24"/>
        </w:rPr>
        <w:t xml:space="preserve"> </w:t>
      </w:r>
      <w:r>
        <w:rPr>
          <w:szCs w:val="24"/>
          <w:lang w:val="es-ES_tradnl"/>
        </w:rPr>
        <w:t>45% padecen alcoholismo, 33% adicción a las drogas y 30% son adictos tanto a las drogas como al alcohol.</w:t>
      </w:r>
    </w:p>
    <w:p w:rsidR="00F92819" w:rsidRDefault="00F92819">
      <w:pPr>
        <w:pStyle w:val="SingleTxtG"/>
        <w:rPr>
          <w:szCs w:val="24"/>
        </w:rPr>
      </w:pPr>
      <w:r>
        <w:rPr>
          <w:szCs w:val="24"/>
        </w:rPr>
        <w:t>444.</w:t>
      </w:r>
      <w:r>
        <w:rPr>
          <w:szCs w:val="24"/>
        </w:rPr>
        <w:tab/>
      </w:r>
      <w:r>
        <w:rPr>
          <w:szCs w:val="24"/>
          <w:lang w:val="es-ES_tradnl"/>
        </w:rPr>
        <w:t xml:space="preserve">41% de quienes se acercaron a los centros fueron remitidos por </w:t>
      </w:r>
      <w:smartTag w:uri="urn:schemas-microsoft-com:office:smarttags" w:element="City">
        <w:smartTag w:uri="urn:schemas-microsoft-com:office:smarttags" w:element="place">
          <w:r>
            <w:rPr>
              <w:szCs w:val="24"/>
              <w:lang w:val="es-ES_tradnl"/>
            </w:rPr>
            <w:t>la línea</w:t>
          </w:r>
        </w:smartTag>
      </w:smartTag>
      <w:r>
        <w:rPr>
          <w:szCs w:val="24"/>
          <w:lang w:val="es-ES_tradnl"/>
        </w:rPr>
        <w:t xml:space="preserve"> telefónica de emergencia de la municipalidad, o por patrullas especiales organizadas por las autoridades junto con un asistente social.</w:t>
      </w:r>
      <w:r>
        <w:rPr>
          <w:szCs w:val="24"/>
        </w:rPr>
        <w:t xml:space="preserve"> </w:t>
      </w:r>
      <w:r>
        <w:rPr>
          <w:szCs w:val="24"/>
          <w:lang w:val="es-ES_tradnl"/>
        </w:rPr>
        <w:t>Otros 10% fueron remitidos por centros médicos como hospitales, etc. 29% estaban buscando tratamiento por propia iniciativa.</w:t>
      </w:r>
    </w:p>
    <w:p w:rsidR="00F92819" w:rsidRDefault="00F92819">
      <w:pPr>
        <w:pStyle w:val="SingleTxtG"/>
        <w:rPr>
          <w:szCs w:val="24"/>
        </w:rPr>
      </w:pPr>
      <w:r>
        <w:rPr>
          <w:szCs w:val="24"/>
        </w:rPr>
        <w:t>445.</w:t>
      </w:r>
      <w:r>
        <w:rPr>
          <w:szCs w:val="24"/>
        </w:rPr>
        <w:tab/>
      </w:r>
      <w:r>
        <w:rPr>
          <w:szCs w:val="24"/>
          <w:lang w:val="es-ES_tradnl"/>
        </w:rPr>
        <w:t xml:space="preserve">Se evidencia un descenso considerable de la tasa de mortalidad de quienes habitan en </w:t>
      </w:r>
      <w:smartTag w:uri="urn:schemas-microsoft-com:office:smarttags" w:element="PersonName">
        <w:smartTagPr>
          <w:attr w:name="ProductID" w:val="la calle. En"/>
        </w:smartTagPr>
        <w:r>
          <w:rPr>
            <w:szCs w:val="24"/>
            <w:lang w:val="es-ES_tradnl"/>
          </w:rPr>
          <w:t>la calle.</w:t>
        </w:r>
        <w:r>
          <w:rPr>
            <w:szCs w:val="24"/>
          </w:rPr>
          <w:t xml:space="preserve"> </w:t>
        </w:r>
        <w:r>
          <w:rPr>
            <w:szCs w:val="24"/>
            <w:lang w:val="es-ES_tradnl"/>
          </w:rPr>
          <w:t>En</w:t>
        </w:r>
      </w:smartTag>
      <w:r>
        <w:rPr>
          <w:szCs w:val="24"/>
          <w:lang w:val="es-ES_tradnl"/>
        </w:rPr>
        <w:t xml:space="preserve"> 2007 hubo 28 notificaciones de defunciones de personas de la calle, frente a 79 en 2002.</w:t>
      </w:r>
    </w:p>
    <w:p w:rsidR="00F92819" w:rsidRDefault="00F92819">
      <w:pPr>
        <w:pStyle w:val="H23G"/>
        <w:rPr>
          <w:szCs w:val="24"/>
        </w:rPr>
      </w:pPr>
      <w:r>
        <w:rPr>
          <w:szCs w:val="24"/>
        </w:rPr>
        <w:tab/>
      </w:r>
      <w:r>
        <w:rPr>
          <w:szCs w:val="24"/>
        </w:rPr>
        <w:tab/>
      </w:r>
      <w:r>
        <w:rPr>
          <w:szCs w:val="24"/>
          <w:lang w:val="es-ES_tradnl"/>
        </w:rPr>
        <w:t>No discriminación en la vivienda</w:t>
      </w:r>
    </w:p>
    <w:p w:rsidR="00F92819" w:rsidRDefault="00F92819">
      <w:pPr>
        <w:pStyle w:val="H4G"/>
        <w:rPr>
          <w:szCs w:val="24"/>
        </w:rPr>
      </w:pPr>
      <w:r>
        <w:rPr>
          <w:szCs w:val="24"/>
        </w:rPr>
        <w:tab/>
      </w:r>
      <w:r>
        <w:rPr>
          <w:szCs w:val="24"/>
        </w:rPr>
        <w:tab/>
      </w:r>
      <w:r>
        <w:rPr>
          <w:szCs w:val="24"/>
          <w:lang w:val="es-ES_tradnl"/>
        </w:rPr>
        <w:t>La población árabe</w:t>
      </w:r>
    </w:p>
    <w:p w:rsidR="00F92819" w:rsidRDefault="00F92819">
      <w:pPr>
        <w:pStyle w:val="H56G"/>
        <w:rPr>
          <w:szCs w:val="24"/>
        </w:rPr>
      </w:pPr>
      <w:r>
        <w:rPr>
          <w:szCs w:val="24"/>
        </w:rPr>
        <w:tab/>
      </w:r>
      <w:r>
        <w:rPr>
          <w:szCs w:val="24"/>
        </w:rPr>
        <w:tab/>
      </w:r>
      <w:r>
        <w:rPr>
          <w:szCs w:val="24"/>
          <w:lang w:val="es-ES_tradnl"/>
        </w:rPr>
        <w:t>Representación en el Consejo Nacional de Planificación y Construcción</w:t>
      </w:r>
    </w:p>
    <w:p w:rsidR="00F92819" w:rsidRDefault="00F92819">
      <w:pPr>
        <w:pStyle w:val="SingleTxtG"/>
        <w:rPr>
          <w:szCs w:val="24"/>
        </w:rPr>
      </w:pPr>
      <w:r>
        <w:rPr>
          <w:szCs w:val="24"/>
        </w:rPr>
        <w:t>446.</w:t>
      </w:r>
      <w:r>
        <w:rPr>
          <w:szCs w:val="24"/>
        </w:rPr>
        <w:tab/>
      </w:r>
      <w:r>
        <w:rPr>
          <w:szCs w:val="24"/>
          <w:lang w:val="es-ES_tradnl"/>
        </w:rPr>
        <w:t>El Consejo Nacional de Planificación y Construcción (en adelante:</w:t>
      </w:r>
      <w:r>
        <w:rPr>
          <w:szCs w:val="24"/>
        </w:rPr>
        <w:t xml:space="preserve"> </w:t>
      </w:r>
      <w:r>
        <w:rPr>
          <w:szCs w:val="24"/>
          <w:lang w:val="es-ES_tradnl"/>
        </w:rPr>
        <w:t>el “Consejo”) está formado por 32 miembros, un tercio de los cuales son representantes de Ministros (nombrados por los Ministros), otro tercio son representantes de las autoridades municipales (nombrados por el Ministerio del Interior) y el tercio restante son representantes públicos (nombrados en parte por el Ministro del Interior).</w:t>
      </w:r>
    </w:p>
    <w:p w:rsidR="00F92819" w:rsidRDefault="00F92819">
      <w:pPr>
        <w:pStyle w:val="SingleTxtG"/>
        <w:rPr>
          <w:szCs w:val="24"/>
        </w:rPr>
      </w:pPr>
      <w:r>
        <w:rPr>
          <w:szCs w:val="24"/>
          <w:lang w:val="es-ES_tradnl"/>
        </w:rPr>
        <w:t>El Ministerio del Interior asegura una representación equitativa de todas las comunidades, regiones y poblaciones en el Consejo, incluida la población árabe; a este respecto, 4 de los 32 miembros del Consejo son árabes.</w:t>
      </w:r>
    </w:p>
    <w:p w:rsidR="00F92819" w:rsidRDefault="00F92819">
      <w:pPr>
        <w:pStyle w:val="H56G"/>
        <w:rPr>
          <w:szCs w:val="24"/>
        </w:rPr>
      </w:pPr>
      <w:r>
        <w:rPr>
          <w:szCs w:val="24"/>
        </w:rPr>
        <w:tab/>
      </w:r>
      <w:r>
        <w:rPr>
          <w:szCs w:val="24"/>
        </w:rPr>
        <w:tab/>
      </w:r>
      <w:r>
        <w:rPr>
          <w:szCs w:val="24"/>
          <w:lang w:val="es-ES_tradnl"/>
        </w:rPr>
        <w:t>Planificación para la población árabe</w:t>
      </w:r>
    </w:p>
    <w:p w:rsidR="00F92819" w:rsidRDefault="00F92819">
      <w:pPr>
        <w:pStyle w:val="SingleTxtG"/>
        <w:rPr>
          <w:szCs w:val="24"/>
        </w:rPr>
      </w:pPr>
      <w:r>
        <w:rPr>
          <w:szCs w:val="24"/>
        </w:rPr>
        <w:t>447.</w:t>
      </w:r>
      <w:r>
        <w:rPr>
          <w:szCs w:val="24"/>
        </w:rPr>
        <w:tab/>
      </w:r>
      <w:r>
        <w:rPr>
          <w:szCs w:val="24"/>
          <w:lang w:val="es-ES_tradnl"/>
        </w:rPr>
        <w:t xml:space="preserve">En los últimos años el Departamento de Planificación del Ministerio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Interior puso en marcha un amplio proyecto encaminado a la preparación de programas de planificación para la mayoría de las localidades árabes.</w:t>
      </w:r>
    </w:p>
    <w:p w:rsidR="00F92819" w:rsidRDefault="00F92819">
      <w:pPr>
        <w:pStyle w:val="SingleTxtG"/>
        <w:rPr>
          <w:szCs w:val="24"/>
        </w:rPr>
      </w:pPr>
      <w:r>
        <w:rPr>
          <w:szCs w:val="24"/>
        </w:rPr>
        <w:t>448.</w:t>
      </w:r>
      <w:r>
        <w:rPr>
          <w:szCs w:val="24"/>
        </w:rPr>
        <w:tab/>
      </w:r>
      <w:r>
        <w:rPr>
          <w:szCs w:val="24"/>
          <w:lang w:val="es-ES_tradnl"/>
        </w:rPr>
        <w:t xml:space="preserve">Los objetivos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proyecto son los siguientes:</w:t>
      </w:r>
    </w:p>
    <w:p w:rsidR="00F92819" w:rsidRDefault="00F92819">
      <w:pPr>
        <w:pStyle w:val="Bullet1G"/>
        <w:suppressAutoHyphens/>
        <w:rPr>
          <w:szCs w:val="24"/>
        </w:rPr>
      </w:pPr>
      <w:r>
        <w:rPr>
          <w:szCs w:val="24"/>
          <w:lang w:val="es-ES_tradnl"/>
        </w:rPr>
        <w:t>Mejorar la calidad de vida en las localidades, incluido un aumento considerable de las áreas de vivienda, áreas de empleo, espacios abiertos e instalaciones públicas, así como infraestructuras adecuadas, a fin de atender las necesidades de las localidades a largo plazo;</w:t>
      </w:r>
    </w:p>
    <w:p w:rsidR="00F92819" w:rsidRDefault="00F92819">
      <w:pPr>
        <w:pStyle w:val="Bullet1G"/>
        <w:suppressAutoHyphens/>
        <w:rPr>
          <w:szCs w:val="24"/>
        </w:rPr>
      </w:pPr>
      <w:r>
        <w:rPr>
          <w:szCs w:val="24"/>
          <w:lang w:val="es-ES_tradnl"/>
        </w:rPr>
        <w:t>Regular la situación de planificación para satisfacer las necesidades de las localidades y su integración en el entorno;</w:t>
      </w:r>
    </w:p>
    <w:p w:rsidR="00F92819" w:rsidRDefault="00F92819">
      <w:pPr>
        <w:pStyle w:val="Bullet1G"/>
        <w:suppressAutoHyphens/>
        <w:rPr>
          <w:szCs w:val="24"/>
        </w:rPr>
      </w:pPr>
      <w:r>
        <w:rPr>
          <w:szCs w:val="24"/>
          <w:lang w:val="es-ES_tradnl"/>
        </w:rPr>
        <w:t>Ofrecer una base de planificación encaminada a la integración de las localidades de las minorías en el desarrollo socioeconómico de la sociedad israelí en general.</w:t>
      </w:r>
    </w:p>
    <w:p w:rsidR="00F92819" w:rsidRDefault="00F92819">
      <w:pPr>
        <w:pStyle w:val="SingleTxtG"/>
        <w:rPr>
          <w:szCs w:val="24"/>
        </w:rPr>
      </w:pPr>
      <w:r>
        <w:rPr>
          <w:szCs w:val="24"/>
        </w:rPr>
        <w:t>449.</w:t>
      </w:r>
      <w:r>
        <w:rPr>
          <w:szCs w:val="24"/>
        </w:rPr>
        <w:tab/>
      </w:r>
      <w:r>
        <w:rPr>
          <w:szCs w:val="24"/>
          <w:lang w:val="es-ES_tradnl"/>
        </w:rPr>
        <w:t xml:space="preserve">El proyecto abarca el 70% de las localidades árabes de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xml:space="preserve"> (87 de 128 localidades).</w:t>
      </w:r>
      <w:r>
        <w:rPr>
          <w:szCs w:val="24"/>
        </w:rPr>
        <w:t xml:space="preserve"> </w:t>
      </w:r>
      <w:r>
        <w:rPr>
          <w:szCs w:val="24"/>
          <w:lang w:val="es-ES_tradnl"/>
        </w:rPr>
        <w:t>La mayoría de las localidades restantes tienen planes aprobados que se ajustan a sus necesidades de desarrollo.</w:t>
      </w:r>
      <w:r>
        <w:rPr>
          <w:szCs w:val="24"/>
        </w:rPr>
        <w:t xml:space="preserve"> </w:t>
      </w:r>
      <w:r>
        <w:rPr>
          <w:szCs w:val="24"/>
          <w:lang w:val="es-ES_tradnl"/>
        </w:rPr>
        <w:t>En algunas de éstas, los programas de planificación son promovidos por las propias autoridades locales.</w:t>
      </w:r>
    </w:p>
    <w:p w:rsidR="00F92819" w:rsidRDefault="00F92819">
      <w:pPr>
        <w:pStyle w:val="SingleTxtG"/>
        <w:rPr>
          <w:szCs w:val="24"/>
        </w:rPr>
      </w:pPr>
      <w:r>
        <w:rPr>
          <w:szCs w:val="24"/>
        </w:rPr>
        <w:t>450.</w:t>
      </w:r>
      <w:r>
        <w:rPr>
          <w:szCs w:val="24"/>
        </w:rPr>
        <w:tab/>
      </w:r>
      <w:r>
        <w:rPr>
          <w:szCs w:val="24"/>
          <w:lang w:val="es-ES_tradnl"/>
        </w:rPr>
        <w:t xml:space="preserve">Hasta el momento se han asignado 60 millones de nuevos sheqalim (16,2 millones de dólares) a la promoción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proyecto de planificación.</w:t>
      </w:r>
      <w:r>
        <w:rPr>
          <w:szCs w:val="24"/>
        </w:rPr>
        <w:t xml:space="preserve"> </w:t>
      </w:r>
      <w:r>
        <w:rPr>
          <w:szCs w:val="24"/>
          <w:lang w:val="es-ES_tradnl"/>
        </w:rPr>
        <w:t>Cabe destacar que a pesar de los recortes generalizados en los presupuestos ministeriales en los últimos años, el presupuesto destinado a este proyecto ha aumentado.</w:t>
      </w:r>
    </w:p>
    <w:p w:rsidR="00F92819" w:rsidRDefault="00F92819">
      <w:pPr>
        <w:pStyle w:val="SingleTxtG"/>
        <w:rPr>
          <w:szCs w:val="24"/>
        </w:rPr>
      </w:pPr>
      <w:r>
        <w:rPr>
          <w:szCs w:val="24"/>
        </w:rPr>
        <w:t>451.</w:t>
      </w:r>
      <w:r>
        <w:rPr>
          <w:szCs w:val="24"/>
        </w:rPr>
        <w:tab/>
      </w:r>
      <w:r>
        <w:rPr>
          <w:szCs w:val="24"/>
          <w:lang w:val="es-ES_tradnl"/>
        </w:rPr>
        <w:t xml:space="preserve">El proyecto está respaldado por varias resoluciones del Gobierno y se basa en la política de planificación estatal constituida y consensuada en el </w:t>
      </w:r>
      <w:r>
        <w:rPr>
          <w:b/>
          <w:szCs w:val="24"/>
          <w:lang w:val="es-ES_tradnl"/>
        </w:rPr>
        <w:t>NOP 35,</w:t>
      </w:r>
      <w:r>
        <w:rPr>
          <w:szCs w:val="24"/>
          <w:lang w:val="es-ES_tradnl"/>
        </w:rPr>
        <w:t xml:space="preserve"> el Plan General Nacional para la Construcción, el Desarrollo y </w:t>
      </w:r>
      <w:smartTag w:uri="urn:schemas-microsoft-com:office:smarttags" w:element="PersonName">
        <w:smartTagPr>
          <w:attr w:name="ProductID" w:val="la Conservaci￳n. La"/>
        </w:smartTagPr>
        <w:r>
          <w:rPr>
            <w:szCs w:val="24"/>
            <w:lang w:val="es-ES_tradnl"/>
          </w:rPr>
          <w:t>la Conservación.</w:t>
        </w:r>
        <w:r>
          <w:rPr>
            <w:szCs w:val="24"/>
          </w:rPr>
          <w:t xml:space="preserve"> </w:t>
        </w:r>
        <w:r>
          <w:rPr>
            <w:szCs w:val="24"/>
            <w:lang w:val="es-ES_tradnl"/>
          </w:rPr>
          <w:t>La</w:t>
        </w:r>
      </w:smartTag>
      <w:r>
        <w:rPr>
          <w:szCs w:val="24"/>
          <w:lang w:val="es-ES_tradnl"/>
        </w:rPr>
        <w:t xml:space="preserve"> política de planificación nacional indicaba las nuevas tendencias de desarrollo para las localidades y las distintas normas de densidad según el tamaño de la localidad, su situación socioeconómica y su demografía. </w:t>
      </w:r>
    </w:p>
    <w:p w:rsidR="00F92819" w:rsidRDefault="00F92819">
      <w:pPr>
        <w:pStyle w:val="SingleTxtG"/>
        <w:rPr>
          <w:szCs w:val="24"/>
        </w:rPr>
      </w:pPr>
      <w:r>
        <w:rPr>
          <w:szCs w:val="24"/>
        </w:rPr>
        <w:t>452.</w:t>
      </w:r>
      <w:r>
        <w:rPr>
          <w:szCs w:val="24"/>
        </w:rPr>
        <w:tab/>
      </w:r>
      <w:r>
        <w:rPr>
          <w:szCs w:val="24"/>
          <w:lang w:val="es-ES_tradnl"/>
        </w:rPr>
        <w:t>Los programas de planificación aplican varios principios fundamentales:</w:t>
      </w:r>
    </w:p>
    <w:p w:rsidR="00F92819" w:rsidRDefault="00F92819">
      <w:pPr>
        <w:pStyle w:val="Bullet1G"/>
        <w:suppressAutoHyphens/>
        <w:rPr>
          <w:szCs w:val="24"/>
        </w:rPr>
      </w:pPr>
      <w:r>
        <w:rPr>
          <w:szCs w:val="24"/>
          <w:lang w:val="es-ES_tradnl"/>
        </w:rPr>
        <w:t xml:space="preserve">Soluciones para el crecimiento previsto de la población; </w:t>
      </w:r>
    </w:p>
    <w:p w:rsidR="00F92819" w:rsidRDefault="00F92819">
      <w:pPr>
        <w:pStyle w:val="Bullet1G"/>
        <w:suppressAutoHyphens/>
        <w:rPr>
          <w:szCs w:val="24"/>
        </w:rPr>
      </w:pPr>
      <w:r>
        <w:rPr>
          <w:szCs w:val="24"/>
          <w:lang w:val="es-ES_tradnl"/>
        </w:rPr>
        <w:t>Designación de zonas públicas para instituciones públicas, zonas verdes y trazado de infraestructuras;</w:t>
      </w:r>
    </w:p>
    <w:p w:rsidR="00F92819" w:rsidRDefault="00F92819">
      <w:pPr>
        <w:pStyle w:val="Bullet1G"/>
        <w:suppressAutoHyphens/>
        <w:rPr>
          <w:szCs w:val="24"/>
        </w:rPr>
      </w:pPr>
      <w:r>
        <w:rPr>
          <w:szCs w:val="24"/>
          <w:lang w:val="es-ES_tradnl"/>
        </w:rPr>
        <w:t xml:space="preserve">Designación de tierras del Estado para la construcción a beneficio de las personas sin hogar y para atender necesidades públicas; </w:t>
      </w:r>
    </w:p>
    <w:p w:rsidR="00F92819" w:rsidRDefault="00F92819">
      <w:pPr>
        <w:pStyle w:val="Bullet1G"/>
        <w:suppressAutoHyphens/>
        <w:rPr>
          <w:szCs w:val="24"/>
        </w:rPr>
      </w:pPr>
      <w:r>
        <w:rPr>
          <w:szCs w:val="24"/>
          <w:lang w:val="es-ES_tradnl"/>
        </w:rPr>
        <w:t>Desarrollo de áreas de empleo regionales o conjuntas para aumentar los ingresos de las autoridades locales;</w:t>
      </w:r>
    </w:p>
    <w:p w:rsidR="00F92819" w:rsidRDefault="00F92819">
      <w:pPr>
        <w:pStyle w:val="Bullet1G"/>
        <w:suppressAutoHyphens/>
        <w:rPr>
          <w:szCs w:val="24"/>
        </w:rPr>
      </w:pPr>
      <w:r>
        <w:rPr>
          <w:szCs w:val="24"/>
          <w:lang w:val="es-ES_tradnl"/>
        </w:rPr>
        <w:t>Creación de un marco de soluciones regionales en diversos ámbitos, como la protección del medio ambiente, el transporte público, los entierros, etc.;</w:t>
      </w:r>
    </w:p>
    <w:p w:rsidR="00F92819" w:rsidRDefault="00F92819">
      <w:pPr>
        <w:pStyle w:val="Bullet1G"/>
        <w:suppressAutoHyphens/>
        <w:rPr>
          <w:szCs w:val="24"/>
        </w:rPr>
      </w:pPr>
      <w:r>
        <w:rPr>
          <w:szCs w:val="24"/>
          <w:lang w:val="es-ES_tradnl"/>
        </w:rPr>
        <w:t>Adecuación a las necesidades especiales de las diferentes poblaciones y la singularidad de cada localidad (por ejemplo:</w:t>
      </w:r>
      <w:r>
        <w:rPr>
          <w:szCs w:val="24"/>
        </w:rPr>
        <w:t xml:space="preserve"> </w:t>
      </w:r>
      <w:r>
        <w:rPr>
          <w:szCs w:val="24"/>
          <w:lang w:val="es-ES_tradnl"/>
        </w:rPr>
        <w:t>propiedad de la tierra, preservación del carácter rural o urbano, preservación de los valores religiosos, comercio y ocupación con arreglo a las necesidades de la localidad, etc.);</w:t>
      </w:r>
    </w:p>
    <w:p w:rsidR="00F92819" w:rsidRDefault="00F92819">
      <w:pPr>
        <w:pStyle w:val="Bullet1G"/>
        <w:suppressAutoHyphens/>
        <w:rPr>
          <w:szCs w:val="24"/>
        </w:rPr>
      </w:pPr>
      <w:r>
        <w:rPr>
          <w:szCs w:val="24"/>
          <w:lang w:val="es-ES_tradnl"/>
        </w:rPr>
        <w:t>Creación de áreas de empleo conjuntas para las autoridades judías y árabes para promover la integración económica de las localidades árabes y para aumentar los ingresos de las autoridades locales judías y árabes.</w:t>
      </w:r>
    </w:p>
    <w:p w:rsidR="00F92819" w:rsidRDefault="00F92819">
      <w:pPr>
        <w:pStyle w:val="SingleTxtG"/>
        <w:rPr>
          <w:szCs w:val="24"/>
        </w:rPr>
      </w:pPr>
      <w:r>
        <w:rPr>
          <w:szCs w:val="24"/>
        </w:rPr>
        <w:t>453.</w:t>
      </w:r>
      <w:r>
        <w:rPr>
          <w:szCs w:val="24"/>
        </w:rPr>
        <w:tab/>
      </w:r>
      <w:r>
        <w:rPr>
          <w:szCs w:val="24"/>
          <w:lang w:val="es-ES_tradnl"/>
        </w:rPr>
        <w:t>Cada plan se promueve mediante un grupo de expertos en planificación contratado por el Departamento de Planificación y acompañado por un comité de dirección general encabezado por representantes del Departamento.</w:t>
      </w:r>
      <w:r>
        <w:rPr>
          <w:szCs w:val="24"/>
        </w:rPr>
        <w:t xml:space="preserve"> </w:t>
      </w:r>
      <w:r>
        <w:rPr>
          <w:szCs w:val="24"/>
          <w:lang w:val="es-ES_tradnl"/>
        </w:rPr>
        <w:t>Cada comité cuenta con representantes de la autoridad local, los ministerios pertinentes y las autoridades locales vecinas, el Fondo Nacional Judío (Keren Kayemeth Le’Israel), la Sociedad para la Protección de la Naturaleza de Israel, y la Dirección de Protección de la Naturaleza y Parques Nacionales de Israel.</w:t>
      </w:r>
    </w:p>
    <w:p w:rsidR="00F92819" w:rsidRDefault="00F92819">
      <w:pPr>
        <w:pStyle w:val="SingleTxtG"/>
        <w:rPr>
          <w:szCs w:val="24"/>
        </w:rPr>
      </w:pPr>
      <w:r>
        <w:rPr>
          <w:szCs w:val="24"/>
        </w:rPr>
        <w:t>454.</w:t>
      </w:r>
      <w:r>
        <w:rPr>
          <w:szCs w:val="24"/>
        </w:rPr>
        <w:tab/>
      </w:r>
      <w:r>
        <w:rPr>
          <w:szCs w:val="24"/>
          <w:lang w:val="es-ES_tradnl"/>
        </w:rPr>
        <w:t>Como resultado del reconocimiento de la importancia de la implicación de la comunidad en los procesos de toma de decisiones que afectan a la vida diaria y a la naturaleza de su lugar de residencia, se ha prestado especial atención a la participación de la comunidad local en el proceso de planificación.</w:t>
      </w:r>
    </w:p>
    <w:p w:rsidR="00F92819" w:rsidRDefault="00F92819">
      <w:pPr>
        <w:pStyle w:val="SingleTxtG"/>
        <w:rPr>
          <w:szCs w:val="24"/>
        </w:rPr>
      </w:pPr>
      <w:r>
        <w:rPr>
          <w:szCs w:val="24"/>
        </w:rPr>
        <w:t>455.</w:t>
      </w:r>
      <w:r>
        <w:rPr>
          <w:szCs w:val="24"/>
        </w:rPr>
        <w:tab/>
      </w:r>
      <w:r>
        <w:rPr>
          <w:szCs w:val="24"/>
          <w:lang w:val="es-ES_tradnl"/>
        </w:rPr>
        <w:t>Además de la plena participación de los dirigentes locales, la iniciativa de incluir a la comunidad local en el proceso de planificación se realiza de varias maneras, con arreglo al carácter de la localidad y su estructura social,</w:t>
      </w:r>
      <w:r>
        <w:rPr>
          <w:szCs w:val="24"/>
        </w:rPr>
        <w:t xml:space="preserve"> </w:t>
      </w:r>
      <w:r>
        <w:rPr>
          <w:szCs w:val="24"/>
          <w:lang w:val="es-ES_tradnl"/>
        </w:rPr>
        <w:t xml:space="preserve">entre ellas, grupos de discusión, distribución de cuestionarios, asambleas abiertas para presentar el plan y recibir observaciones, etc. </w:t>
      </w:r>
    </w:p>
    <w:p w:rsidR="00F92819" w:rsidRDefault="00F92819">
      <w:pPr>
        <w:pStyle w:val="SingleTxtG"/>
        <w:rPr>
          <w:szCs w:val="24"/>
        </w:rPr>
      </w:pPr>
      <w:r>
        <w:rPr>
          <w:szCs w:val="24"/>
        </w:rPr>
        <w:t>456.</w:t>
      </w:r>
      <w:r>
        <w:rPr>
          <w:szCs w:val="24"/>
        </w:rPr>
        <w:tab/>
      </w:r>
      <w:r>
        <w:rPr>
          <w:szCs w:val="24"/>
          <w:lang w:val="es-ES_tradnl"/>
        </w:rPr>
        <w:t xml:space="preserve">El éxito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proyecto de planificación depende en primer lugar de que los dirigentes locales asuman la responsabilidad de apoyarlo, promover un plan detallado compatible con el programa de planificación, ejecutar expropiaciones públicas, cobrar tasas e impuestos de desarrollo y luchar contra la construcción ilegal. El Departamento de Planificación del Ministerio del Interior está haciendo todo lo posible para lograr las mejoras necesarias para todos los sectores de la población árabe en Israel.</w:t>
      </w:r>
    </w:p>
    <w:p w:rsidR="00F92819" w:rsidRDefault="00F92819">
      <w:pPr>
        <w:pStyle w:val="SingleTxtG"/>
        <w:rPr>
          <w:szCs w:val="24"/>
        </w:rPr>
      </w:pPr>
      <w:r>
        <w:rPr>
          <w:szCs w:val="24"/>
        </w:rPr>
        <w:t>457.</w:t>
      </w:r>
      <w:r>
        <w:rPr>
          <w:szCs w:val="24"/>
        </w:rPr>
        <w:tab/>
      </w:r>
      <w:r>
        <w:rPr>
          <w:szCs w:val="24"/>
          <w:lang w:val="es-ES_tradnl"/>
        </w:rPr>
        <w:t>Cabe observar que la mayoría de las localidades árabes disponen de un programa de planificación, aunque no esté actualizado, iniciado por el Gobierno en la década de 1980.</w:t>
      </w:r>
    </w:p>
    <w:p w:rsidR="00F92819" w:rsidRDefault="00F92819">
      <w:pPr>
        <w:pStyle w:val="H56G"/>
        <w:rPr>
          <w:szCs w:val="24"/>
        </w:rPr>
      </w:pPr>
      <w:r>
        <w:rPr>
          <w:szCs w:val="24"/>
        </w:rPr>
        <w:tab/>
      </w:r>
      <w:r>
        <w:rPr>
          <w:szCs w:val="24"/>
        </w:rPr>
        <w:tab/>
      </w:r>
      <w:r>
        <w:rPr>
          <w:szCs w:val="24"/>
          <w:lang w:val="es-ES_tradnl"/>
        </w:rPr>
        <w:t>Una nueva ciudad árabe</w:t>
      </w:r>
    </w:p>
    <w:p w:rsidR="00F92819" w:rsidRDefault="00F92819">
      <w:pPr>
        <w:pStyle w:val="SingleTxtG"/>
        <w:rPr>
          <w:szCs w:val="24"/>
        </w:rPr>
      </w:pPr>
      <w:r>
        <w:rPr>
          <w:szCs w:val="24"/>
        </w:rPr>
        <w:t>458.</w:t>
      </w:r>
      <w:r>
        <w:rPr>
          <w:szCs w:val="24"/>
        </w:rPr>
        <w:tab/>
      </w:r>
      <w:r>
        <w:rPr>
          <w:szCs w:val="24"/>
          <w:lang w:val="es-ES_tradnl"/>
        </w:rPr>
        <w:t xml:space="preserve">El Departamento de Planificación ha comenzado una labor preliminar para examinar la posibilidad de crear una ciudad moderna para la población árabe en Israel, con el objetivo de ampliar la movilidad de la población, conferir valor e idoneidad para la comercialización de la tierra, estimular la creación de una clase media socioeconómica y fortalecer los recursos financieros, sociales y culturales. </w:t>
      </w:r>
    </w:p>
    <w:p w:rsidR="00F92819" w:rsidRDefault="00F92819">
      <w:pPr>
        <w:pStyle w:val="H23G"/>
        <w:rPr>
          <w:szCs w:val="24"/>
        </w:rPr>
      </w:pPr>
      <w:r>
        <w:rPr>
          <w:szCs w:val="24"/>
        </w:rPr>
        <w:tab/>
      </w:r>
      <w:r>
        <w:rPr>
          <w:szCs w:val="24"/>
        </w:rPr>
        <w:tab/>
      </w:r>
      <w:r>
        <w:rPr>
          <w:szCs w:val="24"/>
          <w:lang w:val="es-ES_tradnl"/>
        </w:rPr>
        <w:t>Asignación de subvenciones económicas</w:t>
      </w:r>
    </w:p>
    <w:p w:rsidR="00F92819" w:rsidRDefault="00F92819">
      <w:pPr>
        <w:pStyle w:val="SingleTxtG"/>
        <w:rPr>
          <w:szCs w:val="24"/>
        </w:rPr>
      </w:pPr>
      <w:r>
        <w:rPr>
          <w:szCs w:val="24"/>
        </w:rPr>
        <w:t>459.</w:t>
      </w:r>
      <w:r>
        <w:rPr>
          <w:szCs w:val="24"/>
        </w:rPr>
        <w:tab/>
      </w:r>
      <w:r>
        <w:rPr>
          <w:szCs w:val="24"/>
          <w:lang w:val="es-ES_tradnl"/>
        </w:rPr>
        <w:t xml:space="preserve">En H.C.J. 2101/99 </w:t>
      </w:r>
      <w:r>
        <w:rPr>
          <w:i/>
          <w:szCs w:val="24"/>
          <w:lang w:val="es-ES_tradnl"/>
        </w:rPr>
        <w:t>Shibli and ACRI c. el Ministro de Construcción y Vivienda</w:t>
      </w:r>
      <w:r>
        <w:rPr>
          <w:szCs w:val="24"/>
          <w:lang w:val="es-ES_tradnl"/>
        </w:rPr>
        <w:t xml:space="preserve"> (21 de abril de 2002), el Tribunal Supremo de Israel examinó el sistema de asignación de subvenciones de alquiler.</w:t>
      </w:r>
      <w:r>
        <w:rPr>
          <w:szCs w:val="24"/>
        </w:rPr>
        <w:t xml:space="preserve"> </w:t>
      </w:r>
      <w:r>
        <w:rPr>
          <w:szCs w:val="24"/>
          <w:lang w:val="es-ES_tradnl"/>
        </w:rPr>
        <w:t>El Estado señaló un cambio reciente en su política de asignaciones que eliminaba cualquier distinción con respecto a la asignación de subvenciones. Básicamente, el factor decisivo depende del número de residentes y del porcentaje de viviendas utilizadas para alquiler.</w:t>
      </w:r>
      <w:r>
        <w:rPr>
          <w:szCs w:val="24"/>
        </w:rPr>
        <w:t xml:space="preserve"> </w:t>
      </w:r>
      <w:r>
        <w:rPr>
          <w:szCs w:val="24"/>
          <w:lang w:val="es-ES_tradnl"/>
        </w:rPr>
        <w:t>No obstante, el demandante afirmaba que la política estatal resultaba discriminatoria porque la mayoría de las ciudades árabes eran pequeñas y por ello no tenían derecho a tales subvenciones.</w:t>
      </w:r>
      <w:r>
        <w:rPr>
          <w:szCs w:val="24"/>
        </w:rPr>
        <w:t xml:space="preserve"> </w:t>
      </w:r>
      <w:r>
        <w:rPr>
          <w:szCs w:val="24"/>
          <w:lang w:val="es-ES_tradnl"/>
        </w:rPr>
        <w:t>El Tribunal sostuvo en abril de 2002 que debería darse al Gobierno la oportunidad de aplicar el nuevo programa para decidir de forma apropiada si resulta discriminatorio.</w:t>
      </w:r>
    </w:p>
    <w:p w:rsidR="00F92819" w:rsidRDefault="00F92819">
      <w:pPr>
        <w:pStyle w:val="SingleTxtG"/>
        <w:rPr>
          <w:szCs w:val="24"/>
        </w:rPr>
      </w:pPr>
      <w:r>
        <w:rPr>
          <w:szCs w:val="24"/>
        </w:rPr>
        <w:t>460.</w:t>
      </w:r>
      <w:r>
        <w:rPr>
          <w:szCs w:val="24"/>
        </w:rPr>
        <w:tab/>
      </w:r>
      <w:r>
        <w:rPr>
          <w:szCs w:val="24"/>
          <w:lang w:val="es-ES_tradnl"/>
        </w:rPr>
        <w:t>Otro caso notable sobre subvenciones de alquiler se presentó ante el Tribunal Administrativo de Be’er-Sheva (A.C.C. 335/04</w:t>
      </w:r>
      <w:r>
        <w:rPr>
          <w:i/>
          <w:szCs w:val="24"/>
          <w:lang w:val="es-ES_tradnl"/>
        </w:rPr>
        <w:t xml:space="preserve"> Vered Pinhasi c. el Estado de Israel </w:t>
      </w:r>
      <w:r>
        <w:rPr>
          <w:szCs w:val="24"/>
          <w:lang w:val="es-ES_tradnl"/>
        </w:rPr>
        <w:t>(22 de noviembre de 2004)).</w:t>
      </w:r>
      <w:r>
        <w:rPr>
          <w:szCs w:val="24"/>
        </w:rPr>
        <w:t xml:space="preserve"> </w:t>
      </w:r>
      <w:r>
        <w:rPr>
          <w:szCs w:val="24"/>
          <w:lang w:val="es-ES_tradnl"/>
        </w:rPr>
        <w:t>El solicitante estaba casado con una palestina no ciudadana con cinco hijos y necesitaba una subvención de alquiler.</w:t>
      </w:r>
      <w:r>
        <w:rPr>
          <w:szCs w:val="24"/>
        </w:rPr>
        <w:t xml:space="preserve"> </w:t>
      </w:r>
      <w:r>
        <w:rPr>
          <w:szCs w:val="24"/>
          <w:lang w:val="es-ES_tradnl"/>
        </w:rPr>
        <w:t>El Estado le negó tal beneficio porque estaba casado con una no ciudadana.</w:t>
      </w:r>
      <w:r>
        <w:rPr>
          <w:szCs w:val="24"/>
        </w:rPr>
        <w:t xml:space="preserve"> </w:t>
      </w:r>
      <w:r>
        <w:rPr>
          <w:szCs w:val="24"/>
          <w:lang w:val="es-ES_tradnl"/>
        </w:rPr>
        <w:t>El Tribunal sostuvo que este razonamiento era incorrecto y contrario a los intereses de justicia e imparcialidad, por lo que no debía negarse la asistencia al solicitante y su familia.</w:t>
      </w:r>
    </w:p>
    <w:p w:rsidR="00F92819" w:rsidRDefault="00F92819">
      <w:pPr>
        <w:pStyle w:val="SingleTxtG"/>
        <w:rPr>
          <w:szCs w:val="24"/>
        </w:rPr>
      </w:pPr>
      <w:r>
        <w:rPr>
          <w:szCs w:val="24"/>
        </w:rPr>
        <w:t>461.</w:t>
      </w:r>
      <w:r>
        <w:rPr>
          <w:szCs w:val="24"/>
        </w:rPr>
        <w:tab/>
      </w:r>
      <w:r>
        <w:rPr>
          <w:szCs w:val="24"/>
          <w:lang w:val="es-ES_tradnl"/>
        </w:rPr>
        <w:t>El 13 de diciembre de 2006 el Tribunal Supremo rechazó una demanda presentada por Adalah contra el Ministerio de Construcción y Vivienda que cuestionaba la política estatal de ofrecer ayuda económica (en forma de préstamos estatales) para hipotecas a los ciudadanos israelíes que han cumplido el servicio militar o el servicio civil nacional.</w:t>
      </w:r>
      <w:r>
        <w:rPr>
          <w:szCs w:val="24"/>
        </w:rPr>
        <w:t xml:space="preserve"> </w:t>
      </w:r>
      <w:r>
        <w:rPr>
          <w:szCs w:val="24"/>
          <w:lang w:val="es-ES_tradnl"/>
        </w:rPr>
        <w:t>Los demandantes argumentaban que el ampliación de las ayudas para hipotecas de viviendas discrimina a los ciudadanos árabes de Israel, que no están obligados a realizar el servicio militar o el servicio civil nacional.</w:t>
      </w:r>
      <w:r>
        <w:rPr>
          <w:szCs w:val="24"/>
        </w:rPr>
        <w:t xml:space="preserve"> </w:t>
      </w:r>
      <w:r>
        <w:rPr>
          <w:szCs w:val="24"/>
          <w:lang w:val="es-ES_tradnl"/>
        </w:rPr>
        <w:t>Los demandantes arguyeron que la realización del servicio militar es irrelevante en lo que respecta a las ayudas adicionales para vivienda que concede el Estado, cuya finalidad es ayudar a los desfavorecidos social y económicamente a encontrar soluciones de vivienda.</w:t>
      </w:r>
    </w:p>
    <w:p w:rsidR="00F92819" w:rsidRDefault="00F92819">
      <w:pPr>
        <w:pStyle w:val="SingleTxtG"/>
        <w:rPr>
          <w:szCs w:val="24"/>
        </w:rPr>
      </w:pPr>
      <w:r>
        <w:rPr>
          <w:szCs w:val="24"/>
          <w:lang w:val="es-ES_tradnl"/>
        </w:rPr>
        <w:t xml:space="preserve">En este caso, el Tribunal sostuvo que nada impide en principio conceder subvenciones a quienes han cumplido el servicio militar o el servicio civil nacional en mayor medida que la recogida en la </w:t>
      </w:r>
      <w:r>
        <w:rPr>
          <w:i/>
          <w:szCs w:val="24"/>
          <w:lang w:val="es-ES_tradnl"/>
        </w:rPr>
        <w:t>Ley de absorción de soldados licenciados</w:t>
      </w:r>
      <w:r>
        <w:rPr>
          <w:szCs w:val="24"/>
          <w:lang w:val="es-ES_tradnl"/>
        </w:rPr>
        <w:t xml:space="preserve"> de 5754/1994, siempre que las circunstancias justifiquen el uso del criterio del servicio militar.</w:t>
      </w:r>
    </w:p>
    <w:p w:rsidR="00F92819" w:rsidRDefault="00F92819">
      <w:pPr>
        <w:pStyle w:val="SingleTxtG"/>
        <w:rPr>
          <w:szCs w:val="24"/>
        </w:rPr>
      </w:pPr>
      <w:r>
        <w:rPr>
          <w:szCs w:val="24"/>
          <w:lang w:val="es-ES_tradnl"/>
        </w:rPr>
        <w:t>El Juez Barak, anterior presidente del Tribunal Supremo, rechazó el razonamiento de Adalah de que en este caso el uso de este criterio acaba discriminando a los ciudadanos árabes.</w:t>
      </w:r>
      <w:r>
        <w:rPr>
          <w:szCs w:val="24"/>
        </w:rPr>
        <w:t xml:space="preserve"> </w:t>
      </w:r>
      <w:r>
        <w:rPr>
          <w:szCs w:val="24"/>
          <w:lang w:val="es-ES_tradnl"/>
        </w:rPr>
        <w:t>Barak justificó al respecto que “una distinción basada en el criterio del servicio civil nacional o el servicio militar no es necesariamente una distinción aceptable o una discriminación ilícita: depende de las circunstancias.</w:t>
      </w:r>
      <w:r>
        <w:rPr>
          <w:szCs w:val="24"/>
        </w:rPr>
        <w:t xml:space="preserve"> </w:t>
      </w:r>
      <w:r>
        <w:rPr>
          <w:szCs w:val="24"/>
          <w:lang w:val="es-ES_tradnl"/>
        </w:rPr>
        <w:t>Quienes han cumplido el servicio militar o el servicio civil nacional difieren en muchos aspectos, como grupo, de los que no lo han hecho.</w:t>
      </w:r>
      <w:r>
        <w:rPr>
          <w:szCs w:val="24"/>
        </w:rPr>
        <w:t xml:space="preserve"> </w:t>
      </w:r>
      <w:r>
        <w:rPr>
          <w:szCs w:val="24"/>
          <w:lang w:val="es-ES_tradnl"/>
        </w:rPr>
        <w:t>Así, por ejemplo, quienes han cumplido el servicio militar o el servicio civil nacional dedican gran parte de su tiempo y energías a beneficio del público en general.</w:t>
      </w:r>
      <w:r>
        <w:rPr>
          <w:szCs w:val="24"/>
        </w:rPr>
        <w:t xml:space="preserve"> </w:t>
      </w:r>
      <w:r>
        <w:rPr>
          <w:szCs w:val="24"/>
          <w:lang w:val="es-ES_tradnl"/>
        </w:rPr>
        <w:t>No pueden trabajar ni ganarse la vida durante el período de servicio.</w:t>
      </w:r>
      <w:r>
        <w:rPr>
          <w:szCs w:val="24"/>
        </w:rPr>
        <w:t xml:space="preserve"> </w:t>
      </w:r>
      <w:r>
        <w:rPr>
          <w:szCs w:val="24"/>
          <w:lang w:val="es-ES_tradnl"/>
        </w:rPr>
        <w:t>En la medida en que esta distinción se base en estos factores, y mientras sea pertinente en una situación dada, no debe considerarse discriminación ilícita.”</w:t>
      </w:r>
    </w:p>
    <w:p w:rsidR="00F92819" w:rsidRDefault="00F92819">
      <w:pPr>
        <w:pStyle w:val="SingleTxtG"/>
        <w:rPr>
          <w:szCs w:val="24"/>
        </w:rPr>
      </w:pPr>
      <w:r>
        <w:rPr>
          <w:szCs w:val="24"/>
        </w:rPr>
        <w:t>462.</w:t>
      </w:r>
      <w:r>
        <w:rPr>
          <w:szCs w:val="24"/>
        </w:rPr>
        <w:tab/>
      </w:r>
      <w:r>
        <w:rPr>
          <w:szCs w:val="24"/>
          <w:lang w:val="es-ES_tradnl"/>
        </w:rPr>
        <w:t xml:space="preserve">Adalah pidió una nueva audiencia ante un grupo más numeroso de Jueces del Tribunal Supremo para que reconsideraran la decisión y fue rechazada (H.C.J. 11956/05 </w:t>
      </w:r>
      <w:r>
        <w:rPr>
          <w:i/>
          <w:szCs w:val="24"/>
          <w:lang w:val="es-ES_tradnl"/>
        </w:rPr>
        <w:t>Suhad Bishara, et. al. c. el Ministro de Construcción y Vivienda</w:t>
      </w:r>
      <w:r>
        <w:rPr>
          <w:szCs w:val="24"/>
          <w:lang w:val="es-ES_tradnl"/>
        </w:rPr>
        <w:t>).</w:t>
      </w:r>
    </w:p>
    <w:p w:rsidR="00F92819" w:rsidRDefault="00F92819">
      <w:pPr>
        <w:pStyle w:val="SingleTxtG"/>
        <w:rPr>
          <w:szCs w:val="24"/>
        </w:rPr>
      </w:pPr>
      <w:r>
        <w:rPr>
          <w:szCs w:val="24"/>
        </w:rPr>
        <w:t>463.</w:t>
      </w:r>
      <w:r>
        <w:rPr>
          <w:szCs w:val="24"/>
        </w:rPr>
        <w:tab/>
      </w:r>
      <w:r>
        <w:rPr>
          <w:szCs w:val="24"/>
          <w:lang w:val="es-ES_tradnl"/>
        </w:rPr>
        <w:t xml:space="preserve">El 17 de junio de 2008 se enmendó la </w:t>
      </w:r>
      <w:r>
        <w:rPr>
          <w:i/>
          <w:szCs w:val="24"/>
          <w:lang w:val="es-ES_tradnl"/>
        </w:rPr>
        <w:t>Ley de absorción de soldados licenciados</w:t>
      </w:r>
      <w:r>
        <w:rPr>
          <w:szCs w:val="24"/>
          <w:lang w:val="es-ES_tradnl"/>
        </w:rPr>
        <w:t>, estableciendo que los centros reconocidos de enseñanza superior, formación profesional o preparación preuniversitaria pueden tener en cuenta el servicio militar entre las consideraciones para determinar el derecho a alojamiento en residencias de estudiantes u otras prestaciones económicas.</w:t>
      </w:r>
    </w:p>
    <w:p w:rsidR="00F92819" w:rsidRDefault="00F92819">
      <w:pPr>
        <w:pStyle w:val="H23G"/>
        <w:rPr>
          <w:szCs w:val="24"/>
        </w:rPr>
      </w:pPr>
      <w:r>
        <w:rPr>
          <w:szCs w:val="24"/>
        </w:rPr>
        <w:tab/>
      </w:r>
      <w:r>
        <w:rPr>
          <w:szCs w:val="24"/>
        </w:rPr>
        <w:tab/>
      </w:r>
      <w:r>
        <w:rPr>
          <w:szCs w:val="24"/>
          <w:lang w:val="es-ES_tradnl"/>
        </w:rPr>
        <w:t>Viviendas en Jerusalén</w:t>
      </w:r>
    </w:p>
    <w:p w:rsidR="00F92819" w:rsidRDefault="00F92819">
      <w:pPr>
        <w:pStyle w:val="SingleTxtG"/>
        <w:rPr>
          <w:szCs w:val="24"/>
        </w:rPr>
      </w:pPr>
      <w:r>
        <w:rPr>
          <w:szCs w:val="24"/>
        </w:rPr>
        <w:t>464.</w:t>
      </w:r>
      <w:r>
        <w:rPr>
          <w:szCs w:val="24"/>
        </w:rPr>
        <w:tab/>
      </w:r>
      <w:r>
        <w:rPr>
          <w:szCs w:val="24"/>
          <w:lang w:val="es-ES_tradnl"/>
        </w:rPr>
        <w:t>En 2007 se recibieron 283 solicitudes de construcción, o sea 12% del número total de solicitudes, de residentes de los barrios orientales de Jerusalén.</w:t>
      </w:r>
      <w:r>
        <w:rPr>
          <w:szCs w:val="24"/>
        </w:rPr>
        <w:t xml:space="preserve"> </w:t>
      </w:r>
      <w:r>
        <w:rPr>
          <w:szCs w:val="24"/>
          <w:lang w:val="es-ES_tradnl"/>
        </w:rPr>
        <w:t>De las 283 solicitudes se aprobaron 135 (47%).</w:t>
      </w:r>
      <w:r>
        <w:rPr>
          <w:szCs w:val="24"/>
        </w:rPr>
        <w:t xml:space="preserve"> </w:t>
      </w:r>
      <w:r>
        <w:rPr>
          <w:szCs w:val="24"/>
          <w:lang w:val="es-ES_tradnl"/>
        </w:rPr>
        <w:t>Los residentes de la parte occidental de Jerusalén presentaron 2.095 solicitudes, de las cuales 1.505 (71%) fueron aprobadas.</w:t>
      </w:r>
    </w:p>
    <w:p w:rsidR="00F92819" w:rsidRDefault="00F92819">
      <w:pPr>
        <w:pStyle w:val="SingleTxtG"/>
        <w:rPr>
          <w:szCs w:val="24"/>
        </w:rPr>
      </w:pPr>
      <w:r>
        <w:rPr>
          <w:szCs w:val="24"/>
        </w:rPr>
        <w:t>465.</w:t>
      </w:r>
      <w:r>
        <w:rPr>
          <w:szCs w:val="24"/>
        </w:rPr>
        <w:tab/>
      </w:r>
      <w:r>
        <w:rPr>
          <w:b/>
          <w:szCs w:val="24"/>
          <w:lang w:val="es-ES_tradnl"/>
        </w:rPr>
        <w:t>Construcción ilegal</w:t>
      </w:r>
      <w:r>
        <w:rPr>
          <w:szCs w:val="24"/>
          <w:lang w:val="es-ES_tradnl"/>
        </w:rPr>
        <w:t>.</w:t>
      </w:r>
      <w:r>
        <w:rPr>
          <w:szCs w:val="24"/>
        </w:rPr>
        <w:t xml:space="preserve"> </w:t>
      </w:r>
      <w:r>
        <w:rPr>
          <w:szCs w:val="24"/>
          <w:lang w:val="es-ES_tradnl"/>
        </w:rPr>
        <w:t>En la parte occidental de Jerusalén, las infracciones de las normas de construcción consisten casi siempre en adiciones a un edificio legal, como la construcción de una habitación en un patio o un ático debajo del tejado.</w:t>
      </w:r>
      <w:r>
        <w:rPr>
          <w:szCs w:val="24"/>
        </w:rPr>
        <w:t xml:space="preserve"> </w:t>
      </w:r>
      <w:r>
        <w:rPr>
          <w:szCs w:val="24"/>
          <w:lang w:val="es-ES_tradnl"/>
        </w:rPr>
        <w:t>En la parte oriental de Jerusalén, las infracciones suelen consistir en la construcción sin permiso de edificios enteros.</w:t>
      </w:r>
      <w:r>
        <w:rPr>
          <w:szCs w:val="24"/>
        </w:rPr>
        <w:t xml:space="preserve"> </w:t>
      </w:r>
      <w:r>
        <w:rPr>
          <w:szCs w:val="24"/>
          <w:lang w:val="es-ES_tradnl"/>
        </w:rPr>
        <w:t xml:space="preserve">Por tanto las demoliciones son mucho más espectaculares en los barrios orientales de Jerusalén que en la parte occidental de </w:t>
      </w:r>
      <w:smartTag w:uri="urn:schemas-microsoft-com:office:smarttags" w:element="PersonName">
        <w:smartTagPr>
          <w:attr w:name="ProductID" w:val="la ciudad. Todas"/>
        </w:smartTagPr>
        <w:r>
          <w:rPr>
            <w:szCs w:val="24"/>
            <w:lang w:val="es-ES_tradnl"/>
          </w:rPr>
          <w:t>la ciudad.</w:t>
        </w:r>
        <w:r>
          <w:rPr>
            <w:szCs w:val="24"/>
          </w:rPr>
          <w:t xml:space="preserve"> </w:t>
        </w:r>
        <w:r>
          <w:rPr>
            <w:szCs w:val="24"/>
            <w:lang w:val="es-ES_tradnl"/>
          </w:rPr>
          <w:t>Todas</w:t>
        </w:r>
      </w:smartTag>
      <w:r>
        <w:rPr>
          <w:szCs w:val="24"/>
          <w:lang w:val="es-ES_tradnl"/>
        </w:rPr>
        <w:t xml:space="preserve"> las demoliciones se llevan a cabo respetando las garantías procesales y son recurribles por la vía jurisdiccional. </w:t>
      </w:r>
    </w:p>
    <w:p w:rsidR="00F92819" w:rsidRDefault="00F92819">
      <w:pPr>
        <w:pStyle w:val="Heading1"/>
        <w:keepLines/>
        <w:spacing w:before="240"/>
        <w:rPr>
          <w:szCs w:val="24"/>
        </w:rPr>
      </w:pPr>
      <w:r>
        <w:rPr>
          <w:szCs w:val="24"/>
          <w:lang w:val="es-ES_tradnl"/>
        </w:rPr>
        <w:t>Cuadro 29</w:t>
      </w:r>
    </w:p>
    <w:p w:rsidR="00F92819" w:rsidRDefault="00F92819">
      <w:pPr>
        <w:pStyle w:val="SingleTxtG"/>
        <w:keepNext/>
        <w:keepLines/>
        <w:rPr>
          <w:b/>
          <w:szCs w:val="24"/>
        </w:rPr>
      </w:pPr>
      <w:r>
        <w:rPr>
          <w:b/>
          <w:szCs w:val="24"/>
          <w:lang w:val="es-ES_tradnl"/>
        </w:rPr>
        <w:t>Solicitudes de permisos de construcción presentadas, 2002</w:t>
      </w:r>
      <w:r w:rsidR="008C04D7">
        <w:rPr>
          <w:b/>
          <w:szCs w:val="24"/>
          <w:lang w:val="es-ES_tradnl"/>
        </w:rPr>
        <w:t>-</w:t>
      </w:r>
      <w:r>
        <w:rPr>
          <w:b/>
          <w:szCs w:val="24"/>
          <w:lang w:val="es-ES_tradnl"/>
        </w:rPr>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366"/>
        <w:gridCol w:w="1600"/>
        <w:gridCol w:w="629"/>
        <w:gridCol w:w="629"/>
        <w:gridCol w:w="629"/>
        <w:gridCol w:w="629"/>
        <w:gridCol w:w="629"/>
        <w:gridCol w:w="629"/>
        <w:gridCol w:w="630"/>
      </w:tblGrid>
      <w:tr w:rsidR="00F92819">
        <w:tc>
          <w:tcPr>
            <w:tcW w:w="1366" w:type="dxa"/>
            <w:tcBorders>
              <w:top w:val="single" w:sz="4" w:space="0" w:color="auto"/>
              <w:bottom w:val="single" w:sz="12" w:space="0" w:color="auto"/>
            </w:tcBorders>
            <w:vAlign w:val="bottom"/>
          </w:tcPr>
          <w:p w:rsidR="00F92819" w:rsidRDefault="00F92819">
            <w:pPr>
              <w:keepNext/>
              <w:keepLines/>
              <w:spacing w:before="80" w:after="80" w:line="200" w:lineRule="exact"/>
              <w:rPr>
                <w:szCs w:val="24"/>
              </w:rPr>
            </w:pPr>
            <w:r>
              <w:rPr>
                <w:i/>
                <w:sz w:val="16"/>
                <w:szCs w:val="24"/>
                <w:lang w:val="es-ES_tradnl"/>
              </w:rPr>
              <w:t>Barrio</w:t>
            </w:r>
          </w:p>
        </w:tc>
        <w:tc>
          <w:tcPr>
            <w:tcW w:w="1600" w:type="dxa"/>
            <w:tcBorders>
              <w:top w:val="single" w:sz="4" w:space="0" w:color="auto"/>
              <w:bottom w:val="single" w:sz="12" w:space="0" w:color="auto"/>
            </w:tcBorders>
            <w:vAlign w:val="bottom"/>
          </w:tcPr>
          <w:p w:rsidR="00F92819" w:rsidRDefault="00F92819">
            <w:pPr>
              <w:keepNext/>
              <w:keepLines/>
              <w:spacing w:before="80" w:after="80" w:line="200" w:lineRule="exact"/>
              <w:rPr>
                <w:szCs w:val="24"/>
              </w:rPr>
            </w:pPr>
            <w:r>
              <w:rPr>
                <w:i/>
                <w:sz w:val="16"/>
                <w:szCs w:val="24"/>
                <w:lang w:val="es-ES_tradnl"/>
              </w:rPr>
              <w:t>Año de la solicitud</w:t>
            </w:r>
          </w:p>
        </w:tc>
        <w:tc>
          <w:tcPr>
            <w:tcW w:w="629"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2002</w:t>
            </w:r>
          </w:p>
        </w:tc>
        <w:tc>
          <w:tcPr>
            <w:tcW w:w="629" w:type="dxa"/>
            <w:tcBorders>
              <w:top w:val="single" w:sz="4" w:space="0" w:color="auto"/>
              <w:bottom w:val="single" w:sz="12" w:space="0" w:color="auto"/>
            </w:tcBorders>
            <w:vAlign w:val="center"/>
          </w:tcPr>
          <w:p w:rsidR="00F92819" w:rsidRDefault="00F92819">
            <w:pPr>
              <w:keepNext/>
              <w:keepLines/>
              <w:spacing w:before="80" w:after="80" w:line="200" w:lineRule="exact"/>
              <w:jc w:val="right"/>
              <w:rPr>
                <w:i/>
                <w:sz w:val="16"/>
                <w:szCs w:val="24"/>
              </w:rPr>
            </w:pPr>
            <w:r>
              <w:rPr>
                <w:i/>
                <w:sz w:val="16"/>
                <w:szCs w:val="24"/>
              </w:rPr>
              <w:t>2003</w:t>
            </w:r>
          </w:p>
        </w:tc>
        <w:tc>
          <w:tcPr>
            <w:tcW w:w="629" w:type="dxa"/>
            <w:tcBorders>
              <w:top w:val="single" w:sz="4" w:space="0" w:color="auto"/>
              <w:bottom w:val="single" w:sz="12" w:space="0" w:color="auto"/>
            </w:tcBorders>
            <w:vAlign w:val="center"/>
          </w:tcPr>
          <w:p w:rsidR="00F92819" w:rsidRDefault="00F92819">
            <w:pPr>
              <w:keepNext/>
              <w:keepLines/>
              <w:spacing w:before="80" w:after="80" w:line="200" w:lineRule="exact"/>
              <w:jc w:val="right"/>
              <w:rPr>
                <w:i/>
                <w:sz w:val="16"/>
                <w:szCs w:val="24"/>
              </w:rPr>
            </w:pPr>
            <w:r>
              <w:rPr>
                <w:i/>
                <w:sz w:val="16"/>
                <w:szCs w:val="24"/>
              </w:rPr>
              <w:t>2004</w:t>
            </w:r>
          </w:p>
        </w:tc>
        <w:tc>
          <w:tcPr>
            <w:tcW w:w="629" w:type="dxa"/>
            <w:tcBorders>
              <w:top w:val="single" w:sz="4" w:space="0" w:color="auto"/>
              <w:bottom w:val="single" w:sz="12" w:space="0" w:color="auto"/>
            </w:tcBorders>
            <w:vAlign w:val="center"/>
          </w:tcPr>
          <w:p w:rsidR="00F92819" w:rsidRDefault="00F92819">
            <w:pPr>
              <w:keepNext/>
              <w:keepLines/>
              <w:spacing w:before="80" w:after="80" w:line="200" w:lineRule="exact"/>
              <w:jc w:val="right"/>
              <w:rPr>
                <w:i/>
                <w:sz w:val="16"/>
                <w:szCs w:val="24"/>
              </w:rPr>
            </w:pPr>
            <w:r>
              <w:rPr>
                <w:i/>
                <w:sz w:val="16"/>
                <w:szCs w:val="24"/>
              </w:rPr>
              <w:t>2005</w:t>
            </w:r>
          </w:p>
        </w:tc>
        <w:tc>
          <w:tcPr>
            <w:tcW w:w="629" w:type="dxa"/>
            <w:tcBorders>
              <w:top w:val="single" w:sz="4" w:space="0" w:color="auto"/>
              <w:bottom w:val="single" w:sz="12" w:space="0" w:color="auto"/>
            </w:tcBorders>
            <w:vAlign w:val="center"/>
          </w:tcPr>
          <w:p w:rsidR="00F92819" w:rsidRDefault="00F92819">
            <w:pPr>
              <w:keepNext/>
              <w:keepLines/>
              <w:spacing w:before="80" w:after="80" w:line="200" w:lineRule="exact"/>
              <w:jc w:val="right"/>
              <w:rPr>
                <w:i/>
                <w:sz w:val="16"/>
                <w:szCs w:val="24"/>
              </w:rPr>
            </w:pPr>
            <w:r>
              <w:rPr>
                <w:i/>
                <w:sz w:val="16"/>
                <w:szCs w:val="24"/>
              </w:rPr>
              <w:t>2006</w:t>
            </w:r>
          </w:p>
        </w:tc>
        <w:tc>
          <w:tcPr>
            <w:tcW w:w="629" w:type="dxa"/>
            <w:tcBorders>
              <w:top w:val="single" w:sz="4" w:space="0" w:color="auto"/>
              <w:bottom w:val="single" w:sz="12" w:space="0" w:color="auto"/>
            </w:tcBorders>
            <w:vAlign w:val="center"/>
          </w:tcPr>
          <w:p w:rsidR="00F92819" w:rsidRDefault="00F92819">
            <w:pPr>
              <w:keepNext/>
              <w:keepLines/>
              <w:spacing w:before="80" w:after="80" w:line="200" w:lineRule="exact"/>
              <w:jc w:val="right"/>
              <w:rPr>
                <w:i/>
                <w:sz w:val="16"/>
                <w:szCs w:val="24"/>
              </w:rPr>
            </w:pPr>
            <w:r>
              <w:rPr>
                <w:i/>
                <w:sz w:val="16"/>
                <w:szCs w:val="24"/>
              </w:rPr>
              <w:t>2007</w:t>
            </w:r>
          </w:p>
        </w:tc>
        <w:tc>
          <w:tcPr>
            <w:tcW w:w="630" w:type="dxa"/>
            <w:tcBorders>
              <w:top w:val="single" w:sz="4" w:space="0" w:color="auto"/>
              <w:bottom w:val="single" w:sz="12" w:space="0" w:color="auto"/>
            </w:tcBorders>
            <w:vAlign w:val="center"/>
          </w:tcPr>
          <w:p w:rsidR="00F92819" w:rsidRDefault="00F92819">
            <w:pPr>
              <w:keepNext/>
              <w:keepLines/>
              <w:spacing w:before="80" w:after="80" w:line="200" w:lineRule="exact"/>
              <w:jc w:val="right"/>
              <w:rPr>
                <w:szCs w:val="24"/>
              </w:rPr>
            </w:pPr>
            <w:r>
              <w:rPr>
                <w:b/>
                <w:i/>
                <w:sz w:val="16"/>
                <w:szCs w:val="24"/>
                <w:lang w:val="es-ES_tradnl"/>
              </w:rPr>
              <w:t>Total</w:t>
            </w:r>
          </w:p>
        </w:tc>
      </w:tr>
      <w:tr w:rsidR="00F92819">
        <w:tc>
          <w:tcPr>
            <w:tcW w:w="1366" w:type="dxa"/>
            <w:vMerge w:val="restart"/>
            <w:tcBorders>
              <w:top w:val="single" w:sz="12" w:space="0" w:color="auto"/>
            </w:tcBorders>
          </w:tcPr>
          <w:p w:rsidR="00F92819" w:rsidRDefault="00F92819">
            <w:pPr>
              <w:keepNext/>
              <w:keepLines/>
              <w:spacing w:before="40" w:after="40" w:line="220" w:lineRule="exact"/>
              <w:rPr>
                <w:szCs w:val="24"/>
              </w:rPr>
            </w:pPr>
            <w:r>
              <w:rPr>
                <w:sz w:val="18"/>
                <w:szCs w:val="24"/>
                <w:lang w:val="es-ES_tradnl"/>
              </w:rPr>
              <w:t>Barrios occidentales de Jerusalén</w:t>
            </w:r>
          </w:p>
        </w:tc>
        <w:tc>
          <w:tcPr>
            <w:tcW w:w="1600" w:type="dxa"/>
            <w:tcBorders>
              <w:top w:val="single" w:sz="12" w:space="0" w:color="auto"/>
            </w:tcBorders>
            <w:vAlign w:val="center"/>
          </w:tcPr>
          <w:p w:rsidR="00F92819" w:rsidRDefault="00F92819">
            <w:pPr>
              <w:keepNext/>
              <w:keepLines/>
              <w:spacing w:before="40" w:after="40" w:line="220" w:lineRule="exact"/>
              <w:rPr>
                <w:szCs w:val="24"/>
              </w:rPr>
            </w:pPr>
            <w:r>
              <w:rPr>
                <w:sz w:val="18"/>
                <w:szCs w:val="24"/>
                <w:lang w:val="es-ES_tradnl"/>
              </w:rPr>
              <w:t>Nueva construcción</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139</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135</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179</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199</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207</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171</w:t>
            </w:r>
          </w:p>
        </w:tc>
        <w:tc>
          <w:tcPr>
            <w:tcW w:w="630" w:type="dxa"/>
            <w:tcBorders>
              <w:top w:val="single" w:sz="12" w:space="0" w:color="auto"/>
            </w:tcBorders>
            <w:vAlign w:val="center"/>
          </w:tcPr>
          <w:p w:rsidR="00F92819" w:rsidRDefault="00F92819">
            <w:pPr>
              <w:keepNext/>
              <w:keepLines/>
              <w:spacing w:before="40" w:after="40" w:line="220" w:lineRule="exact"/>
              <w:jc w:val="right"/>
              <w:rPr>
                <w:b/>
                <w:sz w:val="18"/>
                <w:szCs w:val="24"/>
              </w:rPr>
            </w:pPr>
            <w:r>
              <w:rPr>
                <w:b/>
                <w:sz w:val="18"/>
                <w:szCs w:val="24"/>
              </w:rPr>
              <w:t>1 030</w:t>
            </w:r>
          </w:p>
        </w:tc>
      </w:tr>
      <w:tr w:rsidR="00F92819">
        <w:tc>
          <w:tcPr>
            <w:tcW w:w="1366" w:type="dxa"/>
            <w:vMerge/>
            <w:vAlign w:val="bottom"/>
          </w:tcPr>
          <w:p w:rsidR="00F92819" w:rsidRDefault="00F92819">
            <w:pPr>
              <w:keepNext/>
              <w:keepLines/>
              <w:spacing w:before="40" w:after="40" w:line="220" w:lineRule="exact"/>
              <w:rPr>
                <w:sz w:val="18"/>
                <w:szCs w:val="24"/>
              </w:rPr>
            </w:pPr>
          </w:p>
        </w:tc>
        <w:tc>
          <w:tcPr>
            <w:tcW w:w="1600" w:type="dxa"/>
            <w:tcBorders>
              <w:bottom w:val="single" w:sz="4" w:space="0" w:color="auto"/>
            </w:tcBorders>
            <w:vAlign w:val="center"/>
          </w:tcPr>
          <w:p w:rsidR="00F92819" w:rsidRDefault="00F92819">
            <w:pPr>
              <w:keepNext/>
              <w:keepLines/>
              <w:spacing w:before="40" w:after="40" w:line="220" w:lineRule="exact"/>
              <w:rPr>
                <w:szCs w:val="24"/>
              </w:rPr>
            </w:pPr>
            <w:r>
              <w:rPr>
                <w:sz w:val="18"/>
                <w:szCs w:val="24"/>
                <w:lang w:val="es-ES_tradnl"/>
              </w:rPr>
              <w:t>Adiciones</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1 656</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1 650</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2 002</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2 085</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1 964</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1 955</w:t>
            </w:r>
          </w:p>
        </w:tc>
        <w:tc>
          <w:tcPr>
            <w:tcW w:w="630" w:type="dxa"/>
            <w:tcBorders>
              <w:bottom w:val="single" w:sz="4" w:space="0" w:color="auto"/>
            </w:tcBorders>
            <w:vAlign w:val="center"/>
          </w:tcPr>
          <w:p w:rsidR="00F92819" w:rsidRDefault="00F92819">
            <w:pPr>
              <w:keepNext/>
              <w:keepLines/>
              <w:spacing w:before="40" w:after="40" w:line="220" w:lineRule="exact"/>
              <w:jc w:val="right"/>
              <w:rPr>
                <w:b/>
                <w:sz w:val="18"/>
                <w:szCs w:val="24"/>
              </w:rPr>
            </w:pPr>
            <w:r>
              <w:rPr>
                <w:b/>
                <w:sz w:val="18"/>
                <w:szCs w:val="24"/>
              </w:rPr>
              <w:t>11 312</w:t>
            </w:r>
          </w:p>
        </w:tc>
      </w:tr>
      <w:tr w:rsidR="00F92819">
        <w:tc>
          <w:tcPr>
            <w:tcW w:w="1366" w:type="dxa"/>
            <w:vMerge/>
            <w:vAlign w:val="bottom"/>
          </w:tcPr>
          <w:p w:rsidR="00F92819" w:rsidRDefault="00F92819">
            <w:pPr>
              <w:keepNext/>
              <w:keepLines/>
              <w:spacing w:before="40" w:after="40" w:line="220" w:lineRule="exact"/>
              <w:rPr>
                <w:sz w:val="18"/>
                <w:szCs w:val="24"/>
              </w:rPr>
            </w:pPr>
          </w:p>
        </w:tc>
        <w:tc>
          <w:tcPr>
            <w:tcW w:w="1600" w:type="dxa"/>
            <w:tcBorders>
              <w:top w:val="single" w:sz="4" w:space="0" w:color="auto"/>
              <w:bottom w:val="single" w:sz="4" w:space="0" w:color="auto"/>
            </w:tcBorders>
            <w:vAlign w:val="center"/>
          </w:tcPr>
          <w:p w:rsidR="00F92819" w:rsidRDefault="00F92819">
            <w:pPr>
              <w:keepNext/>
              <w:keepLines/>
              <w:spacing w:before="80" w:after="80" w:line="220" w:lineRule="exact"/>
              <w:rPr>
                <w:szCs w:val="24"/>
              </w:rPr>
            </w:pPr>
            <w:r>
              <w:rPr>
                <w:b/>
                <w:sz w:val="18"/>
                <w:szCs w:val="24"/>
                <w:lang w:val="es-ES_tradnl"/>
              </w:rPr>
              <w:t>Construcción total</w:t>
            </w:r>
          </w:p>
        </w:tc>
        <w:tc>
          <w:tcPr>
            <w:tcW w:w="629"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1 795</w:t>
            </w:r>
          </w:p>
        </w:tc>
        <w:tc>
          <w:tcPr>
            <w:tcW w:w="629"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1 785</w:t>
            </w:r>
          </w:p>
        </w:tc>
        <w:tc>
          <w:tcPr>
            <w:tcW w:w="629"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2 181</w:t>
            </w:r>
          </w:p>
        </w:tc>
        <w:tc>
          <w:tcPr>
            <w:tcW w:w="629"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2 284</w:t>
            </w:r>
          </w:p>
        </w:tc>
        <w:tc>
          <w:tcPr>
            <w:tcW w:w="629"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2 171</w:t>
            </w:r>
          </w:p>
        </w:tc>
        <w:tc>
          <w:tcPr>
            <w:tcW w:w="629"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2 126</w:t>
            </w:r>
          </w:p>
        </w:tc>
        <w:tc>
          <w:tcPr>
            <w:tcW w:w="630" w:type="dxa"/>
            <w:tcBorders>
              <w:top w:val="single" w:sz="4" w:space="0" w:color="auto"/>
              <w:bottom w:val="single" w:sz="4" w:space="0" w:color="auto"/>
            </w:tcBorders>
            <w:vAlign w:val="center"/>
          </w:tcPr>
          <w:p w:rsidR="00F92819" w:rsidRDefault="00F92819">
            <w:pPr>
              <w:keepNext/>
              <w:keepLines/>
              <w:spacing w:before="80" w:after="80" w:line="220" w:lineRule="exact"/>
              <w:jc w:val="right"/>
              <w:rPr>
                <w:b/>
                <w:sz w:val="18"/>
                <w:szCs w:val="24"/>
              </w:rPr>
            </w:pPr>
            <w:r>
              <w:rPr>
                <w:b/>
                <w:sz w:val="18"/>
                <w:szCs w:val="24"/>
              </w:rPr>
              <w:t>12 342</w:t>
            </w:r>
          </w:p>
        </w:tc>
      </w:tr>
      <w:tr w:rsidR="00F92819">
        <w:tc>
          <w:tcPr>
            <w:tcW w:w="1366" w:type="dxa"/>
            <w:vMerge w:val="restart"/>
          </w:tcPr>
          <w:p w:rsidR="00F92819" w:rsidRDefault="00F92819">
            <w:pPr>
              <w:keepNext/>
              <w:keepLines/>
              <w:spacing w:before="40" w:line="220" w:lineRule="exact"/>
              <w:rPr>
                <w:szCs w:val="24"/>
              </w:rPr>
            </w:pPr>
            <w:r>
              <w:rPr>
                <w:sz w:val="18"/>
                <w:szCs w:val="24"/>
                <w:lang w:val="es-ES_tradnl"/>
              </w:rPr>
              <w:t>Barrios orientales de Jerusalén</w:t>
            </w:r>
          </w:p>
        </w:tc>
        <w:tc>
          <w:tcPr>
            <w:tcW w:w="1600" w:type="dxa"/>
            <w:tcBorders>
              <w:top w:val="single" w:sz="4" w:space="0" w:color="auto"/>
            </w:tcBorders>
            <w:vAlign w:val="center"/>
          </w:tcPr>
          <w:p w:rsidR="00F92819" w:rsidRDefault="00F92819">
            <w:pPr>
              <w:keepNext/>
              <w:keepLines/>
              <w:spacing w:before="40" w:after="40" w:line="220" w:lineRule="exact"/>
              <w:rPr>
                <w:szCs w:val="24"/>
              </w:rPr>
            </w:pPr>
            <w:r>
              <w:rPr>
                <w:sz w:val="18"/>
                <w:szCs w:val="24"/>
                <w:lang w:val="es-ES_tradnl"/>
              </w:rPr>
              <w:t>Nueva construcción</w:t>
            </w:r>
          </w:p>
        </w:tc>
        <w:tc>
          <w:tcPr>
            <w:tcW w:w="629"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94</w:t>
            </w:r>
          </w:p>
        </w:tc>
        <w:tc>
          <w:tcPr>
            <w:tcW w:w="629"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57</w:t>
            </w:r>
          </w:p>
        </w:tc>
        <w:tc>
          <w:tcPr>
            <w:tcW w:w="629"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112</w:t>
            </w:r>
          </w:p>
        </w:tc>
        <w:tc>
          <w:tcPr>
            <w:tcW w:w="629"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147</w:t>
            </w:r>
          </w:p>
        </w:tc>
        <w:tc>
          <w:tcPr>
            <w:tcW w:w="629"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150</w:t>
            </w:r>
          </w:p>
        </w:tc>
        <w:tc>
          <w:tcPr>
            <w:tcW w:w="629"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155</w:t>
            </w:r>
          </w:p>
        </w:tc>
        <w:tc>
          <w:tcPr>
            <w:tcW w:w="630" w:type="dxa"/>
            <w:tcBorders>
              <w:top w:val="single" w:sz="4" w:space="0" w:color="auto"/>
            </w:tcBorders>
            <w:vAlign w:val="center"/>
          </w:tcPr>
          <w:p w:rsidR="00F92819" w:rsidRDefault="00F92819">
            <w:pPr>
              <w:keepNext/>
              <w:keepLines/>
              <w:spacing w:before="40" w:after="40" w:line="220" w:lineRule="exact"/>
              <w:jc w:val="right"/>
              <w:rPr>
                <w:b/>
                <w:sz w:val="18"/>
                <w:szCs w:val="24"/>
              </w:rPr>
            </w:pPr>
            <w:r>
              <w:rPr>
                <w:b/>
                <w:sz w:val="18"/>
                <w:szCs w:val="24"/>
              </w:rPr>
              <w:t>715</w:t>
            </w:r>
          </w:p>
        </w:tc>
      </w:tr>
      <w:tr w:rsidR="00F92819">
        <w:tc>
          <w:tcPr>
            <w:tcW w:w="1366" w:type="dxa"/>
            <w:vMerge/>
            <w:vAlign w:val="bottom"/>
          </w:tcPr>
          <w:p w:rsidR="00F92819" w:rsidRDefault="00F92819">
            <w:pPr>
              <w:keepNext/>
              <w:keepLines/>
              <w:spacing w:before="40" w:after="40" w:line="220" w:lineRule="exact"/>
              <w:rPr>
                <w:sz w:val="18"/>
                <w:szCs w:val="24"/>
              </w:rPr>
            </w:pPr>
          </w:p>
        </w:tc>
        <w:tc>
          <w:tcPr>
            <w:tcW w:w="1600" w:type="dxa"/>
            <w:tcBorders>
              <w:bottom w:val="single" w:sz="4" w:space="0" w:color="auto"/>
            </w:tcBorders>
            <w:vAlign w:val="center"/>
          </w:tcPr>
          <w:p w:rsidR="00F92819" w:rsidRDefault="00F92819">
            <w:pPr>
              <w:keepNext/>
              <w:keepLines/>
              <w:spacing w:before="40" w:after="40" w:line="220" w:lineRule="exact"/>
              <w:rPr>
                <w:szCs w:val="24"/>
              </w:rPr>
            </w:pPr>
            <w:r>
              <w:rPr>
                <w:sz w:val="18"/>
                <w:szCs w:val="24"/>
                <w:lang w:val="es-ES_tradnl"/>
              </w:rPr>
              <w:t>Adiciones</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61</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78</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112</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11</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116</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128</w:t>
            </w:r>
          </w:p>
        </w:tc>
        <w:tc>
          <w:tcPr>
            <w:tcW w:w="630" w:type="dxa"/>
            <w:tcBorders>
              <w:bottom w:val="single" w:sz="4" w:space="0" w:color="auto"/>
            </w:tcBorders>
            <w:vAlign w:val="center"/>
          </w:tcPr>
          <w:p w:rsidR="00F92819" w:rsidRDefault="00F92819">
            <w:pPr>
              <w:keepNext/>
              <w:keepLines/>
              <w:spacing w:before="40" w:after="40" w:line="220" w:lineRule="exact"/>
              <w:jc w:val="right"/>
              <w:rPr>
                <w:b/>
                <w:sz w:val="18"/>
                <w:szCs w:val="24"/>
              </w:rPr>
            </w:pPr>
            <w:r>
              <w:rPr>
                <w:b/>
                <w:sz w:val="18"/>
                <w:szCs w:val="24"/>
              </w:rPr>
              <w:t>606</w:t>
            </w:r>
          </w:p>
        </w:tc>
      </w:tr>
      <w:tr w:rsidR="00F92819">
        <w:tc>
          <w:tcPr>
            <w:tcW w:w="1366" w:type="dxa"/>
            <w:tcBorders>
              <w:bottom w:val="single" w:sz="12" w:space="0" w:color="auto"/>
            </w:tcBorders>
            <w:vAlign w:val="bottom"/>
          </w:tcPr>
          <w:p w:rsidR="00F92819" w:rsidRDefault="00F92819">
            <w:pPr>
              <w:keepNext/>
              <w:keepLines/>
              <w:spacing w:before="80" w:after="80" w:line="220" w:lineRule="exact"/>
              <w:rPr>
                <w:sz w:val="18"/>
                <w:szCs w:val="24"/>
              </w:rPr>
            </w:pPr>
          </w:p>
        </w:tc>
        <w:tc>
          <w:tcPr>
            <w:tcW w:w="1600" w:type="dxa"/>
            <w:tcBorders>
              <w:top w:val="single" w:sz="4" w:space="0" w:color="auto"/>
              <w:bottom w:val="single" w:sz="12" w:space="0" w:color="auto"/>
            </w:tcBorders>
            <w:vAlign w:val="center"/>
          </w:tcPr>
          <w:p w:rsidR="00F92819" w:rsidRDefault="00F92819">
            <w:pPr>
              <w:keepNext/>
              <w:keepLines/>
              <w:spacing w:before="80" w:after="80" w:line="220" w:lineRule="exact"/>
              <w:rPr>
                <w:szCs w:val="24"/>
              </w:rPr>
            </w:pPr>
            <w:r>
              <w:rPr>
                <w:b/>
                <w:sz w:val="18"/>
                <w:szCs w:val="24"/>
                <w:lang w:val="es-ES_tradnl"/>
              </w:rPr>
              <w:t>Construcción total</w:t>
            </w:r>
          </w:p>
        </w:tc>
        <w:tc>
          <w:tcPr>
            <w:tcW w:w="629" w:type="dxa"/>
            <w:tcBorders>
              <w:top w:val="single" w:sz="4" w:space="0" w:color="auto"/>
              <w:bottom w:val="single" w:sz="12" w:space="0" w:color="auto"/>
            </w:tcBorders>
            <w:vAlign w:val="center"/>
          </w:tcPr>
          <w:p w:rsidR="00F92819" w:rsidRDefault="00F92819">
            <w:pPr>
              <w:keepNext/>
              <w:keepLines/>
              <w:spacing w:before="80" w:after="80" w:line="220" w:lineRule="exact"/>
              <w:jc w:val="right"/>
              <w:rPr>
                <w:b/>
                <w:sz w:val="18"/>
                <w:szCs w:val="24"/>
              </w:rPr>
            </w:pPr>
            <w:r>
              <w:rPr>
                <w:b/>
                <w:sz w:val="18"/>
                <w:szCs w:val="24"/>
              </w:rPr>
              <w:t>155</w:t>
            </w:r>
          </w:p>
        </w:tc>
        <w:tc>
          <w:tcPr>
            <w:tcW w:w="629" w:type="dxa"/>
            <w:tcBorders>
              <w:top w:val="single" w:sz="4" w:space="0" w:color="auto"/>
              <w:bottom w:val="single" w:sz="12" w:space="0" w:color="auto"/>
            </w:tcBorders>
            <w:vAlign w:val="center"/>
          </w:tcPr>
          <w:p w:rsidR="00F92819" w:rsidRDefault="00F92819">
            <w:pPr>
              <w:keepNext/>
              <w:keepLines/>
              <w:spacing w:before="80" w:after="80" w:line="220" w:lineRule="exact"/>
              <w:jc w:val="right"/>
              <w:rPr>
                <w:b/>
                <w:sz w:val="18"/>
                <w:szCs w:val="24"/>
              </w:rPr>
            </w:pPr>
            <w:r>
              <w:rPr>
                <w:b/>
                <w:sz w:val="18"/>
                <w:szCs w:val="24"/>
              </w:rPr>
              <w:t>135</w:t>
            </w:r>
          </w:p>
        </w:tc>
        <w:tc>
          <w:tcPr>
            <w:tcW w:w="629" w:type="dxa"/>
            <w:tcBorders>
              <w:top w:val="single" w:sz="4" w:space="0" w:color="auto"/>
              <w:bottom w:val="single" w:sz="12" w:space="0" w:color="auto"/>
            </w:tcBorders>
            <w:vAlign w:val="center"/>
          </w:tcPr>
          <w:p w:rsidR="00F92819" w:rsidRDefault="00F92819">
            <w:pPr>
              <w:keepNext/>
              <w:keepLines/>
              <w:spacing w:before="80" w:after="80" w:line="220" w:lineRule="exact"/>
              <w:jc w:val="right"/>
              <w:rPr>
                <w:b/>
                <w:sz w:val="18"/>
                <w:szCs w:val="24"/>
              </w:rPr>
            </w:pPr>
            <w:r>
              <w:rPr>
                <w:b/>
                <w:sz w:val="18"/>
                <w:szCs w:val="24"/>
              </w:rPr>
              <w:t>224</w:t>
            </w:r>
          </w:p>
        </w:tc>
        <w:tc>
          <w:tcPr>
            <w:tcW w:w="629" w:type="dxa"/>
            <w:tcBorders>
              <w:top w:val="single" w:sz="4" w:space="0" w:color="auto"/>
              <w:bottom w:val="single" w:sz="12" w:space="0" w:color="auto"/>
            </w:tcBorders>
            <w:vAlign w:val="center"/>
          </w:tcPr>
          <w:p w:rsidR="00F92819" w:rsidRDefault="00F92819">
            <w:pPr>
              <w:keepNext/>
              <w:keepLines/>
              <w:spacing w:before="80" w:after="80" w:line="220" w:lineRule="exact"/>
              <w:jc w:val="right"/>
              <w:rPr>
                <w:b/>
                <w:sz w:val="18"/>
                <w:szCs w:val="24"/>
              </w:rPr>
            </w:pPr>
            <w:r>
              <w:rPr>
                <w:b/>
                <w:sz w:val="18"/>
                <w:szCs w:val="24"/>
              </w:rPr>
              <w:t>258</w:t>
            </w:r>
          </w:p>
        </w:tc>
        <w:tc>
          <w:tcPr>
            <w:tcW w:w="629" w:type="dxa"/>
            <w:tcBorders>
              <w:top w:val="single" w:sz="4" w:space="0" w:color="auto"/>
              <w:bottom w:val="single" w:sz="12" w:space="0" w:color="auto"/>
            </w:tcBorders>
            <w:vAlign w:val="center"/>
          </w:tcPr>
          <w:p w:rsidR="00F92819" w:rsidRDefault="00F92819">
            <w:pPr>
              <w:keepNext/>
              <w:keepLines/>
              <w:spacing w:before="80" w:after="80" w:line="220" w:lineRule="exact"/>
              <w:jc w:val="right"/>
              <w:rPr>
                <w:b/>
                <w:sz w:val="18"/>
                <w:szCs w:val="24"/>
              </w:rPr>
            </w:pPr>
            <w:r>
              <w:rPr>
                <w:b/>
                <w:sz w:val="18"/>
                <w:szCs w:val="24"/>
              </w:rPr>
              <w:t>266</w:t>
            </w:r>
          </w:p>
        </w:tc>
        <w:tc>
          <w:tcPr>
            <w:tcW w:w="629" w:type="dxa"/>
            <w:tcBorders>
              <w:top w:val="single" w:sz="4" w:space="0" w:color="auto"/>
              <w:bottom w:val="single" w:sz="12" w:space="0" w:color="auto"/>
            </w:tcBorders>
            <w:vAlign w:val="center"/>
          </w:tcPr>
          <w:p w:rsidR="00F92819" w:rsidRDefault="00F92819">
            <w:pPr>
              <w:keepNext/>
              <w:keepLines/>
              <w:spacing w:before="80" w:after="80" w:line="220" w:lineRule="exact"/>
              <w:jc w:val="right"/>
              <w:rPr>
                <w:b/>
                <w:sz w:val="18"/>
                <w:szCs w:val="24"/>
              </w:rPr>
            </w:pPr>
            <w:r>
              <w:rPr>
                <w:b/>
                <w:sz w:val="18"/>
                <w:szCs w:val="24"/>
              </w:rPr>
              <w:t>283</w:t>
            </w:r>
          </w:p>
        </w:tc>
        <w:tc>
          <w:tcPr>
            <w:tcW w:w="630" w:type="dxa"/>
            <w:tcBorders>
              <w:top w:val="single" w:sz="4" w:space="0" w:color="auto"/>
              <w:bottom w:val="single" w:sz="12" w:space="0" w:color="auto"/>
            </w:tcBorders>
            <w:vAlign w:val="center"/>
          </w:tcPr>
          <w:p w:rsidR="00F92819" w:rsidRDefault="00F92819">
            <w:pPr>
              <w:keepNext/>
              <w:keepLines/>
              <w:spacing w:before="80" w:after="80" w:line="220" w:lineRule="exact"/>
              <w:jc w:val="right"/>
              <w:rPr>
                <w:b/>
                <w:sz w:val="18"/>
                <w:szCs w:val="24"/>
              </w:rPr>
            </w:pPr>
            <w:r>
              <w:rPr>
                <w:b/>
                <w:sz w:val="18"/>
                <w:szCs w:val="24"/>
              </w:rPr>
              <w:t>1 321</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Municipalidad de Jerusalén, 2008.</w:t>
      </w:r>
    </w:p>
    <w:p w:rsidR="00F92819" w:rsidRDefault="00F92819">
      <w:pPr>
        <w:pStyle w:val="Heading1"/>
        <w:keepLines/>
        <w:spacing w:before="240"/>
        <w:rPr>
          <w:szCs w:val="24"/>
        </w:rPr>
      </w:pPr>
      <w:r>
        <w:rPr>
          <w:szCs w:val="24"/>
          <w:lang w:val="es-ES_tradnl"/>
        </w:rPr>
        <w:t>Cuadro 30</w:t>
      </w:r>
    </w:p>
    <w:p w:rsidR="00F92819" w:rsidRDefault="00F92819">
      <w:pPr>
        <w:pStyle w:val="SingleTxtG"/>
        <w:keepNext/>
        <w:keepLines/>
        <w:rPr>
          <w:b/>
          <w:szCs w:val="24"/>
        </w:rPr>
      </w:pPr>
      <w:r>
        <w:rPr>
          <w:b/>
          <w:szCs w:val="24"/>
          <w:lang w:val="es-ES_tradnl"/>
        </w:rPr>
        <w:t>Permisos de construcción concedidos, 2002</w:t>
      </w:r>
      <w:r w:rsidR="008C04D7">
        <w:rPr>
          <w:b/>
          <w:szCs w:val="24"/>
          <w:lang w:val="es-ES_tradnl"/>
        </w:rPr>
        <w:t>-</w:t>
      </w:r>
      <w:r>
        <w:rPr>
          <w:b/>
          <w:szCs w:val="24"/>
          <w:lang w:val="es-ES_tradnl"/>
        </w:rPr>
        <w:t>2007</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366"/>
        <w:gridCol w:w="1600"/>
        <w:gridCol w:w="629"/>
        <w:gridCol w:w="629"/>
        <w:gridCol w:w="629"/>
        <w:gridCol w:w="629"/>
        <w:gridCol w:w="629"/>
        <w:gridCol w:w="629"/>
        <w:gridCol w:w="630"/>
      </w:tblGrid>
      <w:tr w:rsidR="00F92819">
        <w:tc>
          <w:tcPr>
            <w:tcW w:w="1366" w:type="dxa"/>
            <w:tcBorders>
              <w:top w:val="single" w:sz="4" w:space="0" w:color="auto"/>
              <w:bottom w:val="single" w:sz="12" w:space="0" w:color="auto"/>
            </w:tcBorders>
            <w:vAlign w:val="bottom"/>
          </w:tcPr>
          <w:p w:rsidR="00F92819" w:rsidRDefault="00F92819">
            <w:pPr>
              <w:keepNext/>
              <w:keepLines/>
              <w:spacing w:before="80" w:after="80" w:line="200" w:lineRule="exact"/>
              <w:rPr>
                <w:szCs w:val="24"/>
              </w:rPr>
            </w:pPr>
            <w:r>
              <w:rPr>
                <w:i/>
                <w:sz w:val="16"/>
                <w:szCs w:val="24"/>
                <w:lang w:val="es-ES_tradnl"/>
              </w:rPr>
              <w:t>Barrio</w:t>
            </w:r>
          </w:p>
        </w:tc>
        <w:tc>
          <w:tcPr>
            <w:tcW w:w="1600" w:type="dxa"/>
            <w:tcBorders>
              <w:top w:val="single" w:sz="4" w:space="0" w:color="auto"/>
              <w:bottom w:val="single" w:sz="12" w:space="0" w:color="auto"/>
            </w:tcBorders>
            <w:vAlign w:val="bottom"/>
          </w:tcPr>
          <w:p w:rsidR="00F92819" w:rsidRDefault="00F92819">
            <w:pPr>
              <w:keepNext/>
              <w:keepLines/>
              <w:spacing w:before="80" w:after="80" w:line="200" w:lineRule="exact"/>
              <w:jc w:val="right"/>
              <w:rPr>
                <w:szCs w:val="24"/>
              </w:rPr>
            </w:pPr>
            <w:r>
              <w:rPr>
                <w:i/>
                <w:sz w:val="16"/>
                <w:szCs w:val="24"/>
                <w:lang w:val="es-ES_tradnl"/>
              </w:rPr>
              <w:t>Año de la solicitud</w:t>
            </w:r>
          </w:p>
        </w:tc>
        <w:tc>
          <w:tcPr>
            <w:tcW w:w="629" w:type="dxa"/>
            <w:tcBorders>
              <w:top w:val="single" w:sz="4" w:space="0" w:color="auto"/>
              <w:bottom w:val="single" w:sz="12" w:space="0" w:color="auto"/>
            </w:tcBorders>
            <w:vAlign w:val="bottom"/>
          </w:tcPr>
          <w:p w:rsidR="00F92819" w:rsidRDefault="00F92819">
            <w:pPr>
              <w:keepNext/>
              <w:keepLines/>
              <w:spacing w:before="80" w:after="80" w:line="200" w:lineRule="exact"/>
              <w:jc w:val="right"/>
              <w:rPr>
                <w:i/>
                <w:sz w:val="16"/>
                <w:szCs w:val="24"/>
              </w:rPr>
            </w:pPr>
            <w:r>
              <w:rPr>
                <w:i/>
                <w:sz w:val="16"/>
                <w:szCs w:val="24"/>
              </w:rPr>
              <w:t>2002</w:t>
            </w:r>
          </w:p>
        </w:tc>
        <w:tc>
          <w:tcPr>
            <w:tcW w:w="629" w:type="dxa"/>
            <w:tcBorders>
              <w:top w:val="single" w:sz="4" w:space="0" w:color="auto"/>
              <w:bottom w:val="single" w:sz="12" w:space="0" w:color="auto"/>
            </w:tcBorders>
            <w:vAlign w:val="center"/>
          </w:tcPr>
          <w:p w:rsidR="00F92819" w:rsidRDefault="00F92819">
            <w:pPr>
              <w:keepNext/>
              <w:keepLines/>
              <w:spacing w:before="80" w:after="80" w:line="200" w:lineRule="exact"/>
              <w:jc w:val="right"/>
              <w:rPr>
                <w:i/>
                <w:sz w:val="16"/>
                <w:szCs w:val="24"/>
              </w:rPr>
            </w:pPr>
            <w:r>
              <w:rPr>
                <w:i/>
                <w:sz w:val="16"/>
                <w:szCs w:val="24"/>
              </w:rPr>
              <w:t>2003</w:t>
            </w:r>
          </w:p>
        </w:tc>
        <w:tc>
          <w:tcPr>
            <w:tcW w:w="629" w:type="dxa"/>
            <w:tcBorders>
              <w:top w:val="single" w:sz="4" w:space="0" w:color="auto"/>
              <w:bottom w:val="single" w:sz="12" w:space="0" w:color="auto"/>
            </w:tcBorders>
            <w:vAlign w:val="center"/>
          </w:tcPr>
          <w:p w:rsidR="00F92819" w:rsidRDefault="00F92819">
            <w:pPr>
              <w:keepNext/>
              <w:keepLines/>
              <w:spacing w:before="80" w:after="80" w:line="200" w:lineRule="exact"/>
              <w:jc w:val="right"/>
              <w:rPr>
                <w:i/>
                <w:sz w:val="16"/>
                <w:szCs w:val="24"/>
              </w:rPr>
            </w:pPr>
            <w:r>
              <w:rPr>
                <w:i/>
                <w:sz w:val="16"/>
                <w:szCs w:val="24"/>
              </w:rPr>
              <w:t>2004</w:t>
            </w:r>
          </w:p>
        </w:tc>
        <w:tc>
          <w:tcPr>
            <w:tcW w:w="629" w:type="dxa"/>
            <w:tcBorders>
              <w:top w:val="single" w:sz="4" w:space="0" w:color="auto"/>
              <w:bottom w:val="single" w:sz="12" w:space="0" w:color="auto"/>
            </w:tcBorders>
            <w:vAlign w:val="center"/>
          </w:tcPr>
          <w:p w:rsidR="00F92819" w:rsidRDefault="00F92819">
            <w:pPr>
              <w:keepNext/>
              <w:keepLines/>
              <w:spacing w:before="80" w:after="80" w:line="200" w:lineRule="exact"/>
              <w:jc w:val="right"/>
              <w:rPr>
                <w:i/>
                <w:sz w:val="16"/>
                <w:szCs w:val="24"/>
              </w:rPr>
            </w:pPr>
            <w:r>
              <w:rPr>
                <w:i/>
                <w:sz w:val="16"/>
                <w:szCs w:val="24"/>
              </w:rPr>
              <w:t>2005</w:t>
            </w:r>
          </w:p>
        </w:tc>
        <w:tc>
          <w:tcPr>
            <w:tcW w:w="629" w:type="dxa"/>
            <w:tcBorders>
              <w:top w:val="single" w:sz="4" w:space="0" w:color="auto"/>
              <w:bottom w:val="single" w:sz="12" w:space="0" w:color="auto"/>
            </w:tcBorders>
            <w:vAlign w:val="center"/>
          </w:tcPr>
          <w:p w:rsidR="00F92819" w:rsidRDefault="00F92819">
            <w:pPr>
              <w:keepNext/>
              <w:keepLines/>
              <w:spacing w:before="80" w:after="80" w:line="200" w:lineRule="exact"/>
              <w:jc w:val="right"/>
              <w:rPr>
                <w:i/>
                <w:sz w:val="16"/>
                <w:szCs w:val="24"/>
              </w:rPr>
            </w:pPr>
            <w:r>
              <w:rPr>
                <w:i/>
                <w:sz w:val="16"/>
                <w:szCs w:val="24"/>
              </w:rPr>
              <w:t>2006</w:t>
            </w:r>
          </w:p>
        </w:tc>
        <w:tc>
          <w:tcPr>
            <w:tcW w:w="629" w:type="dxa"/>
            <w:tcBorders>
              <w:top w:val="single" w:sz="4" w:space="0" w:color="auto"/>
              <w:bottom w:val="single" w:sz="12" w:space="0" w:color="auto"/>
            </w:tcBorders>
            <w:vAlign w:val="center"/>
          </w:tcPr>
          <w:p w:rsidR="00F92819" w:rsidRDefault="00F92819">
            <w:pPr>
              <w:keepNext/>
              <w:keepLines/>
              <w:spacing w:before="80" w:after="80" w:line="200" w:lineRule="exact"/>
              <w:jc w:val="right"/>
              <w:rPr>
                <w:i/>
                <w:sz w:val="16"/>
                <w:szCs w:val="24"/>
              </w:rPr>
            </w:pPr>
            <w:r>
              <w:rPr>
                <w:i/>
                <w:sz w:val="16"/>
                <w:szCs w:val="24"/>
              </w:rPr>
              <w:t>2007</w:t>
            </w:r>
          </w:p>
        </w:tc>
        <w:tc>
          <w:tcPr>
            <w:tcW w:w="630" w:type="dxa"/>
            <w:tcBorders>
              <w:top w:val="single" w:sz="4" w:space="0" w:color="auto"/>
              <w:bottom w:val="single" w:sz="12" w:space="0" w:color="auto"/>
            </w:tcBorders>
            <w:vAlign w:val="center"/>
          </w:tcPr>
          <w:p w:rsidR="00F92819" w:rsidRDefault="00F92819">
            <w:pPr>
              <w:keepNext/>
              <w:keepLines/>
              <w:spacing w:before="80" w:after="80" w:line="200" w:lineRule="exact"/>
              <w:jc w:val="right"/>
              <w:rPr>
                <w:szCs w:val="24"/>
              </w:rPr>
            </w:pPr>
            <w:r>
              <w:rPr>
                <w:b/>
                <w:i/>
                <w:sz w:val="16"/>
                <w:szCs w:val="24"/>
                <w:lang w:val="es-ES_tradnl"/>
              </w:rPr>
              <w:t>Total</w:t>
            </w:r>
          </w:p>
        </w:tc>
      </w:tr>
      <w:tr w:rsidR="00F92819">
        <w:tc>
          <w:tcPr>
            <w:tcW w:w="1366" w:type="dxa"/>
            <w:vMerge w:val="restart"/>
            <w:tcBorders>
              <w:top w:val="single" w:sz="12" w:space="0" w:color="auto"/>
            </w:tcBorders>
          </w:tcPr>
          <w:p w:rsidR="00F92819" w:rsidRDefault="00F92819">
            <w:pPr>
              <w:keepNext/>
              <w:keepLines/>
              <w:spacing w:before="40" w:after="40" w:line="220" w:lineRule="exact"/>
              <w:rPr>
                <w:szCs w:val="24"/>
              </w:rPr>
            </w:pPr>
            <w:r>
              <w:rPr>
                <w:sz w:val="18"/>
                <w:szCs w:val="24"/>
                <w:lang w:val="es-ES_tradnl"/>
              </w:rPr>
              <w:t>Barrios occidentales de Jerusalén</w:t>
            </w:r>
          </w:p>
        </w:tc>
        <w:tc>
          <w:tcPr>
            <w:tcW w:w="1600" w:type="dxa"/>
            <w:tcBorders>
              <w:top w:val="single" w:sz="12" w:space="0" w:color="auto"/>
            </w:tcBorders>
            <w:vAlign w:val="center"/>
          </w:tcPr>
          <w:p w:rsidR="00F92819" w:rsidRDefault="00F92819">
            <w:pPr>
              <w:keepNext/>
              <w:keepLines/>
              <w:spacing w:before="40" w:after="40" w:line="220" w:lineRule="exact"/>
              <w:rPr>
                <w:szCs w:val="24"/>
              </w:rPr>
            </w:pPr>
            <w:r>
              <w:rPr>
                <w:sz w:val="18"/>
                <w:szCs w:val="24"/>
                <w:lang w:val="es-ES_tradnl"/>
              </w:rPr>
              <w:t>Nueva construcción</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124</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140</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112</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141</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175</w:t>
            </w:r>
          </w:p>
        </w:tc>
        <w:tc>
          <w:tcPr>
            <w:tcW w:w="629" w:type="dxa"/>
            <w:tcBorders>
              <w:top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151</w:t>
            </w:r>
          </w:p>
        </w:tc>
        <w:tc>
          <w:tcPr>
            <w:tcW w:w="630" w:type="dxa"/>
            <w:tcBorders>
              <w:top w:val="single" w:sz="12" w:space="0" w:color="auto"/>
            </w:tcBorders>
            <w:vAlign w:val="center"/>
          </w:tcPr>
          <w:p w:rsidR="00F92819" w:rsidRDefault="00F92819">
            <w:pPr>
              <w:keepNext/>
              <w:keepLines/>
              <w:spacing w:before="40" w:after="40" w:line="220" w:lineRule="exact"/>
              <w:jc w:val="right"/>
              <w:rPr>
                <w:b/>
                <w:sz w:val="18"/>
                <w:szCs w:val="24"/>
              </w:rPr>
            </w:pPr>
            <w:r>
              <w:rPr>
                <w:b/>
                <w:sz w:val="18"/>
                <w:szCs w:val="24"/>
              </w:rPr>
              <w:t>843</w:t>
            </w:r>
          </w:p>
        </w:tc>
      </w:tr>
      <w:tr w:rsidR="00F92819">
        <w:tc>
          <w:tcPr>
            <w:tcW w:w="1366" w:type="dxa"/>
            <w:vMerge/>
            <w:vAlign w:val="bottom"/>
          </w:tcPr>
          <w:p w:rsidR="00F92819" w:rsidRDefault="00F92819">
            <w:pPr>
              <w:keepNext/>
              <w:keepLines/>
              <w:spacing w:before="40" w:after="40" w:line="220" w:lineRule="exact"/>
              <w:rPr>
                <w:sz w:val="18"/>
                <w:szCs w:val="24"/>
              </w:rPr>
            </w:pPr>
          </w:p>
        </w:tc>
        <w:tc>
          <w:tcPr>
            <w:tcW w:w="1600" w:type="dxa"/>
            <w:tcBorders>
              <w:bottom w:val="single" w:sz="4" w:space="0" w:color="auto"/>
            </w:tcBorders>
            <w:vAlign w:val="center"/>
          </w:tcPr>
          <w:p w:rsidR="00F92819" w:rsidRDefault="00F92819">
            <w:pPr>
              <w:keepNext/>
              <w:keepLines/>
              <w:spacing w:before="40" w:after="40" w:line="220" w:lineRule="exact"/>
              <w:rPr>
                <w:szCs w:val="24"/>
              </w:rPr>
            </w:pPr>
            <w:r>
              <w:rPr>
                <w:sz w:val="18"/>
                <w:szCs w:val="24"/>
                <w:lang w:val="es-ES_tradnl"/>
              </w:rPr>
              <w:t>Adiciones</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1 217</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1 167</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1 357</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1 552</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1 552</w:t>
            </w:r>
          </w:p>
        </w:tc>
        <w:tc>
          <w:tcPr>
            <w:tcW w:w="629" w:type="dxa"/>
            <w:tcBorders>
              <w:bottom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1 508</w:t>
            </w:r>
          </w:p>
        </w:tc>
        <w:tc>
          <w:tcPr>
            <w:tcW w:w="630" w:type="dxa"/>
            <w:tcBorders>
              <w:bottom w:val="single" w:sz="4" w:space="0" w:color="auto"/>
            </w:tcBorders>
            <w:vAlign w:val="center"/>
          </w:tcPr>
          <w:p w:rsidR="00F92819" w:rsidRDefault="00F92819">
            <w:pPr>
              <w:keepNext/>
              <w:keepLines/>
              <w:spacing w:before="40" w:after="40" w:line="220" w:lineRule="exact"/>
              <w:jc w:val="right"/>
              <w:rPr>
                <w:b/>
                <w:sz w:val="18"/>
                <w:szCs w:val="24"/>
              </w:rPr>
            </w:pPr>
            <w:r>
              <w:rPr>
                <w:b/>
                <w:sz w:val="18"/>
                <w:szCs w:val="24"/>
              </w:rPr>
              <w:t>8 353</w:t>
            </w:r>
          </w:p>
        </w:tc>
      </w:tr>
      <w:tr w:rsidR="00F92819">
        <w:tc>
          <w:tcPr>
            <w:tcW w:w="1366" w:type="dxa"/>
            <w:vMerge/>
            <w:vAlign w:val="bottom"/>
          </w:tcPr>
          <w:p w:rsidR="00F92819" w:rsidRDefault="00F92819">
            <w:pPr>
              <w:keepNext/>
              <w:keepLines/>
              <w:spacing w:before="40" w:after="40" w:line="220" w:lineRule="exact"/>
              <w:rPr>
                <w:sz w:val="18"/>
                <w:szCs w:val="24"/>
              </w:rPr>
            </w:pPr>
          </w:p>
        </w:tc>
        <w:tc>
          <w:tcPr>
            <w:tcW w:w="1600" w:type="dxa"/>
            <w:tcBorders>
              <w:top w:val="single" w:sz="4" w:space="0" w:color="auto"/>
              <w:bottom w:val="single" w:sz="4" w:space="0" w:color="auto"/>
            </w:tcBorders>
            <w:vAlign w:val="center"/>
          </w:tcPr>
          <w:p w:rsidR="00F92819" w:rsidRDefault="00F92819">
            <w:pPr>
              <w:keepNext/>
              <w:keepLines/>
              <w:spacing w:before="40" w:after="40" w:line="220" w:lineRule="exact"/>
              <w:rPr>
                <w:szCs w:val="24"/>
              </w:rPr>
            </w:pPr>
            <w:r>
              <w:rPr>
                <w:b/>
                <w:sz w:val="18"/>
                <w:szCs w:val="24"/>
                <w:lang w:val="es-ES_tradnl"/>
              </w:rPr>
              <w:t>Construcción total</w:t>
            </w:r>
          </w:p>
        </w:tc>
        <w:tc>
          <w:tcPr>
            <w:tcW w:w="629" w:type="dxa"/>
            <w:tcBorders>
              <w:top w:val="single" w:sz="4" w:space="0" w:color="auto"/>
              <w:bottom w:val="single" w:sz="4" w:space="0" w:color="auto"/>
            </w:tcBorders>
            <w:vAlign w:val="center"/>
          </w:tcPr>
          <w:p w:rsidR="00F92819" w:rsidRDefault="00F92819">
            <w:pPr>
              <w:keepNext/>
              <w:keepLines/>
              <w:spacing w:before="40" w:after="40" w:line="220" w:lineRule="exact"/>
              <w:jc w:val="right"/>
              <w:rPr>
                <w:b/>
                <w:sz w:val="18"/>
                <w:szCs w:val="24"/>
              </w:rPr>
            </w:pPr>
            <w:r>
              <w:rPr>
                <w:b/>
                <w:sz w:val="18"/>
                <w:szCs w:val="24"/>
              </w:rPr>
              <w:t>1 341</w:t>
            </w:r>
          </w:p>
        </w:tc>
        <w:tc>
          <w:tcPr>
            <w:tcW w:w="629" w:type="dxa"/>
            <w:tcBorders>
              <w:top w:val="single" w:sz="4" w:space="0" w:color="auto"/>
              <w:bottom w:val="single" w:sz="4" w:space="0" w:color="auto"/>
            </w:tcBorders>
            <w:vAlign w:val="center"/>
          </w:tcPr>
          <w:p w:rsidR="00F92819" w:rsidRDefault="00F92819">
            <w:pPr>
              <w:keepNext/>
              <w:keepLines/>
              <w:spacing w:before="40" w:after="40" w:line="220" w:lineRule="exact"/>
              <w:jc w:val="right"/>
              <w:rPr>
                <w:b/>
                <w:sz w:val="18"/>
                <w:szCs w:val="24"/>
              </w:rPr>
            </w:pPr>
            <w:r>
              <w:rPr>
                <w:b/>
                <w:sz w:val="18"/>
                <w:szCs w:val="24"/>
              </w:rPr>
              <w:t>1 307</w:t>
            </w:r>
          </w:p>
        </w:tc>
        <w:tc>
          <w:tcPr>
            <w:tcW w:w="629" w:type="dxa"/>
            <w:tcBorders>
              <w:top w:val="single" w:sz="4" w:space="0" w:color="auto"/>
              <w:bottom w:val="single" w:sz="4" w:space="0" w:color="auto"/>
            </w:tcBorders>
            <w:vAlign w:val="center"/>
          </w:tcPr>
          <w:p w:rsidR="00F92819" w:rsidRDefault="00F92819">
            <w:pPr>
              <w:keepNext/>
              <w:keepLines/>
              <w:spacing w:before="40" w:after="40" w:line="220" w:lineRule="exact"/>
              <w:jc w:val="right"/>
              <w:rPr>
                <w:b/>
                <w:sz w:val="18"/>
                <w:szCs w:val="24"/>
              </w:rPr>
            </w:pPr>
            <w:r>
              <w:rPr>
                <w:b/>
                <w:sz w:val="18"/>
                <w:szCs w:val="24"/>
              </w:rPr>
              <w:t>1 469</w:t>
            </w:r>
          </w:p>
        </w:tc>
        <w:tc>
          <w:tcPr>
            <w:tcW w:w="629" w:type="dxa"/>
            <w:tcBorders>
              <w:top w:val="single" w:sz="4" w:space="0" w:color="auto"/>
              <w:bottom w:val="single" w:sz="4" w:space="0" w:color="auto"/>
            </w:tcBorders>
            <w:vAlign w:val="center"/>
          </w:tcPr>
          <w:p w:rsidR="00F92819" w:rsidRDefault="00F92819">
            <w:pPr>
              <w:keepNext/>
              <w:keepLines/>
              <w:spacing w:before="40" w:after="40" w:line="220" w:lineRule="exact"/>
              <w:jc w:val="right"/>
              <w:rPr>
                <w:b/>
                <w:sz w:val="18"/>
                <w:szCs w:val="24"/>
              </w:rPr>
            </w:pPr>
            <w:r>
              <w:rPr>
                <w:b/>
                <w:sz w:val="18"/>
                <w:szCs w:val="24"/>
              </w:rPr>
              <w:t>1 693</w:t>
            </w:r>
          </w:p>
        </w:tc>
        <w:tc>
          <w:tcPr>
            <w:tcW w:w="629" w:type="dxa"/>
            <w:tcBorders>
              <w:top w:val="single" w:sz="4" w:space="0" w:color="auto"/>
              <w:bottom w:val="single" w:sz="4" w:space="0" w:color="auto"/>
            </w:tcBorders>
            <w:vAlign w:val="center"/>
          </w:tcPr>
          <w:p w:rsidR="00F92819" w:rsidRDefault="00F92819">
            <w:pPr>
              <w:keepNext/>
              <w:keepLines/>
              <w:spacing w:before="40" w:after="40" w:line="220" w:lineRule="exact"/>
              <w:jc w:val="right"/>
              <w:rPr>
                <w:b/>
                <w:sz w:val="18"/>
                <w:szCs w:val="24"/>
              </w:rPr>
            </w:pPr>
            <w:r>
              <w:rPr>
                <w:b/>
                <w:sz w:val="18"/>
                <w:szCs w:val="24"/>
              </w:rPr>
              <w:t>1 727</w:t>
            </w:r>
          </w:p>
        </w:tc>
        <w:tc>
          <w:tcPr>
            <w:tcW w:w="629" w:type="dxa"/>
            <w:tcBorders>
              <w:top w:val="single" w:sz="4" w:space="0" w:color="auto"/>
              <w:bottom w:val="single" w:sz="4" w:space="0" w:color="auto"/>
            </w:tcBorders>
            <w:vAlign w:val="center"/>
          </w:tcPr>
          <w:p w:rsidR="00F92819" w:rsidRDefault="00F92819">
            <w:pPr>
              <w:keepNext/>
              <w:keepLines/>
              <w:spacing w:before="40" w:after="40" w:line="220" w:lineRule="exact"/>
              <w:jc w:val="right"/>
              <w:rPr>
                <w:b/>
                <w:sz w:val="18"/>
                <w:szCs w:val="24"/>
              </w:rPr>
            </w:pPr>
            <w:r>
              <w:rPr>
                <w:b/>
                <w:sz w:val="18"/>
                <w:szCs w:val="24"/>
              </w:rPr>
              <w:t>1 659</w:t>
            </w:r>
          </w:p>
        </w:tc>
        <w:tc>
          <w:tcPr>
            <w:tcW w:w="630" w:type="dxa"/>
            <w:tcBorders>
              <w:top w:val="single" w:sz="4" w:space="0" w:color="auto"/>
              <w:bottom w:val="single" w:sz="4" w:space="0" w:color="auto"/>
            </w:tcBorders>
            <w:vAlign w:val="center"/>
          </w:tcPr>
          <w:p w:rsidR="00F92819" w:rsidRDefault="00F92819">
            <w:pPr>
              <w:keepNext/>
              <w:keepLines/>
              <w:spacing w:before="40" w:after="40" w:line="220" w:lineRule="exact"/>
              <w:jc w:val="right"/>
              <w:rPr>
                <w:b/>
                <w:sz w:val="18"/>
                <w:szCs w:val="24"/>
              </w:rPr>
            </w:pPr>
            <w:r>
              <w:rPr>
                <w:b/>
                <w:sz w:val="18"/>
                <w:szCs w:val="24"/>
              </w:rPr>
              <w:t>9 196</w:t>
            </w:r>
          </w:p>
        </w:tc>
      </w:tr>
      <w:tr w:rsidR="00F92819">
        <w:tc>
          <w:tcPr>
            <w:tcW w:w="1366" w:type="dxa"/>
            <w:vMerge w:val="restart"/>
          </w:tcPr>
          <w:p w:rsidR="00F92819" w:rsidRDefault="00F92819">
            <w:pPr>
              <w:spacing w:before="40" w:line="220" w:lineRule="exact"/>
              <w:rPr>
                <w:szCs w:val="24"/>
              </w:rPr>
            </w:pPr>
            <w:r>
              <w:rPr>
                <w:sz w:val="18"/>
                <w:szCs w:val="24"/>
                <w:lang w:val="es-ES_tradnl"/>
              </w:rPr>
              <w:t>Barrios orientales de Jerusalén</w:t>
            </w:r>
          </w:p>
        </w:tc>
        <w:tc>
          <w:tcPr>
            <w:tcW w:w="1600" w:type="dxa"/>
            <w:tcBorders>
              <w:top w:val="single" w:sz="4" w:space="0" w:color="auto"/>
            </w:tcBorders>
            <w:vAlign w:val="center"/>
          </w:tcPr>
          <w:p w:rsidR="00F92819" w:rsidRDefault="00F92819">
            <w:pPr>
              <w:spacing w:before="40" w:after="40" w:line="220" w:lineRule="exact"/>
              <w:rPr>
                <w:szCs w:val="24"/>
              </w:rPr>
            </w:pPr>
            <w:r>
              <w:rPr>
                <w:sz w:val="18"/>
                <w:szCs w:val="24"/>
                <w:lang w:val="es-ES_tradnl"/>
              </w:rPr>
              <w:t>Nueva construcción</w:t>
            </w:r>
          </w:p>
        </w:tc>
        <w:tc>
          <w:tcPr>
            <w:tcW w:w="62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98</w:t>
            </w:r>
          </w:p>
        </w:tc>
        <w:tc>
          <w:tcPr>
            <w:tcW w:w="62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62</w:t>
            </w:r>
          </w:p>
        </w:tc>
        <w:tc>
          <w:tcPr>
            <w:tcW w:w="62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51</w:t>
            </w:r>
          </w:p>
        </w:tc>
        <w:tc>
          <w:tcPr>
            <w:tcW w:w="62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78</w:t>
            </w:r>
          </w:p>
        </w:tc>
        <w:tc>
          <w:tcPr>
            <w:tcW w:w="62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88</w:t>
            </w:r>
          </w:p>
        </w:tc>
        <w:tc>
          <w:tcPr>
            <w:tcW w:w="629"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82</w:t>
            </w:r>
          </w:p>
        </w:tc>
        <w:tc>
          <w:tcPr>
            <w:tcW w:w="630" w:type="dxa"/>
            <w:tcBorders>
              <w:top w:val="single" w:sz="4" w:space="0" w:color="auto"/>
            </w:tcBorders>
            <w:vAlign w:val="center"/>
          </w:tcPr>
          <w:p w:rsidR="00F92819" w:rsidRDefault="00F92819">
            <w:pPr>
              <w:spacing w:before="40" w:after="40" w:line="220" w:lineRule="exact"/>
              <w:jc w:val="right"/>
              <w:rPr>
                <w:b/>
                <w:sz w:val="18"/>
                <w:szCs w:val="24"/>
              </w:rPr>
            </w:pPr>
            <w:r>
              <w:rPr>
                <w:b/>
                <w:sz w:val="18"/>
                <w:szCs w:val="24"/>
              </w:rPr>
              <w:t>459</w:t>
            </w:r>
          </w:p>
        </w:tc>
      </w:tr>
      <w:tr w:rsidR="00F92819">
        <w:tc>
          <w:tcPr>
            <w:tcW w:w="1366" w:type="dxa"/>
            <w:vMerge/>
            <w:vAlign w:val="bottom"/>
          </w:tcPr>
          <w:p w:rsidR="00F92819" w:rsidRDefault="00F92819">
            <w:pPr>
              <w:spacing w:before="40" w:after="40" w:line="220" w:lineRule="exact"/>
              <w:rPr>
                <w:sz w:val="18"/>
                <w:szCs w:val="24"/>
              </w:rPr>
            </w:pPr>
          </w:p>
        </w:tc>
        <w:tc>
          <w:tcPr>
            <w:tcW w:w="1600" w:type="dxa"/>
            <w:tcBorders>
              <w:bottom w:val="single" w:sz="4" w:space="0" w:color="auto"/>
            </w:tcBorders>
            <w:vAlign w:val="center"/>
          </w:tcPr>
          <w:p w:rsidR="00F92819" w:rsidRDefault="00F92819">
            <w:pPr>
              <w:spacing w:before="40" w:after="40" w:line="220" w:lineRule="exact"/>
              <w:rPr>
                <w:szCs w:val="24"/>
              </w:rPr>
            </w:pPr>
            <w:r>
              <w:rPr>
                <w:sz w:val="18"/>
                <w:szCs w:val="24"/>
                <w:lang w:val="es-ES_tradnl"/>
              </w:rPr>
              <w:t>Adiciones</w:t>
            </w:r>
          </w:p>
        </w:tc>
        <w:tc>
          <w:tcPr>
            <w:tcW w:w="629"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64</w:t>
            </w:r>
          </w:p>
        </w:tc>
        <w:tc>
          <w:tcPr>
            <w:tcW w:w="629"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56</w:t>
            </w:r>
          </w:p>
        </w:tc>
        <w:tc>
          <w:tcPr>
            <w:tcW w:w="629"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65</w:t>
            </w:r>
          </w:p>
        </w:tc>
        <w:tc>
          <w:tcPr>
            <w:tcW w:w="629"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61</w:t>
            </w:r>
          </w:p>
        </w:tc>
        <w:tc>
          <w:tcPr>
            <w:tcW w:w="629"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56</w:t>
            </w:r>
          </w:p>
        </w:tc>
        <w:tc>
          <w:tcPr>
            <w:tcW w:w="629"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68</w:t>
            </w:r>
          </w:p>
        </w:tc>
        <w:tc>
          <w:tcPr>
            <w:tcW w:w="630" w:type="dxa"/>
            <w:tcBorders>
              <w:bottom w:val="single" w:sz="4" w:space="0" w:color="auto"/>
            </w:tcBorders>
            <w:vAlign w:val="center"/>
          </w:tcPr>
          <w:p w:rsidR="00F92819" w:rsidRDefault="00F92819">
            <w:pPr>
              <w:spacing w:before="40" w:after="40" w:line="220" w:lineRule="exact"/>
              <w:jc w:val="right"/>
              <w:rPr>
                <w:b/>
                <w:sz w:val="18"/>
                <w:szCs w:val="24"/>
              </w:rPr>
            </w:pPr>
            <w:r>
              <w:rPr>
                <w:b/>
                <w:sz w:val="18"/>
                <w:szCs w:val="24"/>
              </w:rPr>
              <w:t>370</w:t>
            </w:r>
          </w:p>
        </w:tc>
      </w:tr>
      <w:tr w:rsidR="00F92819">
        <w:tc>
          <w:tcPr>
            <w:tcW w:w="1366" w:type="dxa"/>
            <w:vMerge/>
            <w:tcBorders>
              <w:bottom w:val="single" w:sz="12" w:space="0" w:color="auto"/>
            </w:tcBorders>
            <w:vAlign w:val="bottom"/>
          </w:tcPr>
          <w:p w:rsidR="00F92819" w:rsidRDefault="00F92819">
            <w:pPr>
              <w:spacing w:after="40" w:line="220" w:lineRule="exact"/>
              <w:rPr>
                <w:sz w:val="18"/>
                <w:szCs w:val="24"/>
              </w:rPr>
            </w:pPr>
          </w:p>
        </w:tc>
        <w:tc>
          <w:tcPr>
            <w:tcW w:w="1600" w:type="dxa"/>
            <w:tcBorders>
              <w:top w:val="single" w:sz="4" w:space="0" w:color="auto"/>
              <w:bottom w:val="single" w:sz="12" w:space="0" w:color="auto"/>
            </w:tcBorders>
            <w:vAlign w:val="center"/>
          </w:tcPr>
          <w:p w:rsidR="00F92819" w:rsidRDefault="00F92819">
            <w:pPr>
              <w:spacing w:before="40" w:after="40" w:line="220" w:lineRule="exact"/>
              <w:rPr>
                <w:szCs w:val="24"/>
              </w:rPr>
            </w:pPr>
            <w:r>
              <w:rPr>
                <w:b/>
                <w:sz w:val="18"/>
                <w:szCs w:val="24"/>
                <w:lang w:val="es-ES_tradnl"/>
              </w:rPr>
              <w:t>Construcción total</w:t>
            </w:r>
          </w:p>
        </w:tc>
        <w:tc>
          <w:tcPr>
            <w:tcW w:w="629" w:type="dxa"/>
            <w:tcBorders>
              <w:top w:val="single" w:sz="4" w:space="0" w:color="auto"/>
              <w:bottom w:val="single" w:sz="12" w:space="0" w:color="auto"/>
            </w:tcBorders>
            <w:vAlign w:val="center"/>
          </w:tcPr>
          <w:p w:rsidR="00F92819" w:rsidRDefault="00F92819">
            <w:pPr>
              <w:spacing w:before="40" w:after="40" w:line="220" w:lineRule="exact"/>
              <w:jc w:val="right"/>
              <w:rPr>
                <w:b/>
                <w:sz w:val="18"/>
                <w:szCs w:val="24"/>
              </w:rPr>
            </w:pPr>
            <w:r>
              <w:rPr>
                <w:b/>
                <w:sz w:val="18"/>
                <w:szCs w:val="24"/>
              </w:rPr>
              <w:t>162</w:t>
            </w:r>
          </w:p>
        </w:tc>
        <w:tc>
          <w:tcPr>
            <w:tcW w:w="629" w:type="dxa"/>
            <w:tcBorders>
              <w:top w:val="single" w:sz="4" w:space="0" w:color="auto"/>
              <w:bottom w:val="single" w:sz="12" w:space="0" w:color="auto"/>
            </w:tcBorders>
            <w:vAlign w:val="center"/>
          </w:tcPr>
          <w:p w:rsidR="00F92819" w:rsidRDefault="00F92819">
            <w:pPr>
              <w:spacing w:before="40" w:after="40" w:line="220" w:lineRule="exact"/>
              <w:jc w:val="right"/>
              <w:rPr>
                <w:b/>
                <w:sz w:val="18"/>
                <w:szCs w:val="24"/>
              </w:rPr>
            </w:pPr>
            <w:r>
              <w:rPr>
                <w:b/>
                <w:sz w:val="18"/>
                <w:szCs w:val="24"/>
              </w:rPr>
              <w:t>118</w:t>
            </w:r>
          </w:p>
        </w:tc>
        <w:tc>
          <w:tcPr>
            <w:tcW w:w="629" w:type="dxa"/>
            <w:tcBorders>
              <w:top w:val="single" w:sz="4" w:space="0" w:color="auto"/>
              <w:bottom w:val="single" w:sz="12" w:space="0" w:color="auto"/>
            </w:tcBorders>
            <w:vAlign w:val="center"/>
          </w:tcPr>
          <w:p w:rsidR="00F92819" w:rsidRDefault="00F92819">
            <w:pPr>
              <w:spacing w:before="40" w:after="40" w:line="220" w:lineRule="exact"/>
              <w:jc w:val="right"/>
              <w:rPr>
                <w:b/>
                <w:sz w:val="18"/>
                <w:szCs w:val="24"/>
              </w:rPr>
            </w:pPr>
            <w:r>
              <w:rPr>
                <w:b/>
                <w:sz w:val="18"/>
                <w:szCs w:val="24"/>
              </w:rPr>
              <w:t>116</w:t>
            </w:r>
          </w:p>
        </w:tc>
        <w:tc>
          <w:tcPr>
            <w:tcW w:w="629" w:type="dxa"/>
            <w:tcBorders>
              <w:top w:val="single" w:sz="4" w:space="0" w:color="auto"/>
              <w:bottom w:val="single" w:sz="12" w:space="0" w:color="auto"/>
            </w:tcBorders>
            <w:vAlign w:val="center"/>
          </w:tcPr>
          <w:p w:rsidR="00F92819" w:rsidRDefault="00F92819">
            <w:pPr>
              <w:spacing w:before="40" w:after="40" w:line="220" w:lineRule="exact"/>
              <w:jc w:val="right"/>
              <w:rPr>
                <w:b/>
                <w:sz w:val="18"/>
                <w:szCs w:val="24"/>
              </w:rPr>
            </w:pPr>
            <w:r>
              <w:rPr>
                <w:b/>
                <w:sz w:val="18"/>
                <w:szCs w:val="24"/>
              </w:rPr>
              <w:t>139</w:t>
            </w:r>
          </w:p>
        </w:tc>
        <w:tc>
          <w:tcPr>
            <w:tcW w:w="629" w:type="dxa"/>
            <w:tcBorders>
              <w:top w:val="single" w:sz="4" w:space="0" w:color="auto"/>
              <w:bottom w:val="single" w:sz="12" w:space="0" w:color="auto"/>
            </w:tcBorders>
            <w:vAlign w:val="center"/>
          </w:tcPr>
          <w:p w:rsidR="00F92819" w:rsidRDefault="00F92819">
            <w:pPr>
              <w:spacing w:before="40" w:after="40" w:line="220" w:lineRule="exact"/>
              <w:jc w:val="right"/>
              <w:rPr>
                <w:b/>
                <w:sz w:val="18"/>
                <w:szCs w:val="24"/>
              </w:rPr>
            </w:pPr>
            <w:r>
              <w:rPr>
                <w:b/>
                <w:sz w:val="18"/>
                <w:szCs w:val="24"/>
              </w:rPr>
              <w:t>144</w:t>
            </w:r>
          </w:p>
        </w:tc>
        <w:tc>
          <w:tcPr>
            <w:tcW w:w="629" w:type="dxa"/>
            <w:tcBorders>
              <w:top w:val="single" w:sz="4" w:space="0" w:color="auto"/>
              <w:bottom w:val="single" w:sz="12" w:space="0" w:color="auto"/>
            </w:tcBorders>
            <w:vAlign w:val="center"/>
          </w:tcPr>
          <w:p w:rsidR="00F92819" w:rsidRDefault="00F92819">
            <w:pPr>
              <w:spacing w:before="40" w:after="40" w:line="220" w:lineRule="exact"/>
              <w:jc w:val="right"/>
              <w:rPr>
                <w:b/>
                <w:sz w:val="18"/>
                <w:szCs w:val="24"/>
              </w:rPr>
            </w:pPr>
            <w:r>
              <w:rPr>
                <w:b/>
                <w:sz w:val="18"/>
                <w:szCs w:val="24"/>
              </w:rPr>
              <w:t>150</w:t>
            </w:r>
          </w:p>
        </w:tc>
        <w:tc>
          <w:tcPr>
            <w:tcW w:w="630" w:type="dxa"/>
            <w:tcBorders>
              <w:top w:val="single" w:sz="4" w:space="0" w:color="auto"/>
              <w:bottom w:val="single" w:sz="12" w:space="0" w:color="auto"/>
            </w:tcBorders>
            <w:vAlign w:val="center"/>
          </w:tcPr>
          <w:p w:rsidR="00F92819" w:rsidRDefault="00F92819">
            <w:pPr>
              <w:spacing w:before="40" w:after="40" w:line="220" w:lineRule="exact"/>
              <w:jc w:val="right"/>
              <w:rPr>
                <w:b/>
                <w:sz w:val="18"/>
                <w:szCs w:val="24"/>
              </w:rPr>
            </w:pPr>
            <w:r>
              <w:rPr>
                <w:b/>
                <w:sz w:val="18"/>
                <w:szCs w:val="24"/>
              </w:rPr>
              <w:t>829</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Municipalidad de Jerusalén, 2008.</w:t>
      </w:r>
    </w:p>
    <w:p w:rsidR="00F92819" w:rsidRDefault="00F92819">
      <w:pPr>
        <w:pStyle w:val="Heading1"/>
        <w:spacing w:before="240"/>
        <w:rPr>
          <w:szCs w:val="24"/>
        </w:rPr>
      </w:pPr>
      <w:r>
        <w:rPr>
          <w:szCs w:val="24"/>
          <w:lang w:val="es-ES_tradnl"/>
        </w:rPr>
        <w:t>Cuadro 31</w:t>
      </w:r>
    </w:p>
    <w:p w:rsidR="00F92819" w:rsidRDefault="00F92819">
      <w:pPr>
        <w:pStyle w:val="SingleTxtG"/>
        <w:rPr>
          <w:b/>
          <w:szCs w:val="24"/>
        </w:rPr>
      </w:pPr>
      <w:r>
        <w:rPr>
          <w:b/>
          <w:szCs w:val="24"/>
          <w:lang w:val="es-ES_tradnl"/>
        </w:rPr>
        <w:t>Órdenes de demolición ejecutadas, por año y por barrio, 2004</w:t>
      </w:r>
      <w:r w:rsidR="008C04D7">
        <w:rPr>
          <w:b/>
          <w:szCs w:val="24"/>
          <w:lang w:val="es-ES_tradnl"/>
        </w:rPr>
        <w:t>-</w:t>
      </w:r>
      <w:r>
        <w:rPr>
          <w:b/>
          <w:szCs w:val="24"/>
          <w:lang w:val="es-ES_tradnl"/>
        </w:rPr>
        <w:t>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567"/>
        <w:gridCol w:w="2902"/>
        <w:gridCol w:w="2902"/>
      </w:tblGrid>
      <w:tr w:rsidR="00F92819">
        <w:tc>
          <w:tcPr>
            <w:tcW w:w="1567" w:type="dxa"/>
            <w:tcBorders>
              <w:top w:val="single" w:sz="4" w:space="0" w:color="auto"/>
              <w:bottom w:val="single" w:sz="12" w:space="0" w:color="auto"/>
            </w:tcBorders>
            <w:vAlign w:val="center"/>
          </w:tcPr>
          <w:p w:rsidR="00F92819" w:rsidRDefault="00F92819">
            <w:pPr>
              <w:spacing w:before="80" w:after="80" w:line="200" w:lineRule="exact"/>
              <w:rPr>
                <w:szCs w:val="24"/>
              </w:rPr>
            </w:pPr>
            <w:r>
              <w:rPr>
                <w:i/>
                <w:sz w:val="16"/>
                <w:szCs w:val="24"/>
                <w:lang w:val="es-ES_tradnl"/>
              </w:rPr>
              <w:t>Año</w:t>
            </w:r>
          </w:p>
        </w:tc>
        <w:tc>
          <w:tcPr>
            <w:tcW w:w="2902" w:type="dxa"/>
            <w:tcBorders>
              <w:top w:val="single" w:sz="4" w:space="0" w:color="auto"/>
              <w:bottom w:val="single" w:sz="12" w:space="0" w:color="auto"/>
            </w:tcBorders>
            <w:vAlign w:val="center"/>
          </w:tcPr>
          <w:p w:rsidR="00F92819" w:rsidRDefault="00F92819">
            <w:pPr>
              <w:spacing w:before="80" w:after="80" w:line="200" w:lineRule="exact"/>
              <w:jc w:val="right"/>
              <w:rPr>
                <w:szCs w:val="24"/>
              </w:rPr>
            </w:pPr>
            <w:r>
              <w:rPr>
                <w:i/>
                <w:sz w:val="16"/>
                <w:szCs w:val="24"/>
                <w:lang w:val="es-ES_tradnl"/>
              </w:rPr>
              <w:t>Barrios occidentales de Jerusalén</w:t>
            </w:r>
          </w:p>
        </w:tc>
        <w:tc>
          <w:tcPr>
            <w:tcW w:w="2902" w:type="dxa"/>
            <w:tcBorders>
              <w:top w:val="single" w:sz="4" w:space="0" w:color="auto"/>
              <w:bottom w:val="single" w:sz="12" w:space="0" w:color="auto"/>
            </w:tcBorders>
            <w:vAlign w:val="center"/>
          </w:tcPr>
          <w:p w:rsidR="00F92819" w:rsidRDefault="00F92819">
            <w:pPr>
              <w:spacing w:before="80" w:after="80" w:line="200" w:lineRule="exact"/>
              <w:jc w:val="right"/>
              <w:rPr>
                <w:szCs w:val="24"/>
              </w:rPr>
            </w:pPr>
            <w:r>
              <w:rPr>
                <w:i/>
                <w:sz w:val="16"/>
                <w:szCs w:val="24"/>
                <w:lang w:val="es-ES_tradnl"/>
              </w:rPr>
              <w:t>Barrios orientales de Jerusalén</w:t>
            </w:r>
          </w:p>
        </w:tc>
      </w:tr>
      <w:tr w:rsidR="00F92819">
        <w:tc>
          <w:tcPr>
            <w:tcW w:w="1567" w:type="dxa"/>
            <w:tcBorders>
              <w:top w:val="single" w:sz="12" w:space="0" w:color="auto"/>
            </w:tcBorders>
            <w:vAlign w:val="center"/>
          </w:tcPr>
          <w:p w:rsidR="00F92819" w:rsidRDefault="00F92819">
            <w:pPr>
              <w:spacing w:before="40" w:after="40" w:line="220" w:lineRule="exact"/>
              <w:rPr>
                <w:sz w:val="18"/>
                <w:szCs w:val="24"/>
              </w:rPr>
            </w:pPr>
            <w:r>
              <w:rPr>
                <w:sz w:val="18"/>
                <w:szCs w:val="24"/>
              </w:rPr>
              <w:t>2007</w:t>
            </w:r>
          </w:p>
        </w:tc>
        <w:tc>
          <w:tcPr>
            <w:tcW w:w="2902" w:type="dxa"/>
            <w:tcBorders>
              <w:top w:val="single" w:sz="12" w:space="0" w:color="auto"/>
            </w:tcBorders>
            <w:vAlign w:val="center"/>
          </w:tcPr>
          <w:p w:rsidR="00F92819" w:rsidRDefault="00F92819">
            <w:pPr>
              <w:spacing w:before="40" w:after="40" w:line="220" w:lineRule="exact"/>
              <w:jc w:val="right"/>
              <w:rPr>
                <w:sz w:val="18"/>
                <w:szCs w:val="24"/>
              </w:rPr>
            </w:pPr>
            <w:r>
              <w:rPr>
                <w:sz w:val="18"/>
                <w:szCs w:val="24"/>
              </w:rPr>
              <w:t>35</w:t>
            </w:r>
          </w:p>
        </w:tc>
        <w:tc>
          <w:tcPr>
            <w:tcW w:w="2902" w:type="dxa"/>
            <w:tcBorders>
              <w:top w:val="single" w:sz="12" w:space="0" w:color="auto"/>
            </w:tcBorders>
            <w:vAlign w:val="center"/>
          </w:tcPr>
          <w:p w:rsidR="00F92819" w:rsidRDefault="00F92819">
            <w:pPr>
              <w:spacing w:before="40" w:after="40" w:line="220" w:lineRule="exact"/>
              <w:jc w:val="right"/>
              <w:rPr>
                <w:sz w:val="18"/>
                <w:szCs w:val="24"/>
              </w:rPr>
            </w:pPr>
            <w:r>
              <w:rPr>
                <w:sz w:val="18"/>
                <w:szCs w:val="24"/>
              </w:rPr>
              <w:t>69</w:t>
            </w:r>
          </w:p>
        </w:tc>
      </w:tr>
      <w:tr w:rsidR="00F92819">
        <w:tc>
          <w:tcPr>
            <w:tcW w:w="1567" w:type="dxa"/>
            <w:vAlign w:val="center"/>
          </w:tcPr>
          <w:p w:rsidR="00F92819" w:rsidRDefault="00F92819">
            <w:pPr>
              <w:spacing w:before="40" w:after="40" w:line="220" w:lineRule="exact"/>
              <w:rPr>
                <w:sz w:val="18"/>
                <w:szCs w:val="24"/>
              </w:rPr>
            </w:pPr>
            <w:r>
              <w:rPr>
                <w:sz w:val="18"/>
                <w:szCs w:val="24"/>
              </w:rPr>
              <w:t>2006</w:t>
            </w:r>
          </w:p>
        </w:tc>
        <w:tc>
          <w:tcPr>
            <w:tcW w:w="2902" w:type="dxa"/>
            <w:vAlign w:val="center"/>
          </w:tcPr>
          <w:p w:rsidR="00F92819" w:rsidRDefault="00F92819">
            <w:pPr>
              <w:spacing w:before="40" w:after="40" w:line="220" w:lineRule="exact"/>
              <w:jc w:val="right"/>
              <w:rPr>
                <w:sz w:val="18"/>
                <w:szCs w:val="24"/>
              </w:rPr>
            </w:pPr>
            <w:r>
              <w:rPr>
                <w:sz w:val="18"/>
                <w:szCs w:val="24"/>
              </w:rPr>
              <w:t>37</w:t>
            </w:r>
          </w:p>
        </w:tc>
        <w:tc>
          <w:tcPr>
            <w:tcW w:w="2902" w:type="dxa"/>
            <w:vAlign w:val="center"/>
          </w:tcPr>
          <w:p w:rsidR="00F92819" w:rsidRDefault="00F92819">
            <w:pPr>
              <w:spacing w:before="40" w:after="40" w:line="220" w:lineRule="exact"/>
              <w:jc w:val="right"/>
              <w:rPr>
                <w:sz w:val="18"/>
                <w:szCs w:val="24"/>
              </w:rPr>
            </w:pPr>
            <w:r>
              <w:rPr>
                <w:sz w:val="18"/>
                <w:szCs w:val="24"/>
              </w:rPr>
              <w:t>71</w:t>
            </w:r>
          </w:p>
        </w:tc>
      </w:tr>
      <w:tr w:rsidR="00F92819">
        <w:tc>
          <w:tcPr>
            <w:tcW w:w="1567" w:type="dxa"/>
            <w:vAlign w:val="center"/>
          </w:tcPr>
          <w:p w:rsidR="00F92819" w:rsidRDefault="00F92819">
            <w:pPr>
              <w:spacing w:before="40" w:after="40" w:line="220" w:lineRule="exact"/>
              <w:rPr>
                <w:sz w:val="18"/>
                <w:szCs w:val="24"/>
              </w:rPr>
            </w:pPr>
            <w:r>
              <w:rPr>
                <w:sz w:val="18"/>
                <w:szCs w:val="24"/>
              </w:rPr>
              <w:t>2005</w:t>
            </w:r>
          </w:p>
        </w:tc>
        <w:tc>
          <w:tcPr>
            <w:tcW w:w="2902" w:type="dxa"/>
            <w:vAlign w:val="center"/>
          </w:tcPr>
          <w:p w:rsidR="00F92819" w:rsidRDefault="00F92819">
            <w:pPr>
              <w:spacing w:before="40" w:after="40" w:line="220" w:lineRule="exact"/>
              <w:jc w:val="right"/>
              <w:rPr>
                <w:sz w:val="18"/>
                <w:szCs w:val="24"/>
              </w:rPr>
            </w:pPr>
            <w:r>
              <w:rPr>
                <w:sz w:val="18"/>
                <w:szCs w:val="24"/>
              </w:rPr>
              <w:t>26</w:t>
            </w:r>
          </w:p>
        </w:tc>
        <w:tc>
          <w:tcPr>
            <w:tcW w:w="2902" w:type="dxa"/>
            <w:vAlign w:val="center"/>
          </w:tcPr>
          <w:p w:rsidR="00F92819" w:rsidRDefault="00F92819">
            <w:pPr>
              <w:spacing w:before="40" w:after="40" w:line="220" w:lineRule="exact"/>
              <w:jc w:val="right"/>
              <w:rPr>
                <w:sz w:val="18"/>
                <w:szCs w:val="24"/>
              </w:rPr>
            </w:pPr>
            <w:r>
              <w:rPr>
                <w:sz w:val="18"/>
                <w:szCs w:val="24"/>
              </w:rPr>
              <w:t>76</w:t>
            </w:r>
          </w:p>
        </w:tc>
      </w:tr>
      <w:tr w:rsidR="00F92819">
        <w:tc>
          <w:tcPr>
            <w:tcW w:w="1567" w:type="dxa"/>
            <w:tcBorders>
              <w:bottom w:val="single" w:sz="4" w:space="0" w:color="auto"/>
            </w:tcBorders>
            <w:vAlign w:val="center"/>
          </w:tcPr>
          <w:p w:rsidR="00F92819" w:rsidRDefault="00F92819">
            <w:pPr>
              <w:spacing w:before="40" w:after="40" w:line="220" w:lineRule="exact"/>
              <w:rPr>
                <w:sz w:val="18"/>
                <w:szCs w:val="24"/>
              </w:rPr>
            </w:pPr>
            <w:r>
              <w:rPr>
                <w:sz w:val="18"/>
                <w:szCs w:val="24"/>
              </w:rPr>
              <w:t>2004</w:t>
            </w:r>
          </w:p>
        </w:tc>
        <w:tc>
          <w:tcPr>
            <w:tcW w:w="2902"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13</w:t>
            </w:r>
          </w:p>
        </w:tc>
        <w:tc>
          <w:tcPr>
            <w:tcW w:w="2902"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115</w:t>
            </w:r>
          </w:p>
        </w:tc>
      </w:tr>
      <w:tr w:rsidR="00F92819">
        <w:tc>
          <w:tcPr>
            <w:tcW w:w="1567" w:type="dxa"/>
            <w:tcBorders>
              <w:top w:val="single" w:sz="4" w:space="0" w:color="auto"/>
              <w:bottom w:val="single" w:sz="12" w:space="0" w:color="auto"/>
            </w:tcBorders>
            <w:vAlign w:val="center"/>
          </w:tcPr>
          <w:p w:rsidR="00F92819" w:rsidRDefault="00F92819">
            <w:pPr>
              <w:spacing w:before="80" w:after="80" w:line="220" w:lineRule="exact"/>
              <w:ind w:left="284"/>
              <w:rPr>
                <w:szCs w:val="24"/>
              </w:rPr>
            </w:pPr>
            <w:r>
              <w:rPr>
                <w:b/>
                <w:sz w:val="18"/>
                <w:szCs w:val="24"/>
                <w:lang w:val="es-ES_tradnl"/>
              </w:rPr>
              <w:t>Total</w:t>
            </w:r>
          </w:p>
        </w:tc>
        <w:tc>
          <w:tcPr>
            <w:tcW w:w="2902" w:type="dxa"/>
            <w:tcBorders>
              <w:top w:val="single" w:sz="4" w:space="0" w:color="auto"/>
              <w:bottom w:val="single" w:sz="12" w:space="0" w:color="auto"/>
            </w:tcBorders>
            <w:vAlign w:val="center"/>
          </w:tcPr>
          <w:p w:rsidR="00F92819" w:rsidRDefault="00F92819">
            <w:pPr>
              <w:spacing w:before="80" w:after="80" w:line="220" w:lineRule="exact"/>
              <w:jc w:val="right"/>
              <w:rPr>
                <w:b/>
                <w:sz w:val="18"/>
                <w:szCs w:val="24"/>
              </w:rPr>
            </w:pPr>
            <w:r>
              <w:rPr>
                <w:b/>
                <w:sz w:val="18"/>
                <w:szCs w:val="24"/>
              </w:rPr>
              <w:t>11</w:t>
            </w:r>
          </w:p>
        </w:tc>
        <w:tc>
          <w:tcPr>
            <w:tcW w:w="2902" w:type="dxa"/>
            <w:tcBorders>
              <w:top w:val="single" w:sz="4" w:space="0" w:color="auto"/>
              <w:bottom w:val="single" w:sz="12" w:space="0" w:color="auto"/>
            </w:tcBorders>
            <w:vAlign w:val="center"/>
          </w:tcPr>
          <w:p w:rsidR="00F92819" w:rsidRDefault="00F92819">
            <w:pPr>
              <w:spacing w:before="80" w:after="80" w:line="220" w:lineRule="exact"/>
              <w:jc w:val="right"/>
              <w:rPr>
                <w:b/>
                <w:sz w:val="18"/>
                <w:szCs w:val="24"/>
              </w:rPr>
            </w:pPr>
            <w:r>
              <w:rPr>
                <w:b/>
                <w:sz w:val="18"/>
                <w:szCs w:val="24"/>
              </w:rPr>
              <w:t>331</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Municipalidad de Jerusalén, 2008.</w:t>
      </w:r>
    </w:p>
    <w:p w:rsidR="00F92819" w:rsidRDefault="00F92819">
      <w:pPr>
        <w:pStyle w:val="Heading1"/>
        <w:spacing w:before="240"/>
        <w:rPr>
          <w:szCs w:val="24"/>
        </w:rPr>
      </w:pPr>
      <w:r>
        <w:rPr>
          <w:szCs w:val="24"/>
          <w:lang w:val="es-ES_tradnl"/>
        </w:rPr>
        <w:t>Cuadro 32</w:t>
      </w:r>
    </w:p>
    <w:p w:rsidR="00F92819" w:rsidRDefault="00F92819">
      <w:pPr>
        <w:pStyle w:val="SingleTxtG"/>
        <w:jc w:val="left"/>
        <w:rPr>
          <w:b/>
          <w:szCs w:val="24"/>
        </w:rPr>
      </w:pPr>
      <w:r>
        <w:rPr>
          <w:b/>
          <w:szCs w:val="24"/>
          <w:lang w:val="es-ES_tradnl"/>
        </w:rPr>
        <w:t>Expedientes abiertos por infracciones de las normas de construcción, por año y por barrio, 2004</w:t>
      </w:r>
      <w:r w:rsidR="008C04D7">
        <w:rPr>
          <w:b/>
          <w:szCs w:val="24"/>
          <w:lang w:val="es-ES_tradnl"/>
        </w:rPr>
        <w:t>-</w:t>
      </w:r>
      <w:r>
        <w:rPr>
          <w:b/>
          <w:szCs w:val="24"/>
          <w:lang w:val="es-ES_tradnl"/>
        </w:rPr>
        <w:t>2007</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561"/>
        <w:gridCol w:w="2906"/>
        <w:gridCol w:w="2904"/>
      </w:tblGrid>
      <w:tr w:rsidR="00F92819">
        <w:trPr>
          <w:tblHeader/>
        </w:trPr>
        <w:tc>
          <w:tcPr>
            <w:tcW w:w="1561" w:type="dxa"/>
            <w:tcBorders>
              <w:top w:val="single" w:sz="4" w:space="0" w:color="auto"/>
              <w:bottom w:val="single" w:sz="12" w:space="0" w:color="auto"/>
            </w:tcBorders>
            <w:vAlign w:val="center"/>
          </w:tcPr>
          <w:p w:rsidR="00F92819" w:rsidRDefault="00F92819">
            <w:pPr>
              <w:spacing w:before="80" w:after="80" w:line="200" w:lineRule="exact"/>
              <w:rPr>
                <w:szCs w:val="24"/>
              </w:rPr>
            </w:pPr>
            <w:r>
              <w:rPr>
                <w:i/>
                <w:sz w:val="16"/>
                <w:szCs w:val="24"/>
                <w:lang w:val="es-ES_tradnl"/>
              </w:rPr>
              <w:t>Año</w:t>
            </w:r>
          </w:p>
        </w:tc>
        <w:tc>
          <w:tcPr>
            <w:tcW w:w="2906" w:type="dxa"/>
            <w:tcBorders>
              <w:top w:val="single" w:sz="4" w:space="0" w:color="auto"/>
              <w:bottom w:val="single" w:sz="12" w:space="0" w:color="auto"/>
            </w:tcBorders>
          </w:tcPr>
          <w:p w:rsidR="00F92819" w:rsidRDefault="00F92819">
            <w:pPr>
              <w:spacing w:before="80" w:after="80" w:line="200" w:lineRule="exact"/>
              <w:jc w:val="right"/>
              <w:rPr>
                <w:szCs w:val="24"/>
              </w:rPr>
            </w:pPr>
            <w:r>
              <w:rPr>
                <w:i/>
                <w:sz w:val="16"/>
                <w:szCs w:val="24"/>
                <w:lang w:val="es-ES_tradnl"/>
              </w:rPr>
              <w:t>Barrios occidentales de Jerusalén</w:t>
            </w:r>
          </w:p>
        </w:tc>
        <w:tc>
          <w:tcPr>
            <w:tcW w:w="2904" w:type="dxa"/>
            <w:tcBorders>
              <w:top w:val="single" w:sz="4" w:space="0" w:color="auto"/>
              <w:bottom w:val="single" w:sz="12" w:space="0" w:color="auto"/>
            </w:tcBorders>
          </w:tcPr>
          <w:p w:rsidR="00F92819" w:rsidRDefault="00F92819">
            <w:pPr>
              <w:spacing w:before="80" w:after="80" w:line="200" w:lineRule="exact"/>
              <w:jc w:val="right"/>
              <w:rPr>
                <w:szCs w:val="24"/>
              </w:rPr>
            </w:pPr>
            <w:r>
              <w:rPr>
                <w:i/>
                <w:sz w:val="16"/>
                <w:szCs w:val="24"/>
                <w:lang w:val="es-ES_tradnl"/>
              </w:rPr>
              <w:t>Barrios orientales de Jerusalén</w:t>
            </w:r>
          </w:p>
        </w:tc>
      </w:tr>
      <w:tr w:rsidR="00F92819">
        <w:tc>
          <w:tcPr>
            <w:tcW w:w="1561" w:type="dxa"/>
            <w:tcBorders>
              <w:top w:val="single" w:sz="12" w:space="0" w:color="auto"/>
            </w:tcBorders>
            <w:vAlign w:val="center"/>
          </w:tcPr>
          <w:p w:rsidR="00F92819" w:rsidRDefault="00F92819">
            <w:pPr>
              <w:spacing w:before="40" w:after="40" w:line="220" w:lineRule="exact"/>
              <w:rPr>
                <w:sz w:val="18"/>
                <w:szCs w:val="24"/>
              </w:rPr>
            </w:pPr>
            <w:r>
              <w:rPr>
                <w:sz w:val="18"/>
                <w:szCs w:val="24"/>
              </w:rPr>
              <w:t>2007</w:t>
            </w:r>
          </w:p>
        </w:tc>
        <w:tc>
          <w:tcPr>
            <w:tcW w:w="2906" w:type="dxa"/>
            <w:tcBorders>
              <w:top w:val="single" w:sz="12" w:space="0" w:color="auto"/>
            </w:tcBorders>
            <w:vAlign w:val="center"/>
          </w:tcPr>
          <w:p w:rsidR="00F92819" w:rsidRDefault="00F92819">
            <w:pPr>
              <w:spacing w:before="40" w:after="40" w:line="220" w:lineRule="exact"/>
              <w:jc w:val="right"/>
              <w:rPr>
                <w:sz w:val="18"/>
                <w:szCs w:val="24"/>
              </w:rPr>
            </w:pPr>
            <w:r>
              <w:rPr>
                <w:sz w:val="18"/>
                <w:szCs w:val="24"/>
              </w:rPr>
              <w:t>992</w:t>
            </w:r>
          </w:p>
        </w:tc>
        <w:tc>
          <w:tcPr>
            <w:tcW w:w="2904" w:type="dxa"/>
            <w:tcBorders>
              <w:top w:val="single" w:sz="12" w:space="0" w:color="auto"/>
            </w:tcBorders>
            <w:vAlign w:val="center"/>
          </w:tcPr>
          <w:p w:rsidR="00F92819" w:rsidRDefault="00F92819">
            <w:pPr>
              <w:spacing w:before="40" w:after="40" w:line="220" w:lineRule="exact"/>
              <w:jc w:val="right"/>
              <w:rPr>
                <w:sz w:val="18"/>
                <w:szCs w:val="24"/>
              </w:rPr>
            </w:pPr>
            <w:r>
              <w:rPr>
                <w:sz w:val="18"/>
                <w:szCs w:val="24"/>
              </w:rPr>
              <w:t>1 081</w:t>
            </w:r>
          </w:p>
        </w:tc>
      </w:tr>
      <w:tr w:rsidR="00F92819">
        <w:tc>
          <w:tcPr>
            <w:tcW w:w="1561" w:type="dxa"/>
            <w:vAlign w:val="center"/>
          </w:tcPr>
          <w:p w:rsidR="00F92819" w:rsidRDefault="00F92819">
            <w:pPr>
              <w:spacing w:before="40" w:after="40" w:line="220" w:lineRule="exact"/>
              <w:rPr>
                <w:sz w:val="18"/>
                <w:szCs w:val="24"/>
              </w:rPr>
            </w:pPr>
            <w:r>
              <w:rPr>
                <w:sz w:val="18"/>
                <w:szCs w:val="24"/>
              </w:rPr>
              <w:t>2006</w:t>
            </w:r>
          </w:p>
        </w:tc>
        <w:tc>
          <w:tcPr>
            <w:tcW w:w="2906" w:type="dxa"/>
            <w:vAlign w:val="center"/>
          </w:tcPr>
          <w:p w:rsidR="00F92819" w:rsidRDefault="00F92819">
            <w:pPr>
              <w:spacing w:before="40" w:after="40" w:line="220" w:lineRule="exact"/>
              <w:jc w:val="right"/>
              <w:rPr>
                <w:sz w:val="18"/>
                <w:szCs w:val="24"/>
              </w:rPr>
            </w:pPr>
            <w:r>
              <w:rPr>
                <w:sz w:val="18"/>
                <w:szCs w:val="24"/>
              </w:rPr>
              <w:t>1 241</w:t>
            </w:r>
          </w:p>
        </w:tc>
        <w:tc>
          <w:tcPr>
            <w:tcW w:w="2904" w:type="dxa"/>
            <w:vAlign w:val="center"/>
          </w:tcPr>
          <w:p w:rsidR="00F92819" w:rsidRDefault="00F92819">
            <w:pPr>
              <w:spacing w:before="40" w:after="40" w:line="220" w:lineRule="exact"/>
              <w:jc w:val="right"/>
              <w:rPr>
                <w:sz w:val="18"/>
                <w:szCs w:val="24"/>
              </w:rPr>
            </w:pPr>
            <w:r>
              <w:rPr>
                <w:sz w:val="18"/>
                <w:szCs w:val="24"/>
              </w:rPr>
              <w:t>901</w:t>
            </w:r>
          </w:p>
        </w:tc>
      </w:tr>
      <w:tr w:rsidR="00F92819">
        <w:tc>
          <w:tcPr>
            <w:tcW w:w="1561" w:type="dxa"/>
            <w:vAlign w:val="center"/>
          </w:tcPr>
          <w:p w:rsidR="00F92819" w:rsidRDefault="00F92819">
            <w:pPr>
              <w:keepNext/>
              <w:keepLines/>
              <w:spacing w:before="40" w:after="40" w:line="220" w:lineRule="exact"/>
              <w:rPr>
                <w:sz w:val="18"/>
                <w:szCs w:val="24"/>
              </w:rPr>
            </w:pPr>
            <w:r>
              <w:rPr>
                <w:sz w:val="18"/>
                <w:szCs w:val="24"/>
              </w:rPr>
              <w:t>2005</w:t>
            </w:r>
          </w:p>
        </w:tc>
        <w:tc>
          <w:tcPr>
            <w:tcW w:w="2906" w:type="dxa"/>
            <w:vAlign w:val="center"/>
          </w:tcPr>
          <w:p w:rsidR="00F92819" w:rsidRDefault="00F92819">
            <w:pPr>
              <w:keepNext/>
              <w:keepLines/>
              <w:spacing w:before="40" w:after="40" w:line="220" w:lineRule="exact"/>
              <w:jc w:val="right"/>
              <w:rPr>
                <w:sz w:val="18"/>
                <w:szCs w:val="24"/>
              </w:rPr>
            </w:pPr>
            <w:r>
              <w:rPr>
                <w:sz w:val="18"/>
                <w:szCs w:val="24"/>
              </w:rPr>
              <w:t>1 272</w:t>
            </w:r>
          </w:p>
        </w:tc>
        <w:tc>
          <w:tcPr>
            <w:tcW w:w="2904" w:type="dxa"/>
            <w:vAlign w:val="center"/>
          </w:tcPr>
          <w:p w:rsidR="00F92819" w:rsidRDefault="00F92819">
            <w:pPr>
              <w:keepNext/>
              <w:keepLines/>
              <w:spacing w:before="40" w:after="40" w:line="220" w:lineRule="exact"/>
              <w:jc w:val="right"/>
              <w:rPr>
                <w:sz w:val="18"/>
                <w:szCs w:val="24"/>
              </w:rPr>
            </w:pPr>
            <w:r>
              <w:rPr>
                <w:sz w:val="18"/>
                <w:szCs w:val="24"/>
              </w:rPr>
              <w:t>857</w:t>
            </w:r>
          </w:p>
        </w:tc>
      </w:tr>
      <w:tr w:rsidR="00F92819">
        <w:tc>
          <w:tcPr>
            <w:tcW w:w="1561" w:type="dxa"/>
            <w:tcBorders>
              <w:bottom w:val="single" w:sz="12" w:space="0" w:color="auto"/>
            </w:tcBorders>
            <w:vAlign w:val="center"/>
          </w:tcPr>
          <w:p w:rsidR="00F92819" w:rsidRDefault="00F92819">
            <w:pPr>
              <w:keepNext/>
              <w:keepLines/>
              <w:spacing w:before="40" w:after="40" w:line="220" w:lineRule="exact"/>
              <w:rPr>
                <w:sz w:val="18"/>
                <w:szCs w:val="24"/>
              </w:rPr>
            </w:pPr>
            <w:r>
              <w:rPr>
                <w:sz w:val="18"/>
                <w:szCs w:val="24"/>
              </w:rPr>
              <w:t>2004</w:t>
            </w:r>
          </w:p>
        </w:tc>
        <w:tc>
          <w:tcPr>
            <w:tcW w:w="2906" w:type="dxa"/>
            <w:tcBorders>
              <w:bottom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980</w:t>
            </w:r>
          </w:p>
        </w:tc>
        <w:tc>
          <w:tcPr>
            <w:tcW w:w="2904" w:type="dxa"/>
            <w:tcBorders>
              <w:bottom w:val="single" w:sz="12" w:space="0" w:color="auto"/>
            </w:tcBorders>
            <w:vAlign w:val="center"/>
          </w:tcPr>
          <w:p w:rsidR="00F92819" w:rsidRDefault="00F92819">
            <w:pPr>
              <w:keepNext/>
              <w:keepLines/>
              <w:spacing w:before="40" w:after="40" w:line="220" w:lineRule="exact"/>
              <w:jc w:val="right"/>
              <w:rPr>
                <w:sz w:val="18"/>
                <w:szCs w:val="24"/>
              </w:rPr>
            </w:pPr>
            <w:r>
              <w:rPr>
                <w:sz w:val="18"/>
                <w:szCs w:val="24"/>
              </w:rPr>
              <w:t>710</w:t>
            </w:r>
          </w:p>
        </w:tc>
      </w:tr>
    </w:tbl>
    <w:p w:rsidR="00F92819" w:rsidRDefault="00F92819">
      <w:pPr>
        <w:pStyle w:val="SingleTxtG"/>
        <w:keepNext/>
        <w:keepLines/>
        <w:spacing w:before="120"/>
        <w:ind w:firstLine="170"/>
        <w:rPr>
          <w:szCs w:val="24"/>
        </w:rPr>
      </w:pPr>
      <w:r>
        <w:rPr>
          <w:i/>
          <w:sz w:val="18"/>
          <w:szCs w:val="24"/>
          <w:lang w:val="es-ES_tradnl"/>
        </w:rPr>
        <w:t>Fuente:</w:t>
      </w:r>
      <w:r>
        <w:rPr>
          <w:sz w:val="18"/>
          <w:szCs w:val="24"/>
        </w:rPr>
        <w:t xml:space="preserve"> </w:t>
      </w:r>
      <w:r>
        <w:rPr>
          <w:sz w:val="18"/>
          <w:szCs w:val="24"/>
          <w:lang w:val="es-ES_tradnl"/>
        </w:rPr>
        <w:t>Municipalidad de Jerusalén, 2008.</w:t>
      </w:r>
    </w:p>
    <w:p w:rsidR="00F92819" w:rsidRDefault="00F92819">
      <w:pPr>
        <w:pStyle w:val="H4G"/>
        <w:rPr>
          <w:szCs w:val="24"/>
        </w:rPr>
      </w:pPr>
      <w:r>
        <w:rPr>
          <w:szCs w:val="24"/>
        </w:rPr>
        <w:tab/>
      </w:r>
      <w:r>
        <w:rPr>
          <w:szCs w:val="24"/>
        </w:rPr>
        <w:tab/>
      </w:r>
      <w:r>
        <w:rPr>
          <w:szCs w:val="24"/>
          <w:lang w:val="es-ES_tradnl"/>
        </w:rPr>
        <w:t>La población beduina del sur</w:t>
      </w:r>
    </w:p>
    <w:p w:rsidR="00F92819" w:rsidRDefault="00F92819">
      <w:pPr>
        <w:pStyle w:val="SingleTxtG"/>
        <w:rPr>
          <w:szCs w:val="24"/>
        </w:rPr>
      </w:pPr>
      <w:r>
        <w:rPr>
          <w:szCs w:val="24"/>
        </w:rPr>
        <w:t>466.</w:t>
      </w:r>
      <w:r>
        <w:rPr>
          <w:szCs w:val="24"/>
        </w:rPr>
        <w:tab/>
      </w:r>
      <w:r>
        <w:rPr>
          <w:szCs w:val="24"/>
          <w:lang w:val="es-ES_tradnl"/>
        </w:rPr>
        <w:t xml:space="preserve">Actualmente unos 115.000 beduinos (65%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total de la población beduina) viven en centros urbanos y suburbanos que han sido planificados y construidos legalmente.</w:t>
      </w:r>
      <w:r>
        <w:rPr>
          <w:szCs w:val="24"/>
        </w:rPr>
        <w:t xml:space="preserve"> </w:t>
      </w:r>
      <w:r>
        <w:rPr>
          <w:szCs w:val="24"/>
          <w:lang w:val="es-ES_tradnl"/>
        </w:rPr>
        <w:t>Todas las ciudades actuales cuentan con planes aprobados e incluyen infraestructuras como escuelas, dispensarios, agua corriente, electricidad, etc.</w:t>
      </w:r>
    </w:p>
    <w:p w:rsidR="00F92819" w:rsidRDefault="00F92819">
      <w:pPr>
        <w:pStyle w:val="SingleTxtG"/>
        <w:rPr>
          <w:szCs w:val="24"/>
        </w:rPr>
      </w:pPr>
      <w:r>
        <w:rPr>
          <w:szCs w:val="24"/>
        </w:rPr>
        <w:t>467.</w:t>
      </w:r>
      <w:r>
        <w:rPr>
          <w:szCs w:val="24"/>
        </w:rPr>
        <w:tab/>
      </w:r>
      <w:r>
        <w:rPr>
          <w:szCs w:val="24"/>
          <w:lang w:val="es-ES_tradnl"/>
        </w:rPr>
        <w:t>Hay 6 ciudades beduinas suburbanas en el Neguev:</w:t>
      </w:r>
      <w:r>
        <w:rPr>
          <w:szCs w:val="24"/>
        </w:rPr>
        <w:t xml:space="preserve"> </w:t>
      </w:r>
      <w:r>
        <w:rPr>
          <w:szCs w:val="24"/>
          <w:lang w:val="es-ES_tradnl"/>
        </w:rPr>
        <w:t>Laqiya, Hura, Kseife y Arara en el Neguev, Tel-Sheva y Segev Shalom, además de la ciudad de Rahat.</w:t>
      </w:r>
      <w:r>
        <w:rPr>
          <w:szCs w:val="24"/>
        </w:rPr>
        <w:t xml:space="preserve"> </w:t>
      </w:r>
      <w:r>
        <w:rPr>
          <w:szCs w:val="24"/>
          <w:lang w:val="es-ES_tradnl"/>
        </w:rPr>
        <w:t>Las 7 ciudades actuales pueden, de hecho, ofrecer una solución adecuada a las necesidades de la población beduina en función de su crecimiento, pero el Gobierno decidió que a partir de 1999 se establecerían 9 ciudades nuevas para los beduinos.</w:t>
      </w:r>
      <w:r>
        <w:rPr>
          <w:szCs w:val="24"/>
        </w:rPr>
        <w:t xml:space="preserve"> </w:t>
      </w:r>
      <w:r>
        <w:rPr>
          <w:szCs w:val="24"/>
          <w:lang w:val="es-ES_tradnl"/>
        </w:rPr>
        <w:t>Esta decisión obedeció a la voluntad de complacer a la población beduina y en atención a sus necesidades especiales, entre ellas el deseo de asentarse según una disposición por tribus.</w:t>
      </w:r>
    </w:p>
    <w:p w:rsidR="00F92819" w:rsidRDefault="00F92819">
      <w:pPr>
        <w:pStyle w:val="SingleTxtG"/>
        <w:rPr>
          <w:szCs w:val="24"/>
        </w:rPr>
      </w:pPr>
      <w:r>
        <w:rPr>
          <w:szCs w:val="24"/>
        </w:rPr>
        <w:t>468.</w:t>
      </w:r>
      <w:r>
        <w:rPr>
          <w:szCs w:val="24"/>
        </w:rPr>
        <w:tab/>
      </w:r>
      <w:r>
        <w:rPr>
          <w:szCs w:val="24"/>
          <w:lang w:val="es-ES_tradnl"/>
        </w:rPr>
        <w:t>En consecuencia, se han planeado 9 ciudades nuevas.</w:t>
      </w:r>
      <w:r>
        <w:rPr>
          <w:szCs w:val="24"/>
        </w:rPr>
        <w:t xml:space="preserve"> </w:t>
      </w:r>
      <w:r>
        <w:rPr>
          <w:szCs w:val="24"/>
          <w:lang w:val="es-ES_tradnl"/>
        </w:rPr>
        <w:t>De éstas, Tarabin se está poblando y ya se han construido 100 casas; Abu Krinat y Bir Hadaj están en construcción; y Kasar A-Sir, Marit (Makhol), Darjat, Um Batin, Mulada y El Seid están todas en proceso de planificación.</w:t>
      </w:r>
      <w:r>
        <w:rPr>
          <w:szCs w:val="24"/>
        </w:rPr>
        <w:t xml:space="preserve"> </w:t>
      </w:r>
      <w:r>
        <w:rPr>
          <w:szCs w:val="24"/>
          <w:lang w:val="es-ES_tradnl"/>
        </w:rPr>
        <w:t>Otras 3 ciudades están en trámites de aprobación legal:</w:t>
      </w:r>
      <w:r>
        <w:rPr>
          <w:szCs w:val="24"/>
        </w:rPr>
        <w:t xml:space="preserve"> </w:t>
      </w:r>
      <w:r>
        <w:rPr>
          <w:szCs w:val="24"/>
          <w:lang w:val="es-ES_tradnl"/>
        </w:rPr>
        <w:t>Ovdat, Abu Tlul, y El-Foraa.</w:t>
      </w:r>
      <w:r>
        <w:rPr>
          <w:szCs w:val="24"/>
        </w:rPr>
        <w:t xml:space="preserve"> </w:t>
      </w:r>
      <w:r>
        <w:rPr>
          <w:szCs w:val="24"/>
          <w:lang w:val="es-ES_tradnl"/>
        </w:rPr>
        <w:t>Para 9 de las nuevas ciudades se creó una municipalidad regional</w:t>
      </w:r>
      <w:r>
        <w:rPr>
          <w:szCs w:val="24"/>
        </w:rPr>
        <w:t xml:space="preserve"> </w:t>
      </w:r>
      <w:r>
        <w:rPr>
          <w:szCs w:val="24"/>
          <w:lang w:val="es-ES_tradnl"/>
        </w:rPr>
        <w:t>llamada “Abu Basma” y oficialmente establecida el 3 de febrero de 2004.</w:t>
      </w:r>
    </w:p>
    <w:p w:rsidR="00F92819" w:rsidRDefault="00F92819">
      <w:pPr>
        <w:pStyle w:val="SingleTxtG"/>
        <w:rPr>
          <w:szCs w:val="24"/>
        </w:rPr>
      </w:pPr>
      <w:r>
        <w:rPr>
          <w:szCs w:val="24"/>
        </w:rPr>
        <w:t>469.</w:t>
      </w:r>
      <w:r>
        <w:rPr>
          <w:szCs w:val="24"/>
        </w:rPr>
        <w:tab/>
      </w:r>
      <w:r>
        <w:rPr>
          <w:szCs w:val="24"/>
          <w:lang w:val="es-ES_tradnl"/>
        </w:rPr>
        <w:t xml:space="preserve">Desde su fundación la municipalidad regional Abu Basma dedicó considerables esfuerzos a mejorar las infraestructuras de su jurisdicción,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vías públicas, saneamiento y abastecimiento de agua.</w:t>
      </w:r>
      <w:r>
        <w:rPr>
          <w:szCs w:val="24"/>
        </w:rPr>
        <w:t xml:space="preserve"> </w:t>
      </w:r>
      <w:r>
        <w:rPr>
          <w:szCs w:val="24"/>
          <w:lang w:val="es-ES_tradnl"/>
        </w:rPr>
        <w:t>El consejo regional también promovió la construcción de centros de enseñanza, centros comunitarios, centros de esparcimiento y otras instalaciones de prestación de servicios.</w:t>
      </w:r>
      <w:r>
        <w:rPr>
          <w:szCs w:val="24"/>
        </w:rPr>
        <w:t xml:space="preserve"> </w:t>
      </w:r>
      <w:r>
        <w:rPr>
          <w:szCs w:val="24"/>
          <w:lang w:val="es-ES_tradnl"/>
        </w:rPr>
        <w:t>El Consejo Regional Abu-Basma también pone en marcha proyectos en áreas de enseñanza, bienestar social y empleo.</w:t>
      </w:r>
    </w:p>
    <w:p w:rsidR="00F92819" w:rsidRDefault="00F92819">
      <w:pPr>
        <w:pStyle w:val="SingleTxtG"/>
        <w:rPr>
          <w:szCs w:val="24"/>
        </w:rPr>
      </w:pPr>
      <w:r>
        <w:rPr>
          <w:szCs w:val="24"/>
        </w:rPr>
        <w:t>470.</w:t>
      </w:r>
      <w:r>
        <w:rPr>
          <w:szCs w:val="24"/>
        </w:rPr>
        <w:tab/>
      </w:r>
      <w:r>
        <w:rPr>
          <w:szCs w:val="24"/>
          <w:lang w:val="es-ES_tradnl"/>
        </w:rPr>
        <w:t>En dos resoluciones adoptadas en 2003 (abril y septiembre) el Gobierno creó un plan integral para los beduinos, con inversiones de 1.100 millones de nuevos sheqalim (297.297.297 dólares de los EE.UU.) en la mejora de infraestructuras y la fundación de instituciones públicas en los próximos seis años.</w:t>
      </w:r>
    </w:p>
    <w:p w:rsidR="00F92819" w:rsidRDefault="00F92819">
      <w:pPr>
        <w:pStyle w:val="SingleTxtG"/>
        <w:rPr>
          <w:szCs w:val="24"/>
        </w:rPr>
      </w:pPr>
      <w:r>
        <w:rPr>
          <w:szCs w:val="24"/>
        </w:rPr>
        <w:t>471.</w:t>
      </w:r>
      <w:r>
        <w:rPr>
          <w:szCs w:val="24"/>
        </w:rPr>
        <w:tab/>
      </w:r>
      <w:r>
        <w:rPr>
          <w:szCs w:val="24"/>
          <w:lang w:val="es-ES_tradnl"/>
        </w:rPr>
        <w:t>A raíz de la experiencia adquirida en comités de planificación anteriores, las autoridades planificadoras cumplieron esta tarea en consulta constante con representantes beduinos que aportaron</w:t>
      </w:r>
      <w:r>
        <w:rPr>
          <w:b/>
          <w:szCs w:val="24"/>
          <w:lang w:val="es-ES_tradnl"/>
        </w:rPr>
        <w:t xml:space="preserve"> </w:t>
      </w:r>
      <w:r>
        <w:rPr>
          <w:szCs w:val="24"/>
          <w:lang w:val="es-ES_tradnl"/>
        </w:rPr>
        <w:t>su visión sobre el carácter deseado de cada pueblo, según que la ciudad se destinara a una población agraria con necesidades especiales de zonas para rebaños o se planificara para un grupo que requiere una separación estricta entre las diversas tribus o que la ciudad se destinara a una población que tiene un carácter más urbano.</w:t>
      </w:r>
    </w:p>
    <w:p w:rsidR="00F92819" w:rsidRDefault="00F92819">
      <w:pPr>
        <w:pStyle w:val="SingleTxtG"/>
        <w:rPr>
          <w:szCs w:val="24"/>
        </w:rPr>
      </w:pPr>
      <w:r>
        <w:rPr>
          <w:szCs w:val="24"/>
        </w:rPr>
        <w:t>472.</w:t>
      </w:r>
      <w:r>
        <w:rPr>
          <w:szCs w:val="24"/>
        </w:rPr>
        <w:tab/>
      </w:r>
      <w:r>
        <w:rPr>
          <w:szCs w:val="24"/>
          <w:lang w:val="es-ES_tradnl"/>
        </w:rPr>
        <w:t>El 15 de julio de 2007 el Gobierno adoptó la siguiente resolución sobre la creación de una nueva Dirección en el Ministerio de Construcción y Vivienda dedicada completamente al desarrollo para la población beduina, incluidas la ampliación de las ciudades y la provisión</w:t>
      </w:r>
      <w:r>
        <w:rPr>
          <w:b/>
          <w:szCs w:val="24"/>
          <w:lang w:val="es-ES_tradnl"/>
        </w:rPr>
        <w:t xml:space="preserve"> </w:t>
      </w:r>
      <w:r>
        <w:rPr>
          <w:szCs w:val="24"/>
          <w:lang w:val="es-ES_tradnl"/>
        </w:rPr>
        <w:t>de soluciones de vivienda para todos los beduinos,</w:t>
      </w:r>
      <w:r>
        <w:rPr>
          <w:szCs w:val="24"/>
        </w:rPr>
        <w:t xml:space="preserve"> </w:t>
      </w:r>
      <w:r>
        <w:rPr>
          <w:szCs w:val="24"/>
          <w:lang w:val="es-ES_tradnl"/>
        </w:rPr>
        <w:t>con el siguiente texto:</w:t>
      </w:r>
    </w:p>
    <w:p w:rsidR="00F92819" w:rsidRDefault="00F92819">
      <w:pPr>
        <w:pStyle w:val="SingleTxtG"/>
        <w:rPr>
          <w:szCs w:val="24"/>
        </w:rPr>
      </w:pPr>
      <w:r>
        <w:rPr>
          <w:szCs w:val="24"/>
          <w:lang w:val="es-ES_tradnl"/>
        </w:rPr>
        <w:t>“D.</w:t>
      </w:r>
      <w:r>
        <w:rPr>
          <w:szCs w:val="24"/>
        </w:rPr>
        <w:tab/>
      </w:r>
      <w:r>
        <w:rPr>
          <w:szCs w:val="24"/>
          <w:lang w:val="es-ES_tradnl"/>
        </w:rPr>
        <w:t>El Gobierno ha decidido crear, en el Ministerio de Construcción y Vivienda, la Dirección para la Reglamentación de la Residencia de Beduinos en el Neguev, cuyo objeto, funciones y estructura organizativa son los siguientes:</w:t>
      </w:r>
    </w:p>
    <w:p w:rsidR="00F92819" w:rsidRDefault="00F92819">
      <w:pPr>
        <w:pStyle w:val="Bullet1G"/>
        <w:suppressAutoHyphens/>
        <w:rPr>
          <w:szCs w:val="24"/>
        </w:rPr>
      </w:pPr>
      <w:r>
        <w:rPr>
          <w:szCs w:val="24"/>
          <w:lang w:val="es-ES_tradnl"/>
        </w:rPr>
        <w:t>El cuidado de la residencia beduina en el Neguev, que incluye:</w:t>
      </w:r>
    </w:p>
    <w:p w:rsidR="00F92819" w:rsidRDefault="00F92819">
      <w:pPr>
        <w:pStyle w:val="Bullet2G"/>
        <w:numPr>
          <w:ilvl w:val="0"/>
          <w:numId w:val="17"/>
        </w:numPr>
        <w:suppressAutoHyphens/>
        <w:rPr>
          <w:szCs w:val="24"/>
        </w:rPr>
      </w:pPr>
      <w:r>
        <w:rPr>
          <w:szCs w:val="24"/>
        </w:rPr>
        <w:tab/>
      </w:r>
      <w:r>
        <w:rPr>
          <w:szCs w:val="24"/>
          <w:lang w:val="es-ES_tradnl"/>
        </w:rPr>
        <w:t>Determinar las reclamaciones de derechos de propiedad de la tierra;</w:t>
      </w:r>
    </w:p>
    <w:p w:rsidR="00F92819" w:rsidRDefault="00F92819">
      <w:pPr>
        <w:pStyle w:val="Bullet2G"/>
        <w:numPr>
          <w:ilvl w:val="0"/>
          <w:numId w:val="17"/>
        </w:numPr>
        <w:suppressAutoHyphens/>
        <w:rPr>
          <w:szCs w:val="24"/>
        </w:rPr>
      </w:pPr>
      <w:r>
        <w:rPr>
          <w:szCs w:val="24"/>
          <w:lang w:val="es-ES_tradnl"/>
        </w:rPr>
        <w:t>La organización de residencias permanentes, incluidas la infraestructura y los servicios públicos, tanto en los centros urbanos existentes como en los nuevos;</w:t>
      </w:r>
    </w:p>
    <w:p w:rsidR="00F92819" w:rsidRDefault="00F92819">
      <w:pPr>
        <w:pStyle w:val="Bullet2G"/>
        <w:numPr>
          <w:ilvl w:val="0"/>
          <w:numId w:val="17"/>
        </w:numPr>
        <w:suppressAutoHyphens/>
        <w:rPr>
          <w:szCs w:val="24"/>
        </w:rPr>
      </w:pPr>
      <w:r>
        <w:rPr>
          <w:szCs w:val="24"/>
        </w:rPr>
        <w:tab/>
      </w:r>
      <w:r>
        <w:rPr>
          <w:szCs w:val="24"/>
          <w:lang w:val="es-ES_tradnl"/>
        </w:rPr>
        <w:t>La ayuda para la obtención de empleo;</w:t>
      </w:r>
    </w:p>
    <w:p w:rsidR="00F92819" w:rsidRDefault="00F92819">
      <w:pPr>
        <w:pStyle w:val="Bullet2G"/>
        <w:numPr>
          <w:ilvl w:val="0"/>
          <w:numId w:val="17"/>
        </w:numPr>
        <w:suppressAutoHyphens/>
        <w:rPr>
          <w:szCs w:val="24"/>
        </w:rPr>
      </w:pPr>
      <w:r>
        <w:rPr>
          <w:szCs w:val="24"/>
        </w:rPr>
        <w:tab/>
      </w:r>
      <w:r>
        <w:rPr>
          <w:szCs w:val="24"/>
          <w:lang w:val="es-ES_tradnl"/>
        </w:rPr>
        <w:t>La coordinación de los servicios educativos, sociales y comunitarios.</w:t>
      </w:r>
    </w:p>
    <w:p w:rsidR="00F92819" w:rsidRDefault="00F92819">
      <w:pPr>
        <w:pStyle w:val="Bullet1G"/>
        <w:suppressAutoHyphens/>
        <w:rPr>
          <w:szCs w:val="24"/>
        </w:rPr>
      </w:pPr>
      <w:r>
        <w:rPr>
          <w:szCs w:val="24"/>
          <w:lang w:val="es-ES_tradnl"/>
        </w:rPr>
        <w:t>Funciones y facultades principales del organismo:</w:t>
      </w:r>
    </w:p>
    <w:p w:rsidR="00F92819" w:rsidRDefault="00F92819">
      <w:pPr>
        <w:pStyle w:val="SingleTxtG"/>
        <w:ind w:left="1701"/>
        <w:rPr>
          <w:szCs w:val="24"/>
        </w:rPr>
      </w:pPr>
      <w:r>
        <w:rPr>
          <w:szCs w:val="24"/>
        </w:rPr>
        <w:t>1.</w:t>
      </w:r>
      <w:r>
        <w:rPr>
          <w:szCs w:val="24"/>
        </w:rPr>
        <w:tab/>
      </w:r>
      <w:r>
        <w:rPr>
          <w:szCs w:val="24"/>
          <w:lang w:val="es-ES_tradnl"/>
        </w:rPr>
        <w:t>Reunir información sobre la situación actual de la población, ya se trate de la población dispersa o de la que habita en los centros urbanos actuales, incluidas las demandas de propiedad.</w:t>
      </w:r>
    </w:p>
    <w:p w:rsidR="00F92819" w:rsidRDefault="00F92819">
      <w:pPr>
        <w:pStyle w:val="SingleTxtG"/>
        <w:ind w:left="1701"/>
        <w:rPr>
          <w:szCs w:val="24"/>
        </w:rPr>
      </w:pPr>
      <w:r>
        <w:rPr>
          <w:szCs w:val="24"/>
        </w:rPr>
        <w:t>2.</w:t>
      </w:r>
      <w:r>
        <w:rPr>
          <w:szCs w:val="24"/>
        </w:rPr>
        <w:tab/>
      </w:r>
      <w:r>
        <w:rPr>
          <w:szCs w:val="24"/>
          <w:lang w:val="es-ES_tradnl"/>
        </w:rPr>
        <w:t>Iniciar y ejecutar los acuerdos de ordenación de la tierra.</w:t>
      </w:r>
    </w:p>
    <w:p w:rsidR="00F92819" w:rsidRDefault="00F92819">
      <w:pPr>
        <w:pStyle w:val="SingleTxtG"/>
        <w:ind w:left="1701"/>
        <w:rPr>
          <w:szCs w:val="24"/>
        </w:rPr>
      </w:pPr>
      <w:r>
        <w:rPr>
          <w:szCs w:val="24"/>
        </w:rPr>
        <w:t>3.</w:t>
      </w:r>
      <w:r>
        <w:rPr>
          <w:szCs w:val="24"/>
        </w:rPr>
        <w:tab/>
      </w:r>
      <w:r>
        <w:rPr>
          <w:szCs w:val="24"/>
          <w:lang w:val="es-ES_tradnl"/>
        </w:rPr>
        <w:t>Iniciar la planificación reglamentaria, en coordinación con la Administración de planificación del Ministerio del Interior, de soluciones idóneas en materia de residencia, en particular soluciones que contemplen las características del grupo, la reciprocidad social, las posibles ubicaciones, etc.</w:t>
      </w:r>
    </w:p>
    <w:p w:rsidR="00F92819" w:rsidRDefault="00F92819">
      <w:pPr>
        <w:pStyle w:val="SingleTxtG"/>
        <w:ind w:left="1701"/>
        <w:rPr>
          <w:szCs w:val="24"/>
        </w:rPr>
      </w:pPr>
      <w:r>
        <w:rPr>
          <w:szCs w:val="24"/>
        </w:rPr>
        <w:t>4.</w:t>
      </w:r>
      <w:r>
        <w:rPr>
          <w:szCs w:val="24"/>
        </w:rPr>
        <w:tab/>
      </w:r>
      <w:r>
        <w:rPr>
          <w:szCs w:val="24"/>
          <w:lang w:val="es-ES_tradnl"/>
        </w:rPr>
        <w:t>Promover la planificación y el desarrollo de infraestructuras locales y regionales a fin de hallar soluciones permanentes.</w:t>
      </w:r>
    </w:p>
    <w:p w:rsidR="00F92819" w:rsidRDefault="00F92819">
      <w:pPr>
        <w:pStyle w:val="SingleTxtG"/>
        <w:ind w:left="1701"/>
        <w:rPr>
          <w:szCs w:val="24"/>
        </w:rPr>
      </w:pPr>
      <w:r>
        <w:rPr>
          <w:szCs w:val="24"/>
        </w:rPr>
        <w:t>5.</w:t>
      </w:r>
      <w:r>
        <w:rPr>
          <w:szCs w:val="24"/>
        </w:rPr>
        <w:tab/>
      </w:r>
      <w:r>
        <w:rPr>
          <w:szCs w:val="24"/>
          <w:lang w:val="es-ES_tradnl"/>
        </w:rPr>
        <w:t>Acompañar a la población en todas las fases de la residencia.</w:t>
      </w:r>
    </w:p>
    <w:p w:rsidR="00F92819" w:rsidRDefault="00F92819">
      <w:pPr>
        <w:pStyle w:val="SingleTxtG"/>
        <w:ind w:left="1701"/>
        <w:rPr>
          <w:szCs w:val="24"/>
        </w:rPr>
      </w:pPr>
      <w:r>
        <w:rPr>
          <w:szCs w:val="24"/>
        </w:rPr>
        <w:t>6.</w:t>
      </w:r>
      <w:r>
        <w:rPr>
          <w:szCs w:val="24"/>
        </w:rPr>
        <w:tab/>
      </w:r>
      <w:r>
        <w:rPr>
          <w:szCs w:val="24"/>
          <w:lang w:val="es-ES_tradnl"/>
        </w:rPr>
        <w:t>Hacer recomendaciones sobre la cuestión de las prioridades de aplicación.</w:t>
      </w:r>
    </w:p>
    <w:p w:rsidR="00F92819" w:rsidRDefault="00F92819">
      <w:pPr>
        <w:pStyle w:val="SingleTxtG"/>
        <w:ind w:left="1701"/>
        <w:rPr>
          <w:szCs w:val="24"/>
        </w:rPr>
      </w:pPr>
      <w:r>
        <w:rPr>
          <w:szCs w:val="24"/>
        </w:rPr>
        <w:t>7.</w:t>
      </w:r>
      <w:r>
        <w:rPr>
          <w:szCs w:val="24"/>
        </w:rPr>
        <w:tab/>
      </w:r>
      <w:r>
        <w:rPr>
          <w:szCs w:val="24"/>
          <w:lang w:val="es-ES_tradnl"/>
        </w:rPr>
        <w:t>Coordinar y sincronizar las diferentes autoridades, mientras se acompaña, sigue y supervisa la ejecución de las decisiones tomadas por ellas.</w:t>
      </w:r>
    </w:p>
    <w:p w:rsidR="00F92819" w:rsidRDefault="00F92819">
      <w:pPr>
        <w:pStyle w:val="SingleTxtG"/>
        <w:ind w:left="1701"/>
        <w:rPr>
          <w:szCs w:val="24"/>
        </w:rPr>
      </w:pPr>
      <w:r>
        <w:rPr>
          <w:szCs w:val="24"/>
        </w:rPr>
        <w:t>8.</w:t>
      </w:r>
      <w:r>
        <w:rPr>
          <w:szCs w:val="24"/>
        </w:rPr>
        <w:tab/>
      </w:r>
      <w:r>
        <w:rPr>
          <w:szCs w:val="24"/>
          <w:lang w:val="es-ES_tradnl"/>
        </w:rPr>
        <w:t>Las mencionadas funciones de la Dirección no menoscabarán las facultades de los diversos ministerios gubernamentales ni las de las autoridades locales conforme a la ley.</w:t>
      </w:r>
    </w:p>
    <w:p w:rsidR="00F92819" w:rsidRDefault="00F92819">
      <w:pPr>
        <w:pStyle w:val="Bullet1G"/>
        <w:suppressAutoHyphens/>
        <w:rPr>
          <w:szCs w:val="24"/>
        </w:rPr>
      </w:pPr>
      <w:r>
        <w:rPr>
          <w:szCs w:val="24"/>
          <w:lang w:val="es-ES_tradnl"/>
        </w:rPr>
        <w:t>La estructura orgánica propuesta del organismo tiene por objeto permitir la consecución efectiva de todos sus objetivos y funciones, como se describe a continuación:</w:t>
      </w:r>
    </w:p>
    <w:p w:rsidR="00F92819" w:rsidRDefault="00F92819">
      <w:pPr>
        <w:pStyle w:val="SingleTxtG"/>
        <w:ind w:left="1701"/>
        <w:rPr>
          <w:szCs w:val="24"/>
        </w:rPr>
      </w:pPr>
      <w:r>
        <w:rPr>
          <w:szCs w:val="24"/>
        </w:rPr>
        <w:t>1.</w:t>
      </w:r>
      <w:r>
        <w:rPr>
          <w:szCs w:val="24"/>
        </w:rPr>
        <w:tab/>
      </w:r>
      <w:r>
        <w:rPr>
          <w:szCs w:val="24"/>
          <w:lang w:val="es-ES_tradnl"/>
        </w:rPr>
        <w:t>El organismo actuará en el marco del Ministerio de Construcción y Vivienda.</w:t>
      </w:r>
    </w:p>
    <w:p w:rsidR="00F92819" w:rsidRDefault="00F92819">
      <w:pPr>
        <w:pStyle w:val="SingleTxtG"/>
        <w:ind w:left="1701"/>
        <w:rPr>
          <w:szCs w:val="24"/>
        </w:rPr>
      </w:pPr>
      <w:r>
        <w:rPr>
          <w:szCs w:val="24"/>
        </w:rPr>
        <w:t>2.</w:t>
      </w:r>
      <w:r>
        <w:rPr>
          <w:szCs w:val="24"/>
        </w:rPr>
        <w:tab/>
      </w:r>
      <w:r>
        <w:rPr>
          <w:szCs w:val="24"/>
          <w:lang w:val="es-ES_tradnl"/>
        </w:rPr>
        <w:t xml:space="preserve">Se establecerá junto a la Dirección un comité directivo interministerial, cuya función será examinar los obstáculos a la provisión de residencia y a la consecución de los objetivos de </w:t>
      </w:r>
      <w:smartTag w:uri="urn:schemas-microsoft-com:office:smarttags" w:element="PersonName">
        <w:smartTagPr>
          <w:attr w:name="ProductID" w:val="la Direcci￳n. El"/>
        </w:smartTagPr>
        <w:r>
          <w:rPr>
            <w:szCs w:val="24"/>
            <w:lang w:val="es-ES_tradnl"/>
          </w:rPr>
          <w:t>la Dirección.</w:t>
        </w:r>
        <w:r>
          <w:rPr>
            <w:szCs w:val="24"/>
          </w:rPr>
          <w:t xml:space="preserve"> </w:t>
        </w:r>
        <w:r>
          <w:rPr>
            <w:szCs w:val="24"/>
            <w:lang w:val="es-ES_tradnl"/>
          </w:rPr>
          <w:t>El</w:t>
        </w:r>
      </w:smartTag>
      <w:r>
        <w:rPr>
          <w:szCs w:val="24"/>
          <w:lang w:val="es-ES_tradnl"/>
        </w:rPr>
        <w:t xml:space="preserve"> comité directivo estará encabezado por el Director General del Ministerio de Construcción y Vivienda.</w:t>
      </w:r>
    </w:p>
    <w:p w:rsidR="00F92819" w:rsidRDefault="00F92819">
      <w:pPr>
        <w:pStyle w:val="SingleTxtG"/>
        <w:ind w:left="1701"/>
        <w:rPr>
          <w:szCs w:val="24"/>
        </w:rPr>
      </w:pPr>
      <w:r>
        <w:rPr>
          <w:szCs w:val="24"/>
        </w:rPr>
        <w:t>3.</w:t>
      </w:r>
      <w:r>
        <w:rPr>
          <w:szCs w:val="24"/>
        </w:rPr>
        <w:tab/>
      </w:r>
      <w:r>
        <w:rPr>
          <w:szCs w:val="24"/>
          <w:lang w:val="es-ES_tradnl"/>
        </w:rPr>
        <w:t xml:space="preserve">La Dirección nombrará un consejo, cuyas funciones serán trazar la línea de acción de la Dirección y asesorar al Director General de la Dirección en todo lo relacionado con la ejecución de la política de </w:t>
      </w:r>
      <w:smartTag w:uri="urn:schemas-microsoft-com:office:smarttags" w:element="PersonName">
        <w:smartTagPr>
          <w:attr w:name="ProductID" w:val="la Direcci￳n. El"/>
        </w:smartTagPr>
        <w:r>
          <w:rPr>
            <w:szCs w:val="24"/>
            <w:lang w:val="es-ES_tradnl"/>
          </w:rPr>
          <w:t>la Dirección.</w:t>
        </w:r>
        <w:r>
          <w:rPr>
            <w:szCs w:val="24"/>
          </w:rPr>
          <w:t xml:space="preserve"> </w:t>
        </w:r>
        <w:r>
          <w:rPr>
            <w:szCs w:val="24"/>
            <w:lang w:val="es-ES_tradnl"/>
          </w:rPr>
          <w:t>El</w:t>
        </w:r>
      </w:smartTag>
      <w:r>
        <w:rPr>
          <w:szCs w:val="24"/>
          <w:lang w:val="es-ES_tradnl"/>
        </w:rPr>
        <w:t xml:space="preserve"> consejo estará compuesto de 21 miembros, entre ellos los siguientes:</w:t>
      </w:r>
      <w:r>
        <w:rPr>
          <w:szCs w:val="24"/>
        </w:rPr>
        <w:t xml:space="preserve"> </w:t>
      </w:r>
      <w:r>
        <w:rPr>
          <w:szCs w:val="24"/>
          <w:lang w:val="es-ES_tradnl"/>
        </w:rPr>
        <w:t>14 representantes gubernamentales pertinentes (Construcción y Vivienda, presidente; Hacienda; Justicia; Educación; Interior; Industria, Comercio y Trabajo; Salud; Asuntos Sociales y Servicios Sociales; Turismo; Neguev; Galilea; Seguridad Pública; Agricultura y Desarrollo Rural; Protección del Medio Ambiente; y Transporte y Seguridad Vial) y siete representantes públicos que nombrará el Ministro de Construcción y Vivienda.</w:t>
      </w:r>
      <w:r>
        <w:rPr>
          <w:szCs w:val="24"/>
        </w:rPr>
        <w:t xml:space="preserve"> </w:t>
      </w:r>
      <w:r>
        <w:rPr>
          <w:szCs w:val="24"/>
          <w:lang w:val="es-ES_tradnl"/>
        </w:rPr>
        <w:t>De estos siete, cuatro representarán a los beduinos del Neguev que no tienen reclamaciones de derechos de propiedad sobre tierras.</w:t>
      </w:r>
    </w:p>
    <w:p w:rsidR="00F92819" w:rsidRDefault="00F92819">
      <w:pPr>
        <w:pStyle w:val="SingleTxtG"/>
        <w:ind w:left="1701"/>
        <w:rPr>
          <w:szCs w:val="24"/>
        </w:rPr>
      </w:pPr>
      <w:r>
        <w:rPr>
          <w:szCs w:val="24"/>
        </w:rPr>
        <w:t>4.</w:t>
      </w:r>
      <w:r>
        <w:rPr>
          <w:szCs w:val="24"/>
        </w:rPr>
        <w:tab/>
      </w:r>
      <w:r>
        <w:rPr>
          <w:szCs w:val="24"/>
          <w:lang w:val="es-ES_tradnl"/>
        </w:rPr>
        <w:t xml:space="preserve">La responsabilidad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funcionamiento de la Dirección estará en manos de su Director General.</w:t>
      </w:r>
      <w:r>
        <w:rPr>
          <w:szCs w:val="24"/>
        </w:rPr>
        <w:t xml:space="preserve"> </w:t>
      </w:r>
      <w:r>
        <w:rPr>
          <w:szCs w:val="24"/>
          <w:lang w:val="es-ES_tradnl"/>
        </w:rPr>
        <w:t>Bajo su autoridad trabajarán diversas secciones cuyas esferas de competencia serán, entre otras: transacciones de tierras; programas y residencia; planificación, desarrollo y construcción; comunidad; asesoramiento jurídico; finanzas y logística; e investigación, propaganda y documentación.</w:t>
      </w:r>
      <w:r>
        <w:rPr>
          <w:szCs w:val="24"/>
        </w:rPr>
        <w:t xml:space="preserve"> </w:t>
      </w:r>
      <w:r>
        <w:rPr>
          <w:szCs w:val="24"/>
          <w:lang w:val="es-ES_tradnl"/>
        </w:rPr>
        <w:t>La sección de transacciones de tierras estará, por ley, bajo la autoridad de la Administración de Tierras de Israel.</w:t>
      </w:r>
    </w:p>
    <w:p w:rsidR="00F92819" w:rsidRDefault="00F92819">
      <w:pPr>
        <w:pStyle w:val="SingleTxtG"/>
        <w:ind w:left="1701"/>
        <w:rPr>
          <w:szCs w:val="24"/>
        </w:rPr>
      </w:pPr>
      <w:r>
        <w:rPr>
          <w:szCs w:val="24"/>
        </w:rPr>
        <w:t>5.</w:t>
      </w:r>
      <w:r>
        <w:rPr>
          <w:szCs w:val="24"/>
        </w:rPr>
        <w:tab/>
      </w:r>
      <w:r>
        <w:rPr>
          <w:szCs w:val="24"/>
          <w:lang w:val="es-ES_tradnl"/>
        </w:rPr>
        <w:t xml:space="preserve">Un comité de concesiones y recaudaciones actuará junto al Director General de </w:t>
      </w:r>
      <w:smartTag w:uri="urn:schemas-microsoft-com:office:smarttags" w:element="PersonName">
        <w:smartTagPr>
          <w:attr w:name="ProductID" w:val="la Direcci￳n. El"/>
        </w:smartTagPr>
        <w:r>
          <w:rPr>
            <w:szCs w:val="24"/>
            <w:lang w:val="es-ES_tradnl"/>
          </w:rPr>
          <w:t>la Dirección.</w:t>
        </w:r>
        <w:r>
          <w:rPr>
            <w:szCs w:val="24"/>
          </w:rPr>
          <w:t xml:space="preserve"> </w:t>
        </w:r>
        <w:r>
          <w:rPr>
            <w:szCs w:val="24"/>
            <w:lang w:val="es-ES_tradnl"/>
          </w:rPr>
          <w:t>El</w:t>
        </w:r>
      </w:smartTag>
      <w:r>
        <w:rPr>
          <w:szCs w:val="24"/>
          <w:lang w:val="es-ES_tradnl"/>
        </w:rPr>
        <w:t xml:space="preserve"> comité estará presidido por un juez retirado, y su función será hacer recomendaciones sobre los acuerdos que se le presenten, basadas en las normas que fija </w:t>
      </w:r>
      <w:smartTag w:uri="urn:schemas-microsoft-com:office:smarttags" w:element="PersonName">
        <w:smartTagPr>
          <w:attr w:name="ProductID" w:val="la ley. Las"/>
        </w:smartTagPr>
        <w:r>
          <w:rPr>
            <w:szCs w:val="24"/>
            <w:lang w:val="es-ES_tradnl"/>
          </w:rPr>
          <w:t>la ley.</w:t>
        </w:r>
        <w:r>
          <w:rPr>
            <w:szCs w:val="24"/>
          </w:rPr>
          <w:t xml:space="preserve"> </w:t>
        </w:r>
        <w:r>
          <w:rPr>
            <w:szCs w:val="24"/>
            <w:lang w:val="es-ES_tradnl"/>
          </w:rPr>
          <w:t>Las</w:t>
        </w:r>
      </w:smartTag>
      <w:r>
        <w:rPr>
          <w:szCs w:val="24"/>
          <w:lang w:val="es-ES_tradnl"/>
        </w:rPr>
        <w:t xml:space="preserve"> recomendaciones del comité se someterán a la aprobación del Director General de la Dirección.”</w:t>
      </w:r>
    </w:p>
    <w:p w:rsidR="00F92819" w:rsidRDefault="00F92819">
      <w:pPr>
        <w:pStyle w:val="SingleTxtG"/>
        <w:rPr>
          <w:szCs w:val="24"/>
        </w:rPr>
      </w:pPr>
      <w:r>
        <w:rPr>
          <w:szCs w:val="24"/>
        </w:rPr>
        <w:t>473.</w:t>
      </w:r>
      <w:r>
        <w:rPr>
          <w:szCs w:val="24"/>
        </w:rPr>
        <w:tab/>
      </w:r>
      <w:r>
        <w:rPr>
          <w:szCs w:val="24"/>
          <w:lang w:val="es-ES_tradnl"/>
        </w:rPr>
        <w:t>El Gobierno ha decidido asimismo:</w:t>
      </w:r>
    </w:p>
    <w:p w:rsidR="00F92819" w:rsidRDefault="00F92819">
      <w:pPr>
        <w:pStyle w:val="SingleTxtG"/>
        <w:ind w:left="1701"/>
        <w:rPr>
          <w:szCs w:val="24"/>
        </w:rPr>
      </w:pPr>
      <w:r>
        <w:rPr>
          <w:szCs w:val="24"/>
        </w:rPr>
        <w:t>1.</w:t>
      </w:r>
      <w:r>
        <w:rPr>
          <w:szCs w:val="24"/>
        </w:rPr>
        <w:tab/>
      </w:r>
      <w:r>
        <w:rPr>
          <w:szCs w:val="24"/>
          <w:lang w:val="es-ES_tradnl"/>
        </w:rPr>
        <w:t xml:space="preserve">Pedir al Director General del Ministerio de Construcción y Vivienda que presente recomendaciones al Gobierno dentro de 30 días y en coordinación con el Director General de la Oficina del Primer Ministro, el Supervisor de Presupuestos del Ministerio de Hacienda y el Comisionado de </w:t>
      </w:r>
      <w:smartTag w:uri="urn:schemas-microsoft-com:office:smarttags" w:element="PersonName">
        <w:smartTagPr>
          <w:attr w:name="ProductID" w:val="la Administraci￳n P￺blica"/>
        </w:smartTagPr>
        <w:r>
          <w:rPr>
            <w:szCs w:val="24"/>
            <w:lang w:val="es-ES_tradnl"/>
          </w:rPr>
          <w:t>la Administración Pública</w:t>
        </w:r>
      </w:smartTag>
      <w:r>
        <w:rPr>
          <w:szCs w:val="24"/>
          <w:lang w:val="es-ES_tradnl"/>
        </w:rPr>
        <w:t>, sobre los recursos presupuestarios y el personal que se necesiten para financiar y ejecutar esta decisión.</w:t>
      </w:r>
    </w:p>
    <w:p w:rsidR="00F92819" w:rsidRDefault="00F92819">
      <w:pPr>
        <w:pStyle w:val="SingleTxtG"/>
        <w:ind w:left="1701"/>
        <w:rPr>
          <w:szCs w:val="24"/>
        </w:rPr>
      </w:pPr>
      <w:r>
        <w:rPr>
          <w:szCs w:val="24"/>
        </w:rPr>
        <w:t>2.</w:t>
      </w:r>
      <w:r>
        <w:rPr>
          <w:szCs w:val="24"/>
        </w:rPr>
        <w:tab/>
      </w:r>
      <w:r>
        <w:rPr>
          <w:szCs w:val="24"/>
          <w:lang w:val="es-ES_tradnl"/>
        </w:rPr>
        <w:t>Encargar al Ministro de Construcción y Vivienda que nombre un comité público encabezado por un Magistrado del Tribunal Supremo retirado y de cuyos miembros por lo menos la mitad sean representantes de los ministerios gubernamentales competentes, incluidos representantes de los Ministerios de Construcción y Vivienda, Hacienda, el Primer Ministro, Agricultura y Desarrollo Rural, el Neguev y Galilea, Interior, Justicia, Transporte y Seguridad Vial y la Administración de Tierras de Israel.</w:t>
      </w:r>
      <w:r>
        <w:rPr>
          <w:szCs w:val="24"/>
        </w:rPr>
        <w:t xml:space="preserve"> </w:t>
      </w:r>
      <w:r>
        <w:rPr>
          <w:szCs w:val="24"/>
          <w:lang w:val="es-ES_tradnl"/>
        </w:rPr>
        <w:t>Además, el Ministro nombrará representantes públicos, entre ellos representantes de la población beduina que no tengan reclamaciones de propiedad de tierras.</w:t>
      </w:r>
      <w:r>
        <w:rPr>
          <w:szCs w:val="24"/>
        </w:rPr>
        <w:t xml:space="preserve"> </w:t>
      </w:r>
      <w:r>
        <w:rPr>
          <w:szCs w:val="24"/>
          <w:lang w:val="es-ES_tradnl"/>
        </w:rPr>
        <w:t>En el plazo de tres meses, el comité presentará sus recomendaciones al Ministro para la redacción de un proyecto de ley sobre la reglamentación de la población beduina en el Neguev, incluido el monto de las reparaciones necesarias, las disposiciones para asignar otras tierras, la aplicación civil y el calendario para la ejecución de las disposiciones.</w:t>
      </w:r>
      <w:r>
        <w:rPr>
          <w:szCs w:val="24"/>
        </w:rPr>
        <w:t xml:space="preserve"> </w:t>
      </w:r>
      <w:r>
        <w:rPr>
          <w:szCs w:val="24"/>
          <w:lang w:val="es-ES_tradnl"/>
        </w:rPr>
        <w:t>El comité actuará en el marco de un presupuesto y un inventario de tierras que determinará dentro de 30 días en coordinación con el Director General de la Oficina del Primer Ministro, el Director General del Ministerio de Construcción y Vivienda y el Supervisor de Presupuestos del Ministerio de Hacienda.</w:t>
      </w:r>
    </w:p>
    <w:p w:rsidR="00F92819" w:rsidRDefault="00F92819">
      <w:pPr>
        <w:pStyle w:val="SingleTxtG"/>
        <w:rPr>
          <w:szCs w:val="24"/>
        </w:rPr>
      </w:pPr>
      <w:r>
        <w:rPr>
          <w:szCs w:val="24"/>
          <w:lang w:val="es-ES_tradnl"/>
        </w:rPr>
        <w:t>En el marco de la política del Gobierno relativa a la residencia y las tierras de los beduinos en el Neguev, y como medida importante que integra otros planes del Gobierno para el desarrollo del Neguev y Galilea, el Gobierno ha promovido diversas resoluciones que mejoran el trato de la población beduina en el Neguev.</w:t>
      </w:r>
    </w:p>
    <w:p w:rsidR="00F92819" w:rsidRDefault="00F92819">
      <w:pPr>
        <w:pStyle w:val="SingleTxtG"/>
        <w:rPr>
          <w:szCs w:val="24"/>
        </w:rPr>
      </w:pPr>
      <w:r>
        <w:rPr>
          <w:szCs w:val="24"/>
          <w:lang w:val="es-ES_tradnl"/>
        </w:rPr>
        <w:t>No obstante, en vista de la complejidad de elaborar soluciones para diversas cuestiones, y la prolongación del tratamiento en cuanto a la disponibilidad de tierras en la zona de las ciudades permanentes, que están destinadas a recibir la población beduina que vive en asentamientos ilegales, es necesario coordinar la totalidad de los planes en el marco organizado de una dirección, que tratará los asuntos de manera coordinada y amplia.</w:t>
      </w:r>
    </w:p>
    <w:p w:rsidR="00F92819" w:rsidRDefault="00F92819">
      <w:pPr>
        <w:pStyle w:val="SingleTxtG"/>
        <w:rPr>
          <w:szCs w:val="24"/>
        </w:rPr>
      </w:pPr>
      <w:r>
        <w:rPr>
          <w:szCs w:val="24"/>
        </w:rPr>
        <w:t>474.</w:t>
      </w:r>
      <w:r>
        <w:rPr>
          <w:szCs w:val="24"/>
        </w:rPr>
        <w:tab/>
      </w:r>
      <w:r>
        <w:rPr>
          <w:szCs w:val="24"/>
          <w:lang w:val="es-ES_tradnl"/>
        </w:rPr>
        <w:t>Pese al establecimiento de cierto número de asentamientos permanentes para los beduinos, unos 63.000 (35%) siguen optando por vivir en aldeas ilegales en el Negev, ignorando el procedimiento de planificación de las autoridades competentes de Israel.</w:t>
      </w:r>
      <w:r>
        <w:rPr>
          <w:szCs w:val="24"/>
        </w:rPr>
        <w:t xml:space="preserve"> </w:t>
      </w:r>
      <w:r>
        <w:rPr>
          <w:szCs w:val="24"/>
          <w:lang w:val="es-ES_tradnl"/>
        </w:rPr>
        <w:t xml:space="preserve">Estas aldeas ilegales se construyen sin ninguna preparación de planos, como exige la </w:t>
      </w:r>
      <w:r>
        <w:rPr>
          <w:i/>
          <w:szCs w:val="24"/>
          <w:lang w:val="es-ES_tradnl"/>
        </w:rPr>
        <w:t>Ley de planificación y construcción</w:t>
      </w:r>
      <w:r>
        <w:rPr>
          <w:szCs w:val="24"/>
          <w:lang w:val="es-ES_tradnl"/>
        </w:rPr>
        <w:t xml:space="preserve"> de 5725/1965 y sin la aprobación previa de las autoridades de planificación.</w:t>
      </w:r>
      <w:r>
        <w:rPr>
          <w:szCs w:val="24"/>
        </w:rPr>
        <w:t xml:space="preserve"> </w:t>
      </w:r>
      <w:r>
        <w:rPr>
          <w:szCs w:val="24"/>
          <w:lang w:val="es-ES_tradnl"/>
        </w:rPr>
        <w:t>Además, causa numerosas dificultades en cuanto a la prestación de servicios a los residentes en estas aldeas ilegales.</w:t>
      </w:r>
    </w:p>
    <w:p w:rsidR="00F92819" w:rsidRDefault="00F92819">
      <w:pPr>
        <w:pStyle w:val="SingleTxtG"/>
        <w:rPr>
          <w:szCs w:val="24"/>
        </w:rPr>
      </w:pPr>
      <w:r>
        <w:rPr>
          <w:szCs w:val="24"/>
        </w:rPr>
        <w:t>475.</w:t>
      </w:r>
      <w:r>
        <w:rPr>
          <w:szCs w:val="24"/>
        </w:rPr>
        <w:tab/>
      </w:r>
      <w:r>
        <w:rPr>
          <w:szCs w:val="24"/>
          <w:lang w:val="es-ES_tradnl"/>
        </w:rPr>
        <w:t xml:space="preserve">Cabe tener en cuenta que la solución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problema de la vivienda de gran parte de los beduinos que residen en aldeas ilegales se encontrará tras la terminación de los 9 nuevos núcleos urbanos.</w:t>
      </w:r>
    </w:p>
    <w:p w:rsidR="00F92819" w:rsidRDefault="00F92819">
      <w:pPr>
        <w:pStyle w:val="SingleTxtG"/>
        <w:rPr>
          <w:szCs w:val="24"/>
        </w:rPr>
      </w:pPr>
      <w:r>
        <w:rPr>
          <w:szCs w:val="24"/>
        </w:rPr>
        <w:t>476.</w:t>
      </w:r>
      <w:r>
        <w:rPr>
          <w:szCs w:val="24"/>
        </w:rPr>
        <w:tab/>
      </w:r>
      <w:r>
        <w:rPr>
          <w:szCs w:val="24"/>
          <w:lang w:val="es-ES_tradnl"/>
        </w:rPr>
        <w:t>El Gobierno estimula el asentamiento en núcleos permanentes ofreciendo prestaciones económicas excepcionales a todos los residentes de la diáspora beduina que tratan de establecerse en núcleos permanentes, con independencia de su situación económica o de la demostración de sus derechos.</w:t>
      </w:r>
      <w:r>
        <w:rPr>
          <w:szCs w:val="24"/>
        </w:rPr>
        <w:t xml:space="preserve"> </w:t>
      </w:r>
      <w:r>
        <w:rPr>
          <w:szCs w:val="24"/>
          <w:lang w:val="es-ES_tradnl"/>
        </w:rPr>
        <w:t>Estas prestaciones incluyen, entre otras cosas, la concesión de tierras a título gratuito o a costo muy bajo y la indemnización por la demolición de estructuras ilegales.</w:t>
      </w:r>
    </w:p>
    <w:p w:rsidR="00F92819" w:rsidRDefault="00F92819">
      <w:pPr>
        <w:pStyle w:val="SingleTxtG"/>
        <w:rPr>
          <w:szCs w:val="24"/>
        </w:rPr>
      </w:pPr>
      <w:r>
        <w:rPr>
          <w:szCs w:val="24"/>
        </w:rPr>
        <w:t>477.</w:t>
      </w:r>
      <w:r>
        <w:rPr>
          <w:szCs w:val="24"/>
        </w:rPr>
        <w:tab/>
      </w:r>
      <w:r>
        <w:rPr>
          <w:szCs w:val="24"/>
          <w:lang w:val="es-ES_tradnl"/>
        </w:rPr>
        <w:t xml:space="preserve">El Comité Asesor sobre la Política para los Asentamientos Beduinos se creó, en su forma actual, el 24 de octubre de 2007 por la resolución </w:t>
      </w:r>
      <w:r w:rsidR="00713E0E">
        <w:rPr>
          <w:szCs w:val="24"/>
          <w:lang w:val="es-ES_tradnl"/>
        </w:rPr>
        <w:t>Nº</w:t>
      </w:r>
      <w:r>
        <w:rPr>
          <w:szCs w:val="24"/>
          <w:lang w:val="es-ES_tradnl"/>
        </w:rPr>
        <w:t xml:space="preserve"> 2491 del Gobierno. Su función es presentar recomendaciones sobre un plan integral, viable y de amplio espectro que establezca las normas para regular el asentamiento de los beduinos en el Negev, incluidas las normas sobre indemnizaciones, los mecanismos para la concesión de tierras, las obligaciones civiles, un calendario para la ejecución del plan y las propuestas de enmienda de la legislación que sean necesarias.</w:t>
      </w:r>
    </w:p>
    <w:p w:rsidR="00F92819" w:rsidRDefault="00F92819">
      <w:pPr>
        <w:pStyle w:val="SingleTxtG"/>
        <w:rPr>
          <w:szCs w:val="24"/>
        </w:rPr>
      </w:pPr>
      <w:r>
        <w:rPr>
          <w:szCs w:val="24"/>
        </w:rPr>
        <w:t>478.</w:t>
      </w:r>
      <w:r>
        <w:rPr>
          <w:szCs w:val="24"/>
        </w:rPr>
        <w:tab/>
      </w:r>
      <w:r>
        <w:rPr>
          <w:szCs w:val="24"/>
          <w:lang w:val="es-ES_tradnl"/>
        </w:rPr>
        <w:t xml:space="preserve">El Comité Asesor está compuesto por siete miembros y un presidente, el ex Magistrado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Tribunal Supremo Sr. E. Goldberg. Cabe señalar que dos de los miembros del Comité Asesor son representantes beduinos.</w:t>
      </w:r>
    </w:p>
    <w:p w:rsidR="00F92819" w:rsidRDefault="00F92819">
      <w:pPr>
        <w:pStyle w:val="SingleTxtG"/>
        <w:rPr>
          <w:szCs w:val="24"/>
        </w:rPr>
      </w:pPr>
      <w:r>
        <w:rPr>
          <w:szCs w:val="24"/>
        </w:rPr>
        <w:t>479.</w:t>
      </w:r>
      <w:r>
        <w:rPr>
          <w:szCs w:val="24"/>
        </w:rPr>
        <w:tab/>
      </w:r>
      <w:r>
        <w:rPr>
          <w:szCs w:val="24"/>
          <w:lang w:val="es-ES_tradnl"/>
        </w:rPr>
        <w:t xml:space="preserve">El Comité Asesor se reunió por primera vez en enero de 2008 después de haber recibido más de un centenar de cartas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público en general, además de abundante material y documentación por escrito.</w:t>
      </w:r>
      <w:r>
        <w:rPr>
          <w:szCs w:val="24"/>
        </w:rPr>
        <w:t xml:space="preserve"> </w:t>
      </w:r>
      <w:r>
        <w:rPr>
          <w:szCs w:val="24"/>
          <w:lang w:val="es-ES_tradnl"/>
        </w:rPr>
        <w:t>Sus audiencias son públicas y tienen lugar en Be’er-Sheva.</w:t>
      </w:r>
    </w:p>
    <w:p w:rsidR="00F92819" w:rsidRDefault="00F92819">
      <w:pPr>
        <w:pStyle w:val="SingleTxtG"/>
        <w:rPr>
          <w:szCs w:val="24"/>
        </w:rPr>
      </w:pPr>
      <w:r>
        <w:rPr>
          <w:szCs w:val="24"/>
        </w:rPr>
        <w:t>480.</w:t>
      </w:r>
      <w:r>
        <w:rPr>
          <w:szCs w:val="24"/>
        </w:rPr>
        <w:tab/>
      </w:r>
      <w:r>
        <w:rPr>
          <w:szCs w:val="24"/>
          <w:lang w:val="es-ES_tradnl"/>
        </w:rPr>
        <w:t>El Comité Asesor ha realizado decenas de sesiones y escuchado numerosas declaraciones de diversas fuentes, en particular representantes de los beduinos, diversas partes interesadas, expertos en las esferas correspondientes (entre otros, urbanistas, geógrafos, antropólogos, historiadores, sociólogos y abogados) y el público en general.</w:t>
      </w:r>
      <w:r>
        <w:rPr>
          <w:szCs w:val="24"/>
        </w:rPr>
        <w:t xml:space="preserve"> </w:t>
      </w:r>
      <w:r>
        <w:rPr>
          <w:szCs w:val="24"/>
          <w:lang w:val="es-ES_tradnl"/>
        </w:rPr>
        <w:t>También ha escuchado a representantes de órganos e instituciones públicas, autoridades municipales, personalidades públicas, miembros del Knesset y de ONG.</w:t>
      </w:r>
    </w:p>
    <w:p w:rsidR="00F92819" w:rsidRDefault="00F92819">
      <w:pPr>
        <w:pStyle w:val="SingleTxtG"/>
        <w:rPr>
          <w:szCs w:val="24"/>
        </w:rPr>
      </w:pPr>
      <w:r>
        <w:rPr>
          <w:szCs w:val="24"/>
        </w:rPr>
        <w:t>481.</w:t>
      </w:r>
      <w:r>
        <w:rPr>
          <w:szCs w:val="24"/>
        </w:rPr>
        <w:tab/>
      </w:r>
      <w:r>
        <w:rPr>
          <w:szCs w:val="24"/>
          <w:lang w:val="es-ES_tradnl"/>
        </w:rPr>
        <w:t xml:space="preserve">El Comité Asesor ha realizado cuatro viajes de estudio a la región </w:t>
      </w:r>
      <w:smartTag w:uri="urn:schemas-microsoft-com:office:smarttags" w:element="State">
        <w:r>
          <w:rPr>
            <w:szCs w:val="24"/>
            <w:lang w:val="es-ES_tradnl"/>
          </w:rPr>
          <w:t>del</w:t>
        </w:r>
      </w:smartTag>
      <w:r>
        <w:rPr>
          <w:szCs w:val="24"/>
          <w:lang w:val="es-ES_tradnl"/>
        </w:rPr>
        <w:t xml:space="preserve"> </w:t>
      </w:r>
      <w:smartTag w:uri="urn:schemas-microsoft-com:office:smarttags" w:element="place">
        <w:r>
          <w:rPr>
            <w:szCs w:val="24"/>
            <w:lang w:val="es-ES_tradnl"/>
          </w:rPr>
          <w:t>Negev</w:t>
        </w:r>
      </w:smartTag>
      <w:r>
        <w:rPr>
          <w:szCs w:val="24"/>
          <w:lang w:val="es-ES_tradnl"/>
        </w:rPr>
        <w:t xml:space="preserve"> a fin de profundizar sus conocimientos sobre los temas incluidos en su mandato.</w:t>
      </w:r>
    </w:p>
    <w:p w:rsidR="00F92819" w:rsidRDefault="00F92819">
      <w:pPr>
        <w:pStyle w:val="SingleTxtG"/>
        <w:rPr>
          <w:szCs w:val="24"/>
        </w:rPr>
      </w:pPr>
      <w:r>
        <w:rPr>
          <w:szCs w:val="24"/>
        </w:rPr>
        <w:t>482.</w:t>
      </w:r>
      <w:r>
        <w:rPr>
          <w:szCs w:val="24"/>
        </w:rPr>
        <w:tab/>
      </w:r>
      <w:r>
        <w:rPr>
          <w:szCs w:val="24"/>
          <w:lang w:val="es-ES_tradnl"/>
        </w:rPr>
        <w:t>El Comité Asesor concluyó sus debates públicos en mayo de 2008 y el 11 de diciembre de 2008 presentó sus recomendaciones finales al Gobierno.</w:t>
      </w:r>
    </w:p>
    <w:p w:rsidR="00F92819" w:rsidRDefault="00F92819">
      <w:pPr>
        <w:pStyle w:val="SingleTxtG"/>
        <w:rPr>
          <w:szCs w:val="24"/>
        </w:rPr>
      </w:pPr>
      <w:r w:rsidRPr="008E2128">
        <w:rPr>
          <w:szCs w:val="24"/>
        </w:rPr>
        <w:t>483.</w:t>
      </w:r>
      <w:r w:rsidRPr="008E2128">
        <w:rPr>
          <w:szCs w:val="24"/>
        </w:rPr>
        <w:tab/>
      </w:r>
      <w:r>
        <w:rPr>
          <w:b/>
          <w:szCs w:val="24"/>
          <w:lang w:val="es-ES_tradnl"/>
        </w:rPr>
        <w:t xml:space="preserve">Fumigación de cultivos en el </w:t>
      </w:r>
      <w:smartTag w:uri="urn:schemas-microsoft-com:office:smarttags" w:element="place">
        <w:r>
          <w:rPr>
            <w:b/>
            <w:szCs w:val="24"/>
            <w:lang w:val="es-ES_tradnl"/>
          </w:rPr>
          <w:t>Negev</w:t>
        </w:r>
      </w:smartTag>
      <w:r>
        <w:rPr>
          <w:szCs w:val="24"/>
          <w:lang w:val="es-ES_tradnl"/>
        </w:rPr>
        <w:t>.</w:t>
      </w:r>
      <w:r>
        <w:rPr>
          <w:szCs w:val="24"/>
        </w:rPr>
        <w:t xml:space="preserve"> </w:t>
      </w:r>
      <w:r>
        <w:rPr>
          <w:szCs w:val="24"/>
          <w:lang w:val="es-ES_tradnl"/>
        </w:rPr>
        <w:t>En sus observaciones finales sobre el segundo informe periódico de Israel, el Comité de Derechos Económicos, Sociales y Culturales expresó su preocupación sobre la denunciada destrucción de cultivos de los beduinos “para obligarles a reasentarse en ‘poblados’”.</w:t>
      </w:r>
      <w:r>
        <w:rPr>
          <w:szCs w:val="24"/>
        </w:rPr>
        <w:t xml:space="preserve"> </w:t>
      </w:r>
      <w:r>
        <w:rPr>
          <w:szCs w:val="24"/>
          <w:lang w:val="es-ES_tradnl"/>
        </w:rPr>
        <w:t>A este respecto debe mencionarse que el 15 de abril de 2007 el Tribunal Supremo emitió su fallo respecto a una demanda sobre operaciones de fumigación en el Negev realizadas por la Administración de Tierras de Israel (ILA) (H.C.J. 2887/04</w:t>
      </w:r>
      <w:r>
        <w:rPr>
          <w:i/>
          <w:szCs w:val="24"/>
          <w:lang w:val="es-ES_tradnl"/>
        </w:rPr>
        <w:t xml:space="preserve"> Saleem Abu Medeghem, et. al. c. la Administración de Tierras de Israel, et. al</w:t>
      </w:r>
      <w:r>
        <w:rPr>
          <w:szCs w:val="24"/>
          <w:lang w:val="es-ES_tradnl"/>
        </w:rPr>
        <w:t>.).</w:t>
      </w:r>
      <w:r>
        <w:rPr>
          <w:szCs w:val="24"/>
        </w:rPr>
        <w:t xml:space="preserve"> </w:t>
      </w:r>
      <w:r>
        <w:rPr>
          <w:szCs w:val="24"/>
          <w:lang w:val="es-ES_tradnl"/>
        </w:rPr>
        <w:t>En su decisión el Tribunal mencionaba, entre otras cosas, las observaciones finales del Comité.</w:t>
      </w:r>
    </w:p>
    <w:p w:rsidR="00F92819" w:rsidRDefault="00F92819">
      <w:pPr>
        <w:pStyle w:val="SingleTxtG"/>
        <w:rPr>
          <w:szCs w:val="24"/>
        </w:rPr>
      </w:pPr>
      <w:r>
        <w:rPr>
          <w:szCs w:val="24"/>
          <w:lang w:val="es-ES_tradnl"/>
        </w:rPr>
        <w:t>El Tribunal ratificó el derecho del Estado a impedir la invasión ilegal de tierras de su propiedad,</w:t>
      </w:r>
      <w:r>
        <w:rPr>
          <w:szCs w:val="24"/>
        </w:rPr>
        <w:t xml:space="preserve"> </w:t>
      </w:r>
      <w:r>
        <w:rPr>
          <w:szCs w:val="24"/>
          <w:lang w:val="es-ES_tradnl"/>
        </w:rPr>
        <w:t xml:space="preserve">no obstante sostuvo que el método de fumigación de cultivos no es conforme a </w:t>
      </w:r>
      <w:smartTag w:uri="urn:schemas-microsoft-com:office:smarttags" w:element="PersonName">
        <w:smartTagPr>
          <w:attr w:name="ProductID" w:val="la ley. El Juez"/>
        </w:smartTagPr>
        <w:r>
          <w:rPr>
            <w:szCs w:val="24"/>
            <w:lang w:val="es-ES_tradnl"/>
          </w:rPr>
          <w:t>la ley.</w:t>
        </w:r>
        <w:r>
          <w:rPr>
            <w:szCs w:val="24"/>
          </w:rPr>
          <w:t xml:space="preserve"> </w:t>
        </w:r>
        <w:r>
          <w:rPr>
            <w:szCs w:val="24"/>
            <w:lang w:val="es-ES_tradnl"/>
          </w:rPr>
          <w:t>El Juez</w:t>
        </w:r>
      </w:smartTag>
      <w:r>
        <w:rPr>
          <w:szCs w:val="24"/>
          <w:lang w:val="es-ES_tradnl"/>
        </w:rPr>
        <w:t xml:space="preserve"> Joubran sostuvo que a pesar de que el Estado tiene derecho a impedir la invasión ilícita de las tierras de su propiedad, las acciones del Estado son ilegales puesto que no fueron debidamente autorizadas conforme a la ley, y constituyen una violación del derecho a la salud de los beduinos.</w:t>
      </w:r>
      <w:r>
        <w:rPr>
          <w:szCs w:val="24"/>
        </w:rPr>
        <w:t xml:space="preserve"> </w:t>
      </w:r>
      <w:r>
        <w:rPr>
          <w:szCs w:val="24"/>
          <w:lang w:val="es-ES_tradnl"/>
        </w:rPr>
        <w:t>Los jueces Arbel y Naor determinaron que el Estado actuó dentro de su autoridad.</w:t>
      </w:r>
      <w:r>
        <w:rPr>
          <w:szCs w:val="24"/>
        </w:rPr>
        <w:t xml:space="preserve"> </w:t>
      </w:r>
      <w:r>
        <w:rPr>
          <w:szCs w:val="24"/>
          <w:lang w:val="es-ES_tradnl"/>
        </w:rPr>
        <w:t>Sin embargo, la medida utilizada (la fumigación aérea de los cultivos) no es conforme al principio de la proporcionalidad fijado en la cláusula de limitaciones de la</w:t>
      </w:r>
      <w:r>
        <w:rPr>
          <w:i/>
          <w:szCs w:val="24"/>
          <w:lang w:val="es-ES_tradnl"/>
        </w:rPr>
        <w:t xml:space="preserve"> Ley fundamental:</w:t>
      </w:r>
      <w:r>
        <w:rPr>
          <w:i/>
          <w:szCs w:val="24"/>
        </w:rPr>
        <w:t xml:space="preserve"> </w:t>
      </w:r>
      <w:r>
        <w:rPr>
          <w:i/>
          <w:szCs w:val="24"/>
          <w:lang w:val="es-ES_tradnl"/>
        </w:rPr>
        <w:t>dignidad y libertad humanas</w:t>
      </w:r>
      <w:r>
        <w:rPr>
          <w:szCs w:val="24"/>
          <w:lang w:val="es-ES_tradnl"/>
        </w:rPr>
        <w:t xml:space="preserve"> porque viola el derecho a la dignidad humana de la población beduina, ya que no en todos los casos de fumigación aérea recibieron el aviso adecuado con anticipación sobre la intención de fumigar sus cultivos, puesto que podría haber dañado realmente su salud y su integridad física.</w:t>
      </w:r>
    </w:p>
    <w:p w:rsidR="00F92819" w:rsidRDefault="00F92819">
      <w:pPr>
        <w:pStyle w:val="SingleTxtG"/>
        <w:rPr>
          <w:szCs w:val="24"/>
        </w:rPr>
      </w:pPr>
      <w:r w:rsidRPr="008E2128">
        <w:rPr>
          <w:szCs w:val="24"/>
        </w:rPr>
        <w:t>484.</w:t>
      </w:r>
      <w:r w:rsidRPr="008E2128">
        <w:rPr>
          <w:szCs w:val="24"/>
        </w:rPr>
        <w:tab/>
      </w:r>
      <w:r>
        <w:rPr>
          <w:szCs w:val="24"/>
          <w:lang w:val="es-ES_tradnl"/>
        </w:rPr>
        <w:t xml:space="preserve">La </w:t>
      </w:r>
      <w:r>
        <w:rPr>
          <w:b/>
          <w:i/>
          <w:szCs w:val="24"/>
          <w:lang w:val="es-ES_tradnl"/>
        </w:rPr>
        <w:t>Ley de suministro de energía eléctrica (Orden temporal)</w:t>
      </w:r>
      <w:r>
        <w:rPr>
          <w:szCs w:val="24"/>
          <w:lang w:val="es-ES_tradnl"/>
        </w:rPr>
        <w:t xml:space="preserve"> de 5756/1996 fue sancionada para resolver el problema de suministrar electricidad a los ciudadanos árabes y drusos cuyas casas se habían construido sin permiso de construcción y por tanto no estaban conectadas a la red central de electricidad.</w:t>
      </w:r>
      <w:r>
        <w:rPr>
          <w:szCs w:val="24"/>
        </w:rPr>
        <w:t xml:space="preserve"> </w:t>
      </w:r>
      <w:r>
        <w:rPr>
          <w:szCs w:val="24"/>
          <w:lang w:val="es-ES_tradnl"/>
        </w:rPr>
        <w:t>Esta Ley se reformó en 2001 para prorrogar el suministro temporal por un período de siete años.</w:t>
      </w:r>
      <w:r>
        <w:rPr>
          <w:szCs w:val="24"/>
        </w:rPr>
        <w:t xml:space="preserve"> </w:t>
      </w:r>
      <w:r>
        <w:rPr>
          <w:szCs w:val="24"/>
          <w:lang w:val="es-ES_tradnl"/>
        </w:rPr>
        <w:t>En 2004 la Ley se reformó nuevamente, para que la prórroga terminara el 31 de mayo de 2007. Desde la aprobación de la ley hasta el 31 de mayo de 2007, la Dirección de Suministro de Energía Eléctrica autorizó la conexión de 8.941 edificios a la red eléctrica.</w:t>
      </w:r>
    </w:p>
    <w:p w:rsidR="00F92819" w:rsidRDefault="00F92819">
      <w:pPr>
        <w:pStyle w:val="SingleTxtG"/>
        <w:rPr>
          <w:szCs w:val="24"/>
        </w:rPr>
      </w:pPr>
      <w:r w:rsidRPr="008E2128">
        <w:rPr>
          <w:szCs w:val="24"/>
        </w:rPr>
        <w:t>485.</w:t>
      </w:r>
      <w:r w:rsidRPr="008E2128">
        <w:rPr>
          <w:szCs w:val="24"/>
        </w:rPr>
        <w:tab/>
      </w:r>
      <w:r>
        <w:rPr>
          <w:b/>
          <w:szCs w:val="24"/>
          <w:lang w:val="es-ES_tradnl"/>
        </w:rPr>
        <w:t>Transporte público.</w:t>
      </w:r>
      <w:r>
        <w:rPr>
          <w:b/>
          <w:szCs w:val="24"/>
        </w:rPr>
        <w:t xml:space="preserve"> </w:t>
      </w:r>
      <w:r>
        <w:rPr>
          <w:szCs w:val="24"/>
          <w:lang w:val="es-ES_tradnl"/>
        </w:rPr>
        <w:t>El 19 de julio de 2007 el Ministerio de Transporte y Seguridad Vial llamó a licitación para proveer 10 líneas de transporte público de autobús que servirá a más de 60.000 residentes de la región de la ciudad beduina de Rahat.</w:t>
      </w:r>
      <w:r>
        <w:rPr>
          <w:szCs w:val="24"/>
        </w:rPr>
        <w:t xml:space="preserve"> </w:t>
      </w:r>
      <w:r>
        <w:rPr>
          <w:szCs w:val="24"/>
          <w:lang w:val="es-ES_tradnl"/>
        </w:rPr>
        <w:t>La licitación se publicó en el marco del plan del Ministerio para ampliar los servicios de transporte público de las ciudades beduinas para equipararlos a los de las ciudades judías, puesto que las ciudades beduinas carecen actualmente de un sistema organizado de transporte público.</w:t>
      </w:r>
    </w:p>
    <w:p w:rsidR="00F92819" w:rsidRDefault="00F92819">
      <w:pPr>
        <w:pStyle w:val="SingleTxtG"/>
        <w:rPr>
          <w:szCs w:val="24"/>
        </w:rPr>
      </w:pPr>
      <w:r>
        <w:rPr>
          <w:szCs w:val="24"/>
          <w:lang w:val="es-ES_tradnl"/>
        </w:rPr>
        <w:t>Según la licitación, cuatro líneas urbanas funcionarán en Rahat, y otras cuatro líneas interurbanas conectarán Rahat con la ciudad de Be’er-Sheva y la nueva estación ferroviaria inaugurada hace poco en Lehavim-Rahat.</w:t>
      </w:r>
      <w:r>
        <w:rPr>
          <w:szCs w:val="24"/>
        </w:rPr>
        <w:t xml:space="preserve"> </w:t>
      </w:r>
      <w:r>
        <w:rPr>
          <w:szCs w:val="24"/>
          <w:lang w:val="es-ES_tradnl"/>
        </w:rPr>
        <w:t>Otras dos líneas conectarán las ciudades de Hura y Laqiya con el mercado beduino de Rahat.</w:t>
      </w:r>
      <w:r>
        <w:rPr>
          <w:szCs w:val="24"/>
        </w:rPr>
        <w:t xml:space="preserve"> </w:t>
      </w:r>
      <w:r>
        <w:rPr>
          <w:szCs w:val="24"/>
          <w:lang w:val="es-ES_tradnl"/>
        </w:rPr>
        <w:t>Los planes de las nuevas líneas se elaboraron a raíz de estudios que determinaron las necesidades de los residentes locales,</w:t>
      </w:r>
      <w:r>
        <w:rPr>
          <w:szCs w:val="24"/>
        </w:rPr>
        <w:t xml:space="preserve"> </w:t>
      </w:r>
      <w:r>
        <w:rPr>
          <w:szCs w:val="24"/>
          <w:lang w:val="es-ES_tradnl"/>
        </w:rPr>
        <w:t>quienes también participaron en talleres especiales sobre la cuestión.</w:t>
      </w:r>
    </w:p>
    <w:p w:rsidR="00F92819" w:rsidRDefault="00F92819">
      <w:pPr>
        <w:pStyle w:val="SingleTxtG"/>
        <w:rPr>
          <w:szCs w:val="24"/>
        </w:rPr>
      </w:pPr>
      <w:r>
        <w:rPr>
          <w:szCs w:val="24"/>
          <w:lang w:val="es-ES_tradnl"/>
        </w:rPr>
        <w:t>La empresa adjudicataria estará obligada a vender billetes a precio reducido a jóvenes, ancianos y otras personas que reúnan los requisitos, como por ejemplo estudiantes.</w:t>
      </w:r>
      <w:r>
        <w:rPr>
          <w:szCs w:val="24"/>
        </w:rPr>
        <w:t xml:space="preserve"> </w:t>
      </w:r>
      <w:r>
        <w:rPr>
          <w:szCs w:val="24"/>
          <w:lang w:val="es-ES_tradnl"/>
        </w:rPr>
        <w:t>La empresa también estará obligada a emitir billetes mensuales que permitan viajes sin límites en todas las líneas de autobús en la metrópoli de Be’er-Sheva,</w:t>
      </w:r>
      <w:r>
        <w:rPr>
          <w:szCs w:val="24"/>
        </w:rPr>
        <w:t xml:space="preserve"> </w:t>
      </w:r>
      <w:r>
        <w:rPr>
          <w:szCs w:val="24"/>
          <w:lang w:val="es-ES_tradnl"/>
        </w:rPr>
        <w:t>deberá usar autobuses nuevos y mantener un servicio de alto nivel.</w:t>
      </w:r>
      <w:r>
        <w:rPr>
          <w:szCs w:val="24"/>
        </w:rPr>
        <w:t xml:space="preserve"> </w:t>
      </w:r>
      <w:r>
        <w:rPr>
          <w:szCs w:val="24"/>
          <w:lang w:val="es-ES_tradnl"/>
        </w:rPr>
        <w:t>La licitación se llevó a cabo y actualmente está a la espera de la decisión final sobre la empresa adjudicataria.</w:t>
      </w:r>
    </w:p>
    <w:p w:rsidR="00F92819" w:rsidRDefault="00F92819">
      <w:pPr>
        <w:pStyle w:val="SingleTxtG"/>
        <w:rPr>
          <w:szCs w:val="24"/>
        </w:rPr>
      </w:pPr>
      <w:r w:rsidRPr="008E2128">
        <w:rPr>
          <w:szCs w:val="24"/>
        </w:rPr>
        <w:t>486.</w:t>
      </w:r>
      <w:r w:rsidRPr="008E2128">
        <w:rPr>
          <w:szCs w:val="24"/>
        </w:rPr>
        <w:tab/>
      </w:r>
      <w:r>
        <w:rPr>
          <w:b/>
          <w:szCs w:val="24"/>
          <w:lang w:val="es-ES_tradnl"/>
        </w:rPr>
        <w:t>Servicios sociales</w:t>
      </w:r>
      <w:r>
        <w:rPr>
          <w:szCs w:val="24"/>
          <w:lang w:val="es-ES_tradnl"/>
        </w:rPr>
        <w:t>.</w:t>
      </w:r>
      <w:r>
        <w:rPr>
          <w:szCs w:val="24"/>
        </w:rPr>
        <w:t xml:space="preserve"> </w:t>
      </w:r>
      <w:r>
        <w:rPr>
          <w:szCs w:val="24"/>
          <w:lang w:val="es-ES_tradnl"/>
        </w:rPr>
        <w:t xml:space="preserve">En mayo de 2004 el Ministerio de Asuntos Sociales y Servicios Sociales creó en Be’er-Sheva el Centro para el Bienestar de </w:t>
      </w:r>
      <w:smartTag w:uri="urn:schemas-microsoft-com:office:smarttags" w:element="PersonName">
        <w:smartTagPr>
          <w:attr w:name="ProductID" w:val="la Familia Beduina"/>
        </w:smartTagPr>
        <w:r>
          <w:rPr>
            <w:szCs w:val="24"/>
            <w:lang w:val="es-ES_tradnl"/>
          </w:rPr>
          <w:t>la Familia Beduina</w:t>
        </w:r>
      </w:smartTag>
      <w:r>
        <w:rPr>
          <w:szCs w:val="24"/>
          <w:lang w:val="es-ES_tradnl"/>
        </w:rPr>
        <w:t>,</w:t>
      </w:r>
      <w:r>
        <w:rPr>
          <w:szCs w:val="24"/>
        </w:rPr>
        <w:t xml:space="preserve"> </w:t>
      </w:r>
      <w:r>
        <w:rPr>
          <w:szCs w:val="24"/>
          <w:lang w:val="es-ES_tradnl"/>
        </w:rPr>
        <w:t>con dos objetivos principales:</w:t>
      </w:r>
    </w:p>
    <w:p w:rsidR="00F92819" w:rsidRDefault="00F92819">
      <w:pPr>
        <w:pStyle w:val="SingleTxtG"/>
        <w:ind w:left="1701"/>
        <w:rPr>
          <w:szCs w:val="24"/>
        </w:rPr>
      </w:pPr>
      <w:r>
        <w:rPr>
          <w:szCs w:val="24"/>
        </w:rPr>
        <w:t>486.1</w:t>
      </w:r>
      <w:r>
        <w:rPr>
          <w:szCs w:val="24"/>
        </w:rPr>
        <w:tab/>
      </w:r>
      <w:r>
        <w:rPr>
          <w:szCs w:val="24"/>
          <w:lang w:val="es-ES_tradnl"/>
        </w:rPr>
        <w:t>Prestar asistencia a la comunidad beduina en asuntos relacionados con la solución de conflictos y tensiones dentro de la familia y hacer intervenciones terapéuticas.</w:t>
      </w:r>
    </w:p>
    <w:p w:rsidR="00F92819" w:rsidRDefault="00F92819">
      <w:pPr>
        <w:pStyle w:val="SingleTxtG"/>
        <w:ind w:left="1701"/>
        <w:rPr>
          <w:szCs w:val="24"/>
        </w:rPr>
      </w:pPr>
      <w:r>
        <w:rPr>
          <w:szCs w:val="24"/>
        </w:rPr>
        <w:t>486.2</w:t>
      </w:r>
      <w:r>
        <w:rPr>
          <w:szCs w:val="24"/>
        </w:rPr>
        <w:tab/>
      </w:r>
      <w:r>
        <w:rPr>
          <w:szCs w:val="24"/>
          <w:lang w:val="es-ES_tradnl"/>
        </w:rPr>
        <w:t>Prevenir y educar sobre la violencia doméstica.</w:t>
      </w:r>
    </w:p>
    <w:p w:rsidR="00F92819" w:rsidRDefault="00F92819">
      <w:pPr>
        <w:pStyle w:val="SingleTxtG"/>
        <w:rPr>
          <w:szCs w:val="24"/>
        </w:rPr>
      </w:pPr>
      <w:r>
        <w:rPr>
          <w:szCs w:val="24"/>
          <w:lang w:val="es-ES_tradnl"/>
        </w:rPr>
        <w:t>El centro está financiado y supervisado por el Ministerio de Asuntos Sociales y Servicios Sociales, y su gestión está a cargo de la asociación beduina “Elwaha”, que emplea asistentes sociales especializados.</w:t>
      </w:r>
    </w:p>
    <w:p w:rsidR="00F92819" w:rsidRDefault="00F92819">
      <w:pPr>
        <w:pStyle w:val="SingleTxtG"/>
        <w:rPr>
          <w:szCs w:val="24"/>
        </w:rPr>
      </w:pPr>
      <w:r>
        <w:rPr>
          <w:szCs w:val="24"/>
          <w:lang w:val="es-ES_tradnl"/>
        </w:rPr>
        <w:t>El centro presta numerosos servicios especialmente adaptados.</w:t>
      </w:r>
      <w:r>
        <w:rPr>
          <w:szCs w:val="24"/>
        </w:rPr>
        <w:t xml:space="preserve"> </w:t>
      </w:r>
      <w:r>
        <w:rPr>
          <w:szCs w:val="24"/>
          <w:lang w:val="es-ES_tradnl"/>
        </w:rPr>
        <w:t>Por ejemplo, se presta asistencia para buscar familias beduinas dispuestas a acoger a las mujeres beduinas víctimas de violencia, para que estas mujeres puedan permanecer en la comunidad beduina pero protegidas de nuevos actos de violencia.</w:t>
      </w:r>
      <w:r>
        <w:rPr>
          <w:szCs w:val="24"/>
        </w:rPr>
        <w:t xml:space="preserve"> </w:t>
      </w:r>
      <w:r>
        <w:rPr>
          <w:szCs w:val="24"/>
          <w:lang w:val="es-ES_tradnl"/>
        </w:rPr>
        <w:t>El Ministerio de Asuntos Sociales y Servicios Sociales financia la estancia de estas mujeres en la familia de acogida.</w:t>
      </w:r>
      <w:r>
        <w:rPr>
          <w:szCs w:val="24"/>
        </w:rPr>
        <w:t xml:space="preserve"> </w:t>
      </w:r>
      <w:r>
        <w:rPr>
          <w:szCs w:val="24"/>
          <w:lang w:val="es-ES_tradnl"/>
        </w:rPr>
        <w:t>Desde su creación el centro se ha vuelto parte integrante de la comunidad y un instrumento esencial a disposición de los tribunales, que pueden remitirle los hombres violentos para que reciban tratamiento en el centro.</w:t>
      </w:r>
    </w:p>
    <w:p w:rsidR="00F92819" w:rsidRDefault="00F92819">
      <w:pPr>
        <w:pStyle w:val="SingleTxtG"/>
        <w:rPr>
          <w:szCs w:val="24"/>
        </w:rPr>
      </w:pPr>
      <w:r>
        <w:rPr>
          <w:szCs w:val="24"/>
        </w:rPr>
        <w:t>487.</w:t>
      </w:r>
      <w:r>
        <w:rPr>
          <w:szCs w:val="24"/>
        </w:rPr>
        <w:tab/>
      </w:r>
      <w:r>
        <w:rPr>
          <w:szCs w:val="24"/>
          <w:lang w:val="es-ES_tradnl"/>
        </w:rPr>
        <w:t>Los servicios sociales funcionan en las ciudades beduinas y en las aldeas ilegales beduinas.</w:t>
      </w:r>
      <w:r>
        <w:rPr>
          <w:szCs w:val="24"/>
        </w:rPr>
        <w:t xml:space="preserve"> </w:t>
      </w:r>
      <w:r>
        <w:rPr>
          <w:szCs w:val="24"/>
          <w:lang w:val="es-ES_tradnl"/>
        </w:rPr>
        <w:t>Hay unas 30 solicitudes mensuales de ayuda dirigidas por mujeres beduinas a los servicios sociales.</w:t>
      </w:r>
      <w:r>
        <w:rPr>
          <w:szCs w:val="24"/>
        </w:rPr>
        <w:t xml:space="preserve"> </w:t>
      </w:r>
      <w:r>
        <w:rPr>
          <w:szCs w:val="24"/>
          <w:lang w:val="es-ES_tradnl"/>
        </w:rPr>
        <w:t>Cada una recibe atención individual.</w:t>
      </w:r>
      <w:r>
        <w:rPr>
          <w:szCs w:val="24"/>
        </w:rPr>
        <w:t xml:space="preserve"> </w:t>
      </w:r>
      <w:r>
        <w:rPr>
          <w:szCs w:val="24"/>
          <w:lang w:val="es-ES_tradnl"/>
        </w:rPr>
        <w:t>También hay varias parejas beduinas que reciben tratamiento como pareja.</w:t>
      </w:r>
      <w:r>
        <w:rPr>
          <w:szCs w:val="24"/>
        </w:rPr>
        <w:t xml:space="preserve"> </w:t>
      </w:r>
      <w:r>
        <w:rPr>
          <w:szCs w:val="24"/>
          <w:lang w:val="es-ES_tradnl"/>
        </w:rPr>
        <w:t>Cabe observar que el funcionamiento del centro ha mejorado el tratamiento de la violencia doméstica en la población beduina, permitiendo proporcionar una atención realista, específica y eficaz sin las presiones de la comunidad y la familia.</w:t>
      </w:r>
    </w:p>
    <w:p w:rsidR="00F92819" w:rsidRDefault="00F92819">
      <w:pPr>
        <w:pStyle w:val="SingleTxtG"/>
        <w:rPr>
          <w:szCs w:val="24"/>
        </w:rPr>
      </w:pPr>
      <w:r>
        <w:rPr>
          <w:szCs w:val="24"/>
        </w:rPr>
        <w:t>488.</w:t>
      </w:r>
      <w:r>
        <w:rPr>
          <w:szCs w:val="24"/>
        </w:rPr>
        <w:tab/>
      </w:r>
      <w:r>
        <w:rPr>
          <w:szCs w:val="24"/>
          <w:lang w:val="es-ES_tradnl"/>
        </w:rPr>
        <w:t>En 2008, el Servicio para Niñas y Muchachas atiende a unas 380 jóvenes beduinas, 300 en el sur y 80 en el norte, dándoles tratamiento individual y en grupo.</w:t>
      </w:r>
    </w:p>
    <w:p w:rsidR="00F92819" w:rsidRDefault="00F92819">
      <w:pPr>
        <w:pStyle w:val="H4G"/>
        <w:rPr>
          <w:szCs w:val="24"/>
        </w:rPr>
      </w:pPr>
      <w:r>
        <w:rPr>
          <w:szCs w:val="24"/>
        </w:rPr>
        <w:tab/>
      </w:r>
      <w:r>
        <w:rPr>
          <w:szCs w:val="24"/>
        </w:rPr>
        <w:tab/>
      </w:r>
      <w:r>
        <w:rPr>
          <w:szCs w:val="24"/>
          <w:lang w:val="es-ES_tradnl"/>
        </w:rPr>
        <w:t>Planificación: la población beduina del norte</w:t>
      </w:r>
    </w:p>
    <w:p w:rsidR="00F92819" w:rsidRDefault="00F92819">
      <w:pPr>
        <w:pStyle w:val="SingleTxtG"/>
        <w:rPr>
          <w:szCs w:val="24"/>
        </w:rPr>
      </w:pPr>
      <w:r>
        <w:rPr>
          <w:szCs w:val="24"/>
        </w:rPr>
        <w:t>489.</w:t>
      </w:r>
      <w:r>
        <w:rPr>
          <w:szCs w:val="24"/>
        </w:rPr>
        <w:tab/>
      </w:r>
      <w:r>
        <w:rPr>
          <w:szCs w:val="24"/>
          <w:lang w:val="es-ES_tradnl"/>
        </w:rPr>
        <w:t xml:space="preserve">Los planes actualizados para todas las localidades beduinas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norte están disponibles o bien en proceso de planificación (por el Ministerio del Interior o por las autoridades locales y estatales).</w:t>
      </w:r>
    </w:p>
    <w:p w:rsidR="00F92819" w:rsidRDefault="00F92819">
      <w:pPr>
        <w:pStyle w:val="SingleTxtG"/>
        <w:rPr>
          <w:szCs w:val="24"/>
        </w:rPr>
      </w:pPr>
      <w:r>
        <w:rPr>
          <w:szCs w:val="24"/>
        </w:rPr>
        <w:t>490.</w:t>
      </w:r>
      <w:r>
        <w:rPr>
          <w:szCs w:val="24"/>
        </w:rPr>
        <w:tab/>
      </w:r>
      <w:r>
        <w:rPr>
          <w:szCs w:val="24"/>
          <w:lang w:val="es-ES_tradnl"/>
        </w:rPr>
        <w:t xml:space="preserve">Además, el Departamento de Planificación del Ministerio </w:t>
      </w:r>
      <w:smartTag w:uri="urn:schemas-microsoft-com:office:smarttags" w:element="State">
        <w:r>
          <w:rPr>
            <w:szCs w:val="24"/>
            <w:lang w:val="es-ES_tradnl"/>
          </w:rPr>
          <w:t>del</w:t>
        </w:r>
      </w:smartTag>
      <w:r>
        <w:rPr>
          <w:szCs w:val="24"/>
          <w:lang w:val="es-ES_tradnl"/>
        </w:rPr>
        <w:t xml:space="preserve"> Interior promueve planes detallados para la unificación y distribución de las poblaciones beduinas </w:t>
      </w:r>
      <w:smartTag w:uri="urn:schemas-microsoft-com:office:smarttags" w:element="place">
        <w:smartTag w:uri="urn:schemas-microsoft-com:office:smarttags" w:element="State">
          <w:r>
            <w:rPr>
              <w:szCs w:val="24"/>
              <w:lang w:val="es-ES_tradnl"/>
            </w:rPr>
            <w:t>del</w:t>
          </w:r>
        </w:smartTag>
      </w:smartTag>
      <w:r>
        <w:rPr>
          <w:szCs w:val="24"/>
          <w:lang w:val="es-ES_tradnl"/>
        </w:rPr>
        <w:t xml:space="preserve"> norte; la primera fase abarca seis localidades y tiene asignada un presupuesto de 4 millones de nuevos sheqalim (1.052.631 dólares de los EE.UU.).</w:t>
      </w:r>
    </w:p>
    <w:p w:rsidR="00F92819" w:rsidRDefault="00F92819">
      <w:pPr>
        <w:pStyle w:val="H4G"/>
        <w:rPr>
          <w:szCs w:val="24"/>
        </w:rPr>
      </w:pPr>
      <w:r>
        <w:rPr>
          <w:szCs w:val="24"/>
        </w:rPr>
        <w:tab/>
      </w:r>
      <w:r>
        <w:rPr>
          <w:szCs w:val="24"/>
        </w:rPr>
        <w:tab/>
      </w:r>
      <w:r>
        <w:rPr>
          <w:szCs w:val="24"/>
          <w:lang w:val="es-ES_tradnl"/>
        </w:rPr>
        <w:t>Políticas relacionadas con la oferta y la demanda</w:t>
      </w:r>
    </w:p>
    <w:p w:rsidR="00F92819" w:rsidRDefault="00F92819">
      <w:pPr>
        <w:pStyle w:val="SingleTxtG"/>
        <w:rPr>
          <w:szCs w:val="24"/>
        </w:rPr>
      </w:pPr>
      <w:r>
        <w:rPr>
          <w:szCs w:val="24"/>
        </w:rPr>
        <w:t>491.</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4G"/>
        <w:rPr>
          <w:szCs w:val="24"/>
        </w:rPr>
      </w:pPr>
      <w:r>
        <w:rPr>
          <w:szCs w:val="24"/>
        </w:rPr>
        <w:tab/>
      </w:r>
      <w:r>
        <w:rPr>
          <w:szCs w:val="24"/>
        </w:rPr>
        <w:tab/>
      </w:r>
      <w:r>
        <w:rPr>
          <w:szCs w:val="24"/>
          <w:lang w:val="es-ES_tradnl"/>
        </w:rPr>
        <w:t xml:space="preserve">Asistencia para la vivienda, incluida la hipoteca, suplementos de alquileres, alivio temporal para los casos de crisis de vivienda grave y asistencia especial para las personas sin hogar </w:t>
      </w:r>
    </w:p>
    <w:p w:rsidR="00F92819" w:rsidRDefault="00F92819">
      <w:pPr>
        <w:pStyle w:val="SingleTxtG"/>
        <w:rPr>
          <w:szCs w:val="24"/>
        </w:rPr>
      </w:pPr>
      <w:r>
        <w:rPr>
          <w:szCs w:val="24"/>
        </w:rPr>
        <w:t>492.</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Marco jurídico de la asistencia para la vivienda</w:t>
      </w:r>
    </w:p>
    <w:p w:rsidR="00F92819" w:rsidRDefault="00F92819">
      <w:pPr>
        <w:pStyle w:val="SingleTxtG"/>
        <w:rPr>
          <w:szCs w:val="24"/>
        </w:rPr>
      </w:pPr>
      <w:r>
        <w:rPr>
          <w:szCs w:val="24"/>
        </w:rPr>
        <w:t>493.</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1G"/>
        <w:spacing w:after="0"/>
        <w:ind w:firstLine="0"/>
        <w:rPr>
          <w:szCs w:val="24"/>
          <w:lang w:val="es-ES_tradnl"/>
        </w:rPr>
      </w:pPr>
      <w:r>
        <w:rPr>
          <w:szCs w:val="24"/>
          <w:lang w:val="es-ES_tradnl"/>
        </w:rPr>
        <w:t>Artículo 12</w:t>
      </w:r>
    </w:p>
    <w:p w:rsidR="00F92819" w:rsidRDefault="00F92819">
      <w:pPr>
        <w:pStyle w:val="H1G"/>
        <w:spacing w:before="0"/>
        <w:ind w:firstLine="0"/>
        <w:rPr>
          <w:szCs w:val="24"/>
        </w:rPr>
      </w:pPr>
      <w:r>
        <w:rPr>
          <w:szCs w:val="24"/>
          <w:lang w:val="es-ES_tradnl"/>
        </w:rPr>
        <w:t>Derecho al nivel más alto posible de salud</w:t>
      </w:r>
    </w:p>
    <w:p w:rsidR="00F92819" w:rsidRDefault="00F92819">
      <w:pPr>
        <w:pStyle w:val="SingleTxtG"/>
        <w:rPr>
          <w:szCs w:val="24"/>
        </w:rPr>
      </w:pPr>
      <w:r>
        <w:rPr>
          <w:szCs w:val="24"/>
        </w:rPr>
        <w:t>494.</w:t>
      </w:r>
      <w:r>
        <w:rPr>
          <w:szCs w:val="24"/>
        </w:rPr>
        <w:tab/>
      </w:r>
      <w:r>
        <w:rPr>
          <w:szCs w:val="24"/>
          <w:lang w:val="es-ES_tradnl"/>
        </w:rPr>
        <w:t>Derecho a una muerte digna.</w:t>
      </w:r>
      <w:r>
        <w:rPr>
          <w:szCs w:val="24"/>
        </w:rPr>
        <w:t xml:space="preserve"> </w:t>
      </w:r>
      <w:r>
        <w:rPr>
          <w:szCs w:val="24"/>
          <w:lang w:val="es-ES_tradnl"/>
        </w:rPr>
        <w:t xml:space="preserve">El 6 de diciembre de 2005 el Knesset sancionó la </w:t>
      </w:r>
      <w:r>
        <w:rPr>
          <w:i/>
          <w:szCs w:val="24"/>
          <w:lang w:val="es-ES_tradnl"/>
        </w:rPr>
        <w:t>Ley del enfermo terminal</w:t>
      </w:r>
      <w:r>
        <w:rPr>
          <w:szCs w:val="24"/>
          <w:lang w:val="es-ES_tradnl"/>
        </w:rPr>
        <w:t>, que da una respuesta el dilema médico-ético con respecto al tratamiento de los pacientes con enfermedades terminales.</w:t>
      </w:r>
      <w:r>
        <w:rPr>
          <w:szCs w:val="24"/>
        </w:rPr>
        <w:t xml:space="preserve"> </w:t>
      </w:r>
      <w:r>
        <w:rPr>
          <w:szCs w:val="24"/>
          <w:lang w:val="es-ES_tradnl"/>
        </w:rPr>
        <w:t>La Ley se basa en las recomendaciones de un comité público nombrado por el Ministro de Salud en 2000 y formado por 59 miembros que representaban diversas especialidades relacionadas con la cuestión, a saber:</w:t>
      </w:r>
      <w:r>
        <w:rPr>
          <w:szCs w:val="24"/>
        </w:rPr>
        <w:t xml:space="preserve"> </w:t>
      </w:r>
      <w:r>
        <w:rPr>
          <w:szCs w:val="24"/>
          <w:lang w:val="es-ES_tradnl"/>
        </w:rPr>
        <w:t>medicina, enfermería, asistencia social, religión, filosofía, derecho y ética.</w:t>
      </w:r>
      <w:r>
        <w:rPr>
          <w:szCs w:val="24"/>
        </w:rPr>
        <w:t xml:space="preserve"> </w:t>
      </w:r>
      <w:r>
        <w:rPr>
          <w:szCs w:val="24"/>
          <w:lang w:val="es-ES_tradnl"/>
        </w:rPr>
        <w:t>La Ley se fundamenta en los valores del Estado de Israel como Estado judío y democrático y trata de establecer un equilibrio entre los valores de la inviolabilidad de la vida, la calidad de la vida y el respeto de la voluntad autónoma de la persona.</w:t>
      </w:r>
    </w:p>
    <w:p w:rsidR="00F92819" w:rsidRDefault="00F92819">
      <w:pPr>
        <w:pStyle w:val="SingleTxtG"/>
        <w:rPr>
          <w:szCs w:val="24"/>
        </w:rPr>
      </w:pPr>
      <w:r>
        <w:rPr>
          <w:szCs w:val="24"/>
        </w:rPr>
        <w:t>495.</w:t>
      </w:r>
      <w:r>
        <w:rPr>
          <w:szCs w:val="24"/>
        </w:rPr>
        <w:tab/>
      </w:r>
      <w:r>
        <w:rPr>
          <w:szCs w:val="24"/>
          <w:lang w:val="es-ES_tradnl"/>
        </w:rPr>
        <w:t>La Ley da por sentado que cada persona quiere seguir viviendo a menos que se pruebe lo contrario.</w:t>
      </w:r>
      <w:r>
        <w:rPr>
          <w:szCs w:val="24"/>
        </w:rPr>
        <w:t xml:space="preserve"> </w:t>
      </w:r>
      <w:r>
        <w:rPr>
          <w:szCs w:val="24"/>
          <w:lang w:val="es-ES_tradnl"/>
        </w:rPr>
        <w:t>Además, en caso de duda, debe preferirse el deseo de vivir (art. 4a).</w:t>
      </w:r>
      <w:r>
        <w:rPr>
          <w:szCs w:val="24"/>
        </w:rPr>
        <w:t xml:space="preserve"> </w:t>
      </w:r>
      <w:r>
        <w:rPr>
          <w:szCs w:val="24"/>
          <w:lang w:val="es-ES_tradnl"/>
        </w:rPr>
        <w:t>El tratamiento de un enfermo terminal no debe abandonarse a menos que sea evidente, según condiciones determinadas, que el paciente no quiere seguir viviendo (art. 4b).</w:t>
      </w:r>
      <w:r>
        <w:rPr>
          <w:szCs w:val="24"/>
        </w:rPr>
        <w:t xml:space="preserve"> </w:t>
      </w:r>
      <w:r>
        <w:rPr>
          <w:szCs w:val="24"/>
          <w:lang w:val="es-ES_tradnl"/>
        </w:rPr>
        <w:t>Si el enfermo terminal tiene “capacidad”, es decir, tiene más de 17 años, puede expresar su voluntad, no ha sido declarado incapacitado ni excluido de esta condición por decisión médica documentada y justificada, toda decisión relativa a su tratamiento médico debe estar sujeta a la voluntad implícita del paciente.</w:t>
      </w:r>
      <w:r>
        <w:rPr>
          <w:szCs w:val="24"/>
        </w:rPr>
        <w:t xml:space="preserve"> </w:t>
      </w:r>
      <w:r>
        <w:rPr>
          <w:szCs w:val="24"/>
          <w:lang w:val="es-ES_tradnl"/>
        </w:rPr>
        <w:t>Si el enfermo terminal no tiene “capacidad”, toda decisión relativa a su tratamiento médico debe seguir sus instrucciones preliminares, las de una persona apoderada o la decisión de una “comisión institucional” en el sentido que se define más abajo.</w:t>
      </w:r>
      <w:r>
        <w:rPr>
          <w:szCs w:val="24"/>
        </w:rPr>
        <w:t xml:space="preserve"> </w:t>
      </w:r>
      <w:r>
        <w:rPr>
          <w:szCs w:val="24"/>
          <w:lang w:val="es-ES_tradnl"/>
        </w:rPr>
        <w:t>Si no hay instrucciones ni decisiones, la decisión de no dar tratamiento médico a un enfermo terminal estará a cargo del médico responsable, que debe tener en cuenta el testimonio implícito</w:t>
      </w:r>
      <w:r>
        <w:rPr>
          <w:b/>
          <w:szCs w:val="24"/>
          <w:lang w:val="es-ES_tradnl"/>
        </w:rPr>
        <w:t xml:space="preserve"> </w:t>
      </w:r>
      <w:r>
        <w:rPr>
          <w:szCs w:val="24"/>
          <w:lang w:val="es-ES_tradnl"/>
        </w:rPr>
        <w:t>del pariente del enfermo y, a falta de pariente, la posición del tutor del paciente (art. 4b, 1) y 2)).</w:t>
      </w:r>
    </w:p>
    <w:p w:rsidR="00F92819" w:rsidRDefault="00F92819">
      <w:pPr>
        <w:pStyle w:val="SingleTxtG"/>
        <w:rPr>
          <w:szCs w:val="24"/>
        </w:rPr>
      </w:pPr>
      <w:r>
        <w:rPr>
          <w:szCs w:val="24"/>
        </w:rPr>
        <w:t>496.</w:t>
      </w:r>
      <w:r>
        <w:rPr>
          <w:szCs w:val="24"/>
        </w:rPr>
        <w:tab/>
      </w:r>
      <w:r>
        <w:rPr>
          <w:szCs w:val="24"/>
          <w:lang w:val="es-ES_tradnl"/>
        </w:rPr>
        <w:t>La Ley dispone que se respete la voluntad de los enfermos terminales cuando no quieran que se les prolongue la vida, en cuyo caso no deberá dispensárseles tratamiento médico (art. 8).</w:t>
      </w:r>
      <w:r>
        <w:rPr>
          <w:szCs w:val="24"/>
        </w:rPr>
        <w:t xml:space="preserve"> </w:t>
      </w:r>
      <w:r>
        <w:rPr>
          <w:szCs w:val="24"/>
          <w:lang w:val="es-ES_tradnl"/>
        </w:rPr>
        <w:t>Sin embargo, cabe aclarar que la Ley no permite cometer un acto, ni siquiera un acto médico, que vaya dirigido intencionalmente a provocar el fallecimiento del enfermo terminal, o que conlleve con toda seguridad ese desenlace, aunque sus móviles sean compasivos (art. 12).</w:t>
      </w:r>
      <w:r>
        <w:rPr>
          <w:szCs w:val="24"/>
        </w:rPr>
        <w:t xml:space="preserve"> </w:t>
      </w:r>
      <w:r>
        <w:rPr>
          <w:szCs w:val="24"/>
          <w:lang w:val="es-ES_tradnl"/>
        </w:rPr>
        <w:t>Además, está prohibido ayudar al paciente a suicidarse o interrumpir un tratamiento médico subsiguiente a un intento de suicidio (arts. 13 y 14a respectivamente).</w:t>
      </w:r>
      <w:r>
        <w:rPr>
          <w:szCs w:val="24"/>
        </w:rPr>
        <w:t xml:space="preserve"> </w:t>
      </w:r>
      <w:r>
        <w:rPr>
          <w:szCs w:val="24"/>
          <w:lang w:val="es-ES_tradnl"/>
        </w:rPr>
        <w:t>Sin embargo, se permite abstenerse de reanudar un tratamiento médico subsiguiente que se ha terminado sólo por razones médicas o</w:t>
      </w:r>
      <w:r>
        <w:rPr>
          <w:b/>
          <w:szCs w:val="24"/>
          <w:lang w:val="es-ES_tradnl"/>
        </w:rPr>
        <w:t xml:space="preserve"> </w:t>
      </w:r>
      <w:r>
        <w:rPr>
          <w:szCs w:val="24"/>
          <w:lang w:val="es-ES_tradnl"/>
        </w:rPr>
        <w:t>un tratamiento médico cíclico (art. 14b).</w:t>
      </w:r>
    </w:p>
    <w:p w:rsidR="00F92819" w:rsidRDefault="00F92819">
      <w:pPr>
        <w:pStyle w:val="SingleTxtG"/>
        <w:rPr>
          <w:szCs w:val="24"/>
        </w:rPr>
      </w:pPr>
      <w:r>
        <w:rPr>
          <w:szCs w:val="24"/>
        </w:rPr>
        <w:t>497.</w:t>
      </w:r>
      <w:r>
        <w:rPr>
          <w:szCs w:val="24"/>
        </w:rPr>
        <w:tab/>
      </w:r>
      <w:r>
        <w:rPr>
          <w:szCs w:val="24"/>
          <w:lang w:val="es-ES_tradnl"/>
        </w:rPr>
        <w:t>La Ley del enfermo terminal contiene diversas disposiciones sobre la forma y el procedimiento por los cuales una persona puede expresar, con anticipación, su voluntad sobre el tratamiento médico que se le dará en caso de enfermedad terminal. Además, la Ley dice que cada institución médica debe nombrar, en consulta con una comisión del Estado, comisiones institucionales para que decidan en casos de conflicto o si hay alguna duda sobre la forma de tratar al enfermo terminal.</w:t>
      </w:r>
      <w:r>
        <w:rPr>
          <w:szCs w:val="24"/>
        </w:rPr>
        <w:t xml:space="preserve"> </w:t>
      </w:r>
      <w:r>
        <w:rPr>
          <w:szCs w:val="24"/>
          <w:lang w:val="es-ES_tradnl"/>
        </w:rPr>
        <w:t>Estas comisiones estarán formadas por cuatro médicos, una enfermera, un asistente social o un psicólogo clínico, un académico especializado en filosofía o ética, un jurista cualificado para ser nombrado juez de distrito y un representante público o una personalidad religiosa.</w:t>
      </w:r>
    </w:p>
    <w:p w:rsidR="00F92819" w:rsidRDefault="00F92819">
      <w:pPr>
        <w:pStyle w:val="SingleTxtG"/>
        <w:rPr>
          <w:szCs w:val="24"/>
        </w:rPr>
      </w:pPr>
      <w:r>
        <w:rPr>
          <w:szCs w:val="24"/>
        </w:rPr>
        <w:t>498.</w:t>
      </w:r>
      <w:r>
        <w:rPr>
          <w:szCs w:val="24"/>
        </w:rPr>
        <w:tab/>
      </w:r>
      <w:r>
        <w:rPr>
          <w:szCs w:val="24"/>
          <w:lang w:val="es-ES_tradnl"/>
        </w:rPr>
        <w:t>En 2007 el gasto sanitario nacional era 7,9% del PIB, similar al de 2006, cuyo 36% estaba financiado por los hogares y un 37% mediante los presupuestos del Estado.</w:t>
      </w:r>
    </w:p>
    <w:p w:rsidR="00F92819" w:rsidRDefault="00F92819">
      <w:pPr>
        <w:pStyle w:val="SingleTxtG"/>
        <w:rPr>
          <w:szCs w:val="24"/>
        </w:rPr>
      </w:pPr>
      <w:r>
        <w:rPr>
          <w:szCs w:val="24"/>
        </w:rPr>
        <w:t>499.</w:t>
      </w:r>
      <w:r>
        <w:rPr>
          <w:szCs w:val="24"/>
        </w:rPr>
        <w:tab/>
      </w:r>
      <w:r>
        <w:rPr>
          <w:szCs w:val="24"/>
          <w:lang w:val="es-ES_tradnl"/>
        </w:rPr>
        <w:t>En un estudio realizado por el Ministerio de Salud durante 2003-2004 se obtuvieron los siguientes resultados (tasas por cada 100 residentes):</w:t>
      </w:r>
      <w:r>
        <w:rPr>
          <w:szCs w:val="24"/>
        </w:rPr>
        <w:t xml:space="preserve"> </w:t>
      </w:r>
      <w:r>
        <w:rPr>
          <w:szCs w:val="24"/>
          <w:lang w:val="es-ES_tradnl"/>
        </w:rPr>
        <w:t>el 53,1% de las mujeres israelíes y el 57,3% de los hombres israelíes valoraron su salud general, tanto física como mental, como muy buena o excelente.</w:t>
      </w:r>
      <w:r>
        <w:rPr>
          <w:szCs w:val="24"/>
        </w:rPr>
        <w:t xml:space="preserve"> </w:t>
      </w:r>
      <w:r>
        <w:rPr>
          <w:szCs w:val="24"/>
          <w:lang w:val="es-ES_tradnl"/>
        </w:rPr>
        <w:t>En la población judía, el 55,2 % de las mujeres y el 59,1% de los hombres valoraron su salud como muy buena o excelente, frente a un 53% de las mujeres y un 54,9% de los hombres en la población árabe.</w:t>
      </w:r>
    </w:p>
    <w:p w:rsidR="00F92819" w:rsidRDefault="00F92819">
      <w:pPr>
        <w:pStyle w:val="SingleTxtG"/>
        <w:rPr>
          <w:szCs w:val="24"/>
        </w:rPr>
      </w:pPr>
      <w:r>
        <w:rPr>
          <w:szCs w:val="24"/>
        </w:rPr>
        <w:t>500.</w:t>
      </w:r>
      <w:r>
        <w:rPr>
          <w:szCs w:val="24"/>
        </w:rPr>
        <w:tab/>
      </w:r>
      <w:r>
        <w:rPr>
          <w:szCs w:val="24"/>
          <w:lang w:val="es-ES_tradnl"/>
        </w:rPr>
        <w:t>Sobre el hábito de fumar, el 18,6% de las mujeres y el 36,1% de los hombres manifestaron que fuman cigarrillos por lo menos una vez al día.</w:t>
      </w:r>
      <w:r>
        <w:rPr>
          <w:szCs w:val="24"/>
        </w:rPr>
        <w:t xml:space="preserve"> </w:t>
      </w:r>
      <w:r>
        <w:rPr>
          <w:szCs w:val="24"/>
          <w:lang w:val="es-ES_tradnl"/>
        </w:rPr>
        <w:t>Entre la población judía, dijeron fumar el 19,8% de las mujeres y el 32,1% de los hombres, frente a un 4,6% de las mujeres y un 55,2% de los hombres de la población árabe.</w:t>
      </w:r>
      <w:r>
        <w:rPr>
          <w:szCs w:val="24"/>
        </w:rPr>
        <w:t xml:space="preserve"> </w:t>
      </w:r>
      <w:r>
        <w:rPr>
          <w:szCs w:val="24"/>
          <w:lang w:val="es-ES_tradnl"/>
        </w:rPr>
        <w:t>Con respecto al índice de masa corporal (IMC), el 13,9% de los hombres y el 15,7% de las mujeres presentaban un IMC igual o superior a 30, basándose en el peso y la altura que declararon.</w:t>
      </w:r>
    </w:p>
    <w:p w:rsidR="00F92819" w:rsidRDefault="00F92819">
      <w:pPr>
        <w:pStyle w:val="H23G"/>
        <w:rPr>
          <w:szCs w:val="24"/>
        </w:rPr>
      </w:pPr>
      <w:r>
        <w:rPr>
          <w:szCs w:val="24"/>
        </w:rPr>
        <w:tab/>
      </w:r>
      <w:r>
        <w:rPr>
          <w:szCs w:val="24"/>
        </w:rPr>
        <w:tab/>
      </w:r>
      <w:r>
        <w:rPr>
          <w:szCs w:val="24"/>
          <w:lang w:val="es-ES_tradnl"/>
        </w:rPr>
        <w:t>Programa de medidas de calidad</w:t>
      </w:r>
    </w:p>
    <w:p w:rsidR="00F92819" w:rsidRDefault="00F92819">
      <w:pPr>
        <w:pStyle w:val="SingleTxtG"/>
        <w:rPr>
          <w:szCs w:val="24"/>
        </w:rPr>
      </w:pPr>
      <w:r w:rsidRPr="008E2128">
        <w:rPr>
          <w:szCs w:val="24"/>
        </w:rPr>
        <w:t>501.</w:t>
      </w:r>
      <w:r w:rsidRPr="008E2128">
        <w:rPr>
          <w:szCs w:val="24"/>
        </w:rPr>
        <w:tab/>
      </w:r>
      <w:r>
        <w:rPr>
          <w:szCs w:val="24"/>
          <w:lang w:val="es-ES_tradnl"/>
        </w:rPr>
        <w:t>La</w:t>
      </w:r>
      <w:r>
        <w:rPr>
          <w:i/>
          <w:szCs w:val="24"/>
          <w:lang w:val="es-ES_tradnl"/>
        </w:rPr>
        <w:t xml:space="preserve"> Ley del seguro médico nacional</w:t>
      </w:r>
      <w:r>
        <w:rPr>
          <w:szCs w:val="24"/>
          <w:lang w:val="es-ES_tradnl"/>
        </w:rPr>
        <w:t xml:space="preserve"> dispone la creación de organizaciones de investigación y evaluación (el Consejo de Salud, el Instituto de Política Sanitaria e Investigación en Servicios de Salud de Israel), con el fin de supervisar y evaluar cómo afecta la Ley a la calidad, la eficacia y el costo de los servicios de salud en Israel.</w:t>
      </w:r>
      <w:r>
        <w:rPr>
          <w:szCs w:val="24"/>
        </w:rPr>
        <w:t xml:space="preserve"> </w:t>
      </w:r>
      <w:r>
        <w:rPr>
          <w:szCs w:val="24"/>
          <w:lang w:val="es-ES_tradnl"/>
        </w:rPr>
        <w:t xml:space="preserve">Dentro de este contexto se hizo necesario crear un sistema de indicadores para la atención sanitaria de la comunidad en Israel que permitiera la evaluación permanente del nivel de tratamiento con respecto a los indicadores nacionales e internacionales. </w:t>
      </w:r>
    </w:p>
    <w:p w:rsidR="00F92819" w:rsidRDefault="00F92819">
      <w:pPr>
        <w:pStyle w:val="SingleTxtG"/>
        <w:rPr>
          <w:szCs w:val="24"/>
        </w:rPr>
      </w:pPr>
      <w:r>
        <w:rPr>
          <w:szCs w:val="24"/>
        </w:rPr>
        <w:t>502.</w:t>
      </w:r>
      <w:r>
        <w:rPr>
          <w:szCs w:val="24"/>
        </w:rPr>
        <w:tab/>
      </w:r>
      <w:r>
        <w:rPr>
          <w:szCs w:val="24"/>
          <w:lang w:val="es-ES_tradnl"/>
        </w:rPr>
        <w:t xml:space="preserve">El Programa de Indicadores de Calidad de </w:t>
      </w:r>
      <w:smartTag w:uri="urn:schemas-microsoft-com:office:smarttags" w:element="PersonName">
        <w:smartTagPr>
          <w:attr w:name="ProductID" w:val="la Atenci￳n Sanitaria"/>
        </w:smartTagPr>
        <w:r>
          <w:rPr>
            <w:szCs w:val="24"/>
            <w:lang w:val="es-ES_tradnl"/>
          </w:rPr>
          <w:t>la Atención Sanitaria</w:t>
        </w:r>
      </w:smartTag>
      <w:r>
        <w:rPr>
          <w:szCs w:val="24"/>
          <w:lang w:val="es-ES_tradnl"/>
        </w:rPr>
        <w:t xml:space="preserve"> de la Comunidad fue iniciado por investigadores de </w:t>
      </w:r>
      <w:smartTag w:uri="urn:schemas-microsoft-com:office:smarttags" w:element="PersonName">
        <w:smartTagPr>
          <w:attr w:name="ProductID" w:val="la Universidad Ben-Gurion"/>
        </w:smartTagPr>
        <w:r>
          <w:rPr>
            <w:szCs w:val="24"/>
            <w:lang w:val="es-ES_tradnl"/>
          </w:rPr>
          <w:t>la Universidad Ben-Gurion</w:t>
        </w:r>
      </w:smartTag>
      <w:r>
        <w:rPr>
          <w:szCs w:val="24"/>
          <w:lang w:val="es-ES_tradnl"/>
        </w:rPr>
        <w:t xml:space="preserve"> del Negev, conjuntamente con los cuatro fondos de salud israelíes y con el apoyo de </w:t>
      </w:r>
      <w:smartTag w:uri="urn:schemas-microsoft-com:office:smarttags" w:element="PersonName">
        <w:smartTagPr>
          <w:attr w:name="ProductID" w:val="la Asociaci￳n M￩dica Israel￭"/>
        </w:smartTagPr>
        <w:r>
          <w:rPr>
            <w:szCs w:val="24"/>
            <w:lang w:val="es-ES_tradnl"/>
          </w:rPr>
          <w:t>la Asociación Médica Israelí</w:t>
        </w:r>
      </w:smartTag>
      <w:r>
        <w:rPr>
          <w:szCs w:val="24"/>
          <w:lang w:val="es-ES_tradnl"/>
        </w:rPr>
        <w:t xml:space="preserve"> y el patrocinio del Instituto de Política Sanitaria e Investigación en Servicios de Salud de Israel.</w:t>
      </w:r>
      <w:r>
        <w:rPr>
          <w:szCs w:val="24"/>
        </w:rPr>
        <w:t xml:space="preserve"> </w:t>
      </w:r>
      <w:r>
        <w:rPr>
          <w:szCs w:val="24"/>
          <w:lang w:val="es-ES_tradnl"/>
        </w:rPr>
        <w:t>En marzo de 2004 el Ministerio de Salud declaró esta actividad programa nacional, encabezado por un comité de dirección formado por todas las organizaciones participantes.</w:t>
      </w:r>
    </w:p>
    <w:p w:rsidR="00F92819" w:rsidRDefault="00F92819">
      <w:pPr>
        <w:pStyle w:val="SingleTxtG"/>
        <w:rPr>
          <w:szCs w:val="24"/>
        </w:rPr>
      </w:pPr>
      <w:r>
        <w:rPr>
          <w:szCs w:val="24"/>
        </w:rPr>
        <w:t>503.</w:t>
      </w:r>
      <w:r>
        <w:rPr>
          <w:szCs w:val="24"/>
        </w:rPr>
        <w:tab/>
      </w:r>
      <w:r>
        <w:rPr>
          <w:szCs w:val="24"/>
          <w:lang w:val="es-ES_tradnl"/>
        </w:rPr>
        <w:t>El programa nacional tiene como principales objetivos mejorar la calidad de la atención sanitaria de la comunidad en Israel mediante un control permanente del desempeño, e informar al público en general y a los responsables de la política sobre la calidad de los servicios de salud en Israel.</w:t>
      </w:r>
      <w:r>
        <w:rPr>
          <w:szCs w:val="24"/>
        </w:rPr>
        <w:t xml:space="preserve"> </w:t>
      </w:r>
      <w:r>
        <w:rPr>
          <w:szCs w:val="24"/>
          <w:lang w:val="es-ES_tradnl"/>
        </w:rPr>
        <w:t>El programa contempla una evaluación rutinaria y dinámica de la calidad de los servicios de diagnóstico, terapéuticos y de rehabilitación que prestan los fondos para la salud.</w:t>
      </w:r>
    </w:p>
    <w:p w:rsidR="00F92819" w:rsidRDefault="00F92819">
      <w:pPr>
        <w:pStyle w:val="SingleTxtG"/>
        <w:rPr>
          <w:szCs w:val="24"/>
        </w:rPr>
      </w:pPr>
      <w:r>
        <w:rPr>
          <w:szCs w:val="24"/>
        </w:rPr>
        <w:t>504.</w:t>
      </w:r>
      <w:r>
        <w:rPr>
          <w:szCs w:val="24"/>
        </w:rPr>
        <w:tab/>
      </w:r>
      <w:r>
        <w:rPr>
          <w:szCs w:val="24"/>
          <w:lang w:val="es-ES_tradnl"/>
        </w:rPr>
        <w:t xml:space="preserve">Hasta la fecha se han implantado 69 indicadores en seis de los principales ámbitos médicos y se controlan regularmente en toda </w:t>
      </w:r>
      <w:smartTag w:uri="urn:schemas-microsoft-com:office:smarttags" w:element="PersonName">
        <w:smartTagPr>
          <w:attr w:name="ProductID" w:val="la poblaci￳n Israel￭. Esta"/>
        </w:smartTagPr>
        <w:r>
          <w:rPr>
            <w:szCs w:val="24"/>
            <w:lang w:val="es-ES_tradnl"/>
          </w:rPr>
          <w:t>la población Israelí. Esta</w:t>
        </w:r>
      </w:smartTag>
      <w:r>
        <w:rPr>
          <w:szCs w:val="24"/>
          <w:lang w:val="es-ES_tradnl"/>
        </w:rPr>
        <w:t xml:space="preserve"> infraestructura científica permanente ayuda a establecer prioridades a nivel nacional en la elaboración de políticas y produce una mejora de </w:t>
      </w:r>
      <w:smartTag w:uri="urn:schemas-microsoft-com:office:smarttags" w:element="PersonName">
        <w:smartTagPr>
          <w:attr w:name="ProductID" w:val="la calidad. La"/>
        </w:smartTagPr>
        <w:r>
          <w:rPr>
            <w:szCs w:val="24"/>
            <w:lang w:val="es-ES_tradnl"/>
          </w:rPr>
          <w:t>la calidad.</w:t>
        </w:r>
        <w:r>
          <w:rPr>
            <w:szCs w:val="24"/>
          </w:rPr>
          <w:t xml:space="preserve"> </w:t>
        </w:r>
        <w:r>
          <w:rPr>
            <w:szCs w:val="24"/>
            <w:lang w:val="es-ES_tradnl"/>
          </w:rPr>
          <w:t>La</w:t>
        </w:r>
      </w:smartTag>
      <w:r>
        <w:rPr>
          <w:szCs w:val="24"/>
          <w:lang w:val="es-ES_tradnl"/>
        </w:rPr>
        <w:t xml:space="preserve"> información también está disponible y abierta al público en general, a quienes se invita a evaluar la calidad de los servicios en Israel y a utilizarlos de manera informada y responsable.</w:t>
      </w:r>
    </w:p>
    <w:p w:rsidR="00F92819" w:rsidRDefault="00F92819">
      <w:pPr>
        <w:pStyle w:val="SingleTxtG"/>
        <w:rPr>
          <w:szCs w:val="24"/>
        </w:rPr>
      </w:pPr>
      <w:r>
        <w:rPr>
          <w:szCs w:val="24"/>
        </w:rPr>
        <w:t>505.</w:t>
      </w:r>
      <w:r>
        <w:rPr>
          <w:szCs w:val="24"/>
        </w:rPr>
        <w:tab/>
      </w:r>
      <w:r>
        <w:rPr>
          <w:szCs w:val="24"/>
          <w:lang w:val="es-ES_tradnl"/>
        </w:rPr>
        <w:t>El informe anual sobre indicadores nacionales de calidad de la atención sanitaria de la comunidad se publicó por vez primera en 2004. El actual informe (2008) ofrece los datos correspondientes al período 2005-2007, que se refieren a seis ámbitos de la atención sanitaria de la comunidad: vacunación contra la gripe, investigación para la detección del cáncer colorrectal y mamografías para la detección del cáncer de mama, tratamiento contra el asma, tratamiento de la diabetes, medicina infantil y cardiología.</w:t>
      </w:r>
      <w:r>
        <w:rPr>
          <w:szCs w:val="24"/>
        </w:rPr>
        <w:t xml:space="preserve"> </w:t>
      </w:r>
      <w:r>
        <w:rPr>
          <w:szCs w:val="24"/>
          <w:lang w:val="es-ES_tradnl"/>
        </w:rPr>
        <w:t>Según el informe, en la mayoría de los indicadores examinados se ha registrado una mejora continua.</w:t>
      </w:r>
      <w:r>
        <w:rPr>
          <w:szCs w:val="24"/>
        </w:rPr>
        <w:t xml:space="preserve"> </w:t>
      </w:r>
      <w:r>
        <w:rPr>
          <w:szCs w:val="24"/>
          <w:lang w:val="es-ES_tradnl"/>
        </w:rPr>
        <w:t>El rendimiento nacional fue considerado alto en la mayoría de los indicadores, también en comparación con los niveles internacionales.</w:t>
      </w:r>
      <w:r>
        <w:rPr>
          <w:szCs w:val="24"/>
        </w:rPr>
        <w:t xml:space="preserve"> </w:t>
      </w:r>
      <w:r>
        <w:rPr>
          <w:szCs w:val="24"/>
          <w:lang w:val="es-ES_tradnl"/>
        </w:rPr>
        <w:t>Los informes anuales están disponibles en el sitio web del Instituto Nacional de Salud Pública:</w:t>
      </w:r>
      <w:r>
        <w:rPr>
          <w:szCs w:val="24"/>
        </w:rPr>
        <w:t xml:space="preserve"> </w:t>
      </w:r>
      <w:hyperlink r:id="rId8" w:history="1">
        <w:r>
          <w:rPr>
            <w:rStyle w:val="Hyperlink"/>
            <w:color w:val="000000"/>
            <w:szCs w:val="24"/>
            <w:lang w:val="es-ES_tradnl"/>
          </w:rPr>
          <w:t>http://www.israelhpr.org.il</w:t>
        </w:r>
      </w:hyperlink>
      <w:r>
        <w:rPr>
          <w:szCs w:val="24"/>
          <w:lang w:val="es-ES_tradnl"/>
        </w:rPr>
        <w:t>.</w:t>
      </w:r>
    </w:p>
    <w:p w:rsidR="00F92819" w:rsidRDefault="00F92819">
      <w:pPr>
        <w:pStyle w:val="H23G"/>
        <w:rPr>
          <w:szCs w:val="24"/>
        </w:rPr>
      </w:pPr>
      <w:r>
        <w:rPr>
          <w:szCs w:val="24"/>
        </w:rPr>
        <w:tab/>
      </w:r>
      <w:r>
        <w:rPr>
          <w:szCs w:val="24"/>
        </w:rPr>
        <w:tab/>
      </w:r>
      <w:r>
        <w:rPr>
          <w:szCs w:val="24"/>
          <w:lang w:val="es-ES_tradnl"/>
        </w:rPr>
        <w:t xml:space="preserve">Indicadores de salud de </w:t>
      </w:r>
      <w:smartTag w:uri="urn:schemas-microsoft-com:office:smarttags" w:element="PersonName">
        <w:smartTagPr>
          <w:attr w:name="ProductID" w:val="la Organizaci￳n Mundial"/>
        </w:smartTagPr>
        <w:r>
          <w:rPr>
            <w:szCs w:val="24"/>
            <w:lang w:val="es-ES_tradnl"/>
          </w:rPr>
          <w:t>la Organización Mundial</w:t>
        </w:r>
      </w:smartTag>
      <w:r>
        <w:rPr>
          <w:szCs w:val="24"/>
          <w:lang w:val="es-ES_tradnl"/>
        </w:rPr>
        <w:t xml:space="preserve"> de la Salud</w:t>
      </w:r>
    </w:p>
    <w:p w:rsidR="00F92819" w:rsidRDefault="00F92819">
      <w:pPr>
        <w:pStyle w:val="H4G"/>
        <w:rPr>
          <w:szCs w:val="24"/>
        </w:rPr>
      </w:pPr>
      <w:r>
        <w:rPr>
          <w:szCs w:val="24"/>
        </w:rPr>
        <w:tab/>
      </w:r>
      <w:r>
        <w:rPr>
          <w:szCs w:val="24"/>
        </w:rPr>
        <w:tab/>
      </w:r>
      <w:r>
        <w:rPr>
          <w:szCs w:val="24"/>
          <w:lang w:val="es-ES_tradnl"/>
        </w:rPr>
        <w:t>Mortalidad infantil</w:t>
      </w:r>
    </w:p>
    <w:p w:rsidR="00F92819" w:rsidRDefault="00F92819">
      <w:pPr>
        <w:pStyle w:val="SingleTxtG"/>
        <w:rPr>
          <w:szCs w:val="24"/>
        </w:rPr>
      </w:pPr>
      <w:r>
        <w:rPr>
          <w:szCs w:val="24"/>
        </w:rPr>
        <w:t>506.</w:t>
      </w:r>
      <w:r>
        <w:rPr>
          <w:szCs w:val="24"/>
        </w:rPr>
        <w:tab/>
      </w:r>
      <w:r>
        <w:rPr>
          <w:szCs w:val="24"/>
          <w:lang w:val="es-ES_tradnl"/>
        </w:rPr>
        <w:t>La tendencia de la tasa de mortalidad infantil por cada 1.000 nacidos vivos ha sido la que se indica a continuación.</w:t>
      </w:r>
    </w:p>
    <w:p w:rsidR="00F92819" w:rsidRDefault="00F92819">
      <w:pPr>
        <w:pStyle w:val="Heading1"/>
        <w:spacing w:before="240"/>
        <w:rPr>
          <w:szCs w:val="24"/>
        </w:rPr>
      </w:pPr>
      <w:r>
        <w:rPr>
          <w:szCs w:val="24"/>
          <w:lang w:val="es-ES_tradnl"/>
        </w:rPr>
        <w:t>Cuadro 33</w:t>
      </w:r>
    </w:p>
    <w:p w:rsidR="00F92819" w:rsidRDefault="00F92819">
      <w:pPr>
        <w:pStyle w:val="SingleTxtG"/>
        <w:rPr>
          <w:b/>
          <w:szCs w:val="24"/>
        </w:rPr>
      </w:pPr>
      <w:r>
        <w:rPr>
          <w:b/>
          <w:szCs w:val="24"/>
          <w:lang w:val="es-ES_tradnl"/>
        </w:rPr>
        <w:t>Mortalidad infantil, 2004</w:t>
      </w:r>
      <w:r w:rsidR="008C04D7">
        <w:rPr>
          <w:b/>
          <w:szCs w:val="24"/>
          <w:lang w:val="es-ES_tradnl"/>
        </w:rPr>
        <w:t>-</w:t>
      </w:r>
      <w:r>
        <w:rPr>
          <w:b/>
          <w:szCs w:val="24"/>
          <w:lang w:val="es-ES_tradnl"/>
        </w:rPr>
        <w:t>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554"/>
        <w:gridCol w:w="829"/>
        <w:gridCol w:w="880"/>
        <w:gridCol w:w="828"/>
        <w:gridCol w:w="776"/>
        <w:gridCol w:w="828"/>
        <w:gridCol w:w="718"/>
        <w:gridCol w:w="828"/>
        <w:gridCol w:w="718"/>
        <w:gridCol w:w="828"/>
        <w:gridCol w:w="718"/>
      </w:tblGrid>
      <w:tr w:rsidR="00F92819">
        <w:tc>
          <w:tcPr>
            <w:tcW w:w="554" w:type="dxa"/>
            <w:vMerge w:val="restart"/>
            <w:tcBorders>
              <w:top w:val="single" w:sz="4" w:space="0" w:color="auto"/>
            </w:tcBorders>
            <w:vAlign w:val="bottom"/>
          </w:tcPr>
          <w:p w:rsidR="00F92819" w:rsidRDefault="00F92819">
            <w:pPr>
              <w:spacing w:before="80" w:after="80" w:line="200" w:lineRule="exact"/>
              <w:rPr>
                <w:szCs w:val="24"/>
              </w:rPr>
            </w:pPr>
            <w:r>
              <w:rPr>
                <w:i/>
                <w:sz w:val="16"/>
                <w:szCs w:val="24"/>
                <w:lang w:val="es-ES_tradnl"/>
              </w:rPr>
              <w:t>Año</w:t>
            </w:r>
          </w:p>
        </w:tc>
        <w:tc>
          <w:tcPr>
            <w:tcW w:w="1709" w:type="dxa"/>
            <w:gridSpan w:val="2"/>
            <w:tcBorders>
              <w:top w:val="single" w:sz="4" w:space="0" w:color="auto"/>
              <w:bottom w:val="single" w:sz="4" w:space="0" w:color="auto"/>
              <w:right w:val="single" w:sz="24" w:space="0" w:color="FFFFFF"/>
            </w:tcBorders>
            <w:vAlign w:val="bottom"/>
          </w:tcPr>
          <w:p w:rsidR="00F92819" w:rsidRDefault="00F92819">
            <w:pPr>
              <w:spacing w:before="80" w:after="80" w:line="200" w:lineRule="exact"/>
              <w:jc w:val="center"/>
              <w:rPr>
                <w:szCs w:val="24"/>
              </w:rPr>
            </w:pPr>
            <w:r>
              <w:rPr>
                <w:i/>
                <w:sz w:val="16"/>
                <w:szCs w:val="24"/>
                <w:lang w:val="es-ES_tradnl"/>
              </w:rPr>
              <w:t>Población total</w:t>
            </w:r>
          </w:p>
        </w:tc>
        <w:tc>
          <w:tcPr>
            <w:tcW w:w="1604" w:type="dxa"/>
            <w:gridSpan w:val="2"/>
            <w:tcBorders>
              <w:top w:val="single" w:sz="4" w:space="0" w:color="auto"/>
              <w:left w:val="single" w:sz="24" w:space="0" w:color="FFFFFF"/>
              <w:bottom w:val="single" w:sz="4" w:space="0" w:color="auto"/>
              <w:right w:val="single" w:sz="24" w:space="0" w:color="FFFFFF"/>
            </w:tcBorders>
            <w:vAlign w:val="bottom"/>
          </w:tcPr>
          <w:p w:rsidR="00F92819" w:rsidRDefault="00F92819">
            <w:pPr>
              <w:spacing w:before="80" w:after="80" w:line="200" w:lineRule="exact"/>
              <w:jc w:val="center"/>
              <w:rPr>
                <w:szCs w:val="24"/>
              </w:rPr>
            </w:pPr>
            <w:r>
              <w:rPr>
                <w:i/>
                <w:sz w:val="16"/>
                <w:szCs w:val="24"/>
                <w:lang w:val="es-ES_tradnl"/>
              </w:rPr>
              <w:t>Judíos</w:t>
            </w:r>
          </w:p>
        </w:tc>
        <w:tc>
          <w:tcPr>
            <w:tcW w:w="1546" w:type="dxa"/>
            <w:gridSpan w:val="2"/>
            <w:tcBorders>
              <w:top w:val="single" w:sz="4" w:space="0" w:color="auto"/>
              <w:left w:val="single" w:sz="24" w:space="0" w:color="FFFFFF"/>
              <w:bottom w:val="single" w:sz="4" w:space="0" w:color="auto"/>
              <w:right w:val="single" w:sz="24" w:space="0" w:color="FFFFFF"/>
            </w:tcBorders>
            <w:vAlign w:val="bottom"/>
          </w:tcPr>
          <w:p w:rsidR="00F92819" w:rsidRDefault="00F92819">
            <w:pPr>
              <w:spacing w:before="80" w:after="80" w:line="200" w:lineRule="exact"/>
              <w:jc w:val="center"/>
              <w:rPr>
                <w:szCs w:val="24"/>
              </w:rPr>
            </w:pPr>
            <w:r>
              <w:rPr>
                <w:i/>
                <w:sz w:val="16"/>
                <w:szCs w:val="24"/>
                <w:lang w:val="es-ES_tradnl"/>
              </w:rPr>
              <w:t>Musulmanes</w:t>
            </w:r>
          </w:p>
        </w:tc>
        <w:tc>
          <w:tcPr>
            <w:tcW w:w="1546" w:type="dxa"/>
            <w:gridSpan w:val="2"/>
            <w:tcBorders>
              <w:top w:val="single" w:sz="4" w:space="0" w:color="auto"/>
              <w:left w:val="single" w:sz="24" w:space="0" w:color="FFFFFF"/>
              <w:bottom w:val="single" w:sz="4" w:space="0" w:color="auto"/>
              <w:right w:val="single" w:sz="24" w:space="0" w:color="FFFFFF"/>
            </w:tcBorders>
            <w:vAlign w:val="bottom"/>
          </w:tcPr>
          <w:p w:rsidR="00F92819" w:rsidRDefault="00F92819">
            <w:pPr>
              <w:spacing w:before="80" w:after="80" w:line="200" w:lineRule="exact"/>
              <w:jc w:val="center"/>
              <w:rPr>
                <w:szCs w:val="24"/>
              </w:rPr>
            </w:pPr>
            <w:r>
              <w:rPr>
                <w:i/>
                <w:sz w:val="16"/>
                <w:szCs w:val="24"/>
                <w:lang w:val="es-ES_tradnl"/>
              </w:rPr>
              <w:t>Cristianos</w:t>
            </w:r>
          </w:p>
        </w:tc>
        <w:tc>
          <w:tcPr>
            <w:tcW w:w="1546" w:type="dxa"/>
            <w:gridSpan w:val="2"/>
            <w:tcBorders>
              <w:top w:val="single" w:sz="4" w:space="0" w:color="auto"/>
              <w:left w:val="single" w:sz="24" w:space="0" w:color="FFFFFF"/>
              <w:bottom w:val="single" w:sz="4" w:space="0" w:color="auto"/>
            </w:tcBorders>
            <w:vAlign w:val="bottom"/>
          </w:tcPr>
          <w:p w:rsidR="00F92819" w:rsidRDefault="00F92819">
            <w:pPr>
              <w:spacing w:before="80" w:after="80" w:line="200" w:lineRule="exact"/>
              <w:jc w:val="center"/>
              <w:rPr>
                <w:szCs w:val="24"/>
              </w:rPr>
            </w:pPr>
            <w:r>
              <w:rPr>
                <w:i/>
                <w:sz w:val="16"/>
                <w:szCs w:val="24"/>
                <w:lang w:val="es-ES_tradnl"/>
              </w:rPr>
              <w:t>Drusos</w:t>
            </w:r>
          </w:p>
        </w:tc>
      </w:tr>
      <w:tr w:rsidR="00F92819">
        <w:tc>
          <w:tcPr>
            <w:tcW w:w="554" w:type="dxa"/>
            <w:vMerge/>
            <w:tcBorders>
              <w:bottom w:val="single" w:sz="12" w:space="0" w:color="auto"/>
            </w:tcBorders>
            <w:vAlign w:val="bottom"/>
          </w:tcPr>
          <w:p w:rsidR="00F92819" w:rsidRDefault="00F92819">
            <w:pPr>
              <w:spacing w:before="40" w:after="40" w:line="220" w:lineRule="exact"/>
              <w:rPr>
                <w:sz w:val="18"/>
                <w:szCs w:val="24"/>
              </w:rPr>
            </w:pPr>
          </w:p>
        </w:tc>
        <w:tc>
          <w:tcPr>
            <w:tcW w:w="829" w:type="dxa"/>
            <w:tcBorders>
              <w:top w:val="single" w:sz="4" w:space="0" w:color="auto"/>
              <w:bottom w:val="single" w:sz="12" w:space="0" w:color="auto"/>
            </w:tcBorders>
            <w:vAlign w:val="bottom"/>
          </w:tcPr>
          <w:p w:rsidR="00F92819" w:rsidRDefault="00F92819">
            <w:pPr>
              <w:spacing w:before="80" w:after="80" w:line="220" w:lineRule="exact"/>
              <w:jc w:val="right"/>
              <w:rPr>
                <w:szCs w:val="24"/>
              </w:rPr>
            </w:pPr>
            <w:r>
              <w:rPr>
                <w:i/>
                <w:sz w:val="16"/>
                <w:szCs w:val="24"/>
                <w:lang w:val="es-ES_tradnl"/>
              </w:rPr>
              <w:t>Números absolutos</w:t>
            </w:r>
          </w:p>
        </w:tc>
        <w:tc>
          <w:tcPr>
            <w:tcW w:w="880" w:type="dxa"/>
            <w:tcBorders>
              <w:top w:val="single" w:sz="4" w:space="0" w:color="auto"/>
              <w:bottom w:val="single" w:sz="12" w:space="0" w:color="auto"/>
              <w:right w:val="single" w:sz="24" w:space="0" w:color="FFFFFF"/>
            </w:tcBorders>
            <w:vAlign w:val="bottom"/>
          </w:tcPr>
          <w:p w:rsidR="00F92819" w:rsidRDefault="00F92819">
            <w:pPr>
              <w:spacing w:before="80" w:after="80" w:line="220" w:lineRule="exact"/>
              <w:jc w:val="right"/>
              <w:rPr>
                <w:szCs w:val="24"/>
              </w:rPr>
            </w:pPr>
            <w:r>
              <w:rPr>
                <w:i/>
                <w:sz w:val="16"/>
                <w:szCs w:val="24"/>
                <w:lang w:val="es-ES_tradnl"/>
              </w:rPr>
              <w:t>Tasas</w:t>
            </w:r>
          </w:p>
        </w:tc>
        <w:tc>
          <w:tcPr>
            <w:tcW w:w="828" w:type="dxa"/>
            <w:tcBorders>
              <w:top w:val="single" w:sz="4" w:space="0" w:color="auto"/>
              <w:left w:val="single" w:sz="24" w:space="0" w:color="FFFFFF"/>
              <w:bottom w:val="single" w:sz="12" w:space="0" w:color="auto"/>
            </w:tcBorders>
            <w:vAlign w:val="bottom"/>
          </w:tcPr>
          <w:p w:rsidR="00F92819" w:rsidRDefault="00F92819">
            <w:pPr>
              <w:spacing w:before="80" w:after="80" w:line="220" w:lineRule="exact"/>
              <w:jc w:val="right"/>
              <w:rPr>
                <w:szCs w:val="24"/>
              </w:rPr>
            </w:pPr>
            <w:r>
              <w:rPr>
                <w:i/>
                <w:sz w:val="16"/>
                <w:szCs w:val="24"/>
                <w:lang w:val="es-ES_tradnl"/>
              </w:rPr>
              <w:t>Números absolutos</w:t>
            </w:r>
          </w:p>
        </w:tc>
        <w:tc>
          <w:tcPr>
            <w:tcW w:w="776" w:type="dxa"/>
            <w:tcBorders>
              <w:top w:val="single" w:sz="4" w:space="0" w:color="auto"/>
              <w:bottom w:val="single" w:sz="12" w:space="0" w:color="auto"/>
              <w:right w:val="single" w:sz="24" w:space="0" w:color="FFFFFF"/>
            </w:tcBorders>
            <w:vAlign w:val="bottom"/>
          </w:tcPr>
          <w:p w:rsidR="00F92819" w:rsidRDefault="00F92819">
            <w:pPr>
              <w:spacing w:before="80" w:after="80" w:line="220" w:lineRule="exact"/>
              <w:jc w:val="right"/>
              <w:rPr>
                <w:szCs w:val="24"/>
              </w:rPr>
            </w:pPr>
            <w:r>
              <w:rPr>
                <w:i/>
                <w:sz w:val="16"/>
                <w:szCs w:val="24"/>
                <w:lang w:val="es-ES_tradnl"/>
              </w:rPr>
              <w:t>Tasas</w:t>
            </w:r>
          </w:p>
        </w:tc>
        <w:tc>
          <w:tcPr>
            <w:tcW w:w="828" w:type="dxa"/>
            <w:tcBorders>
              <w:top w:val="single" w:sz="4" w:space="0" w:color="auto"/>
              <w:left w:val="single" w:sz="24" w:space="0" w:color="FFFFFF"/>
              <w:bottom w:val="single" w:sz="12" w:space="0" w:color="auto"/>
            </w:tcBorders>
            <w:vAlign w:val="bottom"/>
          </w:tcPr>
          <w:p w:rsidR="00F92819" w:rsidRDefault="00F92819">
            <w:pPr>
              <w:spacing w:before="80" w:after="80" w:line="220" w:lineRule="exact"/>
              <w:jc w:val="right"/>
              <w:rPr>
                <w:szCs w:val="24"/>
              </w:rPr>
            </w:pPr>
            <w:r>
              <w:rPr>
                <w:i/>
                <w:sz w:val="16"/>
                <w:szCs w:val="24"/>
                <w:lang w:val="es-ES_tradnl"/>
              </w:rPr>
              <w:t>Números absolutos</w:t>
            </w:r>
          </w:p>
        </w:tc>
        <w:tc>
          <w:tcPr>
            <w:tcW w:w="718" w:type="dxa"/>
            <w:tcBorders>
              <w:top w:val="single" w:sz="4" w:space="0" w:color="auto"/>
              <w:bottom w:val="single" w:sz="12" w:space="0" w:color="auto"/>
              <w:right w:val="single" w:sz="24" w:space="0" w:color="FFFFFF"/>
            </w:tcBorders>
            <w:vAlign w:val="bottom"/>
          </w:tcPr>
          <w:p w:rsidR="00F92819" w:rsidRDefault="00F92819">
            <w:pPr>
              <w:spacing w:before="80" w:after="80" w:line="220" w:lineRule="exact"/>
              <w:jc w:val="right"/>
              <w:rPr>
                <w:szCs w:val="24"/>
              </w:rPr>
            </w:pPr>
            <w:r>
              <w:rPr>
                <w:i/>
                <w:sz w:val="16"/>
                <w:szCs w:val="24"/>
                <w:lang w:val="es-ES_tradnl"/>
              </w:rPr>
              <w:t>Tasas</w:t>
            </w:r>
          </w:p>
        </w:tc>
        <w:tc>
          <w:tcPr>
            <w:tcW w:w="828" w:type="dxa"/>
            <w:tcBorders>
              <w:top w:val="single" w:sz="4" w:space="0" w:color="auto"/>
              <w:left w:val="single" w:sz="24" w:space="0" w:color="FFFFFF"/>
              <w:bottom w:val="single" w:sz="12" w:space="0" w:color="auto"/>
            </w:tcBorders>
            <w:vAlign w:val="bottom"/>
          </w:tcPr>
          <w:p w:rsidR="00F92819" w:rsidRDefault="00F92819">
            <w:pPr>
              <w:spacing w:before="80" w:after="80" w:line="220" w:lineRule="exact"/>
              <w:jc w:val="right"/>
              <w:rPr>
                <w:szCs w:val="24"/>
              </w:rPr>
            </w:pPr>
            <w:r>
              <w:rPr>
                <w:i/>
                <w:sz w:val="16"/>
                <w:szCs w:val="24"/>
                <w:lang w:val="es-ES_tradnl"/>
              </w:rPr>
              <w:t>Números absolutos</w:t>
            </w:r>
          </w:p>
        </w:tc>
        <w:tc>
          <w:tcPr>
            <w:tcW w:w="718" w:type="dxa"/>
            <w:tcBorders>
              <w:top w:val="single" w:sz="4" w:space="0" w:color="auto"/>
              <w:bottom w:val="single" w:sz="12" w:space="0" w:color="auto"/>
              <w:right w:val="single" w:sz="24" w:space="0" w:color="FFFFFF"/>
            </w:tcBorders>
            <w:vAlign w:val="bottom"/>
          </w:tcPr>
          <w:p w:rsidR="00F92819" w:rsidRDefault="00F92819">
            <w:pPr>
              <w:spacing w:before="80" w:after="80" w:line="220" w:lineRule="exact"/>
              <w:jc w:val="right"/>
              <w:rPr>
                <w:szCs w:val="24"/>
              </w:rPr>
            </w:pPr>
            <w:r>
              <w:rPr>
                <w:i/>
                <w:sz w:val="16"/>
                <w:szCs w:val="24"/>
                <w:lang w:val="es-ES_tradnl"/>
              </w:rPr>
              <w:t>Tasas</w:t>
            </w:r>
          </w:p>
        </w:tc>
        <w:tc>
          <w:tcPr>
            <w:tcW w:w="828" w:type="dxa"/>
            <w:tcBorders>
              <w:top w:val="single" w:sz="4" w:space="0" w:color="auto"/>
              <w:left w:val="single" w:sz="24" w:space="0" w:color="FFFFFF"/>
              <w:bottom w:val="single" w:sz="12" w:space="0" w:color="auto"/>
            </w:tcBorders>
            <w:vAlign w:val="bottom"/>
          </w:tcPr>
          <w:p w:rsidR="00F92819" w:rsidRDefault="00F92819">
            <w:pPr>
              <w:spacing w:before="80" w:after="80" w:line="220" w:lineRule="exact"/>
              <w:jc w:val="right"/>
              <w:rPr>
                <w:szCs w:val="24"/>
              </w:rPr>
            </w:pPr>
            <w:r>
              <w:rPr>
                <w:i/>
                <w:sz w:val="16"/>
                <w:szCs w:val="24"/>
                <w:lang w:val="es-ES_tradnl"/>
              </w:rPr>
              <w:t>Números absolutos</w:t>
            </w:r>
          </w:p>
        </w:tc>
        <w:tc>
          <w:tcPr>
            <w:tcW w:w="718" w:type="dxa"/>
            <w:tcBorders>
              <w:top w:val="single" w:sz="4" w:space="0" w:color="auto"/>
              <w:bottom w:val="single" w:sz="12" w:space="0" w:color="auto"/>
            </w:tcBorders>
            <w:vAlign w:val="bottom"/>
          </w:tcPr>
          <w:p w:rsidR="00F92819" w:rsidRDefault="00F92819">
            <w:pPr>
              <w:spacing w:before="80" w:after="80" w:line="220" w:lineRule="exact"/>
              <w:jc w:val="right"/>
              <w:rPr>
                <w:szCs w:val="24"/>
              </w:rPr>
            </w:pPr>
            <w:r>
              <w:rPr>
                <w:i/>
                <w:sz w:val="16"/>
                <w:szCs w:val="24"/>
                <w:lang w:val="es-ES_tradnl"/>
              </w:rPr>
              <w:t>Tasas</w:t>
            </w:r>
          </w:p>
        </w:tc>
      </w:tr>
      <w:tr w:rsidR="00F92819">
        <w:tc>
          <w:tcPr>
            <w:tcW w:w="554" w:type="dxa"/>
            <w:tcBorders>
              <w:top w:val="single" w:sz="12" w:space="0" w:color="auto"/>
            </w:tcBorders>
            <w:vAlign w:val="bottom"/>
          </w:tcPr>
          <w:p w:rsidR="00F92819" w:rsidRDefault="00F92819">
            <w:pPr>
              <w:spacing w:before="40" w:after="40" w:line="220" w:lineRule="exact"/>
              <w:rPr>
                <w:sz w:val="18"/>
                <w:szCs w:val="24"/>
              </w:rPr>
            </w:pPr>
            <w:r>
              <w:rPr>
                <w:sz w:val="18"/>
                <w:szCs w:val="24"/>
              </w:rPr>
              <w:t>2004</w:t>
            </w:r>
          </w:p>
        </w:tc>
        <w:tc>
          <w:tcPr>
            <w:tcW w:w="829"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670</w:t>
            </w:r>
          </w:p>
        </w:tc>
        <w:tc>
          <w:tcPr>
            <w:tcW w:w="880"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4,6</w:t>
            </w:r>
          </w:p>
        </w:tc>
        <w:tc>
          <w:tcPr>
            <w:tcW w:w="828" w:type="dxa"/>
            <w:tcBorders>
              <w:top w:val="single" w:sz="12" w:space="0" w:color="auto"/>
              <w:left w:val="nil"/>
            </w:tcBorders>
            <w:vAlign w:val="bottom"/>
          </w:tcPr>
          <w:p w:rsidR="00F92819" w:rsidRDefault="00F92819">
            <w:pPr>
              <w:spacing w:before="40" w:after="40" w:line="220" w:lineRule="exact"/>
              <w:jc w:val="right"/>
              <w:rPr>
                <w:sz w:val="18"/>
                <w:szCs w:val="24"/>
              </w:rPr>
            </w:pPr>
            <w:r>
              <w:rPr>
                <w:sz w:val="18"/>
                <w:szCs w:val="24"/>
              </w:rPr>
              <w:t>315</w:t>
            </w:r>
          </w:p>
        </w:tc>
        <w:tc>
          <w:tcPr>
            <w:tcW w:w="776"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3,1</w:t>
            </w:r>
          </w:p>
        </w:tc>
        <w:tc>
          <w:tcPr>
            <w:tcW w:w="828" w:type="dxa"/>
            <w:tcBorders>
              <w:top w:val="single" w:sz="12" w:space="0" w:color="auto"/>
              <w:left w:val="nil"/>
            </w:tcBorders>
            <w:vAlign w:val="bottom"/>
          </w:tcPr>
          <w:p w:rsidR="00F92819" w:rsidRDefault="00F92819">
            <w:pPr>
              <w:spacing w:before="40" w:after="40" w:line="220" w:lineRule="exact"/>
              <w:jc w:val="right"/>
              <w:rPr>
                <w:sz w:val="18"/>
                <w:szCs w:val="24"/>
              </w:rPr>
            </w:pPr>
            <w:r>
              <w:rPr>
                <w:sz w:val="18"/>
                <w:szCs w:val="24"/>
              </w:rPr>
              <w:t>319</w:t>
            </w:r>
          </w:p>
        </w:tc>
        <w:tc>
          <w:tcPr>
            <w:tcW w:w="718"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8,8</w:t>
            </w:r>
          </w:p>
        </w:tc>
        <w:tc>
          <w:tcPr>
            <w:tcW w:w="828" w:type="dxa"/>
            <w:tcBorders>
              <w:top w:val="single" w:sz="12" w:space="0" w:color="auto"/>
              <w:left w:val="nil"/>
            </w:tcBorders>
            <w:vAlign w:val="bottom"/>
          </w:tcPr>
          <w:p w:rsidR="00F92819" w:rsidRDefault="00F92819">
            <w:pPr>
              <w:spacing w:before="40" w:after="40" w:line="220" w:lineRule="exact"/>
              <w:jc w:val="right"/>
              <w:rPr>
                <w:sz w:val="18"/>
                <w:szCs w:val="24"/>
              </w:rPr>
            </w:pPr>
            <w:r>
              <w:rPr>
                <w:sz w:val="18"/>
                <w:szCs w:val="24"/>
              </w:rPr>
              <w:t>8</w:t>
            </w:r>
          </w:p>
        </w:tc>
        <w:tc>
          <w:tcPr>
            <w:tcW w:w="718"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3,3</w:t>
            </w:r>
          </w:p>
        </w:tc>
        <w:tc>
          <w:tcPr>
            <w:tcW w:w="828" w:type="dxa"/>
            <w:tcBorders>
              <w:top w:val="single" w:sz="12" w:space="0" w:color="auto"/>
              <w:left w:val="nil"/>
            </w:tcBorders>
            <w:vAlign w:val="bottom"/>
          </w:tcPr>
          <w:p w:rsidR="00F92819" w:rsidRDefault="00F92819">
            <w:pPr>
              <w:spacing w:before="40" w:after="40" w:line="220" w:lineRule="exact"/>
              <w:jc w:val="right"/>
              <w:rPr>
                <w:sz w:val="18"/>
                <w:szCs w:val="24"/>
              </w:rPr>
            </w:pPr>
            <w:r>
              <w:rPr>
                <w:sz w:val="18"/>
                <w:szCs w:val="24"/>
              </w:rPr>
              <w:t>11</w:t>
            </w:r>
          </w:p>
        </w:tc>
        <w:tc>
          <w:tcPr>
            <w:tcW w:w="718"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4,3</w:t>
            </w:r>
          </w:p>
        </w:tc>
      </w:tr>
      <w:tr w:rsidR="00F92819">
        <w:tc>
          <w:tcPr>
            <w:tcW w:w="554" w:type="dxa"/>
            <w:vAlign w:val="bottom"/>
          </w:tcPr>
          <w:p w:rsidR="00F92819" w:rsidRDefault="00F92819">
            <w:pPr>
              <w:spacing w:before="40" w:after="40" w:line="220" w:lineRule="exact"/>
              <w:rPr>
                <w:sz w:val="18"/>
                <w:szCs w:val="24"/>
              </w:rPr>
            </w:pPr>
            <w:r>
              <w:rPr>
                <w:sz w:val="18"/>
                <w:szCs w:val="24"/>
              </w:rPr>
              <w:t>2005</w:t>
            </w:r>
          </w:p>
        </w:tc>
        <w:tc>
          <w:tcPr>
            <w:tcW w:w="829" w:type="dxa"/>
            <w:vAlign w:val="bottom"/>
          </w:tcPr>
          <w:p w:rsidR="00F92819" w:rsidRDefault="00F92819">
            <w:pPr>
              <w:spacing w:before="40" w:after="40" w:line="220" w:lineRule="exact"/>
              <w:jc w:val="right"/>
              <w:rPr>
                <w:sz w:val="18"/>
                <w:szCs w:val="24"/>
              </w:rPr>
            </w:pPr>
            <w:r>
              <w:rPr>
                <w:sz w:val="18"/>
                <w:szCs w:val="24"/>
              </w:rPr>
              <w:t>628</w:t>
            </w:r>
          </w:p>
        </w:tc>
        <w:tc>
          <w:tcPr>
            <w:tcW w:w="880" w:type="dxa"/>
            <w:vAlign w:val="bottom"/>
          </w:tcPr>
          <w:p w:rsidR="00F92819" w:rsidRDefault="00F92819">
            <w:pPr>
              <w:spacing w:before="40" w:after="40" w:line="220" w:lineRule="exact"/>
              <w:jc w:val="right"/>
              <w:rPr>
                <w:sz w:val="18"/>
                <w:szCs w:val="24"/>
              </w:rPr>
            </w:pPr>
            <w:r>
              <w:rPr>
                <w:sz w:val="18"/>
                <w:szCs w:val="24"/>
              </w:rPr>
              <w:t>4,4</w:t>
            </w:r>
          </w:p>
        </w:tc>
        <w:tc>
          <w:tcPr>
            <w:tcW w:w="828" w:type="dxa"/>
            <w:vAlign w:val="bottom"/>
          </w:tcPr>
          <w:p w:rsidR="00F92819" w:rsidRDefault="00F92819">
            <w:pPr>
              <w:spacing w:before="40" w:after="40" w:line="220" w:lineRule="exact"/>
              <w:jc w:val="right"/>
              <w:rPr>
                <w:sz w:val="18"/>
                <w:szCs w:val="24"/>
              </w:rPr>
            </w:pPr>
            <w:r>
              <w:rPr>
                <w:sz w:val="18"/>
                <w:szCs w:val="24"/>
              </w:rPr>
              <w:t>313</w:t>
            </w:r>
          </w:p>
        </w:tc>
        <w:tc>
          <w:tcPr>
            <w:tcW w:w="776" w:type="dxa"/>
            <w:vAlign w:val="bottom"/>
          </w:tcPr>
          <w:p w:rsidR="00F92819" w:rsidRDefault="00F92819">
            <w:pPr>
              <w:spacing w:before="40" w:after="40" w:line="220" w:lineRule="exact"/>
              <w:jc w:val="right"/>
              <w:rPr>
                <w:sz w:val="18"/>
                <w:szCs w:val="24"/>
              </w:rPr>
            </w:pPr>
            <w:r>
              <w:rPr>
                <w:sz w:val="18"/>
                <w:szCs w:val="24"/>
              </w:rPr>
              <w:t>3,1</w:t>
            </w:r>
          </w:p>
        </w:tc>
        <w:tc>
          <w:tcPr>
            <w:tcW w:w="828" w:type="dxa"/>
            <w:vAlign w:val="bottom"/>
          </w:tcPr>
          <w:p w:rsidR="00F92819" w:rsidRDefault="00F92819">
            <w:pPr>
              <w:spacing w:before="40" w:after="40" w:line="220" w:lineRule="exact"/>
              <w:jc w:val="right"/>
              <w:rPr>
                <w:sz w:val="18"/>
                <w:szCs w:val="24"/>
              </w:rPr>
            </w:pPr>
            <w:r>
              <w:rPr>
                <w:sz w:val="18"/>
                <w:szCs w:val="24"/>
              </w:rPr>
              <w:t>277</w:t>
            </w:r>
          </w:p>
        </w:tc>
        <w:tc>
          <w:tcPr>
            <w:tcW w:w="718" w:type="dxa"/>
            <w:vAlign w:val="bottom"/>
          </w:tcPr>
          <w:p w:rsidR="00F92819" w:rsidRDefault="00F92819">
            <w:pPr>
              <w:spacing w:before="40" w:after="40" w:line="220" w:lineRule="exact"/>
              <w:jc w:val="right"/>
              <w:rPr>
                <w:sz w:val="18"/>
                <w:szCs w:val="24"/>
              </w:rPr>
            </w:pPr>
            <w:r>
              <w:rPr>
                <w:sz w:val="18"/>
                <w:szCs w:val="24"/>
              </w:rPr>
              <w:t>8,1</w:t>
            </w:r>
          </w:p>
        </w:tc>
        <w:tc>
          <w:tcPr>
            <w:tcW w:w="828" w:type="dxa"/>
            <w:vAlign w:val="bottom"/>
          </w:tcPr>
          <w:p w:rsidR="00F92819" w:rsidRDefault="00F92819">
            <w:pPr>
              <w:spacing w:before="40" w:after="40" w:line="220" w:lineRule="exact"/>
              <w:jc w:val="right"/>
              <w:rPr>
                <w:sz w:val="18"/>
                <w:szCs w:val="24"/>
              </w:rPr>
            </w:pPr>
            <w:r>
              <w:rPr>
                <w:sz w:val="18"/>
                <w:szCs w:val="24"/>
              </w:rPr>
              <w:t>8</w:t>
            </w:r>
          </w:p>
        </w:tc>
        <w:tc>
          <w:tcPr>
            <w:tcW w:w="718" w:type="dxa"/>
            <w:vAlign w:val="bottom"/>
          </w:tcPr>
          <w:p w:rsidR="00F92819" w:rsidRDefault="00F92819">
            <w:pPr>
              <w:spacing w:before="40" w:after="40" w:line="220" w:lineRule="exact"/>
              <w:jc w:val="right"/>
              <w:rPr>
                <w:sz w:val="18"/>
                <w:szCs w:val="24"/>
              </w:rPr>
            </w:pPr>
            <w:r>
              <w:rPr>
                <w:sz w:val="18"/>
                <w:szCs w:val="24"/>
              </w:rPr>
              <w:t>3,2</w:t>
            </w:r>
          </w:p>
        </w:tc>
        <w:tc>
          <w:tcPr>
            <w:tcW w:w="828" w:type="dxa"/>
            <w:vAlign w:val="bottom"/>
          </w:tcPr>
          <w:p w:rsidR="00F92819" w:rsidRDefault="00F92819">
            <w:pPr>
              <w:spacing w:before="40" w:after="40" w:line="220" w:lineRule="exact"/>
              <w:jc w:val="right"/>
              <w:rPr>
                <w:sz w:val="18"/>
                <w:szCs w:val="24"/>
              </w:rPr>
            </w:pPr>
            <w:r>
              <w:rPr>
                <w:sz w:val="18"/>
                <w:szCs w:val="24"/>
              </w:rPr>
              <w:t>15</w:t>
            </w:r>
          </w:p>
        </w:tc>
        <w:tc>
          <w:tcPr>
            <w:tcW w:w="718" w:type="dxa"/>
            <w:vAlign w:val="bottom"/>
          </w:tcPr>
          <w:p w:rsidR="00F92819" w:rsidRDefault="00F92819">
            <w:pPr>
              <w:spacing w:before="40" w:after="40" w:line="220" w:lineRule="exact"/>
              <w:jc w:val="right"/>
              <w:rPr>
                <w:sz w:val="18"/>
                <w:szCs w:val="24"/>
              </w:rPr>
            </w:pPr>
            <w:r>
              <w:rPr>
                <w:sz w:val="18"/>
                <w:szCs w:val="24"/>
              </w:rPr>
              <w:t>5,9</w:t>
            </w:r>
          </w:p>
        </w:tc>
      </w:tr>
      <w:tr w:rsidR="00F92819">
        <w:tc>
          <w:tcPr>
            <w:tcW w:w="554" w:type="dxa"/>
            <w:vAlign w:val="bottom"/>
          </w:tcPr>
          <w:p w:rsidR="00F92819" w:rsidRDefault="00F92819">
            <w:pPr>
              <w:spacing w:before="40" w:after="40" w:line="220" w:lineRule="exact"/>
              <w:rPr>
                <w:sz w:val="18"/>
                <w:szCs w:val="24"/>
              </w:rPr>
            </w:pPr>
            <w:r>
              <w:rPr>
                <w:sz w:val="18"/>
                <w:szCs w:val="24"/>
              </w:rPr>
              <w:t>2006</w:t>
            </w:r>
          </w:p>
        </w:tc>
        <w:tc>
          <w:tcPr>
            <w:tcW w:w="829" w:type="dxa"/>
            <w:vAlign w:val="bottom"/>
          </w:tcPr>
          <w:p w:rsidR="00F92819" w:rsidRDefault="00F92819">
            <w:pPr>
              <w:spacing w:before="40" w:after="40" w:line="220" w:lineRule="exact"/>
              <w:jc w:val="right"/>
              <w:rPr>
                <w:sz w:val="18"/>
                <w:szCs w:val="24"/>
              </w:rPr>
            </w:pPr>
            <w:r>
              <w:rPr>
                <w:sz w:val="18"/>
                <w:szCs w:val="24"/>
              </w:rPr>
              <w:t>594</w:t>
            </w:r>
          </w:p>
        </w:tc>
        <w:tc>
          <w:tcPr>
            <w:tcW w:w="880" w:type="dxa"/>
            <w:vAlign w:val="bottom"/>
          </w:tcPr>
          <w:p w:rsidR="00F92819" w:rsidRDefault="00F92819">
            <w:pPr>
              <w:spacing w:before="40" w:after="40" w:line="220" w:lineRule="exact"/>
              <w:jc w:val="right"/>
              <w:rPr>
                <w:sz w:val="18"/>
                <w:szCs w:val="24"/>
              </w:rPr>
            </w:pPr>
            <w:r>
              <w:rPr>
                <w:sz w:val="18"/>
                <w:szCs w:val="24"/>
              </w:rPr>
              <w:t>4</w:t>
            </w:r>
          </w:p>
        </w:tc>
        <w:tc>
          <w:tcPr>
            <w:tcW w:w="828" w:type="dxa"/>
            <w:vAlign w:val="bottom"/>
          </w:tcPr>
          <w:p w:rsidR="00F92819" w:rsidRDefault="00F92819">
            <w:pPr>
              <w:spacing w:before="40" w:after="40" w:line="220" w:lineRule="exact"/>
              <w:jc w:val="right"/>
              <w:rPr>
                <w:sz w:val="18"/>
                <w:szCs w:val="24"/>
              </w:rPr>
            </w:pPr>
            <w:r>
              <w:rPr>
                <w:sz w:val="18"/>
                <w:szCs w:val="24"/>
              </w:rPr>
              <w:t>312</w:t>
            </w:r>
          </w:p>
        </w:tc>
        <w:tc>
          <w:tcPr>
            <w:tcW w:w="776" w:type="dxa"/>
            <w:vAlign w:val="bottom"/>
          </w:tcPr>
          <w:p w:rsidR="00F92819" w:rsidRDefault="00F92819">
            <w:pPr>
              <w:spacing w:before="40" w:after="40" w:line="220" w:lineRule="exact"/>
              <w:jc w:val="right"/>
              <w:rPr>
                <w:sz w:val="18"/>
                <w:szCs w:val="24"/>
              </w:rPr>
            </w:pPr>
            <w:r>
              <w:rPr>
                <w:sz w:val="18"/>
                <w:szCs w:val="24"/>
              </w:rPr>
              <w:t>3</w:t>
            </w:r>
          </w:p>
        </w:tc>
        <w:tc>
          <w:tcPr>
            <w:tcW w:w="828" w:type="dxa"/>
            <w:vAlign w:val="bottom"/>
          </w:tcPr>
          <w:p w:rsidR="00F92819" w:rsidRDefault="00F92819">
            <w:pPr>
              <w:spacing w:before="40" w:after="40" w:line="220" w:lineRule="exact"/>
              <w:jc w:val="right"/>
              <w:rPr>
                <w:sz w:val="18"/>
                <w:szCs w:val="24"/>
              </w:rPr>
            </w:pPr>
            <w:r>
              <w:rPr>
                <w:sz w:val="18"/>
                <w:szCs w:val="24"/>
              </w:rPr>
              <w:t>252</w:t>
            </w:r>
          </w:p>
        </w:tc>
        <w:tc>
          <w:tcPr>
            <w:tcW w:w="718" w:type="dxa"/>
            <w:vAlign w:val="bottom"/>
          </w:tcPr>
          <w:p w:rsidR="00F92819" w:rsidRDefault="00F92819">
            <w:pPr>
              <w:spacing w:before="40" w:after="40" w:line="220" w:lineRule="exact"/>
              <w:jc w:val="right"/>
              <w:rPr>
                <w:sz w:val="18"/>
                <w:szCs w:val="24"/>
              </w:rPr>
            </w:pPr>
            <w:r>
              <w:rPr>
                <w:sz w:val="18"/>
                <w:szCs w:val="24"/>
              </w:rPr>
              <w:t>7,3</w:t>
            </w:r>
          </w:p>
        </w:tc>
        <w:tc>
          <w:tcPr>
            <w:tcW w:w="828" w:type="dxa"/>
            <w:vAlign w:val="bottom"/>
          </w:tcPr>
          <w:p w:rsidR="00F92819" w:rsidRDefault="00F92819">
            <w:pPr>
              <w:spacing w:before="40" w:after="40" w:line="220" w:lineRule="exact"/>
              <w:jc w:val="right"/>
              <w:rPr>
                <w:sz w:val="18"/>
                <w:szCs w:val="24"/>
              </w:rPr>
            </w:pPr>
            <w:r>
              <w:rPr>
                <w:sz w:val="18"/>
                <w:szCs w:val="24"/>
              </w:rPr>
              <w:t>4</w:t>
            </w:r>
          </w:p>
        </w:tc>
        <w:tc>
          <w:tcPr>
            <w:tcW w:w="718" w:type="dxa"/>
            <w:vAlign w:val="bottom"/>
          </w:tcPr>
          <w:p w:rsidR="00F92819" w:rsidRDefault="00F92819">
            <w:pPr>
              <w:spacing w:before="40" w:after="40" w:line="220" w:lineRule="exact"/>
              <w:jc w:val="right"/>
              <w:rPr>
                <w:sz w:val="18"/>
                <w:szCs w:val="24"/>
              </w:rPr>
            </w:pPr>
            <w:r>
              <w:rPr>
                <w:sz w:val="18"/>
                <w:szCs w:val="24"/>
              </w:rPr>
              <w:t>-</w:t>
            </w:r>
          </w:p>
        </w:tc>
        <w:tc>
          <w:tcPr>
            <w:tcW w:w="828" w:type="dxa"/>
            <w:vAlign w:val="bottom"/>
          </w:tcPr>
          <w:p w:rsidR="00F92819" w:rsidRDefault="00F92819">
            <w:pPr>
              <w:spacing w:before="40" w:after="40" w:line="220" w:lineRule="exact"/>
              <w:jc w:val="right"/>
              <w:rPr>
                <w:sz w:val="18"/>
                <w:szCs w:val="24"/>
              </w:rPr>
            </w:pPr>
            <w:r>
              <w:rPr>
                <w:sz w:val="18"/>
                <w:szCs w:val="24"/>
              </w:rPr>
              <w:t>13</w:t>
            </w:r>
          </w:p>
        </w:tc>
        <w:tc>
          <w:tcPr>
            <w:tcW w:w="718" w:type="dxa"/>
            <w:vAlign w:val="bottom"/>
          </w:tcPr>
          <w:p w:rsidR="00F92819" w:rsidRDefault="00F92819">
            <w:pPr>
              <w:spacing w:before="40" w:after="40" w:line="220" w:lineRule="exact"/>
              <w:jc w:val="right"/>
              <w:rPr>
                <w:sz w:val="18"/>
                <w:szCs w:val="24"/>
              </w:rPr>
            </w:pPr>
            <w:r>
              <w:rPr>
                <w:sz w:val="18"/>
                <w:szCs w:val="24"/>
              </w:rPr>
              <w:t>5</w:t>
            </w:r>
          </w:p>
        </w:tc>
      </w:tr>
      <w:tr w:rsidR="00F92819">
        <w:tc>
          <w:tcPr>
            <w:tcW w:w="554" w:type="dxa"/>
            <w:tcBorders>
              <w:bottom w:val="single" w:sz="12" w:space="0" w:color="auto"/>
            </w:tcBorders>
            <w:vAlign w:val="bottom"/>
          </w:tcPr>
          <w:p w:rsidR="00F92819" w:rsidRDefault="00F92819">
            <w:pPr>
              <w:spacing w:before="40" w:after="40" w:line="220" w:lineRule="exact"/>
              <w:rPr>
                <w:sz w:val="18"/>
                <w:szCs w:val="24"/>
              </w:rPr>
            </w:pPr>
            <w:r>
              <w:rPr>
                <w:sz w:val="18"/>
                <w:szCs w:val="24"/>
              </w:rPr>
              <w:t>2007</w:t>
            </w:r>
          </w:p>
        </w:tc>
        <w:tc>
          <w:tcPr>
            <w:tcW w:w="82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586</w:t>
            </w:r>
          </w:p>
        </w:tc>
        <w:tc>
          <w:tcPr>
            <w:tcW w:w="88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3,9</w:t>
            </w:r>
          </w:p>
        </w:tc>
        <w:tc>
          <w:tcPr>
            <w:tcW w:w="82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309</w:t>
            </w:r>
          </w:p>
        </w:tc>
        <w:tc>
          <w:tcPr>
            <w:tcW w:w="776"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2,9</w:t>
            </w:r>
          </w:p>
        </w:tc>
        <w:tc>
          <w:tcPr>
            <w:tcW w:w="82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250</w:t>
            </w:r>
          </w:p>
        </w:tc>
        <w:tc>
          <w:tcPr>
            <w:tcW w:w="71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7,2</w:t>
            </w:r>
          </w:p>
        </w:tc>
        <w:tc>
          <w:tcPr>
            <w:tcW w:w="82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w:t>
            </w:r>
          </w:p>
        </w:tc>
        <w:tc>
          <w:tcPr>
            <w:tcW w:w="71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2,8</w:t>
            </w:r>
          </w:p>
        </w:tc>
        <w:tc>
          <w:tcPr>
            <w:tcW w:w="82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15</w:t>
            </w:r>
          </w:p>
        </w:tc>
        <w:tc>
          <w:tcPr>
            <w:tcW w:w="71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6</w:t>
            </w:r>
          </w:p>
        </w:tc>
      </w:tr>
    </w:tbl>
    <w:p w:rsidR="00F92819" w:rsidRDefault="00F92819">
      <w:pPr>
        <w:spacing w:before="120" w:after="120"/>
        <w:ind w:left="1134" w:right="1134" w:firstLine="170"/>
        <w:rPr>
          <w:szCs w:val="24"/>
        </w:rPr>
      </w:pPr>
      <w:r>
        <w:rPr>
          <w:i/>
          <w:sz w:val="18"/>
          <w:szCs w:val="24"/>
          <w:lang w:val="es-ES_tradnl"/>
        </w:rPr>
        <w:t>Fuente</w:t>
      </w:r>
      <w:r>
        <w:rPr>
          <w:sz w:val="18"/>
          <w:szCs w:val="24"/>
          <w:lang w:val="es-ES_tradnl"/>
        </w:rPr>
        <w:t>:</w:t>
      </w:r>
      <w:r>
        <w:rPr>
          <w:sz w:val="18"/>
          <w:szCs w:val="24"/>
        </w:rPr>
        <w:t xml:space="preserve"> </w:t>
      </w:r>
      <w:r>
        <w:rPr>
          <w:sz w:val="18"/>
          <w:szCs w:val="24"/>
          <w:lang w:val="es-ES_tradnl"/>
        </w:rPr>
        <w:t>Ministerio de Salud y Oficina Central de Estadística de Israel, Compendio de Estadísticas de Israel, 2008.</w:t>
      </w:r>
    </w:p>
    <w:p w:rsidR="00F92819" w:rsidRDefault="00F92819">
      <w:pPr>
        <w:pStyle w:val="SingleTxtG"/>
        <w:spacing w:before="240"/>
        <w:rPr>
          <w:szCs w:val="24"/>
        </w:rPr>
      </w:pPr>
      <w:r>
        <w:rPr>
          <w:szCs w:val="24"/>
        </w:rPr>
        <w:t>507.</w:t>
      </w:r>
      <w:r>
        <w:rPr>
          <w:szCs w:val="24"/>
        </w:rPr>
        <w:tab/>
      </w:r>
      <w:r>
        <w:rPr>
          <w:szCs w:val="24"/>
          <w:lang w:val="es-ES_tradnl"/>
        </w:rPr>
        <w:t xml:space="preserve">Las estadísticas recientes indican que continúan descendiendo las tasas de mortalidad infantil, de 4,6 fallecimientos por cada 1.000 nacidos vivos en </w:t>
      </w:r>
      <w:smartTag w:uri="urn:schemas-microsoft-com:office:smarttags" w:element="metricconverter">
        <w:smartTagPr>
          <w:attr w:name="ProductID" w:val="2004 a"/>
        </w:smartTagPr>
        <w:r>
          <w:rPr>
            <w:szCs w:val="24"/>
            <w:lang w:val="es-ES_tradnl"/>
          </w:rPr>
          <w:t>2004 a</w:t>
        </w:r>
      </w:smartTag>
      <w:r>
        <w:rPr>
          <w:szCs w:val="24"/>
          <w:lang w:val="es-ES_tradnl"/>
        </w:rPr>
        <w:t xml:space="preserve"> 3,9 en 2007. Entre los recién nacidos judíos y cristianos, la tasa bajó aún más, a 2,9 y 2,8 por 1.000 nacidos vivos, respectivamente.</w:t>
      </w:r>
      <w:r>
        <w:rPr>
          <w:szCs w:val="24"/>
        </w:rPr>
        <w:t xml:space="preserve"> </w:t>
      </w:r>
      <w:r>
        <w:rPr>
          <w:szCs w:val="24"/>
          <w:lang w:val="es-ES_tradnl"/>
        </w:rPr>
        <w:t>Una gran parte de la disminución de la tasa de mortalidad infantil se debe al menor número de fallecimientos causados por enfermedades infecciosas, mortalidad prenatal y neumonía.</w:t>
      </w:r>
      <w:r>
        <w:rPr>
          <w:szCs w:val="24"/>
        </w:rPr>
        <w:t xml:space="preserve"> </w:t>
      </w:r>
      <w:r>
        <w:rPr>
          <w:szCs w:val="24"/>
          <w:lang w:val="es-ES_tradnl"/>
        </w:rPr>
        <w:t>Las muertes debidas a trastornos congénitos muestran también una tendencia descendente.</w:t>
      </w:r>
    </w:p>
    <w:p w:rsidR="00F92819" w:rsidRDefault="00F92819">
      <w:pPr>
        <w:pStyle w:val="SingleTxtG"/>
        <w:rPr>
          <w:szCs w:val="24"/>
        </w:rPr>
      </w:pPr>
      <w:r>
        <w:rPr>
          <w:szCs w:val="24"/>
        </w:rPr>
        <w:t>508.</w:t>
      </w:r>
      <w:r>
        <w:rPr>
          <w:szCs w:val="24"/>
        </w:rPr>
        <w:tab/>
      </w:r>
      <w:r>
        <w:rPr>
          <w:szCs w:val="24"/>
          <w:lang w:val="es-ES_tradnl"/>
        </w:rPr>
        <w:t>En la población musulmana, a pesar de que la disminución ha continuado, la tasa de mortalidad infantil todavía es relativamente alta y se sitúa en 7,2 fallecimientos por 1.000 nacidos vivos.</w:t>
      </w:r>
      <w:r>
        <w:rPr>
          <w:szCs w:val="24"/>
          <w:rtl/>
        </w:rPr>
        <w:t xml:space="preserve"> </w:t>
      </w:r>
      <w:r>
        <w:rPr>
          <w:szCs w:val="24"/>
          <w:lang w:val="es-ES_tradnl"/>
        </w:rPr>
        <w:t>La diferencia entre las comunidades se debe a varios factores, entre ellos, la alta tasa de matrimonios consanguíneos (alrededor del 35% en la población árabe y del 60% en la población beduina), la prohibición religiosa del aborto incluso en los casos en que está recomendado desde el punto de vista médico y también las diferencias socioeconómicas.</w:t>
      </w:r>
    </w:p>
    <w:p w:rsidR="00F92819" w:rsidRDefault="00F92819">
      <w:pPr>
        <w:pStyle w:val="H4G"/>
        <w:rPr>
          <w:szCs w:val="24"/>
        </w:rPr>
      </w:pPr>
      <w:r>
        <w:rPr>
          <w:szCs w:val="24"/>
        </w:rPr>
        <w:tab/>
      </w:r>
      <w:r>
        <w:rPr>
          <w:szCs w:val="24"/>
        </w:rPr>
        <w:tab/>
      </w:r>
      <w:r>
        <w:rPr>
          <w:szCs w:val="24"/>
          <w:lang w:val="es-ES_tradnl"/>
        </w:rPr>
        <w:t>Tasas de inmunización</w:t>
      </w:r>
    </w:p>
    <w:p w:rsidR="00F92819" w:rsidRDefault="00F92819">
      <w:pPr>
        <w:pStyle w:val="SingleTxtG"/>
        <w:rPr>
          <w:b/>
          <w:szCs w:val="24"/>
        </w:rPr>
      </w:pPr>
      <w:r>
        <w:rPr>
          <w:szCs w:val="24"/>
        </w:rPr>
        <w:t>509.</w:t>
      </w:r>
      <w:r>
        <w:rPr>
          <w:szCs w:val="24"/>
        </w:rPr>
        <w:tab/>
      </w:r>
      <w:r>
        <w:rPr>
          <w:szCs w:val="24"/>
          <w:lang w:val="es-ES_tradnl"/>
        </w:rPr>
        <w:t>A continuación se dan los datos sobre las tasas de inmunización.</w:t>
      </w:r>
    </w:p>
    <w:p w:rsidR="00F92819" w:rsidRDefault="00F92819">
      <w:pPr>
        <w:pStyle w:val="Heading1"/>
        <w:keepLines/>
        <w:spacing w:before="240"/>
        <w:rPr>
          <w:szCs w:val="24"/>
        </w:rPr>
      </w:pPr>
      <w:r>
        <w:rPr>
          <w:szCs w:val="24"/>
          <w:lang w:val="es-ES_tradnl"/>
        </w:rPr>
        <w:t>Cuadro 34</w:t>
      </w:r>
    </w:p>
    <w:p w:rsidR="00F92819" w:rsidRDefault="00F92819">
      <w:pPr>
        <w:pStyle w:val="SingleTxtG"/>
        <w:keepNext/>
        <w:keepLines/>
        <w:rPr>
          <w:szCs w:val="24"/>
        </w:rPr>
      </w:pPr>
      <w:r>
        <w:rPr>
          <w:b/>
          <w:szCs w:val="24"/>
          <w:lang w:val="es-ES_tradnl"/>
        </w:rPr>
        <w:t>Inmunizaciones:</w:t>
      </w:r>
      <w:r>
        <w:rPr>
          <w:b/>
          <w:szCs w:val="24"/>
        </w:rPr>
        <w:t xml:space="preserve"> </w:t>
      </w:r>
      <w:r>
        <w:rPr>
          <w:b/>
          <w:szCs w:val="24"/>
          <w:lang w:val="es-ES_tradnl"/>
        </w:rPr>
        <w:t>porcentaje de niños inmunizados a la edad de dos años, 2005</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851"/>
        <w:gridCol w:w="992"/>
        <w:gridCol w:w="1134"/>
        <w:gridCol w:w="1134"/>
        <w:gridCol w:w="992"/>
        <w:gridCol w:w="993"/>
        <w:gridCol w:w="1134"/>
        <w:gridCol w:w="1275"/>
      </w:tblGrid>
      <w:tr w:rsidR="00F92819">
        <w:tc>
          <w:tcPr>
            <w:tcW w:w="851" w:type="dxa"/>
            <w:tcBorders>
              <w:top w:val="single" w:sz="4" w:space="0" w:color="auto"/>
              <w:bottom w:val="single" w:sz="12" w:space="0" w:color="auto"/>
            </w:tcBorders>
            <w:vAlign w:val="bottom"/>
          </w:tcPr>
          <w:p w:rsidR="00F92819" w:rsidRDefault="00F92819">
            <w:pPr>
              <w:keepNext/>
              <w:keepLines/>
              <w:spacing w:before="80" w:after="80" w:line="200" w:lineRule="exact"/>
              <w:rPr>
                <w:szCs w:val="24"/>
              </w:rPr>
            </w:pPr>
            <w:r>
              <w:rPr>
                <w:i/>
                <w:sz w:val="16"/>
                <w:szCs w:val="24"/>
                <w:lang w:val="es-ES_tradnl"/>
              </w:rPr>
              <w:t>Vacuna</w:t>
            </w:r>
          </w:p>
        </w:tc>
        <w:tc>
          <w:tcPr>
            <w:tcW w:w="992" w:type="dxa"/>
            <w:tcBorders>
              <w:top w:val="single" w:sz="4" w:space="0" w:color="auto"/>
              <w:bottom w:val="single" w:sz="12" w:space="0" w:color="auto"/>
            </w:tcBorders>
            <w:vAlign w:val="bottom"/>
          </w:tcPr>
          <w:p w:rsidR="00F92819" w:rsidRPr="00DE53A9" w:rsidRDefault="00F92819">
            <w:pPr>
              <w:keepNext/>
              <w:keepLines/>
              <w:spacing w:before="80" w:after="80" w:line="200" w:lineRule="exact"/>
              <w:jc w:val="right"/>
              <w:rPr>
                <w:bCs/>
                <w:szCs w:val="24"/>
                <w:lang w:val="pt-BR"/>
              </w:rPr>
            </w:pPr>
            <w:r w:rsidRPr="00DE53A9">
              <w:rPr>
                <w:bCs/>
                <w:i/>
                <w:sz w:val="16"/>
                <w:szCs w:val="24"/>
                <w:lang w:val="pt-BR"/>
              </w:rPr>
              <w:t>Difteria</w:t>
            </w:r>
            <w:r w:rsidRPr="00DE53A9">
              <w:rPr>
                <w:bCs/>
                <w:i/>
                <w:sz w:val="16"/>
                <w:szCs w:val="24"/>
                <w:lang w:val="pt-BR"/>
              </w:rPr>
              <w:br/>
              <w:t>Tétanos</w:t>
            </w:r>
            <w:r w:rsidRPr="00DE53A9">
              <w:rPr>
                <w:bCs/>
                <w:i/>
                <w:sz w:val="16"/>
                <w:szCs w:val="24"/>
                <w:lang w:val="pt-BR"/>
              </w:rPr>
              <w:br/>
              <w:t>Tos ferina</w:t>
            </w:r>
            <w:r w:rsidRPr="00DE53A9">
              <w:rPr>
                <w:bCs/>
                <w:i/>
                <w:sz w:val="16"/>
                <w:szCs w:val="24"/>
                <w:lang w:val="pt-BR"/>
              </w:rPr>
              <w:br/>
              <w:t>DTP 4</w:t>
            </w:r>
          </w:p>
        </w:tc>
        <w:tc>
          <w:tcPr>
            <w:tcW w:w="1134" w:type="dxa"/>
            <w:tcBorders>
              <w:top w:val="single" w:sz="4" w:space="0" w:color="auto"/>
              <w:bottom w:val="single" w:sz="12" w:space="0" w:color="auto"/>
            </w:tcBorders>
            <w:vAlign w:val="bottom"/>
          </w:tcPr>
          <w:p w:rsidR="00F92819" w:rsidRPr="00DE53A9" w:rsidRDefault="00F92819">
            <w:pPr>
              <w:keepNext/>
              <w:keepLines/>
              <w:spacing w:before="80" w:after="80" w:line="200" w:lineRule="exact"/>
              <w:jc w:val="right"/>
              <w:rPr>
                <w:bCs/>
                <w:i/>
                <w:sz w:val="16"/>
                <w:szCs w:val="24"/>
                <w:lang w:val="it-IT"/>
              </w:rPr>
            </w:pPr>
            <w:r w:rsidRPr="00DE53A9">
              <w:rPr>
                <w:bCs/>
                <w:i/>
                <w:sz w:val="16"/>
                <w:szCs w:val="24"/>
                <w:lang w:val="it-IT"/>
              </w:rPr>
              <w:t>Vacuna contra la polio</w:t>
            </w:r>
          </w:p>
          <w:p w:rsidR="00F92819" w:rsidRPr="00DE53A9" w:rsidRDefault="00F92819">
            <w:pPr>
              <w:keepNext/>
              <w:keepLines/>
              <w:spacing w:before="80" w:after="80" w:line="200" w:lineRule="exact"/>
              <w:jc w:val="right"/>
              <w:rPr>
                <w:bCs/>
                <w:szCs w:val="24"/>
                <w:lang w:val="it-IT"/>
              </w:rPr>
            </w:pPr>
            <w:r w:rsidRPr="00DE53A9">
              <w:rPr>
                <w:bCs/>
                <w:i/>
                <w:sz w:val="16"/>
                <w:szCs w:val="24"/>
                <w:lang w:val="it-IT"/>
              </w:rPr>
              <w:t>IPV 3</w:t>
            </w:r>
          </w:p>
        </w:tc>
        <w:tc>
          <w:tcPr>
            <w:tcW w:w="1134" w:type="dxa"/>
            <w:tcBorders>
              <w:top w:val="single" w:sz="4" w:space="0" w:color="auto"/>
              <w:bottom w:val="single" w:sz="12" w:space="0" w:color="auto"/>
            </w:tcBorders>
            <w:vAlign w:val="bottom"/>
          </w:tcPr>
          <w:p w:rsidR="00F92819" w:rsidRPr="00DE53A9" w:rsidRDefault="00F92819">
            <w:pPr>
              <w:keepNext/>
              <w:keepLines/>
              <w:spacing w:before="80" w:after="80" w:line="200" w:lineRule="exact"/>
              <w:jc w:val="right"/>
              <w:rPr>
                <w:bCs/>
                <w:szCs w:val="24"/>
              </w:rPr>
            </w:pPr>
            <w:r w:rsidRPr="00DE53A9">
              <w:rPr>
                <w:bCs/>
                <w:i/>
                <w:sz w:val="16"/>
                <w:szCs w:val="24"/>
                <w:lang w:val="es-ES_tradnl"/>
              </w:rPr>
              <w:t xml:space="preserve">Vacuna contra </w:t>
            </w:r>
            <w:smartTag w:uri="urn:schemas-microsoft-com:office:smarttags" w:element="PersonName">
              <w:smartTagPr>
                <w:attr w:name="ProductID" w:val="la polio ￼OPV"/>
              </w:smartTagPr>
              <w:r w:rsidRPr="00DE53A9">
                <w:rPr>
                  <w:bCs/>
                  <w:i/>
                  <w:sz w:val="16"/>
                  <w:szCs w:val="24"/>
                  <w:lang w:val="es-ES_tradnl"/>
                </w:rPr>
                <w:t xml:space="preserve">la polio </w:t>
              </w:r>
              <w:r w:rsidRPr="00DE53A9">
                <w:rPr>
                  <w:bCs/>
                  <w:i/>
                  <w:sz w:val="16"/>
                  <w:szCs w:val="24"/>
                  <w:lang w:val="es-ES_tradnl"/>
                </w:rPr>
                <w:br/>
                <w:t>OPV</w:t>
              </w:r>
            </w:smartTag>
            <w:r w:rsidRPr="00DE53A9">
              <w:rPr>
                <w:bCs/>
                <w:i/>
                <w:sz w:val="16"/>
                <w:szCs w:val="24"/>
                <w:lang w:val="es-ES_tradnl"/>
              </w:rPr>
              <w:t xml:space="preserve"> 3</w:t>
            </w:r>
          </w:p>
        </w:tc>
        <w:tc>
          <w:tcPr>
            <w:tcW w:w="992" w:type="dxa"/>
            <w:tcBorders>
              <w:top w:val="single" w:sz="4" w:space="0" w:color="auto"/>
              <w:bottom w:val="single" w:sz="12" w:space="0" w:color="auto"/>
            </w:tcBorders>
            <w:vAlign w:val="bottom"/>
          </w:tcPr>
          <w:p w:rsidR="00F92819" w:rsidRPr="00DE53A9" w:rsidRDefault="00F92819">
            <w:pPr>
              <w:keepNext/>
              <w:keepLines/>
              <w:spacing w:before="80" w:after="80" w:line="200" w:lineRule="exact"/>
              <w:jc w:val="right"/>
              <w:rPr>
                <w:bCs/>
                <w:szCs w:val="24"/>
              </w:rPr>
            </w:pPr>
            <w:r w:rsidRPr="00DE53A9">
              <w:rPr>
                <w:bCs/>
                <w:i/>
                <w:sz w:val="16"/>
                <w:szCs w:val="24"/>
                <w:lang w:val="es-ES_tradnl"/>
              </w:rPr>
              <w:t>Sarampión</w:t>
            </w:r>
            <w:r w:rsidRPr="00DE53A9">
              <w:rPr>
                <w:bCs/>
                <w:i/>
                <w:sz w:val="16"/>
                <w:szCs w:val="24"/>
                <w:lang w:val="es-ES_tradnl"/>
              </w:rPr>
              <w:br/>
              <w:t>Parotiditis</w:t>
            </w:r>
            <w:r w:rsidRPr="00DE53A9">
              <w:rPr>
                <w:bCs/>
                <w:i/>
                <w:sz w:val="16"/>
                <w:szCs w:val="24"/>
                <w:lang w:val="es-ES_tradnl"/>
              </w:rPr>
              <w:br/>
              <w:t xml:space="preserve">Rubéola </w:t>
            </w:r>
            <w:r w:rsidRPr="00DE53A9">
              <w:rPr>
                <w:bCs/>
                <w:i/>
                <w:sz w:val="16"/>
                <w:szCs w:val="24"/>
                <w:lang w:val="es-ES_tradnl"/>
              </w:rPr>
              <w:br/>
              <w:t>MMR 1</w:t>
            </w:r>
          </w:p>
        </w:tc>
        <w:tc>
          <w:tcPr>
            <w:tcW w:w="993" w:type="dxa"/>
            <w:tcBorders>
              <w:top w:val="single" w:sz="4" w:space="0" w:color="auto"/>
              <w:bottom w:val="single" w:sz="12" w:space="0" w:color="auto"/>
            </w:tcBorders>
            <w:vAlign w:val="bottom"/>
          </w:tcPr>
          <w:p w:rsidR="00F92819" w:rsidRPr="00DE53A9" w:rsidRDefault="00F92819">
            <w:pPr>
              <w:keepNext/>
              <w:keepLines/>
              <w:spacing w:before="80" w:after="80" w:line="200" w:lineRule="exact"/>
              <w:jc w:val="right"/>
              <w:rPr>
                <w:bCs/>
                <w:szCs w:val="24"/>
              </w:rPr>
            </w:pPr>
            <w:r w:rsidRPr="00DE53A9">
              <w:rPr>
                <w:bCs/>
                <w:i/>
                <w:sz w:val="16"/>
                <w:szCs w:val="24"/>
                <w:lang w:val="es-ES_tradnl"/>
              </w:rPr>
              <w:t xml:space="preserve">Vacuna contra </w:t>
            </w:r>
            <w:smartTag w:uri="urn:schemas-microsoft-com:office:smarttags" w:element="PersonName">
              <w:smartTagPr>
                <w:attr w:name="ProductID" w:val="la Hepatitis A ￼HAV"/>
              </w:smartTagPr>
              <w:r w:rsidRPr="00DE53A9">
                <w:rPr>
                  <w:bCs/>
                  <w:i/>
                  <w:sz w:val="16"/>
                  <w:szCs w:val="24"/>
                  <w:lang w:val="es-ES_tradnl"/>
                </w:rPr>
                <w:t xml:space="preserve">la Hepatitis A </w:t>
              </w:r>
              <w:r w:rsidRPr="00DE53A9">
                <w:rPr>
                  <w:bCs/>
                  <w:i/>
                  <w:sz w:val="16"/>
                  <w:szCs w:val="24"/>
                  <w:lang w:val="es-ES_tradnl"/>
                </w:rPr>
                <w:br/>
                <w:t>HAV</w:t>
              </w:r>
            </w:smartTag>
            <w:r w:rsidRPr="00DE53A9">
              <w:rPr>
                <w:bCs/>
                <w:i/>
                <w:sz w:val="16"/>
                <w:szCs w:val="24"/>
                <w:lang w:val="es-ES_tradnl"/>
              </w:rPr>
              <w:t xml:space="preserve"> 1</w:t>
            </w:r>
          </w:p>
        </w:tc>
        <w:tc>
          <w:tcPr>
            <w:tcW w:w="1134" w:type="dxa"/>
            <w:tcBorders>
              <w:top w:val="single" w:sz="4" w:space="0" w:color="auto"/>
              <w:bottom w:val="single" w:sz="12" w:space="0" w:color="auto"/>
            </w:tcBorders>
            <w:vAlign w:val="bottom"/>
          </w:tcPr>
          <w:p w:rsidR="00F92819" w:rsidRPr="00DE53A9" w:rsidRDefault="00F92819">
            <w:pPr>
              <w:keepNext/>
              <w:keepLines/>
              <w:spacing w:before="80" w:after="80" w:line="200" w:lineRule="exact"/>
              <w:jc w:val="right"/>
              <w:rPr>
                <w:bCs/>
                <w:szCs w:val="24"/>
              </w:rPr>
            </w:pPr>
            <w:r w:rsidRPr="00DE53A9">
              <w:rPr>
                <w:bCs/>
                <w:i/>
                <w:sz w:val="16"/>
                <w:szCs w:val="24"/>
                <w:lang w:val="es-ES_tradnl"/>
              </w:rPr>
              <w:t xml:space="preserve">Vacuna </w:t>
            </w:r>
            <w:r w:rsidRPr="00DE53A9">
              <w:rPr>
                <w:bCs/>
                <w:i/>
                <w:sz w:val="16"/>
                <w:szCs w:val="24"/>
                <w:lang w:val="es-ES_tradnl"/>
              </w:rPr>
              <w:br/>
              <w:t xml:space="preserve">contra </w:t>
            </w:r>
            <w:smartTag w:uri="urn:schemas-microsoft-com:office:smarttags" w:element="PersonName">
              <w:smartTagPr>
                <w:attr w:name="ProductID" w:val="la Hepatitis B ￼HBV"/>
              </w:smartTagPr>
              <w:r w:rsidRPr="00DE53A9">
                <w:rPr>
                  <w:bCs/>
                  <w:i/>
                  <w:sz w:val="16"/>
                  <w:szCs w:val="24"/>
                  <w:lang w:val="es-ES_tradnl"/>
                </w:rPr>
                <w:t xml:space="preserve">la Hepatitis B </w:t>
              </w:r>
              <w:r w:rsidRPr="00DE53A9">
                <w:rPr>
                  <w:bCs/>
                  <w:i/>
                  <w:sz w:val="16"/>
                  <w:szCs w:val="24"/>
                  <w:lang w:val="es-ES_tradnl"/>
                </w:rPr>
                <w:br/>
                <w:t>HBV</w:t>
              </w:r>
            </w:smartTag>
            <w:r w:rsidRPr="00DE53A9">
              <w:rPr>
                <w:bCs/>
                <w:i/>
                <w:sz w:val="16"/>
                <w:szCs w:val="24"/>
                <w:lang w:val="es-ES_tradnl"/>
              </w:rPr>
              <w:t xml:space="preserve"> 3</w:t>
            </w:r>
          </w:p>
        </w:tc>
        <w:tc>
          <w:tcPr>
            <w:tcW w:w="1275" w:type="dxa"/>
            <w:tcBorders>
              <w:top w:val="single" w:sz="4" w:space="0" w:color="auto"/>
              <w:bottom w:val="single" w:sz="12" w:space="0" w:color="auto"/>
            </w:tcBorders>
            <w:vAlign w:val="bottom"/>
          </w:tcPr>
          <w:p w:rsidR="00F92819" w:rsidRPr="00DE53A9" w:rsidRDefault="00F92819">
            <w:pPr>
              <w:keepNext/>
              <w:keepLines/>
              <w:spacing w:before="80" w:after="80" w:line="200" w:lineRule="exact"/>
              <w:jc w:val="right"/>
              <w:rPr>
                <w:bCs/>
                <w:szCs w:val="24"/>
              </w:rPr>
            </w:pPr>
            <w:r w:rsidRPr="00DE53A9">
              <w:rPr>
                <w:bCs/>
                <w:i/>
                <w:sz w:val="16"/>
                <w:szCs w:val="24"/>
                <w:lang w:val="es-ES_tradnl"/>
              </w:rPr>
              <w:t>Haemophilus Influenzae tipo B</w:t>
            </w:r>
            <w:r w:rsidRPr="00DE53A9">
              <w:rPr>
                <w:bCs/>
                <w:i/>
                <w:sz w:val="16"/>
                <w:szCs w:val="24"/>
                <w:lang w:val="es-ES_tradnl"/>
              </w:rPr>
              <w:br/>
              <w:t>HIB 4</w:t>
            </w:r>
          </w:p>
        </w:tc>
      </w:tr>
      <w:tr w:rsidR="00F92819">
        <w:tc>
          <w:tcPr>
            <w:tcW w:w="851" w:type="dxa"/>
            <w:tcBorders>
              <w:top w:val="single" w:sz="12" w:space="0" w:color="auto"/>
              <w:bottom w:val="single" w:sz="4" w:space="0" w:color="auto"/>
            </w:tcBorders>
            <w:vAlign w:val="bottom"/>
          </w:tcPr>
          <w:p w:rsidR="00F92819" w:rsidRDefault="00F92819">
            <w:pPr>
              <w:keepNext/>
              <w:keepLines/>
              <w:tabs>
                <w:tab w:val="left" w:pos="284"/>
              </w:tabs>
              <w:spacing w:before="80" w:after="80" w:line="220" w:lineRule="exact"/>
              <w:rPr>
                <w:szCs w:val="24"/>
              </w:rPr>
            </w:pPr>
            <w:r>
              <w:rPr>
                <w:b/>
                <w:sz w:val="18"/>
                <w:szCs w:val="24"/>
              </w:rPr>
              <w:tab/>
            </w:r>
            <w:r>
              <w:rPr>
                <w:b/>
                <w:sz w:val="18"/>
                <w:szCs w:val="24"/>
                <w:lang w:val="es-ES_tradnl"/>
              </w:rPr>
              <w:t>Total</w:t>
            </w:r>
          </w:p>
        </w:tc>
        <w:tc>
          <w:tcPr>
            <w:tcW w:w="992" w:type="dxa"/>
            <w:tcBorders>
              <w:top w:val="single" w:sz="12"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93</w:t>
            </w:r>
          </w:p>
        </w:tc>
        <w:tc>
          <w:tcPr>
            <w:tcW w:w="1134" w:type="dxa"/>
            <w:tcBorders>
              <w:top w:val="single" w:sz="12"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95</w:t>
            </w:r>
          </w:p>
        </w:tc>
        <w:tc>
          <w:tcPr>
            <w:tcW w:w="1134" w:type="dxa"/>
            <w:tcBorders>
              <w:top w:val="single" w:sz="12"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93</w:t>
            </w:r>
          </w:p>
        </w:tc>
        <w:tc>
          <w:tcPr>
            <w:tcW w:w="992" w:type="dxa"/>
            <w:tcBorders>
              <w:top w:val="single" w:sz="12"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94</w:t>
            </w:r>
          </w:p>
        </w:tc>
        <w:tc>
          <w:tcPr>
            <w:tcW w:w="993" w:type="dxa"/>
            <w:tcBorders>
              <w:top w:val="single" w:sz="12"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90</w:t>
            </w:r>
          </w:p>
        </w:tc>
        <w:tc>
          <w:tcPr>
            <w:tcW w:w="1134" w:type="dxa"/>
            <w:tcBorders>
              <w:top w:val="single" w:sz="12"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96</w:t>
            </w:r>
          </w:p>
        </w:tc>
        <w:tc>
          <w:tcPr>
            <w:tcW w:w="1275" w:type="dxa"/>
            <w:tcBorders>
              <w:top w:val="single" w:sz="12"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93</w:t>
            </w:r>
          </w:p>
        </w:tc>
      </w:tr>
      <w:tr w:rsidR="00F92819">
        <w:tc>
          <w:tcPr>
            <w:tcW w:w="851" w:type="dxa"/>
            <w:tcBorders>
              <w:top w:val="single" w:sz="4" w:space="0" w:color="auto"/>
            </w:tcBorders>
            <w:vAlign w:val="bottom"/>
          </w:tcPr>
          <w:p w:rsidR="00F92819" w:rsidRDefault="00F92819">
            <w:pPr>
              <w:keepNext/>
              <w:keepLines/>
              <w:spacing w:before="40" w:after="40" w:line="220" w:lineRule="exact"/>
              <w:rPr>
                <w:szCs w:val="24"/>
              </w:rPr>
            </w:pPr>
            <w:r>
              <w:rPr>
                <w:sz w:val="18"/>
                <w:szCs w:val="24"/>
                <w:lang w:val="es-ES_tradnl"/>
              </w:rPr>
              <w:t>Judíos</w:t>
            </w:r>
          </w:p>
        </w:tc>
        <w:tc>
          <w:tcPr>
            <w:tcW w:w="992"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91</w:t>
            </w:r>
          </w:p>
        </w:tc>
        <w:tc>
          <w:tcPr>
            <w:tcW w:w="1134"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94</w:t>
            </w:r>
          </w:p>
        </w:tc>
        <w:tc>
          <w:tcPr>
            <w:tcW w:w="1134"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91</w:t>
            </w:r>
          </w:p>
        </w:tc>
        <w:tc>
          <w:tcPr>
            <w:tcW w:w="992"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93</w:t>
            </w:r>
          </w:p>
        </w:tc>
        <w:tc>
          <w:tcPr>
            <w:tcW w:w="993"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88</w:t>
            </w:r>
          </w:p>
        </w:tc>
        <w:tc>
          <w:tcPr>
            <w:tcW w:w="1134"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96</w:t>
            </w:r>
          </w:p>
        </w:tc>
        <w:tc>
          <w:tcPr>
            <w:tcW w:w="1275"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91</w:t>
            </w:r>
          </w:p>
        </w:tc>
      </w:tr>
      <w:tr w:rsidR="00F92819">
        <w:tc>
          <w:tcPr>
            <w:tcW w:w="851" w:type="dxa"/>
            <w:tcBorders>
              <w:bottom w:val="single" w:sz="12" w:space="0" w:color="auto"/>
            </w:tcBorders>
            <w:vAlign w:val="bottom"/>
          </w:tcPr>
          <w:p w:rsidR="00F92819" w:rsidRDefault="00F92819">
            <w:pPr>
              <w:keepNext/>
              <w:keepLines/>
              <w:spacing w:before="40" w:after="40" w:line="220" w:lineRule="exact"/>
              <w:rPr>
                <w:szCs w:val="24"/>
              </w:rPr>
            </w:pPr>
            <w:r>
              <w:rPr>
                <w:sz w:val="18"/>
                <w:szCs w:val="24"/>
                <w:lang w:val="es-ES_tradnl"/>
              </w:rPr>
              <w:t>Otras religiones</w:t>
            </w:r>
          </w:p>
        </w:tc>
        <w:tc>
          <w:tcPr>
            <w:tcW w:w="992"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98</w:t>
            </w:r>
          </w:p>
        </w:tc>
        <w:tc>
          <w:tcPr>
            <w:tcW w:w="1134"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97</w:t>
            </w:r>
          </w:p>
        </w:tc>
        <w:tc>
          <w:tcPr>
            <w:tcW w:w="1134"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97</w:t>
            </w:r>
          </w:p>
        </w:tc>
        <w:tc>
          <w:tcPr>
            <w:tcW w:w="992"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98</w:t>
            </w:r>
          </w:p>
        </w:tc>
        <w:tc>
          <w:tcPr>
            <w:tcW w:w="993"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96</w:t>
            </w:r>
          </w:p>
        </w:tc>
        <w:tc>
          <w:tcPr>
            <w:tcW w:w="1134"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96</w:t>
            </w:r>
          </w:p>
        </w:tc>
        <w:tc>
          <w:tcPr>
            <w:tcW w:w="1275"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98</w:t>
            </w:r>
          </w:p>
        </w:tc>
      </w:tr>
    </w:tbl>
    <w:p w:rsidR="00F92819" w:rsidRDefault="00F92819">
      <w:pPr>
        <w:spacing w:before="120" w:after="240"/>
        <w:ind w:left="1134" w:right="1134" w:firstLine="170"/>
        <w:rPr>
          <w:b/>
          <w:szCs w:val="24"/>
        </w:rPr>
      </w:pPr>
      <w:r>
        <w:rPr>
          <w:i/>
          <w:sz w:val="18"/>
          <w:szCs w:val="24"/>
          <w:lang w:val="es-ES_tradnl"/>
        </w:rPr>
        <w:t>Fuente</w:t>
      </w:r>
      <w:r>
        <w:rPr>
          <w:sz w:val="18"/>
          <w:szCs w:val="24"/>
          <w:lang w:val="es-ES_tradnl"/>
        </w:rPr>
        <w:t>:</w:t>
      </w:r>
      <w:r>
        <w:rPr>
          <w:sz w:val="18"/>
          <w:szCs w:val="24"/>
        </w:rPr>
        <w:t xml:space="preserve"> </w:t>
      </w:r>
      <w:r>
        <w:rPr>
          <w:sz w:val="18"/>
          <w:szCs w:val="24"/>
          <w:lang w:val="es-ES_tradnl"/>
        </w:rPr>
        <w:t>Ministerio de Salud, 2008.</w:t>
      </w:r>
    </w:p>
    <w:p w:rsidR="00F92819" w:rsidRDefault="00F92819">
      <w:pPr>
        <w:pStyle w:val="H4G"/>
        <w:rPr>
          <w:szCs w:val="24"/>
        </w:rPr>
      </w:pPr>
      <w:r>
        <w:rPr>
          <w:szCs w:val="24"/>
        </w:rPr>
        <w:tab/>
      </w:r>
      <w:r>
        <w:rPr>
          <w:szCs w:val="24"/>
        </w:rPr>
        <w:tab/>
      </w:r>
      <w:r>
        <w:rPr>
          <w:szCs w:val="24"/>
          <w:lang w:val="es-ES_tradnl"/>
        </w:rPr>
        <w:t>Esperanza de vida</w:t>
      </w:r>
    </w:p>
    <w:p w:rsidR="00F92819" w:rsidRDefault="00F92819">
      <w:pPr>
        <w:pStyle w:val="SingleTxtG"/>
        <w:rPr>
          <w:szCs w:val="24"/>
        </w:rPr>
      </w:pPr>
      <w:r>
        <w:rPr>
          <w:szCs w:val="24"/>
        </w:rPr>
        <w:t>510.</w:t>
      </w:r>
      <w:r>
        <w:rPr>
          <w:szCs w:val="24"/>
        </w:rPr>
        <w:tab/>
      </w:r>
      <w:r>
        <w:rPr>
          <w:szCs w:val="24"/>
          <w:lang w:val="es-ES_tradnl"/>
        </w:rPr>
        <w:t>En 2007 la esperanza de vida era de 82,5 años para las mujeres israelíes y de 78,8 años para los hombres.</w:t>
      </w:r>
      <w:r>
        <w:rPr>
          <w:szCs w:val="24"/>
        </w:rPr>
        <w:t xml:space="preserve"> </w:t>
      </w:r>
      <w:r>
        <w:rPr>
          <w:szCs w:val="24"/>
          <w:lang w:val="es-ES_tradnl"/>
        </w:rPr>
        <w:t>Las personas de edad (más de 65 años) comprendían el 9,8% de la población en 2006 (sólo el 3,3% entre la población árabe).</w:t>
      </w:r>
      <w:r>
        <w:rPr>
          <w:szCs w:val="24"/>
        </w:rPr>
        <w:t xml:space="preserve"> </w:t>
      </w:r>
      <w:r>
        <w:rPr>
          <w:szCs w:val="24"/>
          <w:lang w:val="es-ES_tradnl"/>
        </w:rPr>
        <w:t>En 2006 las personas de más de 65 años formaban el 11,2% de la población femenina, frente al 8,5% de la masculina.</w:t>
      </w:r>
    </w:p>
    <w:p w:rsidR="00F92819" w:rsidRDefault="00F92819">
      <w:pPr>
        <w:pStyle w:val="Heading1"/>
        <w:spacing w:before="240"/>
        <w:rPr>
          <w:szCs w:val="24"/>
        </w:rPr>
      </w:pPr>
      <w:r>
        <w:rPr>
          <w:szCs w:val="24"/>
          <w:lang w:val="es-ES_tradnl"/>
        </w:rPr>
        <w:t>Cuadro 35</w:t>
      </w:r>
    </w:p>
    <w:p w:rsidR="00F92819" w:rsidRDefault="00F92819">
      <w:pPr>
        <w:pStyle w:val="SingleTxtG"/>
        <w:rPr>
          <w:b/>
          <w:szCs w:val="24"/>
        </w:rPr>
      </w:pPr>
      <w:r>
        <w:rPr>
          <w:b/>
          <w:szCs w:val="24"/>
          <w:lang w:val="es-ES_tradnl"/>
        </w:rPr>
        <w:t>Esperanza de vida, por género y grupo de población, 2001</w:t>
      </w:r>
      <w:r w:rsidR="008C04D7">
        <w:rPr>
          <w:b/>
          <w:szCs w:val="24"/>
          <w:lang w:val="es-ES_tradnl"/>
        </w:rPr>
        <w:t>-</w:t>
      </w:r>
      <w:r>
        <w:rPr>
          <w:b/>
          <w:szCs w:val="24"/>
          <w:lang w:val="es-ES_tradnl"/>
        </w:rPr>
        <w:t>2007</w:t>
      </w:r>
    </w:p>
    <w:tbl>
      <w:tblPr>
        <w:tblStyle w:val="TableGrid"/>
        <w:tblW w:w="7284"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753"/>
        <w:gridCol w:w="1103"/>
        <w:gridCol w:w="1110"/>
        <w:gridCol w:w="889"/>
        <w:gridCol w:w="1196"/>
        <w:gridCol w:w="15"/>
        <w:gridCol w:w="1115"/>
        <w:gridCol w:w="1103"/>
      </w:tblGrid>
      <w:tr w:rsidR="00F92819">
        <w:tc>
          <w:tcPr>
            <w:tcW w:w="753" w:type="dxa"/>
            <w:vMerge w:val="restart"/>
            <w:tcBorders>
              <w:top w:val="single" w:sz="4" w:space="0" w:color="auto"/>
            </w:tcBorders>
            <w:vAlign w:val="bottom"/>
          </w:tcPr>
          <w:p w:rsidR="00F92819" w:rsidRDefault="00F92819">
            <w:pPr>
              <w:spacing w:before="80" w:after="80" w:line="200" w:lineRule="exact"/>
              <w:rPr>
                <w:szCs w:val="24"/>
              </w:rPr>
            </w:pPr>
            <w:r>
              <w:rPr>
                <w:i/>
                <w:sz w:val="16"/>
                <w:szCs w:val="24"/>
                <w:lang w:val="es-ES_tradnl"/>
              </w:rPr>
              <w:t>Año</w:t>
            </w:r>
          </w:p>
        </w:tc>
        <w:tc>
          <w:tcPr>
            <w:tcW w:w="2213" w:type="dxa"/>
            <w:gridSpan w:val="2"/>
            <w:tcBorders>
              <w:top w:val="single" w:sz="4" w:space="0" w:color="auto"/>
              <w:bottom w:val="single" w:sz="4" w:space="0" w:color="auto"/>
              <w:right w:val="single" w:sz="24" w:space="0" w:color="FFFFFF"/>
            </w:tcBorders>
            <w:vAlign w:val="bottom"/>
          </w:tcPr>
          <w:p w:rsidR="00F92819" w:rsidRDefault="00F92819">
            <w:pPr>
              <w:spacing w:before="80" w:after="80" w:line="200" w:lineRule="exact"/>
              <w:jc w:val="center"/>
              <w:rPr>
                <w:szCs w:val="24"/>
              </w:rPr>
            </w:pPr>
            <w:r>
              <w:rPr>
                <w:i/>
                <w:sz w:val="16"/>
                <w:szCs w:val="24"/>
                <w:lang w:val="es-ES_tradnl"/>
              </w:rPr>
              <w:t>Hombres</w:t>
            </w:r>
          </w:p>
        </w:tc>
        <w:tc>
          <w:tcPr>
            <w:tcW w:w="889" w:type="dxa"/>
            <w:tcBorders>
              <w:top w:val="single" w:sz="4" w:space="0" w:color="auto"/>
              <w:left w:val="single" w:sz="24" w:space="0" w:color="FFFFFF"/>
              <w:bottom w:val="single" w:sz="4" w:space="0" w:color="auto"/>
              <w:right w:val="single" w:sz="24" w:space="0" w:color="FFFFFF"/>
            </w:tcBorders>
            <w:vAlign w:val="bottom"/>
          </w:tcPr>
          <w:p w:rsidR="00F92819" w:rsidRDefault="00F92819">
            <w:pPr>
              <w:spacing w:before="80" w:after="80" w:line="200" w:lineRule="exact"/>
              <w:jc w:val="center"/>
              <w:rPr>
                <w:i/>
                <w:sz w:val="16"/>
                <w:szCs w:val="24"/>
              </w:rPr>
            </w:pPr>
          </w:p>
        </w:tc>
        <w:tc>
          <w:tcPr>
            <w:tcW w:w="1211" w:type="dxa"/>
            <w:gridSpan w:val="2"/>
            <w:tcBorders>
              <w:top w:val="single" w:sz="4" w:space="0" w:color="auto"/>
              <w:left w:val="single" w:sz="24" w:space="0" w:color="FFFFFF"/>
              <w:bottom w:val="single" w:sz="4" w:space="0" w:color="auto"/>
              <w:right w:val="single" w:sz="24" w:space="0" w:color="FFFFFF"/>
            </w:tcBorders>
            <w:vAlign w:val="bottom"/>
          </w:tcPr>
          <w:p w:rsidR="00F92819" w:rsidRDefault="00F92819">
            <w:pPr>
              <w:spacing w:before="80" w:after="80" w:line="200" w:lineRule="exact"/>
              <w:jc w:val="center"/>
              <w:rPr>
                <w:i/>
                <w:sz w:val="16"/>
                <w:szCs w:val="24"/>
              </w:rPr>
            </w:pPr>
          </w:p>
        </w:tc>
        <w:tc>
          <w:tcPr>
            <w:tcW w:w="2218" w:type="dxa"/>
            <w:gridSpan w:val="2"/>
            <w:tcBorders>
              <w:top w:val="single" w:sz="4" w:space="0" w:color="auto"/>
              <w:left w:val="single" w:sz="24" w:space="0" w:color="FFFFFF"/>
              <w:bottom w:val="single" w:sz="4" w:space="0" w:color="auto"/>
            </w:tcBorders>
            <w:vAlign w:val="bottom"/>
          </w:tcPr>
          <w:p w:rsidR="00F92819" w:rsidRDefault="00F92819">
            <w:pPr>
              <w:spacing w:before="80" w:after="80" w:line="200" w:lineRule="exact"/>
              <w:jc w:val="center"/>
              <w:rPr>
                <w:szCs w:val="24"/>
              </w:rPr>
            </w:pPr>
            <w:r>
              <w:rPr>
                <w:i/>
                <w:sz w:val="16"/>
                <w:szCs w:val="24"/>
                <w:lang w:val="es-ES_tradnl"/>
              </w:rPr>
              <w:t>Mujeres</w:t>
            </w:r>
          </w:p>
        </w:tc>
      </w:tr>
      <w:tr w:rsidR="00F92819">
        <w:tc>
          <w:tcPr>
            <w:tcW w:w="753" w:type="dxa"/>
            <w:vMerge/>
            <w:tcBorders>
              <w:bottom w:val="single" w:sz="12" w:space="0" w:color="auto"/>
            </w:tcBorders>
            <w:vAlign w:val="bottom"/>
          </w:tcPr>
          <w:p w:rsidR="00F92819" w:rsidRDefault="00F92819">
            <w:pPr>
              <w:spacing w:before="40" w:after="40" w:line="220" w:lineRule="exact"/>
              <w:rPr>
                <w:sz w:val="18"/>
                <w:szCs w:val="24"/>
              </w:rPr>
            </w:pPr>
          </w:p>
        </w:tc>
        <w:tc>
          <w:tcPr>
            <w:tcW w:w="1103" w:type="dxa"/>
            <w:tcBorders>
              <w:top w:val="single" w:sz="4" w:space="0" w:color="auto"/>
              <w:bottom w:val="single" w:sz="12" w:space="0" w:color="auto"/>
            </w:tcBorders>
            <w:vAlign w:val="bottom"/>
          </w:tcPr>
          <w:p w:rsidR="00F92819" w:rsidRDefault="00F92819">
            <w:pPr>
              <w:spacing w:before="40" w:after="40" w:line="220" w:lineRule="exact"/>
              <w:jc w:val="right"/>
              <w:rPr>
                <w:szCs w:val="24"/>
              </w:rPr>
            </w:pPr>
            <w:r>
              <w:rPr>
                <w:i/>
                <w:sz w:val="16"/>
                <w:szCs w:val="24"/>
                <w:lang w:val="es-ES_tradnl"/>
              </w:rPr>
              <w:t>Judíos</w:t>
            </w:r>
          </w:p>
        </w:tc>
        <w:tc>
          <w:tcPr>
            <w:tcW w:w="1110" w:type="dxa"/>
            <w:tcBorders>
              <w:top w:val="single" w:sz="4" w:space="0" w:color="auto"/>
              <w:bottom w:val="single" w:sz="12" w:space="0" w:color="auto"/>
              <w:right w:val="single" w:sz="24" w:space="0" w:color="FFFFFF"/>
            </w:tcBorders>
            <w:vAlign w:val="bottom"/>
          </w:tcPr>
          <w:p w:rsidR="00F92819" w:rsidRDefault="00F92819">
            <w:pPr>
              <w:spacing w:before="40" w:after="40" w:line="220" w:lineRule="exact"/>
              <w:jc w:val="right"/>
              <w:rPr>
                <w:szCs w:val="24"/>
              </w:rPr>
            </w:pPr>
            <w:r>
              <w:rPr>
                <w:i/>
                <w:sz w:val="16"/>
                <w:szCs w:val="24"/>
                <w:lang w:val="es-ES_tradnl"/>
              </w:rPr>
              <w:t>Árabes</w:t>
            </w:r>
          </w:p>
        </w:tc>
        <w:tc>
          <w:tcPr>
            <w:tcW w:w="889" w:type="dxa"/>
            <w:tcBorders>
              <w:top w:val="single" w:sz="4" w:space="0" w:color="auto"/>
              <w:left w:val="single" w:sz="24" w:space="0" w:color="FFFFFF"/>
              <w:bottom w:val="single" w:sz="12" w:space="0" w:color="auto"/>
              <w:right w:val="single" w:sz="24" w:space="0" w:color="FFFFFF"/>
            </w:tcBorders>
            <w:vAlign w:val="bottom"/>
          </w:tcPr>
          <w:p w:rsidR="00F92819" w:rsidRDefault="00F92819">
            <w:pPr>
              <w:spacing w:before="40" w:after="40" w:line="220" w:lineRule="exact"/>
              <w:jc w:val="right"/>
              <w:rPr>
                <w:szCs w:val="24"/>
              </w:rPr>
            </w:pPr>
            <w:r>
              <w:rPr>
                <w:b/>
                <w:i/>
                <w:sz w:val="16"/>
                <w:szCs w:val="24"/>
                <w:lang w:val="es-ES_tradnl"/>
              </w:rPr>
              <w:t>Total</w:t>
            </w:r>
          </w:p>
        </w:tc>
        <w:tc>
          <w:tcPr>
            <w:tcW w:w="1196" w:type="dxa"/>
            <w:tcBorders>
              <w:top w:val="single" w:sz="4" w:space="0" w:color="auto"/>
              <w:left w:val="single" w:sz="24" w:space="0" w:color="FFFFFF"/>
              <w:bottom w:val="single" w:sz="12" w:space="0" w:color="auto"/>
              <w:right w:val="single" w:sz="24" w:space="0" w:color="FFFFFF"/>
            </w:tcBorders>
            <w:vAlign w:val="bottom"/>
          </w:tcPr>
          <w:p w:rsidR="00F92819" w:rsidRDefault="00F92819">
            <w:pPr>
              <w:spacing w:before="40" w:after="40" w:line="220" w:lineRule="exact"/>
              <w:jc w:val="right"/>
              <w:rPr>
                <w:szCs w:val="24"/>
              </w:rPr>
            </w:pPr>
            <w:r>
              <w:rPr>
                <w:i/>
                <w:sz w:val="16"/>
                <w:szCs w:val="24"/>
                <w:lang w:val="es-ES_tradnl"/>
              </w:rPr>
              <w:t>Judíos</w:t>
            </w:r>
          </w:p>
        </w:tc>
        <w:tc>
          <w:tcPr>
            <w:tcW w:w="1130" w:type="dxa"/>
            <w:gridSpan w:val="2"/>
            <w:tcBorders>
              <w:top w:val="single" w:sz="4" w:space="0" w:color="auto"/>
              <w:left w:val="single" w:sz="24" w:space="0" w:color="FFFFFF"/>
              <w:bottom w:val="single" w:sz="12" w:space="0" w:color="auto"/>
            </w:tcBorders>
            <w:vAlign w:val="bottom"/>
          </w:tcPr>
          <w:p w:rsidR="00F92819" w:rsidRDefault="00F92819">
            <w:pPr>
              <w:spacing w:before="40" w:after="40" w:line="220" w:lineRule="exact"/>
              <w:jc w:val="right"/>
              <w:rPr>
                <w:szCs w:val="24"/>
              </w:rPr>
            </w:pPr>
            <w:r>
              <w:rPr>
                <w:i/>
                <w:sz w:val="16"/>
                <w:szCs w:val="24"/>
                <w:lang w:val="es-ES_tradnl"/>
              </w:rPr>
              <w:t>Árabes</w:t>
            </w:r>
          </w:p>
        </w:tc>
        <w:tc>
          <w:tcPr>
            <w:tcW w:w="1103" w:type="dxa"/>
            <w:tcBorders>
              <w:top w:val="single" w:sz="4" w:space="0" w:color="auto"/>
              <w:bottom w:val="single" w:sz="12" w:space="0" w:color="auto"/>
            </w:tcBorders>
            <w:vAlign w:val="bottom"/>
          </w:tcPr>
          <w:p w:rsidR="00F92819" w:rsidRDefault="00F92819">
            <w:pPr>
              <w:spacing w:before="40" w:after="40" w:line="220" w:lineRule="exact"/>
              <w:jc w:val="right"/>
              <w:rPr>
                <w:szCs w:val="24"/>
              </w:rPr>
            </w:pPr>
            <w:r>
              <w:rPr>
                <w:b/>
                <w:i/>
                <w:sz w:val="16"/>
                <w:szCs w:val="24"/>
                <w:lang w:val="es-ES_tradnl"/>
              </w:rPr>
              <w:t>Total</w:t>
            </w:r>
          </w:p>
        </w:tc>
      </w:tr>
      <w:tr w:rsidR="00F92819">
        <w:tc>
          <w:tcPr>
            <w:tcW w:w="753" w:type="dxa"/>
            <w:tcBorders>
              <w:top w:val="single" w:sz="12" w:space="0" w:color="auto"/>
            </w:tcBorders>
            <w:vAlign w:val="bottom"/>
          </w:tcPr>
          <w:p w:rsidR="00F92819" w:rsidRDefault="00F92819">
            <w:pPr>
              <w:spacing w:before="40" w:after="40" w:line="220" w:lineRule="exact"/>
              <w:rPr>
                <w:sz w:val="18"/>
                <w:szCs w:val="24"/>
              </w:rPr>
            </w:pPr>
            <w:r>
              <w:rPr>
                <w:sz w:val="18"/>
                <w:szCs w:val="24"/>
              </w:rPr>
              <w:t>2001</w:t>
            </w:r>
          </w:p>
        </w:tc>
        <w:tc>
          <w:tcPr>
            <w:tcW w:w="1103"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77,9</w:t>
            </w:r>
          </w:p>
        </w:tc>
        <w:tc>
          <w:tcPr>
            <w:tcW w:w="1110"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74,5</w:t>
            </w:r>
          </w:p>
        </w:tc>
        <w:tc>
          <w:tcPr>
            <w:tcW w:w="889" w:type="dxa"/>
            <w:tcBorders>
              <w:top w:val="single" w:sz="12" w:space="0" w:color="auto"/>
              <w:left w:val="nil"/>
            </w:tcBorders>
            <w:vAlign w:val="bottom"/>
          </w:tcPr>
          <w:p w:rsidR="00F92819" w:rsidRDefault="00F92819">
            <w:pPr>
              <w:spacing w:before="40" w:after="40" w:line="220" w:lineRule="exact"/>
              <w:jc w:val="right"/>
              <w:rPr>
                <w:b/>
                <w:sz w:val="18"/>
                <w:szCs w:val="24"/>
              </w:rPr>
            </w:pPr>
            <w:r>
              <w:rPr>
                <w:b/>
                <w:sz w:val="18"/>
                <w:szCs w:val="24"/>
              </w:rPr>
              <w:t>77,3</w:t>
            </w:r>
          </w:p>
        </w:tc>
        <w:tc>
          <w:tcPr>
            <w:tcW w:w="1196" w:type="dxa"/>
            <w:tcBorders>
              <w:top w:val="single" w:sz="12" w:space="0" w:color="auto"/>
              <w:left w:val="nil"/>
            </w:tcBorders>
            <w:vAlign w:val="bottom"/>
          </w:tcPr>
          <w:p w:rsidR="00F92819" w:rsidRDefault="00F92819">
            <w:pPr>
              <w:spacing w:before="40" w:after="40" w:line="220" w:lineRule="exact"/>
              <w:jc w:val="right"/>
              <w:rPr>
                <w:sz w:val="18"/>
                <w:szCs w:val="24"/>
              </w:rPr>
            </w:pPr>
            <w:r>
              <w:rPr>
                <w:sz w:val="18"/>
                <w:szCs w:val="24"/>
              </w:rPr>
              <w:t>81,6</w:t>
            </w:r>
          </w:p>
        </w:tc>
        <w:tc>
          <w:tcPr>
            <w:tcW w:w="1130" w:type="dxa"/>
            <w:gridSpan w:val="2"/>
            <w:tcBorders>
              <w:top w:val="single" w:sz="12" w:space="0" w:color="auto"/>
              <w:left w:val="nil"/>
            </w:tcBorders>
            <w:vAlign w:val="bottom"/>
          </w:tcPr>
          <w:p w:rsidR="00F92819" w:rsidRDefault="00F92819">
            <w:pPr>
              <w:spacing w:before="40" w:after="40" w:line="220" w:lineRule="exact"/>
              <w:jc w:val="right"/>
              <w:rPr>
                <w:sz w:val="18"/>
                <w:szCs w:val="24"/>
              </w:rPr>
            </w:pPr>
            <w:r>
              <w:rPr>
                <w:sz w:val="18"/>
                <w:szCs w:val="24"/>
              </w:rPr>
              <w:t>77,8</w:t>
            </w:r>
          </w:p>
        </w:tc>
        <w:tc>
          <w:tcPr>
            <w:tcW w:w="1103" w:type="dxa"/>
            <w:tcBorders>
              <w:top w:val="single" w:sz="12" w:space="0" w:color="auto"/>
            </w:tcBorders>
            <w:vAlign w:val="bottom"/>
          </w:tcPr>
          <w:p w:rsidR="00F92819" w:rsidRDefault="00F92819">
            <w:pPr>
              <w:spacing w:before="40" w:after="40" w:line="220" w:lineRule="exact"/>
              <w:jc w:val="right"/>
              <w:rPr>
                <w:b/>
                <w:sz w:val="18"/>
                <w:szCs w:val="24"/>
              </w:rPr>
            </w:pPr>
            <w:r>
              <w:rPr>
                <w:b/>
                <w:sz w:val="18"/>
                <w:szCs w:val="24"/>
              </w:rPr>
              <w:t>81,2</w:t>
            </w:r>
          </w:p>
        </w:tc>
      </w:tr>
      <w:tr w:rsidR="00F92819">
        <w:tc>
          <w:tcPr>
            <w:tcW w:w="753" w:type="dxa"/>
            <w:vAlign w:val="bottom"/>
          </w:tcPr>
          <w:p w:rsidR="00F92819" w:rsidRDefault="00F92819">
            <w:pPr>
              <w:spacing w:before="40" w:after="40" w:line="220" w:lineRule="exact"/>
              <w:rPr>
                <w:sz w:val="18"/>
                <w:szCs w:val="24"/>
              </w:rPr>
            </w:pPr>
            <w:r>
              <w:rPr>
                <w:sz w:val="18"/>
                <w:szCs w:val="24"/>
              </w:rPr>
              <w:t>2002</w:t>
            </w:r>
          </w:p>
        </w:tc>
        <w:tc>
          <w:tcPr>
            <w:tcW w:w="1103" w:type="dxa"/>
            <w:vAlign w:val="bottom"/>
          </w:tcPr>
          <w:p w:rsidR="00F92819" w:rsidRDefault="00F92819">
            <w:pPr>
              <w:spacing w:before="40" w:after="40" w:line="220" w:lineRule="exact"/>
              <w:jc w:val="right"/>
              <w:rPr>
                <w:sz w:val="18"/>
                <w:szCs w:val="24"/>
              </w:rPr>
            </w:pPr>
            <w:r>
              <w:rPr>
                <w:sz w:val="18"/>
                <w:szCs w:val="24"/>
              </w:rPr>
              <w:t>78,1</w:t>
            </w:r>
          </w:p>
        </w:tc>
        <w:tc>
          <w:tcPr>
            <w:tcW w:w="1110" w:type="dxa"/>
            <w:vAlign w:val="bottom"/>
          </w:tcPr>
          <w:p w:rsidR="00F92819" w:rsidRDefault="00F92819">
            <w:pPr>
              <w:spacing w:before="40" w:after="40" w:line="220" w:lineRule="exact"/>
              <w:jc w:val="right"/>
              <w:rPr>
                <w:sz w:val="18"/>
                <w:szCs w:val="24"/>
              </w:rPr>
            </w:pPr>
            <w:r>
              <w:rPr>
                <w:sz w:val="18"/>
                <w:szCs w:val="24"/>
              </w:rPr>
              <w:t>74,7</w:t>
            </w:r>
          </w:p>
        </w:tc>
        <w:tc>
          <w:tcPr>
            <w:tcW w:w="889" w:type="dxa"/>
            <w:vAlign w:val="bottom"/>
          </w:tcPr>
          <w:p w:rsidR="00F92819" w:rsidRDefault="00F92819">
            <w:pPr>
              <w:spacing w:before="40" w:after="40" w:line="220" w:lineRule="exact"/>
              <w:jc w:val="right"/>
              <w:rPr>
                <w:b/>
                <w:sz w:val="18"/>
                <w:szCs w:val="24"/>
              </w:rPr>
            </w:pPr>
            <w:r>
              <w:rPr>
                <w:b/>
                <w:sz w:val="18"/>
                <w:szCs w:val="24"/>
              </w:rPr>
              <w:t>77,5</w:t>
            </w:r>
          </w:p>
        </w:tc>
        <w:tc>
          <w:tcPr>
            <w:tcW w:w="1196" w:type="dxa"/>
            <w:vAlign w:val="bottom"/>
          </w:tcPr>
          <w:p w:rsidR="00F92819" w:rsidRDefault="00F92819">
            <w:pPr>
              <w:spacing w:before="40" w:after="40" w:line="220" w:lineRule="exact"/>
              <w:jc w:val="right"/>
              <w:rPr>
                <w:sz w:val="18"/>
                <w:szCs w:val="24"/>
              </w:rPr>
            </w:pPr>
            <w:r>
              <w:rPr>
                <w:sz w:val="18"/>
                <w:szCs w:val="24"/>
              </w:rPr>
              <w:t>81,9</w:t>
            </w:r>
          </w:p>
        </w:tc>
        <w:tc>
          <w:tcPr>
            <w:tcW w:w="1130" w:type="dxa"/>
            <w:gridSpan w:val="2"/>
            <w:vAlign w:val="bottom"/>
          </w:tcPr>
          <w:p w:rsidR="00F92819" w:rsidRDefault="00F92819">
            <w:pPr>
              <w:spacing w:before="40" w:after="40" w:line="220" w:lineRule="exact"/>
              <w:jc w:val="right"/>
              <w:rPr>
                <w:sz w:val="18"/>
                <w:szCs w:val="24"/>
              </w:rPr>
            </w:pPr>
            <w:r>
              <w:rPr>
                <w:sz w:val="18"/>
                <w:szCs w:val="24"/>
              </w:rPr>
              <w:t>77,9</w:t>
            </w:r>
          </w:p>
        </w:tc>
        <w:tc>
          <w:tcPr>
            <w:tcW w:w="1103" w:type="dxa"/>
            <w:vAlign w:val="bottom"/>
          </w:tcPr>
          <w:p w:rsidR="00F92819" w:rsidRDefault="00F92819">
            <w:pPr>
              <w:spacing w:before="40" w:after="40" w:line="220" w:lineRule="exact"/>
              <w:jc w:val="right"/>
              <w:rPr>
                <w:b/>
                <w:sz w:val="18"/>
                <w:szCs w:val="24"/>
              </w:rPr>
            </w:pPr>
            <w:r>
              <w:rPr>
                <w:b/>
                <w:sz w:val="18"/>
                <w:szCs w:val="24"/>
              </w:rPr>
              <w:t>81,5</w:t>
            </w:r>
          </w:p>
        </w:tc>
      </w:tr>
      <w:tr w:rsidR="00F92819">
        <w:tc>
          <w:tcPr>
            <w:tcW w:w="753" w:type="dxa"/>
            <w:vAlign w:val="bottom"/>
          </w:tcPr>
          <w:p w:rsidR="00F92819" w:rsidRDefault="00F92819">
            <w:pPr>
              <w:spacing w:before="40" w:after="40" w:line="220" w:lineRule="exact"/>
              <w:rPr>
                <w:sz w:val="18"/>
                <w:szCs w:val="24"/>
              </w:rPr>
            </w:pPr>
            <w:r>
              <w:rPr>
                <w:sz w:val="18"/>
                <w:szCs w:val="24"/>
              </w:rPr>
              <w:t>2003</w:t>
            </w:r>
          </w:p>
        </w:tc>
        <w:tc>
          <w:tcPr>
            <w:tcW w:w="1103" w:type="dxa"/>
            <w:vAlign w:val="bottom"/>
          </w:tcPr>
          <w:p w:rsidR="00F92819" w:rsidRDefault="00F92819">
            <w:pPr>
              <w:spacing w:before="40" w:after="40" w:line="220" w:lineRule="exact"/>
              <w:jc w:val="right"/>
              <w:rPr>
                <w:sz w:val="18"/>
                <w:szCs w:val="24"/>
              </w:rPr>
            </w:pPr>
            <w:r>
              <w:rPr>
                <w:sz w:val="18"/>
                <w:szCs w:val="24"/>
              </w:rPr>
              <w:t>78,3</w:t>
            </w:r>
          </w:p>
        </w:tc>
        <w:tc>
          <w:tcPr>
            <w:tcW w:w="1110" w:type="dxa"/>
            <w:vAlign w:val="bottom"/>
          </w:tcPr>
          <w:p w:rsidR="00F92819" w:rsidRDefault="00F92819">
            <w:pPr>
              <w:spacing w:before="40" w:after="40" w:line="220" w:lineRule="exact"/>
              <w:jc w:val="right"/>
              <w:rPr>
                <w:sz w:val="18"/>
                <w:szCs w:val="24"/>
              </w:rPr>
            </w:pPr>
            <w:r>
              <w:rPr>
                <w:sz w:val="18"/>
                <w:szCs w:val="24"/>
              </w:rPr>
              <w:t>74,9</w:t>
            </w:r>
          </w:p>
        </w:tc>
        <w:tc>
          <w:tcPr>
            <w:tcW w:w="889" w:type="dxa"/>
            <w:vAlign w:val="bottom"/>
          </w:tcPr>
          <w:p w:rsidR="00F92819" w:rsidRDefault="00F92819">
            <w:pPr>
              <w:spacing w:before="40" w:after="40" w:line="220" w:lineRule="exact"/>
              <w:jc w:val="right"/>
              <w:rPr>
                <w:b/>
                <w:sz w:val="18"/>
                <w:szCs w:val="24"/>
              </w:rPr>
            </w:pPr>
            <w:r>
              <w:rPr>
                <w:b/>
                <w:sz w:val="18"/>
                <w:szCs w:val="24"/>
              </w:rPr>
              <w:t>77,6</w:t>
            </w:r>
          </w:p>
        </w:tc>
        <w:tc>
          <w:tcPr>
            <w:tcW w:w="1196" w:type="dxa"/>
            <w:vAlign w:val="bottom"/>
          </w:tcPr>
          <w:p w:rsidR="00F92819" w:rsidRDefault="00F92819">
            <w:pPr>
              <w:spacing w:before="40" w:after="40" w:line="220" w:lineRule="exact"/>
              <w:jc w:val="right"/>
              <w:rPr>
                <w:sz w:val="18"/>
                <w:szCs w:val="24"/>
              </w:rPr>
            </w:pPr>
            <w:r>
              <w:rPr>
                <w:sz w:val="18"/>
                <w:szCs w:val="24"/>
              </w:rPr>
              <w:t>82,2</w:t>
            </w:r>
          </w:p>
        </w:tc>
        <w:tc>
          <w:tcPr>
            <w:tcW w:w="1130" w:type="dxa"/>
            <w:gridSpan w:val="2"/>
            <w:vAlign w:val="bottom"/>
          </w:tcPr>
          <w:p w:rsidR="00F92819" w:rsidRDefault="00F92819">
            <w:pPr>
              <w:spacing w:before="40" w:after="40" w:line="220" w:lineRule="exact"/>
              <w:jc w:val="right"/>
              <w:rPr>
                <w:sz w:val="18"/>
                <w:szCs w:val="24"/>
              </w:rPr>
            </w:pPr>
            <w:r>
              <w:rPr>
                <w:sz w:val="18"/>
                <w:szCs w:val="24"/>
              </w:rPr>
              <w:t>78,2</w:t>
            </w:r>
          </w:p>
        </w:tc>
        <w:tc>
          <w:tcPr>
            <w:tcW w:w="1103" w:type="dxa"/>
            <w:vAlign w:val="bottom"/>
          </w:tcPr>
          <w:p w:rsidR="00F92819" w:rsidRDefault="00F92819">
            <w:pPr>
              <w:spacing w:before="40" w:after="40" w:line="220" w:lineRule="exact"/>
              <w:jc w:val="right"/>
              <w:rPr>
                <w:b/>
                <w:sz w:val="18"/>
                <w:szCs w:val="24"/>
              </w:rPr>
            </w:pPr>
            <w:r>
              <w:rPr>
                <w:b/>
                <w:sz w:val="18"/>
                <w:szCs w:val="24"/>
              </w:rPr>
              <w:t>81,8</w:t>
            </w:r>
          </w:p>
        </w:tc>
      </w:tr>
      <w:tr w:rsidR="00F92819">
        <w:tc>
          <w:tcPr>
            <w:tcW w:w="753" w:type="dxa"/>
            <w:vAlign w:val="bottom"/>
          </w:tcPr>
          <w:p w:rsidR="00F92819" w:rsidRDefault="00F92819">
            <w:pPr>
              <w:spacing w:before="40" w:after="40" w:line="220" w:lineRule="exact"/>
              <w:rPr>
                <w:sz w:val="18"/>
                <w:szCs w:val="24"/>
              </w:rPr>
            </w:pPr>
            <w:r>
              <w:rPr>
                <w:sz w:val="18"/>
                <w:szCs w:val="24"/>
              </w:rPr>
              <w:t>2004</w:t>
            </w:r>
          </w:p>
        </w:tc>
        <w:tc>
          <w:tcPr>
            <w:tcW w:w="1103" w:type="dxa"/>
            <w:vAlign w:val="bottom"/>
          </w:tcPr>
          <w:p w:rsidR="00F92819" w:rsidRDefault="00F92819">
            <w:pPr>
              <w:spacing w:before="40" w:after="40" w:line="220" w:lineRule="exact"/>
              <w:jc w:val="right"/>
              <w:rPr>
                <w:sz w:val="18"/>
                <w:szCs w:val="24"/>
              </w:rPr>
            </w:pPr>
            <w:r>
              <w:rPr>
                <w:sz w:val="18"/>
                <w:szCs w:val="24"/>
              </w:rPr>
              <w:t>78,7</w:t>
            </w:r>
          </w:p>
        </w:tc>
        <w:tc>
          <w:tcPr>
            <w:tcW w:w="1110" w:type="dxa"/>
            <w:vAlign w:val="bottom"/>
          </w:tcPr>
          <w:p w:rsidR="00F92819" w:rsidRDefault="00F92819">
            <w:pPr>
              <w:spacing w:before="40" w:after="40" w:line="220" w:lineRule="exact"/>
              <w:jc w:val="right"/>
              <w:rPr>
                <w:sz w:val="18"/>
                <w:szCs w:val="24"/>
              </w:rPr>
            </w:pPr>
            <w:r>
              <w:rPr>
                <w:sz w:val="18"/>
                <w:szCs w:val="24"/>
              </w:rPr>
              <w:t>75,4</w:t>
            </w:r>
          </w:p>
        </w:tc>
        <w:tc>
          <w:tcPr>
            <w:tcW w:w="889" w:type="dxa"/>
            <w:vAlign w:val="bottom"/>
          </w:tcPr>
          <w:p w:rsidR="00F92819" w:rsidRDefault="00F92819">
            <w:pPr>
              <w:spacing w:before="40" w:after="40" w:line="220" w:lineRule="exact"/>
              <w:jc w:val="right"/>
              <w:rPr>
                <w:b/>
                <w:sz w:val="18"/>
                <w:szCs w:val="24"/>
              </w:rPr>
            </w:pPr>
            <w:r>
              <w:rPr>
                <w:b/>
                <w:sz w:val="18"/>
                <w:szCs w:val="24"/>
              </w:rPr>
              <w:t>78,0</w:t>
            </w:r>
          </w:p>
        </w:tc>
        <w:tc>
          <w:tcPr>
            <w:tcW w:w="1196" w:type="dxa"/>
            <w:vAlign w:val="bottom"/>
          </w:tcPr>
          <w:p w:rsidR="00F92819" w:rsidRDefault="00F92819">
            <w:pPr>
              <w:spacing w:before="40" w:after="40" w:line="220" w:lineRule="exact"/>
              <w:jc w:val="right"/>
              <w:rPr>
                <w:sz w:val="18"/>
                <w:szCs w:val="24"/>
              </w:rPr>
            </w:pPr>
            <w:r>
              <w:rPr>
                <w:sz w:val="18"/>
                <w:szCs w:val="24"/>
              </w:rPr>
              <w:t>82,7</w:t>
            </w:r>
          </w:p>
        </w:tc>
        <w:tc>
          <w:tcPr>
            <w:tcW w:w="1130" w:type="dxa"/>
            <w:gridSpan w:val="2"/>
            <w:vAlign w:val="bottom"/>
          </w:tcPr>
          <w:p w:rsidR="00F92819" w:rsidRDefault="00F92819">
            <w:pPr>
              <w:spacing w:before="40" w:after="40" w:line="220" w:lineRule="exact"/>
              <w:jc w:val="right"/>
              <w:rPr>
                <w:sz w:val="18"/>
                <w:szCs w:val="24"/>
              </w:rPr>
            </w:pPr>
            <w:r>
              <w:rPr>
                <w:sz w:val="18"/>
                <w:szCs w:val="24"/>
              </w:rPr>
              <w:t>79,6</w:t>
            </w:r>
          </w:p>
        </w:tc>
        <w:tc>
          <w:tcPr>
            <w:tcW w:w="1103" w:type="dxa"/>
            <w:vAlign w:val="bottom"/>
          </w:tcPr>
          <w:p w:rsidR="00F92819" w:rsidRDefault="00F92819">
            <w:pPr>
              <w:spacing w:before="40" w:after="40" w:line="220" w:lineRule="exact"/>
              <w:jc w:val="right"/>
              <w:rPr>
                <w:b/>
                <w:sz w:val="18"/>
                <w:szCs w:val="24"/>
              </w:rPr>
            </w:pPr>
            <w:r>
              <w:rPr>
                <w:b/>
                <w:sz w:val="18"/>
                <w:szCs w:val="24"/>
              </w:rPr>
              <w:t>82,4</w:t>
            </w:r>
          </w:p>
        </w:tc>
      </w:tr>
      <w:tr w:rsidR="00F92819">
        <w:tc>
          <w:tcPr>
            <w:tcW w:w="753" w:type="dxa"/>
            <w:vAlign w:val="bottom"/>
          </w:tcPr>
          <w:p w:rsidR="00F92819" w:rsidRDefault="00F92819">
            <w:pPr>
              <w:spacing w:before="40" w:after="40" w:line="220" w:lineRule="exact"/>
              <w:rPr>
                <w:sz w:val="18"/>
                <w:szCs w:val="24"/>
              </w:rPr>
            </w:pPr>
            <w:r>
              <w:rPr>
                <w:sz w:val="18"/>
                <w:szCs w:val="24"/>
              </w:rPr>
              <w:t>2005</w:t>
            </w:r>
          </w:p>
        </w:tc>
        <w:tc>
          <w:tcPr>
            <w:tcW w:w="1103" w:type="dxa"/>
            <w:vAlign w:val="bottom"/>
          </w:tcPr>
          <w:p w:rsidR="00F92819" w:rsidRDefault="00F92819">
            <w:pPr>
              <w:spacing w:before="40" w:after="40" w:line="220" w:lineRule="exact"/>
              <w:jc w:val="right"/>
              <w:rPr>
                <w:sz w:val="18"/>
                <w:szCs w:val="24"/>
              </w:rPr>
            </w:pPr>
            <w:r>
              <w:rPr>
                <w:sz w:val="18"/>
                <w:szCs w:val="24"/>
              </w:rPr>
              <w:t>79,0</w:t>
            </w:r>
          </w:p>
        </w:tc>
        <w:tc>
          <w:tcPr>
            <w:tcW w:w="1110" w:type="dxa"/>
            <w:vAlign w:val="bottom"/>
          </w:tcPr>
          <w:p w:rsidR="00F92819" w:rsidRDefault="00F92819">
            <w:pPr>
              <w:spacing w:before="40" w:after="40" w:line="220" w:lineRule="exact"/>
              <w:jc w:val="right"/>
              <w:rPr>
                <w:sz w:val="18"/>
                <w:szCs w:val="24"/>
              </w:rPr>
            </w:pPr>
            <w:r>
              <w:rPr>
                <w:sz w:val="18"/>
                <w:szCs w:val="24"/>
              </w:rPr>
              <w:t>74,9</w:t>
            </w:r>
          </w:p>
        </w:tc>
        <w:tc>
          <w:tcPr>
            <w:tcW w:w="889" w:type="dxa"/>
            <w:vAlign w:val="bottom"/>
          </w:tcPr>
          <w:p w:rsidR="00F92819" w:rsidRDefault="00F92819">
            <w:pPr>
              <w:spacing w:before="40" w:after="40" w:line="220" w:lineRule="exact"/>
              <w:jc w:val="right"/>
              <w:rPr>
                <w:b/>
                <w:sz w:val="18"/>
                <w:szCs w:val="24"/>
              </w:rPr>
            </w:pPr>
            <w:r>
              <w:rPr>
                <w:b/>
                <w:sz w:val="18"/>
                <w:szCs w:val="24"/>
              </w:rPr>
              <w:t>78,2</w:t>
            </w:r>
          </w:p>
        </w:tc>
        <w:tc>
          <w:tcPr>
            <w:tcW w:w="1196" w:type="dxa"/>
            <w:vAlign w:val="bottom"/>
          </w:tcPr>
          <w:p w:rsidR="00F92819" w:rsidRDefault="00F92819">
            <w:pPr>
              <w:spacing w:before="40" w:after="40" w:line="220" w:lineRule="exact"/>
              <w:jc w:val="right"/>
              <w:rPr>
                <w:sz w:val="18"/>
                <w:szCs w:val="24"/>
              </w:rPr>
            </w:pPr>
            <w:r>
              <w:rPr>
                <w:sz w:val="18"/>
                <w:szCs w:val="24"/>
              </w:rPr>
              <w:t>82,6</w:t>
            </w:r>
          </w:p>
        </w:tc>
        <w:tc>
          <w:tcPr>
            <w:tcW w:w="1130" w:type="dxa"/>
            <w:gridSpan w:val="2"/>
            <w:vAlign w:val="bottom"/>
          </w:tcPr>
          <w:p w:rsidR="00F92819" w:rsidRDefault="00F92819">
            <w:pPr>
              <w:spacing w:before="40" w:after="40" w:line="220" w:lineRule="exact"/>
              <w:jc w:val="right"/>
              <w:rPr>
                <w:sz w:val="18"/>
                <w:szCs w:val="24"/>
              </w:rPr>
            </w:pPr>
            <w:r>
              <w:rPr>
                <w:sz w:val="18"/>
                <w:szCs w:val="24"/>
              </w:rPr>
              <w:t>78,6</w:t>
            </w:r>
          </w:p>
        </w:tc>
        <w:tc>
          <w:tcPr>
            <w:tcW w:w="1103" w:type="dxa"/>
            <w:vAlign w:val="bottom"/>
          </w:tcPr>
          <w:p w:rsidR="00F92819" w:rsidRDefault="00F92819">
            <w:pPr>
              <w:spacing w:before="40" w:after="40" w:line="220" w:lineRule="exact"/>
              <w:jc w:val="right"/>
              <w:rPr>
                <w:b/>
                <w:sz w:val="18"/>
                <w:szCs w:val="24"/>
              </w:rPr>
            </w:pPr>
            <w:r>
              <w:rPr>
                <w:b/>
                <w:sz w:val="18"/>
                <w:szCs w:val="24"/>
              </w:rPr>
              <w:t>82,2</w:t>
            </w:r>
          </w:p>
        </w:tc>
      </w:tr>
      <w:tr w:rsidR="00F92819">
        <w:tc>
          <w:tcPr>
            <w:tcW w:w="753" w:type="dxa"/>
            <w:vAlign w:val="bottom"/>
          </w:tcPr>
          <w:p w:rsidR="00F92819" w:rsidRDefault="00F92819">
            <w:pPr>
              <w:spacing w:before="40" w:after="40" w:line="220" w:lineRule="exact"/>
              <w:rPr>
                <w:sz w:val="18"/>
                <w:szCs w:val="24"/>
              </w:rPr>
            </w:pPr>
            <w:r>
              <w:rPr>
                <w:sz w:val="18"/>
                <w:szCs w:val="24"/>
              </w:rPr>
              <w:t>2006</w:t>
            </w:r>
          </w:p>
        </w:tc>
        <w:tc>
          <w:tcPr>
            <w:tcW w:w="1103" w:type="dxa"/>
            <w:vAlign w:val="bottom"/>
          </w:tcPr>
          <w:p w:rsidR="00F92819" w:rsidRDefault="00F92819">
            <w:pPr>
              <w:spacing w:before="40" w:after="40" w:line="220" w:lineRule="exact"/>
              <w:jc w:val="right"/>
              <w:rPr>
                <w:sz w:val="18"/>
                <w:szCs w:val="24"/>
              </w:rPr>
            </w:pPr>
            <w:r>
              <w:rPr>
                <w:sz w:val="18"/>
                <w:szCs w:val="24"/>
              </w:rPr>
              <w:t>79,3</w:t>
            </w:r>
          </w:p>
        </w:tc>
        <w:tc>
          <w:tcPr>
            <w:tcW w:w="1110" w:type="dxa"/>
            <w:vAlign w:val="bottom"/>
          </w:tcPr>
          <w:p w:rsidR="00F92819" w:rsidRDefault="00F92819">
            <w:pPr>
              <w:spacing w:before="40" w:after="40" w:line="220" w:lineRule="exact"/>
              <w:jc w:val="right"/>
              <w:rPr>
                <w:sz w:val="18"/>
                <w:szCs w:val="24"/>
              </w:rPr>
            </w:pPr>
            <w:r>
              <w:rPr>
                <w:sz w:val="18"/>
                <w:szCs w:val="24"/>
              </w:rPr>
              <w:t>74,6</w:t>
            </w:r>
          </w:p>
        </w:tc>
        <w:tc>
          <w:tcPr>
            <w:tcW w:w="889" w:type="dxa"/>
            <w:vAlign w:val="bottom"/>
          </w:tcPr>
          <w:p w:rsidR="00F92819" w:rsidRDefault="00F92819">
            <w:pPr>
              <w:spacing w:before="40" w:after="40" w:line="220" w:lineRule="exact"/>
              <w:jc w:val="right"/>
              <w:rPr>
                <w:b/>
                <w:sz w:val="18"/>
                <w:szCs w:val="24"/>
              </w:rPr>
            </w:pPr>
            <w:r>
              <w:rPr>
                <w:b/>
                <w:sz w:val="18"/>
                <w:szCs w:val="24"/>
              </w:rPr>
              <w:t>78,5</w:t>
            </w:r>
          </w:p>
        </w:tc>
        <w:tc>
          <w:tcPr>
            <w:tcW w:w="1196" w:type="dxa"/>
            <w:vAlign w:val="bottom"/>
          </w:tcPr>
          <w:p w:rsidR="00F92819" w:rsidRDefault="00F92819">
            <w:pPr>
              <w:spacing w:before="40" w:after="40" w:line="220" w:lineRule="exact"/>
              <w:jc w:val="right"/>
              <w:rPr>
                <w:sz w:val="18"/>
                <w:szCs w:val="24"/>
              </w:rPr>
            </w:pPr>
            <w:r>
              <w:rPr>
                <w:sz w:val="18"/>
                <w:szCs w:val="24"/>
              </w:rPr>
              <w:t>82,6</w:t>
            </w:r>
          </w:p>
        </w:tc>
        <w:tc>
          <w:tcPr>
            <w:tcW w:w="1130" w:type="dxa"/>
            <w:gridSpan w:val="2"/>
            <w:vAlign w:val="bottom"/>
          </w:tcPr>
          <w:p w:rsidR="00F92819" w:rsidRDefault="00F92819">
            <w:pPr>
              <w:spacing w:before="40" w:after="40" w:line="220" w:lineRule="exact"/>
              <w:jc w:val="right"/>
              <w:rPr>
                <w:sz w:val="18"/>
                <w:szCs w:val="24"/>
              </w:rPr>
            </w:pPr>
            <w:r>
              <w:rPr>
                <w:sz w:val="18"/>
                <w:szCs w:val="24"/>
              </w:rPr>
              <w:t>78,1</w:t>
            </w:r>
          </w:p>
        </w:tc>
        <w:tc>
          <w:tcPr>
            <w:tcW w:w="1103" w:type="dxa"/>
            <w:vAlign w:val="bottom"/>
          </w:tcPr>
          <w:p w:rsidR="00F92819" w:rsidRDefault="00F92819">
            <w:pPr>
              <w:spacing w:before="40" w:after="40" w:line="220" w:lineRule="exact"/>
              <w:jc w:val="right"/>
              <w:rPr>
                <w:b/>
                <w:sz w:val="18"/>
                <w:szCs w:val="24"/>
              </w:rPr>
            </w:pPr>
            <w:r>
              <w:rPr>
                <w:b/>
                <w:sz w:val="18"/>
                <w:szCs w:val="24"/>
              </w:rPr>
              <w:t>82,2</w:t>
            </w:r>
          </w:p>
        </w:tc>
      </w:tr>
      <w:tr w:rsidR="00F92819">
        <w:tc>
          <w:tcPr>
            <w:tcW w:w="753" w:type="dxa"/>
            <w:tcBorders>
              <w:bottom w:val="single" w:sz="12" w:space="0" w:color="auto"/>
            </w:tcBorders>
            <w:vAlign w:val="bottom"/>
          </w:tcPr>
          <w:p w:rsidR="00F92819" w:rsidRDefault="00F92819">
            <w:pPr>
              <w:spacing w:before="40" w:after="40" w:line="220" w:lineRule="exact"/>
              <w:rPr>
                <w:sz w:val="18"/>
                <w:szCs w:val="24"/>
              </w:rPr>
            </w:pPr>
            <w:r>
              <w:rPr>
                <w:sz w:val="18"/>
                <w:szCs w:val="24"/>
              </w:rPr>
              <w:t>2007</w:t>
            </w:r>
          </w:p>
        </w:tc>
        <w:tc>
          <w:tcPr>
            <w:tcW w:w="1103"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79,5</w:t>
            </w:r>
          </w:p>
        </w:tc>
        <w:tc>
          <w:tcPr>
            <w:tcW w:w="111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75,3</w:t>
            </w:r>
          </w:p>
        </w:tc>
        <w:tc>
          <w:tcPr>
            <w:tcW w:w="889" w:type="dxa"/>
            <w:tcBorders>
              <w:bottom w:val="single" w:sz="12" w:space="0" w:color="auto"/>
            </w:tcBorders>
            <w:vAlign w:val="bottom"/>
          </w:tcPr>
          <w:p w:rsidR="00F92819" w:rsidRDefault="00F92819">
            <w:pPr>
              <w:spacing w:before="40" w:after="40" w:line="220" w:lineRule="exact"/>
              <w:jc w:val="right"/>
              <w:rPr>
                <w:b/>
                <w:sz w:val="18"/>
                <w:szCs w:val="24"/>
              </w:rPr>
            </w:pPr>
            <w:r>
              <w:rPr>
                <w:b/>
                <w:sz w:val="18"/>
                <w:szCs w:val="24"/>
              </w:rPr>
              <w:t>78,8</w:t>
            </w:r>
          </w:p>
        </w:tc>
        <w:tc>
          <w:tcPr>
            <w:tcW w:w="1196"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82,9</w:t>
            </w:r>
          </w:p>
        </w:tc>
        <w:tc>
          <w:tcPr>
            <w:tcW w:w="1130" w:type="dxa"/>
            <w:gridSpan w:val="2"/>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78,8</w:t>
            </w:r>
          </w:p>
        </w:tc>
        <w:tc>
          <w:tcPr>
            <w:tcW w:w="1103" w:type="dxa"/>
            <w:tcBorders>
              <w:bottom w:val="single" w:sz="12" w:space="0" w:color="auto"/>
            </w:tcBorders>
            <w:vAlign w:val="bottom"/>
          </w:tcPr>
          <w:p w:rsidR="00F92819" w:rsidRDefault="00F92819">
            <w:pPr>
              <w:spacing w:before="40" w:after="40" w:line="220" w:lineRule="exact"/>
              <w:jc w:val="right"/>
              <w:rPr>
                <w:b/>
                <w:sz w:val="18"/>
                <w:szCs w:val="24"/>
              </w:rPr>
            </w:pPr>
            <w:r>
              <w:rPr>
                <w:b/>
                <w:sz w:val="18"/>
                <w:szCs w:val="24"/>
              </w:rPr>
              <w:t>82,5</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Ministerio de Salud, 2008.</w:t>
      </w:r>
    </w:p>
    <w:p w:rsidR="00F92819" w:rsidRDefault="00F92819">
      <w:pPr>
        <w:pStyle w:val="SingleTxtG"/>
        <w:rPr>
          <w:szCs w:val="24"/>
        </w:rPr>
      </w:pPr>
      <w:r>
        <w:rPr>
          <w:szCs w:val="24"/>
        </w:rPr>
        <w:t>511.</w:t>
      </w:r>
      <w:r>
        <w:rPr>
          <w:szCs w:val="24"/>
        </w:rPr>
        <w:tab/>
      </w:r>
      <w:r>
        <w:rPr>
          <w:szCs w:val="24"/>
          <w:lang w:val="es-ES_tradnl"/>
        </w:rPr>
        <w:t>La tabla siguiente revela las causas principales de mortalidad en el período 1998</w:t>
      </w:r>
      <w:r w:rsidR="008C04D7">
        <w:rPr>
          <w:szCs w:val="24"/>
          <w:lang w:val="es-ES_tradnl"/>
        </w:rPr>
        <w:t>-</w:t>
      </w:r>
      <w:r>
        <w:rPr>
          <w:szCs w:val="24"/>
          <w:lang w:val="es-ES_tradnl"/>
        </w:rPr>
        <w:t>2005.</w:t>
      </w:r>
    </w:p>
    <w:p w:rsidR="00F92819" w:rsidRDefault="00F92819">
      <w:pPr>
        <w:pStyle w:val="Heading1"/>
        <w:spacing w:before="240"/>
        <w:rPr>
          <w:szCs w:val="24"/>
        </w:rPr>
      </w:pPr>
      <w:r>
        <w:rPr>
          <w:szCs w:val="24"/>
          <w:lang w:val="es-ES_tradnl"/>
        </w:rPr>
        <w:t>Cuadro 36</w:t>
      </w:r>
    </w:p>
    <w:p w:rsidR="00F92819" w:rsidRDefault="00F92819">
      <w:pPr>
        <w:pStyle w:val="SingleTxtG"/>
        <w:keepNext/>
        <w:rPr>
          <w:b/>
          <w:szCs w:val="24"/>
        </w:rPr>
      </w:pPr>
      <w:r>
        <w:rPr>
          <w:b/>
          <w:szCs w:val="24"/>
          <w:lang w:val="es-ES_tradnl"/>
        </w:rPr>
        <w:t>Tasas de mortalidad, por causa (población total)</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366"/>
        <w:gridCol w:w="1400"/>
        <w:gridCol w:w="900"/>
        <w:gridCol w:w="600"/>
        <w:gridCol w:w="600"/>
        <w:gridCol w:w="900"/>
        <w:gridCol w:w="605"/>
      </w:tblGrid>
      <w:tr w:rsidR="00F92819">
        <w:trPr>
          <w:tblHeader/>
        </w:trPr>
        <w:tc>
          <w:tcPr>
            <w:tcW w:w="2366" w:type="dxa"/>
            <w:tcBorders>
              <w:top w:val="single" w:sz="4" w:space="0" w:color="auto"/>
              <w:bottom w:val="single" w:sz="12" w:space="0" w:color="auto"/>
            </w:tcBorders>
            <w:vAlign w:val="bottom"/>
          </w:tcPr>
          <w:p w:rsidR="00F92819" w:rsidRDefault="00F92819">
            <w:pPr>
              <w:keepNext/>
              <w:spacing w:before="80" w:after="80" w:line="200" w:lineRule="exact"/>
              <w:rPr>
                <w:szCs w:val="24"/>
              </w:rPr>
            </w:pPr>
            <w:r>
              <w:rPr>
                <w:i/>
                <w:sz w:val="16"/>
                <w:szCs w:val="24"/>
                <w:lang w:val="es-ES_tradnl"/>
              </w:rPr>
              <w:t>Causa de muerte</w:t>
            </w:r>
          </w:p>
        </w:tc>
        <w:tc>
          <w:tcPr>
            <w:tcW w:w="1400" w:type="dxa"/>
            <w:tcBorders>
              <w:top w:val="single" w:sz="4" w:space="0" w:color="auto"/>
              <w:bottom w:val="single" w:sz="12" w:space="0" w:color="auto"/>
            </w:tcBorders>
            <w:vAlign w:val="bottom"/>
          </w:tcPr>
          <w:p w:rsidR="00F92819" w:rsidRPr="00766233" w:rsidRDefault="00F92819">
            <w:pPr>
              <w:keepNext/>
              <w:spacing w:before="80" w:after="80" w:line="200" w:lineRule="exact"/>
              <w:jc w:val="right"/>
              <w:rPr>
                <w:szCs w:val="24"/>
              </w:rPr>
            </w:pPr>
            <w:r w:rsidRPr="00766233">
              <w:rPr>
                <w:i/>
                <w:sz w:val="16"/>
                <w:szCs w:val="24"/>
                <w:lang w:val="es-ES_tradnl"/>
              </w:rPr>
              <w:t>Número en la lista 2 de mortalidad de la CIE-10</w:t>
            </w:r>
          </w:p>
        </w:tc>
        <w:tc>
          <w:tcPr>
            <w:tcW w:w="900" w:type="dxa"/>
            <w:tcBorders>
              <w:top w:val="single" w:sz="4" w:space="0" w:color="auto"/>
              <w:bottom w:val="single" w:sz="12" w:space="0" w:color="auto"/>
            </w:tcBorders>
            <w:vAlign w:val="bottom"/>
          </w:tcPr>
          <w:p w:rsidR="00F92819" w:rsidRPr="00766233" w:rsidRDefault="00F92819">
            <w:pPr>
              <w:keepNext/>
              <w:spacing w:before="80" w:after="80" w:line="200" w:lineRule="exact"/>
              <w:jc w:val="right"/>
              <w:rPr>
                <w:szCs w:val="24"/>
              </w:rPr>
            </w:pPr>
            <w:r w:rsidRPr="00766233">
              <w:rPr>
                <w:i/>
                <w:sz w:val="16"/>
                <w:szCs w:val="24"/>
              </w:rPr>
              <w:t>1998</w:t>
            </w:r>
            <w:r w:rsidR="008C04D7">
              <w:rPr>
                <w:i/>
                <w:sz w:val="16"/>
                <w:szCs w:val="24"/>
              </w:rPr>
              <w:t>-</w:t>
            </w:r>
            <w:r w:rsidRPr="00766233">
              <w:rPr>
                <w:i/>
                <w:sz w:val="16"/>
                <w:szCs w:val="24"/>
              </w:rPr>
              <w:t>2000</w:t>
            </w:r>
          </w:p>
        </w:tc>
        <w:tc>
          <w:tcPr>
            <w:tcW w:w="600" w:type="dxa"/>
            <w:tcBorders>
              <w:top w:val="single" w:sz="4" w:space="0" w:color="auto"/>
              <w:bottom w:val="single" w:sz="12" w:space="0" w:color="auto"/>
            </w:tcBorders>
            <w:vAlign w:val="bottom"/>
          </w:tcPr>
          <w:p w:rsidR="00F92819" w:rsidRDefault="00F92819">
            <w:pPr>
              <w:keepNext/>
              <w:spacing w:before="80" w:after="80" w:line="200" w:lineRule="exact"/>
              <w:jc w:val="right"/>
              <w:rPr>
                <w:i/>
                <w:sz w:val="16"/>
                <w:szCs w:val="24"/>
              </w:rPr>
            </w:pPr>
            <w:r>
              <w:rPr>
                <w:i/>
                <w:sz w:val="16"/>
                <w:szCs w:val="24"/>
              </w:rPr>
              <w:t>2001</w:t>
            </w:r>
          </w:p>
        </w:tc>
        <w:tc>
          <w:tcPr>
            <w:tcW w:w="600" w:type="dxa"/>
            <w:tcBorders>
              <w:top w:val="single" w:sz="4" w:space="0" w:color="auto"/>
              <w:bottom w:val="single" w:sz="12" w:space="0" w:color="auto"/>
            </w:tcBorders>
            <w:vAlign w:val="bottom"/>
          </w:tcPr>
          <w:p w:rsidR="00F92819" w:rsidRDefault="00F92819">
            <w:pPr>
              <w:keepNext/>
              <w:spacing w:before="80" w:after="80" w:line="200" w:lineRule="exact"/>
              <w:jc w:val="right"/>
              <w:rPr>
                <w:i/>
                <w:sz w:val="16"/>
                <w:szCs w:val="24"/>
              </w:rPr>
            </w:pPr>
            <w:r>
              <w:rPr>
                <w:i/>
                <w:sz w:val="16"/>
                <w:szCs w:val="24"/>
              </w:rPr>
              <w:t>2003</w:t>
            </w:r>
          </w:p>
        </w:tc>
        <w:tc>
          <w:tcPr>
            <w:tcW w:w="900" w:type="dxa"/>
            <w:tcBorders>
              <w:top w:val="single" w:sz="4" w:space="0" w:color="auto"/>
              <w:bottom w:val="single" w:sz="12" w:space="0" w:color="auto"/>
            </w:tcBorders>
            <w:vAlign w:val="bottom"/>
          </w:tcPr>
          <w:p w:rsidR="00F92819" w:rsidRDefault="00F92819">
            <w:pPr>
              <w:keepNext/>
              <w:spacing w:before="80" w:after="80" w:line="200" w:lineRule="exact"/>
              <w:jc w:val="right"/>
              <w:rPr>
                <w:szCs w:val="24"/>
              </w:rPr>
            </w:pPr>
            <w:r>
              <w:rPr>
                <w:i/>
                <w:sz w:val="16"/>
                <w:szCs w:val="24"/>
              </w:rPr>
              <w:t>2001</w:t>
            </w:r>
            <w:r w:rsidR="008C04D7">
              <w:rPr>
                <w:i/>
                <w:sz w:val="16"/>
                <w:szCs w:val="24"/>
              </w:rPr>
              <w:t>-</w:t>
            </w:r>
            <w:r>
              <w:rPr>
                <w:i/>
                <w:sz w:val="16"/>
                <w:szCs w:val="24"/>
              </w:rPr>
              <w:t>2004</w:t>
            </w:r>
          </w:p>
        </w:tc>
        <w:tc>
          <w:tcPr>
            <w:tcW w:w="605" w:type="dxa"/>
            <w:tcBorders>
              <w:top w:val="single" w:sz="4" w:space="0" w:color="auto"/>
              <w:bottom w:val="single" w:sz="12" w:space="0" w:color="auto"/>
            </w:tcBorders>
            <w:vAlign w:val="bottom"/>
          </w:tcPr>
          <w:p w:rsidR="00F92819" w:rsidRDefault="00F92819">
            <w:pPr>
              <w:keepNext/>
              <w:spacing w:before="80" w:after="80" w:line="200" w:lineRule="exact"/>
              <w:jc w:val="right"/>
              <w:rPr>
                <w:i/>
                <w:sz w:val="16"/>
                <w:szCs w:val="24"/>
              </w:rPr>
            </w:pPr>
            <w:r>
              <w:rPr>
                <w:i/>
                <w:sz w:val="16"/>
                <w:szCs w:val="24"/>
              </w:rPr>
              <w:t>2005</w:t>
            </w:r>
          </w:p>
        </w:tc>
      </w:tr>
      <w:tr w:rsidR="00F92819">
        <w:tc>
          <w:tcPr>
            <w:tcW w:w="2366" w:type="dxa"/>
            <w:tcBorders>
              <w:top w:val="single" w:sz="12" w:space="0" w:color="auto"/>
            </w:tcBorders>
            <w:vAlign w:val="bottom"/>
          </w:tcPr>
          <w:p w:rsidR="00F92819" w:rsidRDefault="00F92819">
            <w:pPr>
              <w:keepNext/>
              <w:tabs>
                <w:tab w:val="left" w:pos="284"/>
              </w:tabs>
              <w:spacing w:before="40" w:after="40" w:line="220" w:lineRule="exact"/>
              <w:rPr>
                <w:szCs w:val="24"/>
              </w:rPr>
            </w:pPr>
            <w:r>
              <w:rPr>
                <w:sz w:val="18"/>
                <w:szCs w:val="24"/>
                <w:lang w:val="es-ES_tradnl"/>
              </w:rPr>
              <w:t>Otras enfermedades</w:t>
            </w:r>
          </w:p>
        </w:tc>
        <w:tc>
          <w:tcPr>
            <w:tcW w:w="1400" w:type="dxa"/>
            <w:tcBorders>
              <w:top w:val="single" w:sz="12" w:space="0" w:color="auto"/>
            </w:tcBorders>
            <w:vAlign w:val="bottom"/>
          </w:tcPr>
          <w:p w:rsidR="00F92819" w:rsidRDefault="00F92819">
            <w:pPr>
              <w:keepNext/>
              <w:spacing w:before="40" w:after="40" w:line="220" w:lineRule="exact"/>
              <w:jc w:val="right"/>
              <w:rPr>
                <w:sz w:val="18"/>
                <w:szCs w:val="24"/>
              </w:rPr>
            </w:pPr>
            <w:r>
              <w:rPr>
                <w:sz w:val="18"/>
                <w:szCs w:val="24"/>
              </w:rPr>
              <w:t>47+72</w:t>
            </w:r>
          </w:p>
        </w:tc>
        <w:tc>
          <w:tcPr>
            <w:tcW w:w="900" w:type="dxa"/>
            <w:tcBorders>
              <w:top w:val="single" w:sz="12" w:space="0" w:color="auto"/>
            </w:tcBorders>
            <w:vAlign w:val="bottom"/>
          </w:tcPr>
          <w:p w:rsidR="00F92819" w:rsidRDefault="00F92819">
            <w:pPr>
              <w:keepNext/>
              <w:spacing w:before="40" w:after="40" w:line="220" w:lineRule="exact"/>
              <w:jc w:val="right"/>
              <w:rPr>
                <w:sz w:val="18"/>
                <w:szCs w:val="24"/>
              </w:rPr>
            </w:pPr>
            <w:r>
              <w:rPr>
                <w:sz w:val="18"/>
                <w:szCs w:val="24"/>
              </w:rPr>
              <w:t>62</w:t>
            </w:r>
          </w:p>
        </w:tc>
        <w:tc>
          <w:tcPr>
            <w:tcW w:w="600" w:type="dxa"/>
            <w:tcBorders>
              <w:top w:val="single" w:sz="12" w:space="0" w:color="auto"/>
            </w:tcBorders>
            <w:vAlign w:val="bottom"/>
          </w:tcPr>
          <w:p w:rsidR="00F92819" w:rsidRDefault="00F92819">
            <w:pPr>
              <w:keepNext/>
              <w:spacing w:before="40" w:after="40" w:line="220" w:lineRule="exact"/>
              <w:jc w:val="right"/>
              <w:rPr>
                <w:sz w:val="18"/>
                <w:szCs w:val="24"/>
              </w:rPr>
            </w:pPr>
            <w:r>
              <w:rPr>
                <w:sz w:val="18"/>
                <w:szCs w:val="24"/>
              </w:rPr>
              <w:t>56</w:t>
            </w:r>
          </w:p>
        </w:tc>
        <w:tc>
          <w:tcPr>
            <w:tcW w:w="600" w:type="dxa"/>
            <w:tcBorders>
              <w:top w:val="single" w:sz="12" w:space="0" w:color="auto"/>
            </w:tcBorders>
            <w:vAlign w:val="bottom"/>
          </w:tcPr>
          <w:p w:rsidR="00F92819" w:rsidRDefault="00F92819">
            <w:pPr>
              <w:keepNext/>
              <w:spacing w:before="40" w:after="40" w:line="220" w:lineRule="exact"/>
              <w:jc w:val="right"/>
              <w:rPr>
                <w:sz w:val="18"/>
                <w:szCs w:val="24"/>
              </w:rPr>
            </w:pPr>
            <w:r>
              <w:rPr>
                <w:sz w:val="18"/>
                <w:szCs w:val="24"/>
              </w:rPr>
              <w:t>62</w:t>
            </w:r>
          </w:p>
        </w:tc>
        <w:tc>
          <w:tcPr>
            <w:tcW w:w="900" w:type="dxa"/>
            <w:tcBorders>
              <w:top w:val="single" w:sz="12" w:space="0" w:color="auto"/>
            </w:tcBorders>
            <w:vAlign w:val="bottom"/>
          </w:tcPr>
          <w:p w:rsidR="00F92819" w:rsidRDefault="00F92819">
            <w:pPr>
              <w:keepNext/>
              <w:spacing w:before="40" w:after="40" w:line="220" w:lineRule="exact"/>
              <w:jc w:val="right"/>
              <w:rPr>
                <w:sz w:val="18"/>
                <w:szCs w:val="24"/>
              </w:rPr>
            </w:pPr>
            <w:r>
              <w:rPr>
                <w:sz w:val="18"/>
                <w:szCs w:val="24"/>
              </w:rPr>
              <w:t>59</w:t>
            </w:r>
          </w:p>
        </w:tc>
        <w:tc>
          <w:tcPr>
            <w:tcW w:w="605" w:type="dxa"/>
            <w:tcBorders>
              <w:top w:val="single" w:sz="12" w:space="0" w:color="auto"/>
            </w:tcBorders>
            <w:vAlign w:val="bottom"/>
          </w:tcPr>
          <w:p w:rsidR="00F92819" w:rsidRDefault="00F92819">
            <w:pPr>
              <w:keepNext/>
              <w:spacing w:before="40" w:after="40" w:line="220" w:lineRule="exact"/>
              <w:jc w:val="right"/>
              <w:rPr>
                <w:sz w:val="18"/>
                <w:szCs w:val="24"/>
              </w:rPr>
            </w:pPr>
            <w:r>
              <w:rPr>
                <w:sz w:val="18"/>
                <w:szCs w:val="24"/>
              </w:rPr>
              <w:t>59</w:t>
            </w:r>
          </w:p>
        </w:tc>
      </w:tr>
      <w:tr w:rsidR="00F92819">
        <w:tc>
          <w:tcPr>
            <w:tcW w:w="2366" w:type="dxa"/>
            <w:vAlign w:val="bottom"/>
          </w:tcPr>
          <w:p w:rsidR="00F92819" w:rsidRDefault="00F92819">
            <w:pPr>
              <w:keepNext/>
              <w:spacing w:before="40" w:after="40" w:line="220" w:lineRule="exact"/>
              <w:rPr>
                <w:szCs w:val="24"/>
              </w:rPr>
            </w:pPr>
            <w:r>
              <w:rPr>
                <w:sz w:val="18"/>
                <w:szCs w:val="24"/>
                <w:lang w:val="es-ES_tradnl"/>
              </w:rPr>
              <w:t>Otras enfermedades isquémicas del corazón (distintas del infarto agudo de miocardio)</w:t>
            </w:r>
          </w:p>
        </w:tc>
        <w:tc>
          <w:tcPr>
            <w:tcW w:w="1400" w:type="dxa"/>
            <w:vAlign w:val="bottom"/>
          </w:tcPr>
          <w:p w:rsidR="00F92819" w:rsidRDefault="00F92819">
            <w:pPr>
              <w:keepNext/>
              <w:spacing w:before="40" w:after="40" w:line="220" w:lineRule="exact"/>
              <w:jc w:val="right"/>
              <w:rPr>
                <w:sz w:val="18"/>
                <w:szCs w:val="24"/>
              </w:rPr>
            </w:pPr>
            <w:r>
              <w:rPr>
                <w:sz w:val="18"/>
                <w:szCs w:val="24"/>
              </w:rPr>
              <w:t>53(1)</w:t>
            </w:r>
          </w:p>
        </w:tc>
        <w:tc>
          <w:tcPr>
            <w:tcW w:w="900" w:type="dxa"/>
            <w:vAlign w:val="bottom"/>
          </w:tcPr>
          <w:p w:rsidR="00F92819" w:rsidRDefault="00F92819">
            <w:pPr>
              <w:keepNext/>
              <w:spacing w:before="40" w:after="40" w:line="220" w:lineRule="exact"/>
              <w:jc w:val="right"/>
              <w:rPr>
                <w:sz w:val="18"/>
                <w:szCs w:val="24"/>
              </w:rPr>
            </w:pPr>
            <w:r>
              <w:rPr>
                <w:sz w:val="18"/>
                <w:szCs w:val="24"/>
              </w:rPr>
              <w:t>69</w:t>
            </w:r>
          </w:p>
        </w:tc>
        <w:tc>
          <w:tcPr>
            <w:tcW w:w="600" w:type="dxa"/>
            <w:vAlign w:val="bottom"/>
          </w:tcPr>
          <w:p w:rsidR="00F92819" w:rsidRDefault="00F92819">
            <w:pPr>
              <w:keepNext/>
              <w:spacing w:before="40" w:after="40" w:line="220" w:lineRule="exact"/>
              <w:jc w:val="right"/>
              <w:rPr>
                <w:sz w:val="18"/>
                <w:szCs w:val="24"/>
              </w:rPr>
            </w:pPr>
            <w:r>
              <w:rPr>
                <w:sz w:val="18"/>
                <w:szCs w:val="24"/>
              </w:rPr>
              <w:t>55</w:t>
            </w:r>
          </w:p>
        </w:tc>
        <w:tc>
          <w:tcPr>
            <w:tcW w:w="600" w:type="dxa"/>
            <w:vAlign w:val="bottom"/>
          </w:tcPr>
          <w:p w:rsidR="00F92819" w:rsidRDefault="00F92819">
            <w:pPr>
              <w:keepNext/>
              <w:spacing w:before="40" w:after="40" w:line="220" w:lineRule="exact"/>
              <w:jc w:val="right"/>
              <w:rPr>
                <w:sz w:val="18"/>
                <w:szCs w:val="24"/>
              </w:rPr>
            </w:pPr>
            <w:r>
              <w:rPr>
                <w:sz w:val="18"/>
                <w:szCs w:val="24"/>
              </w:rPr>
              <w:t>52</w:t>
            </w:r>
          </w:p>
        </w:tc>
        <w:tc>
          <w:tcPr>
            <w:tcW w:w="900" w:type="dxa"/>
            <w:vAlign w:val="bottom"/>
          </w:tcPr>
          <w:p w:rsidR="00F92819" w:rsidRDefault="00F92819">
            <w:pPr>
              <w:keepNext/>
              <w:spacing w:before="40" w:after="40" w:line="220" w:lineRule="exact"/>
              <w:jc w:val="right"/>
              <w:rPr>
                <w:sz w:val="18"/>
                <w:szCs w:val="24"/>
              </w:rPr>
            </w:pPr>
            <w:r>
              <w:rPr>
                <w:sz w:val="18"/>
                <w:szCs w:val="24"/>
              </w:rPr>
              <w:t>51</w:t>
            </w:r>
          </w:p>
        </w:tc>
        <w:tc>
          <w:tcPr>
            <w:tcW w:w="605" w:type="dxa"/>
            <w:vAlign w:val="bottom"/>
          </w:tcPr>
          <w:p w:rsidR="00F92819" w:rsidRDefault="00F92819">
            <w:pPr>
              <w:keepNext/>
              <w:spacing w:before="40" w:after="40" w:line="220" w:lineRule="exact"/>
              <w:jc w:val="right"/>
              <w:rPr>
                <w:sz w:val="18"/>
                <w:szCs w:val="24"/>
              </w:rPr>
            </w:pPr>
            <w:r>
              <w:rPr>
                <w:sz w:val="18"/>
                <w:szCs w:val="24"/>
              </w:rPr>
              <w:t>47</w:t>
            </w:r>
          </w:p>
        </w:tc>
      </w:tr>
      <w:tr w:rsidR="00F92819">
        <w:tc>
          <w:tcPr>
            <w:tcW w:w="2366" w:type="dxa"/>
            <w:vAlign w:val="bottom"/>
          </w:tcPr>
          <w:p w:rsidR="00F92819" w:rsidRDefault="00F92819">
            <w:pPr>
              <w:spacing w:before="40" w:after="40" w:line="220" w:lineRule="exact"/>
              <w:rPr>
                <w:szCs w:val="24"/>
              </w:rPr>
            </w:pPr>
            <w:r>
              <w:rPr>
                <w:sz w:val="18"/>
                <w:szCs w:val="24"/>
                <w:lang w:val="es-ES_tradnl"/>
              </w:rPr>
              <w:t>Diabetes mellitus</w:t>
            </w:r>
          </w:p>
        </w:tc>
        <w:tc>
          <w:tcPr>
            <w:tcW w:w="1400" w:type="dxa"/>
            <w:vAlign w:val="bottom"/>
          </w:tcPr>
          <w:p w:rsidR="00F92819" w:rsidRDefault="00F92819">
            <w:pPr>
              <w:spacing w:before="40" w:after="40" w:line="220" w:lineRule="exact"/>
              <w:jc w:val="right"/>
              <w:rPr>
                <w:sz w:val="18"/>
                <w:szCs w:val="24"/>
              </w:rPr>
            </w:pPr>
            <w:r>
              <w:rPr>
                <w:sz w:val="18"/>
                <w:szCs w:val="24"/>
              </w:rPr>
              <w:t>46</w:t>
            </w:r>
          </w:p>
        </w:tc>
        <w:tc>
          <w:tcPr>
            <w:tcW w:w="900" w:type="dxa"/>
            <w:vAlign w:val="bottom"/>
          </w:tcPr>
          <w:p w:rsidR="00F92819" w:rsidRDefault="00F92819">
            <w:pPr>
              <w:spacing w:before="40" w:after="40" w:line="220" w:lineRule="exact"/>
              <w:jc w:val="right"/>
              <w:rPr>
                <w:sz w:val="18"/>
                <w:szCs w:val="24"/>
              </w:rPr>
            </w:pPr>
            <w:r>
              <w:rPr>
                <w:sz w:val="18"/>
                <w:szCs w:val="24"/>
              </w:rPr>
              <w:t>38</w:t>
            </w:r>
          </w:p>
        </w:tc>
        <w:tc>
          <w:tcPr>
            <w:tcW w:w="600" w:type="dxa"/>
            <w:vAlign w:val="bottom"/>
          </w:tcPr>
          <w:p w:rsidR="00F92819" w:rsidRDefault="00F92819">
            <w:pPr>
              <w:spacing w:before="40" w:after="40" w:line="220" w:lineRule="exact"/>
              <w:jc w:val="right"/>
              <w:rPr>
                <w:sz w:val="18"/>
                <w:szCs w:val="24"/>
              </w:rPr>
            </w:pPr>
            <w:r>
              <w:rPr>
                <w:sz w:val="18"/>
                <w:szCs w:val="24"/>
              </w:rPr>
              <w:t>39</w:t>
            </w:r>
          </w:p>
        </w:tc>
        <w:tc>
          <w:tcPr>
            <w:tcW w:w="600" w:type="dxa"/>
            <w:vAlign w:val="bottom"/>
          </w:tcPr>
          <w:p w:rsidR="00F92819" w:rsidRDefault="00F92819">
            <w:pPr>
              <w:spacing w:before="40" w:after="40" w:line="220" w:lineRule="exact"/>
              <w:jc w:val="right"/>
              <w:rPr>
                <w:sz w:val="18"/>
                <w:szCs w:val="24"/>
              </w:rPr>
            </w:pPr>
            <w:r>
              <w:rPr>
                <w:sz w:val="18"/>
                <w:szCs w:val="24"/>
              </w:rPr>
              <w:t>42</w:t>
            </w:r>
          </w:p>
        </w:tc>
        <w:tc>
          <w:tcPr>
            <w:tcW w:w="900" w:type="dxa"/>
            <w:vAlign w:val="bottom"/>
          </w:tcPr>
          <w:p w:rsidR="00F92819" w:rsidRDefault="00F92819">
            <w:pPr>
              <w:spacing w:before="40" w:after="40" w:line="220" w:lineRule="exact"/>
              <w:jc w:val="right"/>
              <w:rPr>
                <w:sz w:val="18"/>
                <w:szCs w:val="24"/>
              </w:rPr>
            </w:pPr>
            <w:r>
              <w:rPr>
                <w:sz w:val="18"/>
                <w:szCs w:val="24"/>
              </w:rPr>
              <w:t>39</w:t>
            </w:r>
          </w:p>
        </w:tc>
        <w:tc>
          <w:tcPr>
            <w:tcW w:w="605" w:type="dxa"/>
            <w:vAlign w:val="bottom"/>
          </w:tcPr>
          <w:p w:rsidR="00F92819" w:rsidRDefault="00F92819">
            <w:pPr>
              <w:spacing w:before="40" w:after="40" w:line="220" w:lineRule="exact"/>
              <w:jc w:val="right"/>
              <w:rPr>
                <w:sz w:val="18"/>
                <w:szCs w:val="24"/>
              </w:rPr>
            </w:pPr>
            <w:r>
              <w:rPr>
                <w:sz w:val="18"/>
                <w:szCs w:val="24"/>
              </w:rPr>
              <w:t>35</w:t>
            </w:r>
          </w:p>
        </w:tc>
      </w:tr>
      <w:tr w:rsidR="00F92819">
        <w:tc>
          <w:tcPr>
            <w:tcW w:w="2366" w:type="dxa"/>
            <w:vAlign w:val="bottom"/>
          </w:tcPr>
          <w:p w:rsidR="00F92819" w:rsidRDefault="00F92819">
            <w:pPr>
              <w:spacing w:before="40" w:after="40" w:line="220" w:lineRule="exact"/>
              <w:rPr>
                <w:szCs w:val="24"/>
              </w:rPr>
            </w:pPr>
            <w:r>
              <w:rPr>
                <w:sz w:val="18"/>
                <w:szCs w:val="24"/>
                <w:lang w:val="es-ES_tradnl"/>
              </w:rPr>
              <w:t>Enfermedades cerebrovasculares</w:t>
            </w:r>
          </w:p>
        </w:tc>
        <w:tc>
          <w:tcPr>
            <w:tcW w:w="1400" w:type="dxa"/>
            <w:vAlign w:val="bottom"/>
          </w:tcPr>
          <w:p w:rsidR="00F92819" w:rsidRDefault="00F92819">
            <w:pPr>
              <w:spacing w:before="40" w:after="40" w:line="220" w:lineRule="exact"/>
              <w:jc w:val="right"/>
              <w:rPr>
                <w:sz w:val="18"/>
                <w:szCs w:val="24"/>
              </w:rPr>
            </w:pPr>
            <w:r>
              <w:rPr>
                <w:sz w:val="18"/>
                <w:szCs w:val="24"/>
              </w:rPr>
              <w:t>55</w:t>
            </w:r>
          </w:p>
        </w:tc>
        <w:tc>
          <w:tcPr>
            <w:tcW w:w="900" w:type="dxa"/>
            <w:vAlign w:val="bottom"/>
          </w:tcPr>
          <w:p w:rsidR="00F92819" w:rsidRDefault="00F92819">
            <w:pPr>
              <w:spacing w:before="40" w:after="40" w:line="220" w:lineRule="exact"/>
              <w:jc w:val="right"/>
              <w:rPr>
                <w:sz w:val="18"/>
                <w:szCs w:val="24"/>
              </w:rPr>
            </w:pPr>
            <w:r>
              <w:rPr>
                <w:sz w:val="18"/>
                <w:szCs w:val="24"/>
              </w:rPr>
              <w:t>41</w:t>
            </w:r>
          </w:p>
        </w:tc>
        <w:tc>
          <w:tcPr>
            <w:tcW w:w="600" w:type="dxa"/>
            <w:vAlign w:val="bottom"/>
          </w:tcPr>
          <w:p w:rsidR="00F92819" w:rsidRDefault="00F92819">
            <w:pPr>
              <w:spacing w:before="40" w:after="40" w:line="220" w:lineRule="exact"/>
              <w:jc w:val="right"/>
              <w:rPr>
                <w:sz w:val="18"/>
                <w:szCs w:val="24"/>
              </w:rPr>
            </w:pPr>
            <w:r>
              <w:rPr>
                <w:sz w:val="18"/>
                <w:szCs w:val="24"/>
              </w:rPr>
              <w:t>44</w:t>
            </w:r>
          </w:p>
        </w:tc>
        <w:tc>
          <w:tcPr>
            <w:tcW w:w="600" w:type="dxa"/>
            <w:vAlign w:val="bottom"/>
          </w:tcPr>
          <w:p w:rsidR="00F92819" w:rsidRDefault="00F92819">
            <w:pPr>
              <w:spacing w:before="40" w:after="40" w:line="220" w:lineRule="exact"/>
              <w:jc w:val="right"/>
              <w:rPr>
                <w:sz w:val="18"/>
                <w:szCs w:val="24"/>
              </w:rPr>
            </w:pPr>
            <w:r>
              <w:rPr>
                <w:sz w:val="18"/>
                <w:szCs w:val="24"/>
              </w:rPr>
              <w:t>37</w:t>
            </w:r>
          </w:p>
        </w:tc>
        <w:tc>
          <w:tcPr>
            <w:tcW w:w="900" w:type="dxa"/>
            <w:vAlign w:val="bottom"/>
          </w:tcPr>
          <w:p w:rsidR="00F92819" w:rsidRDefault="00F92819">
            <w:pPr>
              <w:spacing w:before="40" w:after="40" w:line="220" w:lineRule="exact"/>
              <w:jc w:val="right"/>
              <w:rPr>
                <w:sz w:val="18"/>
                <w:szCs w:val="24"/>
              </w:rPr>
            </w:pPr>
            <w:r>
              <w:rPr>
                <w:sz w:val="18"/>
                <w:szCs w:val="24"/>
              </w:rPr>
              <w:t>40</w:t>
            </w:r>
          </w:p>
        </w:tc>
        <w:tc>
          <w:tcPr>
            <w:tcW w:w="605" w:type="dxa"/>
            <w:vAlign w:val="bottom"/>
          </w:tcPr>
          <w:p w:rsidR="00F92819" w:rsidRDefault="00F92819">
            <w:pPr>
              <w:spacing w:before="40" w:after="40" w:line="220" w:lineRule="exact"/>
              <w:jc w:val="right"/>
              <w:rPr>
                <w:sz w:val="18"/>
                <w:szCs w:val="24"/>
              </w:rPr>
            </w:pPr>
            <w:r>
              <w:rPr>
                <w:sz w:val="18"/>
                <w:szCs w:val="24"/>
              </w:rPr>
              <w:t>38</w:t>
            </w:r>
          </w:p>
        </w:tc>
      </w:tr>
      <w:tr w:rsidR="00F92819">
        <w:tc>
          <w:tcPr>
            <w:tcW w:w="2366" w:type="dxa"/>
            <w:vAlign w:val="bottom"/>
          </w:tcPr>
          <w:p w:rsidR="00F92819" w:rsidRDefault="00F92819">
            <w:pPr>
              <w:spacing w:before="40" w:after="40" w:line="220" w:lineRule="exact"/>
              <w:rPr>
                <w:szCs w:val="24"/>
              </w:rPr>
            </w:pPr>
            <w:r>
              <w:rPr>
                <w:sz w:val="18"/>
                <w:szCs w:val="24"/>
                <w:lang w:val="es-ES_tradnl"/>
              </w:rPr>
              <w:t>Otras enfermedades del corazón</w:t>
            </w:r>
          </w:p>
        </w:tc>
        <w:tc>
          <w:tcPr>
            <w:tcW w:w="1400" w:type="dxa"/>
            <w:vAlign w:val="bottom"/>
          </w:tcPr>
          <w:p w:rsidR="00F92819" w:rsidRDefault="00F92819">
            <w:pPr>
              <w:spacing w:before="40" w:after="40" w:line="220" w:lineRule="exact"/>
              <w:jc w:val="right"/>
              <w:rPr>
                <w:sz w:val="18"/>
                <w:szCs w:val="24"/>
              </w:rPr>
            </w:pPr>
            <w:r>
              <w:rPr>
                <w:sz w:val="18"/>
                <w:szCs w:val="24"/>
              </w:rPr>
              <w:t>54</w:t>
            </w:r>
          </w:p>
        </w:tc>
        <w:tc>
          <w:tcPr>
            <w:tcW w:w="900" w:type="dxa"/>
            <w:vAlign w:val="bottom"/>
          </w:tcPr>
          <w:p w:rsidR="00F92819" w:rsidRDefault="00F92819">
            <w:pPr>
              <w:spacing w:before="40" w:after="40" w:line="220" w:lineRule="exact"/>
              <w:jc w:val="right"/>
              <w:rPr>
                <w:sz w:val="18"/>
                <w:szCs w:val="24"/>
              </w:rPr>
            </w:pPr>
            <w:r>
              <w:rPr>
                <w:sz w:val="18"/>
                <w:szCs w:val="24"/>
              </w:rPr>
              <w:t>39</w:t>
            </w:r>
          </w:p>
        </w:tc>
        <w:tc>
          <w:tcPr>
            <w:tcW w:w="600" w:type="dxa"/>
            <w:vAlign w:val="bottom"/>
          </w:tcPr>
          <w:p w:rsidR="00F92819" w:rsidRDefault="00F92819">
            <w:pPr>
              <w:spacing w:before="40" w:after="40" w:line="220" w:lineRule="exact"/>
              <w:jc w:val="right"/>
              <w:rPr>
                <w:sz w:val="18"/>
                <w:szCs w:val="24"/>
              </w:rPr>
            </w:pPr>
            <w:r>
              <w:rPr>
                <w:sz w:val="18"/>
                <w:szCs w:val="24"/>
              </w:rPr>
              <w:t>38</w:t>
            </w:r>
          </w:p>
        </w:tc>
        <w:tc>
          <w:tcPr>
            <w:tcW w:w="600" w:type="dxa"/>
            <w:vAlign w:val="bottom"/>
          </w:tcPr>
          <w:p w:rsidR="00F92819" w:rsidRDefault="00F92819">
            <w:pPr>
              <w:spacing w:before="40" w:after="40" w:line="220" w:lineRule="exact"/>
              <w:jc w:val="right"/>
              <w:rPr>
                <w:sz w:val="18"/>
                <w:szCs w:val="24"/>
              </w:rPr>
            </w:pPr>
            <w:r>
              <w:rPr>
                <w:sz w:val="18"/>
                <w:szCs w:val="24"/>
              </w:rPr>
              <w:t>34</w:t>
            </w:r>
          </w:p>
        </w:tc>
        <w:tc>
          <w:tcPr>
            <w:tcW w:w="900" w:type="dxa"/>
            <w:vAlign w:val="bottom"/>
          </w:tcPr>
          <w:p w:rsidR="00F92819" w:rsidRDefault="00F92819">
            <w:pPr>
              <w:spacing w:before="40" w:after="40" w:line="220" w:lineRule="exact"/>
              <w:jc w:val="right"/>
              <w:rPr>
                <w:sz w:val="18"/>
                <w:szCs w:val="24"/>
              </w:rPr>
            </w:pPr>
            <w:r>
              <w:rPr>
                <w:sz w:val="18"/>
                <w:szCs w:val="24"/>
              </w:rPr>
              <w:t>36</w:t>
            </w:r>
          </w:p>
        </w:tc>
        <w:tc>
          <w:tcPr>
            <w:tcW w:w="605" w:type="dxa"/>
            <w:vAlign w:val="bottom"/>
          </w:tcPr>
          <w:p w:rsidR="00F92819" w:rsidRDefault="00F92819">
            <w:pPr>
              <w:spacing w:before="40" w:after="40" w:line="220" w:lineRule="exact"/>
              <w:jc w:val="right"/>
              <w:rPr>
                <w:sz w:val="18"/>
                <w:szCs w:val="24"/>
              </w:rPr>
            </w:pPr>
            <w:r>
              <w:rPr>
                <w:sz w:val="18"/>
                <w:szCs w:val="24"/>
              </w:rPr>
              <w:t>34</w:t>
            </w:r>
          </w:p>
        </w:tc>
      </w:tr>
      <w:tr w:rsidR="00F92819">
        <w:tc>
          <w:tcPr>
            <w:tcW w:w="2366" w:type="dxa"/>
            <w:vAlign w:val="bottom"/>
          </w:tcPr>
          <w:p w:rsidR="00F92819" w:rsidRDefault="00F92819">
            <w:pPr>
              <w:spacing w:before="40" w:after="40" w:line="220" w:lineRule="exact"/>
              <w:rPr>
                <w:szCs w:val="24"/>
              </w:rPr>
            </w:pPr>
            <w:r>
              <w:rPr>
                <w:sz w:val="18"/>
                <w:szCs w:val="24"/>
                <w:lang w:val="es-ES_tradnl"/>
              </w:rPr>
              <w:t>Infarto agudo de miocardio</w:t>
            </w:r>
          </w:p>
        </w:tc>
        <w:tc>
          <w:tcPr>
            <w:tcW w:w="1400" w:type="dxa"/>
            <w:vAlign w:val="bottom"/>
          </w:tcPr>
          <w:p w:rsidR="00F92819" w:rsidRDefault="00F92819">
            <w:pPr>
              <w:spacing w:before="40" w:after="40" w:line="220" w:lineRule="exact"/>
              <w:jc w:val="right"/>
              <w:rPr>
                <w:sz w:val="18"/>
                <w:szCs w:val="24"/>
              </w:rPr>
            </w:pPr>
            <w:r>
              <w:rPr>
                <w:sz w:val="18"/>
                <w:szCs w:val="24"/>
              </w:rPr>
              <w:t>52(2)</w:t>
            </w:r>
          </w:p>
        </w:tc>
        <w:tc>
          <w:tcPr>
            <w:tcW w:w="900" w:type="dxa"/>
            <w:vAlign w:val="bottom"/>
          </w:tcPr>
          <w:p w:rsidR="00F92819" w:rsidRDefault="00F92819">
            <w:pPr>
              <w:spacing w:before="40" w:after="40" w:line="220" w:lineRule="exact"/>
              <w:jc w:val="right"/>
              <w:rPr>
                <w:sz w:val="18"/>
                <w:szCs w:val="24"/>
              </w:rPr>
            </w:pPr>
            <w:r>
              <w:rPr>
                <w:sz w:val="18"/>
                <w:szCs w:val="24"/>
              </w:rPr>
              <w:t>31</w:t>
            </w:r>
          </w:p>
        </w:tc>
        <w:tc>
          <w:tcPr>
            <w:tcW w:w="600" w:type="dxa"/>
            <w:vAlign w:val="bottom"/>
          </w:tcPr>
          <w:p w:rsidR="00F92819" w:rsidRDefault="00F92819">
            <w:pPr>
              <w:spacing w:before="40" w:after="40" w:line="220" w:lineRule="exact"/>
              <w:jc w:val="right"/>
              <w:rPr>
                <w:sz w:val="18"/>
                <w:szCs w:val="24"/>
              </w:rPr>
            </w:pPr>
            <w:r>
              <w:rPr>
                <w:sz w:val="18"/>
                <w:szCs w:val="24"/>
              </w:rPr>
              <w:t>29</w:t>
            </w:r>
          </w:p>
        </w:tc>
        <w:tc>
          <w:tcPr>
            <w:tcW w:w="600" w:type="dxa"/>
            <w:vAlign w:val="bottom"/>
          </w:tcPr>
          <w:p w:rsidR="00F92819" w:rsidRDefault="00F92819">
            <w:pPr>
              <w:spacing w:before="40" w:after="40" w:line="220" w:lineRule="exact"/>
              <w:jc w:val="right"/>
              <w:rPr>
                <w:sz w:val="18"/>
                <w:szCs w:val="24"/>
              </w:rPr>
            </w:pPr>
            <w:r>
              <w:rPr>
                <w:sz w:val="18"/>
                <w:szCs w:val="24"/>
              </w:rPr>
              <w:t>28</w:t>
            </w:r>
          </w:p>
        </w:tc>
        <w:tc>
          <w:tcPr>
            <w:tcW w:w="900" w:type="dxa"/>
            <w:vAlign w:val="bottom"/>
          </w:tcPr>
          <w:p w:rsidR="00F92819" w:rsidRDefault="00F92819">
            <w:pPr>
              <w:spacing w:before="40" w:after="40" w:line="220" w:lineRule="exact"/>
              <w:jc w:val="right"/>
              <w:rPr>
                <w:sz w:val="18"/>
                <w:szCs w:val="24"/>
              </w:rPr>
            </w:pPr>
            <w:r>
              <w:rPr>
                <w:sz w:val="18"/>
                <w:szCs w:val="24"/>
              </w:rPr>
              <w:t>27</w:t>
            </w:r>
          </w:p>
        </w:tc>
        <w:tc>
          <w:tcPr>
            <w:tcW w:w="605" w:type="dxa"/>
            <w:vAlign w:val="bottom"/>
          </w:tcPr>
          <w:p w:rsidR="00F92819" w:rsidRDefault="00F92819">
            <w:pPr>
              <w:spacing w:before="40" w:after="40" w:line="220" w:lineRule="exact"/>
              <w:jc w:val="right"/>
              <w:rPr>
                <w:sz w:val="18"/>
                <w:szCs w:val="24"/>
              </w:rPr>
            </w:pPr>
            <w:r>
              <w:rPr>
                <w:sz w:val="18"/>
                <w:szCs w:val="24"/>
              </w:rPr>
              <w:t>23</w:t>
            </w:r>
          </w:p>
        </w:tc>
      </w:tr>
      <w:tr w:rsidR="00F92819">
        <w:tc>
          <w:tcPr>
            <w:tcW w:w="2366" w:type="dxa"/>
            <w:vAlign w:val="bottom"/>
          </w:tcPr>
          <w:p w:rsidR="00F92819" w:rsidRDefault="00F92819">
            <w:pPr>
              <w:spacing w:before="40" w:after="40" w:line="220" w:lineRule="exact"/>
              <w:rPr>
                <w:szCs w:val="24"/>
              </w:rPr>
            </w:pPr>
            <w:r>
              <w:rPr>
                <w:sz w:val="18"/>
                <w:szCs w:val="24"/>
                <w:lang w:val="es-ES_tradnl"/>
              </w:rPr>
              <w:t>Neoplasias malignas restantes</w:t>
            </w:r>
          </w:p>
        </w:tc>
        <w:tc>
          <w:tcPr>
            <w:tcW w:w="1400" w:type="dxa"/>
            <w:vAlign w:val="bottom"/>
          </w:tcPr>
          <w:p w:rsidR="00F92819" w:rsidRDefault="00F92819">
            <w:pPr>
              <w:spacing w:before="40" w:after="40" w:line="220" w:lineRule="exact"/>
              <w:jc w:val="right"/>
              <w:rPr>
                <w:sz w:val="18"/>
                <w:szCs w:val="24"/>
              </w:rPr>
            </w:pPr>
            <w:r>
              <w:rPr>
                <w:sz w:val="18"/>
                <w:szCs w:val="24"/>
              </w:rPr>
              <w:t>44</w:t>
            </w:r>
          </w:p>
        </w:tc>
        <w:tc>
          <w:tcPr>
            <w:tcW w:w="900" w:type="dxa"/>
            <w:vAlign w:val="bottom"/>
          </w:tcPr>
          <w:p w:rsidR="00F92819" w:rsidRDefault="00F92819">
            <w:pPr>
              <w:spacing w:before="40" w:after="40" w:line="220" w:lineRule="exact"/>
              <w:jc w:val="right"/>
              <w:rPr>
                <w:sz w:val="18"/>
                <w:szCs w:val="24"/>
              </w:rPr>
            </w:pPr>
            <w:r>
              <w:rPr>
                <w:sz w:val="18"/>
                <w:szCs w:val="24"/>
              </w:rPr>
              <w:t>25</w:t>
            </w:r>
          </w:p>
        </w:tc>
        <w:tc>
          <w:tcPr>
            <w:tcW w:w="600" w:type="dxa"/>
            <w:vAlign w:val="bottom"/>
          </w:tcPr>
          <w:p w:rsidR="00F92819" w:rsidRDefault="00F92819">
            <w:pPr>
              <w:spacing w:before="40" w:after="40" w:line="220" w:lineRule="exact"/>
              <w:jc w:val="right"/>
              <w:rPr>
                <w:sz w:val="18"/>
                <w:szCs w:val="24"/>
              </w:rPr>
            </w:pPr>
            <w:r>
              <w:rPr>
                <w:sz w:val="18"/>
                <w:szCs w:val="24"/>
              </w:rPr>
              <w:t>21</w:t>
            </w:r>
          </w:p>
        </w:tc>
        <w:tc>
          <w:tcPr>
            <w:tcW w:w="600" w:type="dxa"/>
            <w:vAlign w:val="bottom"/>
          </w:tcPr>
          <w:p w:rsidR="00F92819" w:rsidRDefault="00F92819">
            <w:pPr>
              <w:spacing w:before="40" w:after="40" w:line="220" w:lineRule="exact"/>
              <w:jc w:val="right"/>
              <w:rPr>
                <w:sz w:val="18"/>
                <w:szCs w:val="24"/>
              </w:rPr>
            </w:pPr>
            <w:r>
              <w:rPr>
                <w:sz w:val="18"/>
                <w:szCs w:val="24"/>
              </w:rPr>
              <w:t>25</w:t>
            </w:r>
          </w:p>
        </w:tc>
        <w:tc>
          <w:tcPr>
            <w:tcW w:w="900" w:type="dxa"/>
            <w:vAlign w:val="bottom"/>
          </w:tcPr>
          <w:p w:rsidR="00F92819" w:rsidRDefault="00F92819">
            <w:pPr>
              <w:spacing w:before="40" w:after="40" w:line="220" w:lineRule="exact"/>
              <w:jc w:val="right"/>
              <w:rPr>
                <w:sz w:val="18"/>
                <w:szCs w:val="24"/>
              </w:rPr>
            </w:pPr>
            <w:r>
              <w:rPr>
                <w:sz w:val="18"/>
                <w:szCs w:val="24"/>
              </w:rPr>
              <w:t>22</w:t>
            </w:r>
          </w:p>
        </w:tc>
        <w:tc>
          <w:tcPr>
            <w:tcW w:w="605" w:type="dxa"/>
            <w:vAlign w:val="bottom"/>
          </w:tcPr>
          <w:p w:rsidR="00F92819" w:rsidRDefault="00F92819">
            <w:pPr>
              <w:spacing w:before="40" w:after="40" w:line="220" w:lineRule="exact"/>
              <w:jc w:val="right"/>
              <w:rPr>
                <w:sz w:val="18"/>
                <w:szCs w:val="24"/>
              </w:rPr>
            </w:pPr>
            <w:r>
              <w:rPr>
                <w:sz w:val="18"/>
                <w:szCs w:val="24"/>
              </w:rPr>
              <w:t>21</w:t>
            </w:r>
          </w:p>
        </w:tc>
      </w:tr>
      <w:tr w:rsidR="00F92819">
        <w:tc>
          <w:tcPr>
            <w:tcW w:w="2366" w:type="dxa"/>
            <w:vAlign w:val="bottom"/>
          </w:tcPr>
          <w:p w:rsidR="00F92819" w:rsidRDefault="00F92819">
            <w:pPr>
              <w:spacing w:before="40" w:after="40" w:line="220" w:lineRule="exact"/>
              <w:rPr>
                <w:szCs w:val="24"/>
              </w:rPr>
            </w:pPr>
            <w:r>
              <w:rPr>
                <w:sz w:val="18"/>
                <w:szCs w:val="24"/>
                <w:lang w:val="es-ES_tradnl"/>
              </w:rPr>
              <w:t>Neoplasias malignas de tráquea, bronquios y pulmones</w:t>
            </w:r>
          </w:p>
        </w:tc>
        <w:tc>
          <w:tcPr>
            <w:tcW w:w="1400" w:type="dxa"/>
            <w:vAlign w:val="bottom"/>
          </w:tcPr>
          <w:p w:rsidR="00F92819" w:rsidRDefault="00F92819">
            <w:pPr>
              <w:spacing w:before="40" w:after="40" w:line="220" w:lineRule="exact"/>
              <w:jc w:val="right"/>
              <w:rPr>
                <w:sz w:val="18"/>
                <w:szCs w:val="24"/>
              </w:rPr>
            </w:pPr>
            <w:r>
              <w:rPr>
                <w:sz w:val="18"/>
                <w:szCs w:val="24"/>
              </w:rPr>
              <w:t>32</w:t>
            </w:r>
          </w:p>
        </w:tc>
        <w:tc>
          <w:tcPr>
            <w:tcW w:w="900" w:type="dxa"/>
            <w:vAlign w:val="bottom"/>
          </w:tcPr>
          <w:p w:rsidR="00F92819" w:rsidRDefault="00F92819">
            <w:pPr>
              <w:spacing w:before="40" w:after="40" w:line="220" w:lineRule="exact"/>
              <w:jc w:val="right"/>
              <w:rPr>
                <w:sz w:val="18"/>
                <w:szCs w:val="24"/>
              </w:rPr>
            </w:pPr>
            <w:r>
              <w:rPr>
                <w:sz w:val="18"/>
                <w:szCs w:val="24"/>
              </w:rPr>
              <w:t>20</w:t>
            </w:r>
          </w:p>
        </w:tc>
        <w:tc>
          <w:tcPr>
            <w:tcW w:w="600" w:type="dxa"/>
            <w:vAlign w:val="bottom"/>
          </w:tcPr>
          <w:p w:rsidR="00F92819" w:rsidRDefault="00F92819">
            <w:pPr>
              <w:spacing w:before="40" w:after="40" w:line="220" w:lineRule="exact"/>
              <w:jc w:val="right"/>
              <w:rPr>
                <w:sz w:val="18"/>
                <w:szCs w:val="24"/>
              </w:rPr>
            </w:pPr>
            <w:r>
              <w:rPr>
                <w:sz w:val="18"/>
                <w:szCs w:val="24"/>
              </w:rPr>
              <w:t>21</w:t>
            </w:r>
          </w:p>
        </w:tc>
        <w:tc>
          <w:tcPr>
            <w:tcW w:w="600" w:type="dxa"/>
            <w:vAlign w:val="bottom"/>
          </w:tcPr>
          <w:p w:rsidR="00F92819" w:rsidRDefault="00F92819">
            <w:pPr>
              <w:spacing w:before="40" w:after="40" w:line="220" w:lineRule="exact"/>
              <w:jc w:val="right"/>
              <w:rPr>
                <w:sz w:val="18"/>
                <w:szCs w:val="24"/>
              </w:rPr>
            </w:pPr>
            <w:r>
              <w:rPr>
                <w:sz w:val="18"/>
                <w:szCs w:val="24"/>
              </w:rPr>
              <w:t>21</w:t>
            </w:r>
          </w:p>
        </w:tc>
        <w:tc>
          <w:tcPr>
            <w:tcW w:w="900" w:type="dxa"/>
            <w:vAlign w:val="bottom"/>
          </w:tcPr>
          <w:p w:rsidR="00F92819" w:rsidRDefault="00F92819">
            <w:pPr>
              <w:spacing w:before="40" w:after="40" w:line="220" w:lineRule="exact"/>
              <w:jc w:val="right"/>
              <w:rPr>
                <w:sz w:val="18"/>
                <w:szCs w:val="24"/>
              </w:rPr>
            </w:pPr>
            <w:r>
              <w:rPr>
                <w:sz w:val="18"/>
                <w:szCs w:val="24"/>
              </w:rPr>
              <w:t>21</w:t>
            </w:r>
          </w:p>
        </w:tc>
        <w:tc>
          <w:tcPr>
            <w:tcW w:w="605" w:type="dxa"/>
            <w:vAlign w:val="bottom"/>
          </w:tcPr>
          <w:p w:rsidR="00F92819" w:rsidRDefault="00F92819">
            <w:pPr>
              <w:spacing w:before="40" w:after="40" w:line="220" w:lineRule="exact"/>
              <w:jc w:val="right"/>
              <w:rPr>
                <w:sz w:val="18"/>
                <w:szCs w:val="24"/>
              </w:rPr>
            </w:pPr>
            <w:r>
              <w:rPr>
                <w:sz w:val="18"/>
                <w:szCs w:val="24"/>
              </w:rPr>
              <w:t>20</w:t>
            </w:r>
          </w:p>
        </w:tc>
      </w:tr>
      <w:tr w:rsidR="00F92819">
        <w:tc>
          <w:tcPr>
            <w:tcW w:w="2366" w:type="dxa"/>
            <w:vAlign w:val="bottom"/>
          </w:tcPr>
          <w:p w:rsidR="00F92819" w:rsidRDefault="00F92819">
            <w:pPr>
              <w:spacing w:before="40" w:after="40" w:line="220" w:lineRule="exact"/>
              <w:rPr>
                <w:szCs w:val="24"/>
              </w:rPr>
            </w:pPr>
            <w:r>
              <w:rPr>
                <w:sz w:val="18"/>
                <w:szCs w:val="24"/>
                <w:lang w:val="es-ES_tradnl"/>
              </w:rPr>
              <w:t>Enfermedades renales</w:t>
            </w:r>
          </w:p>
        </w:tc>
        <w:tc>
          <w:tcPr>
            <w:tcW w:w="1400" w:type="dxa"/>
            <w:vAlign w:val="bottom"/>
          </w:tcPr>
          <w:p w:rsidR="00F92819" w:rsidRDefault="00F92819">
            <w:pPr>
              <w:spacing w:before="40" w:after="40" w:line="220" w:lineRule="exact"/>
              <w:jc w:val="right"/>
              <w:rPr>
                <w:sz w:val="18"/>
                <w:szCs w:val="24"/>
              </w:rPr>
            </w:pPr>
            <w:r>
              <w:rPr>
                <w:sz w:val="18"/>
                <w:szCs w:val="24"/>
              </w:rPr>
              <w:t>65</w:t>
            </w:r>
          </w:p>
        </w:tc>
        <w:tc>
          <w:tcPr>
            <w:tcW w:w="900" w:type="dxa"/>
            <w:vAlign w:val="bottom"/>
          </w:tcPr>
          <w:p w:rsidR="00F92819" w:rsidRDefault="00F92819">
            <w:pPr>
              <w:spacing w:before="40" w:after="40" w:line="220" w:lineRule="exact"/>
              <w:jc w:val="right"/>
              <w:rPr>
                <w:sz w:val="18"/>
                <w:szCs w:val="24"/>
              </w:rPr>
            </w:pPr>
            <w:r>
              <w:rPr>
                <w:sz w:val="18"/>
                <w:szCs w:val="24"/>
              </w:rPr>
              <w:t>16</w:t>
            </w:r>
          </w:p>
        </w:tc>
        <w:tc>
          <w:tcPr>
            <w:tcW w:w="600" w:type="dxa"/>
            <w:vAlign w:val="bottom"/>
          </w:tcPr>
          <w:p w:rsidR="00F92819" w:rsidRDefault="00F92819">
            <w:pPr>
              <w:spacing w:before="40" w:after="40" w:line="220" w:lineRule="exact"/>
              <w:jc w:val="right"/>
              <w:rPr>
                <w:sz w:val="18"/>
                <w:szCs w:val="24"/>
              </w:rPr>
            </w:pPr>
            <w:r>
              <w:rPr>
                <w:sz w:val="18"/>
                <w:szCs w:val="24"/>
              </w:rPr>
              <w:t>23</w:t>
            </w:r>
          </w:p>
        </w:tc>
        <w:tc>
          <w:tcPr>
            <w:tcW w:w="600" w:type="dxa"/>
            <w:vAlign w:val="bottom"/>
          </w:tcPr>
          <w:p w:rsidR="00F92819" w:rsidRDefault="00F92819">
            <w:pPr>
              <w:spacing w:before="40" w:after="40" w:line="220" w:lineRule="exact"/>
              <w:jc w:val="right"/>
              <w:rPr>
                <w:sz w:val="18"/>
                <w:szCs w:val="24"/>
              </w:rPr>
            </w:pPr>
            <w:r>
              <w:rPr>
                <w:sz w:val="18"/>
                <w:szCs w:val="24"/>
              </w:rPr>
              <w:t>20</w:t>
            </w:r>
          </w:p>
        </w:tc>
        <w:tc>
          <w:tcPr>
            <w:tcW w:w="900" w:type="dxa"/>
            <w:vAlign w:val="bottom"/>
          </w:tcPr>
          <w:p w:rsidR="00F92819" w:rsidRDefault="00F92819">
            <w:pPr>
              <w:spacing w:before="40" w:after="40" w:line="220" w:lineRule="exact"/>
              <w:jc w:val="right"/>
              <w:rPr>
                <w:sz w:val="18"/>
                <w:szCs w:val="24"/>
              </w:rPr>
            </w:pPr>
            <w:r>
              <w:rPr>
                <w:sz w:val="18"/>
                <w:szCs w:val="24"/>
              </w:rPr>
              <w:t>23</w:t>
            </w:r>
          </w:p>
        </w:tc>
        <w:tc>
          <w:tcPr>
            <w:tcW w:w="605" w:type="dxa"/>
            <w:vAlign w:val="bottom"/>
          </w:tcPr>
          <w:p w:rsidR="00F92819" w:rsidRDefault="00F92819">
            <w:pPr>
              <w:spacing w:before="40" w:after="40" w:line="220" w:lineRule="exact"/>
              <w:jc w:val="right"/>
              <w:rPr>
                <w:sz w:val="18"/>
                <w:szCs w:val="24"/>
              </w:rPr>
            </w:pPr>
            <w:r>
              <w:rPr>
                <w:sz w:val="18"/>
                <w:szCs w:val="24"/>
              </w:rPr>
              <w:t>25</w:t>
            </w:r>
          </w:p>
        </w:tc>
      </w:tr>
      <w:tr w:rsidR="00F92819">
        <w:tc>
          <w:tcPr>
            <w:tcW w:w="2366" w:type="dxa"/>
            <w:vAlign w:val="bottom"/>
          </w:tcPr>
          <w:p w:rsidR="00F92819" w:rsidRDefault="00F92819">
            <w:pPr>
              <w:spacing w:before="40" w:after="40" w:line="220" w:lineRule="exact"/>
              <w:rPr>
                <w:szCs w:val="24"/>
              </w:rPr>
            </w:pPr>
            <w:r>
              <w:rPr>
                <w:sz w:val="18"/>
                <w:szCs w:val="24"/>
                <w:lang w:val="es-ES_tradnl"/>
              </w:rPr>
              <w:t>Neoplasias malignas de colon y ano</w:t>
            </w:r>
          </w:p>
        </w:tc>
        <w:tc>
          <w:tcPr>
            <w:tcW w:w="1400" w:type="dxa"/>
            <w:vAlign w:val="bottom"/>
          </w:tcPr>
          <w:p w:rsidR="00F92819" w:rsidRDefault="00F92819">
            <w:pPr>
              <w:spacing w:before="40" w:after="40" w:line="220" w:lineRule="exact"/>
              <w:jc w:val="right"/>
              <w:rPr>
                <w:sz w:val="18"/>
                <w:szCs w:val="24"/>
              </w:rPr>
            </w:pPr>
            <w:r>
              <w:rPr>
                <w:sz w:val="18"/>
                <w:szCs w:val="24"/>
              </w:rPr>
              <w:t>28</w:t>
            </w:r>
          </w:p>
        </w:tc>
        <w:tc>
          <w:tcPr>
            <w:tcW w:w="900" w:type="dxa"/>
            <w:vAlign w:val="bottom"/>
          </w:tcPr>
          <w:p w:rsidR="00F92819" w:rsidRDefault="00F92819">
            <w:pPr>
              <w:spacing w:before="40" w:after="40" w:line="220" w:lineRule="exact"/>
              <w:jc w:val="right"/>
              <w:rPr>
                <w:sz w:val="18"/>
                <w:szCs w:val="24"/>
              </w:rPr>
            </w:pPr>
            <w:r>
              <w:rPr>
                <w:sz w:val="18"/>
                <w:szCs w:val="24"/>
              </w:rPr>
              <w:t>20</w:t>
            </w:r>
          </w:p>
        </w:tc>
        <w:tc>
          <w:tcPr>
            <w:tcW w:w="600" w:type="dxa"/>
            <w:vAlign w:val="bottom"/>
          </w:tcPr>
          <w:p w:rsidR="00F92819" w:rsidRDefault="00F92819">
            <w:pPr>
              <w:spacing w:before="40" w:after="40" w:line="220" w:lineRule="exact"/>
              <w:jc w:val="right"/>
              <w:rPr>
                <w:sz w:val="18"/>
                <w:szCs w:val="24"/>
              </w:rPr>
            </w:pPr>
            <w:r>
              <w:rPr>
                <w:sz w:val="18"/>
                <w:szCs w:val="24"/>
              </w:rPr>
              <w:t>21</w:t>
            </w:r>
          </w:p>
        </w:tc>
        <w:tc>
          <w:tcPr>
            <w:tcW w:w="600" w:type="dxa"/>
            <w:vAlign w:val="bottom"/>
          </w:tcPr>
          <w:p w:rsidR="00F92819" w:rsidRDefault="00F92819">
            <w:pPr>
              <w:spacing w:before="40" w:after="40" w:line="220" w:lineRule="exact"/>
              <w:jc w:val="right"/>
              <w:rPr>
                <w:sz w:val="18"/>
                <w:szCs w:val="24"/>
              </w:rPr>
            </w:pPr>
            <w:r>
              <w:rPr>
                <w:sz w:val="18"/>
                <w:szCs w:val="24"/>
              </w:rPr>
              <w:t>19</w:t>
            </w:r>
          </w:p>
        </w:tc>
        <w:tc>
          <w:tcPr>
            <w:tcW w:w="900" w:type="dxa"/>
            <w:vAlign w:val="bottom"/>
          </w:tcPr>
          <w:p w:rsidR="00F92819" w:rsidRDefault="00F92819">
            <w:pPr>
              <w:spacing w:before="40" w:after="40" w:line="220" w:lineRule="exact"/>
              <w:jc w:val="right"/>
              <w:rPr>
                <w:sz w:val="18"/>
                <w:szCs w:val="24"/>
              </w:rPr>
            </w:pPr>
            <w:r>
              <w:rPr>
                <w:sz w:val="18"/>
                <w:szCs w:val="24"/>
              </w:rPr>
              <w:t>19</w:t>
            </w:r>
          </w:p>
        </w:tc>
        <w:tc>
          <w:tcPr>
            <w:tcW w:w="605" w:type="dxa"/>
            <w:vAlign w:val="bottom"/>
          </w:tcPr>
          <w:p w:rsidR="00F92819" w:rsidRDefault="00F92819">
            <w:pPr>
              <w:spacing w:before="40" w:after="40" w:line="220" w:lineRule="exact"/>
              <w:jc w:val="right"/>
              <w:rPr>
                <w:sz w:val="18"/>
                <w:szCs w:val="24"/>
              </w:rPr>
            </w:pPr>
            <w:r>
              <w:rPr>
                <w:sz w:val="18"/>
                <w:szCs w:val="24"/>
              </w:rPr>
              <w:t>19</w:t>
            </w:r>
          </w:p>
        </w:tc>
      </w:tr>
      <w:tr w:rsidR="00F92819">
        <w:tc>
          <w:tcPr>
            <w:tcW w:w="2366" w:type="dxa"/>
            <w:tcBorders>
              <w:bottom w:val="single" w:sz="12" w:space="0" w:color="auto"/>
            </w:tcBorders>
            <w:vAlign w:val="bottom"/>
          </w:tcPr>
          <w:p w:rsidR="00F92819" w:rsidRDefault="00F92819">
            <w:pPr>
              <w:spacing w:before="40" w:after="40" w:line="220" w:lineRule="exact"/>
              <w:rPr>
                <w:szCs w:val="24"/>
              </w:rPr>
            </w:pPr>
            <w:r>
              <w:rPr>
                <w:sz w:val="18"/>
                <w:szCs w:val="24"/>
                <w:lang w:val="es-ES_tradnl"/>
              </w:rPr>
              <w:t>Infecciones crónicas de las vías respiratorias inferiores</w:t>
            </w:r>
          </w:p>
        </w:tc>
        <w:tc>
          <w:tcPr>
            <w:tcW w:w="14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61</w:t>
            </w:r>
          </w:p>
        </w:tc>
        <w:tc>
          <w:tcPr>
            <w:tcW w:w="9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19</w:t>
            </w:r>
          </w:p>
        </w:tc>
        <w:tc>
          <w:tcPr>
            <w:tcW w:w="6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18</w:t>
            </w:r>
          </w:p>
        </w:tc>
        <w:tc>
          <w:tcPr>
            <w:tcW w:w="6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17</w:t>
            </w:r>
          </w:p>
        </w:tc>
        <w:tc>
          <w:tcPr>
            <w:tcW w:w="9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17</w:t>
            </w:r>
          </w:p>
        </w:tc>
        <w:tc>
          <w:tcPr>
            <w:tcW w:w="605"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17</w:t>
            </w:r>
          </w:p>
        </w:tc>
      </w:tr>
    </w:tbl>
    <w:p w:rsidR="00F92819" w:rsidRDefault="00F92819">
      <w:pPr>
        <w:spacing w:before="120"/>
        <w:ind w:left="1134" w:right="1134" w:firstLine="170"/>
        <w:rPr>
          <w:i/>
          <w:szCs w:val="24"/>
        </w:rPr>
      </w:pPr>
      <w:r>
        <w:rPr>
          <w:i/>
          <w:sz w:val="18"/>
          <w:szCs w:val="24"/>
          <w:lang w:val="es-ES_tradnl"/>
        </w:rPr>
        <w:t>Fuente:</w:t>
      </w:r>
      <w:r>
        <w:rPr>
          <w:i/>
          <w:sz w:val="18"/>
          <w:szCs w:val="24"/>
        </w:rPr>
        <w:t xml:space="preserve"> </w:t>
      </w:r>
      <w:r>
        <w:rPr>
          <w:sz w:val="18"/>
          <w:szCs w:val="24"/>
          <w:lang w:val="es-ES_tradnl"/>
        </w:rPr>
        <w:t>Oficina Central de Estadística, Resumen estadístico de Israel, 2007.</w:t>
      </w:r>
    </w:p>
    <w:p w:rsidR="00F92819" w:rsidRDefault="00F92819">
      <w:pPr>
        <w:ind w:left="1134" w:right="1134" w:firstLine="170"/>
        <w:rPr>
          <w:i/>
          <w:szCs w:val="24"/>
        </w:rPr>
      </w:pPr>
      <w:r>
        <w:rPr>
          <w:i/>
          <w:sz w:val="18"/>
          <w:szCs w:val="24"/>
          <w:lang w:val="es-ES_tradnl"/>
        </w:rPr>
        <w:t>Nota:</w:t>
      </w:r>
      <w:r>
        <w:rPr>
          <w:i/>
          <w:sz w:val="18"/>
          <w:szCs w:val="24"/>
        </w:rPr>
        <w:t xml:space="preserve"> </w:t>
      </w:r>
      <w:r>
        <w:rPr>
          <w:i/>
          <w:sz w:val="18"/>
          <w:szCs w:val="24"/>
          <w:lang w:val="es-ES_tradnl"/>
        </w:rPr>
        <w:t>En 2005 la tasa de signos, síntomas y causas indefinidas era 31 (por cada 100.000 residentes).</w:t>
      </w:r>
    </w:p>
    <w:p w:rsidR="00F92819" w:rsidRDefault="00F92819">
      <w:pPr>
        <w:ind w:left="1134" w:right="1134" w:firstLine="170"/>
        <w:rPr>
          <w:i/>
          <w:sz w:val="18"/>
          <w:szCs w:val="24"/>
        </w:rPr>
      </w:pPr>
      <w:r>
        <w:rPr>
          <w:i/>
          <w:sz w:val="18"/>
          <w:szCs w:val="24"/>
          <w:lang w:val="es-ES_tradnl"/>
        </w:rPr>
        <w:t>Tasas por cada 100.000 residentes.</w:t>
      </w:r>
    </w:p>
    <w:p w:rsidR="00F92819" w:rsidRDefault="00F92819">
      <w:pPr>
        <w:spacing w:after="240"/>
        <w:ind w:left="1134" w:right="1134" w:firstLine="170"/>
        <w:rPr>
          <w:i/>
          <w:sz w:val="18"/>
          <w:szCs w:val="24"/>
        </w:rPr>
      </w:pPr>
      <w:r>
        <w:rPr>
          <w:i/>
          <w:sz w:val="18"/>
          <w:szCs w:val="24"/>
          <w:lang w:val="es-ES_tradnl"/>
        </w:rPr>
        <w:t>Según la CIE-10 (Clasificación Estadística Internacional de Enfermedades y Problemas de Salud Conexos, 10ª edición)</w:t>
      </w:r>
      <w:r>
        <w:rPr>
          <w:sz w:val="18"/>
          <w:szCs w:val="24"/>
          <w:lang w:val="es-ES_tradnl"/>
        </w:rPr>
        <w:t>.</w:t>
      </w:r>
    </w:p>
    <w:p w:rsidR="00F92819" w:rsidRDefault="00F92819">
      <w:pPr>
        <w:pStyle w:val="H23G"/>
        <w:rPr>
          <w:szCs w:val="24"/>
        </w:rPr>
      </w:pPr>
      <w:r>
        <w:rPr>
          <w:szCs w:val="24"/>
        </w:rPr>
        <w:tab/>
      </w:r>
      <w:r>
        <w:rPr>
          <w:szCs w:val="24"/>
        </w:rPr>
        <w:tab/>
      </w:r>
      <w:r>
        <w:rPr>
          <w:szCs w:val="24"/>
          <w:lang w:val="es-ES_tradnl"/>
        </w:rPr>
        <w:t>Acceso a personal capacitado</w:t>
      </w:r>
    </w:p>
    <w:p w:rsidR="00F92819" w:rsidRDefault="00F92819">
      <w:pPr>
        <w:pStyle w:val="SingleTxtG"/>
        <w:rPr>
          <w:b/>
          <w:szCs w:val="24"/>
        </w:rPr>
      </w:pPr>
      <w:r>
        <w:rPr>
          <w:szCs w:val="24"/>
        </w:rPr>
        <w:t>512.</w:t>
      </w:r>
      <w:r>
        <w:rPr>
          <w:szCs w:val="24"/>
        </w:rPr>
        <w:tab/>
      </w:r>
      <w:r>
        <w:rPr>
          <w:szCs w:val="24"/>
          <w:lang w:val="es-ES_tradnl"/>
        </w:rPr>
        <w:t>En cada localidad con más de 100-150 residentes hay dispensarios para el tratamiento de enfermedades y lesiones comunes.</w:t>
      </w:r>
      <w:r>
        <w:rPr>
          <w:szCs w:val="24"/>
        </w:rPr>
        <w:t xml:space="preserve"> </w:t>
      </w:r>
      <w:r>
        <w:rPr>
          <w:szCs w:val="24"/>
          <w:lang w:val="es-ES_tradnl"/>
        </w:rPr>
        <w:t xml:space="preserve">Además, como prescribe la </w:t>
      </w:r>
      <w:r>
        <w:rPr>
          <w:i/>
          <w:szCs w:val="24"/>
          <w:lang w:val="es-ES_tradnl"/>
        </w:rPr>
        <w:t xml:space="preserve">Ley del seguro médico nacional </w:t>
      </w:r>
      <w:r>
        <w:rPr>
          <w:szCs w:val="24"/>
          <w:lang w:val="es-ES_tradnl"/>
        </w:rPr>
        <w:t>detallada en los informes anteriores de Israel, todos los residentes israelíes tienen derecho al seguro médico, incluido el tratamiento médico generalizado y el suministro de medicamentos.</w:t>
      </w:r>
    </w:p>
    <w:p w:rsidR="00F92819" w:rsidRDefault="00F92819">
      <w:pPr>
        <w:pStyle w:val="SingleTxtG"/>
        <w:rPr>
          <w:b/>
          <w:szCs w:val="24"/>
        </w:rPr>
      </w:pPr>
      <w:r>
        <w:rPr>
          <w:szCs w:val="24"/>
        </w:rPr>
        <w:t>513.</w:t>
      </w:r>
      <w:r>
        <w:rPr>
          <w:szCs w:val="24"/>
        </w:rPr>
        <w:tab/>
      </w:r>
      <w:r>
        <w:rPr>
          <w:szCs w:val="24"/>
          <w:lang w:val="es-ES_tradnl"/>
        </w:rPr>
        <w:t xml:space="preserve">Los trabajadores extranjeros también pueden acceder a la atención sanitaria y tienen derecho al seguro médico,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se detalla en el artículo 6 anterior.</w:t>
      </w:r>
      <w:r>
        <w:rPr>
          <w:szCs w:val="24"/>
        </w:rPr>
        <w:t xml:space="preserve"> </w:t>
      </w:r>
      <w:r>
        <w:rPr>
          <w:szCs w:val="24"/>
          <w:lang w:val="es-ES_tradnl"/>
        </w:rPr>
        <w:t xml:space="preserve">Además, los hijos de los trabajadores </w:t>
      </w:r>
      <w:r>
        <w:rPr>
          <w:i/>
          <w:szCs w:val="24"/>
          <w:lang w:val="es-ES_tradnl"/>
        </w:rPr>
        <w:t>migratorios</w:t>
      </w:r>
      <w:r>
        <w:rPr>
          <w:szCs w:val="24"/>
          <w:lang w:val="es-ES_tradnl"/>
        </w:rPr>
        <w:t xml:space="preserve"> ilegales también tienen derecho al seguro médico que prestan los fondos de salud israelíes.</w:t>
      </w:r>
    </w:p>
    <w:p w:rsidR="00F92819" w:rsidRDefault="00F92819">
      <w:pPr>
        <w:pStyle w:val="SingleTxtG"/>
        <w:rPr>
          <w:b/>
          <w:szCs w:val="24"/>
        </w:rPr>
      </w:pPr>
      <w:r>
        <w:rPr>
          <w:szCs w:val="24"/>
        </w:rPr>
        <w:t>514.</w:t>
      </w:r>
      <w:r>
        <w:rPr>
          <w:szCs w:val="24"/>
        </w:rPr>
        <w:tab/>
      </w:r>
      <w:r>
        <w:rPr>
          <w:szCs w:val="24"/>
          <w:lang w:val="es-ES_tradnl"/>
        </w:rPr>
        <w:t>En 2006 el número de médicos en</w:t>
      </w:r>
      <w:r>
        <w:rPr>
          <w:b/>
          <w:szCs w:val="24"/>
          <w:lang w:val="es-ES_tradnl"/>
        </w:rPr>
        <w:t xml:space="preserve">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xml:space="preserve"> era 25.138 (37 por cada 10.000 residentes) y de enfermeras y matronas, 42.609 (62 por cada 10.000 residentes), lo que constituye una relación de 1,7 enfermeras y matronas por médico.</w:t>
      </w:r>
      <w:r>
        <w:rPr>
          <w:szCs w:val="24"/>
        </w:rPr>
        <w:t xml:space="preserve"> </w:t>
      </w:r>
      <w:r>
        <w:rPr>
          <w:szCs w:val="24"/>
          <w:lang w:val="es-ES_tradnl"/>
        </w:rPr>
        <w:t>Además, el número de personal farmacéutico era 4.958 (7 por cada 10.000 residentes), y el número de dentistas, 7.726 (11 por cada 10.000 residentes).</w:t>
      </w:r>
      <w:r>
        <w:rPr>
          <w:szCs w:val="24"/>
        </w:rPr>
        <w:t xml:space="preserve"> </w:t>
      </w:r>
      <w:r>
        <w:rPr>
          <w:szCs w:val="24"/>
          <w:lang w:val="es-ES_tradnl"/>
        </w:rPr>
        <w:t>La tasa de camas de hospital en 2006 era 60 por cada 10.000 residentes.</w:t>
      </w:r>
    </w:p>
    <w:p w:rsidR="00F92819" w:rsidRDefault="00F92819">
      <w:pPr>
        <w:pStyle w:val="SingleTxtG"/>
        <w:rPr>
          <w:b/>
          <w:szCs w:val="24"/>
        </w:rPr>
      </w:pPr>
      <w:r>
        <w:rPr>
          <w:szCs w:val="24"/>
        </w:rPr>
        <w:t>515.</w:t>
      </w:r>
      <w:r>
        <w:rPr>
          <w:szCs w:val="24"/>
        </w:rPr>
        <w:tab/>
      </w:r>
      <w:r>
        <w:rPr>
          <w:szCs w:val="24"/>
          <w:lang w:val="es-ES_tradnl"/>
        </w:rPr>
        <w:t xml:space="preserve">Cabe mencionar un estudio iniciado por el Ministerio de Salud que indicaba un menor acceso al personal médico en las zonas periféricas </w:t>
      </w:r>
      <w:smartTag w:uri="urn:schemas-microsoft-com:office:smarttags" w:element="State">
        <w:r>
          <w:rPr>
            <w:szCs w:val="24"/>
            <w:lang w:val="es-ES_tradnl"/>
          </w:rPr>
          <w:t>del</w:t>
        </w:r>
      </w:smartTag>
      <w:r>
        <w:rPr>
          <w:szCs w:val="24"/>
          <w:lang w:val="es-ES_tradnl"/>
        </w:rPr>
        <w:t xml:space="preserve"> norte y el sur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país.</w:t>
      </w:r>
      <w:r>
        <w:rPr>
          <w:szCs w:val="24"/>
        </w:rPr>
        <w:t xml:space="preserve"> </w:t>
      </w:r>
      <w:r>
        <w:rPr>
          <w:szCs w:val="24"/>
          <w:lang w:val="es-ES_tradnl"/>
        </w:rPr>
        <w:t>Aparte de la escasez general de personal médico, uno de los principales obstáculos es la gran dificultad para contratar facultativos dispuestos a vivir y prestar servicio en esas zonas apartadas del país.</w:t>
      </w:r>
      <w:r>
        <w:rPr>
          <w:szCs w:val="24"/>
        </w:rPr>
        <w:t xml:space="preserve"> </w:t>
      </w:r>
      <w:r>
        <w:rPr>
          <w:szCs w:val="24"/>
          <w:lang w:val="es-ES_tradnl"/>
        </w:rPr>
        <w:t>El Ministerio de Salud dedica considerables esfuerzos, incluso incentivos económicos y ayudas en vivienda y oportunidades de empleo para el cónyuge, con el fin de alentar al personal médico a reubicarse en dichas zonas, aunque hasta ahora el problema persiste.</w:t>
      </w:r>
    </w:p>
    <w:p w:rsidR="00F92819" w:rsidRDefault="00F92819">
      <w:pPr>
        <w:pStyle w:val="SingleTxtG"/>
        <w:rPr>
          <w:szCs w:val="24"/>
        </w:rPr>
      </w:pPr>
      <w:r>
        <w:rPr>
          <w:szCs w:val="24"/>
        </w:rPr>
        <w:t>516.</w:t>
      </w:r>
      <w:r>
        <w:rPr>
          <w:szCs w:val="24"/>
        </w:rPr>
        <w:tab/>
      </w:r>
      <w:r>
        <w:rPr>
          <w:szCs w:val="24"/>
          <w:lang w:val="es-ES_tradnl"/>
        </w:rPr>
        <w:t>El 99% de los nacimientos tiene lugar en hospitales, bajo la supervisión de personal capacitado.</w:t>
      </w:r>
      <w:r>
        <w:rPr>
          <w:szCs w:val="24"/>
        </w:rPr>
        <w:t xml:space="preserve"> </w:t>
      </w:r>
      <w:r>
        <w:rPr>
          <w:szCs w:val="24"/>
          <w:lang w:val="es-ES_tradnl"/>
        </w:rPr>
        <w:t xml:space="preserve">En diciembre de 2005 la </w:t>
      </w:r>
      <w:r>
        <w:rPr>
          <w:i/>
          <w:szCs w:val="24"/>
          <w:lang w:val="es-ES_tradnl"/>
        </w:rPr>
        <w:t>Ley del registro civil</w:t>
      </w:r>
      <w:r>
        <w:rPr>
          <w:szCs w:val="24"/>
          <w:lang w:val="es-ES_tradnl"/>
        </w:rPr>
        <w:t xml:space="preserve"> de 5725/1965 se reformó para regular los nacimientos que ocurren fuera de una institución médica.</w:t>
      </w:r>
      <w:r>
        <w:rPr>
          <w:szCs w:val="24"/>
        </w:rPr>
        <w:t xml:space="preserve"> </w:t>
      </w:r>
      <w:r>
        <w:rPr>
          <w:szCs w:val="24"/>
          <w:lang w:val="es-ES_tradnl"/>
        </w:rPr>
        <w:t>Las mujeres que alumbran en su casa o de camino al hospital tienen derecho a atención postnatal completa en el hospital, para ellas y para sus bebés.</w:t>
      </w:r>
    </w:p>
    <w:p w:rsidR="00F92819" w:rsidRDefault="00F92819">
      <w:pPr>
        <w:pStyle w:val="SingleTxtG"/>
        <w:rPr>
          <w:szCs w:val="24"/>
        </w:rPr>
      </w:pPr>
      <w:r>
        <w:rPr>
          <w:szCs w:val="24"/>
        </w:rPr>
        <w:t>517.</w:t>
      </w:r>
      <w:r>
        <w:rPr>
          <w:szCs w:val="24"/>
        </w:rPr>
        <w:tab/>
      </w:r>
      <w:r>
        <w:rPr>
          <w:szCs w:val="24"/>
          <w:lang w:val="es-ES_tradnl"/>
        </w:rPr>
        <w:t>La tasa de mortalidad materna se ha mantenido baja.</w:t>
      </w:r>
      <w:r>
        <w:rPr>
          <w:szCs w:val="24"/>
        </w:rPr>
        <w:t xml:space="preserve"> </w:t>
      </w:r>
      <w:r>
        <w:rPr>
          <w:szCs w:val="24"/>
          <w:lang w:val="es-ES_tradnl"/>
        </w:rPr>
        <w:t>En 200</w:t>
      </w:r>
      <w:r w:rsidRPr="008E2128">
        <w:rPr>
          <w:sz w:val="18"/>
          <w:szCs w:val="18"/>
          <w:rtl/>
          <w:lang w:val="es-ES_tradnl"/>
        </w:rPr>
        <w:t>6</w:t>
      </w:r>
      <w:r>
        <w:rPr>
          <w:szCs w:val="24"/>
          <w:lang w:val="es-ES_tradnl"/>
        </w:rPr>
        <w:t xml:space="preserve"> sólo hubo 9 casos.</w:t>
      </w:r>
    </w:p>
    <w:p w:rsidR="00F92819" w:rsidRDefault="00F92819">
      <w:pPr>
        <w:pStyle w:val="H23G"/>
        <w:rPr>
          <w:szCs w:val="24"/>
        </w:rPr>
      </w:pPr>
      <w:r>
        <w:rPr>
          <w:szCs w:val="24"/>
        </w:rPr>
        <w:tab/>
      </w:r>
      <w:r>
        <w:rPr>
          <w:szCs w:val="24"/>
        </w:rPr>
        <w:tab/>
      </w:r>
      <w:r>
        <w:rPr>
          <w:szCs w:val="24"/>
          <w:lang w:val="es-ES_tradnl"/>
        </w:rPr>
        <w:t>Control del medio ambiente</w:t>
      </w:r>
    </w:p>
    <w:p w:rsidR="00F92819" w:rsidRDefault="00F92819">
      <w:pPr>
        <w:pStyle w:val="SingleTxtG"/>
        <w:rPr>
          <w:szCs w:val="24"/>
        </w:rPr>
      </w:pPr>
      <w:r>
        <w:rPr>
          <w:szCs w:val="24"/>
        </w:rPr>
        <w:t>518.</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Atención preventiva</w:t>
      </w:r>
    </w:p>
    <w:p w:rsidR="00F92819" w:rsidRDefault="00F92819">
      <w:pPr>
        <w:pStyle w:val="SingleTxtG"/>
        <w:rPr>
          <w:szCs w:val="24"/>
        </w:rPr>
      </w:pPr>
      <w:r>
        <w:rPr>
          <w:szCs w:val="24"/>
        </w:rPr>
        <w:t>519.</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Abastecimiento de agua</w:t>
      </w:r>
    </w:p>
    <w:p w:rsidR="00F92819" w:rsidRDefault="00F92819">
      <w:pPr>
        <w:pStyle w:val="H4G"/>
        <w:rPr>
          <w:b/>
          <w:szCs w:val="24"/>
        </w:rPr>
      </w:pPr>
      <w:r>
        <w:rPr>
          <w:szCs w:val="24"/>
        </w:rPr>
        <w:tab/>
      </w:r>
      <w:r>
        <w:rPr>
          <w:szCs w:val="24"/>
        </w:rPr>
        <w:tab/>
      </w:r>
      <w:r>
        <w:rPr>
          <w:szCs w:val="24"/>
          <w:lang w:val="es-ES_tradnl"/>
        </w:rPr>
        <w:t>Abastecimiento de agua a las aldeas beduinas ilegales</w:t>
      </w:r>
    </w:p>
    <w:p w:rsidR="00F92819" w:rsidRDefault="00F92819">
      <w:pPr>
        <w:pStyle w:val="SingleTxtG"/>
        <w:rPr>
          <w:b/>
          <w:szCs w:val="24"/>
        </w:rPr>
      </w:pPr>
      <w:r>
        <w:rPr>
          <w:szCs w:val="24"/>
        </w:rPr>
        <w:t>520.</w:t>
      </w:r>
      <w:r>
        <w:rPr>
          <w:szCs w:val="24"/>
        </w:rPr>
        <w:tab/>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se detalla en este informe, la mayoría de los beduinos del Negev viven en centros urbanos y suburbanos que cuentan con planes aprobados y el suministro de todas las infraestructuras necesarias, incluido el abastecimiento de agua corriente.</w:t>
      </w:r>
      <w:r>
        <w:rPr>
          <w:b/>
          <w:szCs w:val="24"/>
        </w:rPr>
        <w:t xml:space="preserve"> </w:t>
      </w:r>
      <w:r>
        <w:rPr>
          <w:szCs w:val="24"/>
          <w:lang w:val="es-ES_tradnl"/>
        </w:rPr>
        <w:t>El resto de la población beduina reside en aldeas ilegales, que dificultan el suministro de los servicios necesarios a los residentes, de agua en particular.</w:t>
      </w:r>
    </w:p>
    <w:p w:rsidR="00F92819" w:rsidRDefault="00F92819">
      <w:pPr>
        <w:pStyle w:val="SingleTxtG"/>
        <w:rPr>
          <w:szCs w:val="24"/>
        </w:rPr>
      </w:pPr>
      <w:r>
        <w:rPr>
          <w:szCs w:val="24"/>
        </w:rPr>
        <w:t>521.</w:t>
      </w:r>
      <w:r>
        <w:rPr>
          <w:szCs w:val="24"/>
        </w:rPr>
        <w:tab/>
      </w:r>
      <w:r>
        <w:rPr>
          <w:szCs w:val="24"/>
          <w:lang w:val="es-ES_tradnl"/>
        </w:rPr>
        <w:t xml:space="preserve">A pesar de que el Gobierno no pone en duda su obligación de proveer a sus habitantes de servicios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el agua, es prácticamente imposible suministrarla a destinos esporádicos sin tener en cuenta los programas estatales de construcción y planificación.</w:t>
      </w:r>
      <w:r>
        <w:rPr>
          <w:szCs w:val="24"/>
        </w:rPr>
        <w:t xml:space="preserve"> </w:t>
      </w:r>
      <w:r>
        <w:rPr>
          <w:szCs w:val="24"/>
          <w:lang w:val="es-ES_tradnl"/>
        </w:rPr>
        <w:t>No obstante, anticipándose a la finalización del establecimiento de más asentamientos beduinos permanentes y la regulación de los sistemas de abastecimiento de agua, la comisión ministerial para la población árabe ha decidido construir “centros de agua”.</w:t>
      </w:r>
      <w:r>
        <w:rPr>
          <w:szCs w:val="24"/>
        </w:rPr>
        <w:t xml:space="preserve"> </w:t>
      </w:r>
      <w:r>
        <w:rPr>
          <w:szCs w:val="24"/>
          <w:lang w:val="es-ES_tradnl"/>
        </w:rPr>
        <w:t>A raíz de esta decisión, se han dado instrucciones sobre la planificación de sistemas de abastecimiento de agua para varios de estos centros en el Negev,</w:t>
      </w:r>
      <w:r>
        <w:rPr>
          <w:szCs w:val="24"/>
        </w:rPr>
        <w:t xml:space="preserve"> </w:t>
      </w:r>
      <w:r>
        <w:rPr>
          <w:szCs w:val="24"/>
          <w:lang w:val="es-ES_tradnl"/>
        </w:rPr>
        <w:t xml:space="preserve">dado que el Gobierno comprende las necesidades y la realidad actual de la población beduina y sus esfuerzos para mejorar sus condiciones de vida. </w:t>
      </w:r>
      <w:r>
        <w:rPr>
          <w:szCs w:val="24"/>
        </w:rPr>
        <w:t>Su</w:t>
      </w:r>
      <w:r>
        <w:rPr>
          <w:szCs w:val="24"/>
          <w:lang w:val="es-ES_tradnl"/>
        </w:rPr>
        <w:t xml:space="preserve"> planificación tiene en cuenta una cantidad de agua adecuada para las cifras de población previstas para 2020. Estos sistemas permitirán suministrar agua a una parte considerablemente mayor de población beduina que en la actualidad, que la recibe mediante conexiones individuales.</w:t>
      </w:r>
      <w:r>
        <w:rPr>
          <w:szCs w:val="24"/>
        </w:rPr>
        <w:t xml:space="preserve"> </w:t>
      </w:r>
      <w:r>
        <w:rPr>
          <w:szCs w:val="24"/>
          <w:lang w:val="es-ES_tradnl"/>
        </w:rPr>
        <w:t>Actualmente hay cinco centros de agua situados en las zonas más pobladas de la diáspora beduina, compatibles con los planes del Gobierno para la creación de asentamientos permanentes.</w:t>
      </w:r>
    </w:p>
    <w:p w:rsidR="00F92819" w:rsidRDefault="00F92819">
      <w:pPr>
        <w:pStyle w:val="SingleTxtG"/>
        <w:rPr>
          <w:szCs w:val="24"/>
        </w:rPr>
      </w:pPr>
      <w:r>
        <w:rPr>
          <w:szCs w:val="24"/>
        </w:rPr>
        <w:t>522.</w:t>
      </w:r>
      <w:r>
        <w:rPr>
          <w:szCs w:val="24"/>
        </w:rPr>
        <w:tab/>
      </w:r>
      <w:r>
        <w:rPr>
          <w:szCs w:val="24"/>
          <w:lang w:val="es-ES_tradnl"/>
        </w:rPr>
        <w:t xml:space="preserve">Otro de los métodos utilizados es la conexión directa a la conducción general de distribución de agua, concedido a 10 familias </w:t>
      </w:r>
      <w:smartTag w:uri="urn:schemas-microsoft-com:office:smarttags" w:element="City">
        <w:r>
          <w:rPr>
            <w:szCs w:val="24"/>
            <w:lang w:val="es-ES_tradnl"/>
          </w:rPr>
          <w:t>como</w:t>
        </w:r>
      </w:smartTag>
      <w:r>
        <w:rPr>
          <w:szCs w:val="24"/>
          <w:lang w:val="es-ES_tradnl"/>
        </w:rPr>
        <w:t xml:space="preserve"> mínimo,</w:t>
      </w:r>
      <w:r>
        <w:rPr>
          <w:szCs w:val="24"/>
        </w:rPr>
        <w:t xml:space="preserve"> </w:t>
      </w:r>
      <w:r>
        <w:rPr>
          <w:szCs w:val="24"/>
          <w:lang w:val="es-ES_tradnl"/>
        </w:rPr>
        <w:t xml:space="preserve">aunque este método cada vez se </w:t>
      </w:r>
      <w:smartTag w:uri="urn:schemas-microsoft-com:office:smarttags" w:element="country-region">
        <w:smartTag w:uri="urn:schemas-microsoft-com:office:smarttags" w:element="place">
          <w:r>
            <w:rPr>
              <w:szCs w:val="24"/>
              <w:lang w:val="es-ES_tradnl"/>
            </w:rPr>
            <w:t>usa</w:t>
          </w:r>
        </w:smartTag>
      </w:smartTag>
      <w:r>
        <w:rPr>
          <w:szCs w:val="24"/>
          <w:lang w:val="es-ES_tradnl"/>
        </w:rPr>
        <w:t xml:space="preserve"> menos debido a la naturaleza problemática de estas conexiones, que requieren transportar el agua a las aldeas ilegales.</w:t>
      </w:r>
      <w:r>
        <w:rPr>
          <w:szCs w:val="24"/>
        </w:rPr>
        <w:t xml:space="preserve"> </w:t>
      </w:r>
      <w:r>
        <w:rPr>
          <w:szCs w:val="24"/>
          <w:lang w:val="es-ES_tradnl"/>
        </w:rPr>
        <w:t>La comisión del agua evalúa las solicitudes de conexión a estas conducciones, las autoriza en su caso y ejerce de mediador si hay conflicto entre residentes de la diáspora sobre la propiedad de tales conexiones. Entre 2001 y 2006 la comisión del agua se reunió 16 veces para examinar 306 solicitudes de conexión a las conducciones y para la solución de controversias.</w:t>
      </w:r>
      <w:r>
        <w:rPr>
          <w:szCs w:val="24"/>
        </w:rPr>
        <w:t xml:space="preserve"> </w:t>
      </w:r>
      <w:r>
        <w:rPr>
          <w:szCs w:val="24"/>
          <w:lang w:val="es-ES_tradnl"/>
        </w:rPr>
        <w:t>Cabe aclarar que el rechazo de solicitudes de conexión se debe en su mayor parte a motivos técnicos que impiden la posibilidad de realizarlas (como las dificultades topográficas, etc.). Además, según “la Mekorot”, la compañía nacional de agua de Israel, existen numerosas conexiones clandestinas a las conducciones sin la autorización de la comisión del agua.</w:t>
      </w:r>
    </w:p>
    <w:p w:rsidR="00F92819" w:rsidRDefault="00F92819">
      <w:pPr>
        <w:pStyle w:val="H23G"/>
        <w:rPr>
          <w:szCs w:val="24"/>
        </w:rPr>
      </w:pPr>
      <w:r>
        <w:rPr>
          <w:szCs w:val="24"/>
        </w:rPr>
        <w:tab/>
      </w:r>
      <w:r>
        <w:rPr>
          <w:szCs w:val="24"/>
        </w:rPr>
        <w:tab/>
      </w:r>
      <w:r>
        <w:rPr>
          <w:szCs w:val="24"/>
          <w:lang w:val="es-ES_tradnl"/>
        </w:rPr>
        <w:t>Grupos vulnerables</w:t>
      </w:r>
    </w:p>
    <w:p w:rsidR="00F92819" w:rsidRDefault="00F92819">
      <w:pPr>
        <w:pStyle w:val="SingleTxtG"/>
        <w:rPr>
          <w:i/>
          <w:szCs w:val="24"/>
        </w:rPr>
      </w:pPr>
      <w:r>
        <w:rPr>
          <w:szCs w:val="24"/>
        </w:rPr>
        <w:t>523.</w:t>
      </w:r>
      <w:r>
        <w:rPr>
          <w:szCs w:val="24"/>
        </w:rPr>
        <w:tab/>
      </w:r>
      <w:smartTag w:uri="urn:schemas-microsoft-com:office:smarttags" w:element="City">
        <w:r>
          <w:rPr>
            <w:szCs w:val="24"/>
            <w:lang w:val="es-ES_tradnl"/>
          </w:rPr>
          <w:t>Como</w:t>
        </w:r>
      </w:smartTag>
      <w:r>
        <w:rPr>
          <w:szCs w:val="24"/>
          <w:lang w:val="es-ES_tradnl"/>
        </w:rPr>
        <w:t xml:space="preserve"> se detalla en el informe periódico anterior de Israel, la </w:t>
      </w:r>
      <w:r>
        <w:rPr>
          <w:i/>
          <w:szCs w:val="24"/>
          <w:lang w:val="es-ES_tradnl"/>
        </w:rPr>
        <w:t xml:space="preserve">Ley </w:t>
      </w:r>
      <w:smartTag w:uri="urn:schemas-microsoft-com:office:smarttags" w:element="State">
        <w:smartTag w:uri="urn:schemas-microsoft-com:office:smarttags" w:element="place">
          <w:r>
            <w:rPr>
              <w:i/>
              <w:szCs w:val="24"/>
              <w:lang w:val="es-ES_tradnl"/>
            </w:rPr>
            <w:t>del</w:t>
          </w:r>
        </w:smartTag>
      </w:smartTag>
      <w:r>
        <w:rPr>
          <w:i/>
          <w:szCs w:val="24"/>
          <w:lang w:val="es-ES_tradnl"/>
        </w:rPr>
        <w:t xml:space="preserve"> seguro médico nacional </w:t>
      </w:r>
      <w:r>
        <w:rPr>
          <w:szCs w:val="24"/>
          <w:lang w:val="es-ES_tradnl"/>
        </w:rPr>
        <w:t>ha tenido un efecto aparentemente positivo en la prestación de atención sanitaria a los grupos vulnerables de la sociedad israelí.</w:t>
      </w:r>
    </w:p>
    <w:p w:rsidR="00F92819" w:rsidRDefault="00F92819">
      <w:pPr>
        <w:pStyle w:val="SingleTxtG"/>
        <w:rPr>
          <w:szCs w:val="24"/>
        </w:rPr>
      </w:pPr>
      <w:r>
        <w:rPr>
          <w:szCs w:val="24"/>
        </w:rPr>
        <w:t>524.</w:t>
      </w:r>
      <w:r>
        <w:rPr>
          <w:szCs w:val="24"/>
        </w:rPr>
        <w:tab/>
      </w:r>
      <w:r>
        <w:rPr>
          <w:szCs w:val="24"/>
          <w:lang w:val="es-ES_tradnl"/>
        </w:rPr>
        <w:t>La Ley limita los pagos complementarios requeridos, que se detallan en el informe periódico anterior de Israel,</w:t>
      </w:r>
      <w:r>
        <w:rPr>
          <w:szCs w:val="24"/>
        </w:rPr>
        <w:t xml:space="preserve"> </w:t>
      </w:r>
      <w:r>
        <w:rPr>
          <w:szCs w:val="24"/>
          <w:lang w:val="es-ES_tradnl"/>
        </w:rPr>
        <w:t>cuyos importes máximos se han actualizado recientemente.</w:t>
      </w:r>
      <w:r>
        <w:rPr>
          <w:szCs w:val="24"/>
        </w:rPr>
        <w:t xml:space="preserve"> </w:t>
      </w:r>
      <w:r>
        <w:rPr>
          <w:szCs w:val="24"/>
          <w:lang w:val="es-ES_tradnl"/>
        </w:rPr>
        <w:t>Además, a fin de no perjudicar a los grupos más desfavorecidos, el pago requerido está sujeto a limitaciones adicionales, incluida su exención y reducción para grupos vulnerables concretos, como las personas con discapacidad, ancianos con una situación socioeconómica precaria y personas con determinadas enfermedad crónicas. Con todo, los requisitos de pago complementario son objeto constante de crítica.</w:t>
      </w:r>
    </w:p>
    <w:p w:rsidR="00F92819" w:rsidRDefault="00F92819">
      <w:pPr>
        <w:pStyle w:val="SingleTxtG"/>
        <w:rPr>
          <w:szCs w:val="24"/>
        </w:rPr>
      </w:pPr>
      <w:r>
        <w:rPr>
          <w:szCs w:val="24"/>
        </w:rPr>
        <w:t>525.</w:t>
      </w:r>
      <w:r>
        <w:rPr>
          <w:szCs w:val="24"/>
        </w:rPr>
        <w:tab/>
      </w:r>
      <w:r>
        <w:rPr>
          <w:szCs w:val="24"/>
          <w:lang w:val="es-ES_tradnl"/>
        </w:rPr>
        <w:t>En un documento de posición publicado en julio de 2008 por el “Centro ADVA” y “Médicos pro Derechos Humanos–Israel” titulado “Pagos complementarios de los servicios de salud:</w:t>
      </w:r>
      <w:r>
        <w:rPr>
          <w:szCs w:val="24"/>
        </w:rPr>
        <w:t xml:space="preserve"> </w:t>
      </w:r>
      <w:r>
        <w:rPr>
          <w:szCs w:val="24"/>
          <w:lang w:val="es-ES_tradnl"/>
        </w:rPr>
        <w:t>de acuerdo, pero nos negamos”, las dos ONG afirman que los pagos complementarios por recetar medicamentos y las visitas médicas aumentan las desigualdades en cuanto al acceso a los servicios de salud.</w:t>
      </w:r>
      <w:r>
        <w:rPr>
          <w:szCs w:val="24"/>
        </w:rPr>
        <w:t xml:space="preserve"> </w:t>
      </w:r>
      <w:r>
        <w:rPr>
          <w:szCs w:val="24"/>
          <w:lang w:val="es-ES_tradnl"/>
        </w:rPr>
        <w:t>Las ONG recomendaban la anulación de los pagos complementarios por recetar medicamentos y por los servicios médicos y ofrecen alternativas para ampliar las fuentes de ingresos en su lugar.</w:t>
      </w:r>
    </w:p>
    <w:p w:rsidR="00F92819" w:rsidRDefault="00F92819">
      <w:pPr>
        <w:pStyle w:val="SingleTxtG"/>
        <w:rPr>
          <w:szCs w:val="24"/>
        </w:rPr>
      </w:pPr>
      <w:r>
        <w:rPr>
          <w:szCs w:val="24"/>
        </w:rPr>
        <w:t>526.</w:t>
      </w:r>
      <w:r>
        <w:rPr>
          <w:szCs w:val="24"/>
        </w:rPr>
        <w:tab/>
      </w:r>
      <w:r>
        <w:rPr>
          <w:szCs w:val="24"/>
          <w:lang w:val="es-ES_tradnl"/>
        </w:rPr>
        <w:t>Según otro documento de posición publicado por “Médicos pro Derechos Humanos–Israel” en mayo de 2008, titulado “Desigualdad en la distribución de instrumentos médicos especiales en todo Israel”, se discrimina a las zonas periféricas con respecto al centro de Israel.</w:t>
      </w:r>
      <w:r>
        <w:rPr>
          <w:szCs w:val="24"/>
        </w:rPr>
        <w:t xml:space="preserve"> </w:t>
      </w:r>
      <w:r>
        <w:rPr>
          <w:szCs w:val="24"/>
          <w:lang w:val="es-ES_tradnl"/>
        </w:rPr>
        <w:t>El documento señala además que el Ministerio de Salud no sigue la normativa sobre la distribución de instrumentos médicos especiales y no aplica su propio reglamento al permitir el emplazamiento de instrumentos médicos adicionales en Tel Aviv.</w:t>
      </w:r>
    </w:p>
    <w:p w:rsidR="00F92819" w:rsidRDefault="00F92819">
      <w:pPr>
        <w:pStyle w:val="H23G"/>
        <w:rPr>
          <w:szCs w:val="24"/>
        </w:rPr>
      </w:pPr>
      <w:r>
        <w:rPr>
          <w:szCs w:val="24"/>
        </w:rPr>
        <w:tab/>
      </w:r>
      <w:r>
        <w:rPr>
          <w:szCs w:val="24"/>
        </w:rPr>
        <w:tab/>
      </w:r>
      <w:r>
        <w:rPr>
          <w:szCs w:val="24"/>
          <w:lang w:val="es-ES_tradnl"/>
        </w:rPr>
        <w:t>Atención sanitaria en la población árabe</w:t>
      </w:r>
    </w:p>
    <w:p w:rsidR="00F92819" w:rsidRDefault="00F92819">
      <w:pPr>
        <w:pStyle w:val="SingleTxtG"/>
        <w:rPr>
          <w:szCs w:val="24"/>
        </w:rPr>
      </w:pPr>
      <w:r>
        <w:rPr>
          <w:szCs w:val="24"/>
        </w:rPr>
        <w:t>527.</w:t>
      </w:r>
      <w:r>
        <w:rPr>
          <w:szCs w:val="24"/>
        </w:rPr>
        <w:tab/>
      </w:r>
      <w:r>
        <w:rPr>
          <w:szCs w:val="24"/>
          <w:lang w:val="es-ES_tradnl"/>
        </w:rPr>
        <w:t>En 2005 el Centro Israelí para el Control de Enfermedades publicó un informe sobre la salud de la población árabe,</w:t>
      </w:r>
      <w:r>
        <w:rPr>
          <w:szCs w:val="24"/>
        </w:rPr>
        <w:t xml:space="preserve"> </w:t>
      </w:r>
      <w:r>
        <w:rPr>
          <w:szCs w:val="24"/>
          <w:lang w:val="es-ES_tradnl"/>
        </w:rPr>
        <w:t>que refleja cambios positivos en las condiciones de salud de la población árabe.</w:t>
      </w:r>
      <w:r>
        <w:rPr>
          <w:szCs w:val="24"/>
        </w:rPr>
        <w:t xml:space="preserve"> </w:t>
      </w:r>
      <w:r>
        <w:rPr>
          <w:szCs w:val="24"/>
          <w:lang w:val="es-ES_tradnl"/>
        </w:rPr>
        <w:t>Según este informe, se había reducido tanto la tasa de mortalidad infantil como la tasa de mortalidad por enfermedades vasculares y del corazón.</w:t>
      </w:r>
      <w:r>
        <w:rPr>
          <w:szCs w:val="24"/>
        </w:rPr>
        <w:t xml:space="preserve"> </w:t>
      </w:r>
      <w:r>
        <w:rPr>
          <w:szCs w:val="24"/>
          <w:lang w:val="es-ES_tradnl"/>
        </w:rPr>
        <w:t>Además, había aumentado tanto el índice de vacunación de la población como la realización de mamografías para la detección precoz del cáncer de mama.</w:t>
      </w:r>
    </w:p>
    <w:p w:rsidR="00F92819" w:rsidRDefault="00F92819">
      <w:pPr>
        <w:pStyle w:val="SingleTxtG"/>
        <w:rPr>
          <w:szCs w:val="24"/>
        </w:rPr>
      </w:pPr>
      <w:r>
        <w:rPr>
          <w:szCs w:val="24"/>
        </w:rPr>
        <w:t>528.</w:t>
      </w:r>
      <w:r>
        <w:rPr>
          <w:szCs w:val="24"/>
        </w:rPr>
        <w:tab/>
      </w:r>
      <w:r>
        <w:rPr>
          <w:szCs w:val="24"/>
          <w:lang w:val="es-ES_tradnl"/>
        </w:rPr>
        <w:t>El informe refleja una mejora notable en el nivel de los servicios de salud y en la accesibilidad de la población árabe a estos servicios.</w:t>
      </w:r>
      <w:r>
        <w:rPr>
          <w:szCs w:val="24"/>
        </w:rPr>
        <w:t xml:space="preserve"> </w:t>
      </w:r>
      <w:r>
        <w:rPr>
          <w:szCs w:val="24"/>
          <w:lang w:val="es-ES_tradnl"/>
        </w:rPr>
        <w:t>En 2005 al menos un consultorio de atención primaria y un centro de salud familiar prestan servicios de asistencia sanitaria en todas las localidades árabes.</w:t>
      </w:r>
    </w:p>
    <w:p w:rsidR="00F92819" w:rsidRDefault="00F92819">
      <w:pPr>
        <w:pStyle w:val="SingleTxtG"/>
        <w:rPr>
          <w:szCs w:val="24"/>
        </w:rPr>
      </w:pPr>
      <w:r>
        <w:rPr>
          <w:szCs w:val="24"/>
        </w:rPr>
        <w:t>529.</w:t>
      </w:r>
      <w:r>
        <w:rPr>
          <w:szCs w:val="24"/>
        </w:rPr>
        <w:tab/>
      </w:r>
      <w:r>
        <w:rPr>
          <w:szCs w:val="24"/>
          <w:lang w:val="es-ES_tradnl"/>
        </w:rPr>
        <w:t xml:space="preserve">El informe revela un aumento de enfermedades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la diabetes y la obesidad, especialmente entre las mujeres árabes mayores.</w:t>
      </w:r>
      <w:r>
        <w:rPr>
          <w:szCs w:val="24"/>
        </w:rPr>
        <w:t xml:space="preserve"> </w:t>
      </w:r>
      <w:r>
        <w:rPr>
          <w:szCs w:val="24"/>
          <w:lang w:val="es-ES_tradnl"/>
        </w:rPr>
        <w:t>Se aprecia también un aumento del número de casos de neoplasias malignas (nótese que, salvo en el caso del cáncer de pulmón, la tasa de neoplasias malignas entre la población árabe es más baja que entre la población judía).</w:t>
      </w:r>
    </w:p>
    <w:p w:rsidR="00F92819" w:rsidRDefault="00F92819">
      <w:pPr>
        <w:pStyle w:val="H4G"/>
        <w:rPr>
          <w:szCs w:val="24"/>
        </w:rPr>
      </w:pPr>
      <w:r>
        <w:rPr>
          <w:szCs w:val="24"/>
        </w:rPr>
        <w:tab/>
      </w:r>
      <w:r>
        <w:rPr>
          <w:szCs w:val="24"/>
        </w:rPr>
        <w:tab/>
      </w:r>
      <w:r>
        <w:rPr>
          <w:szCs w:val="24"/>
          <w:lang w:val="es-ES_tradnl"/>
        </w:rPr>
        <w:t>La población beduina del sur</w:t>
      </w:r>
    </w:p>
    <w:p w:rsidR="00F92819" w:rsidRDefault="00F92819">
      <w:pPr>
        <w:pStyle w:val="SingleTxtG"/>
        <w:rPr>
          <w:szCs w:val="24"/>
        </w:rPr>
      </w:pPr>
      <w:r>
        <w:rPr>
          <w:szCs w:val="24"/>
        </w:rPr>
        <w:t>530.</w:t>
      </w:r>
      <w:r>
        <w:rPr>
          <w:szCs w:val="24"/>
        </w:rPr>
        <w:tab/>
      </w:r>
      <w:smartTag w:uri="urn:schemas-microsoft-com:office:smarttags" w:element="City">
        <w:r>
          <w:rPr>
            <w:szCs w:val="24"/>
            <w:lang w:val="es-ES_tradnl"/>
          </w:rPr>
          <w:t>Como</w:t>
        </w:r>
      </w:smartTag>
      <w:r>
        <w:rPr>
          <w:szCs w:val="24"/>
          <w:lang w:val="es-ES_tradnl"/>
        </w:rPr>
        <w:t xml:space="preserve"> se ha señalado, todas las ciudades beduinas actuales cuentan con planes aprobados e incluyen infraestructuras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dispensarios, agua corriente, electricidad, etc. El costo de una visita a un centro médico es igual en todo el país,</w:t>
      </w:r>
      <w:r>
        <w:rPr>
          <w:szCs w:val="24"/>
        </w:rPr>
        <w:t xml:space="preserve"> </w:t>
      </w:r>
      <w:r>
        <w:rPr>
          <w:szCs w:val="24"/>
          <w:lang w:val="es-ES_tradnl"/>
        </w:rPr>
        <w:t>es decir, la visita es en general gratuita.</w:t>
      </w:r>
    </w:p>
    <w:p w:rsidR="00F92819" w:rsidRDefault="00F92819">
      <w:pPr>
        <w:pStyle w:val="SingleTxtG"/>
        <w:rPr>
          <w:szCs w:val="24"/>
        </w:rPr>
      </w:pPr>
      <w:r>
        <w:rPr>
          <w:szCs w:val="24"/>
        </w:rPr>
        <w:t>531.</w:t>
      </w:r>
      <w:r>
        <w:rPr>
          <w:szCs w:val="24"/>
        </w:rPr>
        <w:tab/>
      </w:r>
      <w:r>
        <w:rPr>
          <w:szCs w:val="24"/>
          <w:lang w:val="es-ES_tradnl"/>
        </w:rPr>
        <w:t>El Departamento de Servicios Médicos Generales tiene un servicio médico especial para la población beduina que incluye un servicio de ambulancia para beduinos a cargo de un empleado beduino.</w:t>
      </w:r>
      <w:r>
        <w:rPr>
          <w:szCs w:val="24"/>
        </w:rPr>
        <w:t xml:space="preserve"> </w:t>
      </w:r>
      <w:r>
        <w:rPr>
          <w:szCs w:val="24"/>
          <w:lang w:val="es-ES_tradnl"/>
        </w:rPr>
        <w:t>Esta ambulancia garantiza el continuo acceso entre el hospital y la comunidad beduina.</w:t>
      </w:r>
      <w:r>
        <w:rPr>
          <w:szCs w:val="24"/>
        </w:rPr>
        <w:t xml:space="preserve"> </w:t>
      </w:r>
      <w:r>
        <w:rPr>
          <w:szCs w:val="24"/>
          <w:lang w:val="es-ES_tradnl"/>
        </w:rPr>
        <w:t>De este modo, también los profesionales médicos pueden evaluar las condiciones de vida de los pacientes antes de darlos de alta en el hospital.</w:t>
      </w:r>
      <w:r>
        <w:rPr>
          <w:szCs w:val="24"/>
        </w:rPr>
        <w:t xml:space="preserve"> </w:t>
      </w:r>
      <w:r>
        <w:rPr>
          <w:szCs w:val="24"/>
          <w:lang w:val="es-ES_tradnl"/>
        </w:rPr>
        <w:t>La ambulancia también transporta los pacientes al hospital y de regreso cuando necesitan atención urgente.</w:t>
      </w:r>
    </w:p>
    <w:p w:rsidR="00F92819" w:rsidRDefault="00F92819">
      <w:pPr>
        <w:pStyle w:val="SingleTxtG"/>
        <w:rPr>
          <w:szCs w:val="24"/>
        </w:rPr>
      </w:pPr>
      <w:r>
        <w:rPr>
          <w:szCs w:val="24"/>
        </w:rPr>
        <w:t>532.</w:t>
      </w:r>
      <w:r>
        <w:rPr>
          <w:szCs w:val="24"/>
        </w:rPr>
        <w:tab/>
      </w:r>
      <w:r>
        <w:rPr>
          <w:szCs w:val="24"/>
          <w:lang w:val="es-ES_tradnl"/>
        </w:rPr>
        <w:t>Además de las 18 clínicas de salud maternoinfantil situadas en las ciudades beduinas y una unidad móvil de atención a la familia, se han construido recientemente seis nuevos dispensarios de salud maternoinfantil (Tipat Halav) en las aldeas ilegales,</w:t>
      </w:r>
      <w:r>
        <w:rPr>
          <w:szCs w:val="24"/>
        </w:rPr>
        <w:t xml:space="preserve"> </w:t>
      </w:r>
      <w:r>
        <w:rPr>
          <w:szCs w:val="24"/>
          <w:lang w:val="es-ES_tradnl"/>
        </w:rPr>
        <w:t xml:space="preserve">equipados </w:t>
      </w:r>
      <w:smartTag w:uri="urn:schemas-microsoft-com:office:smarttags" w:element="City">
        <w:r>
          <w:rPr>
            <w:szCs w:val="24"/>
            <w:lang w:val="es-ES_tradnl"/>
          </w:rPr>
          <w:t>como</w:t>
        </w:r>
      </w:smartTag>
      <w:r>
        <w:rPr>
          <w:szCs w:val="24"/>
          <w:lang w:val="es-ES_tradnl"/>
        </w:rPr>
        <w:t xml:space="preserve"> todos los demás dispensarios de salud maternoinfantil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país.</w:t>
      </w:r>
    </w:p>
    <w:p w:rsidR="00F92819" w:rsidRDefault="00F92819">
      <w:pPr>
        <w:pStyle w:val="SingleTxtG"/>
        <w:rPr>
          <w:szCs w:val="24"/>
        </w:rPr>
      </w:pPr>
      <w:r>
        <w:rPr>
          <w:szCs w:val="24"/>
        </w:rPr>
        <w:t>533.</w:t>
      </w:r>
      <w:r>
        <w:rPr>
          <w:szCs w:val="24"/>
        </w:rPr>
        <w:tab/>
      </w:r>
      <w:r>
        <w:rPr>
          <w:szCs w:val="24"/>
          <w:lang w:val="es-ES_tradnl"/>
        </w:rPr>
        <w:t>Además de los 32 dispensarios del Fondo para la Salud que ya existen en las ciudades beduinas, se han construido otros 9 para atender las necesidades médicas de los beduinos que viven en aldeas ilegales.</w:t>
      </w:r>
      <w:r>
        <w:rPr>
          <w:szCs w:val="24"/>
        </w:rPr>
        <w:t xml:space="preserve"> </w:t>
      </w:r>
      <w:r>
        <w:rPr>
          <w:szCs w:val="24"/>
          <w:lang w:val="es-ES_tradnl"/>
        </w:rPr>
        <w:t>Estos dispensarios están computadorizados, tienen aire acondicionado y están equipados según las normas que rigen en todos los demás fondos de salud del país.</w:t>
      </w:r>
    </w:p>
    <w:p w:rsidR="00F92819" w:rsidRDefault="00F92819">
      <w:pPr>
        <w:pStyle w:val="SingleTxtG"/>
        <w:rPr>
          <w:szCs w:val="24"/>
        </w:rPr>
      </w:pPr>
      <w:r>
        <w:rPr>
          <w:szCs w:val="24"/>
        </w:rPr>
        <w:t>534.</w:t>
      </w:r>
      <w:r>
        <w:rPr>
          <w:szCs w:val="24"/>
        </w:rPr>
        <w:tab/>
      </w:r>
      <w:r>
        <w:rPr>
          <w:szCs w:val="24"/>
          <w:lang w:val="es-ES_tradnl"/>
        </w:rPr>
        <w:t>Ha habido otras grandes mejoras en el último decenio.</w:t>
      </w:r>
      <w:r>
        <w:rPr>
          <w:szCs w:val="24"/>
        </w:rPr>
        <w:t xml:space="preserve"> </w:t>
      </w:r>
      <w:r>
        <w:rPr>
          <w:szCs w:val="24"/>
          <w:lang w:val="es-ES_tradnl"/>
        </w:rPr>
        <w:t>Por ejemplo, un aumento de la cobertura de inmunización de los bebés beduinos del Neguev ha producido una reducción significativa de las enfermedades infecciosas prevenibles mediante vacunación.</w:t>
      </w:r>
      <w:r>
        <w:rPr>
          <w:szCs w:val="24"/>
        </w:rPr>
        <w:t xml:space="preserve"> </w:t>
      </w:r>
      <w:r>
        <w:rPr>
          <w:szCs w:val="24"/>
          <w:lang w:val="es-ES_tradnl"/>
        </w:rPr>
        <w:t>Datos recientes de 2006 indican que entre el 90% y el 95% de los bebés beduinos había recibido todas las vacunas necesarias a los 3 años de edad, lo que constituye una mejora considerable frente a la tasa de 27% de 1981. Dos equipos móviles de inmunización dirigidos por el Ministerio de Salud también inmunizan a domicilio a bebés de familias beduinas que viven fuera de las ciudades permanentes y que no los llevan a uno de los dispensarios de salud maternoinfantil para el tratamiento.</w:t>
      </w:r>
      <w:r>
        <w:rPr>
          <w:szCs w:val="24"/>
        </w:rPr>
        <w:t xml:space="preserve"> </w:t>
      </w:r>
      <w:r>
        <w:rPr>
          <w:szCs w:val="24"/>
          <w:lang w:val="es-ES_tradnl"/>
        </w:rPr>
        <w:t>Un sistema de seguimiento computadorizado permite al Ministerio de Salud identificar a los niños que están atrasados en el calendario de inmunización y enviarles uno de los equipos móviles para que los inmunicen.</w:t>
      </w:r>
    </w:p>
    <w:p w:rsidR="00F92819" w:rsidRDefault="00F92819">
      <w:pPr>
        <w:pStyle w:val="SingleTxtG"/>
        <w:rPr>
          <w:szCs w:val="24"/>
        </w:rPr>
      </w:pPr>
      <w:r>
        <w:rPr>
          <w:szCs w:val="24"/>
        </w:rPr>
        <w:t>535.</w:t>
      </w:r>
      <w:r>
        <w:rPr>
          <w:szCs w:val="24"/>
        </w:rPr>
        <w:tab/>
      </w:r>
      <w:r>
        <w:rPr>
          <w:szCs w:val="24"/>
          <w:lang w:val="es-ES_tradnl"/>
        </w:rPr>
        <w:t xml:space="preserve">También se ha registrado en los últimos dos decenios una mejora considerable </w:t>
      </w:r>
      <w:smartTag w:uri="urn:schemas-microsoft-com:office:smarttags" w:element="place">
        <w:smartTag w:uri="urn:schemas-microsoft-com:office:smarttags" w:element="State">
          <w:r>
            <w:rPr>
              <w:szCs w:val="24"/>
              <w:lang w:val="es-ES_tradnl"/>
            </w:rPr>
            <w:t>del</w:t>
          </w:r>
        </w:smartTag>
      </w:smartTag>
      <w:r>
        <w:rPr>
          <w:szCs w:val="24"/>
          <w:lang w:val="es-ES_tradnl"/>
        </w:rPr>
        <w:t xml:space="preserve"> crecimiento de los bebés y niños pequeños beduinos, que indica una mejora de </w:t>
      </w:r>
      <w:smartTag w:uri="urn:schemas-microsoft-com:office:smarttags" w:element="PersonName">
        <w:smartTagPr>
          <w:attr w:name="ProductID" w:val="la nutrici￳n. Adem￡s"/>
        </w:smartTagPr>
        <w:r>
          <w:rPr>
            <w:szCs w:val="24"/>
            <w:lang w:val="es-ES_tradnl"/>
          </w:rPr>
          <w:t>la nutrición.</w:t>
        </w:r>
        <w:r>
          <w:rPr>
            <w:szCs w:val="24"/>
          </w:rPr>
          <w:t xml:space="preserve"> </w:t>
        </w:r>
        <w:r>
          <w:rPr>
            <w:szCs w:val="24"/>
            <w:lang w:val="es-ES_tradnl"/>
          </w:rPr>
          <w:t>Además</w:t>
        </w:r>
      </w:smartTag>
      <w:r>
        <w:rPr>
          <w:szCs w:val="24"/>
          <w:lang w:val="es-ES_tradnl"/>
        </w:rPr>
        <w:t>, ha habido un aumento entre las mujeres beduinas del seguimiento de la recomendación de tomar suplementos de ácido fólico durante la edad fecunda, y una disminución de la incidencia de tubo neural abierto en fetos y bebés beduinos.</w:t>
      </w:r>
      <w:r>
        <w:rPr>
          <w:szCs w:val="24"/>
        </w:rPr>
        <w:t xml:space="preserve"> </w:t>
      </w:r>
      <w:r>
        <w:rPr>
          <w:szCs w:val="24"/>
          <w:lang w:val="es-ES_tradnl"/>
        </w:rPr>
        <w:t>Por desgracia sigue habiendo tasas altas de malformaciones congénitas y de enfermedades hereditarias entre los bebés beduinos, a causa de muchos factores, entre ellos la tradición del matrimonio consanguíneo y también las barreras culturales, religiosas y sociales a la investigación prematrimonial y prenatal de las enfermedades hereditarias.</w:t>
      </w:r>
    </w:p>
    <w:p w:rsidR="00F92819" w:rsidRDefault="00F92819">
      <w:pPr>
        <w:pStyle w:val="SingleTxtG"/>
        <w:rPr>
          <w:szCs w:val="24"/>
        </w:rPr>
      </w:pPr>
      <w:r>
        <w:rPr>
          <w:szCs w:val="24"/>
        </w:rPr>
        <w:t>536.</w:t>
      </w:r>
      <w:r>
        <w:rPr>
          <w:szCs w:val="24"/>
        </w:rPr>
        <w:tab/>
      </w:r>
      <w:r>
        <w:rPr>
          <w:szCs w:val="24"/>
          <w:lang w:val="es-ES_tradnl"/>
        </w:rPr>
        <w:t>La tasa de mortalidad infantil de los bebés beduinos era 15 por 1.000 en 2005, inferior a la de 2004. Debe notarse que dicha tasa era esencialmente menor en las aldeas ilegales que en las ciudades establecidas.</w:t>
      </w:r>
      <w:r>
        <w:rPr>
          <w:szCs w:val="24"/>
        </w:rPr>
        <w:t xml:space="preserve"> </w:t>
      </w:r>
      <w:r>
        <w:rPr>
          <w:szCs w:val="24"/>
          <w:lang w:val="es-ES_tradnl"/>
        </w:rPr>
        <w:t>El Gobierno sigue estableciendo dispensarios de salud maternoinfantil en las aldeas ilegales y se están construyendo nuevos centros de salud maternoinfantil para atender a la población.</w:t>
      </w:r>
    </w:p>
    <w:p w:rsidR="00F92819" w:rsidRDefault="00F92819">
      <w:pPr>
        <w:pStyle w:val="SingleTxtG"/>
        <w:rPr>
          <w:szCs w:val="24"/>
        </w:rPr>
      </w:pPr>
      <w:r>
        <w:rPr>
          <w:szCs w:val="24"/>
        </w:rPr>
        <w:t>537.</w:t>
      </w:r>
      <w:r>
        <w:rPr>
          <w:szCs w:val="24"/>
        </w:rPr>
        <w:tab/>
      </w:r>
      <w:r>
        <w:rPr>
          <w:szCs w:val="24"/>
          <w:lang w:val="es-ES_tradnl"/>
        </w:rPr>
        <w:t>Además, el Gobierno viene financiando varios proyectos especiales para mejorar la salud y ampliar los servicios de atención médica que se prestan a los beduinos que viven en aldeas ilegales,</w:t>
      </w:r>
      <w:r>
        <w:rPr>
          <w:szCs w:val="24"/>
        </w:rPr>
        <w:t xml:space="preserve"> </w:t>
      </w:r>
      <w:r>
        <w:rPr>
          <w:szCs w:val="24"/>
          <w:lang w:val="es-ES_tradnl"/>
        </w:rPr>
        <w:t>uno de los cuales es un programa de intervención especial a largo plazo para reducir la tasa de mortalidad infantil entre los beduinos.</w:t>
      </w:r>
      <w:r>
        <w:rPr>
          <w:szCs w:val="24"/>
        </w:rPr>
        <w:t xml:space="preserve"> </w:t>
      </w:r>
      <w:r>
        <w:rPr>
          <w:szCs w:val="24"/>
          <w:lang w:val="es-ES_tradnl"/>
        </w:rPr>
        <w:t xml:space="preserve">El programa está orientado a la comunidad y cuenta con un amplio consorcio de participantes, incluidos representantes de los jefes de la comunidad beduina y del sistema educativo, junto con proveedores de servicios médicos curativos y preventivos, el Departamento de Salud en la Comunidad y el Departamento de Epidemiología de la Facultad de Ciencias de la Salud de </w:t>
      </w:r>
      <w:smartTag w:uri="urn:schemas-microsoft-com:office:smarttags" w:element="PersonName">
        <w:smartTagPr>
          <w:attr w:name="ProductID" w:val="la Universidad Ben-Gurion"/>
        </w:smartTagPr>
        <w:r>
          <w:rPr>
            <w:szCs w:val="24"/>
            <w:lang w:val="es-ES_tradnl"/>
          </w:rPr>
          <w:t>la Universidad Ben-Gurion</w:t>
        </w:r>
      </w:smartTag>
      <w:r>
        <w:rPr>
          <w:szCs w:val="24"/>
          <w:lang w:val="es-ES_tradnl"/>
        </w:rPr>
        <w:t xml:space="preserve"> del Neguev.</w:t>
      </w:r>
    </w:p>
    <w:p w:rsidR="00F92819" w:rsidRDefault="00F92819">
      <w:pPr>
        <w:pStyle w:val="SingleTxtG"/>
        <w:rPr>
          <w:szCs w:val="24"/>
        </w:rPr>
      </w:pPr>
      <w:r>
        <w:rPr>
          <w:szCs w:val="24"/>
        </w:rPr>
        <w:t>538.</w:t>
      </w:r>
      <w:r>
        <w:rPr>
          <w:szCs w:val="24"/>
        </w:rPr>
        <w:tab/>
      </w:r>
      <w:r>
        <w:rPr>
          <w:szCs w:val="24"/>
          <w:lang w:val="es-ES_tradnl"/>
        </w:rPr>
        <w:t>El Gobierno también financia pruebas y consultas genéticas gratuitas para cualquier miembro de una tribu en que la prevalencia de una enfermedad hereditaria grave</w:t>
      </w:r>
      <w:r>
        <w:rPr>
          <w:b/>
          <w:szCs w:val="24"/>
          <w:lang w:val="es-ES_tradnl"/>
        </w:rPr>
        <w:t xml:space="preserve"> </w:t>
      </w:r>
      <w:r>
        <w:rPr>
          <w:szCs w:val="24"/>
          <w:lang w:val="es-ES_tradnl"/>
        </w:rPr>
        <w:t>para la cual exista una prueba genética sea superior a 1 entre 1.000.</w:t>
      </w:r>
    </w:p>
    <w:p w:rsidR="00F92819" w:rsidRDefault="00F92819">
      <w:pPr>
        <w:pStyle w:val="SingleTxtG"/>
        <w:rPr>
          <w:szCs w:val="24"/>
        </w:rPr>
      </w:pPr>
      <w:r>
        <w:rPr>
          <w:szCs w:val="24"/>
        </w:rPr>
        <w:t>539.</w:t>
      </w:r>
      <w:r>
        <w:rPr>
          <w:szCs w:val="24"/>
        </w:rPr>
        <w:tab/>
      </w:r>
      <w:r>
        <w:rPr>
          <w:szCs w:val="24"/>
          <w:lang w:val="es-ES_tradnl"/>
        </w:rPr>
        <w:t>El Gobierno también participa en un programa de intervención para reducir la tasa de accidentes domésticos entre los niños beduinos y ha financiado la construcción de nuevos dispensarios de salud maternoinfantil para los beduinos que viven en aldeas ilegales (la principal sociedad de seguro médico que presta servicios a los beduinos está construyendo más dispensarios).</w:t>
      </w:r>
    </w:p>
    <w:p w:rsidR="00F92819" w:rsidRDefault="00F92819">
      <w:pPr>
        <w:pStyle w:val="SingleTxtG"/>
        <w:rPr>
          <w:szCs w:val="24"/>
        </w:rPr>
      </w:pPr>
      <w:r>
        <w:rPr>
          <w:szCs w:val="24"/>
        </w:rPr>
        <w:t>540.</w:t>
      </w:r>
      <w:r>
        <w:rPr>
          <w:szCs w:val="24"/>
        </w:rPr>
        <w:tab/>
      </w:r>
      <w:r>
        <w:rPr>
          <w:szCs w:val="24"/>
          <w:lang w:val="es-ES_tradnl"/>
        </w:rPr>
        <w:t>En los últimos decenios ha bajado la incidencia de enfermedades infecciosas entre los bebés beduinos.</w:t>
      </w:r>
      <w:r>
        <w:rPr>
          <w:szCs w:val="24"/>
        </w:rPr>
        <w:t xml:space="preserve"> </w:t>
      </w:r>
      <w:r>
        <w:rPr>
          <w:szCs w:val="24"/>
          <w:lang w:val="es-ES_tradnl"/>
        </w:rPr>
        <w:t>Los bebés y niños beduinos tienen tasas más bajas de tos ferina, tuberculosis e infección con el VIH.</w:t>
      </w:r>
      <w:r>
        <w:rPr>
          <w:szCs w:val="24"/>
        </w:rPr>
        <w:t xml:space="preserve"> </w:t>
      </w:r>
      <w:r>
        <w:rPr>
          <w:szCs w:val="24"/>
          <w:lang w:val="es-ES_tradnl"/>
        </w:rPr>
        <w:t>Además, a causa de la alta cobertura de inmunización de los bebés y niños beduinos, que indica buen acceso y uso de los servicios médicos preventivos, no ha habido casos de sarampión desde 1994 ni de poliomielitis, difteria, rubéola congénita, tétanos neonatal o tétanos en niños beduinos del Neguev desde 1990. En el período 2000</w:t>
      </w:r>
      <w:r w:rsidR="008C04D7">
        <w:rPr>
          <w:szCs w:val="24"/>
          <w:lang w:val="es-ES_tradnl"/>
        </w:rPr>
        <w:t>-</w:t>
      </w:r>
      <w:r>
        <w:rPr>
          <w:szCs w:val="24"/>
          <w:lang w:val="es-ES_tradnl"/>
        </w:rPr>
        <w:t>2003 no se registraron casos de parotiditis.</w:t>
      </w:r>
      <w:r>
        <w:rPr>
          <w:szCs w:val="24"/>
        </w:rPr>
        <w:t xml:space="preserve"> </w:t>
      </w:r>
      <w:r>
        <w:rPr>
          <w:szCs w:val="24"/>
          <w:lang w:val="es-ES_tradnl"/>
        </w:rPr>
        <w:t>Sólo hubo uno o dos casos de la enfermedad invasiva del Haemophilus influenzae entre 2000 y 2002 y ninguno en 2003. Sin embargo, la tasa de enfermedades infecciosas es más alta en general en los bebés beduinos que en los bebés judíos de la misma edad.</w:t>
      </w:r>
    </w:p>
    <w:p w:rsidR="00F92819" w:rsidRDefault="00F92819">
      <w:pPr>
        <w:pStyle w:val="SingleTxtG"/>
        <w:rPr>
          <w:szCs w:val="24"/>
        </w:rPr>
      </w:pPr>
      <w:r>
        <w:rPr>
          <w:szCs w:val="24"/>
        </w:rPr>
        <w:t>541.</w:t>
      </w:r>
      <w:r>
        <w:rPr>
          <w:szCs w:val="24"/>
        </w:rPr>
        <w:tab/>
      </w:r>
      <w:r>
        <w:rPr>
          <w:szCs w:val="24"/>
          <w:lang w:val="es-ES_tradnl"/>
        </w:rPr>
        <w:t>Se prestan servicios médicos especializados a las comunidades beduinas del Neguev, entre ellos</w:t>
      </w:r>
      <w:r>
        <w:rPr>
          <w:szCs w:val="24"/>
        </w:rPr>
        <w:t xml:space="preserve"> </w:t>
      </w:r>
      <w:r>
        <w:rPr>
          <w:szCs w:val="24"/>
          <w:lang w:val="es-ES_tradnl"/>
        </w:rPr>
        <w:t>pediatría, medicina interna general, neurología, medicina de familia, dermatología, ginecología y obstetricia, otorrinolaringología, oftalmología, ortopedia, gastroenterología, cardiología, cirugía y traumatología, cirugía pediátrica y medicina pulmonar pediátrica.</w:t>
      </w:r>
      <w:r>
        <w:rPr>
          <w:szCs w:val="24"/>
        </w:rPr>
        <w:t xml:space="preserve"> </w:t>
      </w:r>
      <w:r>
        <w:rPr>
          <w:szCs w:val="24"/>
          <w:lang w:val="es-ES_tradnl"/>
        </w:rPr>
        <w:t xml:space="preserve">Además, todos los residentes tienen acceso igual a todos los consultorios de especialistas del Centro Médico de </w:t>
      </w:r>
      <w:smartTag w:uri="urn:schemas-microsoft-com:office:smarttags" w:element="PersonName">
        <w:smartTagPr>
          <w:attr w:name="ProductID" w:val="la Universidad Soroka."/>
        </w:smartTagPr>
        <w:r>
          <w:rPr>
            <w:szCs w:val="24"/>
            <w:lang w:val="es-ES_tradnl"/>
          </w:rPr>
          <w:t>la Universidad Soroka.</w:t>
        </w:r>
      </w:smartTag>
    </w:p>
    <w:p w:rsidR="00F92819" w:rsidRDefault="00F92819">
      <w:pPr>
        <w:pStyle w:val="SingleTxtG"/>
        <w:rPr>
          <w:szCs w:val="24"/>
        </w:rPr>
      </w:pPr>
      <w:r>
        <w:rPr>
          <w:szCs w:val="24"/>
        </w:rPr>
        <w:t>542.</w:t>
      </w:r>
      <w:r>
        <w:rPr>
          <w:szCs w:val="24"/>
        </w:rPr>
        <w:tab/>
      </w:r>
      <w:r>
        <w:rPr>
          <w:szCs w:val="24"/>
          <w:lang w:val="es-ES_tradnl"/>
        </w:rPr>
        <w:t>El Gobierno y la principal sociedad de seguro médico que presta servicios a la población beduina dedican importantes esfuerzos a formar y contratar médicos y enfermeras beduinos.</w:t>
      </w:r>
      <w:r>
        <w:rPr>
          <w:szCs w:val="24"/>
        </w:rPr>
        <w:t xml:space="preserve"> </w:t>
      </w:r>
      <w:r>
        <w:rPr>
          <w:szCs w:val="24"/>
          <w:lang w:val="es-ES_tradnl"/>
        </w:rPr>
        <w:t>El Gobierno aporta todos los fondos necesarios para que tres clases de estudiantes beduinas terminen su formación como enfermeras tituladas, incluido el transporte a la escuela de enfermería, una asignación para comida durante los estudios y lecciones especiales de repaso para quienes las necesiten.</w:t>
      </w:r>
      <w:r>
        <w:rPr>
          <w:szCs w:val="24"/>
        </w:rPr>
        <w:t xml:space="preserve"> </w:t>
      </w:r>
      <w:r>
        <w:rPr>
          <w:szCs w:val="24"/>
          <w:lang w:val="es-ES_tradnl"/>
        </w:rPr>
        <w:t>Análogamente, el Gobierno aporta financiación especial para contratar médicos y enfermeras árabes.</w:t>
      </w:r>
    </w:p>
    <w:p w:rsidR="00F92819" w:rsidRDefault="00F92819">
      <w:pPr>
        <w:pStyle w:val="SingleTxtG"/>
        <w:rPr>
          <w:szCs w:val="24"/>
        </w:rPr>
      </w:pPr>
      <w:r>
        <w:rPr>
          <w:szCs w:val="24"/>
        </w:rPr>
        <w:t>543.</w:t>
      </w:r>
      <w:r>
        <w:rPr>
          <w:szCs w:val="24"/>
        </w:rPr>
        <w:tab/>
      </w:r>
      <w:r>
        <w:rPr>
          <w:szCs w:val="24"/>
          <w:lang w:val="es-ES_tradnl"/>
        </w:rPr>
        <w:t xml:space="preserve">Las estudiantes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tercer curso se comprometen a trabajar durante los tres primeros años de práctica después de la graduación dondequiera que el Ministerio de Salud decida que se necesitan sus servicios.</w:t>
      </w:r>
      <w:r>
        <w:rPr>
          <w:szCs w:val="24"/>
        </w:rPr>
        <w:t xml:space="preserve"> </w:t>
      </w:r>
      <w:r>
        <w:rPr>
          <w:szCs w:val="24"/>
          <w:lang w:val="es-ES_tradnl"/>
        </w:rPr>
        <w:t>Esta medida garantiza que estas enfermeras cualificadas asistan a la población beduina.</w:t>
      </w:r>
      <w:r>
        <w:rPr>
          <w:szCs w:val="24"/>
        </w:rPr>
        <w:t xml:space="preserve"> </w:t>
      </w:r>
      <w:r>
        <w:rPr>
          <w:szCs w:val="24"/>
          <w:lang w:val="es-ES_tradnl"/>
        </w:rPr>
        <w:t>Además, hace poco se ha graduado la primera médica beduina de Israel,</w:t>
      </w:r>
      <w:r>
        <w:rPr>
          <w:szCs w:val="24"/>
        </w:rPr>
        <w:t xml:space="preserve"> </w:t>
      </w:r>
      <w:r>
        <w:rPr>
          <w:szCs w:val="24"/>
          <w:lang w:val="es-ES_tradnl"/>
        </w:rPr>
        <w:t xml:space="preserve">que participó en el programa especial “Cultivo de la Medicina en el Desierto”, encaminado a incorporar más beduinos al sector de </w:t>
      </w:r>
      <w:smartTag w:uri="urn:schemas-microsoft-com:office:smarttags" w:element="PersonName">
        <w:smartTagPr>
          <w:attr w:name="ProductID" w:val="la salud. Actualmente"/>
        </w:smartTagPr>
        <w:r>
          <w:rPr>
            <w:szCs w:val="24"/>
            <w:lang w:val="es-ES_tradnl"/>
          </w:rPr>
          <w:t>la salud.</w:t>
        </w:r>
        <w:r>
          <w:rPr>
            <w:szCs w:val="24"/>
          </w:rPr>
          <w:t xml:space="preserve"> </w:t>
        </w:r>
        <w:r>
          <w:rPr>
            <w:szCs w:val="24"/>
            <w:lang w:val="es-ES_tradnl"/>
          </w:rPr>
          <w:t>Actualmente</w:t>
        </w:r>
      </w:smartTag>
      <w:r>
        <w:rPr>
          <w:szCs w:val="24"/>
          <w:lang w:val="es-ES_tradnl"/>
        </w:rPr>
        <w:t xml:space="preserve"> 6 beduinas estudian medicina, 35 se han graduado en diversas profesiones sanitarias y otras 45 están estudiando ciencias de la salud.</w:t>
      </w:r>
    </w:p>
    <w:p w:rsidR="00F92819" w:rsidRDefault="00F92819">
      <w:pPr>
        <w:pStyle w:val="SingleTxtG"/>
        <w:rPr>
          <w:szCs w:val="24"/>
        </w:rPr>
      </w:pPr>
      <w:r>
        <w:rPr>
          <w:szCs w:val="24"/>
        </w:rPr>
        <w:t>544.</w:t>
      </w:r>
      <w:r>
        <w:rPr>
          <w:szCs w:val="24"/>
        </w:rPr>
        <w:tab/>
      </w:r>
      <w:r>
        <w:rPr>
          <w:szCs w:val="24"/>
          <w:lang w:val="es-ES_tradnl"/>
        </w:rPr>
        <w:t>En julio de 2008 Médicos pro Derechos Humanos-Israel publicó un informe titulado</w:t>
      </w:r>
      <w:r>
        <w:rPr>
          <w:szCs w:val="24"/>
        </w:rPr>
        <w:t xml:space="preserve"> </w:t>
      </w:r>
      <w:r>
        <w:rPr>
          <w:szCs w:val="24"/>
          <w:lang w:val="es-ES_tradnl"/>
        </w:rPr>
        <w:t xml:space="preserve">“Ana Huna (Estoy aquí): género y salud en las aldeas no reconocidas </w:t>
      </w:r>
      <w:smartTag w:uri="urn:schemas-microsoft-com:office:smarttags" w:element="State">
        <w:r>
          <w:rPr>
            <w:szCs w:val="24"/>
            <w:lang w:val="es-ES_tradnl"/>
          </w:rPr>
          <w:t>del</w:t>
        </w:r>
      </w:smartTag>
      <w:r>
        <w:rPr>
          <w:szCs w:val="24"/>
          <w:lang w:val="es-ES_tradnl"/>
        </w:rPr>
        <w:t xml:space="preserve"> </w:t>
      </w:r>
      <w:smartTag w:uri="urn:schemas-microsoft-com:office:smarttags" w:element="place">
        <w:r>
          <w:rPr>
            <w:szCs w:val="24"/>
            <w:lang w:val="es-ES_tradnl"/>
          </w:rPr>
          <w:t>Negev</w:t>
        </w:r>
      </w:smartTag>
      <w:r>
        <w:rPr>
          <w:szCs w:val="24"/>
          <w:lang w:val="es-ES_tradnl"/>
        </w:rPr>
        <w:t>”.</w:t>
      </w:r>
      <w:r>
        <w:rPr>
          <w:szCs w:val="24"/>
        </w:rPr>
        <w:t xml:space="preserve"> </w:t>
      </w:r>
      <w:r>
        <w:rPr>
          <w:szCs w:val="24"/>
          <w:lang w:val="es-ES_tradnl"/>
        </w:rPr>
        <w:t>El informe es crítico con respecto a los servicios de salud que reciben las mujeres beduinas en el Negev y los problemas de infraestructuras y transporte público, que dificultan a las mujeres beduinas el acceso a centros de salud lejanos cuando en las aldeas no hay un dispensario o el que hay no dispone de todos los servicios.</w:t>
      </w:r>
      <w:r>
        <w:rPr>
          <w:szCs w:val="24"/>
        </w:rPr>
        <w:t xml:space="preserve"> </w:t>
      </w:r>
      <w:r>
        <w:rPr>
          <w:szCs w:val="24"/>
          <w:lang w:val="es-ES_tradnl"/>
        </w:rPr>
        <w:t>El informe también establece que la comunicación entre el personal médico y algunas de las mujeres es difícil debido a las barreras lingüísticas.</w:t>
      </w:r>
      <w:r>
        <w:rPr>
          <w:szCs w:val="24"/>
        </w:rPr>
        <w:t xml:space="preserve"> </w:t>
      </w:r>
      <w:r>
        <w:rPr>
          <w:szCs w:val="24"/>
          <w:lang w:val="es-ES_tradnl"/>
        </w:rPr>
        <w:t>No obstante, como se ha detallado, se han logrado mejoras considerables en los últimos años con respecto a la prestación de asistencia para las mujeres beduinas y la población beduina en conjunto.</w:t>
      </w:r>
    </w:p>
    <w:p w:rsidR="00F92819" w:rsidRDefault="00F92819">
      <w:pPr>
        <w:pStyle w:val="H23G"/>
        <w:rPr>
          <w:szCs w:val="24"/>
        </w:rPr>
      </w:pPr>
      <w:r>
        <w:rPr>
          <w:szCs w:val="24"/>
        </w:rPr>
        <w:tab/>
      </w:r>
      <w:r>
        <w:rPr>
          <w:szCs w:val="24"/>
        </w:rPr>
        <w:tab/>
      </w:r>
      <w:r>
        <w:rPr>
          <w:szCs w:val="24"/>
          <w:lang w:val="es-ES_tradnl"/>
        </w:rPr>
        <w:t>Participación de la comunidad</w:t>
      </w:r>
    </w:p>
    <w:p w:rsidR="00F92819" w:rsidRDefault="00F92819">
      <w:pPr>
        <w:pStyle w:val="SingleTxtG"/>
        <w:rPr>
          <w:szCs w:val="24"/>
        </w:rPr>
      </w:pPr>
      <w:r>
        <w:rPr>
          <w:szCs w:val="24"/>
        </w:rPr>
        <w:t>545.</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1G"/>
        <w:spacing w:line="280" w:lineRule="exact"/>
        <w:ind w:firstLine="0"/>
        <w:rPr>
          <w:szCs w:val="24"/>
        </w:rPr>
      </w:pPr>
      <w:r>
        <w:rPr>
          <w:szCs w:val="24"/>
          <w:lang w:val="es-ES_tradnl"/>
        </w:rPr>
        <w:t>Artículo 13</w:t>
      </w:r>
      <w:r>
        <w:rPr>
          <w:szCs w:val="24"/>
          <w:lang w:val="es-ES_tradnl"/>
        </w:rPr>
        <w:br/>
        <w:t>Derecho a la educación</w:t>
      </w:r>
    </w:p>
    <w:p w:rsidR="00F92819" w:rsidRDefault="00F92819">
      <w:pPr>
        <w:pStyle w:val="H23G"/>
        <w:rPr>
          <w:szCs w:val="24"/>
        </w:rPr>
      </w:pPr>
      <w:r>
        <w:rPr>
          <w:szCs w:val="24"/>
        </w:rPr>
        <w:tab/>
      </w:r>
      <w:r>
        <w:rPr>
          <w:szCs w:val="24"/>
        </w:rPr>
        <w:tab/>
      </w:r>
      <w:r>
        <w:rPr>
          <w:szCs w:val="24"/>
          <w:lang w:val="es-ES_tradnl"/>
        </w:rPr>
        <w:t>Marco jurídico</w:t>
      </w:r>
    </w:p>
    <w:p w:rsidR="00F92819" w:rsidRDefault="00F92819">
      <w:pPr>
        <w:pStyle w:val="SingleTxtG"/>
        <w:rPr>
          <w:szCs w:val="24"/>
        </w:rPr>
      </w:pPr>
      <w:r>
        <w:rPr>
          <w:szCs w:val="24"/>
        </w:rPr>
        <w:t>546.</w:t>
      </w:r>
      <w:r>
        <w:rPr>
          <w:szCs w:val="24"/>
        </w:rPr>
        <w:tab/>
      </w:r>
      <w:r>
        <w:rPr>
          <w:szCs w:val="24"/>
          <w:lang w:val="es-ES_tradnl"/>
        </w:rPr>
        <w:t xml:space="preserve">En 2007 se enmendó la </w:t>
      </w:r>
      <w:r>
        <w:rPr>
          <w:i/>
          <w:szCs w:val="24"/>
          <w:lang w:val="es-ES_tradnl"/>
        </w:rPr>
        <w:t xml:space="preserve">Ley de enseñanza obligatoria </w:t>
      </w:r>
      <w:r>
        <w:rPr>
          <w:szCs w:val="24"/>
          <w:lang w:val="es-ES_tradnl"/>
        </w:rPr>
        <w:t>de 5709/1949</w:t>
      </w:r>
      <w:r>
        <w:rPr>
          <w:i/>
          <w:szCs w:val="24"/>
          <w:lang w:val="es-ES_tradnl"/>
        </w:rPr>
        <w:t xml:space="preserve">, </w:t>
      </w:r>
      <w:r>
        <w:rPr>
          <w:szCs w:val="24"/>
          <w:lang w:val="es-ES_tradnl"/>
        </w:rPr>
        <w:t>a fin de ampliar su alcance e imponer la enseñanza obligatoria a los jóvenes de entre 15 y 17 años (inclusive) que cursan los grados 11º y 12º.</w:t>
      </w:r>
      <w:r>
        <w:rPr>
          <w:szCs w:val="24"/>
        </w:rPr>
        <w:t xml:space="preserve"> </w:t>
      </w:r>
      <w:r>
        <w:rPr>
          <w:szCs w:val="24"/>
          <w:lang w:val="es-ES_tradnl"/>
        </w:rPr>
        <w:t>Antes de introducirse esta enmienda, la enseñanza en los grados 11º y 12º era gratuita, pero no obligatoria.</w:t>
      </w:r>
      <w:r>
        <w:rPr>
          <w:szCs w:val="24"/>
        </w:rPr>
        <w:t xml:space="preserve"> </w:t>
      </w:r>
      <w:r>
        <w:rPr>
          <w:szCs w:val="24"/>
          <w:lang w:val="es-ES_tradnl"/>
        </w:rPr>
        <w:t>Con el objetivo de proteger a los jóvenes en esta etapa en que son vulnerables a las influencias negativas, y prepararlos y proporcionarles mejores instrumentos para asegurar su integración como futuros adultos productivos, el Gobierno decidió ofrecer un marco educativo obligatorio en lugar de un marco facultativo.</w:t>
      </w:r>
      <w:r>
        <w:rPr>
          <w:szCs w:val="24"/>
        </w:rPr>
        <w:t xml:space="preserve"> </w:t>
      </w:r>
      <w:r>
        <w:rPr>
          <w:szCs w:val="24"/>
          <w:lang w:val="es-ES_tradnl"/>
        </w:rPr>
        <w:t>Otro efecto que se persigue con la Ley es reducir las tasas de abandono escolar y expulsión de alumnos, ya que obliga a aportar soluciones dentro del sistema educativo a todos los alumnos de este grupo de edad.</w:t>
      </w:r>
      <w:r>
        <w:rPr>
          <w:szCs w:val="24"/>
          <w:rtl/>
          <w:lang w:bidi="he-IL"/>
        </w:rPr>
        <w:t xml:space="preserve"> </w:t>
      </w:r>
      <w:r>
        <w:rPr>
          <w:szCs w:val="24"/>
          <w:lang w:val="es-ES_tradnl"/>
        </w:rPr>
        <w:t xml:space="preserve">La Ley se aplicará plenamente a los alumnos que cursen el 11º grado hasta 2009, y hasta </w:t>
      </w:r>
      <w:smartTag w:uri="urn:schemas-microsoft-com:office:smarttags" w:element="metricconverter">
        <w:smartTagPr>
          <w:attr w:name="ProductID" w:val="2010 a"/>
        </w:smartTagPr>
        <w:r>
          <w:rPr>
            <w:szCs w:val="24"/>
            <w:lang w:val="es-ES_tradnl"/>
          </w:rPr>
          <w:t>2010 a</w:t>
        </w:r>
      </w:smartTag>
      <w:r>
        <w:rPr>
          <w:szCs w:val="24"/>
          <w:lang w:val="es-ES_tradnl"/>
        </w:rPr>
        <w:t xml:space="preserve"> aquellos que cursen el 12º grado.</w:t>
      </w:r>
    </w:p>
    <w:p w:rsidR="00F92819" w:rsidRDefault="00F92819">
      <w:pPr>
        <w:pStyle w:val="SingleTxtG"/>
        <w:rPr>
          <w:szCs w:val="24"/>
        </w:rPr>
      </w:pPr>
      <w:r>
        <w:rPr>
          <w:szCs w:val="24"/>
        </w:rPr>
        <w:t>547.</w:t>
      </w:r>
      <w:r>
        <w:rPr>
          <w:szCs w:val="24"/>
        </w:rPr>
        <w:tab/>
      </w:r>
      <w:r>
        <w:rPr>
          <w:szCs w:val="24"/>
          <w:lang w:val="es-ES_tradnl"/>
        </w:rPr>
        <w:t>Debido a limitaciones presupuestarias, la aplicación gradual de la</w:t>
      </w:r>
      <w:r>
        <w:rPr>
          <w:b/>
          <w:szCs w:val="24"/>
          <w:lang w:val="es-ES_tradnl"/>
        </w:rPr>
        <w:t xml:space="preserve"> </w:t>
      </w:r>
      <w:r>
        <w:rPr>
          <w:i/>
          <w:szCs w:val="24"/>
          <w:lang w:val="es-ES_tradnl"/>
        </w:rPr>
        <w:t>Ley de jornada escolar prolongada y estudios de enriquecimiento</w:t>
      </w:r>
      <w:r>
        <w:rPr>
          <w:szCs w:val="24"/>
          <w:lang w:val="es-ES_tradnl"/>
        </w:rPr>
        <w:t xml:space="preserve"> de 5757/1997 que se detalla en el informe anterior de Israel deberá haber finalizado en 2014.</w:t>
      </w:r>
    </w:p>
    <w:p w:rsidR="00F92819" w:rsidRDefault="00F92819">
      <w:pPr>
        <w:pStyle w:val="SingleTxtG"/>
        <w:rPr>
          <w:szCs w:val="24"/>
        </w:rPr>
      </w:pPr>
      <w:r w:rsidRPr="008E2128">
        <w:rPr>
          <w:szCs w:val="24"/>
        </w:rPr>
        <w:t>548.</w:t>
      </w:r>
      <w:r w:rsidRPr="008E2128">
        <w:rPr>
          <w:szCs w:val="24"/>
        </w:rPr>
        <w:tab/>
      </w:r>
      <w:r>
        <w:rPr>
          <w:b/>
          <w:szCs w:val="24"/>
          <w:lang w:val="es-ES_tradnl"/>
        </w:rPr>
        <w:t>La</w:t>
      </w:r>
      <w:r>
        <w:rPr>
          <w:b/>
          <w:i/>
          <w:szCs w:val="24"/>
          <w:lang w:val="es-ES_tradnl"/>
        </w:rPr>
        <w:t xml:space="preserve"> Ley de comida diaria para el alumno </w:t>
      </w:r>
      <w:r>
        <w:rPr>
          <w:b/>
          <w:szCs w:val="24"/>
          <w:lang w:val="es-ES_tradnl"/>
        </w:rPr>
        <w:t>de 5765/2005</w:t>
      </w:r>
      <w:r>
        <w:rPr>
          <w:szCs w:val="24"/>
          <w:lang w:val="es-ES_tradnl"/>
        </w:rPr>
        <w:t>.</w:t>
      </w:r>
      <w:r>
        <w:rPr>
          <w:szCs w:val="24"/>
        </w:rPr>
        <w:t xml:space="preserve"> </w:t>
      </w:r>
      <w:r>
        <w:rPr>
          <w:szCs w:val="24"/>
          <w:lang w:val="es-ES_tradnl"/>
        </w:rPr>
        <w:t xml:space="preserve">El 6 de enero de 2005 el Knesset aprobó la </w:t>
      </w:r>
      <w:r>
        <w:rPr>
          <w:i/>
          <w:szCs w:val="24"/>
          <w:lang w:val="es-ES_tradnl"/>
        </w:rPr>
        <w:t>Ley de comida diaria para el alumno</w:t>
      </w:r>
      <w:r>
        <w:rPr>
          <w:szCs w:val="24"/>
          <w:lang w:val="es-ES_tradnl"/>
        </w:rPr>
        <w:t xml:space="preserve"> con el objetivo de crear un servicio alimentario que proporcionara comida caliente a los alumnos de las escuelas primarias donde se aplica la jornada escolar prolongada, de conformidad con la </w:t>
      </w:r>
      <w:r>
        <w:rPr>
          <w:i/>
          <w:szCs w:val="24"/>
          <w:lang w:val="es-ES_tradnl"/>
        </w:rPr>
        <w:t>Ley de jornada escolar prolongada y estudios de enriquecimiento</w:t>
      </w:r>
      <w:r>
        <w:rPr>
          <w:szCs w:val="24"/>
          <w:lang w:val="es-ES_tradnl"/>
        </w:rPr>
        <w:t xml:space="preserve"> que se detalla en el informe anterior de Israel.</w:t>
      </w:r>
      <w:r>
        <w:rPr>
          <w:szCs w:val="24"/>
        </w:rPr>
        <w:t xml:space="preserve"> </w:t>
      </w:r>
      <w:r>
        <w:rPr>
          <w:szCs w:val="24"/>
          <w:lang w:val="es-ES_tradnl"/>
        </w:rPr>
        <w:t>El 28 de abril de 2008 se enmendó la Ley para incluir a los niños que asisten a centros de preescolar, donde se aplica la jornada escolar prolongada.</w:t>
      </w:r>
      <w:r>
        <w:rPr>
          <w:szCs w:val="24"/>
        </w:rPr>
        <w:t xml:space="preserve"> </w:t>
      </w:r>
      <w:r>
        <w:rPr>
          <w:szCs w:val="24"/>
          <w:lang w:val="es-ES_tradnl"/>
        </w:rPr>
        <w:t>Conforme a la enmienda, la Ley también se aplica a otros centros preescolares donde se imparten 41 horas semanales de enseñanza,</w:t>
      </w:r>
      <w:r>
        <w:rPr>
          <w:szCs w:val="24"/>
        </w:rPr>
        <w:t xml:space="preserve"> </w:t>
      </w:r>
      <w:r>
        <w:rPr>
          <w:szCs w:val="24"/>
          <w:lang w:val="es-ES_tradnl"/>
        </w:rPr>
        <w:t>en los que se proporcionará comida caliente a los alumnos los días que asistan durante al menos ocho horas.</w:t>
      </w:r>
    </w:p>
    <w:p w:rsidR="00F92819" w:rsidRDefault="00F92819">
      <w:pPr>
        <w:pStyle w:val="SingleTxtG"/>
        <w:rPr>
          <w:szCs w:val="24"/>
        </w:rPr>
      </w:pPr>
      <w:r>
        <w:rPr>
          <w:szCs w:val="24"/>
          <w:lang w:val="es-ES_tradnl"/>
        </w:rPr>
        <w:t>El artículo 3 de la Ley establece que todos los alumnos recibirán una comida caliente al día, con un menú equilibrado y variado que establecerá el Ministerio de Salud y que tendrá en cuenta la edad y las necesidades de los alumnos.</w:t>
      </w:r>
    </w:p>
    <w:p w:rsidR="00F92819" w:rsidRDefault="00F92819">
      <w:pPr>
        <w:pStyle w:val="SingleTxtG"/>
        <w:rPr>
          <w:szCs w:val="24"/>
        </w:rPr>
      </w:pPr>
      <w:r>
        <w:rPr>
          <w:szCs w:val="24"/>
          <w:lang w:val="es-ES_tradnl"/>
        </w:rPr>
        <w:t>La Ley se aplicará de forma gradual,</w:t>
      </w:r>
      <w:r>
        <w:rPr>
          <w:szCs w:val="24"/>
        </w:rPr>
        <w:t xml:space="preserve"> </w:t>
      </w:r>
      <w:r>
        <w:rPr>
          <w:szCs w:val="24"/>
          <w:lang w:val="es-ES_tradnl"/>
        </w:rPr>
        <w:t>y el Ministro de Educación, junto con el Ministro de Hacienda, determinará la población de alumnos a los que se aplicará cada año.</w:t>
      </w:r>
    </w:p>
    <w:p w:rsidR="00F92819" w:rsidRDefault="00F92819">
      <w:pPr>
        <w:pStyle w:val="SingleTxtG"/>
        <w:rPr>
          <w:szCs w:val="24"/>
        </w:rPr>
      </w:pPr>
      <w:r>
        <w:rPr>
          <w:szCs w:val="24"/>
          <w:lang w:val="es-ES_tradnl"/>
        </w:rPr>
        <w:t>El servicio de nutrición está financiado conjuntamente por el Ministerio de Educación y las municipalidades locales,</w:t>
      </w:r>
      <w:r>
        <w:rPr>
          <w:szCs w:val="24"/>
        </w:rPr>
        <w:t xml:space="preserve"> </w:t>
      </w:r>
      <w:r>
        <w:rPr>
          <w:szCs w:val="24"/>
          <w:lang w:val="es-ES_tradnl"/>
        </w:rPr>
        <w:t>a las que la Ley permite recaudar pagos en concepto de participación de los padres, previo consentimiento del Ministro de Educación.</w:t>
      </w:r>
      <w:r>
        <w:rPr>
          <w:szCs w:val="24"/>
        </w:rPr>
        <w:t xml:space="preserve"> </w:t>
      </w:r>
      <w:r>
        <w:rPr>
          <w:szCs w:val="24"/>
          <w:lang w:val="es-ES_tradnl"/>
        </w:rPr>
        <w:t xml:space="preserve">El Ministro determinará la cuantía del pago en concepto de participación de los padres, atendiendo a criterios socioeconómicos y con arreglo al sistema de pagos estipulado en la </w:t>
      </w:r>
      <w:r>
        <w:rPr>
          <w:i/>
          <w:szCs w:val="24"/>
          <w:lang w:val="es-ES_tradnl"/>
        </w:rPr>
        <w:t>Ley de enseñanza obligatoria</w:t>
      </w:r>
      <w:r>
        <w:rPr>
          <w:szCs w:val="24"/>
          <w:lang w:val="es-ES_tradnl"/>
        </w:rPr>
        <w:t>.</w:t>
      </w:r>
    </w:p>
    <w:p w:rsidR="00F92819" w:rsidRDefault="00F92819">
      <w:pPr>
        <w:pStyle w:val="SingleTxtG"/>
        <w:rPr>
          <w:szCs w:val="24"/>
        </w:rPr>
      </w:pPr>
      <w:r w:rsidRPr="008E2128">
        <w:rPr>
          <w:szCs w:val="24"/>
        </w:rPr>
        <w:t>549.</w:t>
      </w:r>
      <w:r w:rsidRPr="008E2128">
        <w:rPr>
          <w:szCs w:val="24"/>
        </w:rPr>
        <w:tab/>
      </w:r>
      <w:r>
        <w:rPr>
          <w:b/>
          <w:szCs w:val="24"/>
          <w:lang w:val="es-ES_tradnl"/>
        </w:rPr>
        <w:t xml:space="preserve">La </w:t>
      </w:r>
      <w:r>
        <w:rPr>
          <w:b/>
          <w:i/>
          <w:szCs w:val="24"/>
          <w:lang w:val="es-ES_tradnl"/>
        </w:rPr>
        <w:t>Ley de la educación gratuita de los niños enfermos</w:t>
      </w:r>
      <w:r>
        <w:rPr>
          <w:b/>
          <w:szCs w:val="24"/>
          <w:lang w:val="es-ES_tradnl"/>
        </w:rPr>
        <w:t xml:space="preserve"> de 5761/2001</w:t>
      </w:r>
      <w:r>
        <w:rPr>
          <w:szCs w:val="24"/>
          <w:lang w:val="es-ES_tradnl"/>
        </w:rPr>
        <w:t xml:space="preserve"> tiene por objeto promover la igualdad de oportunidades de los niños enfermos y ofrecer un marco educativo adecuado a los niños hospitalizados o limitados a la vida en el hogar a causa de enfermedad crónica,</w:t>
      </w:r>
      <w:r>
        <w:rPr>
          <w:szCs w:val="24"/>
        </w:rPr>
        <w:t xml:space="preserve"> </w:t>
      </w:r>
      <w:r>
        <w:rPr>
          <w:szCs w:val="24"/>
          <w:lang w:val="es-ES_tradnl"/>
        </w:rPr>
        <w:t>con el propósito de preservar un estilo de vida normal para estos niños. Dicho marco educativo pretende identificar las necesidades educativas especiales de los niños enfermos y fomentar su desarrollo, en función de la capacidad de aprendizaje y del estado médico del niño.</w:t>
      </w:r>
      <w:r>
        <w:rPr>
          <w:szCs w:val="24"/>
        </w:rPr>
        <w:t xml:space="preserve"> </w:t>
      </w:r>
      <w:r>
        <w:rPr>
          <w:szCs w:val="24"/>
          <w:lang w:val="es-ES_tradnl"/>
        </w:rPr>
        <w:t>Según la Ley, el Ministro de Educación debe establecer un programa de educación especial para niños enfermos que se ejecutará en el hogar o el hospital con el consentimiento de los padres.</w:t>
      </w:r>
      <w:r>
        <w:rPr>
          <w:szCs w:val="24"/>
        </w:rPr>
        <w:t xml:space="preserve"> </w:t>
      </w:r>
      <w:r>
        <w:rPr>
          <w:szCs w:val="24"/>
          <w:lang w:val="es-ES_tradnl"/>
        </w:rPr>
        <w:t>El artículo 7 de la Ley establece que su aplicación será gradual a partir de 2006.</w:t>
      </w:r>
    </w:p>
    <w:p w:rsidR="00F92819" w:rsidRDefault="00F92819">
      <w:pPr>
        <w:pStyle w:val="SingleTxtG"/>
        <w:rPr>
          <w:szCs w:val="24"/>
        </w:rPr>
      </w:pPr>
      <w:r>
        <w:rPr>
          <w:szCs w:val="24"/>
        </w:rPr>
        <w:t>550.</w:t>
      </w:r>
      <w:r>
        <w:rPr>
          <w:szCs w:val="24"/>
        </w:rPr>
        <w:tab/>
      </w:r>
      <w:r>
        <w:rPr>
          <w:b/>
          <w:szCs w:val="24"/>
          <w:lang w:val="es-ES_tradnl"/>
        </w:rPr>
        <w:t xml:space="preserve">Retiro de alumnos </w:t>
      </w:r>
      <w:smartTag w:uri="urn:schemas-microsoft-com:office:smarttags" w:element="place">
        <w:smartTag w:uri="urn:schemas-microsoft-com:office:smarttags" w:element="State">
          <w:r>
            <w:rPr>
              <w:b/>
              <w:szCs w:val="24"/>
              <w:lang w:val="es-ES_tradnl"/>
            </w:rPr>
            <w:t>del</w:t>
          </w:r>
        </w:smartTag>
      </w:smartTag>
      <w:r>
        <w:rPr>
          <w:b/>
          <w:szCs w:val="24"/>
          <w:lang w:val="es-ES_tradnl"/>
        </w:rPr>
        <w:t xml:space="preserve"> sistema educativo</w:t>
      </w:r>
      <w:r>
        <w:rPr>
          <w:szCs w:val="24"/>
          <w:lang w:val="es-ES_tradnl"/>
        </w:rPr>
        <w:t>.</w:t>
      </w:r>
      <w:r>
        <w:rPr>
          <w:szCs w:val="24"/>
        </w:rPr>
        <w:t xml:space="preserve"> </w:t>
      </w:r>
      <w:r>
        <w:rPr>
          <w:szCs w:val="24"/>
          <w:lang w:val="es-ES_tradnl"/>
        </w:rPr>
        <w:t>En 2004 el Ministro de Educación publicó el Reglamento sobre el retiro de alumnos del sistema educativo (</w:t>
      </w:r>
      <w:r>
        <w:rPr>
          <w:i/>
          <w:szCs w:val="24"/>
          <w:lang w:val="es-ES_tradnl"/>
        </w:rPr>
        <w:t>Reglamento de la educación obligatoria (Normas para el retiro permanente de un alumno por razón de su desempeño escolar)</w:t>
      </w:r>
      <w:r>
        <w:rPr>
          <w:szCs w:val="24"/>
          <w:lang w:val="es-ES_tradnl"/>
        </w:rPr>
        <w:t xml:space="preserve"> de 5765/2004).</w:t>
      </w:r>
    </w:p>
    <w:p w:rsidR="00F92819" w:rsidRDefault="00F92819">
      <w:pPr>
        <w:pStyle w:val="SingleTxtG"/>
        <w:rPr>
          <w:szCs w:val="24"/>
        </w:rPr>
      </w:pPr>
      <w:r>
        <w:rPr>
          <w:szCs w:val="24"/>
        </w:rPr>
        <w:t>551.</w:t>
      </w:r>
      <w:r>
        <w:rPr>
          <w:szCs w:val="24"/>
        </w:rPr>
        <w:tab/>
      </w:r>
      <w:r>
        <w:rPr>
          <w:szCs w:val="24"/>
          <w:lang w:val="es-ES_tradnl"/>
        </w:rPr>
        <w:t xml:space="preserve">Este Reglamento incluye la prohibición de retirar de la escuela a un alumno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1º al 6º grado por falta de rendimiento en los estudios.</w:t>
      </w:r>
      <w:r>
        <w:rPr>
          <w:szCs w:val="24"/>
        </w:rPr>
        <w:t xml:space="preserve"> </w:t>
      </w:r>
      <w:r>
        <w:rPr>
          <w:szCs w:val="24"/>
          <w:lang w:val="es-ES_tradnl"/>
        </w:rPr>
        <w:t>En cuanto a los alumnos del 7º al 12º grado, no deben ser retirados por falta de rendimiento a menos que hayan fallado en el 70% por lo menos de las materias obligatorias de ese año escolar, y siempre que el fallo no se haya debido a enfermedad, a muerte de un miembro de la familia, a separación o divorcio de los padres o a otro hecho excepcional que, según el personal docente, haya conducido al fallo.</w:t>
      </w:r>
    </w:p>
    <w:p w:rsidR="00F92819" w:rsidRDefault="00F92819">
      <w:pPr>
        <w:pStyle w:val="SingleTxtG"/>
        <w:rPr>
          <w:i/>
          <w:szCs w:val="24"/>
        </w:rPr>
      </w:pPr>
      <w:r>
        <w:rPr>
          <w:szCs w:val="24"/>
          <w:lang w:val="es-ES_tradnl"/>
        </w:rPr>
        <w:t>El director de la escuela de la cual se retira a un alumno y el jefe del departamento de educación del consejo local deben tratar de encontrar otro sistema de educación que sea más adecuado al alumno retirado,</w:t>
      </w:r>
      <w:r>
        <w:rPr>
          <w:szCs w:val="24"/>
        </w:rPr>
        <w:t xml:space="preserve"> </w:t>
      </w:r>
      <w:r>
        <w:rPr>
          <w:szCs w:val="24"/>
          <w:lang w:val="es-ES_tradnl"/>
        </w:rPr>
        <w:t xml:space="preserve">lo cual se hará de conformidad con el </w:t>
      </w:r>
      <w:r>
        <w:rPr>
          <w:i/>
          <w:szCs w:val="24"/>
          <w:lang w:val="es-ES_tradnl"/>
        </w:rPr>
        <w:t xml:space="preserve">Reglamento de los derechos del alumno (Órdenes de publicación y retiro de alumnos) </w:t>
      </w:r>
      <w:r>
        <w:rPr>
          <w:szCs w:val="24"/>
          <w:lang w:val="es-ES_tradnl"/>
        </w:rPr>
        <w:t>de 5762/2002</w:t>
      </w:r>
      <w:r>
        <w:rPr>
          <w:i/>
          <w:szCs w:val="24"/>
          <w:lang w:val="es-ES_tradnl"/>
        </w:rPr>
        <w:t>.</w:t>
      </w:r>
    </w:p>
    <w:p w:rsidR="00F92819" w:rsidRDefault="00F92819">
      <w:pPr>
        <w:pStyle w:val="SingleTxtG"/>
        <w:rPr>
          <w:szCs w:val="24"/>
        </w:rPr>
      </w:pPr>
      <w:r>
        <w:rPr>
          <w:szCs w:val="24"/>
        </w:rPr>
        <w:t>552.</w:t>
      </w:r>
      <w:r>
        <w:rPr>
          <w:szCs w:val="24"/>
        </w:rPr>
        <w:tab/>
      </w:r>
      <w:r>
        <w:rPr>
          <w:szCs w:val="24"/>
          <w:lang w:val="es-ES_tradnl"/>
        </w:rPr>
        <w:t>Este reglamento establece las normas sobre el retiro de alumnos de la escuela,</w:t>
      </w:r>
      <w:r>
        <w:rPr>
          <w:szCs w:val="24"/>
        </w:rPr>
        <w:t xml:space="preserve"> </w:t>
      </w:r>
      <w:r>
        <w:rPr>
          <w:szCs w:val="24"/>
          <w:lang w:val="es-ES_tradnl"/>
        </w:rPr>
        <w:t>entre ellas la necesidad de realizar una audiencia antes de tomar la decisión definitiva de retiro.</w:t>
      </w:r>
      <w:r>
        <w:rPr>
          <w:szCs w:val="24"/>
        </w:rPr>
        <w:t xml:space="preserve"> </w:t>
      </w:r>
      <w:r>
        <w:rPr>
          <w:szCs w:val="24"/>
          <w:lang w:val="es-ES_tradnl"/>
        </w:rPr>
        <w:t xml:space="preserve">Según el artículo </w:t>
      </w:r>
      <w:smartTag w:uri="urn:schemas-microsoft-com:office:smarttags" w:element="metricconverter">
        <w:smartTagPr>
          <w:attr w:name="ProductID" w:val="6 a"/>
        </w:smartTagPr>
        <w:r>
          <w:rPr>
            <w:szCs w:val="24"/>
            <w:lang w:val="es-ES_tradnl"/>
          </w:rPr>
          <w:t>6 a</w:t>
        </w:r>
      </w:smartTag>
      <w:r>
        <w:rPr>
          <w:szCs w:val="24"/>
          <w:lang w:val="es-ES_tradnl"/>
        </w:rPr>
        <w:t>), el alumno o sus padres pueden presentar un recurso al jefe de distrito del Ministerio de Educación, y según el artículo 6 b) debe realizarse una audiencia ante un grupo de audiencia dentro de los 14 días siguientes.</w:t>
      </w:r>
      <w:r>
        <w:rPr>
          <w:szCs w:val="24"/>
        </w:rPr>
        <w:t xml:space="preserve"> </w:t>
      </w:r>
      <w:r>
        <w:rPr>
          <w:szCs w:val="24"/>
          <w:lang w:val="es-ES_tradnl"/>
        </w:rPr>
        <w:t>El alumno y sus padres pueden hacer su demanda en persona o mediante un representante.</w:t>
      </w:r>
    </w:p>
    <w:p w:rsidR="00F92819" w:rsidRDefault="00F92819">
      <w:pPr>
        <w:pStyle w:val="H23G"/>
        <w:rPr>
          <w:szCs w:val="24"/>
        </w:rPr>
      </w:pPr>
      <w:r>
        <w:rPr>
          <w:szCs w:val="24"/>
        </w:rPr>
        <w:tab/>
      </w:r>
      <w:r>
        <w:rPr>
          <w:szCs w:val="24"/>
        </w:rPr>
        <w:tab/>
      </w:r>
      <w:r>
        <w:rPr>
          <w:szCs w:val="24"/>
          <w:lang w:val="es-ES_tradnl"/>
        </w:rPr>
        <w:t>Estatuto constitucional del derecho a la educación</w:t>
      </w:r>
    </w:p>
    <w:p w:rsidR="00F92819" w:rsidRDefault="00F92819">
      <w:pPr>
        <w:pStyle w:val="SingleTxtG"/>
        <w:rPr>
          <w:szCs w:val="24"/>
        </w:rPr>
      </w:pPr>
      <w:r>
        <w:rPr>
          <w:szCs w:val="24"/>
        </w:rPr>
        <w:t>553.</w:t>
      </w:r>
      <w:r>
        <w:rPr>
          <w:szCs w:val="24"/>
        </w:rPr>
        <w:tab/>
      </w:r>
      <w:r>
        <w:rPr>
          <w:szCs w:val="24"/>
          <w:lang w:val="es-ES_tradnl"/>
        </w:rPr>
        <w:t>El Tribunal del Distrito de Tel Aviv, constituido como Tribunal Administrativo, ordenó a la Municipalidad de Holon que sufragara completamente el costo de los libros de texto y el transporte escolar del hijo de una madre enferma mental, sumamente endeudada, y cuyo padre había fallecido.</w:t>
      </w:r>
      <w:r>
        <w:rPr>
          <w:szCs w:val="24"/>
        </w:rPr>
        <w:t xml:space="preserve"> </w:t>
      </w:r>
      <w:r>
        <w:rPr>
          <w:szCs w:val="24"/>
          <w:lang w:val="es-ES_tradnl"/>
        </w:rPr>
        <w:t>La municipalidad no cuestionó la desafortunada situación económica de la madre, sino más bien su incapacidad de costear completamente las necesidades del niño debido a las obligaciones actuales del departamento de bienestar de su municipio.</w:t>
      </w:r>
      <w:r>
        <w:rPr>
          <w:szCs w:val="24"/>
        </w:rPr>
        <w:t xml:space="preserve"> </w:t>
      </w:r>
      <w:r>
        <w:rPr>
          <w:szCs w:val="24"/>
          <w:lang w:val="es-ES_tradnl"/>
        </w:rPr>
        <w:t xml:space="preserve">Aunque el Tribunal no apreció incumplimiento de la ley ni de los procedimientos pertinentes a la cuestión de que se trata, declaró que está en su mano poner remedio en interés de la justicia debido a la importancia del principio de gratuidad de </w:t>
      </w:r>
      <w:smartTag w:uri="urn:schemas-microsoft-com:office:smarttags" w:element="PersonName">
        <w:smartTagPr>
          <w:attr w:name="ProductID" w:val="la ense￱anza. As￭"/>
        </w:smartTagPr>
        <w:r>
          <w:rPr>
            <w:szCs w:val="24"/>
            <w:lang w:val="es-ES_tradnl"/>
          </w:rPr>
          <w:t>la enseñanza.</w:t>
        </w:r>
        <w:r>
          <w:rPr>
            <w:szCs w:val="24"/>
          </w:rPr>
          <w:t xml:space="preserve"> </w:t>
        </w:r>
        <w:r>
          <w:rPr>
            <w:szCs w:val="24"/>
            <w:lang w:val="es-ES_tradnl"/>
          </w:rPr>
          <w:t>Así</w:t>
        </w:r>
      </w:smartTag>
      <w:r>
        <w:rPr>
          <w:szCs w:val="24"/>
          <w:lang w:val="es-ES_tradnl"/>
        </w:rPr>
        <w:t>, el hecho de que el remedio no estuviera contemplado en ninguna parte de los estatutos no impidió que el Tribunal dictara una reparación judicial adecuada. El Tribunal determinó que el derecho a la educación es esencial para que cada niño pueda realizar completamente sus habilidades y capacidades, y destacó que las dificultades económicas del progenitor no deben impedir al niño recibir una educación (Ad. A. (Tel Aviv) 2402/05</w:t>
      </w:r>
      <w:r>
        <w:rPr>
          <w:szCs w:val="24"/>
          <w:rtl/>
          <w:lang w:val="es-ES_tradnl"/>
        </w:rPr>
        <w:t xml:space="preserve"> </w:t>
      </w:r>
      <w:r>
        <w:rPr>
          <w:i/>
          <w:szCs w:val="24"/>
          <w:lang w:val="es-ES_tradnl"/>
        </w:rPr>
        <w:t xml:space="preserve">Anónimo c. el Ministro de Educación et. al. </w:t>
      </w:r>
      <w:r>
        <w:rPr>
          <w:szCs w:val="24"/>
          <w:lang w:val="es-ES_tradnl"/>
        </w:rPr>
        <w:t>(13 de junio de 2006))</w:t>
      </w:r>
      <w:r>
        <w:rPr>
          <w:szCs w:val="24"/>
          <w:rtl/>
          <w:lang w:val="es-ES_tradnl"/>
        </w:rPr>
        <w:t>.</w:t>
      </w:r>
    </w:p>
    <w:p w:rsidR="00F92819" w:rsidRDefault="00F92819">
      <w:pPr>
        <w:pStyle w:val="H23G"/>
        <w:rPr>
          <w:szCs w:val="24"/>
        </w:rPr>
      </w:pPr>
      <w:r>
        <w:rPr>
          <w:szCs w:val="24"/>
        </w:rPr>
        <w:tab/>
      </w:r>
      <w:r>
        <w:rPr>
          <w:szCs w:val="24"/>
        </w:rPr>
        <w:tab/>
      </w:r>
      <w:r>
        <w:rPr>
          <w:szCs w:val="24"/>
          <w:lang w:val="es-ES_tradnl"/>
        </w:rPr>
        <w:t>Estructura del sistema educativo</w:t>
      </w:r>
    </w:p>
    <w:p w:rsidR="00F92819" w:rsidRDefault="00F92819">
      <w:pPr>
        <w:pStyle w:val="SingleTxtG"/>
        <w:rPr>
          <w:szCs w:val="24"/>
        </w:rPr>
      </w:pPr>
      <w:r>
        <w:rPr>
          <w:szCs w:val="24"/>
        </w:rPr>
        <w:t>554.</w:t>
      </w:r>
      <w:r>
        <w:rPr>
          <w:szCs w:val="24"/>
        </w:rPr>
        <w:tab/>
      </w:r>
      <w:r>
        <w:rPr>
          <w:szCs w:val="24"/>
          <w:lang w:val="es-ES_tradnl"/>
        </w:rPr>
        <w:t>Desde 2004 el sistema presupuestario se ha establecido sobre una base distinta (el “Informe Shoshani”).</w:t>
      </w:r>
      <w:r>
        <w:rPr>
          <w:szCs w:val="24"/>
        </w:rPr>
        <w:t xml:space="preserve"> </w:t>
      </w:r>
      <w:r>
        <w:rPr>
          <w:szCs w:val="24"/>
          <w:lang w:val="es-ES_tradnl"/>
        </w:rPr>
        <w:t>Con arreglo a este nuevo método, todas las escuelas recibirán un presupuesto por alumno, de acuerdo con el número de alumnos de la escuela y sus antecedentes socioeconómicos.</w:t>
      </w:r>
      <w:r>
        <w:rPr>
          <w:szCs w:val="24"/>
        </w:rPr>
        <w:t xml:space="preserve"> </w:t>
      </w:r>
      <w:r>
        <w:rPr>
          <w:szCs w:val="24"/>
          <w:lang w:val="es-ES_tradnl"/>
        </w:rPr>
        <w:t>Para los alumnos con mayor disparidad educativa se asignará un presupuesto consistente en un mayor número de horas. El nuevo sistema de presupuesto diferencial aumenta considerablemente los recursos destinados a las poblaciones con antecedentes económicos inferiores, incluidos los alumnos de las poblaciones árabes, drusas y beduinas.</w:t>
      </w:r>
    </w:p>
    <w:p w:rsidR="00F92819" w:rsidRDefault="00F92819">
      <w:pPr>
        <w:pStyle w:val="SingleTxtG"/>
        <w:rPr>
          <w:szCs w:val="24"/>
        </w:rPr>
      </w:pPr>
      <w:r>
        <w:rPr>
          <w:szCs w:val="24"/>
        </w:rPr>
        <w:t>555.</w:t>
      </w:r>
      <w:r>
        <w:rPr>
          <w:szCs w:val="24"/>
        </w:rPr>
        <w:tab/>
      </w:r>
      <w:r>
        <w:rPr>
          <w:b/>
          <w:szCs w:val="24"/>
          <w:lang w:val="es-ES_tradnl"/>
        </w:rPr>
        <w:t>Educación bilingüe</w:t>
      </w:r>
      <w:r>
        <w:rPr>
          <w:szCs w:val="24"/>
          <w:lang w:val="es-ES_tradnl"/>
        </w:rPr>
        <w:t>.</w:t>
      </w:r>
      <w:r>
        <w:rPr>
          <w:szCs w:val="24"/>
        </w:rPr>
        <w:t xml:space="preserve"> </w:t>
      </w:r>
      <w:r>
        <w:rPr>
          <w:szCs w:val="24"/>
          <w:lang w:val="es-ES_tradnl"/>
        </w:rPr>
        <w:t>En sus observaciones finales sobre el informe periódico anterior de Israel, el Comité alentaba el establecimiento de un sistema de escuelas mixtas para alumnos judíos y árabes, a fin de promover el entendimiento mutuo, la tolerancia y la amistad entre los ciudadanos del país.</w:t>
      </w:r>
      <w:r>
        <w:rPr>
          <w:szCs w:val="24"/>
        </w:rPr>
        <w:t xml:space="preserve"> </w:t>
      </w:r>
      <w:r>
        <w:rPr>
          <w:szCs w:val="24"/>
          <w:lang w:val="es-ES_tradnl"/>
        </w:rPr>
        <w:t>Un ejemplo destacado de educación bilingüe puede encontrarse en el pueblo “Neve Shalom - Wahat al-Salam”,</w:t>
      </w:r>
      <w:r>
        <w:rPr>
          <w:szCs w:val="24"/>
        </w:rPr>
        <w:t xml:space="preserve"> </w:t>
      </w:r>
      <w:r>
        <w:rPr>
          <w:szCs w:val="24"/>
          <w:lang w:val="es-ES_tradnl"/>
        </w:rPr>
        <w:t>situado a la misma distancia de Jerusalén y de Tel Aviv-Jaffa y fundado a principios de la década de 1970. En 2007 más de 50 familias se habían trasladado a vivir en el pueblo, con un número igual de familias judías y árabes.</w:t>
      </w:r>
      <w:r>
        <w:rPr>
          <w:szCs w:val="24"/>
        </w:rPr>
        <w:t xml:space="preserve"> </w:t>
      </w:r>
      <w:r>
        <w:rPr>
          <w:szCs w:val="24"/>
          <w:lang w:val="es-ES_tradnl"/>
        </w:rPr>
        <w:t>En su día, el pueblo contará con 140 viviendas.</w:t>
      </w:r>
    </w:p>
    <w:p w:rsidR="00F92819" w:rsidRDefault="00F92819">
      <w:pPr>
        <w:pStyle w:val="SingleTxtG"/>
        <w:rPr>
          <w:szCs w:val="24"/>
        </w:rPr>
      </w:pPr>
      <w:r>
        <w:rPr>
          <w:szCs w:val="24"/>
        </w:rPr>
        <w:t>556.</w:t>
      </w:r>
      <w:r>
        <w:rPr>
          <w:szCs w:val="24"/>
        </w:rPr>
        <w:tab/>
      </w:r>
      <w:r>
        <w:rPr>
          <w:spacing w:val="-4"/>
          <w:szCs w:val="24"/>
          <w:lang w:val="es-ES_tradnl"/>
        </w:rPr>
        <w:t xml:space="preserve">El sistema de educación bilingüe desarrollado y aplicado en </w:t>
      </w:r>
      <w:r>
        <w:rPr>
          <w:szCs w:val="24"/>
          <w:lang w:val="es-ES_tradnl"/>
        </w:rPr>
        <w:t>“Neve Shalom – Wahat al-Salam”</w:t>
      </w:r>
      <w:r>
        <w:rPr>
          <w:spacing w:val="-4"/>
          <w:szCs w:val="24"/>
          <w:lang w:val="es-ES_tradnl"/>
        </w:rPr>
        <w:t xml:space="preserve"> </w:t>
      </w:r>
      <w:r>
        <w:rPr>
          <w:szCs w:val="24"/>
          <w:lang w:val="es-ES_tradnl"/>
        </w:rPr>
        <w:t xml:space="preserve">es una de las muchas expresiones de coexistencia de la comunidad y de otras comunidades de </w:t>
      </w:r>
      <w:smartTag w:uri="urn:schemas-microsoft-com:office:smarttags" w:element="PersonName">
        <w:smartTagPr>
          <w:attr w:name="ProductID" w:val="la zona. El"/>
        </w:smartTagPr>
        <w:r>
          <w:rPr>
            <w:szCs w:val="24"/>
            <w:lang w:val="es-ES_tradnl"/>
          </w:rPr>
          <w:t>la zona.</w:t>
        </w:r>
        <w:r>
          <w:rPr>
            <w:szCs w:val="24"/>
          </w:rPr>
          <w:t xml:space="preserve"> </w:t>
        </w:r>
        <w:r>
          <w:rPr>
            <w:szCs w:val="24"/>
            <w:lang w:val="es-ES_tradnl"/>
          </w:rPr>
          <w:t>El</w:t>
        </w:r>
      </w:smartTag>
      <w:r>
        <w:rPr>
          <w:szCs w:val="24"/>
          <w:lang w:val="es-ES_tradnl"/>
        </w:rPr>
        <w:t xml:space="preserve"> sistema de ecuación bilingüe, que se imparte desde el jardín de infancia hasta el comienzo de la enseñanza superior, se aplica a unos 200 niños, el 90% de los cuales procede de las comunidades vecinas árabes y judías.</w:t>
      </w:r>
      <w:r>
        <w:rPr>
          <w:szCs w:val="24"/>
        </w:rPr>
        <w:t xml:space="preserve"> </w:t>
      </w:r>
      <w:r>
        <w:rPr>
          <w:szCs w:val="24"/>
          <w:lang w:val="es-ES_tradnl"/>
        </w:rPr>
        <w:t>Sistemas similares de educación bilingüe e intercultural operan en Jerusalén, Misgav y Kfar Kara.</w:t>
      </w:r>
    </w:p>
    <w:p w:rsidR="00F92819" w:rsidRDefault="00F92819">
      <w:pPr>
        <w:pStyle w:val="SingleTxtG"/>
        <w:rPr>
          <w:szCs w:val="24"/>
        </w:rPr>
      </w:pPr>
      <w:r>
        <w:rPr>
          <w:szCs w:val="24"/>
        </w:rPr>
        <w:t>557.</w:t>
      </w:r>
      <w:r>
        <w:rPr>
          <w:szCs w:val="24"/>
        </w:rPr>
        <w:tab/>
      </w:r>
      <w:r>
        <w:rPr>
          <w:szCs w:val="24"/>
          <w:lang w:val="es-ES_tradnl"/>
        </w:rPr>
        <w:t xml:space="preserve">Cabe mencionar que los padres tienen derecho a matricular a sus hijos en </w:t>
      </w:r>
      <w:smartTag w:uri="urn:schemas-microsoft-com:office:smarttags" w:element="City">
        <w:smartTag w:uri="urn:schemas-microsoft-com:office:smarttags" w:element="place">
          <w:r>
            <w:rPr>
              <w:szCs w:val="24"/>
              <w:lang w:val="es-ES_tradnl"/>
            </w:rPr>
            <w:t>el centro</w:t>
          </w:r>
        </w:smartTag>
      </w:smartTag>
      <w:r>
        <w:rPr>
          <w:szCs w:val="24"/>
          <w:lang w:val="es-ES_tradnl"/>
        </w:rPr>
        <w:t xml:space="preserve"> docente (jardín de infancia o escuela) de su elección en su municipio local, ya se trate de una institución hebrea, árabe o bilingüe, con la única limitación de que se concede preferencia a los hijos que residen en sus proximidades.</w:t>
      </w:r>
    </w:p>
    <w:p w:rsidR="00F92819" w:rsidRDefault="00F92819">
      <w:pPr>
        <w:pStyle w:val="SingleTxtG"/>
        <w:rPr>
          <w:szCs w:val="24"/>
        </w:rPr>
      </w:pPr>
      <w:r>
        <w:rPr>
          <w:szCs w:val="24"/>
        </w:rPr>
        <w:t>558.</w:t>
      </w:r>
      <w:r>
        <w:rPr>
          <w:szCs w:val="24"/>
        </w:rPr>
        <w:tab/>
      </w:r>
      <w:r>
        <w:rPr>
          <w:szCs w:val="24"/>
          <w:lang w:val="es-ES_tradnl"/>
        </w:rPr>
        <w:t>Huelga decir que en Israel existe una gran cantidad de programas dedicados a la promoción de la coexistencia y cooperación entre las poblaciones árabe y judía, bien sea a través de iniciativas culturales y educativas o de la colaboración intermunicipal para el bienestar de las diferentes comunidades, como se ha explicado detalladamente en este informe.</w:t>
      </w:r>
    </w:p>
    <w:p w:rsidR="00F92819" w:rsidRDefault="00F92819">
      <w:pPr>
        <w:pStyle w:val="H23G"/>
        <w:rPr>
          <w:szCs w:val="24"/>
        </w:rPr>
      </w:pPr>
      <w:r>
        <w:rPr>
          <w:szCs w:val="24"/>
        </w:rPr>
        <w:tab/>
      </w:r>
      <w:r>
        <w:rPr>
          <w:szCs w:val="24"/>
        </w:rPr>
        <w:tab/>
      </w:r>
      <w:r>
        <w:rPr>
          <w:szCs w:val="24"/>
          <w:lang w:val="es-ES_tradnl"/>
        </w:rPr>
        <w:t>Datos estadísticos</w:t>
      </w:r>
    </w:p>
    <w:p w:rsidR="00F92819" w:rsidRDefault="00F92819">
      <w:pPr>
        <w:pStyle w:val="SingleTxtG"/>
        <w:rPr>
          <w:szCs w:val="24"/>
        </w:rPr>
      </w:pPr>
      <w:r>
        <w:rPr>
          <w:szCs w:val="24"/>
        </w:rPr>
        <w:t>559.</w:t>
      </w:r>
      <w:r>
        <w:rPr>
          <w:szCs w:val="24"/>
        </w:rPr>
        <w:tab/>
      </w:r>
      <w:r>
        <w:rPr>
          <w:szCs w:val="24"/>
          <w:lang w:val="es-ES_tradnl"/>
        </w:rPr>
        <w:t>En 2006/2007, el número total de niños matriculados en el sistema educativo bajo la supervisión del Ministerio de Educación llegó a 1.900.000, desde el nivel preescolar hasta el final de la escuela secundaria, a razón de 1.381.101 judíos y 465.016 árabes.</w:t>
      </w:r>
    </w:p>
    <w:p w:rsidR="00F92819" w:rsidRDefault="00F92819">
      <w:pPr>
        <w:pStyle w:val="SingleTxtG"/>
        <w:rPr>
          <w:b/>
          <w:i/>
          <w:szCs w:val="24"/>
        </w:rPr>
      </w:pPr>
      <w:r>
        <w:rPr>
          <w:szCs w:val="24"/>
        </w:rPr>
        <w:t>560.</w:t>
      </w:r>
      <w:r>
        <w:rPr>
          <w:szCs w:val="24"/>
        </w:rPr>
        <w:tab/>
      </w:r>
      <w:r>
        <w:rPr>
          <w:szCs w:val="24"/>
          <w:lang w:val="es-ES_tradnl"/>
        </w:rPr>
        <w:t>El gasto nacional total en educación en 2007 ascendió a 56.200 millones de nuevos sheqalim (14.700 millones de dólares de los EE.UU.), que supone el 8,5% del Producto Interno Bruto.</w:t>
      </w:r>
      <w:r>
        <w:rPr>
          <w:szCs w:val="24"/>
        </w:rPr>
        <w:t xml:space="preserve"> </w:t>
      </w:r>
      <w:r>
        <w:rPr>
          <w:szCs w:val="24"/>
          <w:lang w:val="es-ES_tradnl"/>
        </w:rPr>
        <w:t>Dicho gasto (a precios constantes) aumentó en 2007 el 5% después de hacerlo en un 2% tanto en 2006 como en 2005.</w:t>
      </w:r>
    </w:p>
    <w:p w:rsidR="00F92819" w:rsidRDefault="00F92819">
      <w:pPr>
        <w:pStyle w:val="H23G"/>
        <w:rPr>
          <w:szCs w:val="24"/>
        </w:rPr>
      </w:pPr>
      <w:r>
        <w:rPr>
          <w:szCs w:val="24"/>
        </w:rPr>
        <w:tab/>
      </w:r>
      <w:r>
        <w:rPr>
          <w:szCs w:val="24"/>
        </w:rPr>
        <w:tab/>
      </w:r>
      <w:r>
        <w:rPr>
          <w:szCs w:val="24"/>
          <w:lang w:val="es-ES_tradnl"/>
        </w:rPr>
        <w:t>Alfabetización</w:t>
      </w:r>
    </w:p>
    <w:p w:rsidR="00F92819" w:rsidRDefault="00F92819">
      <w:pPr>
        <w:pStyle w:val="SingleTxtG"/>
        <w:rPr>
          <w:szCs w:val="24"/>
        </w:rPr>
      </w:pPr>
      <w:r>
        <w:rPr>
          <w:szCs w:val="24"/>
        </w:rPr>
        <w:t>561.</w:t>
      </w:r>
      <w:r>
        <w:rPr>
          <w:szCs w:val="24"/>
        </w:rPr>
        <w:tab/>
      </w:r>
      <w:r>
        <w:rPr>
          <w:szCs w:val="24"/>
          <w:lang w:val="es-ES_tradnl"/>
        </w:rPr>
        <w:t>Igual que en el informe anterior de Israel, el número de personas con cuatro años o menos de formación académica ha seguido disminuyendo, y ha habido una mejora en la situación general.</w:t>
      </w:r>
      <w:r>
        <w:rPr>
          <w:szCs w:val="24"/>
        </w:rPr>
        <w:t xml:space="preserve"> </w:t>
      </w:r>
      <w:r>
        <w:rPr>
          <w:szCs w:val="24"/>
          <w:lang w:val="es-ES_tradnl"/>
        </w:rPr>
        <w:t xml:space="preserve">Entre la población árabe, el número de personas sin formación académica diminuyó de 7,0% en </w:t>
      </w:r>
      <w:smartTag w:uri="urn:schemas-microsoft-com:office:smarttags" w:element="metricconverter">
        <w:smartTagPr>
          <w:attr w:name="ProductID" w:val="2002 a"/>
        </w:smartTagPr>
        <w:r>
          <w:rPr>
            <w:szCs w:val="24"/>
            <w:lang w:val="es-ES_tradnl"/>
          </w:rPr>
          <w:t>2002 a</w:t>
        </w:r>
      </w:smartTag>
      <w:r>
        <w:rPr>
          <w:szCs w:val="24"/>
          <w:lang w:val="es-ES_tradnl"/>
        </w:rPr>
        <w:t xml:space="preserve"> 6,1% en 2006, mientras que entre la población judía las cifras descendieron de 2,5% a 2,1% respectivamente.</w:t>
      </w:r>
      <w:r>
        <w:rPr>
          <w:szCs w:val="24"/>
        </w:rPr>
        <w:t xml:space="preserve"> </w:t>
      </w:r>
      <w:r>
        <w:rPr>
          <w:szCs w:val="24"/>
          <w:lang w:val="es-ES_tradnl"/>
        </w:rPr>
        <w:t>El número de personas con entre 1 y 4 años de formación académica también disminuyó del 4% entre la población árabe en 2002 al 3,9% en 2006, y entre la población judía, del 1,2% en 2002 al 1% en 2006.</w:t>
      </w:r>
    </w:p>
    <w:p w:rsidR="00F92819" w:rsidRDefault="00F92819">
      <w:pPr>
        <w:pStyle w:val="SingleTxtG"/>
        <w:rPr>
          <w:szCs w:val="24"/>
        </w:rPr>
      </w:pPr>
      <w:r>
        <w:rPr>
          <w:szCs w:val="24"/>
        </w:rPr>
        <w:t>562.</w:t>
      </w:r>
      <w:r>
        <w:rPr>
          <w:szCs w:val="24"/>
        </w:rPr>
        <w:tab/>
      </w:r>
      <w:r>
        <w:rPr>
          <w:szCs w:val="24"/>
          <w:lang w:val="es-ES_tradnl"/>
        </w:rPr>
        <w:t>En los cuadros siguientes se presentan las cifras correspondientes a la formación académica de la población adulta de Israel en el período 2002</w:t>
      </w:r>
      <w:r w:rsidR="008C04D7">
        <w:rPr>
          <w:szCs w:val="24"/>
          <w:lang w:val="es-ES_tradnl"/>
        </w:rPr>
        <w:t>-</w:t>
      </w:r>
      <w:r>
        <w:rPr>
          <w:szCs w:val="24"/>
          <w:lang w:val="es-ES_tradnl"/>
        </w:rPr>
        <w:t>2006, por grupo de población, género y edad.</w:t>
      </w:r>
      <w:r>
        <w:rPr>
          <w:szCs w:val="24"/>
        </w:rPr>
        <w:t xml:space="preserve"> </w:t>
      </w:r>
      <w:r>
        <w:rPr>
          <w:szCs w:val="24"/>
          <w:lang w:val="es-ES_tradnl"/>
        </w:rPr>
        <w:t>Según estos datos, en 2006 el 1,5% del total de la población israelí sólo contaba con entre 1 y 4 años de enseñanza primaria, mientas que el 2,8% carecía de formación académica.</w:t>
      </w:r>
    </w:p>
    <w:p w:rsidR="00F92819" w:rsidRDefault="00F92819">
      <w:pPr>
        <w:pStyle w:val="Heading1"/>
        <w:keepLines/>
        <w:spacing w:before="240"/>
        <w:rPr>
          <w:szCs w:val="24"/>
        </w:rPr>
      </w:pPr>
      <w:r>
        <w:rPr>
          <w:szCs w:val="24"/>
          <w:lang w:val="es-ES_tradnl"/>
        </w:rPr>
        <w:t>Cuadro 37</w:t>
      </w:r>
    </w:p>
    <w:p w:rsidR="00F92819" w:rsidRDefault="00F92819">
      <w:pPr>
        <w:pStyle w:val="SingleTxtG"/>
        <w:keepNext/>
        <w:keepLines/>
        <w:jc w:val="left"/>
        <w:rPr>
          <w:szCs w:val="24"/>
        </w:rPr>
      </w:pPr>
      <w:r>
        <w:rPr>
          <w:b/>
          <w:szCs w:val="24"/>
          <w:lang w:val="es-ES_tradnl"/>
        </w:rPr>
        <w:t>Personas de 15 años o más, por grupo de población, años de escolaridad, edad y género, 2007</w:t>
      </w:r>
      <w:r>
        <w:rPr>
          <w:b/>
          <w:szCs w:val="24"/>
        </w:rPr>
        <w:t xml:space="preserve"> </w:t>
      </w:r>
    </w:p>
    <w:tbl>
      <w:tblPr>
        <w:tblStyle w:val="TableGrid"/>
        <w:tblW w:w="84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766"/>
        <w:gridCol w:w="700"/>
        <w:gridCol w:w="600"/>
        <w:gridCol w:w="700"/>
        <w:gridCol w:w="700"/>
        <w:gridCol w:w="700"/>
        <w:gridCol w:w="700"/>
        <w:gridCol w:w="600"/>
        <w:gridCol w:w="400"/>
        <w:gridCol w:w="200"/>
        <w:gridCol w:w="489"/>
        <w:gridCol w:w="850"/>
      </w:tblGrid>
      <w:tr w:rsidR="00F92819">
        <w:trPr>
          <w:trHeight w:val="180"/>
          <w:tblHeader/>
        </w:trPr>
        <w:tc>
          <w:tcPr>
            <w:tcW w:w="1766" w:type="dxa"/>
            <w:tcBorders>
              <w:top w:val="single" w:sz="4" w:space="0" w:color="auto"/>
            </w:tcBorders>
            <w:vAlign w:val="bottom"/>
          </w:tcPr>
          <w:p w:rsidR="00F92819" w:rsidRDefault="00F92819">
            <w:pPr>
              <w:spacing w:before="80" w:after="80" w:line="200" w:lineRule="exact"/>
              <w:rPr>
                <w:i/>
                <w:sz w:val="16"/>
                <w:szCs w:val="24"/>
              </w:rPr>
            </w:pPr>
          </w:p>
        </w:tc>
        <w:tc>
          <w:tcPr>
            <w:tcW w:w="5100" w:type="dxa"/>
            <w:gridSpan w:val="8"/>
            <w:tcBorders>
              <w:top w:val="single" w:sz="4" w:space="0" w:color="auto"/>
              <w:bottom w:val="single" w:sz="4" w:space="0" w:color="auto"/>
              <w:right w:val="single" w:sz="24" w:space="0" w:color="FFFFFF"/>
            </w:tcBorders>
            <w:vAlign w:val="bottom"/>
          </w:tcPr>
          <w:p w:rsidR="00F92819" w:rsidRDefault="00F92819">
            <w:pPr>
              <w:spacing w:before="80" w:after="80" w:line="200" w:lineRule="exact"/>
              <w:jc w:val="center"/>
              <w:rPr>
                <w:szCs w:val="24"/>
              </w:rPr>
            </w:pPr>
            <w:r>
              <w:rPr>
                <w:i/>
                <w:sz w:val="16"/>
                <w:szCs w:val="24"/>
                <w:lang w:val="es-ES_tradnl"/>
              </w:rPr>
              <w:t>Años de escolaridad</w:t>
            </w:r>
          </w:p>
        </w:tc>
        <w:tc>
          <w:tcPr>
            <w:tcW w:w="1539" w:type="dxa"/>
            <w:gridSpan w:val="3"/>
            <w:tcBorders>
              <w:top w:val="single" w:sz="4" w:space="0" w:color="auto"/>
              <w:left w:val="single" w:sz="24" w:space="0" w:color="FFFFFF"/>
              <w:bottom w:val="single" w:sz="4" w:space="0" w:color="auto"/>
            </w:tcBorders>
            <w:vAlign w:val="bottom"/>
          </w:tcPr>
          <w:p w:rsidR="00F92819" w:rsidRDefault="00F92819">
            <w:pPr>
              <w:spacing w:before="80" w:after="80" w:line="200" w:lineRule="exact"/>
              <w:jc w:val="center"/>
              <w:rPr>
                <w:szCs w:val="24"/>
              </w:rPr>
            </w:pPr>
            <w:r>
              <w:rPr>
                <w:b/>
                <w:i/>
                <w:sz w:val="16"/>
                <w:szCs w:val="24"/>
                <w:lang w:val="es-ES_tradnl"/>
              </w:rPr>
              <w:t>Total</w:t>
            </w:r>
          </w:p>
        </w:tc>
      </w:tr>
      <w:tr w:rsidR="00F92819">
        <w:trPr>
          <w:trHeight w:val="180"/>
          <w:tblHeader/>
        </w:trPr>
        <w:tc>
          <w:tcPr>
            <w:tcW w:w="1766" w:type="dxa"/>
            <w:tcBorders>
              <w:bottom w:val="single" w:sz="12" w:space="0" w:color="auto"/>
            </w:tcBorders>
            <w:vAlign w:val="bottom"/>
          </w:tcPr>
          <w:p w:rsidR="00F92819" w:rsidRDefault="00F92819">
            <w:pPr>
              <w:spacing w:before="80" w:after="80" w:line="200" w:lineRule="exact"/>
              <w:rPr>
                <w:szCs w:val="24"/>
              </w:rPr>
            </w:pPr>
            <w:r>
              <w:rPr>
                <w:i/>
                <w:sz w:val="16"/>
                <w:szCs w:val="24"/>
                <w:lang w:val="es-ES_tradnl"/>
              </w:rPr>
              <w:t>Año</w:t>
            </w:r>
          </w:p>
        </w:tc>
        <w:tc>
          <w:tcPr>
            <w:tcW w:w="70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Mediana</w:t>
            </w:r>
          </w:p>
        </w:tc>
        <w:tc>
          <w:tcPr>
            <w:tcW w:w="60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16+</w:t>
            </w:r>
          </w:p>
        </w:tc>
        <w:tc>
          <w:tcPr>
            <w:tcW w:w="70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13</w:t>
            </w:r>
            <w:r w:rsidR="008C04D7">
              <w:rPr>
                <w:i/>
                <w:sz w:val="16"/>
                <w:szCs w:val="24"/>
              </w:rPr>
              <w:t xml:space="preserve"> a </w:t>
            </w:r>
            <w:r>
              <w:rPr>
                <w:i/>
                <w:sz w:val="16"/>
                <w:szCs w:val="24"/>
              </w:rPr>
              <w:t>15</w:t>
            </w:r>
          </w:p>
        </w:tc>
        <w:tc>
          <w:tcPr>
            <w:tcW w:w="70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11</w:t>
            </w:r>
            <w:r w:rsidR="008C04D7">
              <w:rPr>
                <w:i/>
                <w:sz w:val="16"/>
                <w:szCs w:val="24"/>
              </w:rPr>
              <w:t xml:space="preserve"> a </w:t>
            </w:r>
            <w:r>
              <w:rPr>
                <w:i/>
                <w:sz w:val="16"/>
                <w:szCs w:val="24"/>
              </w:rPr>
              <w:t>12</w:t>
            </w:r>
          </w:p>
        </w:tc>
        <w:tc>
          <w:tcPr>
            <w:tcW w:w="70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9</w:t>
            </w:r>
            <w:r w:rsidR="008C04D7">
              <w:rPr>
                <w:i/>
                <w:sz w:val="16"/>
                <w:szCs w:val="24"/>
              </w:rPr>
              <w:t xml:space="preserve"> a </w:t>
            </w:r>
            <w:r>
              <w:rPr>
                <w:i/>
                <w:sz w:val="16"/>
                <w:szCs w:val="24"/>
              </w:rPr>
              <w:t>10</w:t>
            </w:r>
          </w:p>
        </w:tc>
        <w:tc>
          <w:tcPr>
            <w:tcW w:w="70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5</w:t>
            </w:r>
            <w:r w:rsidR="008C04D7">
              <w:rPr>
                <w:i/>
                <w:sz w:val="16"/>
                <w:szCs w:val="24"/>
              </w:rPr>
              <w:t xml:space="preserve"> a </w:t>
            </w:r>
            <w:r>
              <w:rPr>
                <w:i/>
                <w:sz w:val="16"/>
                <w:szCs w:val="24"/>
              </w:rPr>
              <w:t>8</w:t>
            </w:r>
          </w:p>
        </w:tc>
        <w:tc>
          <w:tcPr>
            <w:tcW w:w="60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1</w:t>
            </w:r>
            <w:r w:rsidR="008C04D7">
              <w:rPr>
                <w:i/>
                <w:sz w:val="16"/>
                <w:szCs w:val="24"/>
              </w:rPr>
              <w:t xml:space="preserve"> a </w:t>
            </w:r>
            <w:r>
              <w:rPr>
                <w:i/>
                <w:sz w:val="16"/>
                <w:szCs w:val="24"/>
              </w:rPr>
              <w:t>4</w:t>
            </w:r>
          </w:p>
        </w:tc>
        <w:tc>
          <w:tcPr>
            <w:tcW w:w="400" w:type="dxa"/>
            <w:tcBorders>
              <w:top w:val="single" w:sz="4" w:space="0" w:color="auto"/>
              <w:bottom w:val="single" w:sz="12" w:space="0" w:color="auto"/>
              <w:right w:val="single" w:sz="24" w:space="0" w:color="FFFFFF"/>
            </w:tcBorders>
            <w:vAlign w:val="bottom"/>
          </w:tcPr>
          <w:p w:rsidR="00F92819" w:rsidRDefault="00F92819">
            <w:pPr>
              <w:spacing w:before="80" w:after="80" w:line="200" w:lineRule="exact"/>
              <w:jc w:val="right"/>
              <w:rPr>
                <w:i/>
                <w:sz w:val="16"/>
                <w:szCs w:val="24"/>
              </w:rPr>
            </w:pPr>
            <w:r>
              <w:rPr>
                <w:i/>
                <w:sz w:val="16"/>
                <w:szCs w:val="24"/>
              </w:rPr>
              <w:t>0</w:t>
            </w:r>
          </w:p>
        </w:tc>
        <w:tc>
          <w:tcPr>
            <w:tcW w:w="689" w:type="dxa"/>
            <w:gridSpan w:val="2"/>
            <w:tcBorders>
              <w:top w:val="single" w:sz="4" w:space="0" w:color="auto"/>
              <w:left w:val="single" w:sz="24" w:space="0" w:color="FFFFFF"/>
              <w:bottom w:val="single" w:sz="12" w:space="0" w:color="auto"/>
            </w:tcBorders>
            <w:vAlign w:val="bottom"/>
          </w:tcPr>
          <w:p w:rsidR="00F92819" w:rsidRDefault="00F92819">
            <w:pPr>
              <w:spacing w:before="80" w:after="80" w:line="200" w:lineRule="exact"/>
              <w:jc w:val="right"/>
              <w:rPr>
                <w:b/>
                <w:i/>
                <w:sz w:val="16"/>
                <w:szCs w:val="24"/>
              </w:rPr>
            </w:pPr>
            <w:r>
              <w:rPr>
                <w:b/>
                <w:i/>
                <w:sz w:val="16"/>
                <w:szCs w:val="24"/>
              </w:rPr>
              <w:t>%</w:t>
            </w:r>
          </w:p>
        </w:tc>
        <w:tc>
          <w:tcPr>
            <w:tcW w:w="85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lang w:val="es-ES_tradnl"/>
              </w:rPr>
              <w:t>Miles</w:t>
            </w:r>
          </w:p>
        </w:tc>
      </w:tr>
      <w:tr w:rsidR="00F92819">
        <w:tc>
          <w:tcPr>
            <w:tcW w:w="8405" w:type="dxa"/>
            <w:gridSpan w:val="12"/>
            <w:tcBorders>
              <w:top w:val="single" w:sz="12" w:space="0" w:color="auto"/>
            </w:tcBorders>
            <w:vAlign w:val="bottom"/>
          </w:tcPr>
          <w:p w:rsidR="00F92819" w:rsidRDefault="00F92819">
            <w:pPr>
              <w:spacing w:before="80" w:after="80" w:line="200" w:lineRule="exact"/>
              <w:rPr>
                <w:szCs w:val="24"/>
              </w:rPr>
            </w:pPr>
            <w:r>
              <w:rPr>
                <w:i/>
                <w:sz w:val="16"/>
                <w:szCs w:val="24"/>
                <w:lang w:val="es-ES_tradnl"/>
              </w:rPr>
              <w:t>Población total</w:t>
            </w:r>
          </w:p>
        </w:tc>
      </w:tr>
      <w:tr w:rsidR="00F92819">
        <w:tc>
          <w:tcPr>
            <w:tcW w:w="1766" w:type="dxa"/>
            <w:vAlign w:val="bottom"/>
          </w:tcPr>
          <w:p w:rsidR="00F92819" w:rsidRDefault="00F92819">
            <w:pPr>
              <w:spacing w:before="40" w:after="40" w:line="220" w:lineRule="exact"/>
              <w:rPr>
                <w:sz w:val="18"/>
                <w:szCs w:val="24"/>
              </w:rPr>
            </w:pPr>
            <w:r>
              <w:rPr>
                <w:sz w:val="18"/>
                <w:szCs w:val="24"/>
              </w:rPr>
              <w:t>2002</w:t>
            </w:r>
          </w:p>
        </w:tc>
        <w:tc>
          <w:tcPr>
            <w:tcW w:w="700" w:type="dxa"/>
            <w:vAlign w:val="bottom"/>
          </w:tcPr>
          <w:p w:rsidR="00F92819" w:rsidRPr="00DE53A9" w:rsidRDefault="00F92819">
            <w:pPr>
              <w:spacing w:before="40" w:after="40" w:line="220" w:lineRule="exact"/>
              <w:jc w:val="right"/>
              <w:rPr>
                <w:bCs/>
                <w:sz w:val="18"/>
                <w:szCs w:val="24"/>
              </w:rPr>
            </w:pPr>
            <w:r w:rsidRPr="00DE53A9">
              <w:rPr>
                <w:bCs/>
                <w:sz w:val="18"/>
                <w:szCs w:val="24"/>
              </w:rPr>
              <w:t>12,4</w:t>
            </w:r>
          </w:p>
        </w:tc>
        <w:tc>
          <w:tcPr>
            <w:tcW w:w="600" w:type="dxa"/>
            <w:vAlign w:val="bottom"/>
          </w:tcPr>
          <w:p w:rsidR="00F92819" w:rsidRPr="00DE53A9" w:rsidRDefault="00F92819">
            <w:pPr>
              <w:spacing w:before="40" w:after="40" w:line="220" w:lineRule="exact"/>
              <w:jc w:val="right"/>
              <w:rPr>
                <w:bCs/>
                <w:sz w:val="18"/>
                <w:szCs w:val="24"/>
              </w:rPr>
            </w:pPr>
            <w:r w:rsidRPr="00DE53A9">
              <w:rPr>
                <w:bCs/>
                <w:sz w:val="18"/>
                <w:szCs w:val="24"/>
              </w:rPr>
              <w:t>17,2</w:t>
            </w:r>
          </w:p>
        </w:tc>
        <w:tc>
          <w:tcPr>
            <w:tcW w:w="700" w:type="dxa"/>
            <w:vAlign w:val="bottom"/>
          </w:tcPr>
          <w:p w:rsidR="00F92819" w:rsidRPr="00DE53A9" w:rsidRDefault="00F92819">
            <w:pPr>
              <w:spacing w:before="40" w:after="40" w:line="220" w:lineRule="exact"/>
              <w:jc w:val="right"/>
              <w:rPr>
                <w:bCs/>
                <w:sz w:val="18"/>
                <w:szCs w:val="24"/>
              </w:rPr>
            </w:pPr>
            <w:r w:rsidRPr="00DE53A9">
              <w:rPr>
                <w:bCs/>
                <w:sz w:val="18"/>
                <w:szCs w:val="24"/>
              </w:rPr>
              <w:t>21,3</w:t>
            </w:r>
          </w:p>
        </w:tc>
        <w:tc>
          <w:tcPr>
            <w:tcW w:w="700" w:type="dxa"/>
            <w:vAlign w:val="bottom"/>
          </w:tcPr>
          <w:p w:rsidR="00F92819" w:rsidRPr="00DE53A9" w:rsidRDefault="00F92819">
            <w:pPr>
              <w:spacing w:before="40" w:after="40" w:line="220" w:lineRule="exact"/>
              <w:jc w:val="right"/>
              <w:rPr>
                <w:bCs/>
                <w:sz w:val="18"/>
                <w:szCs w:val="24"/>
              </w:rPr>
            </w:pPr>
            <w:r w:rsidRPr="00DE53A9">
              <w:rPr>
                <w:bCs/>
                <w:sz w:val="18"/>
                <w:szCs w:val="24"/>
              </w:rPr>
              <w:t>35,6</w:t>
            </w:r>
          </w:p>
        </w:tc>
        <w:tc>
          <w:tcPr>
            <w:tcW w:w="700" w:type="dxa"/>
            <w:vAlign w:val="bottom"/>
          </w:tcPr>
          <w:p w:rsidR="00F92819" w:rsidRPr="00DE53A9" w:rsidRDefault="00F92819">
            <w:pPr>
              <w:spacing w:before="40" w:after="40" w:line="220" w:lineRule="exact"/>
              <w:jc w:val="right"/>
              <w:rPr>
                <w:bCs/>
                <w:sz w:val="18"/>
                <w:szCs w:val="24"/>
              </w:rPr>
            </w:pPr>
            <w:r w:rsidRPr="00DE53A9">
              <w:rPr>
                <w:bCs/>
                <w:sz w:val="18"/>
                <w:szCs w:val="24"/>
              </w:rPr>
              <w:t>11,6</w:t>
            </w:r>
          </w:p>
        </w:tc>
        <w:tc>
          <w:tcPr>
            <w:tcW w:w="700" w:type="dxa"/>
            <w:vAlign w:val="bottom"/>
          </w:tcPr>
          <w:p w:rsidR="00F92819" w:rsidRPr="00DE53A9" w:rsidRDefault="00F92819">
            <w:pPr>
              <w:spacing w:before="40" w:after="40" w:line="220" w:lineRule="exact"/>
              <w:jc w:val="right"/>
              <w:rPr>
                <w:bCs/>
                <w:sz w:val="18"/>
                <w:szCs w:val="24"/>
              </w:rPr>
            </w:pPr>
            <w:r w:rsidRPr="00DE53A9">
              <w:rPr>
                <w:bCs/>
                <w:sz w:val="18"/>
                <w:szCs w:val="24"/>
              </w:rPr>
              <w:t>9,4</w:t>
            </w:r>
          </w:p>
        </w:tc>
        <w:tc>
          <w:tcPr>
            <w:tcW w:w="600" w:type="dxa"/>
            <w:vAlign w:val="bottom"/>
          </w:tcPr>
          <w:p w:rsidR="00F92819" w:rsidRPr="00DE53A9" w:rsidRDefault="00F92819">
            <w:pPr>
              <w:spacing w:before="40" w:after="40" w:line="220" w:lineRule="exact"/>
              <w:jc w:val="right"/>
              <w:rPr>
                <w:bCs/>
                <w:sz w:val="18"/>
                <w:szCs w:val="24"/>
              </w:rPr>
            </w:pPr>
            <w:r w:rsidRPr="00DE53A9">
              <w:rPr>
                <w:bCs/>
                <w:sz w:val="18"/>
                <w:szCs w:val="24"/>
              </w:rPr>
              <w:t>1,6</w:t>
            </w:r>
          </w:p>
        </w:tc>
        <w:tc>
          <w:tcPr>
            <w:tcW w:w="600" w:type="dxa"/>
            <w:gridSpan w:val="2"/>
            <w:vAlign w:val="bottom"/>
          </w:tcPr>
          <w:p w:rsidR="00F92819" w:rsidRPr="00DE53A9" w:rsidRDefault="00F92819">
            <w:pPr>
              <w:spacing w:before="40" w:after="40" w:line="220" w:lineRule="exact"/>
              <w:jc w:val="right"/>
              <w:rPr>
                <w:bCs/>
                <w:sz w:val="18"/>
                <w:szCs w:val="24"/>
              </w:rPr>
            </w:pPr>
            <w:r w:rsidRPr="00DE53A9">
              <w:rPr>
                <w:bCs/>
                <w:sz w:val="18"/>
                <w:szCs w:val="24"/>
              </w:rPr>
              <w:t>3,2</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Pr="00DE53A9" w:rsidRDefault="00F92819">
            <w:pPr>
              <w:spacing w:before="40" w:after="40" w:line="220" w:lineRule="exact"/>
              <w:jc w:val="right"/>
              <w:rPr>
                <w:sz w:val="18"/>
                <w:szCs w:val="24"/>
              </w:rPr>
            </w:pPr>
            <w:r w:rsidRPr="00DE53A9">
              <w:rPr>
                <w:sz w:val="18"/>
                <w:szCs w:val="24"/>
              </w:rPr>
              <w:t>4 706,2</w:t>
            </w:r>
          </w:p>
        </w:tc>
      </w:tr>
      <w:tr w:rsidR="00F92819">
        <w:tc>
          <w:tcPr>
            <w:tcW w:w="1766" w:type="dxa"/>
            <w:vAlign w:val="center"/>
          </w:tcPr>
          <w:p w:rsidR="00F92819" w:rsidRDefault="00F92819">
            <w:pPr>
              <w:spacing w:before="40" w:after="40" w:line="220" w:lineRule="exact"/>
              <w:rPr>
                <w:sz w:val="18"/>
                <w:szCs w:val="24"/>
              </w:rPr>
            </w:pPr>
            <w:r>
              <w:rPr>
                <w:sz w:val="18"/>
                <w:szCs w:val="24"/>
              </w:rPr>
              <w:t>2004</w:t>
            </w:r>
          </w:p>
        </w:tc>
        <w:tc>
          <w:tcPr>
            <w:tcW w:w="700" w:type="dxa"/>
            <w:vAlign w:val="center"/>
          </w:tcPr>
          <w:p w:rsidR="00F92819" w:rsidRPr="00DE53A9" w:rsidRDefault="00F92819">
            <w:pPr>
              <w:spacing w:before="40" w:after="40" w:line="220" w:lineRule="exact"/>
              <w:jc w:val="right"/>
              <w:rPr>
                <w:bCs/>
                <w:sz w:val="18"/>
                <w:szCs w:val="24"/>
              </w:rPr>
            </w:pPr>
            <w:r w:rsidRPr="00DE53A9">
              <w:rPr>
                <w:bCs/>
                <w:sz w:val="18"/>
                <w:szCs w:val="24"/>
              </w:rPr>
              <w:t>12,5</w:t>
            </w:r>
          </w:p>
        </w:tc>
        <w:tc>
          <w:tcPr>
            <w:tcW w:w="600" w:type="dxa"/>
            <w:vAlign w:val="center"/>
          </w:tcPr>
          <w:p w:rsidR="00F92819" w:rsidRPr="00DE53A9" w:rsidRDefault="00F92819">
            <w:pPr>
              <w:spacing w:before="40" w:after="40" w:line="220" w:lineRule="exact"/>
              <w:jc w:val="right"/>
              <w:rPr>
                <w:bCs/>
                <w:sz w:val="18"/>
                <w:szCs w:val="24"/>
              </w:rPr>
            </w:pPr>
            <w:r w:rsidRPr="00DE53A9">
              <w:rPr>
                <w:bCs/>
                <w:sz w:val="18"/>
                <w:szCs w:val="24"/>
              </w:rPr>
              <w:t>18,4</w:t>
            </w:r>
          </w:p>
        </w:tc>
        <w:tc>
          <w:tcPr>
            <w:tcW w:w="700" w:type="dxa"/>
            <w:vAlign w:val="center"/>
          </w:tcPr>
          <w:p w:rsidR="00F92819" w:rsidRPr="00DE53A9" w:rsidRDefault="00F92819">
            <w:pPr>
              <w:spacing w:before="40" w:after="40" w:line="220" w:lineRule="exact"/>
              <w:jc w:val="right"/>
              <w:rPr>
                <w:bCs/>
                <w:sz w:val="18"/>
                <w:szCs w:val="24"/>
              </w:rPr>
            </w:pPr>
            <w:r w:rsidRPr="00DE53A9">
              <w:rPr>
                <w:bCs/>
                <w:sz w:val="18"/>
                <w:szCs w:val="24"/>
              </w:rPr>
              <w:t>21,9</w:t>
            </w:r>
          </w:p>
        </w:tc>
        <w:tc>
          <w:tcPr>
            <w:tcW w:w="700" w:type="dxa"/>
            <w:vAlign w:val="center"/>
          </w:tcPr>
          <w:p w:rsidR="00F92819" w:rsidRPr="00DE53A9" w:rsidRDefault="00F92819">
            <w:pPr>
              <w:spacing w:before="40" w:after="40" w:line="220" w:lineRule="exact"/>
              <w:jc w:val="right"/>
              <w:rPr>
                <w:bCs/>
                <w:sz w:val="18"/>
                <w:szCs w:val="24"/>
              </w:rPr>
            </w:pPr>
            <w:r w:rsidRPr="00DE53A9">
              <w:rPr>
                <w:bCs/>
                <w:sz w:val="18"/>
                <w:szCs w:val="24"/>
              </w:rPr>
              <w:t>35,3</w:t>
            </w:r>
          </w:p>
        </w:tc>
        <w:tc>
          <w:tcPr>
            <w:tcW w:w="700" w:type="dxa"/>
            <w:vAlign w:val="center"/>
          </w:tcPr>
          <w:p w:rsidR="00F92819" w:rsidRPr="00DE53A9" w:rsidRDefault="00F92819">
            <w:pPr>
              <w:spacing w:before="40" w:after="40" w:line="220" w:lineRule="exact"/>
              <w:jc w:val="right"/>
              <w:rPr>
                <w:bCs/>
                <w:sz w:val="18"/>
                <w:szCs w:val="24"/>
              </w:rPr>
            </w:pPr>
            <w:r w:rsidRPr="00DE53A9">
              <w:rPr>
                <w:bCs/>
                <w:sz w:val="18"/>
                <w:szCs w:val="24"/>
              </w:rPr>
              <w:t>11,2</w:t>
            </w:r>
          </w:p>
        </w:tc>
        <w:tc>
          <w:tcPr>
            <w:tcW w:w="700" w:type="dxa"/>
            <w:vAlign w:val="center"/>
          </w:tcPr>
          <w:p w:rsidR="00F92819" w:rsidRPr="00DE53A9" w:rsidRDefault="00F92819">
            <w:pPr>
              <w:spacing w:before="40" w:after="40" w:line="220" w:lineRule="exact"/>
              <w:jc w:val="right"/>
              <w:rPr>
                <w:bCs/>
                <w:sz w:val="18"/>
                <w:szCs w:val="24"/>
              </w:rPr>
            </w:pPr>
            <w:r w:rsidRPr="00DE53A9">
              <w:rPr>
                <w:bCs/>
                <w:sz w:val="18"/>
                <w:szCs w:val="24"/>
              </w:rPr>
              <w:t>8,6</w:t>
            </w:r>
          </w:p>
        </w:tc>
        <w:tc>
          <w:tcPr>
            <w:tcW w:w="600" w:type="dxa"/>
            <w:vAlign w:val="center"/>
          </w:tcPr>
          <w:p w:rsidR="00F92819" w:rsidRPr="00DE53A9" w:rsidRDefault="00F92819">
            <w:pPr>
              <w:spacing w:before="40" w:after="40" w:line="220" w:lineRule="exact"/>
              <w:jc w:val="right"/>
              <w:rPr>
                <w:bCs/>
                <w:sz w:val="18"/>
                <w:szCs w:val="24"/>
              </w:rPr>
            </w:pPr>
            <w:r w:rsidRPr="00DE53A9">
              <w:rPr>
                <w:bCs/>
                <w:sz w:val="18"/>
                <w:szCs w:val="24"/>
              </w:rPr>
              <w:t>1,6</w:t>
            </w:r>
          </w:p>
        </w:tc>
        <w:tc>
          <w:tcPr>
            <w:tcW w:w="600" w:type="dxa"/>
            <w:gridSpan w:val="2"/>
            <w:vAlign w:val="center"/>
          </w:tcPr>
          <w:p w:rsidR="00F92819" w:rsidRPr="00DE53A9" w:rsidRDefault="00F92819">
            <w:pPr>
              <w:spacing w:before="40" w:after="40" w:line="220" w:lineRule="exact"/>
              <w:jc w:val="right"/>
              <w:rPr>
                <w:bCs/>
                <w:sz w:val="18"/>
                <w:szCs w:val="24"/>
              </w:rPr>
            </w:pPr>
            <w:r w:rsidRPr="00DE53A9">
              <w:rPr>
                <w:bCs/>
                <w:sz w:val="18"/>
                <w:szCs w:val="24"/>
              </w:rPr>
              <w:t>2,9</w:t>
            </w:r>
          </w:p>
        </w:tc>
        <w:tc>
          <w:tcPr>
            <w:tcW w:w="489" w:type="dxa"/>
            <w:vAlign w:val="center"/>
          </w:tcPr>
          <w:p w:rsidR="00F92819" w:rsidRDefault="00F92819">
            <w:pPr>
              <w:spacing w:before="40" w:after="40" w:line="220" w:lineRule="exact"/>
              <w:jc w:val="right"/>
              <w:rPr>
                <w:b/>
                <w:sz w:val="18"/>
                <w:szCs w:val="24"/>
              </w:rPr>
            </w:pPr>
            <w:r>
              <w:rPr>
                <w:b/>
                <w:sz w:val="18"/>
                <w:szCs w:val="24"/>
              </w:rPr>
              <w:t>100</w:t>
            </w:r>
          </w:p>
        </w:tc>
        <w:tc>
          <w:tcPr>
            <w:tcW w:w="850" w:type="dxa"/>
            <w:vAlign w:val="center"/>
          </w:tcPr>
          <w:p w:rsidR="00F92819" w:rsidRPr="00DE53A9" w:rsidRDefault="00F92819">
            <w:pPr>
              <w:spacing w:before="40" w:after="40" w:line="220" w:lineRule="exact"/>
              <w:jc w:val="right"/>
              <w:rPr>
                <w:sz w:val="18"/>
                <w:szCs w:val="24"/>
              </w:rPr>
            </w:pPr>
            <w:r w:rsidRPr="00DE53A9">
              <w:rPr>
                <w:sz w:val="18"/>
                <w:szCs w:val="24"/>
              </w:rPr>
              <w:t>4 876</w:t>
            </w:r>
          </w:p>
        </w:tc>
      </w:tr>
      <w:tr w:rsidR="00F92819">
        <w:tc>
          <w:tcPr>
            <w:tcW w:w="1766" w:type="dxa"/>
            <w:tcBorders>
              <w:bottom w:val="single" w:sz="4" w:space="0" w:color="auto"/>
            </w:tcBorders>
            <w:vAlign w:val="center"/>
          </w:tcPr>
          <w:p w:rsidR="00F92819" w:rsidRDefault="00F92819">
            <w:pPr>
              <w:tabs>
                <w:tab w:val="right" w:pos="850"/>
                <w:tab w:val="left" w:pos="1134"/>
                <w:tab w:val="left" w:pos="1559"/>
                <w:tab w:val="left" w:pos="1984"/>
                <w:tab w:val="left" w:leader="dot" w:pos="8929"/>
                <w:tab w:val="right" w:pos="9638"/>
              </w:tabs>
              <w:spacing w:after="120"/>
              <w:rPr>
                <w:sz w:val="18"/>
                <w:szCs w:val="24"/>
              </w:rPr>
            </w:pPr>
            <w:r>
              <w:rPr>
                <w:sz w:val="18"/>
                <w:szCs w:val="24"/>
              </w:rPr>
              <w:t>2006</w:t>
            </w:r>
          </w:p>
        </w:tc>
        <w:tc>
          <w:tcPr>
            <w:tcW w:w="700" w:type="dxa"/>
            <w:tcBorders>
              <w:bottom w:val="single" w:sz="4" w:space="0" w:color="auto"/>
            </w:tcBorders>
            <w:vAlign w:val="center"/>
          </w:tcPr>
          <w:p w:rsidR="00F92819" w:rsidRPr="00DE53A9" w:rsidRDefault="00F92819">
            <w:pPr>
              <w:spacing w:before="40" w:after="40" w:line="220" w:lineRule="exact"/>
              <w:jc w:val="right"/>
              <w:rPr>
                <w:bCs/>
                <w:sz w:val="18"/>
                <w:szCs w:val="24"/>
              </w:rPr>
            </w:pPr>
            <w:r w:rsidRPr="00DE53A9">
              <w:rPr>
                <w:bCs/>
                <w:sz w:val="18"/>
                <w:szCs w:val="24"/>
              </w:rPr>
              <w:t>12,5</w:t>
            </w:r>
          </w:p>
        </w:tc>
        <w:tc>
          <w:tcPr>
            <w:tcW w:w="600" w:type="dxa"/>
            <w:tcBorders>
              <w:bottom w:val="single" w:sz="4" w:space="0" w:color="auto"/>
            </w:tcBorders>
            <w:vAlign w:val="center"/>
          </w:tcPr>
          <w:p w:rsidR="00F92819" w:rsidRPr="00DE53A9" w:rsidRDefault="00F92819">
            <w:pPr>
              <w:spacing w:before="40" w:after="40" w:line="220" w:lineRule="exact"/>
              <w:jc w:val="right"/>
              <w:rPr>
                <w:bCs/>
                <w:sz w:val="18"/>
                <w:szCs w:val="24"/>
              </w:rPr>
            </w:pPr>
            <w:r w:rsidRPr="00DE53A9">
              <w:rPr>
                <w:bCs/>
                <w:sz w:val="18"/>
                <w:szCs w:val="24"/>
              </w:rPr>
              <w:t>19,8</w:t>
            </w:r>
          </w:p>
        </w:tc>
        <w:tc>
          <w:tcPr>
            <w:tcW w:w="700" w:type="dxa"/>
            <w:tcBorders>
              <w:bottom w:val="single" w:sz="4" w:space="0" w:color="auto"/>
            </w:tcBorders>
            <w:vAlign w:val="center"/>
          </w:tcPr>
          <w:p w:rsidR="00F92819" w:rsidRPr="00DE53A9" w:rsidRDefault="00F92819">
            <w:pPr>
              <w:spacing w:before="40" w:after="40" w:line="220" w:lineRule="exact"/>
              <w:jc w:val="right"/>
              <w:rPr>
                <w:bCs/>
                <w:sz w:val="18"/>
                <w:szCs w:val="24"/>
              </w:rPr>
            </w:pPr>
            <w:r w:rsidRPr="00DE53A9">
              <w:rPr>
                <w:bCs/>
                <w:sz w:val="18"/>
                <w:szCs w:val="24"/>
              </w:rPr>
              <w:t>22</w:t>
            </w:r>
          </w:p>
        </w:tc>
        <w:tc>
          <w:tcPr>
            <w:tcW w:w="700" w:type="dxa"/>
            <w:tcBorders>
              <w:bottom w:val="single" w:sz="4" w:space="0" w:color="auto"/>
            </w:tcBorders>
            <w:vAlign w:val="center"/>
          </w:tcPr>
          <w:p w:rsidR="00F92819" w:rsidRPr="00DE53A9" w:rsidRDefault="00F92819">
            <w:pPr>
              <w:spacing w:before="40" w:after="40" w:line="220" w:lineRule="exact"/>
              <w:jc w:val="right"/>
              <w:rPr>
                <w:bCs/>
                <w:sz w:val="18"/>
                <w:szCs w:val="24"/>
              </w:rPr>
            </w:pPr>
            <w:r w:rsidRPr="00DE53A9">
              <w:rPr>
                <w:bCs/>
                <w:sz w:val="18"/>
                <w:szCs w:val="24"/>
              </w:rPr>
              <w:t>34,9</w:t>
            </w:r>
          </w:p>
        </w:tc>
        <w:tc>
          <w:tcPr>
            <w:tcW w:w="700" w:type="dxa"/>
            <w:tcBorders>
              <w:bottom w:val="single" w:sz="4" w:space="0" w:color="auto"/>
            </w:tcBorders>
            <w:vAlign w:val="center"/>
          </w:tcPr>
          <w:p w:rsidR="00F92819" w:rsidRPr="00DE53A9" w:rsidRDefault="00F92819">
            <w:pPr>
              <w:tabs>
                <w:tab w:val="right" w:pos="850"/>
                <w:tab w:val="left" w:pos="1134"/>
                <w:tab w:val="left" w:pos="1559"/>
                <w:tab w:val="left" w:pos="1984"/>
                <w:tab w:val="left" w:leader="dot" w:pos="8929"/>
                <w:tab w:val="right" w:pos="9638"/>
              </w:tabs>
              <w:spacing w:before="40" w:after="40" w:line="220" w:lineRule="exact"/>
              <w:jc w:val="right"/>
              <w:rPr>
                <w:bCs/>
                <w:sz w:val="18"/>
                <w:szCs w:val="24"/>
              </w:rPr>
            </w:pPr>
            <w:r w:rsidRPr="00DE53A9">
              <w:rPr>
                <w:bCs/>
                <w:sz w:val="18"/>
                <w:szCs w:val="24"/>
              </w:rPr>
              <w:t>10,9</w:t>
            </w:r>
          </w:p>
        </w:tc>
        <w:tc>
          <w:tcPr>
            <w:tcW w:w="700" w:type="dxa"/>
            <w:tcBorders>
              <w:bottom w:val="single" w:sz="4" w:space="0" w:color="auto"/>
            </w:tcBorders>
            <w:vAlign w:val="center"/>
          </w:tcPr>
          <w:p w:rsidR="00F92819" w:rsidRPr="00DE53A9" w:rsidRDefault="00F92819">
            <w:pPr>
              <w:spacing w:before="40" w:after="40" w:line="220" w:lineRule="exact"/>
              <w:jc w:val="right"/>
              <w:rPr>
                <w:bCs/>
                <w:sz w:val="18"/>
                <w:szCs w:val="24"/>
              </w:rPr>
            </w:pPr>
            <w:r w:rsidRPr="00DE53A9">
              <w:rPr>
                <w:bCs/>
                <w:sz w:val="18"/>
                <w:szCs w:val="24"/>
              </w:rPr>
              <w:t>8,2</w:t>
            </w:r>
          </w:p>
        </w:tc>
        <w:tc>
          <w:tcPr>
            <w:tcW w:w="600" w:type="dxa"/>
            <w:tcBorders>
              <w:bottom w:val="single" w:sz="4" w:space="0" w:color="auto"/>
            </w:tcBorders>
            <w:vAlign w:val="center"/>
          </w:tcPr>
          <w:p w:rsidR="00F92819" w:rsidRPr="00DE53A9" w:rsidRDefault="00F92819">
            <w:pPr>
              <w:spacing w:before="40" w:after="40" w:line="220" w:lineRule="exact"/>
              <w:jc w:val="right"/>
              <w:rPr>
                <w:bCs/>
                <w:sz w:val="18"/>
                <w:szCs w:val="24"/>
              </w:rPr>
            </w:pPr>
            <w:r w:rsidRPr="00DE53A9">
              <w:rPr>
                <w:bCs/>
                <w:sz w:val="18"/>
                <w:szCs w:val="24"/>
              </w:rPr>
              <w:t>1,5</w:t>
            </w:r>
          </w:p>
        </w:tc>
        <w:tc>
          <w:tcPr>
            <w:tcW w:w="600" w:type="dxa"/>
            <w:gridSpan w:val="2"/>
            <w:tcBorders>
              <w:bottom w:val="single" w:sz="4" w:space="0" w:color="auto"/>
            </w:tcBorders>
            <w:vAlign w:val="center"/>
          </w:tcPr>
          <w:p w:rsidR="00F92819" w:rsidRPr="00DE53A9" w:rsidRDefault="00F92819">
            <w:pPr>
              <w:spacing w:before="40" w:after="40" w:line="220" w:lineRule="exact"/>
              <w:jc w:val="right"/>
              <w:rPr>
                <w:bCs/>
                <w:sz w:val="18"/>
                <w:szCs w:val="24"/>
              </w:rPr>
            </w:pPr>
            <w:r w:rsidRPr="00DE53A9">
              <w:rPr>
                <w:bCs/>
                <w:sz w:val="18"/>
                <w:szCs w:val="24"/>
              </w:rPr>
              <w:t>2,8</w:t>
            </w:r>
          </w:p>
        </w:tc>
        <w:tc>
          <w:tcPr>
            <w:tcW w:w="489" w:type="dxa"/>
            <w:tcBorders>
              <w:bottom w:val="single" w:sz="4" w:space="0" w:color="auto"/>
            </w:tcBorders>
            <w:vAlign w:val="center"/>
          </w:tcPr>
          <w:p w:rsidR="00F92819" w:rsidRDefault="00F92819">
            <w:pPr>
              <w:spacing w:before="40" w:after="40" w:line="220" w:lineRule="exact"/>
              <w:jc w:val="right"/>
              <w:rPr>
                <w:b/>
                <w:sz w:val="18"/>
                <w:szCs w:val="24"/>
              </w:rPr>
            </w:pPr>
            <w:r>
              <w:rPr>
                <w:b/>
                <w:sz w:val="18"/>
                <w:szCs w:val="24"/>
              </w:rPr>
              <w:t>100</w:t>
            </w:r>
          </w:p>
        </w:tc>
        <w:tc>
          <w:tcPr>
            <w:tcW w:w="850" w:type="dxa"/>
            <w:tcBorders>
              <w:bottom w:val="single" w:sz="4" w:space="0" w:color="auto"/>
            </w:tcBorders>
            <w:vAlign w:val="center"/>
          </w:tcPr>
          <w:p w:rsidR="00F92819" w:rsidRPr="00DE53A9" w:rsidRDefault="00F92819">
            <w:pPr>
              <w:spacing w:before="40" w:after="40" w:line="220" w:lineRule="exact"/>
              <w:jc w:val="right"/>
              <w:rPr>
                <w:sz w:val="18"/>
                <w:szCs w:val="24"/>
              </w:rPr>
            </w:pPr>
            <w:r w:rsidRPr="00DE53A9">
              <w:rPr>
                <w:sz w:val="18"/>
                <w:szCs w:val="24"/>
              </w:rPr>
              <w:t>5 053,1</w:t>
            </w:r>
          </w:p>
        </w:tc>
      </w:tr>
      <w:tr w:rsidR="00F92819">
        <w:tc>
          <w:tcPr>
            <w:tcW w:w="8405" w:type="dxa"/>
            <w:gridSpan w:val="12"/>
            <w:tcBorders>
              <w:top w:val="single" w:sz="4" w:space="0" w:color="auto"/>
              <w:bottom w:val="single" w:sz="4" w:space="0" w:color="auto"/>
            </w:tcBorders>
            <w:vAlign w:val="bottom"/>
          </w:tcPr>
          <w:p w:rsidR="00F92819" w:rsidRDefault="00F92819">
            <w:pPr>
              <w:spacing w:before="80" w:after="80" w:line="220" w:lineRule="exact"/>
              <w:ind w:firstLine="284"/>
              <w:rPr>
                <w:szCs w:val="24"/>
              </w:rPr>
            </w:pPr>
            <w:r>
              <w:rPr>
                <w:b/>
                <w:sz w:val="18"/>
                <w:szCs w:val="24"/>
                <w:lang w:val="es-ES_tradnl"/>
              </w:rPr>
              <w:t>2007 – Total</w:t>
            </w:r>
          </w:p>
        </w:tc>
      </w:tr>
      <w:tr w:rsidR="00F92819">
        <w:tc>
          <w:tcPr>
            <w:tcW w:w="1766"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 Miles</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1 035</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1 143,4</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1 792,7</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535,4</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403,5</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62,1</w:t>
            </w:r>
          </w:p>
        </w:tc>
        <w:tc>
          <w:tcPr>
            <w:tcW w:w="600" w:type="dxa"/>
            <w:gridSpan w:val="2"/>
            <w:tcBorders>
              <w:top w:val="single" w:sz="4" w:space="0" w:color="auto"/>
            </w:tcBorders>
            <w:vAlign w:val="bottom"/>
          </w:tcPr>
          <w:p w:rsidR="00F92819" w:rsidRDefault="00F92819">
            <w:pPr>
              <w:spacing w:before="40" w:after="40" w:line="220" w:lineRule="exact"/>
              <w:jc w:val="right"/>
              <w:rPr>
                <w:sz w:val="18"/>
                <w:szCs w:val="24"/>
              </w:rPr>
            </w:pPr>
            <w:r>
              <w:rPr>
                <w:sz w:val="18"/>
                <w:szCs w:val="24"/>
              </w:rPr>
              <w:t>129,8</w:t>
            </w:r>
          </w:p>
        </w:tc>
        <w:tc>
          <w:tcPr>
            <w:tcW w:w="489" w:type="dxa"/>
            <w:tcBorders>
              <w:top w:val="single" w:sz="4" w:space="0" w:color="auto"/>
            </w:tcBorders>
            <w:vAlign w:val="bottom"/>
          </w:tcPr>
          <w:p w:rsidR="00F92819" w:rsidRDefault="00F92819">
            <w:pPr>
              <w:spacing w:before="40" w:after="40" w:line="220" w:lineRule="exact"/>
              <w:jc w:val="right"/>
              <w:rPr>
                <w:b/>
                <w:sz w:val="18"/>
                <w:szCs w:val="24"/>
              </w:rPr>
            </w:pPr>
          </w:p>
        </w:tc>
        <w:tc>
          <w:tcPr>
            <w:tcW w:w="85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5 142,4</w:t>
            </w:r>
          </w:p>
        </w:tc>
      </w:tr>
      <w:tr w:rsidR="00F92819">
        <w:tc>
          <w:tcPr>
            <w:tcW w:w="1766" w:type="dxa"/>
            <w:vAlign w:val="bottom"/>
          </w:tcPr>
          <w:p w:rsidR="00F92819" w:rsidRDefault="00F92819">
            <w:pPr>
              <w:spacing w:before="40" w:after="40" w:line="220" w:lineRule="exact"/>
              <w:rPr>
                <w:szCs w:val="24"/>
              </w:rPr>
            </w:pPr>
            <w:r>
              <w:rPr>
                <w:sz w:val="18"/>
                <w:szCs w:val="24"/>
                <w:lang w:val="es-ES_tradnl"/>
              </w:rPr>
              <w:t xml:space="preserve">- </w:t>
            </w:r>
            <w:r w:rsidR="00D715FC">
              <w:rPr>
                <w:sz w:val="18"/>
                <w:szCs w:val="24"/>
                <w:lang w:val="es-ES_tradnl"/>
              </w:rPr>
              <w:t>Porcentaje</w:t>
            </w:r>
          </w:p>
        </w:tc>
        <w:tc>
          <w:tcPr>
            <w:tcW w:w="700" w:type="dxa"/>
            <w:vAlign w:val="bottom"/>
          </w:tcPr>
          <w:p w:rsidR="00F92819" w:rsidRDefault="00F92819">
            <w:pPr>
              <w:spacing w:before="40" w:after="40" w:line="220" w:lineRule="exact"/>
              <w:jc w:val="right"/>
              <w:rPr>
                <w:sz w:val="18"/>
                <w:szCs w:val="24"/>
              </w:rPr>
            </w:pPr>
            <w:r>
              <w:rPr>
                <w:sz w:val="18"/>
                <w:szCs w:val="24"/>
              </w:rPr>
              <w:t>12,6</w:t>
            </w:r>
          </w:p>
        </w:tc>
        <w:tc>
          <w:tcPr>
            <w:tcW w:w="600" w:type="dxa"/>
            <w:vAlign w:val="bottom"/>
          </w:tcPr>
          <w:p w:rsidR="00F92819" w:rsidRDefault="00F92819">
            <w:pPr>
              <w:spacing w:before="40" w:after="40" w:line="220" w:lineRule="exact"/>
              <w:jc w:val="right"/>
              <w:rPr>
                <w:sz w:val="18"/>
                <w:szCs w:val="24"/>
              </w:rPr>
            </w:pPr>
            <w:r>
              <w:rPr>
                <w:sz w:val="18"/>
                <w:szCs w:val="24"/>
              </w:rPr>
              <w:t>20,3</w:t>
            </w:r>
          </w:p>
        </w:tc>
        <w:tc>
          <w:tcPr>
            <w:tcW w:w="700" w:type="dxa"/>
            <w:vAlign w:val="bottom"/>
          </w:tcPr>
          <w:p w:rsidR="00F92819" w:rsidRDefault="00F92819">
            <w:pPr>
              <w:spacing w:before="40" w:after="40" w:line="220" w:lineRule="exact"/>
              <w:jc w:val="right"/>
              <w:rPr>
                <w:sz w:val="18"/>
                <w:szCs w:val="24"/>
              </w:rPr>
            </w:pPr>
            <w:r>
              <w:rPr>
                <w:sz w:val="18"/>
                <w:szCs w:val="24"/>
              </w:rPr>
              <w:t>22,4</w:t>
            </w:r>
          </w:p>
        </w:tc>
        <w:tc>
          <w:tcPr>
            <w:tcW w:w="700" w:type="dxa"/>
            <w:vAlign w:val="bottom"/>
          </w:tcPr>
          <w:p w:rsidR="00F92819" w:rsidRDefault="00F92819">
            <w:pPr>
              <w:spacing w:before="40" w:after="40" w:line="220" w:lineRule="exact"/>
              <w:jc w:val="right"/>
              <w:rPr>
                <w:sz w:val="18"/>
                <w:szCs w:val="24"/>
              </w:rPr>
            </w:pPr>
            <w:r>
              <w:rPr>
                <w:sz w:val="18"/>
                <w:szCs w:val="24"/>
              </w:rPr>
              <w:t>35,1</w:t>
            </w:r>
          </w:p>
        </w:tc>
        <w:tc>
          <w:tcPr>
            <w:tcW w:w="700" w:type="dxa"/>
            <w:vAlign w:val="bottom"/>
          </w:tcPr>
          <w:p w:rsidR="00F92819" w:rsidRDefault="00F92819">
            <w:pPr>
              <w:spacing w:before="40" w:after="40" w:line="220" w:lineRule="exact"/>
              <w:jc w:val="right"/>
              <w:rPr>
                <w:sz w:val="18"/>
                <w:szCs w:val="24"/>
              </w:rPr>
            </w:pPr>
            <w:r>
              <w:rPr>
                <w:sz w:val="18"/>
                <w:szCs w:val="24"/>
              </w:rPr>
              <w:t>10,5</w:t>
            </w:r>
          </w:p>
        </w:tc>
        <w:tc>
          <w:tcPr>
            <w:tcW w:w="700" w:type="dxa"/>
            <w:vAlign w:val="bottom"/>
          </w:tcPr>
          <w:p w:rsidR="00F92819" w:rsidRDefault="00F92819">
            <w:pPr>
              <w:spacing w:before="40" w:after="40" w:line="220" w:lineRule="exact"/>
              <w:jc w:val="right"/>
              <w:rPr>
                <w:sz w:val="18"/>
                <w:szCs w:val="24"/>
              </w:rPr>
            </w:pPr>
            <w:r>
              <w:rPr>
                <w:sz w:val="18"/>
                <w:szCs w:val="24"/>
              </w:rPr>
              <w:t>7,9</w:t>
            </w:r>
          </w:p>
        </w:tc>
        <w:tc>
          <w:tcPr>
            <w:tcW w:w="600" w:type="dxa"/>
            <w:vAlign w:val="bottom"/>
          </w:tcPr>
          <w:p w:rsidR="00F92819" w:rsidRDefault="00F92819">
            <w:pPr>
              <w:spacing w:before="40" w:after="40" w:line="220" w:lineRule="exact"/>
              <w:jc w:val="right"/>
              <w:rPr>
                <w:sz w:val="18"/>
                <w:szCs w:val="24"/>
              </w:rPr>
            </w:pPr>
            <w:r>
              <w:rPr>
                <w:sz w:val="18"/>
                <w:szCs w:val="24"/>
              </w:rPr>
              <w:t>1,2</w:t>
            </w:r>
          </w:p>
        </w:tc>
        <w:tc>
          <w:tcPr>
            <w:tcW w:w="600" w:type="dxa"/>
            <w:gridSpan w:val="2"/>
            <w:vAlign w:val="bottom"/>
          </w:tcPr>
          <w:p w:rsidR="00F92819" w:rsidRDefault="00F92819">
            <w:pPr>
              <w:spacing w:before="40" w:after="40" w:line="220" w:lineRule="exact"/>
              <w:jc w:val="right"/>
              <w:rPr>
                <w:sz w:val="18"/>
                <w:szCs w:val="24"/>
              </w:rPr>
            </w:pPr>
            <w:r>
              <w:rPr>
                <w:sz w:val="18"/>
                <w:szCs w:val="24"/>
              </w:rPr>
              <w:t>2,5</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p>
        </w:tc>
      </w:tr>
      <w:tr w:rsidR="00F92819">
        <w:tc>
          <w:tcPr>
            <w:tcW w:w="8405" w:type="dxa"/>
            <w:gridSpan w:val="12"/>
            <w:vAlign w:val="bottom"/>
          </w:tcPr>
          <w:p w:rsidR="00F92819" w:rsidRDefault="00F92819">
            <w:pPr>
              <w:spacing w:before="80" w:after="80" w:line="200" w:lineRule="exact"/>
              <w:rPr>
                <w:szCs w:val="24"/>
              </w:rPr>
            </w:pPr>
            <w:r>
              <w:rPr>
                <w:i/>
                <w:sz w:val="16"/>
                <w:szCs w:val="24"/>
                <w:lang w:val="es-ES_tradnl"/>
              </w:rPr>
              <w:t>Edad</w:t>
            </w:r>
          </w:p>
        </w:tc>
      </w:tr>
      <w:tr w:rsidR="00F92819">
        <w:tc>
          <w:tcPr>
            <w:tcW w:w="1766" w:type="dxa"/>
            <w:vAlign w:val="bottom"/>
          </w:tcPr>
          <w:p w:rsidR="00F92819" w:rsidRDefault="00F92819">
            <w:pPr>
              <w:spacing w:before="40" w:after="40" w:line="220" w:lineRule="exact"/>
              <w:rPr>
                <w:szCs w:val="24"/>
              </w:rPr>
            </w:pPr>
            <w:r>
              <w:rPr>
                <w:sz w:val="18"/>
                <w:szCs w:val="24"/>
              </w:rPr>
              <w:t>15</w:t>
            </w:r>
            <w:r w:rsidR="008C04D7">
              <w:rPr>
                <w:sz w:val="18"/>
                <w:szCs w:val="24"/>
              </w:rPr>
              <w:t xml:space="preserve"> a </w:t>
            </w:r>
            <w:r>
              <w:rPr>
                <w:sz w:val="18"/>
                <w:szCs w:val="24"/>
              </w:rPr>
              <w:t>17</w:t>
            </w:r>
          </w:p>
        </w:tc>
        <w:tc>
          <w:tcPr>
            <w:tcW w:w="700" w:type="dxa"/>
            <w:vAlign w:val="bottom"/>
          </w:tcPr>
          <w:p w:rsidR="00F92819" w:rsidRDefault="00F92819">
            <w:pPr>
              <w:spacing w:before="40" w:after="40" w:line="220" w:lineRule="exact"/>
              <w:jc w:val="right"/>
              <w:rPr>
                <w:sz w:val="18"/>
                <w:szCs w:val="24"/>
              </w:rPr>
            </w:pPr>
            <w:r>
              <w:rPr>
                <w:sz w:val="18"/>
                <w:szCs w:val="24"/>
              </w:rPr>
              <w:t>11,1</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700" w:type="dxa"/>
            <w:vAlign w:val="bottom"/>
          </w:tcPr>
          <w:p w:rsidR="00F92819" w:rsidRDefault="00F92819">
            <w:pPr>
              <w:spacing w:before="40" w:after="40" w:line="220" w:lineRule="exact"/>
              <w:jc w:val="right"/>
              <w:rPr>
                <w:sz w:val="18"/>
                <w:szCs w:val="24"/>
              </w:rPr>
            </w:pPr>
            <w:r>
              <w:rPr>
                <w:sz w:val="18"/>
                <w:szCs w:val="24"/>
              </w:rPr>
              <w:t>0,3</w:t>
            </w:r>
          </w:p>
        </w:tc>
        <w:tc>
          <w:tcPr>
            <w:tcW w:w="700" w:type="dxa"/>
            <w:vAlign w:val="bottom"/>
          </w:tcPr>
          <w:p w:rsidR="00F92819" w:rsidRDefault="00F92819">
            <w:pPr>
              <w:spacing w:before="40" w:after="40" w:line="220" w:lineRule="exact"/>
              <w:jc w:val="right"/>
              <w:rPr>
                <w:sz w:val="18"/>
                <w:szCs w:val="24"/>
              </w:rPr>
            </w:pPr>
            <w:r>
              <w:rPr>
                <w:sz w:val="18"/>
                <w:szCs w:val="24"/>
              </w:rPr>
              <w:t>52,4</w:t>
            </w:r>
          </w:p>
        </w:tc>
        <w:tc>
          <w:tcPr>
            <w:tcW w:w="700" w:type="dxa"/>
            <w:vAlign w:val="bottom"/>
          </w:tcPr>
          <w:p w:rsidR="00F92819" w:rsidRDefault="00F92819">
            <w:pPr>
              <w:spacing w:before="40" w:after="40" w:line="220" w:lineRule="exact"/>
              <w:jc w:val="right"/>
              <w:rPr>
                <w:sz w:val="18"/>
                <w:szCs w:val="24"/>
              </w:rPr>
            </w:pPr>
            <w:r>
              <w:rPr>
                <w:sz w:val="18"/>
                <w:szCs w:val="24"/>
              </w:rPr>
              <w:t>44,1</w:t>
            </w:r>
          </w:p>
        </w:tc>
        <w:tc>
          <w:tcPr>
            <w:tcW w:w="700" w:type="dxa"/>
            <w:vAlign w:val="bottom"/>
          </w:tcPr>
          <w:p w:rsidR="00F92819" w:rsidRDefault="00F92819">
            <w:pPr>
              <w:spacing w:before="40" w:after="40" w:line="220" w:lineRule="exact"/>
              <w:jc w:val="right"/>
              <w:rPr>
                <w:sz w:val="18"/>
                <w:szCs w:val="24"/>
              </w:rPr>
            </w:pPr>
            <w:r>
              <w:rPr>
                <w:sz w:val="18"/>
                <w:szCs w:val="24"/>
              </w:rPr>
              <w:t>2,8</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0,3</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350,6</w:t>
            </w:r>
          </w:p>
        </w:tc>
      </w:tr>
      <w:tr w:rsidR="00F92819">
        <w:tc>
          <w:tcPr>
            <w:tcW w:w="1766" w:type="dxa"/>
            <w:vAlign w:val="bottom"/>
          </w:tcPr>
          <w:p w:rsidR="00F92819" w:rsidRDefault="00F92819">
            <w:pPr>
              <w:spacing w:before="40" w:after="40" w:line="220" w:lineRule="exact"/>
              <w:rPr>
                <w:szCs w:val="24"/>
              </w:rPr>
            </w:pPr>
            <w:r>
              <w:rPr>
                <w:sz w:val="18"/>
                <w:szCs w:val="24"/>
              </w:rPr>
              <w:t>18</w:t>
            </w:r>
            <w:r w:rsidR="008C04D7">
              <w:rPr>
                <w:sz w:val="18"/>
                <w:szCs w:val="24"/>
              </w:rPr>
              <w:t xml:space="preserve"> a </w:t>
            </w:r>
            <w:r>
              <w:rPr>
                <w:sz w:val="18"/>
                <w:szCs w:val="24"/>
              </w:rPr>
              <w:t>24</w:t>
            </w:r>
          </w:p>
        </w:tc>
        <w:tc>
          <w:tcPr>
            <w:tcW w:w="700" w:type="dxa"/>
            <w:vAlign w:val="bottom"/>
          </w:tcPr>
          <w:p w:rsidR="00F92819" w:rsidRDefault="00F92819">
            <w:pPr>
              <w:spacing w:before="40" w:after="40" w:line="220" w:lineRule="exact"/>
              <w:jc w:val="right"/>
              <w:rPr>
                <w:sz w:val="18"/>
                <w:szCs w:val="24"/>
              </w:rPr>
            </w:pPr>
            <w:r>
              <w:rPr>
                <w:sz w:val="18"/>
                <w:szCs w:val="24"/>
              </w:rPr>
              <w:t>12,4</w:t>
            </w:r>
          </w:p>
        </w:tc>
        <w:tc>
          <w:tcPr>
            <w:tcW w:w="600" w:type="dxa"/>
            <w:vAlign w:val="bottom"/>
          </w:tcPr>
          <w:p w:rsidR="00F92819" w:rsidRDefault="00F92819">
            <w:pPr>
              <w:spacing w:before="40" w:after="40" w:line="220" w:lineRule="exact"/>
              <w:jc w:val="right"/>
              <w:rPr>
                <w:sz w:val="18"/>
                <w:szCs w:val="24"/>
              </w:rPr>
            </w:pPr>
            <w:r>
              <w:rPr>
                <w:sz w:val="18"/>
                <w:szCs w:val="24"/>
              </w:rPr>
              <w:t>4,3</w:t>
            </w:r>
          </w:p>
        </w:tc>
        <w:tc>
          <w:tcPr>
            <w:tcW w:w="700" w:type="dxa"/>
            <w:vAlign w:val="bottom"/>
          </w:tcPr>
          <w:p w:rsidR="00F92819" w:rsidRDefault="00F92819">
            <w:pPr>
              <w:spacing w:before="40" w:after="40" w:line="220" w:lineRule="exact"/>
              <w:jc w:val="right"/>
              <w:rPr>
                <w:sz w:val="18"/>
                <w:szCs w:val="24"/>
              </w:rPr>
            </w:pPr>
            <w:r>
              <w:rPr>
                <w:sz w:val="18"/>
                <w:szCs w:val="24"/>
              </w:rPr>
              <w:t>26,9</w:t>
            </w:r>
          </w:p>
        </w:tc>
        <w:tc>
          <w:tcPr>
            <w:tcW w:w="700" w:type="dxa"/>
            <w:vAlign w:val="bottom"/>
          </w:tcPr>
          <w:p w:rsidR="00F92819" w:rsidRDefault="00F92819">
            <w:pPr>
              <w:spacing w:before="40" w:after="40" w:line="220" w:lineRule="exact"/>
              <w:jc w:val="right"/>
              <w:rPr>
                <w:sz w:val="18"/>
                <w:szCs w:val="24"/>
              </w:rPr>
            </w:pPr>
            <w:r>
              <w:rPr>
                <w:sz w:val="18"/>
                <w:szCs w:val="24"/>
              </w:rPr>
              <w:t>60,9</w:t>
            </w:r>
          </w:p>
        </w:tc>
        <w:tc>
          <w:tcPr>
            <w:tcW w:w="700" w:type="dxa"/>
            <w:vAlign w:val="bottom"/>
          </w:tcPr>
          <w:p w:rsidR="00F92819" w:rsidRDefault="00F92819">
            <w:pPr>
              <w:spacing w:before="40" w:after="40" w:line="220" w:lineRule="exact"/>
              <w:jc w:val="right"/>
              <w:rPr>
                <w:sz w:val="18"/>
                <w:szCs w:val="24"/>
              </w:rPr>
            </w:pPr>
            <w:r>
              <w:rPr>
                <w:sz w:val="18"/>
                <w:szCs w:val="24"/>
              </w:rPr>
              <w:t>4,7</w:t>
            </w:r>
          </w:p>
        </w:tc>
        <w:tc>
          <w:tcPr>
            <w:tcW w:w="700" w:type="dxa"/>
            <w:vAlign w:val="bottom"/>
          </w:tcPr>
          <w:p w:rsidR="00F92819" w:rsidRDefault="00F92819">
            <w:pPr>
              <w:spacing w:before="40" w:after="40" w:line="220" w:lineRule="exact"/>
              <w:jc w:val="right"/>
              <w:rPr>
                <w:sz w:val="18"/>
                <w:szCs w:val="24"/>
              </w:rPr>
            </w:pPr>
            <w:r>
              <w:rPr>
                <w:sz w:val="18"/>
                <w:szCs w:val="24"/>
              </w:rPr>
              <w:t>2,4</w:t>
            </w:r>
          </w:p>
        </w:tc>
        <w:tc>
          <w:tcPr>
            <w:tcW w:w="600" w:type="dxa"/>
            <w:vAlign w:val="bottom"/>
          </w:tcPr>
          <w:p w:rsidR="00F92819" w:rsidRDefault="00F92819">
            <w:pPr>
              <w:spacing w:before="40" w:after="40" w:line="220" w:lineRule="exact"/>
              <w:jc w:val="right"/>
              <w:rPr>
                <w:sz w:val="18"/>
                <w:szCs w:val="24"/>
              </w:rPr>
            </w:pPr>
            <w:r>
              <w:rPr>
                <w:sz w:val="18"/>
                <w:szCs w:val="24"/>
              </w:rPr>
              <w:t>0,3</w:t>
            </w:r>
          </w:p>
        </w:tc>
        <w:tc>
          <w:tcPr>
            <w:tcW w:w="600" w:type="dxa"/>
            <w:gridSpan w:val="2"/>
            <w:vAlign w:val="bottom"/>
          </w:tcPr>
          <w:p w:rsidR="00F92819" w:rsidRDefault="00F92819">
            <w:pPr>
              <w:spacing w:before="40" w:after="40" w:line="220" w:lineRule="exact"/>
              <w:jc w:val="right"/>
              <w:rPr>
                <w:sz w:val="18"/>
                <w:szCs w:val="24"/>
              </w:rPr>
            </w:pPr>
            <w:r>
              <w:rPr>
                <w:sz w:val="18"/>
                <w:szCs w:val="24"/>
              </w:rPr>
              <w:t>0,5</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801,2</w:t>
            </w:r>
          </w:p>
        </w:tc>
      </w:tr>
      <w:tr w:rsidR="00F92819">
        <w:tc>
          <w:tcPr>
            <w:tcW w:w="1766" w:type="dxa"/>
            <w:vAlign w:val="bottom"/>
          </w:tcPr>
          <w:p w:rsidR="00F92819" w:rsidRDefault="00F92819">
            <w:pPr>
              <w:spacing w:before="40" w:after="40" w:line="220" w:lineRule="exact"/>
              <w:rPr>
                <w:szCs w:val="24"/>
              </w:rPr>
            </w:pPr>
            <w:r>
              <w:rPr>
                <w:sz w:val="18"/>
                <w:szCs w:val="24"/>
              </w:rPr>
              <w:t>25</w:t>
            </w:r>
            <w:r w:rsidR="008C04D7">
              <w:rPr>
                <w:sz w:val="18"/>
                <w:szCs w:val="24"/>
              </w:rPr>
              <w:t xml:space="preserve"> a </w:t>
            </w:r>
            <w:r>
              <w:rPr>
                <w:sz w:val="18"/>
                <w:szCs w:val="24"/>
              </w:rPr>
              <w:t>34</w:t>
            </w:r>
          </w:p>
        </w:tc>
        <w:tc>
          <w:tcPr>
            <w:tcW w:w="700" w:type="dxa"/>
            <w:vAlign w:val="bottom"/>
          </w:tcPr>
          <w:p w:rsidR="00F92819" w:rsidRDefault="00F92819">
            <w:pPr>
              <w:spacing w:before="40" w:after="40" w:line="220" w:lineRule="exact"/>
              <w:jc w:val="right"/>
              <w:rPr>
                <w:sz w:val="18"/>
                <w:szCs w:val="24"/>
              </w:rPr>
            </w:pPr>
            <w:r>
              <w:rPr>
                <w:sz w:val="18"/>
                <w:szCs w:val="24"/>
              </w:rPr>
              <w:t>13,6</w:t>
            </w:r>
          </w:p>
        </w:tc>
        <w:tc>
          <w:tcPr>
            <w:tcW w:w="600" w:type="dxa"/>
            <w:vAlign w:val="bottom"/>
          </w:tcPr>
          <w:p w:rsidR="00F92819" w:rsidRDefault="00F92819">
            <w:pPr>
              <w:spacing w:before="40" w:after="40" w:line="220" w:lineRule="exact"/>
              <w:jc w:val="right"/>
              <w:rPr>
                <w:sz w:val="18"/>
                <w:szCs w:val="24"/>
              </w:rPr>
            </w:pPr>
            <w:r>
              <w:rPr>
                <w:sz w:val="18"/>
                <w:szCs w:val="24"/>
              </w:rPr>
              <w:t>28,6</w:t>
            </w:r>
          </w:p>
        </w:tc>
        <w:tc>
          <w:tcPr>
            <w:tcW w:w="700" w:type="dxa"/>
            <w:vAlign w:val="bottom"/>
          </w:tcPr>
          <w:p w:rsidR="00F92819" w:rsidRDefault="00F92819">
            <w:pPr>
              <w:spacing w:before="40" w:after="40" w:line="220" w:lineRule="exact"/>
              <w:jc w:val="right"/>
              <w:rPr>
                <w:sz w:val="18"/>
                <w:szCs w:val="24"/>
              </w:rPr>
            </w:pPr>
            <w:r>
              <w:rPr>
                <w:sz w:val="18"/>
                <w:szCs w:val="24"/>
              </w:rPr>
              <w:t>28,3</w:t>
            </w:r>
          </w:p>
        </w:tc>
        <w:tc>
          <w:tcPr>
            <w:tcW w:w="700" w:type="dxa"/>
            <w:vAlign w:val="bottom"/>
          </w:tcPr>
          <w:p w:rsidR="00F92819" w:rsidRDefault="00F92819">
            <w:pPr>
              <w:spacing w:before="40" w:after="40" w:line="220" w:lineRule="exact"/>
              <w:jc w:val="right"/>
              <w:rPr>
                <w:sz w:val="18"/>
                <w:szCs w:val="24"/>
              </w:rPr>
            </w:pPr>
            <w:r>
              <w:rPr>
                <w:sz w:val="18"/>
                <w:szCs w:val="24"/>
              </w:rPr>
              <w:t>31,2</w:t>
            </w:r>
          </w:p>
        </w:tc>
        <w:tc>
          <w:tcPr>
            <w:tcW w:w="700" w:type="dxa"/>
            <w:vAlign w:val="bottom"/>
          </w:tcPr>
          <w:p w:rsidR="00F92819" w:rsidRDefault="00F92819">
            <w:pPr>
              <w:spacing w:before="40" w:after="40" w:line="220" w:lineRule="exact"/>
              <w:jc w:val="right"/>
              <w:rPr>
                <w:sz w:val="18"/>
                <w:szCs w:val="24"/>
              </w:rPr>
            </w:pPr>
            <w:r>
              <w:rPr>
                <w:sz w:val="18"/>
                <w:szCs w:val="24"/>
              </w:rPr>
              <w:t>6,7</w:t>
            </w:r>
          </w:p>
        </w:tc>
        <w:tc>
          <w:tcPr>
            <w:tcW w:w="700" w:type="dxa"/>
            <w:vAlign w:val="bottom"/>
          </w:tcPr>
          <w:p w:rsidR="00F92819" w:rsidRDefault="00F92819">
            <w:pPr>
              <w:spacing w:before="40" w:after="40" w:line="220" w:lineRule="exact"/>
              <w:jc w:val="right"/>
              <w:rPr>
                <w:sz w:val="18"/>
                <w:szCs w:val="24"/>
              </w:rPr>
            </w:pPr>
            <w:r>
              <w:rPr>
                <w:sz w:val="18"/>
                <w:szCs w:val="24"/>
              </w:rPr>
              <w:t>3,9</w:t>
            </w:r>
          </w:p>
        </w:tc>
        <w:tc>
          <w:tcPr>
            <w:tcW w:w="600" w:type="dxa"/>
            <w:vAlign w:val="bottom"/>
          </w:tcPr>
          <w:p w:rsidR="00F92819" w:rsidRDefault="00F92819">
            <w:pPr>
              <w:spacing w:before="40" w:after="40" w:line="220" w:lineRule="exact"/>
              <w:jc w:val="right"/>
              <w:rPr>
                <w:sz w:val="18"/>
                <w:szCs w:val="24"/>
              </w:rPr>
            </w:pPr>
            <w:r>
              <w:rPr>
                <w:sz w:val="18"/>
                <w:szCs w:val="24"/>
              </w:rPr>
              <w:t>0,3</w:t>
            </w:r>
          </w:p>
        </w:tc>
        <w:tc>
          <w:tcPr>
            <w:tcW w:w="600" w:type="dxa"/>
            <w:gridSpan w:val="2"/>
            <w:vAlign w:val="bottom"/>
          </w:tcPr>
          <w:p w:rsidR="00F92819" w:rsidRDefault="00F92819">
            <w:pPr>
              <w:spacing w:before="40" w:after="40" w:line="220" w:lineRule="exact"/>
              <w:jc w:val="right"/>
              <w:rPr>
                <w:sz w:val="18"/>
                <w:szCs w:val="24"/>
              </w:rPr>
            </w:pPr>
            <w:r>
              <w:rPr>
                <w:sz w:val="18"/>
                <w:szCs w:val="24"/>
              </w:rPr>
              <w:t>0,9</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1 077,1</w:t>
            </w:r>
          </w:p>
        </w:tc>
      </w:tr>
      <w:tr w:rsidR="00F92819">
        <w:tc>
          <w:tcPr>
            <w:tcW w:w="1766" w:type="dxa"/>
            <w:vAlign w:val="bottom"/>
          </w:tcPr>
          <w:p w:rsidR="00F92819" w:rsidRDefault="00F92819">
            <w:pPr>
              <w:spacing w:before="40" w:after="40" w:line="220" w:lineRule="exact"/>
              <w:rPr>
                <w:szCs w:val="24"/>
              </w:rPr>
            </w:pPr>
            <w:r>
              <w:rPr>
                <w:sz w:val="18"/>
                <w:szCs w:val="24"/>
              </w:rPr>
              <w:t>35</w:t>
            </w:r>
            <w:r w:rsidR="008C04D7">
              <w:rPr>
                <w:sz w:val="18"/>
                <w:szCs w:val="24"/>
              </w:rPr>
              <w:t xml:space="preserve"> a </w:t>
            </w:r>
            <w:r>
              <w:rPr>
                <w:sz w:val="18"/>
                <w:szCs w:val="24"/>
              </w:rPr>
              <w:t>44</w:t>
            </w:r>
          </w:p>
        </w:tc>
        <w:tc>
          <w:tcPr>
            <w:tcW w:w="700" w:type="dxa"/>
            <w:vAlign w:val="bottom"/>
          </w:tcPr>
          <w:p w:rsidR="00F92819" w:rsidRDefault="00F92819">
            <w:pPr>
              <w:spacing w:before="40" w:after="40" w:line="220" w:lineRule="exact"/>
              <w:jc w:val="right"/>
              <w:rPr>
                <w:sz w:val="18"/>
                <w:szCs w:val="24"/>
              </w:rPr>
            </w:pPr>
            <w:r>
              <w:rPr>
                <w:sz w:val="18"/>
                <w:szCs w:val="24"/>
              </w:rPr>
              <w:t>13,2</w:t>
            </w:r>
          </w:p>
        </w:tc>
        <w:tc>
          <w:tcPr>
            <w:tcW w:w="600" w:type="dxa"/>
            <w:vAlign w:val="bottom"/>
          </w:tcPr>
          <w:p w:rsidR="00F92819" w:rsidRDefault="00F92819">
            <w:pPr>
              <w:spacing w:before="40" w:after="40" w:line="220" w:lineRule="exact"/>
              <w:jc w:val="right"/>
              <w:rPr>
                <w:sz w:val="18"/>
                <w:szCs w:val="24"/>
              </w:rPr>
            </w:pPr>
            <w:r>
              <w:rPr>
                <w:sz w:val="18"/>
                <w:szCs w:val="24"/>
              </w:rPr>
              <w:t>28,9</w:t>
            </w:r>
          </w:p>
        </w:tc>
        <w:tc>
          <w:tcPr>
            <w:tcW w:w="700" w:type="dxa"/>
            <w:vAlign w:val="bottom"/>
          </w:tcPr>
          <w:p w:rsidR="00F92819" w:rsidRDefault="00F92819">
            <w:pPr>
              <w:spacing w:before="40" w:after="40" w:line="220" w:lineRule="exact"/>
              <w:jc w:val="right"/>
              <w:rPr>
                <w:sz w:val="18"/>
                <w:szCs w:val="24"/>
              </w:rPr>
            </w:pPr>
            <w:r>
              <w:rPr>
                <w:sz w:val="18"/>
                <w:szCs w:val="24"/>
              </w:rPr>
              <w:t>22,7</w:t>
            </w:r>
          </w:p>
        </w:tc>
        <w:tc>
          <w:tcPr>
            <w:tcW w:w="700" w:type="dxa"/>
            <w:vAlign w:val="bottom"/>
          </w:tcPr>
          <w:p w:rsidR="00F92819" w:rsidRDefault="00F92819">
            <w:pPr>
              <w:spacing w:before="40" w:after="40" w:line="220" w:lineRule="exact"/>
              <w:jc w:val="right"/>
              <w:rPr>
                <w:sz w:val="18"/>
                <w:szCs w:val="24"/>
              </w:rPr>
            </w:pPr>
            <w:r>
              <w:rPr>
                <w:sz w:val="18"/>
                <w:szCs w:val="24"/>
              </w:rPr>
              <w:t>33,3</w:t>
            </w:r>
          </w:p>
        </w:tc>
        <w:tc>
          <w:tcPr>
            <w:tcW w:w="700" w:type="dxa"/>
            <w:vAlign w:val="bottom"/>
          </w:tcPr>
          <w:p w:rsidR="00F92819" w:rsidRDefault="00F92819">
            <w:pPr>
              <w:spacing w:before="40" w:after="40" w:line="220" w:lineRule="exact"/>
              <w:jc w:val="right"/>
              <w:rPr>
                <w:sz w:val="18"/>
                <w:szCs w:val="24"/>
              </w:rPr>
            </w:pPr>
            <w:r>
              <w:rPr>
                <w:sz w:val="18"/>
                <w:szCs w:val="24"/>
              </w:rPr>
              <w:t>7,8</w:t>
            </w:r>
          </w:p>
        </w:tc>
        <w:tc>
          <w:tcPr>
            <w:tcW w:w="700" w:type="dxa"/>
            <w:vAlign w:val="bottom"/>
          </w:tcPr>
          <w:p w:rsidR="00F92819" w:rsidRDefault="00F92819">
            <w:pPr>
              <w:spacing w:before="40" w:after="40" w:line="220" w:lineRule="exact"/>
              <w:jc w:val="right"/>
              <w:rPr>
                <w:sz w:val="18"/>
                <w:szCs w:val="24"/>
              </w:rPr>
            </w:pPr>
            <w:r>
              <w:rPr>
                <w:sz w:val="18"/>
                <w:szCs w:val="24"/>
              </w:rPr>
              <w:t>5,5</w:t>
            </w:r>
          </w:p>
        </w:tc>
        <w:tc>
          <w:tcPr>
            <w:tcW w:w="600" w:type="dxa"/>
            <w:vAlign w:val="bottom"/>
          </w:tcPr>
          <w:p w:rsidR="00F92819" w:rsidRDefault="00F92819">
            <w:pPr>
              <w:spacing w:before="40" w:after="40" w:line="220" w:lineRule="exact"/>
              <w:jc w:val="right"/>
              <w:rPr>
                <w:sz w:val="18"/>
                <w:szCs w:val="24"/>
              </w:rPr>
            </w:pPr>
            <w:r>
              <w:rPr>
                <w:sz w:val="18"/>
                <w:szCs w:val="24"/>
              </w:rPr>
              <w:t>0,5</w:t>
            </w:r>
          </w:p>
        </w:tc>
        <w:tc>
          <w:tcPr>
            <w:tcW w:w="600" w:type="dxa"/>
            <w:gridSpan w:val="2"/>
            <w:vAlign w:val="bottom"/>
          </w:tcPr>
          <w:p w:rsidR="00F92819" w:rsidRDefault="00F92819">
            <w:pPr>
              <w:spacing w:before="40" w:after="40" w:line="220" w:lineRule="exact"/>
              <w:jc w:val="right"/>
              <w:rPr>
                <w:sz w:val="18"/>
                <w:szCs w:val="24"/>
              </w:rPr>
            </w:pPr>
            <w:r>
              <w:rPr>
                <w:sz w:val="18"/>
                <w:szCs w:val="24"/>
              </w:rPr>
              <w:t>1,3</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852,5</w:t>
            </w:r>
          </w:p>
        </w:tc>
      </w:tr>
      <w:tr w:rsidR="00F92819">
        <w:tc>
          <w:tcPr>
            <w:tcW w:w="1766" w:type="dxa"/>
            <w:vAlign w:val="bottom"/>
          </w:tcPr>
          <w:p w:rsidR="00F92819" w:rsidRDefault="00F92819">
            <w:pPr>
              <w:spacing w:before="40" w:after="40" w:line="220" w:lineRule="exact"/>
              <w:rPr>
                <w:szCs w:val="24"/>
              </w:rPr>
            </w:pPr>
            <w:r>
              <w:rPr>
                <w:sz w:val="18"/>
                <w:szCs w:val="24"/>
              </w:rPr>
              <w:t>45</w:t>
            </w:r>
            <w:r w:rsidR="008C04D7">
              <w:rPr>
                <w:sz w:val="18"/>
                <w:szCs w:val="24"/>
              </w:rPr>
              <w:t xml:space="preserve"> a </w:t>
            </w:r>
            <w:r>
              <w:rPr>
                <w:sz w:val="18"/>
                <w:szCs w:val="24"/>
              </w:rPr>
              <w:t>54</w:t>
            </w:r>
          </w:p>
        </w:tc>
        <w:tc>
          <w:tcPr>
            <w:tcW w:w="700" w:type="dxa"/>
            <w:vAlign w:val="bottom"/>
          </w:tcPr>
          <w:p w:rsidR="00F92819" w:rsidRDefault="00F92819">
            <w:pPr>
              <w:spacing w:before="40" w:after="40" w:line="220" w:lineRule="exact"/>
              <w:jc w:val="right"/>
              <w:rPr>
                <w:sz w:val="18"/>
                <w:szCs w:val="24"/>
              </w:rPr>
            </w:pPr>
            <w:r>
              <w:rPr>
                <w:sz w:val="18"/>
                <w:szCs w:val="24"/>
              </w:rPr>
              <w:t>12,9</w:t>
            </w:r>
          </w:p>
        </w:tc>
        <w:tc>
          <w:tcPr>
            <w:tcW w:w="600" w:type="dxa"/>
            <w:vAlign w:val="bottom"/>
          </w:tcPr>
          <w:p w:rsidR="00F92819" w:rsidRDefault="00F92819">
            <w:pPr>
              <w:spacing w:before="40" w:after="40" w:line="220" w:lineRule="exact"/>
              <w:jc w:val="right"/>
              <w:rPr>
                <w:sz w:val="18"/>
                <w:szCs w:val="24"/>
              </w:rPr>
            </w:pPr>
            <w:r>
              <w:rPr>
                <w:sz w:val="18"/>
                <w:szCs w:val="24"/>
              </w:rPr>
              <w:t>25,6</w:t>
            </w:r>
          </w:p>
        </w:tc>
        <w:tc>
          <w:tcPr>
            <w:tcW w:w="700" w:type="dxa"/>
            <w:vAlign w:val="bottom"/>
          </w:tcPr>
          <w:p w:rsidR="00F92819" w:rsidRDefault="00F92819">
            <w:pPr>
              <w:spacing w:before="40" w:after="40" w:line="220" w:lineRule="exact"/>
              <w:jc w:val="right"/>
              <w:rPr>
                <w:sz w:val="18"/>
                <w:szCs w:val="24"/>
              </w:rPr>
            </w:pPr>
            <w:r>
              <w:rPr>
                <w:sz w:val="18"/>
                <w:szCs w:val="24"/>
              </w:rPr>
              <w:t>23,1</w:t>
            </w:r>
          </w:p>
        </w:tc>
        <w:tc>
          <w:tcPr>
            <w:tcW w:w="700" w:type="dxa"/>
            <w:vAlign w:val="bottom"/>
          </w:tcPr>
          <w:p w:rsidR="00F92819" w:rsidRDefault="00F92819">
            <w:pPr>
              <w:spacing w:before="40" w:after="40" w:line="220" w:lineRule="exact"/>
              <w:jc w:val="right"/>
              <w:rPr>
                <w:sz w:val="18"/>
                <w:szCs w:val="24"/>
              </w:rPr>
            </w:pPr>
            <w:r>
              <w:rPr>
                <w:sz w:val="18"/>
                <w:szCs w:val="24"/>
              </w:rPr>
              <w:t>29,7</w:t>
            </w:r>
          </w:p>
        </w:tc>
        <w:tc>
          <w:tcPr>
            <w:tcW w:w="700" w:type="dxa"/>
            <w:vAlign w:val="bottom"/>
          </w:tcPr>
          <w:p w:rsidR="00F92819" w:rsidRDefault="00F92819">
            <w:pPr>
              <w:spacing w:before="40" w:after="40" w:line="220" w:lineRule="exact"/>
              <w:jc w:val="right"/>
              <w:rPr>
                <w:sz w:val="18"/>
                <w:szCs w:val="24"/>
              </w:rPr>
            </w:pPr>
            <w:r>
              <w:rPr>
                <w:sz w:val="18"/>
                <w:szCs w:val="24"/>
              </w:rPr>
              <w:t>9,8</w:t>
            </w:r>
          </w:p>
        </w:tc>
        <w:tc>
          <w:tcPr>
            <w:tcW w:w="700" w:type="dxa"/>
            <w:vAlign w:val="bottom"/>
          </w:tcPr>
          <w:p w:rsidR="00F92819" w:rsidRDefault="00F92819">
            <w:pPr>
              <w:spacing w:before="40" w:after="40" w:line="220" w:lineRule="exact"/>
              <w:jc w:val="right"/>
              <w:rPr>
                <w:sz w:val="18"/>
                <w:szCs w:val="24"/>
              </w:rPr>
            </w:pPr>
            <w:r>
              <w:rPr>
                <w:sz w:val="18"/>
                <w:szCs w:val="24"/>
              </w:rPr>
              <w:t>8,6</w:t>
            </w:r>
          </w:p>
        </w:tc>
        <w:tc>
          <w:tcPr>
            <w:tcW w:w="600" w:type="dxa"/>
            <w:vAlign w:val="bottom"/>
          </w:tcPr>
          <w:p w:rsidR="00F92819" w:rsidRDefault="00F92819">
            <w:pPr>
              <w:spacing w:before="40" w:after="40" w:line="220" w:lineRule="exact"/>
              <w:jc w:val="right"/>
              <w:rPr>
                <w:sz w:val="18"/>
                <w:szCs w:val="24"/>
              </w:rPr>
            </w:pPr>
            <w:r>
              <w:rPr>
                <w:sz w:val="18"/>
                <w:szCs w:val="24"/>
              </w:rPr>
              <w:t>1,1</w:t>
            </w:r>
          </w:p>
        </w:tc>
        <w:tc>
          <w:tcPr>
            <w:tcW w:w="600" w:type="dxa"/>
            <w:gridSpan w:val="2"/>
            <w:vAlign w:val="bottom"/>
          </w:tcPr>
          <w:p w:rsidR="00F92819" w:rsidRDefault="00F92819">
            <w:pPr>
              <w:spacing w:before="40" w:after="40" w:line="220" w:lineRule="exact"/>
              <w:jc w:val="right"/>
              <w:rPr>
                <w:sz w:val="18"/>
                <w:szCs w:val="24"/>
              </w:rPr>
            </w:pPr>
            <w:r>
              <w:rPr>
                <w:sz w:val="18"/>
                <w:szCs w:val="24"/>
              </w:rPr>
              <w:t>2</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753,8</w:t>
            </w:r>
          </w:p>
        </w:tc>
      </w:tr>
      <w:tr w:rsidR="00F92819">
        <w:tc>
          <w:tcPr>
            <w:tcW w:w="1766" w:type="dxa"/>
            <w:vAlign w:val="bottom"/>
          </w:tcPr>
          <w:p w:rsidR="00F92819" w:rsidRDefault="00F92819">
            <w:pPr>
              <w:spacing w:before="40" w:after="40" w:line="220" w:lineRule="exact"/>
              <w:rPr>
                <w:szCs w:val="24"/>
              </w:rPr>
            </w:pPr>
            <w:r>
              <w:rPr>
                <w:sz w:val="18"/>
                <w:szCs w:val="24"/>
              </w:rPr>
              <w:t>55</w:t>
            </w:r>
            <w:r w:rsidR="008C04D7">
              <w:rPr>
                <w:sz w:val="18"/>
                <w:szCs w:val="24"/>
              </w:rPr>
              <w:t xml:space="preserve"> a </w:t>
            </w:r>
            <w:r>
              <w:rPr>
                <w:sz w:val="18"/>
                <w:szCs w:val="24"/>
              </w:rPr>
              <w:t>64</w:t>
            </w:r>
          </w:p>
        </w:tc>
        <w:tc>
          <w:tcPr>
            <w:tcW w:w="700" w:type="dxa"/>
            <w:vAlign w:val="bottom"/>
          </w:tcPr>
          <w:p w:rsidR="00F92819" w:rsidRDefault="00F92819">
            <w:pPr>
              <w:spacing w:before="40" w:after="40" w:line="220" w:lineRule="exact"/>
              <w:jc w:val="right"/>
              <w:rPr>
                <w:sz w:val="18"/>
                <w:szCs w:val="24"/>
              </w:rPr>
            </w:pPr>
            <w:r>
              <w:rPr>
                <w:sz w:val="18"/>
                <w:szCs w:val="24"/>
              </w:rPr>
              <w:t>12,8</w:t>
            </w:r>
          </w:p>
        </w:tc>
        <w:tc>
          <w:tcPr>
            <w:tcW w:w="600" w:type="dxa"/>
            <w:vAlign w:val="bottom"/>
          </w:tcPr>
          <w:p w:rsidR="00F92819" w:rsidRDefault="00F92819">
            <w:pPr>
              <w:spacing w:before="40" w:after="40" w:line="220" w:lineRule="exact"/>
              <w:jc w:val="right"/>
              <w:rPr>
                <w:sz w:val="18"/>
                <w:szCs w:val="24"/>
              </w:rPr>
            </w:pPr>
            <w:r>
              <w:rPr>
                <w:sz w:val="18"/>
                <w:szCs w:val="24"/>
              </w:rPr>
              <w:t>25,5</w:t>
            </w:r>
          </w:p>
        </w:tc>
        <w:tc>
          <w:tcPr>
            <w:tcW w:w="700" w:type="dxa"/>
            <w:vAlign w:val="bottom"/>
          </w:tcPr>
          <w:p w:rsidR="00F92819" w:rsidRDefault="00F92819">
            <w:pPr>
              <w:spacing w:before="40" w:after="40" w:line="220" w:lineRule="exact"/>
              <w:jc w:val="right"/>
              <w:rPr>
                <w:sz w:val="18"/>
                <w:szCs w:val="24"/>
              </w:rPr>
            </w:pPr>
            <w:r>
              <w:rPr>
                <w:sz w:val="18"/>
                <w:szCs w:val="24"/>
              </w:rPr>
              <w:t>21,9</w:t>
            </w:r>
          </w:p>
        </w:tc>
        <w:tc>
          <w:tcPr>
            <w:tcW w:w="700" w:type="dxa"/>
            <w:vAlign w:val="bottom"/>
          </w:tcPr>
          <w:p w:rsidR="00F92819" w:rsidRDefault="00F92819">
            <w:pPr>
              <w:spacing w:before="40" w:after="40" w:line="220" w:lineRule="exact"/>
              <w:jc w:val="right"/>
              <w:rPr>
                <w:sz w:val="18"/>
                <w:szCs w:val="24"/>
              </w:rPr>
            </w:pPr>
            <w:r>
              <w:rPr>
                <w:sz w:val="18"/>
                <w:szCs w:val="24"/>
              </w:rPr>
              <w:t>24,6</w:t>
            </w:r>
          </w:p>
        </w:tc>
        <w:tc>
          <w:tcPr>
            <w:tcW w:w="700" w:type="dxa"/>
            <w:vAlign w:val="bottom"/>
          </w:tcPr>
          <w:p w:rsidR="00F92819" w:rsidRDefault="00F92819">
            <w:pPr>
              <w:spacing w:before="40" w:after="40" w:line="220" w:lineRule="exact"/>
              <w:jc w:val="right"/>
              <w:rPr>
                <w:sz w:val="18"/>
                <w:szCs w:val="24"/>
              </w:rPr>
            </w:pPr>
            <w:r>
              <w:rPr>
                <w:sz w:val="18"/>
                <w:szCs w:val="24"/>
              </w:rPr>
              <w:t>9,8</w:t>
            </w:r>
          </w:p>
        </w:tc>
        <w:tc>
          <w:tcPr>
            <w:tcW w:w="700" w:type="dxa"/>
            <w:vAlign w:val="bottom"/>
          </w:tcPr>
          <w:p w:rsidR="00F92819" w:rsidRDefault="00F92819">
            <w:pPr>
              <w:spacing w:before="40" w:after="40" w:line="220" w:lineRule="exact"/>
              <w:jc w:val="right"/>
              <w:rPr>
                <w:sz w:val="18"/>
                <w:szCs w:val="24"/>
              </w:rPr>
            </w:pPr>
            <w:r>
              <w:rPr>
                <w:sz w:val="18"/>
                <w:szCs w:val="24"/>
              </w:rPr>
              <w:t>13,1</w:t>
            </w:r>
          </w:p>
        </w:tc>
        <w:tc>
          <w:tcPr>
            <w:tcW w:w="600" w:type="dxa"/>
            <w:vAlign w:val="bottom"/>
          </w:tcPr>
          <w:p w:rsidR="00F92819" w:rsidRDefault="00F92819">
            <w:pPr>
              <w:spacing w:before="40" w:after="40" w:line="220" w:lineRule="exact"/>
              <w:jc w:val="right"/>
              <w:rPr>
                <w:sz w:val="18"/>
                <w:szCs w:val="24"/>
              </w:rPr>
            </w:pPr>
            <w:r>
              <w:rPr>
                <w:sz w:val="18"/>
                <w:szCs w:val="24"/>
              </w:rPr>
              <w:t>1,8</w:t>
            </w:r>
          </w:p>
        </w:tc>
        <w:tc>
          <w:tcPr>
            <w:tcW w:w="600" w:type="dxa"/>
            <w:gridSpan w:val="2"/>
            <w:vAlign w:val="bottom"/>
          </w:tcPr>
          <w:p w:rsidR="00F92819" w:rsidRDefault="00F92819">
            <w:pPr>
              <w:spacing w:before="40" w:after="40" w:line="220" w:lineRule="exact"/>
              <w:jc w:val="right"/>
              <w:rPr>
                <w:sz w:val="18"/>
                <w:szCs w:val="24"/>
              </w:rPr>
            </w:pPr>
            <w:r>
              <w:rPr>
                <w:sz w:val="18"/>
                <w:szCs w:val="24"/>
              </w:rPr>
              <w:t>3,3</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601,4</w:t>
            </w:r>
          </w:p>
        </w:tc>
      </w:tr>
      <w:tr w:rsidR="00F92819">
        <w:tc>
          <w:tcPr>
            <w:tcW w:w="1766" w:type="dxa"/>
            <w:tcBorders>
              <w:bottom w:val="single" w:sz="4" w:space="0" w:color="auto"/>
            </w:tcBorders>
            <w:vAlign w:val="bottom"/>
          </w:tcPr>
          <w:p w:rsidR="00F92819" w:rsidRDefault="00F92819">
            <w:pPr>
              <w:spacing w:before="40" w:after="40" w:line="220" w:lineRule="exact"/>
              <w:rPr>
                <w:sz w:val="18"/>
                <w:szCs w:val="24"/>
              </w:rPr>
            </w:pPr>
            <w:r>
              <w:rPr>
                <w:sz w:val="18"/>
                <w:szCs w:val="24"/>
              </w:rPr>
              <w:t>65+</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11,4</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15,2</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18,6</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20</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10,7</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20,7</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4,7</w:t>
            </w:r>
          </w:p>
        </w:tc>
        <w:tc>
          <w:tcPr>
            <w:tcW w:w="600" w:type="dxa"/>
            <w:gridSpan w:val="2"/>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10,1</w:t>
            </w:r>
          </w:p>
        </w:tc>
        <w:tc>
          <w:tcPr>
            <w:tcW w:w="489" w:type="dxa"/>
            <w:tcBorders>
              <w:bottom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705,8</w:t>
            </w:r>
          </w:p>
        </w:tc>
      </w:tr>
      <w:tr w:rsidR="00F92819">
        <w:tc>
          <w:tcPr>
            <w:tcW w:w="1766" w:type="dxa"/>
            <w:tcBorders>
              <w:top w:val="single" w:sz="4" w:space="0" w:color="auto"/>
              <w:bottom w:val="single" w:sz="4" w:space="0" w:color="auto"/>
            </w:tcBorders>
            <w:vAlign w:val="bottom"/>
          </w:tcPr>
          <w:p w:rsidR="00F92819" w:rsidRDefault="00F92819">
            <w:pPr>
              <w:spacing w:before="80" w:after="80" w:line="220" w:lineRule="exact"/>
              <w:ind w:firstLine="284"/>
              <w:rPr>
                <w:szCs w:val="24"/>
              </w:rPr>
            </w:pPr>
            <w:r>
              <w:rPr>
                <w:b/>
                <w:sz w:val="18"/>
                <w:szCs w:val="24"/>
                <w:lang w:val="es-ES_tradnl"/>
              </w:rPr>
              <w:t>Hombres – Total</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12,5</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20,3</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21,4</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36,5</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11,4</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7,9</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1,1</w:t>
            </w:r>
          </w:p>
        </w:tc>
        <w:tc>
          <w:tcPr>
            <w:tcW w:w="600" w:type="dxa"/>
            <w:gridSpan w:val="2"/>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1,4</w:t>
            </w:r>
          </w:p>
        </w:tc>
        <w:tc>
          <w:tcPr>
            <w:tcW w:w="48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100</w:t>
            </w:r>
          </w:p>
        </w:tc>
        <w:tc>
          <w:tcPr>
            <w:tcW w:w="85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2 504,3</w:t>
            </w:r>
          </w:p>
        </w:tc>
      </w:tr>
      <w:tr w:rsidR="00F92819">
        <w:tc>
          <w:tcPr>
            <w:tcW w:w="1766" w:type="dxa"/>
            <w:tcBorders>
              <w:top w:val="single" w:sz="4" w:space="0" w:color="auto"/>
            </w:tcBorders>
            <w:vAlign w:val="bottom"/>
          </w:tcPr>
          <w:p w:rsidR="00F92819" w:rsidRDefault="00F92819">
            <w:pPr>
              <w:spacing w:before="40" w:after="40" w:line="220" w:lineRule="exact"/>
              <w:rPr>
                <w:szCs w:val="24"/>
              </w:rPr>
            </w:pPr>
            <w:r>
              <w:rPr>
                <w:sz w:val="18"/>
                <w:szCs w:val="24"/>
              </w:rPr>
              <w:t>15</w:t>
            </w:r>
            <w:r w:rsidR="008C04D7">
              <w:rPr>
                <w:sz w:val="18"/>
                <w:szCs w:val="24"/>
              </w:rPr>
              <w:t xml:space="preserve"> a </w:t>
            </w:r>
            <w:r>
              <w:rPr>
                <w:sz w:val="18"/>
                <w:szCs w:val="24"/>
              </w:rPr>
              <w:t>17</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11,1</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51,5</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44,2</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3,6</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00" w:type="dxa"/>
            <w:gridSpan w:val="2"/>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489"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179,4</w:t>
            </w:r>
          </w:p>
        </w:tc>
      </w:tr>
      <w:tr w:rsidR="00F92819">
        <w:tc>
          <w:tcPr>
            <w:tcW w:w="1766" w:type="dxa"/>
            <w:vAlign w:val="bottom"/>
          </w:tcPr>
          <w:p w:rsidR="00F92819" w:rsidRDefault="00F92819">
            <w:pPr>
              <w:spacing w:before="40" w:after="40" w:line="220" w:lineRule="exact"/>
              <w:rPr>
                <w:szCs w:val="24"/>
              </w:rPr>
            </w:pPr>
            <w:r>
              <w:rPr>
                <w:sz w:val="18"/>
                <w:szCs w:val="24"/>
              </w:rPr>
              <w:t>18</w:t>
            </w:r>
            <w:r w:rsidR="008C04D7">
              <w:rPr>
                <w:sz w:val="18"/>
                <w:szCs w:val="24"/>
              </w:rPr>
              <w:t xml:space="preserve"> a </w:t>
            </w:r>
            <w:r>
              <w:rPr>
                <w:sz w:val="18"/>
                <w:szCs w:val="24"/>
              </w:rPr>
              <w:t>24</w:t>
            </w:r>
          </w:p>
        </w:tc>
        <w:tc>
          <w:tcPr>
            <w:tcW w:w="700" w:type="dxa"/>
            <w:vAlign w:val="bottom"/>
          </w:tcPr>
          <w:p w:rsidR="00F92819" w:rsidRDefault="00F92819">
            <w:pPr>
              <w:spacing w:before="40" w:after="40" w:line="220" w:lineRule="exact"/>
              <w:jc w:val="right"/>
              <w:rPr>
                <w:sz w:val="18"/>
                <w:szCs w:val="24"/>
              </w:rPr>
            </w:pPr>
            <w:r>
              <w:rPr>
                <w:sz w:val="18"/>
                <w:szCs w:val="24"/>
              </w:rPr>
              <w:t>12,3</w:t>
            </w:r>
          </w:p>
        </w:tc>
        <w:tc>
          <w:tcPr>
            <w:tcW w:w="600" w:type="dxa"/>
            <w:vAlign w:val="bottom"/>
          </w:tcPr>
          <w:p w:rsidR="00F92819" w:rsidRDefault="00F92819">
            <w:pPr>
              <w:spacing w:before="40" w:after="40" w:line="220" w:lineRule="exact"/>
              <w:jc w:val="right"/>
              <w:rPr>
                <w:sz w:val="18"/>
                <w:szCs w:val="24"/>
              </w:rPr>
            </w:pPr>
            <w:r>
              <w:rPr>
                <w:sz w:val="18"/>
                <w:szCs w:val="24"/>
              </w:rPr>
              <w:t>3,8</w:t>
            </w:r>
          </w:p>
        </w:tc>
        <w:tc>
          <w:tcPr>
            <w:tcW w:w="700" w:type="dxa"/>
            <w:vAlign w:val="bottom"/>
          </w:tcPr>
          <w:p w:rsidR="00F92819" w:rsidRDefault="00F92819">
            <w:pPr>
              <w:spacing w:before="40" w:after="40" w:line="220" w:lineRule="exact"/>
              <w:jc w:val="right"/>
              <w:rPr>
                <w:sz w:val="18"/>
                <w:szCs w:val="24"/>
              </w:rPr>
            </w:pPr>
            <w:r>
              <w:rPr>
                <w:sz w:val="18"/>
                <w:szCs w:val="24"/>
              </w:rPr>
              <w:t>22,2</w:t>
            </w:r>
          </w:p>
        </w:tc>
        <w:tc>
          <w:tcPr>
            <w:tcW w:w="700" w:type="dxa"/>
            <w:vAlign w:val="bottom"/>
          </w:tcPr>
          <w:p w:rsidR="00F92819" w:rsidRDefault="00F92819">
            <w:pPr>
              <w:spacing w:before="40" w:after="40" w:line="220" w:lineRule="exact"/>
              <w:jc w:val="right"/>
              <w:rPr>
                <w:sz w:val="18"/>
                <w:szCs w:val="24"/>
              </w:rPr>
            </w:pPr>
            <w:r>
              <w:rPr>
                <w:sz w:val="18"/>
                <w:szCs w:val="24"/>
              </w:rPr>
              <w:t>64</w:t>
            </w:r>
          </w:p>
        </w:tc>
        <w:tc>
          <w:tcPr>
            <w:tcW w:w="700" w:type="dxa"/>
            <w:vAlign w:val="bottom"/>
          </w:tcPr>
          <w:p w:rsidR="00F92819" w:rsidRDefault="00F92819">
            <w:pPr>
              <w:spacing w:before="40" w:after="40" w:line="220" w:lineRule="exact"/>
              <w:jc w:val="right"/>
              <w:rPr>
                <w:sz w:val="18"/>
                <w:szCs w:val="24"/>
              </w:rPr>
            </w:pPr>
            <w:r>
              <w:rPr>
                <w:sz w:val="18"/>
                <w:szCs w:val="24"/>
              </w:rPr>
              <w:t>6,4</w:t>
            </w:r>
          </w:p>
        </w:tc>
        <w:tc>
          <w:tcPr>
            <w:tcW w:w="700" w:type="dxa"/>
            <w:vAlign w:val="bottom"/>
          </w:tcPr>
          <w:p w:rsidR="00F92819" w:rsidRDefault="00F92819">
            <w:pPr>
              <w:spacing w:before="40" w:after="40" w:line="220" w:lineRule="exact"/>
              <w:jc w:val="right"/>
              <w:rPr>
                <w:sz w:val="18"/>
                <w:szCs w:val="24"/>
              </w:rPr>
            </w:pPr>
            <w:r>
              <w:rPr>
                <w:sz w:val="18"/>
                <w:szCs w:val="24"/>
              </w:rPr>
              <w:t>3,1</w:t>
            </w:r>
          </w:p>
        </w:tc>
        <w:tc>
          <w:tcPr>
            <w:tcW w:w="600" w:type="dxa"/>
            <w:vAlign w:val="bottom"/>
          </w:tcPr>
          <w:p w:rsidR="00F92819" w:rsidRDefault="00F92819">
            <w:pPr>
              <w:spacing w:before="40" w:after="40" w:line="220" w:lineRule="exact"/>
              <w:jc w:val="right"/>
              <w:rPr>
                <w:sz w:val="18"/>
                <w:szCs w:val="24"/>
              </w:rPr>
            </w:pPr>
            <w:r>
              <w:rPr>
                <w:sz w:val="18"/>
                <w:szCs w:val="24"/>
              </w:rPr>
              <w:t>0,3</w:t>
            </w:r>
          </w:p>
        </w:tc>
        <w:tc>
          <w:tcPr>
            <w:tcW w:w="600" w:type="dxa"/>
            <w:gridSpan w:val="2"/>
            <w:vAlign w:val="bottom"/>
          </w:tcPr>
          <w:p w:rsidR="00F92819" w:rsidRDefault="00F92819">
            <w:pPr>
              <w:spacing w:before="40" w:after="40" w:line="220" w:lineRule="exact"/>
              <w:jc w:val="right"/>
              <w:rPr>
                <w:sz w:val="18"/>
                <w:szCs w:val="24"/>
              </w:rPr>
            </w:pPr>
            <w:r>
              <w:rPr>
                <w:sz w:val="18"/>
                <w:szCs w:val="24"/>
              </w:rPr>
              <w:t>-</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408,4</w:t>
            </w:r>
          </w:p>
        </w:tc>
      </w:tr>
      <w:tr w:rsidR="00F92819">
        <w:tc>
          <w:tcPr>
            <w:tcW w:w="1766" w:type="dxa"/>
            <w:vAlign w:val="bottom"/>
          </w:tcPr>
          <w:p w:rsidR="00F92819" w:rsidRDefault="00F92819">
            <w:pPr>
              <w:spacing w:before="40" w:after="40" w:line="220" w:lineRule="exact"/>
              <w:rPr>
                <w:szCs w:val="24"/>
              </w:rPr>
            </w:pPr>
            <w:r>
              <w:rPr>
                <w:sz w:val="18"/>
                <w:szCs w:val="24"/>
              </w:rPr>
              <w:t>25</w:t>
            </w:r>
            <w:r w:rsidR="008C04D7">
              <w:rPr>
                <w:sz w:val="18"/>
                <w:szCs w:val="24"/>
              </w:rPr>
              <w:t xml:space="preserve"> a </w:t>
            </w:r>
            <w:r>
              <w:rPr>
                <w:sz w:val="18"/>
                <w:szCs w:val="24"/>
              </w:rPr>
              <w:t>34</w:t>
            </w:r>
          </w:p>
        </w:tc>
        <w:tc>
          <w:tcPr>
            <w:tcW w:w="700" w:type="dxa"/>
            <w:vAlign w:val="bottom"/>
          </w:tcPr>
          <w:p w:rsidR="00F92819" w:rsidRDefault="00F92819">
            <w:pPr>
              <w:spacing w:before="40" w:after="40" w:line="220" w:lineRule="exact"/>
              <w:jc w:val="right"/>
              <w:rPr>
                <w:sz w:val="18"/>
                <w:szCs w:val="24"/>
              </w:rPr>
            </w:pPr>
            <w:r>
              <w:rPr>
                <w:sz w:val="18"/>
                <w:szCs w:val="24"/>
              </w:rPr>
              <w:t>13,5</w:t>
            </w:r>
          </w:p>
        </w:tc>
        <w:tc>
          <w:tcPr>
            <w:tcW w:w="600" w:type="dxa"/>
            <w:vAlign w:val="bottom"/>
          </w:tcPr>
          <w:p w:rsidR="00F92819" w:rsidRDefault="00F92819">
            <w:pPr>
              <w:spacing w:before="40" w:after="40" w:line="220" w:lineRule="exact"/>
              <w:jc w:val="right"/>
              <w:rPr>
                <w:sz w:val="18"/>
                <w:szCs w:val="24"/>
              </w:rPr>
            </w:pPr>
            <w:r>
              <w:rPr>
                <w:sz w:val="18"/>
                <w:szCs w:val="24"/>
              </w:rPr>
              <w:t>25,7</w:t>
            </w:r>
          </w:p>
        </w:tc>
        <w:tc>
          <w:tcPr>
            <w:tcW w:w="700" w:type="dxa"/>
            <w:vAlign w:val="bottom"/>
          </w:tcPr>
          <w:p w:rsidR="00F92819" w:rsidRDefault="00F92819">
            <w:pPr>
              <w:spacing w:before="40" w:after="40" w:line="220" w:lineRule="exact"/>
              <w:jc w:val="right"/>
              <w:rPr>
                <w:sz w:val="18"/>
                <w:szCs w:val="24"/>
              </w:rPr>
            </w:pPr>
            <w:r>
              <w:rPr>
                <w:sz w:val="18"/>
                <w:szCs w:val="24"/>
              </w:rPr>
              <w:t>29,6</w:t>
            </w:r>
          </w:p>
        </w:tc>
        <w:tc>
          <w:tcPr>
            <w:tcW w:w="700" w:type="dxa"/>
            <w:vAlign w:val="bottom"/>
          </w:tcPr>
          <w:p w:rsidR="00F92819" w:rsidRDefault="00F92819">
            <w:pPr>
              <w:spacing w:before="40" w:after="40" w:line="220" w:lineRule="exact"/>
              <w:jc w:val="right"/>
              <w:rPr>
                <w:sz w:val="18"/>
                <w:szCs w:val="24"/>
              </w:rPr>
            </w:pPr>
            <w:r>
              <w:rPr>
                <w:sz w:val="18"/>
                <w:szCs w:val="24"/>
              </w:rPr>
              <w:t>31,6</w:t>
            </w:r>
          </w:p>
        </w:tc>
        <w:tc>
          <w:tcPr>
            <w:tcW w:w="700" w:type="dxa"/>
            <w:vAlign w:val="bottom"/>
          </w:tcPr>
          <w:p w:rsidR="00F92819" w:rsidRDefault="00F92819">
            <w:pPr>
              <w:spacing w:before="40" w:after="40" w:line="220" w:lineRule="exact"/>
              <w:jc w:val="right"/>
              <w:rPr>
                <w:sz w:val="18"/>
                <w:szCs w:val="24"/>
              </w:rPr>
            </w:pPr>
            <w:r>
              <w:rPr>
                <w:sz w:val="18"/>
                <w:szCs w:val="24"/>
              </w:rPr>
              <w:t>7,9</w:t>
            </w:r>
          </w:p>
        </w:tc>
        <w:tc>
          <w:tcPr>
            <w:tcW w:w="700" w:type="dxa"/>
            <w:vAlign w:val="bottom"/>
          </w:tcPr>
          <w:p w:rsidR="00F92819" w:rsidRDefault="00F92819">
            <w:pPr>
              <w:spacing w:before="40" w:after="40" w:line="220" w:lineRule="exact"/>
              <w:jc w:val="right"/>
              <w:rPr>
                <w:sz w:val="18"/>
                <w:szCs w:val="24"/>
              </w:rPr>
            </w:pPr>
            <w:r>
              <w:rPr>
                <w:sz w:val="18"/>
                <w:szCs w:val="24"/>
              </w:rPr>
              <w:t>4,3</w:t>
            </w:r>
          </w:p>
        </w:tc>
        <w:tc>
          <w:tcPr>
            <w:tcW w:w="600" w:type="dxa"/>
            <w:vAlign w:val="bottom"/>
          </w:tcPr>
          <w:p w:rsidR="00F92819" w:rsidRDefault="00F92819">
            <w:pPr>
              <w:spacing w:before="40" w:after="40" w:line="220" w:lineRule="exact"/>
              <w:jc w:val="right"/>
              <w:rPr>
                <w:sz w:val="18"/>
                <w:szCs w:val="24"/>
              </w:rPr>
            </w:pPr>
            <w:r>
              <w:rPr>
                <w:sz w:val="18"/>
                <w:szCs w:val="24"/>
              </w:rPr>
              <w:t>0,3</w:t>
            </w:r>
          </w:p>
        </w:tc>
        <w:tc>
          <w:tcPr>
            <w:tcW w:w="600" w:type="dxa"/>
            <w:gridSpan w:val="2"/>
            <w:vAlign w:val="bottom"/>
          </w:tcPr>
          <w:p w:rsidR="00F92819" w:rsidRDefault="00F92819">
            <w:pPr>
              <w:spacing w:before="40" w:after="40" w:line="220" w:lineRule="exact"/>
              <w:jc w:val="right"/>
              <w:rPr>
                <w:sz w:val="18"/>
                <w:szCs w:val="24"/>
              </w:rPr>
            </w:pPr>
            <w:r>
              <w:rPr>
                <w:sz w:val="18"/>
                <w:szCs w:val="24"/>
              </w:rPr>
              <w:t>0,6</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541,8</w:t>
            </w:r>
          </w:p>
        </w:tc>
      </w:tr>
      <w:tr w:rsidR="00F92819">
        <w:tc>
          <w:tcPr>
            <w:tcW w:w="1766" w:type="dxa"/>
            <w:vAlign w:val="bottom"/>
          </w:tcPr>
          <w:p w:rsidR="00F92819" w:rsidRDefault="00F92819">
            <w:pPr>
              <w:spacing w:before="40" w:after="40" w:line="220" w:lineRule="exact"/>
              <w:rPr>
                <w:szCs w:val="24"/>
              </w:rPr>
            </w:pPr>
            <w:r>
              <w:rPr>
                <w:sz w:val="18"/>
                <w:szCs w:val="24"/>
              </w:rPr>
              <w:t>35</w:t>
            </w:r>
            <w:r w:rsidR="008C04D7">
              <w:rPr>
                <w:sz w:val="18"/>
                <w:szCs w:val="24"/>
              </w:rPr>
              <w:t xml:space="preserve"> a </w:t>
            </w:r>
            <w:r>
              <w:rPr>
                <w:sz w:val="18"/>
                <w:szCs w:val="24"/>
              </w:rPr>
              <w:t>44</w:t>
            </w:r>
          </w:p>
        </w:tc>
        <w:tc>
          <w:tcPr>
            <w:tcW w:w="700" w:type="dxa"/>
            <w:vAlign w:val="bottom"/>
          </w:tcPr>
          <w:p w:rsidR="00F92819" w:rsidRDefault="00F92819">
            <w:pPr>
              <w:spacing w:before="40" w:after="40" w:line="220" w:lineRule="exact"/>
              <w:jc w:val="right"/>
              <w:rPr>
                <w:sz w:val="18"/>
                <w:szCs w:val="24"/>
              </w:rPr>
            </w:pPr>
            <w:r>
              <w:rPr>
                <w:sz w:val="18"/>
                <w:szCs w:val="24"/>
              </w:rPr>
              <w:t>13,1</w:t>
            </w:r>
          </w:p>
        </w:tc>
        <w:tc>
          <w:tcPr>
            <w:tcW w:w="600" w:type="dxa"/>
            <w:vAlign w:val="bottom"/>
          </w:tcPr>
          <w:p w:rsidR="00F92819" w:rsidRDefault="00F92819">
            <w:pPr>
              <w:spacing w:before="40" w:after="40" w:line="220" w:lineRule="exact"/>
              <w:jc w:val="right"/>
              <w:rPr>
                <w:sz w:val="18"/>
                <w:szCs w:val="24"/>
              </w:rPr>
            </w:pPr>
            <w:r>
              <w:rPr>
                <w:sz w:val="18"/>
                <w:szCs w:val="24"/>
              </w:rPr>
              <w:t>28,3</w:t>
            </w:r>
          </w:p>
        </w:tc>
        <w:tc>
          <w:tcPr>
            <w:tcW w:w="700" w:type="dxa"/>
            <w:vAlign w:val="bottom"/>
          </w:tcPr>
          <w:p w:rsidR="00F92819" w:rsidRDefault="00F92819">
            <w:pPr>
              <w:spacing w:before="40" w:after="40" w:line="220" w:lineRule="exact"/>
              <w:jc w:val="right"/>
              <w:rPr>
                <w:sz w:val="18"/>
                <w:szCs w:val="24"/>
              </w:rPr>
            </w:pPr>
            <w:r>
              <w:rPr>
                <w:sz w:val="18"/>
                <w:szCs w:val="24"/>
              </w:rPr>
              <w:t>22,1</w:t>
            </w:r>
          </w:p>
        </w:tc>
        <w:tc>
          <w:tcPr>
            <w:tcW w:w="700" w:type="dxa"/>
            <w:vAlign w:val="bottom"/>
          </w:tcPr>
          <w:p w:rsidR="00F92819" w:rsidRDefault="00F92819">
            <w:pPr>
              <w:spacing w:before="40" w:after="40" w:line="220" w:lineRule="exact"/>
              <w:jc w:val="right"/>
              <w:rPr>
                <w:sz w:val="18"/>
                <w:szCs w:val="24"/>
              </w:rPr>
            </w:pPr>
            <w:r>
              <w:rPr>
                <w:sz w:val="18"/>
                <w:szCs w:val="24"/>
              </w:rPr>
              <w:t>33,9</w:t>
            </w:r>
          </w:p>
        </w:tc>
        <w:tc>
          <w:tcPr>
            <w:tcW w:w="700" w:type="dxa"/>
            <w:vAlign w:val="bottom"/>
          </w:tcPr>
          <w:p w:rsidR="00F92819" w:rsidRDefault="00F92819">
            <w:pPr>
              <w:spacing w:before="40" w:after="40" w:line="220" w:lineRule="exact"/>
              <w:jc w:val="right"/>
              <w:rPr>
                <w:sz w:val="18"/>
                <w:szCs w:val="24"/>
              </w:rPr>
            </w:pPr>
            <w:r>
              <w:rPr>
                <w:sz w:val="18"/>
                <w:szCs w:val="24"/>
              </w:rPr>
              <w:t>8,8</w:t>
            </w:r>
          </w:p>
        </w:tc>
        <w:tc>
          <w:tcPr>
            <w:tcW w:w="700" w:type="dxa"/>
            <w:vAlign w:val="bottom"/>
          </w:tcPr>
          <w:p w:rsidR="00F92819" w:rsidRDefault="00F92819">
            <w:pPr>
              <w:spacing w:before="40" w:after="40" w:line="220" w:lineRule="exact"/>
              <w:jc w:val="right"/>
              <w:rPr>
                <w:sz w:val="18"/>
                <w:szCs w:val="24"/>
              </w:rPr>
            </w:pPr>
            <w:r>
              <w:rPr>
                <w:sz w:val="18"/>
                <w:szCs w:val="24"/>
              </w:rPr>
              <w:t>5,5</w:t>
            </w:r>
          </w:p>
        </w:tc>
        <w:tc>
          <w:tcPr>
            <w:tcW w:w="600" w:type="dxa"/>
            <w:vAlign w:val="bottom"/>
          </w:tcPr>
          <w:p w:rsidR="00F92819" w:rsidRDefault="00F92819">
            <w:pPr>
              <w:spacing w:before="40" w:after="40" w:line="220" w:lineRule="exact"/>
              <w:jc w:val="right"/>
              <w:rPr>
                <w:sz w:val="18"/>
                <w:szCs w:val="24"/>
              </w:rPr>
            </w:pPr>
            <w:r>
              <w:rPr>
                <w:sz w:val="18"/>
                <w:szCs w:val="24"/>
              </w:rPr>
              <w:t>0,5</w:t>
            </w:r>
          </w:p>
        </w:tc>
        <w:tc>
          <w:tcPr>
            <w:tcW w:w="600" w:type="dxa"/>
            <w:gridSpan w:val="2"/>
            <w:vAlign w:val="bottom"/>
          </w:tcPr>
          <w:p w:rsidR="00F92819" w:rsidRDefault="00F92819">
            <w:pPr>
              <w:spacing w:before="40" w:after="40" w:line="220" w:lineRule="exact"/>
              <w:jc w:val="right"/>
              <w:rPr>
                <w:sz w:val="18"/>
                <w:szCs w:val="24"/>
              </w:rPr>
            </w:pPr>
            <w:r>
              <w:rPr>
                <w:sz w:val="18"/>
                <w:szCs w:val="24"/>
              </w:rPr>
              <w:t>0,9</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422,3</w:t>
            </w:r>
          </w:p>
        </w:tc>
      </w:tr>
      <w:tr w:rsidR="00F92819">
        <w:tc>
          <w:tcPr>
            <w:tcW w:w="1766" w:type="dxa"/>
            <w:vAlign w:val="bottom"/>
          </w:tcPr>
          <w:p w:rsidR="00F92819" w:rsidRDefault="00F92819">
            <w:pPr>
              <w:spacing w:before="40" w:after="40" w:line="220" w:lineRule="exact"/>
              <w:rPr>
                <w:szCs w:val="24"/>
              </w:rPr>
            </w:pPr>
            <w:r>
              <w:rPr>
                <w:sz w:val="18"/>
                <w:szCs w:val="24"/>
              </w:rPr>
              <w:t>45</w:t>
            </w:r>
            <w:r w:rsidR="008C04D7">
              <w:rPr>
                <w:sz w:val="18"/>
                <w:szCs w:val="24"/>
              </w:rPr>
              <w:t xml:space="preserve"> a </w:t>
            </w:r>
            <w:r>
              <w:rPr>
                <w:sz w:val="18"/>
                <w:szCs w:val="24"/>
              </w:rPr>
              <w:t>54</w:t>
            </w:r>
          </w:p>
        </w:tc>
        <w:tc>
          <w:tcPr>
            <w:tcW w:w="700" w:type="dxa"/>
            <w:vAlign w:val="bottom"/>
          </w:tcPr>
          <w:p w:rsidR="00F92819" w:rsidRDefault="00F92819">
            <w:pPr>
              <w:spacing w:before="40" w:after="40" w:line="220" w:lineRule="exact"/>
              <w:jc w:val="right"/>
              <w:rPr>
                <w:sz w:val="18"/>
                <w:szCs w:val="24"/>
              </w:rPr>
            </w:pPr>
            <w:r>
              <w:rPr>
                <w:sz w:val="18"/>
                <w:szCs w:val="24"/>
              </w:rPr>
              <w:t>12,9</w:t>
            </w:r>
          </w:p>
        </w:tc>
        <w:tc>
          <w:tcPr>
            <w:tcW w:w="600" w:type="dxa"/>
            <w:vAlign w:val="bottom"/>
          </w:tcPr>
          <w:p w:rsidR="00F92819" w:rsidRDefault="00F92819">
            <w:pPr>
              <w:spacing w:before="40" w:after="40" w:line="220" w:lineRule="exact"/>
              <w:jc w:val="right"/>
              <w:rPr>
                <w:sz w:val="18"/>
                <w:szCs w:val="24"/>
              </w:rPr>
            </w:pPr>
            <w:r>
              <w:rPr>
                <w:sz w:val="18"/>
                <w:szCs w:val="24"/>
              </w:rPr>
              <w:t>26,1</w:t>
            </w:r>
          </w:p>
        </w:tc>
        <w:tc>
          <w:tcPr>
            <w:tcW w:w="700" w:type="dxa"/>
            <w:vAlign w:val="bottom"/>
          </w:tcPr>
          <w:p w:rsidR="00F92819" w:rsidRDefault="00F92819">
            <w:pPr>
              <w:spacing w:before="40" w:after="40" w:line="220" w:lineRule="exact"/>
              <w:jc w:val="right"/>
              <w:rPr>
                <w:sz w:val="18"/>
                <w:szCs w:val="24"/>
              </w:rPr>
            </w:pPr>
            <w:r>
              <w:rPr>
                <w:sz w:val="18"/>
                <w:szCs w:val="24"/>
              </w:rPr>
              <w:t>21,8</w:t>
            </w:r>
          </w:p>
        </w:tc>
        <w:tc>
          <w:tcPr>
            <w:tcW w:w="700" w:type="dxa"/>
            <w:vAlign w:val="bottom"/>
          </w:tcPr>
          <w:p w:rsidR="00F92819" w:rsidRDefault="00F92819">
            <w:pPr>
              <w:spacing w:before="40" w:after="40" w:line="220" w:lineRule="exact"/>
              <w:jc w:val="right"/>
              <w:rPr>
                <w:sz w:val="18"/>
                <w:szCs w:val="24"/>
              </w:rPr>
            </w:pPr>
            <w:r>
              <w:rPr>
                <w:sz w:val="18"/>
                <w:szCs w:val="24"/>
              </w:rPr>
              <w:t>30,8</w:t>
            </w:r>
          </w:p>
        </w:tc>
        <w:tc>
          <w:tcPr>
            <w:tcW w:w="700" w:type="dxa"/>
            <w:vAlign w:val="bottom"/>
          </w:tcPr>
          <w:p w:rsidR="00F92819" w:rsidRDefault="00F92819">
            <w:pPr>
              <w:spacing w:before="40" w:after="40" w:line="220" w:lineRule="exact"/>
              <w:jc w:val="right"/>
              <w:rPr>
                <w:sz w:val="18"/>
                <w:szCs w:val="24"/>
              </w:rPr>
            </w:pPr>
            <w:r>
              <w:rPr>
                <w:sz w:val="18"/>
                <w:szCs w:val="24"/>
              </w:rPr>
              <w:t>10,7</w:t>
            </w:r>
          </w:p>
        </w:tc>
        <w:tc>
          <w:tcPr>
            <w:tcW w:w="700" w:type="dxa"/>
            <w:vAlign w:val="bottom"/>
          </w:tcPr>
          <w:p w:rsidR="00F92819" w:rsidRDefault="00F92819">
            <w:pPr>
              <w:spacing w:before="40" w:after="40" w:line="220" w:lineRule="exact"/>
              <w:jc w:val="right"/>
              <w:rPr>
                <w:sz w:val="18"/>
                <w:szCs w:val="24"/>
              </w:rPr>
            </w:pPr>
            <w:r>
              <w:rPr>
                <w:sz w:val="18"/>
                <w:szCs w:val="24"/>
              </w:rPr>
              <w:t>8,5</w:t>
            </w:r>
          </w:p>
        </w:tc>
        <w:tc>
          <w:tcPr>
            <w:tcW w:w="600" w:type="dxa"/>
            <w:vAlign w:val="bottom"/>
          </w:tcPr>
          <w:p w:rsidR="00F92819" w:rsidRDefault="00F92819">
            <w:pPr>
              <w:spacing w:before="40" w:after="40" w:line="220" w:lineRule="exact"/>
              <w:jc w:val="right"/>
              <w:rPr>
                <w:sz w:val="18"/>
                <w:szCs w:val="24"/>
              </w:rPr>
            </w:pPr>
            <w:r>
              <w:rPr>
                <w:sz w:val="18"/>
                <w:szCs w:val="24"/>
              </w:rPr>
              <w:t>0,9</w:t>
            </w:r>
          </w:p>
        </w:tc>
        <w:tc>
          <w:tcPr>
            <w:tcW w:w="600" w:type="dxa"/>
            <w:gridSpan w:val="2"/>
            <w:vAlign w:val="bottom"/>
          </w:tcPr>
          <w:p w:rsidR="00F92819" w:rsidRDefault="00F92819">
            <w:pPr>
              <w:spacing w:before="40" w:after="40" w:line="220" w:lineRule="exact"/>
              <w:jc w:val="right"/>
              <w:rPr>
                <w:sz w:val="18"/>
                <w:szCs w:val="24"/>
              </w:rPr>
            </w:pPr>
            <w:r>
              <w:rPr>
                <w:sz w:val="18"/>
                <w:szCs w:val="24"/>
              </w:rPr>
              <w:t>1,1</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363,8</w:t>
            </w:r>
          </w:p>
        </w:tc>
      </w:tr>
      <w:tr w:rsidR="00F92819">
        <w:tc>
          <w:tcPr>
            <w:tcW w:w="1766" w:type="dxa"/>
            <w:vAlign w:val="bottom"/>
          </w:tcPr>
          <w:p w:rsidR="00F92819" w:rsidRDefault="00F92819">
            <w:pPr>
              <w:spacing w:before="40" w:after="40" w:line="220" w:lineRule="exact"/>
              <w:rPr>
                <w:szCs w:val="24"/>
              </w:rPr>
            </w:pPr>
            <w:r>
              <w:rPr>
                <w:sz w:val="18"/>
                <w:szCs w:val="24"/>
              </w:rPr>
              <w:t>55</w:t>
            </w:r>
            <w:r w:rsidR="008C04D7">
              <w:rPr>
                <w:sz w:val="18"/>
                <w:szCs w:val="24"/>
              </w:rPr>
              <w:t xml:space="preserve"> a </w:t>
            </w:r>
            <w:r>
              <w:rPr>
                <w:sz w:val="18"/>
                <w:szCs w:val="24"/>
              </w:rPr>
              <w:t>64</w:t>
            </w:r>
          </w:p>
        </w:tc>
        <w:tc>
          <w:tcPr>
            <w:tcW w:w="700" w:type="dxa"/>
            <w:vAlign w:val="bottom"/>
          </w:tcPr>
          <w:p w:rsidR="00F92819" w:rsidRDefault="00F92819">
            <w:pPr>
              <w:spacing w:before="40" w:after="40" w:line="220" w:lineRule="exact"/>
              <w:jc w:val="right"/>
              <w:rPr>
                <w:sz w:val="18"/>
                <w:szCs w:val="24"/>
              </w:rPr>
            </w:pPr>
            <w:r>
              <w:rPr>
                <w:sz w:val="18"/>
                <w:szCs w:val="24"/>
              </w:rPr>
              <w:t>12,9</w:t>
            </w:r>
          </w:p>
        </w:tc>
        <w:tc>
          <w:tcPr>
            <w:tcW w:w="600" w:type="dxa"/>
            <w:vAlign w:val="bottom"/>
          </w:tcPr>
          <w:p w:rsidR="00F92819" w:rsidRDefault="00F92819">
            <w:pPr>
              <w:spacing w:before="40" w:after="40" w:line="220" w:lineRule="exact"/>
              <w:jc w:val="right"/>
              <w:rPr>
                <w:sz w:val="18"/>
                <w:szCs w:val="24"/>
              </w:rPr>
            </w:pPr>
            <w:r>
              <w:rPr>
                <w:sz w:val="18"/>
                <w:szCs w:val="24"/>
              </w:rPr>
              <w:t>27,3</w:t>
            </w:r>
          </w:p>
        </w:tc>
        <w:tc>
          <w:tcPr>
            <w:tcW w:w="700" w:type="dxa"/>
            <w:vAlign w:val="bottom"/>
          </w:tcPr>
          <w:p w:rsidR="00F92819" w:rsidRDefault="00F92819">
            <w:pPr>
              <w:spacing w:before="40" w:after="40" w:line="220" w:lineRule="exact"/>
              <w:jc w:val="right"/>
              <w:rPr>
                <w:sz w:val="18"/>
                <w:szCs w:val="24"/>
              </w:rPr>
            </w:pPr>
            <w:r>
              <w:rPr>
                <w:sz w:val="18"/>
                <w:szCs w:val="24"/>
              </w:rPr>
              <w:t>20,9</w:t>
            </w:r>
          </w:p>
        </w:tc>
        <w:tc>
          <w:tcPr>
            <w:tcW w:w="700" w:type="dxa"/>
            <w:vAlign w:val="bottom"/>
          </w:tcPr>
          <w:p w:rsidR="00F92819" w:rsidRDefault="00F92819">
            <w:pPr>
              <w:spacing w:before="40" w:after="40" w:line="220" w:lineRule="exact"/>
              <w:jc w:val="right"/>
              <w:rPr>
                <w:sz w:val="18"/>
                <w:szCs w:val="24"/>
              </w:rPr>
            </w:pPr>
            <w:r>
              <w:rPr>
                <w:sz w:val="18"/>
                <w:szCs w:val="24"/>
              </w:rPr>
              <w:t>24,6</w:t>
            </w:r>
          </w:p>
        </w:tc>
        <w:tc>
          <w:tcPr>
            <w:tcW w:w="700" w:type="dxa"/>
            <w:vAlign w:val="bottom"/>
          </w:tcPr>
          <w:p w:rsidR="00F92819" w:rsidRDefault="00F92819">
            <w:pPr>
              <w:spacing w:before="40" w:after="40" w:line="220" w:lineRule="exact"/>
              <w:jc w:val="right"/>
              <w:rPr>
                <w:sz w:val="18"/>
                <w:szCs w:val="24"/>
              </w:rPr>
            </w:pPr>
            <w:r>
              <w:rPr>
                <w:sz w:val="18"/>
                <w:szCs w:val="24"/>
              </w:rPr>
              <w:t>10,4</w:t>
            </w:r>
          </w:p>
        </w:tc>
        <w:tc>
          <w:tcPr>
            <w:tcW w:w="700" w:type="dxa"/>
            <w:vAlign w:val="bottom"/>
          </w:tcPr>
          <w:p w:rsidR="00F92819" w:rsidRDefault="00F92819">
            <w:pPr>
              <w:spacing w:before="40" w:after="40" w:line="220" w:lineRule="exact"/>
              <w:jc w:val="right"/>
              <w:rPr>
                <w:sz w:val="18"/>
                <w:szCs w:val="24"/>
              </w:rPr>
            </w:pPr>
            <w:r>
              <w:rPr>
                <w:sz w:val="18"/>
                <w:szCs w:val="24"/>
              </w:rPr>
              <w:t>13,5</w:t>
            </w:r>
          </w:p>
        </w:tc>
        <w:tc>
          <w:tcPr>
            <w:tcW w:w="600" w:type="dxa"/>
            <w:vAlign w:val="bottom"/>
          </w:tcPr>
          <w:p w:rsidR="00F92819" w:rsidRDefault="00F92819">
            <w:pPr>
              <w:spacing w:before="40" w:after="40" w:line="220" w:lineRule="exact"/>
              <w:jc w:val="right"/>
              <w:rPr>
                <w:sz w:val="18"/>
                <w:szCs w:val="24"/>
              </w:rPr>
            </w:pPr>
            <w:r>
              <w:rPr>
                <w:sz w:val="18"/>
                <w:szCs w:val="24"/>
              </w:rPr>
              <w:t>1,3</w:t>
            </w:r>
          </w:p>
        </w:tc>
        <w:tc>
          <w:tcPr>
            <w:tcW w:w="600" w:type="dxa"/>
            <w:gridSpan w:val="2"/>
            <w:vAlign w:val="bottom"/>
          </w:tcPr>
          <w:p w:rsidR="00F92819" w:rsidRDefault="00F92819">
            <w:pPr>
              <w:spacing w:before="40" w:after="40" w:line="220" w:lineRule="exact"/>
              <w:jc w:val="right"/>
              <w:rPr>
                <w:sz w:val="18"/>
                <w:szCs w:val="24"/>
              </w:rPr>
            </w:pPr>
            <w:r>
              <w:rPr>
                <w:sz w:val="18"/>
                <w:szCs w:val="24"/>
              </w:rPr>
              <w:t>1,9</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287,2</w:t>
            </w:r>
          </w:p>
        </w:tc>
      </w:tr>
      <w:tr w:rsidR="00F92819">
        <w:tc>
          <w:tcPr>
            <w:tcW w:w="1766" w:type="dxa"/>
            <w:tcBorders>
              <w:bottom w:val="single" w:sz="4" w:space="0" w:color="auto"/>
            </w:tcBorders>
            <w:vAlign w:val="bottom"/>
          </w:tcPr>
          <w:p w:rsidR="00F92819" w:rsidRDefault="00F92819">
            <w:pPr>
              <w:spacing w:before="40" w:after="40" w:line="220" w:lineRule="exact"/>
              <w:rPr>
                <w:sz w:val="18"/>
                <w:szCs w:val="24"/>
              </w:rPr>
            </w:pPr>
            <w:r>
              <w:rPr>
                <w:sz w:val="18"/>
                <w:szCs w:val="24"/>
              </w:rPr>
              <w:t>65+</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11,8</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19,9</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17,1</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20,9</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10</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21,4</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4,7</w:t>
            </w:r>
          </w:p>
        </w:tc>
        <w:tc>
          <w:tcPr>
            <w:tcW w:w="600" w:type="dxa"/>
            <w:gridSpan w:val="2"/>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6,1</w:t>
            </w:r>
          </w:p>
        </w:tc>
        <w:tc>
          <w:tcPr>
            <w:tcW w:w="489" w:type="dxa"/>
            <w:tcBorders>
              <w:bottom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301,5</w:t>
            </w:r>
          </w:p>
        </w:tc>
      </w:tr>
      <w:tr w:rsidR="00F92819">
        <w:tc>
          <w:tcPr>
            <w:tcW w:w="1766" w:type="dxa"/>
            <w:tcBorders>
              <w:top w:val="single" w:sz="4" w:space="0" w:color="auto"/>
              <w:bottom w:val="single" w:sz="4" w:space="0" w:color="auto"/>
            </w:tcBorders>
            <w:vAlign w:val="bottom"/>
          </w:tcPr>
          <w:p w:rsidR="00F92819" w:rsidRDefault="00F92819">
            <w:pPr>
              <w:spacing w:before="80" w:after="80" w:line="220" w:lineRule="exact"/>
              <w:ind w:firstLine="284"/>
              <w:rPr>
                <w:szCs w:val="24"/>
              </w:rPr>
            </w:pPr>
            <w:r>
              <w:rPr>
                <w:b/>
                <w:sz w:val="18"/>
                <w:szCs w:val="24"/>
                <w:lang w:val="es-ES_tradnl"/>
              </w:rPr>
              <w:t>Mujeres - Total</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12,6</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20,3</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23,3</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33,8</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9,7</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7,9</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1,4</w:t>
            </w:r>
          </w:p>
        </w:tc>
        <w:tc>
          <w:tcPr>
            <w:tcW w:w="600" w:type="dxa"/>
            <w:gridSpan w:val="2"/>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3,6</w:t>
            </w:r>
          </w:p>
        </w:tc>
        <w:tc>
          <w:tcPr>
            <w:tcW w:w="48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100</w:t>
            </w:r>
          </w:p>
        </w:tc>
        <w:tc>
          <w:tcPr>
            <w:tcW w:w="85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2 638,1</w:t>
            </w:r>
          </w:p>
        </w:tc>
      </w:tr>
      <w:tr w:rsidR="00F92819">
        <w:tc>
          <w:tcPr>
            <w:tcW w:w="1766" w:type="dxa"/>
            <w:tcBorders>
              <w:top w:val="single" w:sz="4" w:space="0" w:color="auto"/>
            </w:tcBorders>
            <w:vAlign w:val="bottom"/>
          </w:tcPr>
          <w:p w:rsidR="00F92819" w:rsidRDefault="00F92819">
            <w:pPr>
              <w:spacing w:before="40" w:after="40" w:line="220" w:lineRule="exact"/>
              <w:rPr>
                <w:szCs w:val="24"/>
              </w:rPr>
            </w:pPr>
            <w:r>
              <w:rPr>
                <w:sz w:val="18"/>
                <w:szCs w:val="24"/>
              </w:rPr>
              <w:t>15</w:t>
            </w:r>
            <w:r w:rsidR="008C04D7">
              <w:rPr>
                <w:sz w:val="18"/>
                <w:szCs w:val="24"/>
              </w:rPr>
              <w:t xml:space="preserve"> a </w:t>
            </w:r>
            <w:r>
              <w:rPr>
                <w:sz w:val="18"/>
                <w:szCs w:val="24"/>
              </w:rPr>
              <w:t>17</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11,1</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53,2</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43,9</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00" w:type="dxa"/>
            <w:gridSpan w:val="2"/>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489"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171,2</w:t>
            </w:r>
          </w:p>
        </w:tc>
      </w:tr>
      <w:tr w:rsidR="00F92819">
        <w:tc>
          <w:tcPr>
            <w:tcW w:w="1766" w:type="dxa"/>
            <w:vAlign w:val="bottom"/>
          </w:tcPr>
          <w:p w:rsidR="00F92819" w:rsidRDefault="00F92819">
            <w:pPr>
              <w:spacing w:before="40" w:after="40" w:line="220" w:lineRule="exact"/>
              <w:rPr>
                <w:szCs w:val="24"/>
              </w:rPr>
            </w:pPr>
            <w:r>
              <w:rPr>
                <w:sz w:val="18"/>
                <w:szCs w:val="24"/>
              </w:rPr>
              <w:t>18</w:t>
            </w:r>
            <w:r w:rsidR="008C04D7">
              <w:rPr>
                <w:sz w:val="18"/>
                <w:szCs w:val="24"/>
              </w:rPr>
              <w:t xml:space="preserve"> a </w:t>
            </w:r>
            <w:r>
              <w:rPr>
                <w:sz w:val="18"/>
                <w:szCs w:val="24"/>
              </w:rPr>
              <w:t>24</w:t>
            </w:r>
          </w:p>
        </w:tc>
        <w:tc>
          <w:tcPr>
            <w:tcW w:w="700" w:type="dxa"/>
            <w:vAlign w:val="bottom"/>
          </w:tcPr>
          <w:p w:rsidR="00F92819" w:rsidRDefault="00F92819">
            <w:pPr>
              <w:spacing w:before="40" w:after="40" w:line="220" w:lineRule="exact"/>
              <w:jc w:val="right"/>
              <w:rPr>
                <w:sz w:val="18"/>
                <w:szCs w:val="24"/>
              </w:rPr>
            </w:pPr>
            <w:r>
              <w:rPr>
                <w:sz w:val="18"/>
                <w:szCs w:val="24"/>
              </w:rPr>
              <w:t>12,5</w:t>
            </w:r>
          </w:p>
        </w:tc>
        <w:tc>
          <w:tcPr>
            <w:tcW w:w="600" w:type="dxa"/>
            <w:vAlign w:val="bottom"/>
          </w:tcPr>
          <w:p w:rsidR="00F92819" w:rsidRDefault="00F92819">
            <w:pPr>
              <w:spacing w:before="40" w:after="40" w:line="220" w:lineRule="exact"/>
              <w:jc w:val="right"/>
              <w:rPr>
                <w:sz w:val="18"/>
                <w:szCs w:val="24"/>
              </w:rPr>
            </w:pPr>
            <w:r>
              <w:rPr>
                <w:sz w:val="18"/>
                <w:szCs w:val="24"/>
              </w:rPr>
              <w:t>4,8</w:t>
            </w:r>
          </w:p>
        </w:tc>
        <w:tc>
          <w:tcPr>
            <w:tcW w:w="700" w:type="dxa"/>
            <w:vAlign w:val="bottom"/>
          </w:tcPr>
          <w:p w:rsidR="00F92819" w:rsidRDefault="00F92819">
            <w:pPr>
              <w:spacing w:before="40" w:after="40" w:line="220" w:lineRule="exact"/>
              <w:jc w:val="right"/>
              <w:rPr>
                <w:sz w:val="18"/>
                <w:szCs w:val="24"/>
              </w:rPr>
            </w:pPr>
            <w:r>
              <w:rPr>
                <w:sz w:val="18"/>
                <w:szCs w:val="24"/>
              </w:rPr>
              <w:t>31,7</w:t>
            </w:r>
          </w:p>
        </w:tc>
        <w:tc>
          <w:tcPr>
            <w:tcW w:w="700" w:type="dxa"/>
            <w:vAlign w:val="bottom"/>
          </w:tcPr>
          <w:p w:rsidR="00F92819" w:rsidRDefault="00F92819">
            <w:pPr>
              <w:spacing w:before="40" w:after="40" w:line="220" w:lineRule="exact"/>
              <w:jc w:val="right"/>
              <w:rPr>
                <w:sz w:val="18"/>
                <w:szCs w:val="24"/>
              </w:rPr>
            </w:pPr>
            <w:r>
              <w:rPr>
                <w:sz w:val="18"/>
                <w:szCs w:val="24"/>
              </w:rPr>
              <w:t>57,7</w:t>
            </w:r>
          </w:p>
        </w:tc>
        <w:tc>
          <w:tcPr>
            <w:tcW w:w="700" w:type="dxa"/>
            <w:vAlign w:val="bottom"/>
          </w:tcPr>
          <w:p w:rsidR="00F92819" w:rsidRDefault="00F92819">
            <w:pPr>
              <w:spacing w:before="40" w:after="40" w:line="220" w:lineRule="exact"/>
              <w:jc w:val="right"/>
              <w:rPr>
                <w:sz w:val="18"/>
                <w:szCs w:val="24"/>
              </w:rPr>
            </w:pPr>
            <w:r>
              <w:rPr>
                <w:sz w:val="18"/>
                <w:szCs w:val="24"/>
              </w:rPr>
              <w:t>3</w:t>
            </w:r>
          </w:p>
        </w:tc>
        <w:tc>
          <w:tcPr>
            <w:tcW w:w="700" w:type="dxa"/>
            <w:vAlign w:val="bottom"/>
          </w:tcPr>
          <w:p w:rsidR="00F92819" w:rsidRDefault="00F92819">
            <w:pPr>
              <w:spacing w:before="40" w:after="40" w:line="220" w:lineRule="exact"/>
              <w:jc w:val="right"/>
              <w:rPr>
                <w:sz w:val="18"/>
                <w:szCs w:val="24"/>
              </w:rPr>
            </w:pPr>
            <w:r>
              <w:rPr>
                <w:sz w:val="18"/>
                <w:szCs w:val="24"/>
              </w:rPr>
              <w:t>1,8</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0,8</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392,8</w:t>
            </w:r>
          </w:p>
        </w:tc>
      </w:tr>
      <w:tr w:rsidR="00F92819">
        <w:tc>
          <w:tcPr>
            <w:tcW w:w="1766" w:type="dxa"/>
            <w:vAlign w:val="bottom"/>
          </w:tcPr>
          <w:p w:rsidR="00F92819" w:rsidRDefault="00F92819">
            <w:pPr>
              <w:spacing w:before="40" w:after="40" w:line="220" w:lineRule="exact"/>
              <w:rPr>
                <w:szCs w:val="24"/>
              </w:rPr>
            </w:pPr>
            <w:r>
              <w:rPr>
                <w:sz w:val="18"/>
                <w:szCs w:val="24"/>
              </w:rPr>
              <w:t>25</w:t>
            </w:r>
            <w:r w:rsidR="008C04D7">
              <w:rPr>
                <w:sz w:val="18"/>
                <w:szCs w:val="24"/>
              </w:rPr>
              <w:t xml:space="preserve"> a </w:t>
            </w:r>
            <w:r>
              <w:rPr>
                <w:sz w:val="18"/>
                <w:szCs w:val="24"/>
              </w:rPr>
              <w:t>34</w:t>
            </w:r>
          </w:p>
        </w:tc>
        <w:tc>
          <w:tcPr>
            <w:tcW w:w="700" w:type="dxa"/>
            <w:vAlign w:val="bottom"/>
          </w:tcPr>
          <w:p w:rsidR="00F92819" w:rsidRDefault="00F92819">
            <w:pPr>
              <w:spacing w:before="40" w:after="40" w:line="220" w:lineRule="exact"/>
              <w:jc w:val="right"/>
              <w:rPr>
                <w:sz w:val="18"/>
                <w:szCs w:val="24"/>
              </w:rPr>
            </w:pPr>
            <w:r>
              <w:rPr>
                <w:sz w:val="18"/>
                <w:szCs w:val="24"/>
              </w:rPr>
              <w:t>13,9</w:t>
            </w:r>
          </w:p>
        </w:tc>
        <w:tc>
          <w:tcPr>
            <w:tcW w:w="600" w:type="dxa"/>
            <w:vAlign w:val="bottom"/>
          </w:tcPr>
          <w:p w:rsidR="00F92819" w:rsidRDefault="00F92819">
            <w:pPr>
              <w:spacing w:before="40" w:after="40" w:line="220" w:lineRule="exact"/>
              <w:jc w:val="right"/>
              <w:rPr>
                <w:sz w:val="18"/>
                <w:szCs w:val="24"/>
              </w:rPr>
            </w:pPr>
            <w:r>
              <w:rPr>
                <w:sz w:val="18"/>
                <w:szCs w:val="24"/>
              </w:rPr>
              <w:t>31,6</w:t>
            </w:r>
          </w:p>
        </w:tc>
        <w:tc>
          <w:tcPr>
            <w:tcW w:w="700" w:type="dxa"/>
            <w:vAlign w:val="bottom"/>
          </w:tcPr>
          <w:p w:rsidR="00F92819" w:rsidRDefault="00F92819">
            <w:pPr>
              <w:spacing w:before="40" w:after="40" w:line="220" w:lineRule="exact"/>
              <w:jc w:val="right"/>
              <w:rPr>
                <w:sz w:val="18"/>
                <w:szCs w:val="24"/>
              </w:rPr>
            </w:pPr>
            <w:r>
              <w:rPr>
                <w:sz w:val="18"/>
                <w:szCs w:val="24"/>
              </w:rPr>
              <w:t>26,9</w:t>
            </w:r>
          </w:p>
        </w:tc>
        <w:tc>
          <w:tcPr>
            <w:tcW w:w="700" w:type="dxa"/>
            <w:vAlign w:val="bottom"/>
          </w:tcPr>
          <w:p w:rsidR="00F92819" w:rsidRDefault="00F92819">
            <w:pPr>
              <w:spacing w:before="40" w:after="40" w:line="220" w:lineRule="exact"/>
              <w:jc w:val="right"/>
              <w:rPr>
                <w:sz w:val="18"/>
                <w:szCs w:val="24"/>
              </w:rPr>
            </w:pPr>
            <w:r>
              <w:rPr>
                <w:sz w:val="18"/>
                <w:szCs w:val="24"/>
              </w:rPr>
              <w:t>30,9</w:t>
            </w:r>
          </w:p>
        </w:tc>
        <w:tc>
          <w:tcPr>
            <w:tcW w:w="700" w:type="dxa"/>
            <w:vAlign w:val="bottom"/>
          </w:tcPr>
          <w:p w:rsidR="00F92819" w:rsidRDefault="00F92819">
            <w:pPr>
              <w:spacing w:before="40" w:after="40" w:line="220" w:lineRule="exact"/>
              <w:jc w:val="right"/>
              <w:rPr>
                <w:sz w:val="18"/>
                <w:szCs w:val="24"/>
              </w:rPr>
            </w:pPr>
            <w:r>
              <w:rPr>
                <w:sz w:val="18"/>
                <w:szCs w:val="24"/>
              </w:rPr>
              <w:t>5,5</w:t>
            </w:r>
          </w:p>
        </w:tc>
        <w:tc>
          <w:tcPr>
            <w:tcW w:w="700" w:type="dxa"/>
            <w:vAlign w:val="bottom"/>
          </w:tcPr>
          <w:p w:rsidR="00F92819" w:rsidRDefault="00F92819">
            <w:pPr>
              <w:spacing w:before="40" w:after="40" w:line="220" w:lineRule="exact"/>
              <w:jc w:val="right"/>
              <w:rPr>
                <w:sz w:val="18"/>
                <w:szCs w:val="24"/>
              </w:rPr>
            </w:pPr>
            <w:r>
              <w:rPr>
                <w:sz w:val="18"/>
                <w:szCs w:val="24"/>
              </w:rPr>
              <w:t>3,6</w:t>
            </w:r>
          </w:p>
        </w:tc>
        <w:tc>
          <w:tcPr>
            <w:tcW w:w="600" w:type="dxa"/>
            <w:vAlign w:val="bottom"/>
          </w:tcPr>
          <w:p w:rsidR="00F92819" w:rsidRDefault="00F92819">
            <w:pPr>
              <w:spacing w:before="40" w:after="40" w:line="220" w:lineRule="exact"/>
              <w:jc w:val="right"/>
              <w:rPr>
                <w:sz w:val="18"/>
                <w:szCs w:val="24"/>
              </w:rPr>
            </w:pPr>
            <w:r>
              <w:rPr>
                <w:sz w:val="18"/>
                <w:szCs w:val="24"/>
              </w:rPr>
              <w:t>0,3</w:t>
            </w:r>
          </w:p>
        </w:tc>
        <w:tc>
          <w:tcPr>
            <w:tcW w:w="600" w:type="dxa"/>
            <w:gridSpan w:val="2"/>
            <w:vAlign w:val="bottom"/>
          </w:tcPr>
          <w:p w:rsidR="00F92819" w:rsidRDefault="00F92819">
            <w:pPr>
              <w:spacing w:before="40" w:after="40" w:line="220" w:lineRule="exact"/>
              <w:jc w:val="right"/>
              <w:rPr>
                <w:sz w:val="18"/>
                <w:szCs w:val="24"/>
              </w:rPr>
            </w:pPr>
            <w:r>
              <w:rPr>
                <w:sz w:val="18"/>
                <w:szCs w:val="24"/>
              </w:rPr>
              <w:t>1,1</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535,3</w:t>
            </w:r>
          </w:p>
        </w:tc>
      </w:tr>
      <w:tr w:rsidR="00F92819">
        <w:tc>
          <w:tcPr>
            <w:tcW w:w="1766" w:type="dxa"/>
            <w:vAlign w:val="bottom"/>
          </w:tcPr>
          <w:p w:rsidR="00F92819" w:rsidRDefault="00F92819">
            <w:pPr>
              <w:spacing w:before="40" w:after="40" w:line="220" w:lineRule="exact"/>
              <w:rPr>
                <w:szCs w:val="24"/>
              </w:rPr>
            </w:pPr>
            <w:r>
              <w:rPr>
                <w:sz w:val="18"/>
                <w:szCs w:val="24"/>
              </w:rPr>
              <w:t>35</w:t>
            </w:r>
            <w:r w:rsidR="008C04D7">
              <w:rPr>
                <w:sz w:val="18"/>
                <w:szCs w:val="24"/>
              </w:rPr>
              <w:t xml:space="preserve"> a </w:t>
            </w:r>
            <w:r>
              <w:rPr>
                <w:sz w:val="18"/>
                <w:szCs w:val="24"/>
              </w:rPr>
              <w:t>44</w:t>
            </w:r>
          </w:p>
        </w:tc>
        <w:tc>
          <w:tcPr>
            <w:tcW w:w="700" w:type="dxa"/>
            <w:vAlign w:val="bottom"/>
          </w:tcPr>
          <w:p w:rsidR="00F92819" w:rsidRDefault="00F92819">
            <w:pPr>
              <w:spacing w:before="40" w:after="40" w:line="220" w:lineRule="exact"/>
              <w:jc w:val="right"/>
              <w:rPr>
                <w:sz w:val="18"/>
                <w:szCs w:val="24"/>
              </w:rPr>
            </w:pPr>
            <w:r>
              <w:rPr>
                <w:sz w:val="18"/>
                <w:szCs w:val="24"/>
              </w:rPr>
              <w:t>13,4</w:t>
            </w:r>
          </w:p>
        </w:tc>
        <w:tc>
          <w:tcPr>
            <w:tcW w:w="600" w:type="dxa"/>
            <w:vAlign w:val="bottom"/>
          </w:tcPr>
          <w:p w:rsidR="00F92819" w:rsidRDefault="00F92819">
            <w:pPr>
              <w:spacing w:before="40" w:after="40" w:line="220" w:lineRule="exact"/>
              <w:jc w:val="right"/>
              <w:rPr>
                <w:sz w:val="18"/>
                <w:szCs w:val="24"/>
              </w:rPr>
            </w:pPr>
            <w:r>
              <w:rPr>
                <w:sz w:val="18"/>
                <w:szCs w:val="24"/>
              </w:rPr>
              <w:t>29,5</w:t>
            </w:r>
          </w:p>
        </w:tc>
        <w:tc>
          <w:tcPr>
            <w:tcW w:w="700" w:type="dxa"/>
            <w:vAlign w:val="bottom"/>
          </w:tcPr>
          <w:p w:rsidR="00F92819" w:rsidRDefault="00F92819">
            <w:pPr>
              <w:spacing w:before="40" w:after="40" w:line="220" w:lineRule="exact"/>
              <w:jc w:val="right"/>
              <w:rPr>
                <w:sz w:val="18"/>
                <w:szCs w:val="24"/>
              </w:rPr>
            </w:pPr>
            <w:r>
              <w:rPr>
                <w:sz w:val="18"/>
                <w:szCs w:val="24"/>
              </w:rPr>
              <w:t>23,4</w:t>
            </w:r>
          </w:p>
        </w:tc>
        <w:tc>
          <w:tcPr>
            <w:tcW w:w="700" w:type="dxa"/>
            <w:vAlign w:val="bottom"/>
          </w:tcPr>
          <w:p w:rsidR="00F92819" w:rsidRDefault="00F92819">
            <w:pPr>
              <w:spacing w:before="40" w:after="40" w:line="220" w:lineRule="exact"/>
              <w:jc w:val="right"/>
              <w:rPr>
                <w:sz w:val="18"/>
                <w:szCs w:val="24"/>
              </w:rPr>
            </w:pPr>
            <w:r>
              <w:rPr>
                <w:sz w:val="18"/>
                <w:szCs w:val="24"/>
              </w:rPr>
              <w:t>32,7</w:t>
            </w:r>
          </w:p>
        </w:tc>
        <w:tc>
          <w:tcPr>
            <w:tcW w:w="700" w:type="dxa"/>
            <w:vAlign w:val="bottom"/>
          </w:tcPr>
          <w:p w:rsidR="00F92819" w:rsidRDefault="00F92819">
            <w:pPr>
              <w:spacing w:before="40" w:after="40" w:line="220" w:lineRule="exact"/>
              <w:jc w:val="right"/>
              <w:rPr>
                <w:sz w:val="18"/>
                <w:szCs w:val="24"/>
              </w:rPr>
            </w:pPr>
            <w:r>
              <w:rPr>
                <w:sz w:val="18"/>
                <w:szCs w:val="24"/>
              </w:rPr>
              <w:t>6,7</w:t>
            </w:r>
          </w:p>
        </w:tc>
        <w:tc>
          <w:tcPr>
            <w:tcW w:w="700" w:type="dxa"/>
            <w:vAlign w:val="bottom"/>
          </w:tcPr>
          <w:p w:rsidR="00F92819" w:rsidRDefault="00F92819">
            <w:pPr>
              <w:spacing w:before="40" w:after="40" w:line="220" w:lineRule="exact"/>
              <w:jc w:val="right"/>
              <w:rPr>
                <w:sz w:val="18"/>
                <w:szCs w:val="24"/>
              </w:rPr>
            </w:pPr>
            <w:r>
              <w:rPr>
                <w:sz w:val="18"/>
                <w:szCs w:val="24"/>
              </w:rPr>
              <w:t>5,4</w:t>
            </w:r>
          </w:p>
        </w:tc>
        <w:tc>
          <w:tcPr>
            <w:tcW w:w="600" w:type="dxa"/>
            <w:vAlign w:val="bottom"/>
          </w:tcPr>
          <w:p w:rsidR="00F92819" w:rsidRDefault="00F92819">
            <w:pPr>
              <w:spacing w:before="40" w:after="40" w:line="220" w:lineRule="exact"/>
              <w:jc w:val="right"/>
              <w:rPr>
                <w:sz w:val="18"/>
                <w:szCs w:val="24"/>
              </w:rPr>
            </w:pPr>
            <w:r>
              <w:rPr>
                <w:sz w:val="18"/>
                <w:szCs w:val="24"/>
              </w:rPr>
              <w:t>0,5</w:t>
            </w:r>
          </w:p>
        </w:tc>
        <w:tc>
          <w:tcPr>
            <w:tcW w:w="600" w:type="dxa"/>
            <w:gridSpan w:val="2"/>
            <w:vAlign w:val="bottom"/>
          </w:tcPr>
          <w:p w:rsidR="00F92819" w:rsidRDefault="00F92819">
            <w:pPr>
              <w:spacing w:before="40" w:after="40" w:line="220" w:lineRule="exact"/>
              <w:jc w:val="right"/>
              <w:rPr>
                <w:sz w:val="18"/>
                <w:szCs w:val="24"/>
              </w:rPr>
            </w:pPr>
            <w:r>
              <w:rPr>
                <w:sz w:val="18"/>
                <w:szCs w:val="24"/>
              </w:rPr>
              <w:t>1,7</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430,2</w:t>
            </w:r>
          </w:p>
        </w:tc>
      </w:tr>
      <w:tr w:rsidR="00F92819">
        <w:tc>
          <w:tcPr>
            <w:tcW w:w="1766" w:type="dxa"/>
            <w:vAlign w:val="bottom"/>
          </w:tcPr>
          <w:p w:rsidR="00F92819" w:rsidRDefault="00F92819">
            <w:pPr>
              <w:spacing w:before="40" w:after="40" w:line="220" w:lineRule="exact"/>
              <w:rPr>
                <w:szCs w:val="24"/>
              </w:rPr>
            </w:pPr>
            <w:r>
              <w:rPr>
                <w:sz w:val="18"/>
                <w:szCs w:val="24"/>
              </w:rPr>
              <w:t>45</w:t>
            </w:r>
            <w:r w:rsidR="008C04D7">
              <w:rPr>
                <w:sz w:val="18"/>
                <w:szCs w:val="24"/>
              </w:rPr>
              <w:t xml:space="preserve"> a </w:t>
            </w:r>
            <w:r>
              <w:rPr>
                <w:sz w:val="18"/>
                <w:szCs w:val="24"/>
              </w:rPr>
              <w:t>54</w:t>
            </w:r>
          </w:p>
        </w:tc>
        <w:tc>
          <w:tcPr>
            <w:tcW w:w="700" w:type="dxa"/>
            <w:vAlign w:val="bottom"/>
          </w:tcPr>
          <w:p w:rsidR="00F92819" w:rsidRDefault="00F92819">
            <w:pPr>
              <w:spacing w:before="40" w:after="40" w:line="220" w:lineRule="exact"/>
              <w:jc w:val="right"/>
              <w:rPr>
                <w:sz w:val="18"/>
                <w:szCs w:val="24"/>
              </w:rPr>
            </w:pPr>
            <w:r>
              <w:rPr>
                <w:sz w:val="18"/>
                <w:szCs w:val="24"/>
              </w:rPr>
              <w:t>13</w:t>
            </w:r>
          </w:p>
        </w:tc>
        <w:tc>
          <w:tcPr>
            <w:tcW w:w="600" w:type="dxa"/>
            <w:vAlign w:val="bottom"/>
          </w:tcPr>
          <w:p w:rsidR="00F92819" w:rsidRDefault="00F92819">
            <w:pPr>
              <w:spacing w:before="40" w:after="40" w:line="220" w:lineRule="exact"/>
              <w:jc w:val="right"/>
              <w:rPr>
                <w:sz w:val="18"/>
                <w:szCs w:val="24"/>
              </w:rPr>
            </w:pPr>
            <w:r>
              <w:rPr>
                <w:sz w:val="18"/>
                <w:szCs w:val="24"/>
              </w:rPr>
              <w:t>25,1</w:t>
            </w:r>
          </w:p>
        </w:tc>
        <w:tc>
          <w:tcPr>
            <w:tcW w:w="700" w:type="dxa"/>
            <w:vAlign w:val="bottom"/>
          </w:tcPr>
          <w:p w:rsidR="00F92819" w:rsidRDefault="00F92819">
            <w:pPr>
              <w:spacing w:before="40" w:after="40" w:line="220" w:lineRule="exact"/>
              <w:jc w:val="right"/>
              <w:rPr>
                <w:sz w:val="18"/>
                <w:szCs w:val="24"/>
              </w:rPr>
            </w:pPr>
            <w:r>
              <w:rPr>
                <w:sz w:val="18"/>
                <w:szCs w:val="24"/>
              </w:rPr>
              <w:t>24,2</w:t>
            </w:r>
          </w:p>
        </w:tc>
        <w:tc>
          <w:tcPr>
            <w:tcW w:w="700" w:type="dxa"/>
            <w:vAlign w:val="bottom"/>
          </w:tcPr>
          <w:p w:rsidR="00F92819" w:rsidRDefault="00F92819">
            <w:pPr>
              <w:spacing w:before="40" w:after="40" w:line="220" w:lineRule="exact"/>
              <w:jc w:val="right"/>
              <w:rPr>
                <w:sz w:val="18"/>
                <w:szCs w:val="24"/>
              </w:rPr>
            </w:pPr>
            <w:r>
              <w:rPr>
                <w:sz w:val="18"/>
                <w:szCs w:val="24"/>
              </w:rPr>
              <w:t>28,7</w:t>
            </w:r>
          </w:p>
        </w:tc>
        <w:tc>
          <w:tcPr>
            <w:tcW w:w="700" w:type="dxa"/>
            <w:vAlign w:val="bottom"/>
          </w:tcPr>
          <w:p w:rsidR="00F92819" w:rsidRDefault="00F92819">
            <w:pPr>
              <w:spacing w:before="40" w:after="40" w:line="220" w:lineRule="exact"/>
              <w:jc w:val="right"/>
              <w:rPr>
                <w:sz w:val="18"/>
                <w:szCs w:val="24"/>
              </w:rPr>
            </w:pPr>
            <w:r>
              <w:rPr>
                <w:sz w:val="18"/>
                <w:szCs w:val="24"/>
              </w:rPr>
              <w:t>9</w:t>
            </w:r>
          </w:p>
        </w:tc>
        <w:tc>
          <w:tcPr>
            <w:tcW w:w="700" w:type="dxa"/>
            <w:vAlign w:val="bottom"/>
          </w:tcPr>
          <w:p w:rsidR="00F92819" w:rsidRDefault="00F92819">
            <w:pPr>
              <w:spacing w:before="40" w:after="40" w:line="220" w:lineRule="exact"/>
              <w:jc w:val="right"/>
              <w:rPr>
                <w:sz w:val="18"/>
                <w:szCs w:val="24"/>
              </w:rPr>
            </w:pPr>
            <w:r>
              <w:rPr>
                <w:sz w:val="18"/>
                <w:szCs w:val="24"/>
              </w:rPr>
              <w:t>8,7</w:t>
            </w:r>
          </w:p>
        </w:tc>
        <w:tc>
          <w:tcPr>
            <w:tcW w:w="600" w:type="dxa"/>
            <w:vAlign w:val="bottom"/>
          </w:tcPr>
          <w:p w:rsidR="00F92819" w:rsidRDefault="00F92819">
            <w:pPr>
              <w:spacing w:before="40" w:after="40" w:line="220" w:lineRule="exact"/>
              <w:jc w:val="right"/>
              <w:rPr>
                <w:sz w:val="18"/>
                <w:szCs w:val="24"/>
              </w:rPr>
            </w:pPr>
            <w:r>
              <w:rPr>
                <w:sz w:val="18"/>
                <w:szCs w:val="24"/>
              </w:rPr>
              <w:t>1,4</w:t>
            </w:r>
          </w:p>
        </w:tc>
        <w:tc>
          <w:tcPr>
            <w:tcW w:w="600" w:type="dxa"/>
            <w:gridSpan w:val="2"/>
            <w:vAlign w:val="bottom"/>
          </w:tcPr>
          <w:p w:rsidR="00F92819" w:rsidRDefault="00F92819">
            <w:pPr>
              <w:spacing w:before="40" w:after="40" w:line="220" w:lineRule="exact"/>
              <w:jc w:val="right"/>
              <w:rPr>
                <w:sz w:val="18"/>
                <w:szCs w:val="24"/>
              </w:rPr>
            </w:pPr>
            <w:r>
              <w:rPr>
                <w:sz w:val="18"/>
                <w:szCs w:val="24"/>
              </w:rPr>
              <w:t>2,9</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390</w:t>
            </w:r>
          </w:p>
        </w:tc>
      </w:tr>
      <w:tr w:rsidR="00F92819">
        <w:tc>
          <w:tcPr>
            <w:tcW w:w="1766" w:type="dxa"/>
            <w:vAlign w:val="bottom"/>
          </w:tcPr>
          <w:p w:rsidR="00F92819" w:rsidRDefault="00F92819">
            <w:pPr>
              <w:spacing w:before="40" w:after="40" w:line="220" w:lineRule="exact"/>
              <w:rPr>
                <w:szCs w:val="24"/>
              </w:rPr>
            </w:pPr>
            <w:r>
              <w:rPr>
                <w:sz w:val="18"/>
                <w:szCs w:val="24"/>
              </w:rPr>
              <w:t>55</w:t>
            </w:r>
            <w:r w:rsidR="008C04D7">
              <w:rPr>
                <w:sz w:val="18"/>
                <w:szCs w:val="24"/>
              </w:rPr>
              <w:t xml:space="preserve"> a </w:t>
            </w:r>
            <w:r>
              <w:rPr>
                <w:sz w:val="18"/>
                <w:szCs w:val="24"/>
              </w:rPr>
              <w:t>64</w:t>
            </w:r>
          </w:p>
        </w:tc>
        <w:tc>
          <w:tcPr>
            <w:tcW w:w="700" w:type="dxa"/>
            <w:vAlign w:val="bottom"/>
          </w:tcPr>
          <w:p w:rsidR="00F92819" w:rsidRDefault="00F92819">
            <w:pPr>
              <w:spacing w:before="40" w:after="40" w:line="220" w:lineRule="exact"/>
              <w:jc w:val="right"/>
              <w:rPr>
                <w:sz w:val="18"/>
                <w:szCs w:val="24"/>
              </w:rPr>
            </w:pPr>
            <w:r>
              <w:rPr>
                <w:sz w:val="18"/>
                <w:szCs w:val="24"/>
              </w:rPr>
              <w:t>12,7</w:t>
            </w:r>
          </w:p>
        </w:tc>
        <w:tc>
          <w:tcPr>
            <w:tcW w:w="600" w:type="dxa"/>
            <w:vAlign w:val="bottom"/>
          </w:tcPr>
          <w:p w:rsidR="00F92819" w:rsidRDefault="00F92819">
            <w:pPr>
              <w:spacing w:before="40" w:after="40" w:line="220" w:lineRule="exact"/>
              <w:jc w:val="right"/>
              <w:rPr>
                <w:sz w:val="18"/>
                <w:szCs w:val="24"/>
              </w:rPr>
            </w:pPr>
            <w:r>
              <w:rPr>
                <w:sz w:val="18"/>
                <w:szCs w:val="24"/>
              </w:rPr>
              <w:t>23,8</w:t>
            </w:r>
          </w:p>
        </w:tc>
        <w:tc>
          <w:tcPr>
            <w:tcW w:w="700" w:type="dxa"/>
            <w:vAlign w:val="bottom"/>
          </w:tcPr>
          <w:p w:rsidR="00F92819" w:rsidRDefault="00F92819">
            <w:pPr>
              <w:spacing w:before="40" w:after="40" w:line="220" w:lineRule="exact"/>
              <w:jc w:val="right"/>
              <w:rPr>
                <w:sz w:val="18"/>
                <w:szCs w:val="24"/>
              </w:rPr>
            </w:pPr>
            <w:r>
              <w:rPr>
                <w:sz w:val="18"/>
                <w:szCs w:val="24"/>
              </w:rPr>
              <w:t>22,9</w:t>
            </w:r>
          </w:p>
        </w:tc>
        <w:tc>
          <w:tcPr>
            <w:tcW w:w="700" w:type="dxa"/>
            <w:vAlign w:val="bottom"/>
          </w:tcPr>
          <w:p w:rsidR="00F92819" w:rsidRDefault="00F92819">
            <w:pPr>
              <w:spacing w:before="40" w:after="40" w:line="220" w:lineRule="exact"/>
              <w:jc w:val="right"/>
              <w:rPr>
                <w:sz w:val="18"/>
                <w:szCs w:val="24"/>
              </w:rPr>
            </w:pPr>
            <w:r>
              <w:rPr>
                <w:sz w:val="18"/>
                <w:szCs w:val="24"/>
              </w:rPr>
              <w:t>24,5</w:t>
            </w:r>
          </w:p>
        </w:tc>
        <w:tc>
          <w:tcPr>
            <w:tcW w:w="700" w:type="dxa"/>
            <w:vAlign w:val="bottom"/>
          </w:tcPr>
          <w:p w:rsidR="00F92819" w:rsidRDefault="00F92819">
            <w:pPr>
              <w:spacing w:before="40" w:after="40" w:line="220" w:lineRule="exact"/>
              <w:jc w:val="right"/>
              <w:rPr>
                <w:sz w:val="18"/>
                <w:szCs w:val="24"/>
              </w:rPr>
            </w:pPr>
            <w:r>
              <w:rPr>
                <w:sz w:val="18"/>
                <w:szCs w:val="24"/>
              </w:rPr>
              <w:t>9,3</w:t>
            </w:r>
          </w:p>
        </w:tc>
        <w:tc>
          <w:tcPr>
            <w:tcW w:w="700" w:type="dxa"/>
            <w:vAlign w:val="bottom"/>
          </w:tcPr>
          <w:p w:rsidR="00F92819" w:rsidRDefault="00F92819">
            <w:pPr>
              <w:spacing w:before="40" w:after="40" w:line="220" w:lineRule="exact"/>
              <w:jc w:val="right"/>
              <w:rPr>
                <w:sz w:val="18"/>
                <w:szCs w:val="24"/>
              </w:rPr>
            </w:pPr>
            <w:r>
              <w:rPr>
                <w:sz w:val="18"/>
                <w:szCs w:val="24"/>
              </w:rPr>
              <w:t>12,7</w:t>
            </w:r>
          </w:p>
        </w:tc>
        <w:tc>
          <w:tcPr>
            <w:tcW w:w="600" w:type="dxa"/>
            <w:vAlign w:val="bottom"/>
          </w:tcPr>
          <w:p w:rsidR="00F92819" w:rsidRDefault="00F92819">
            <w:pPr>
              <w:spacing w:before="40" w:after="40" w:line="220" w:lineRule="exact"/>
              <w:jc w:val="right"/>
              <w:rPr>
                <w:sz w:val="18"/>
                <w:szCs w:val="24"/>
              </w:rPr>
            </w:pPr>
            <w:r>
              <w:rPr>
                <w:sz w:val="18"/>
                <w:szCs w:val="24"/>
              </w:rPr>
              <w:t>2,2</w:t>
            </w:r>
          </w:p>
        </w:tc>
        <w:tc>
          <w:tcPr>
            <w:tcW w:w="600" w:type="dxa"/>
            <w:gridSpan w:val="2"/>
            <w:vAlign w:val="bottom"/>
          </w:tcPr>
          <w:p w:rsidR="00F92819" w:rsidRDefault="00F92819">
            <w:pPr>
              <w:spacing w:before="40" w:after="40" w:line="220" w:lineRule="exact"/>
              <w:jc w:val="right"/>
              <w:rPr>
                <w:sz w:val="18"/>
                <w:szCs w:val="24"/>
              </w:rPr>
            </w:pPr>
            <w:r>
              <w:rPr>
                <w:sz w:val="18"/>
                <w:szCs w:val="24"/>
              </w:rPr>
              <w:t>4,6</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314,3</w:t>
            </w:r>
          </w:p>
        </w:tc>
      </w:tr>
      <w:tr w:rsidR="00F92819">
        <w:tc>
          <w:tcPr>
            <w:tcW w:w="1766" w:type="dxa"/>
            <w:vAlign w:val="bottom"/>
          </w:tcPr>
          <w:p w:rsidR="00F92819" w:rsidRDefault="00F92819">
            <w:pPr>
              <w:spacing w:before="40" w:after="40" w:line="220" w:lineRule="exact"/>
              <w:rPr>
                <w:sz w:val="18"/>
                <w:szCs w:val="24"/>
              </w:rPr>
            </w:pPr>
            <w:r>
              <w:rPr>
                <w:sz w:val="18"/>
                <w:szCs w:val="24"/>
              </w:rPr>
              <w:t>65+</w:t>
            </w:r>
          </w:p>
        </w:tc>
        <w:tc>
          <w:tcPr>
            <w:tcW w:w="700" w:type="dxa"/>
            <w:vAlign w:val="bottom"/>
          </w:tcPr>
          <w:p w:rsidR="00F92819" w:rsidRDefault="00F92819">
            <w:pPr>
              <w:spacing w:before="40" w:after="40" w:line="220" w:lineRule="exact"/>
              <w:jc w:val="right"/>
              <w:rPr>
                <w:sz w:val="18"/>
                <w:szCs w:val="24"/>
              </w:rPr>
            </w:pPr>
            <w:r>
              <w:rPr>
                <w:sz w:val="18"/>
                <w:szCs w:val="24"/>
              </w:rPr>
              <w:t>11,1</w:t>
            </w:r>
          </w:p>
        </w:tc>
        <w:tc>
          <w:tcPr>
            <w:tcW w:w="600" w:type="dxa"/>
            <w:vAlign w:val="bottom"/>
          </w:tcPr>
          <w:p w:rsidR="00F92819" w:rsidRDefault="00F92819">
            <w:pPr>
              <w:spacing w:before="40" w:after="40" w:line="220" w:lineRule="exact"/>
              <w:jc w:val="right"/>
              <w:rPr>
                <w:sz w:val="18"/>
                <w:szCs w:val="24"/>
              </w:rPr>
            </w:pPr>
            <w:r>
              <w:rPr>
                <w:sz w:val="18"/>
                <w:szCs w:val="24"/>
              </w:rPr>
              <w:t>11,7</w:t>
            </w:r>
          </w:p>
        </w:tc>
        <w:tc>
          <w:tcPr>
            <w:tcW w:w="700" w:type="dxa"/>
            <w:vAlign w:val="bottom"/>
          </w:tcPr>
          <w:p w:rsidR="00F92819" w:rsidRDefault="00F92819">
            <w:pPr>
              <w:spacing w:before="40" w:after="40" w:line="220" w:lineRule="exact"/>
              <w:jc w:val="right"/>
              <w:rPr>
                <w:sz w:val="18"/>
                <w:szCs w:val="24"/>
              </w:rPr>
            </w:pPr>
            <w:r>
              <w:rPr>
                <w:sz w:val="18"/>
                <w:szCs w:val="24"/>
              </w:rPr>
              <w:t>19,7</w:t>
            </w:r>
          </w:p>
        </w:tc>
        <w:tc>
          <w:tcPr>
            <w:tcW w:w="700" w:type="dxa"/>
            <w:vAlign w:val="bottom"/>
          </w:tcPr>
          <w:p w:rsidR="00F92819" w:rsidRDefault="00F92819">
            <w:pPr>
              <w:spacing w:before="40" w:after="40" w:line="220" w:lineRule="exact"/>
              <w:jc w:val="right"/>
              <w:rPr>
                <w:sz w:val="18"/>
                <w:szCs w:val="24"/>
              </w:rPr>
            </w:pPr>
            <w:r>
              <w:rPr>
                <w:sz w:val="18"/>
                <w:szCs w:val="24"/>
              </w:rPr>
              <w:t>19,3</w:t>
            </w:r>
          </w:p>
        </w:tc>
        <w:tc>
          <w:tcPr>
            <w:tcW w:w="700" w:type="dxa"/>
            <w:vAlign w:val="bottom"/>
          </w:tcPr>
          <w:p w:rsidR="00F92819" w:rsidRDefault="00F92819">
            <w:pPr>
              <w:spacing w:before="40" w:after="40" w:line="220" w:lineRule="exact"/>
              <w:jc w:val="right"/>
              <w:rPr>
                <w:sz w:val="18"/>
                <w:szCs w:val="24"/>
              </w:rPr>
            </w:pPr>
            <w:r>
              <w:rPr>
                <w:sz w:val="18"/>
                <w:szCs w:val="24"/>
              </w:rPr>
              <w:t>11,2</w:t>
            </w:r>
          </w:p>
        </w:tc>
        <w:tc>
          <w:tcPr>
            <w:tcW w:w="700" w:type="dxa"/>
            <w:vAlign w:val="bottom"/>
          </w:tcPr>
          <w:p w:rsidR="00F92819" w:rsidRDefault="00F92819">
            <w:pPr>
              <w:spacing w:before="40" w:after="40" w:line="220" w:lineRule="exact"/>
              <w:jc w:val="right"/>
              <w:rPr>
                <w:sz w:val="18"/>
                <w:szCs w:val="24"/>
              </w:rPr>
            </w:pPr>
            <w:r>
              <w:rPr>
                <w:sz w:val="18"/>
                <w:szCs w:val="24"/>
              </w:rPr>
              <w:t>20,2</w:t>
            </w:r>
          </w:p>
        </w:tc>
        <w:tc>
          <w:tcPr>
            <w:tcW w:w="600" w:type="dxa"/>
            <w:vAlign w:val="bottom"/>
          </w:tcPr>
          <w:p w:rsidR="00F92819" w:rsidRDefault="00F92819">
            <w:pPr>
              <w:spacing w:before="40" w:after="40" w:line="220" w:lineRule="exact"/>
              <w:jc w:val="right"/>
              <w:rPr>
                <w:sz w:val="18"/>
                <w:szCs w:val="24"/>
              </w:rPr>
            </w:pPr>
            <w:r>
              <w:rPr>
                <w:sz w:val="18"/>
                <w:szCs w:val="24"/>
              </w:rPr>
              <w:t>4,8</w:t>
            </w:r>
          </w:p>
        </w:tc>
        <w:tc>
          <w:tcPr>
            <w:tcW w:w="600" w:type="dxa"/>
            <w:gridSpan w:val="2"/>
            <w:vAlign w:val="bottom"/>
          </w:tcPr>
          <w:p w:rsidR="00F92819" w:rsidRDefault="00F92819">
            <w:pPr>
              <w:spacing w:before="40" w:after="40" w:line="220" w:lineRule="exact"/>
              <w:jc w:val="right"/>
              <w:rPr>
                <w:sz w:val="18"/>
                <w:szCs w:val="24"/>
              </w:rPr>
            </w:pPr>
            <w:r>
              <w:rPr>
                <w:sz w:val="18"/>
                <w:szCs w:val="24"/>
              </w:rPr>
              <w:t>13,1</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404,3</w:t>
            </w:r>
          </w:p>
        </w:tc>
      </w:tr>
      <w:tr w:rsidR="00F92819">
        <w:tc>
          <w:tcPr>
            <w:tcW w:w="8405" w:type="dxa"/>
            <w:gridSpan w:val="12"/>
            <w:vAlign w:val="bottom"/>
          </w:tcPr>
          <w:p w:rsidR="00F92819" w:rsidRDefault="00F92819">
            <w:pPr>
              <w:spacing w:before="80" w:after="80" w:line="200" w:lineRule="exact"/>
              <w:rPr>
                <w:szCs w:val="24"/>
              </w:rPr>
            </w:pPr>
            <w:r>
              <w:rPr>
                <w:i/>
                <w:sz w:val="16"/>
                <w:szCs w:val="24"/>
                <w:lang w:val="es-ES_tradnl"/>
              </w:rPr>
              <w:t>Judíos</w:t>
            </w:r>
          </w:p>
        </w:tc>
      </w:tr>
      <w:tr w:rsidR="00F92819">
        <w:tc>
          <w:tcPr>
            <w:tcW w:w="1766" w:type="dxa"/>
            <w:vAlign w:val="bottom"/>
          </w:tcPr>
          <w:p w:rsidR="00F92819" w:rsidRDefault="00F92819">
            <w:pPr>
              <w:spacing w:before="40" w:after="40" w:line="220" w:lineRule="exact"/>
              <w:rPr>
                <w:sz w:val="18"/>
                <w:szCs w:val="24"/>
              </w:rPr>
            </w:pPr>
            <w:r>
              <w:rPr>
                <w:sz w:val="18"/>
                <w:szCs w:val="24"/>
              </w:rPr>
              <w:t>2002</w:t>
            </w:r>
          </w:p>
        </w:tc>
        <w:tc>
          <w:tcPr>
            <w:tcW w:w="700" w:type="dxa"/>
            <w:vAlign w:val="bottom"/>
          </w:tcPr>
          <w:p w:rsidR="00F92819" w:rsidRDefault="00F92819">
            <w:pPr>
              <w:spacing w:before="40" w:after="40" w:line="220" w:lineRule="exact"/>
              <w:jc w:val="right"/>
              <w:rPr>
                <w:sz w:val="18"/>
                <w:szCs w:val="24"/>
              </w:rPr>
            </w:pPr>
            <w:r>
              <w:rPr>
                <w:sz w:val="18"/>
                <w:szCs w:val="24"/>
              </w:rPr>
              <w:t>12,6</w:t>
            </w:r>
          </w:p>
        </w:tc>
        <w:tc>
          <w:tcPr>
            <w:tcW w:w="600" w:type="dxa"/>
            <w:vAlign w:val="bottom"/>
          </w:tcPr>
          <w:p w:rsidR="00F92819" w:rsidRDefault="00F92819">
            <w:pPr>
              <w:spacing w:before="40" w:after="40" w:line="220" w:lineRule="exact"/>
              <w:jc w:val="right"/>
              <w:rPr>
                <w:sz w:val="18"/>
                <w:szCs w:val="24"/>
              </w:rPr>
            </w:pPr>
            <w:r>
              <w:rPr>
                <w:sz w:val="18"/>
                <w:szCs w:val="24"/>
              </w:rPr>
              <w:t>19</w:t>
            </w:r>
          </w:p>
        </w:tc>
        <w:tc>
          <w:tcPr>
            <w:tcW w:w="700" w:type="dxa"/>
            <w:vAlign w:val="bottom"/>
          </w:tcPr>
          <w:p w:rsidR="00F92819" w:rsidRDefault="00F92819">
            <w:pPr>
              <w:spacing w:before="40" w:after="40" w:line="220" w:lineRule="exact"/>
              <w:jc w:val="right"/>
              <w:rPr>
                <w:sz w:val="18"/>
                <w:szCs w:val="24"/>
              </w:rPr>
            </w:pPr>
            <w:r>
              <w:rPr>
                <w:sz w:val="18"/>
                <w:szCs w:val="24"/>
              </w:rPr>
              <w:t>23</w:t>
            </w:r>
          </w:p>
        </w:tc>
        <w:tc>
          <w:tcPr>
            <w:tcW w:w="700" w:type="dxa"/>
            <w:vAlign w:val="bottom"/>
          </w:tcPr>
          <w:p w:rsidR="00F92819" w:rsidRDefault="00F92819">
            <w:pPr>
              <w:spacing w:before="40" w:after="40" w:line="220" w:lineRule="exact"/>
              <w:jc w:val="right"/>
              <w:rPr>
                <w:sz w:val="18"/>
                <w:szCs w:val="24"/>
              </w:rPr>
            </w:pPr>
            <w:r>
              <w:rPr>
                <w:sz w:val="18"/>
                <w:szCs w:val="24"/>
              </w:rPr>
              <w:t>36,8</w:t>
            </w:r>
          </w:p>
        </w:tc>
        <w:tc>
          <w:tcPr>
            <w:tcW w:w="700" w:type="dxa"/>
            <w:vAlign w:val="bottom"/>
          </w:tcPr>
          <w:p w:rsidR="00F92819" w:rsidRDefault="00F92819">
            <w:pPr>
              <w:spacing w:before="40" w:after="40" w:line="220" w:lineRule="exact"/>
              <w:jc w:val="right"/>
              <w:rPr>
                <w:sz w:val="18"/>
                <w:szCs w:val="24"/>
              </w:rPr>
            </w:pPr>
            <w:r>
              <w:rPr>
                <w:sz w:val="18"/>
                <w:szCs w:val="24"/>
              </w:rPr>
              <w:t>10</w:t>
            </w:r>
          </w:p>
        </w:tc>
        <w:tc>
          <w:tcPr>
            <w:tcW w:w="700" w:type="dxa"/>
            <w:vAlign w:val="bottom"/>
          </w:tcPr>
          <w:p w:rsidR="00F92819" w:rsidRDefault="00F92819">
            <w:pPr>
              <w:spacing w:before="40" w:after="40" w:line="220" w:lineRule="exact"/>
              <w:jc w:val="right"/>
              <w:rPr>
                <w:sz w:val="18"/>
                <w:szCs w:val="24"/>
              </w:rPr>
            </w:pPr>
            <w:r>
              <w:rPr>
                <w:sz w:val="18"/>
                <w:szCs w:val="24"/>
              </w:rPr>
              <w:t>7,4</w:t>
            </w:r>
          </w:p>
        </w:tc>
        <w:tc>
          <w:tcPr>
            <w:tcW w:w="600" w:type="dxa"/>
            <w:vAlign w:val="bottom"/>
          </w:tcPr>
          <w:p w:rsidR="00F92819" w:rsidRDefault="00F92819">
            <w:pPr>
              <w:spacing w:before="40" w:after="40" w:line="220" w:lineRule="exact"/>
              <w:jc w:val="right"/>
              <w:rPr>
                <w:sz w:val="18"/>
                <w:szCs w:val="24"/>
              </w:rPr>
            </w:pPr>
            <w:r>
              <w:rPr>
                <w:sz w:val="18"/>
                <w:szCs w:val="24"/>
              </w:rPr>
              <w:t>1,2</w:t>
            </w:r>
          </w:p>
        </w:tc>
        <w:tc>
          <w:tcPr>
            <w:tcW w:w="600" w:type="dxa"/>
            <w:gridSpan w:val="2"/>
            <w:vAlign w:val="bottom"/>
          </w:tcPr>
          <w:p w:rsidR="00F92819" w:rsidRDefault="00F92819">
            <w:pPr>
              <w:spacing w:before="40" w:after="40" w:line="220" w:lineRule="exact"/>
              <w:jc w:val="right"/>
              <w:rPr>
                <w:sz w:val="18"/>
                <w:szCs w:val="24"/>
              </w:rPr>
            </w:pPr>
            <w:r>
              <w:rPr>
                <w:sz w:val="18"/>
                <w:szCs w:val="24"/>
              </w:rPr>
              <w:t>2,5</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3 848,8</w:t>
            </w:r>
          </w:p>
        </w:tc>
      </w:tr>
      <w:tr w:rsidR="00F92819">
        <w:tc>
          <w:tcPr>
            <w:tcW w:w="1766" w:type="dxa"/>
            <w:vAlign w:val="bottom"/>
          </w:tcPr>
          <w:p w:rsidR="00F92819" w:rsidRDefault="00F92819">
            <w:pPr>
              <w:spacing w:before="40" w:after="40" w:line="220" w:lineRule="exact"/>
              <w:rPr>
                <w:sz w:val="18"/>
                <w:szCs w:val="24"/>
              </w:rPr>
            </w:pPr>
            <w:r>
              <w:rPr>
                <w:sz w:val="18"/>
                <w:szCs w:val="24"/>
              </w:rPr>
              <w:t>2004</w:t>
            </w:r>
          </w:p>
        </w:tc>
        <w:tc>
          <w:tcPr>
            <w:tcW w:w="700" w:type="dxa"/>
            <w:vAlign w:val="bottom"/>
          </w:tcPr>
          <w:p w:rsidR="00F92819" w:rsidRDefault="00F92819">
            <w:pPr>
              <w:spacing w:before="40" w:after="40" w:line="220" w:lineRule="exact"/>
              <w:jc w:val="right"/>
              <w:rPr>
                <w:sz w:val="18"/>
                <w:szCs w:val="24"/>
              </w:rPr>
            </w:pPr>
            <w:r>
              <w:rPr>
                <w:sz w:val="18"/>
                <w:szCs w:val="24"/>
              </w:rPr>
              <w:t>12,7</w:t>
            </w:r>
          </w:p>
        </w:tc>
        <w:tc>
          <w:tcPr>
            <w:tcW w:w="600" w:type="dxa"/>
            <w:vAlign w:val="bottom"/>
          </w:tcPr>
          <w:p w:rsidR="00F92819" w:rsidRDefault="00F92819">
            <w:pPr>
              <w:spacing w:before="40" w:after="40" w:line="220" w:lineRule="exact"/>
              <w:jc w:val="right"/>
              <w:rPr>
                <w:sz w:val="18"/>
                <w:szCs w:val="24"/>
              </w:rPr>
            </w:pPr>
            <w:r>
              <w:rPr>
                <w:sz w:val="18"/>
                <w:szCs w:val="24"/>
              </w:rPr>
              <w:t>20,4</w:t>
            </w:r>
          </w:p>
        </w:tc>
        <w:tc>
          <w:tcPr>
            <w:tcW w:w="700" w:type="dxa"/>
            <w:vAlign w:val="bottom"/>
          </w:tcPr>
          <w:p w:rsidR="00F92819" w:rsidRDefault="00F92819">
            <w:pPr>
              <w:spacing w:before="40" w:after="40" w:line="220" w:lineRule="exact"/>
              <w:jc w:val="right"/>
              <w:rPr>
                <w:sz w:val="18"/>
                <w:szCs w:val="24"/>
              </w:rPr>
            </w:pPr>
            <w:r>
              <w:rPr>
                <w:sz w:val="18"/>
                <w:szCs w:val="24"/>
              </w:rPr>
              <w:t>23,8</w:t>
            </w:r>
          </w:p>
        </w:tc>
        <w:tc>
          <w:tcPr>
            <w:tcW w:w="700" w:type="dxa"/>
            <w:vAlign w:val="bottom"/>
          </w:tcPr>
          <w:p w:rsidR="00F92819" w:rsidRDefault="00F92819">
            <w:pPr>
              <w:spacing w:before="40" w:after="40" w:line="220" w:lineRule="exact"/>
              <w:jc w:val="right"/>
              <w:rPr>
                <w:sz w:val="18"/>
                <w:szCs w:val="24"/>
              </w:rPr>
            </w:pPr>
            <w:r>
              <w:rPr>
                <w:sz w:val="18"/>
                <w:szCs w:val="24"/>
              </w:rPr>
              <w:t>36</w:t>
            </w:r>
          </w:p>
        </w:tc>
        <w:tc>
          <w:tcPr>
            <w:tcW w:w="700" w:type="dxa"/>
            <w:vAlign w:val="bottom"/>
          </w:tcPr>
          <w:p w:rsidR="00F92819" w:rsidRDefault="00F92819">
            <w:pPr>
              <w:spacing w:before="40" w:after="40" w:line="220" w:lineRule="exact"/>
              <w:jc w:val="right"/>
              <w:rPr>
                <w:sz w:val="18"/>
                <w:szCs w:val="24"/>
              </w:rPr>
            </w:pPr>
            <w:r>
              <w:rPr>
                <w:sz w:val="18"/>
                <w:szCs w:val="24"/>
              </w:rPr>
              <w:t>9,6</w:t>
            </w:r>
          </w:p>
        </w:tc>
        <w:tc>
          <w:tcPr>
            <w:tcW w:w="700" w:type="dxa"/>
            <w:vAlign w:val="bottom"/>
          </w:tcPr>
          <w:p w:rsidR="00F92819" w:rsidRDefault="00F92819">
            <w:pPr>
              <w:spacing w:before="40" w:after="40" w:line="220" w:lineRule="exact"/>
              <w:jc w:val="right"/>
              <w:rPr>
                <w:sz w:val="18"/>
                <w:szCs w:val="24"/>
              </w:rPr>
            </w:pPr>
            <w:r>
              <w:rPr>
                <w:sz w:val="18"/>
                <w:szCs w:val="24"/>
              </w:rPr>
              <w:t>6,7</w:t>
            </w:r>
          </w:p>
        </w:tc>
        <w:tc>
          <w:tcPr>
            <w:tcW w:w="600" w:type="dxa"/>
            <w:vAlign w:val="bottom"/>
          </w:tcPr>
          <w:p w:rsidR="00F92819" w:rsidRDefault="00F92819">
            <w:pPr>
              <w:spacing w:before="40" w:after="40" w:line="220" w:lineRule="exact"/>
              <w:jc w:val="right"/>
              <w:rPr>
                <w:sz w:val="18"/>
                <w:szCs w:val="24"/>
              </w:rPr>
            </w:pPr>
            <w:r>
              <w:rPr>
                <w:sz w:val="18"/>
                <w:szCs w:val="24"/>
              </w:rPr>
              <w:t>1,1</w:t>
            </w:r>
          </w:p>
        </w:tc>
        <w:tc>
          <w:tcPr>
            <w:tcW w:w="600" w:type="dxa"/>
            <w:gridSpan w:val="2"/>
            <w:vAlign w:val="bottom"/>
          </w:tcPr>
          <w:p w:rsidR="00F92819" w:rsidRDefault="00F92819">
            <w:pPr>
              <w:spacing w:before="40" w:after="40" w:line="220" w:lineRule="exact"/>
              <w:jc w:val="right"/>
              <w:rPr>
                <w:sz w:val="18"/>
                <w:szCs w:val="24"/>
              </w:rPr>
            </w:pPr>
            <w:r>
              <w:rPr>
                <w:sz w:val="18"/>
                <w:szCs w:val="24"/>
              </w:rPr>
              <w:t>2,3</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3 975,8</w:t>
            </w:r>
          </w:p>
        </w:tc>
      </w:tr>
      <w:tr w:rsidR="00F92819">
        <w:tc>
          <w:tcPr>
            <w:tcW w:w="1766" w:type="dxa"/>
            <w:tcBorders>
              <w:bottom w:val="single" w:sz="4" w:space="0" w:color="auto"/>
            </w:tcBorders>
            <w:vAlign w:val="bottom"/>
          </w:tcPr>
          <w:p w:rsidR="00F92819" w:rsidRDefault="00F92819">
            <w:pPr>
              <w:spacing w:before="40" w:after="40" w:line="220" w:lineRule="exact"/>
              <w:rPr>
                <w:sz w:val="18"/>
                <w:szCs w:val="24"/>
              </w:rPr>
            </w:pPr>
            <w:r>
              <w:rPr>
                <w:sz w:val="18"/>
                <w:szCs w:val="24"/>
              </w:rPr>
              <w:t>2006</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12,8</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22</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24,2</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35,5</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9,2</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6</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w:t>
            </w:r>
          </w:p>
        </w:tc>
        <w:tc>
          <w:tcPr>
            <w:tcW w:w="600" w:type="dxa"/>
            <w:gridSpan w:val="2"/>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2,1</w:t>
            </w:r>
          </w:p>
        </w:tc>
        <w:tc>
          <w:tcPr>
            <w:tcW w:w="489" w:type="dxa"/>
            <w:tcBorders>
              <w:bottom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4 104</w:t>
            </w:r>
          </w:p>
        </w:tc>
      </w:tr>
      <w:tr w:rsidR="00F92819">
        <w:tc>
          <w:tcPr>
            <w:tcW w:w="8405" w:type="dxa"/>
            <w:gridSpan w:val="12"/>
            <w:tcBorders>
              <w:top w:val="single" w:sz="4" w:space="0" w:color="auto"/>
              <w:bottom w:val="single" w:sz="4" w:space="0" w:color="auto"/>
            </w:tcBorders>
            <w:vAlign w:val="bottom"/>
          </w:tcPr>
          <w:p w:rsidR="00F92819" w:rsidRDefault="00F92819">
            <w:pPr>
              <w:spacing w:before="80" w:after="80" w:line="220" w:lineRule="exact"/>
              <w:ind w:firstLine="284"/>
              <w:rPr>
                <w:szCs w:val="24"/>
              </w:rPr>
            </w:pPr>
            <w:r>
              <w:rPr>
                <w:b/>
                <w:sz w:val="18"/>
                <w:szCs w:val="24"/>
                <w:lang w:val="es-ES_tradnl"/>
              </w:rPr>
              <w:t>2007 – Total</w:t>
            </w:r>
          </w:p>
        </w:tc>
      </w:tr>
      <w:tr w:rsidR="00F92819">
        <w:tc>
          <w:tcPr>
            <w:tcW w:w="1766"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 Miles</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936,8</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1 015,4</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1 459,6</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366,9</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244,2</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34,3</w:t>
            </w:r>
          </w:p>
        </w:tc>
        <w:tc>
          <w:tcPr>
            <w:tcW w:w="600" w:type="dxa"/>
            <w:gridSpan w:val="2"/>
            <w:tcBorders>
              <w:top w:val="single" w:sz="4" w:space="0" w:color="auto"/>
            </w:tcBorders>
            <w:vAlign w:val="bottom"/>
          </w:tcPr>
          <w:p w:rsidR="00F92819" w:rsidRDefault="00F92819">
            <w:pPr>
              <w:spacing w:before="40" w:after="40" w:line="220" w:lineRule="exact"/>
              <w:jc w:val="right"/>
              <w:rPr>
                <w:sz w:val="18"/>
                <w:szCs w:val="24"/>
              </w:rPr>
            </w:pPr>
            <w:r>
              <w:rPr>
                <w:sz w:val="18"/>
                <w:szCs w:val="24"/>
              </w:rPr>
              <w:t>75,7</w:t>
            </w:r>
          </w:p>
        </w:tc>
        <w:tc>
          <w:tcPr>
            <w:tcW w:w="489" w:type="dxa"/>
            <w:tcBorders>
              <w:top w:val="single" w:sz="4" w:space="0" w:color="auto"/>
            </w:tcBorders>
            <w:vAlign w:val="bottom"/>
          </w:tcPr>
          <w:p w:rsidR="00F92819" w:rsidRDefault="00F92819">
            <w:pPr>
              <w:spacing w:before="40" w:after="40" w:line="220" w:lineRule="exact"/>
              <w:jc w:val="right"/>
              <w:rPr>
                <w:sz w:val="18"/>
                <w:szCs w:val="24"/>
              </w:rPr>
            </w:pPr>
          </w:p>
        </w:tc>
        <w:tc>
          <w:tcPr>
            <w:tcW w:w="85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4 168,2</w:t>
            </w:r>
          </w:p>
        </w:tc>
      </w:tr>
      <w:tr w:rsidR="00F92819">
        <w:tc>
          <w:tcPr>
            <w:tcW w:w="1766" w:type="dxa"/>
            <w:vAlign w:val="bottom"/>
          </w:tcPr>
          <w:p w:rsidR="00F92819" w:rsidRDefault="00F92819">
            <w:pPr>
              <w:spacing w:before="40" w:after="40" w:line="220" w:lineRule="exact"/>
              <w:rPr>
                <w:szCs w:val="24"/>
              </w:rPr>
            </w:pPr>
            <w:r>
              <w:rPr>
                <w:sz w:val="18"/>
                <w:szCs w:val="24"/>
                <w:lang w:val="es-ES_tradnl"/>
              </w:rPr>
              <w:t xml:space="preserve">- </w:t>
            </w:r>
            <w:r w:rsidR="00D715FC">
              <w:rPr>
                <w:sz w:val="18"/>
                <w:szCs w:val="24"/>
                <w:lang w:val="es-ES_tradnl"/>
              </w:rPr>
              <w:t>Porcentaje</w:t>
            </w:r>
          </w:p>
        </w:tc>
        <w:tc>
          <w:tcPr>
            <w:tcW w:w="700" w:type="dxa"/>
            <w:vAlign w:val="bottom"/>
          </w:tcPr>
          <w:p w:rsidR="00F92819" w:rsidRDefault="00F92819">
            <w:pPr>
              <w:spacing w:before="40" w:after="40" w:line="220" w:lineRule="exact"/>
              <w:jc w:val="right"/>
              <w:rPr>
                <w:sz w:val="18"/>
                <w:szCs w:val="24"/>
              </w:rPr>
            </w:pPr>
            <w:r>
              <w:rPr>
                <w:sz w:val="18"/>
                <w:szCs w:val="24"/>
              </w:rPr>
              <w:t>12,8</w:t>
            </w:r>
          </w:p>
        </w:tc>
        <w:tc>
          <w:tcPr>
            <w:tcW w:w="600" w:type="dxa"/>
            <w:vAlign w:val="bottom"/>
          </w:tcPr>
          <w:p w:rsidR="00F92819" w:rsidRDefault="00F92819">
            <w:pPr>
              <w:spacing w:before="40" w:after="40" w:line="220" w:lineRule="exact"/>
              <w:jc w:val="right"/>
              <w:rPr>
                <w:sz w:val="18"/>
                <w:szCs w:val="24"/>
              </w:rPr>
            </w:pPr>
            <w:r>
              <w:rPr>
                <w:sz w:val="18"/>
                <w:szCs w:val="24"/>
              </w:rPr>
              <w:t>22,7</w:t>
            </w:r>
          </w:p>
        </w:tc>
        <w:tc>
          <w:tcPr>
            <w:tcW w:w="700" w:type="dxa"/>
            <w:vAlign w:val="bottom"/>
          </w:tcPr>
          <w:p w:rsidR="00F92819" w:rsidRDefault="00F92819">
            <w:pPr>
              <w:spacing w:before="40" w:after="40" w:line="220" w:lineRule="exact"/>
              <w:jc w:val="right"/>
              <w:rPr>
                <w:sz w:val="18"/>
                <w:szCs w:val="24"/>
              </w:rPr>
            </w:pPr>
            <w:r>
              <w:rPr>
                <w:sz w:val="18"/>
                <w:szCs w:val="24"/>
              </w:rPr>
              <w:t>24,6</w:t>
            </w:r>
          </w:p>
        </w:tc>
        <w:tc>
          <w:tcPr>
            <w:tcW w:w="700" w:type="dxa"/>
            <w:vAlign w:val="bottom"/>
          </w:tcPr>
          <w:p w:rsidR="00F92819" w:rsidRDefault="00F92819">
            <w:pPr>
              <w:spacing w:before="40" w:after="40" w:line="220" w:lineRule="exact"/>
              <w:jc w:val="right"/>
              <w:rPr>
                <w:sz w:val="18"/>
                <w:szCs w:val="24"/>
              </w:rPr>
            </w:pPr>
            <w:r>
              <w:rPr>
                <w:sz w:val="18"/>
                <w:szCs w:val="24"/>
              </w:rPr>
              <w:t>35,3</w:t>
            </w:r>
          </w:p>
        </w:tc>
        <w:tc>
          <w:tcPr>
            <w:tcW w:w="700" w:type="dxa"/>
            <w:vAlign w:val="bottom"/>
          </w:tcPr>
          <w:p w:rsidR="00F92819" w:rsidRDefault="00F92819">
            <w:pPr>
              <w:spacing w:before="40" w:after="40" w:line="220" w:lineRule="exact"/>
              <w:jc w:val="right"/>
              <w:rPr>
                <w:sz w:val="18"/>
                <w:szCs w:val="24"/>
              </w:rPr>
            </w:pPr>
            <w:r>
              <w:rPr>
                <w:sz w:val="18"/>
                <w:szCs w:val="24"/>
              </w:rPr>
              <w:t>8,9</w:t>
            </w:r>
          </w:p>
        </w:tc>
        <w:tc>
          <w:tcPr>
            <w:tcW w:w="700" w:type="dxa"/>
            <w:vAlign w:val="bottom"/>
          </w:tcPr>
          <w:p w:rsidR="00F92819" w:rsidRDefault="00F92819">
            <w:pPr>
              <w:spacing w:before="40" w:after="40" w:line="220" w:lineRule="exact"/>
              <w:jc w:val="right"/>
              <w:rPr>
                <w:sz w:val="18"/>
                <w:szCs w:val="24"/>
              </w:rPr>
            </w:pPr>
            <w:r>
              <w:rPr>
                <w:sz w:val="18"/>
                <w:szCs w:val="24"/>
              </w:rPr>
              <w:t>5,9</w:t>
            </w:r>
          </w:p>
        </w:tc>
        <w:tc>
          <w:tcPr>
            <w:tcW w:w="600" w:type="dxa"/>
            <w:vAlign w:val="bottom"/>
          </w:tcPr>
          <w:p w:rsidR="00F92819" w:rsidRDefault="00F92819">
            <w:pPr>
              <w:spacing w:before="40" w:after="40" w:line="220" w:lineRule="exact"/>
              <w:jc w:val="right"/>
              <w:rPr>
                <w:sz w:val="18"/>
                <w:szCs w:val="24"/>
              </w:rPr>
            </w:pPr>
            <w:r>
              <w:rPr>
                <w:sz w:val="18"/>
                <w:szCs w:val="24"/>
              </w:rPr>
              <w:t>0,8</w:t>
            </w:r>
          </w:p>
        </w:tc>
        <w:tc>
          <w:tcPr>
            <w:tcW w:w="600" w:type="dxa"/>
            <w:gridSpan w:val="2"/>
            <w:vAlign w:val="bottom"/>
          </w:tcPr>
          <w:p w:rsidR="00F92819" w:rsidRDefault="00F92819">
            <w:pPr>
              <w:spacing w:before="40" w:after="40" w:line="220" w:lineRule="exact"/>
              <w:jc w:val="right"/>
              <w:rPr>
                <w:sz w:val="18"/>
                <w:szCs w:val="24"/>
              </w:rPr>
            </w:pPr>
            <w:r>
              <w:rPr>
                <w:sz w:val="18"/>
                <w:szCs w:val="24"/>
              </w:rPr>
              <w:t>1,8</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p>
        </w:tc>
      </w:tr>
      <w:tr w:rsidR="00F92819">
        <w:tc>
          <w:tcPr>
            <w:tcW w:w="8405" w:type="dxa"/>
            <w:gridSpan w:val="12"/>
            <w:vAlign w:val="bottom"/>
          </w:tcPr>
          <w:p w:rsidR="00F92819" w:rsidRDefault="00F92819">
            <w:pPr>
              <w:spacing w:before="80" w:after="80" w:line="200" w:lineRule="exact"/>
              <w:rPr>
                <w:szCs w:val="24"/>
              </w:rPr>
            </w:pPr>
            <w:r>
              <w:rPr>
                <w:i/>
                <w:sz w:val="16"/>
                <w:szCs w:val="24"/>
                <w:lang w:val="es-ES_tradnl"/>
              </w:rPr>
              <w:t>Edad</w:t>
            </w:r>
          </w:p>
        </w:tc>
      </w:tr>
      <w:tr w:rsidR="00F92819">
        <w:tc>
          <w:tcPr>
            <w:tcW w:w="1766" w:type="dxa"/>
            <w:vAlign w:val="bottom"/>
          </w:tcPr>
          <w:p w:rsidR="00F92819" w:rsidRDefault="00F92819">
            <w:pPr>
              <w:spacing w:before="40" w:after="40" w:line="220" w:lineRule="exact"/>
              <w:rPr>
                <w:szCs w:val="24"/>
              </w:rPr>
            </w:pPr>
            <w:r>
              <w:rPr>
                <w:sz w:val="18"/>
                <w:szCs w:val="24"/>
              </w:rPr>
              <w:t>15</w:t>
            </w:r>
            <w:r w:rsidR="008C04D7">
              <w:rPr>
                <w:sz w:val="18"/>
                <w:szCs w:val="24"/>
              </w:rPr>
              <w:t xml:space="preserve"> a </w:t>
            </w:r>
            <w:r>
              <w:rPr>
                <w:sz w:val="18"/>
                <w:szCs w:val="24"/>
              </w:rPr>
              <w:t>17</w:t>
            </w:r>
          </w:p>
        </w:tc>
        <w:tc>
          <w:tcPr>
            <w:tcW w:w="700" w:type="dxa"/>
            <w:vAlign w:val="bottom"/>
          </w:tcPr>
          <w:p w:rsidR="00F92819" w:rsidRDefault="00F92819">
            <w:pPr>
              <w:spacing w:before="40" w:after="40" w:line="220" w:lineRule="exact"/>
              <w:jc w:val="right"/>
              <w:rPr>
                <w:sz w:val="18"/>
                <w:szCs w:val="24"/>
              </w:rPr>
            </w:pPr>
            <w:r>
              <w:rPr>
                <w:sz w:val="18"/>
                <w:szCs w:val="24"/>
              </w:rPr>
              <w:t>11,1</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700" w:type="dxa"/>
            <w:vAlign w:val="bottom"/>
          </w:tcPr>
          <w:p w:rsidR="00F92819" w:rsidRDefault="00F92819">
            <w:pPr>
              <w:spacing w:before="40" w:after="40" w:line="220" w:lineRule="exact"/>
              <w:jc w:val="right"/>
              <w:rPr>
                <w:sz w:val="18"/>
                <w:szCs w:val="24"/>
              </w:rPr>
            </w:pPr>
            <w:r>
              <w:rPr>
                <w:sz w:val="18"/>
                <w:szCs w:val="24"/>
              </w:rPr>
              <w:t>-</w:t>
            </w:r>
          </w:p>
        </w:tc>
        <w:tc>
          <w:tcPr>
            <w:tcW w:w="700" w:type="dxa"/>
            <w:vAlign w:val="bottom"/>
          </w:tcPr>
          <w:p w:rsidR="00F92819" w:rsidRDefault="00F92819">
            <w:pPr>
              <w:spacing w:before="40" w:after="40" w:line="220" w:lineRule="exact"/>
              <w:jc w:val="right"/>
              <w:rPr>
                <w:sz w:val="18"/>
                <w:szCs w:val="24"/>
              </w:rPr>
            </w:pPr>
            <w:r>
              <w:rPr>
                <w:sz w:val="18"/>
                <w:szCs w:val="24"/>
              </w:rPr>
              <w:t>53,5</w:t>
            </w:r>
          </w:p>
        </w:tc>
        <w:tc>
          <w:tcPr>
            <w:tcW w:w="700" w:type="dxa"/>
            <w:vAlign w:val="bottom"/>
          </w:tcPr>
          <w:p w:rsidR="00F92819" w:rsidRDefault="00F92819">
            <w:pPr>
              <w:spacing w:before="40" w:after="40" w:line="220" w:lineRule="exact"/>
              <w:jc w:val="right"/>
              <w:rPr>
                <w:sz w:val="18"/>
                <w:szCs w:val="24"/>
              </w:rPr>
            </w:pPr>
            <w:r>
              <w:rPr>
                <w:sz w:val="18"/>
                <w:szCs w:val="24"/>
              </w:rPr>
              <w:t>43,8</w:t>
            </w:r>
          </w:p>
        </w:tc>
        <w:tc>
          <w:tcPr>
            <w:tcW w:w="700" w:type="dxa"/>
            <w:vAlign w:val="bottom"/>
          </w:tcPr>
          <w:p w:rsidR="00F92819" w:rsidRDefault="00F92819">
            <w:pPr>
              <w:spacing w:before="40" w:after="40" w:line="220" w:lineRule="exact"/>
              <w:jc w:val="right"/>
              <w:rPr>
                <w:sz w:val="18"/>
                <w:szCs w:val="24"/>
              </w:rPr>
            </w:pPr>
            <w:r>
              <w:rPr>
                <w:sz w:val="18"/>
                <w:szCs w:val="24"/>
              </w:rPr>
              <w:t>2,2</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255,8</w:t>
            </w:r>
          </w:p>
        </w:tc>
      </w:tr>
      <w:tr w:rsidR="00F92819">
        <w:tc>
          <w:tcPr>
            <w:tcW w:w="1766" w:type="dxa"/>
            <w:vAlign w:val="bottom"/>
          </w:tcPr>
          <w:p w:rsidR="00F92819" w:rsidRDefault="00F92819">
            <w:pPr>
              <w:spacing w:before="40" w:after="40" w:line="220" w:lineRule="exact"/>
              <w:rPr>
                <w:szCs w:val="24"/>
              </w:rPr>
            </w:pPr>
            <w:r>
              <w:rPr>
                <w:sz w:val="18"/>
                <w:szCs w:val="24"/>
              </w:rPr>
              <w:t>18</w:t>
            </w:r>
            <w:r w:rsidR="008C04D7">
              <w:rPr>
                <w:sz w:val="18"/>
                <w:szCs w:val="24"/>
              </w:rPr>
              <w:t xml:space="preserve"> a </w:t>
            </w:r>
            <w:r>
              <w:rPr>
                <w:sz w:val="18"/>
                <w:szCs w:val="24"/>
              </w:rPr>
              <w:t>24</w:t>
            </w:r>
          </w:p>
        </w:tc>
        <w:tc>
          <w:tcPr>
            <w:tcW w:w="700" w:type="dxa"/>
            <w:vAlign w:val="bottom"/>
          </w:tcPr>
          <w:p w:rsidR="00F92819" w:rsidRDefault="00F92819">
            <w:pPr>
              <w:spacing w:before="40" w:after="40" w:line="220" w:lineRule="exact"/>
              <w:jc w:val="right"/>
              <w:rPr>
                <w:sz w:val="18"/>
                <w:szCs w:val="24"/>
              </w:rPr>
            </w:pPr>
            <w:r>
              <w:rPr>
                <w:sz w:val="18"/>
                <w:szCs w:val="24"/>
              </w:rPr>
              <w:t>12,4</w:t>
            </w:r>
          </w:p>
        </w:tc>
        <w:tc>
          <w:tcPr>
            <w:tcW w:w="600" w:type="dxa"/>
            <w:vAlign w:val="bottom"/>
          </w:tcPr>
          <w:p w:rsidR="00F92819" w:rsidRDefault="00F92819">
            <w:pPr>
              <w:spacing w:before="40" w:after="40" w:line="220" w:lineRule="exact"/>
              <w:jc w:val="right"/>
              <w:rPr>
                <w:sz w:val="18"/>
                <w:szCs w:val="24"/>
              </w:rPr>
            </w:pPr>
            <w:r>
              <w:rPr>
                <w:sz w:val="18"/>
                <w:szCs w:val="24"/>
              </w:rPr>
              <w:t>3,9</w:t>
            </w:r>
          </w:p>
        </w:tc>
        <w:tc>
          <w:tcPr>
            <w:tcW w:w="700" w:type="dxa"/>
            <w:vAlign w:val="bottom"/>
          </w:tcPr>
          <w:p w:rsidR="00F92819" w:rsidRDefault="00F92819">
            <w:pPr>
              <w:spacing w:before="40" w:after="40" w:line="220" w:lineRule="exact"/>
              <w:jc w:val="right"/>
              <w:rPr>
                <w:sz w:val="18"/>
                <w:szCs w:val="24"/>
              </w:rPr>
            </w:pPr>
            <w:r>
              <w:rPr>
                <w:sz w:val="18"/>
                <w:szCs w:val="24"/>
              </w:rPr>
              <w:t>28,2</w:t>
            </w:r>
          </w:p>
        </w:tc>
        <w:tc>
          <w:tcPr>
            <w:tcW w:w="700" w:type="dxa"/>
            <w:vAlign w:val="bottom"/>
          </w:tcPr>
          <w:p w:rsidR="00F92819" w:rsidRDefault="00F92819">
            <w:pPr>
              <w:spacing w:before="40" w:after="40" w:line="220" w:lineRule="exact"/>
              <w:jc w:val="right"/>
              <w:rPr>
                <w:sz w:val="18"/>
                <w:szCs w:val="24"/>
              </w:rPr>
            </w:pPr>
            <w:r>
              <w:rPr>
                <w:sz w:val="18"/>
                <w:szCs w:val="24"/>
              </w:rPr>
              <w:t>63,7</w:t>
            </w:r>
          </w:p>
        </w:tc>
        <w:tc>
          <w:tcPr>
            <w:tcW w:w="700" w:type="dxa"/>
            <w:vAlign w:val="bottom"/>
          </w:tcPr>
          <w:p w:rsidR="00F92819" w:rsidRDefault="00F92819">
            <w:pPr>
              <w:spacing w:before="40" w:after="40" w:line="220" w:lineRule="exact"/>
              <w:jc w:val="right"/>
              <w:rPr>
                <w:sz w:val="18"/>
                <w:szCs w:val="24"/>
              </w:rPr>
            </w:pPr>
            <w:r>
              <w:rPr>
                <w:sz w:val="18"/>
                <w:szCs w:val="24"/>
              </w:rPr>
              <w:t>2,9</w:t>
            </w:r>
          </w:p>
        </w:tc>
        <w:tc>
          <w:tcPr>
            <w:tcW w:w="700" w:type="dxa"/>
            <w:vAlign w:val="bottom"/>
          </w:tcPr>
          <w:p w:rsidR="00F92819" w:rsidRDefault="00F92819">
            <w:pPr>
              <w:spacing w:before="40" w:after="40" w:line="220" w:lineRule="exact"/>
              <w:jc w:val="right"/>
              <w:rPr>
                <w:sz w:val="18"/>
                <w:szCs w:val="24"/>
              </w:rPr>
            </w:pPr>
            <w:r>
              <w:rPr>
                <w:sz w:val="18"/>
                <w:szCs w:val="24"/>
              </w:rPr>
              <w:t>0,9</w:t>
            </w:r>
          </w:p>
        </w:tc>
        <w:tc>
          <w:tcPr>
            <w:tcW w:w="600" w:type="dxa"/>
            <w:vAlign w:val="bottom"/>
          </w:tcPr>
          <w:p w:rsidR="00F92819" w:rsidRDefault="00F92819">
            <w:pPr>
              <w:spacing w:before="40" w:after="40" w:line="220" w:lineRule="exact"/>
              <w:jc w:val="right"/>
              <w:rPr>
                <w:sz w:val="18"/>
                <w:szCs w:val="24"/>
              </w:rPr>
            </w:pPr>
            <w:r>
              <w:rPr>
                <w:sz w:val="18"/>
                <w:szCs w:val="24"/>
              </w:rPr>
              <w:t>0,2</w:t>
            </w:r>
          </w:p>
        </w:tc>
        <w:tc>
          <w:tcPr>
            <w:tcW w:w="600" w:type="dxa"/>
            <w:gridSpan w:val="2"/>
            <w:vAlign w:val="bottom"/>
          </w:tcPr>
          <w:p w:rsidR="00F92819" w:rsidRDefault="00F92819">
            <w:pPr>
              <w:spacing w:before="40" w:after="40" w:line="220" w:lineRule="exact"/>
              <w:jc w:val="right"/>
              <w:rPr>
                <w:sz w:val="18"/>
                <w:szCs w:val="24"/>
              </w:rPr>
            </w:pPr>
            <w:r>
              <w:rPr>
                <w:sz w:val="18"/>
                <w:szCs w:val="24"/>
              </w:rPr>
              <w:t>0,2</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614</w:t>
            </w:r>
          </w:p>
        </w:tc>
      </w:tr>
      <w:tr w:rsidR="00F92819">
        <w:tc>
          <w:tcPr>
            <w:tcW w:w="1766" w:type="dxa"/>
            <w:vAlign w:val="bottom"/>
          </w:tcPr>
          <w:p w:rsidR="00F92819" w:rsidRDefault="00F92819">
            <w:pPr>
              <w:spacing w:before="40" w:after="40" w:line="220" w:lineRule="exact"/>
              <w:rPr>
                <w:szCs w:val="24"/>
              </w:rPr>
            </w:pPr>
            <w:r>
              <w:rPr>
                <w:sz w:val="18"/>
                <w:szCs w:val="24"/>
              </w:rPr>
              <w:t>25</w:t>
            </w:r>
            <w:r w:rsidR="008C04D7">
              <w:rPr>
                <w:sz w:val="18"/>
                <w:szCs w:val="24"/>
              </w:rPr>
              <w:t xml:space="preserve"> a </w:t>
            </w:r>
            <w:r>
              <w:rPr>
                <w:sz w:val="18"/>
                <w:szCs w:val="24"/>
              </w:rPr>
              <w:t>34</w:t>
            </w:r>
          </w:p>
        </w:tc>
        <w:tc>
          <w:tcPr>
            <w:tcW w:w="700" w:type="dxa"/>
            <w:vAlign w:val="bottom"/>
          </w:tcPr>
          <w:p w:rsidR="00F92819" w:rsidRDefault="00F92819">
            <w:pPr>
              <w:spacing w:before="40" w:after="40" w:line="220" w:lineRule="exact"/>
              <w:jc w:val="right"/>
              <w:rPr>
                <w:sz w:val="18"/>
                <w:szCs w:val="24"/>
              </w:rPr>
            </w:pPr>
            <w:r>
              <w:rPr>
                <w:sz w:val="18"/>
                <w:szCs w:val="24"/>
              </w:rPr>
              <w:t>14,4</w:t>
            </w:r>
          </w:p>
        </w:tc>
        <w:tc>
          <w:tcPr>
            <w:tcW w:w="600" w:type="dxa"/>
            <w:vAlign w:val="bottom"/>
          </w:tcPr>
          <w:p w:rsidR="00F92819" w:rsidRDefault="00F92819">
            <w:pPr>
              <w:spacing w:before="40" w:after="40" w:line="220" w:lineRule="exact"/>
              <w:jc w:val="right"/>
              <w:rPr>
                <w:sz w:val="18"/>
                <w:szCs w:val="24"/>
              </w:rPr>
            </w:pPr>
            <w:r>
              <w:rPr>
                <w:sz w:val="18"/>
                <w:szCs w:val="24"/>
              </w:rPr>
              <w:t>32,5</w:t>
            </w:r>
          </w:p>
        </w:tc>
        <w:tc>
          <w:tcPr>
            <w:tcW w:w="700" w:type="dxa"/>
            <w:vAlign w:val="bottom"/>
          </w:tcPr>
          <w:p w:rsidR="00F92819" w:rsidRDefault="00F92819">
            <w:pPr>
              <w:spacing w:before="40" w:after="40" w:line="220" w:lineRule="exact"/>
              <w:jc w:val="right"/>
              <w:rPr>
                <w:sz w:val="18"/>
                <w:szCs w:val="24"/>
              </w:rPr>
            </w:pPr>
            <w:r>
              <w:rPr>
                <w:sz w:val="18"/>
                <w:szCs w:val="24"/>
              </w:rPr>
              <w:t>32,4</w:t>
            </w:r>
          </w:p>
        </w:tc>
        <w:tc>
          <w:tcPr>
            <w:tcW w:w="700" w:type="dxa"/>
            <w:vAlign w:val="bottom"/>
          </w:tcPr>
          <w:p w:rsidR="00F92819" w:rsidRDefault="00F92819">
            <w:pPr>
              <w:spacing w:before="40" w:after="40" w:line="220" w:lineRule="exact"/>
              <w:jc w:val="right"/>
              <w:rPr>
                <w:sz w:val="18"/>
                <w:szCs w:val="24"/>
              </w:rPr>
            </w:pPr>
            <w:r>
              <w:rPr>
                <w:sz w:val="18"/>
                <w:szCs w:val="24"/>
              </w:rPr>
              <w:t>29,4</w:t>
            </w:r>
          </w:p>
        </w:tc>
        <w:tc>
          <w:tcPr>
            <w:tcW w:w="700" w:type="dxa"/>
            <w:vAlign w:val="bottom"/>
          </w:tcPr>
          <w:p w:rsidR="00F92819" w:rsidRDefault="00F92819">
            <w:pPr>
              <w:spacing w:before="40" w:after="40" w:line="220" w:lineRule="exact"/>
              <w:jc w:val="right"/>
              <w:rPr>
                <w:sz w:val="18"/>
                <w:szCs w:val="24"/>
              </w:rPr>
            </w:pPr>
            <w:r>
              <w:rPr>
                <w:sz w:val="18"/>
                <w:szCs w:val="24"/>
              </w:rPr>
              <w:t>3,7</w:t>
            </w:r>
          </w:p>
        </w:tc>
        <w:tc>
          <w:tcPr>
            <w:tcW w:w="700" w:type="dxa"/>
            <w:vAlign w:val="bottom"/>
          </w:tcPr>
          <w:p w:rsidR="00F92819" w:rsidRDefault="00F92819">
            <w:pPr>
              <w:spacing w:before="40" w:after="40" w:line="220" w:lineRule="exact"/>
              <w:jc w:val="right"/>
              <w:rPr>
                <w:sz w:val="18"/>
                <w:szCs w:val="24"/>
              </w:rPr>
            </w:pPr>
            <w:r>
              <w:rPr>
                <w:sz w:val="18"/>
                <w:szCs w:val="24"/>
              </w:rPr>
              <w:t>1,4</w:t>
            </w:r>
          </w:p>
        </w:tc>
        <w:tc>
          <w:tcPr>
            <w:tcW w:w="600" w:type="dxa"/>
            <w:vAlign w:val="bottom"/>
          </w:tcPr>
          <w:p w:rsidR="00F92819" w:rsidRDefault="00F92819">
            <w:pPr>
              <w:spacing w:before="40" w:after="40" w:line="220" w:lineRule="exact"/>
              <w:jc w:val="right"/>
              <w:rPr>
                <w:sz w:val="18"/>
                <w:szCs w:val="24"/>
              </w:rPr>
            </w:pPr>
            <w:r>
              <w:rPr>
                <w:sz w:val="18"/>
                <w:szCs w:val="24"/>
              </w:rPr>
              <w:t>0,2</w:t>
            </w:r>
          </w:p>
        </w:tc>
        <w:tc>
          <w:tcPr>
            <w:tcW w:w="600" w:type="dxa"/>
            <w:gridSpan w:val="2"/>
            <w:vAlign w:val="bottom"/>
          </w:tcPr>
          <w:p w:rsidR="00F92819" w:rsidRDefault="00F92819">
            <w:pPr>
              <w:spacing w:before="40" w:after="40" w:line="220" w:lineRule="exact"/>
              <w:jc w:val="right"/>
              <w:rPr>
                <w:sz w:val="18"/>
                <w:szCs w:val="24"/>
              </w:rPr>
            </w:pPr>
            <w:r>
              <w:rPr>
                <w:sz w:val="18"/>
                <w:szCs w:val="24"/>
              </w:rPr>
              <w:t>0,4</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833,6</w:t>
            </w:r>
          </w:p>
        </w:tc>
      </w:tr>
      <w:tr w:rsidR="00F92819">
        <w:tc>
          <w:tcPr>
            <w:tcW w:w="1766" w:type="dxa"/>
            <w:vAlign w:val="bottom"/>
          </w:tcPr>
          <w:p w:rsidR="00F92819" w:rsidRDefault="00F92819">
            <w:pPr>
              <w:spacing w:before="40" w:after="40" w:line="220" w:lineRule="exact"/>
              <w:rPr>
                <w:szCs w:val="24"/>
              </w:rPr>
            </w:pPr>
            <w:r>
              <w:rPr>
                <w:sz w:val="18"/>
                <w:szCs w:val="24"/>
              </w:rPr>
              <w:t>35</w:t>
            </w:r>
            <w:r w:rsidR="008C04D7">
              <w:rPr>
                <w:sz w:val="18"/>
                <w:szCs w:val="24"/>
              </w:rPr>
              <w:t xml:space="preserve"> a </w:t>
            </w:r>
            <w:r>
              <w:rPr>
                <w:sz w:val="18"/>
                <w:szCs w:val="24"/>
              </w:rPr>
              <w:t>44</w:t>
            </w:r>
          </w:p>
        </w:tc>
        <w:tc>
          <w:tcPr>
            <w:tcW w:w="700" w:type="dxa"/>
            <w:vAlign w:val="bottom"/>
          </w:tcPr>
          <w:p w:rsidR="00F92819" w:rsidRDefault="00F92819">
            <w:pPr>
              <w:spacing w:before="40" w:after="40" w:line="220" w:lineRule="exact"/>
              <w:jc w:val="right"/>
              <w:rPr>
                <w:sz w:val="18"/>
                <w:szCs w:val="24"/>
              </w:rPr>
            </w:pPr>
            <w:r>
              <w:rPr>
                <w:sz w:val="18"/>
                <w:szCs w:val="24"/>
              </w:rPr>
              <w:t>14,1</w:t>
            </w:r>
          </w:p>
        </w:tc>
        <w:tc>
          <w:tcPr>
            <w:tcW w:w="600" w:type="dxa"/>
            <w:vAlign w:val="bottom"/>
          </w:tcPr>
          <w:p w:rsidR="00F92819" w:rsidRDefault="00F92819">
            <w:pPr>
              <w:spacing w:before="40" w:after="40" w:line="220" w:lineRule="exact"/>
              <w:jc w:val="right"/>
              <w:rPr>
                <w:sz w:val="18"/>
                <w:szCs w:val="24"/>
              </w:rPr>
            </w:pPr>
            <w:r>
              <w:rPr>
                <w:sz w:val="18"/>
                <w:szCs w:val="24"/>
              </w:rPr>
              <w:t>33,5</w:t>
            </w:r>
          </w:p>
        </w:tc>
        <w:tc>
          <w:tcPr>
            <w:tcW w:w="700" w:type="dxa"/>
            <w:vAlign w:val="bottom"/>
          </w:tcPr>
          <w:p w:rsidR="00F92819" w:rsidRDefault="00F92819">
            <w:pPr>
              <w:spacing w:before="40" w:after="40" w:line="220" w:lineRule="exact"/>
              <w:jc w:val="right"/>
              <w:rPr>
                <w:sz w:val="18"/>
                <w:szCs w:val="24"/>
              </w:rPr>
            </w:pPr>
            <w:r>
              <w:rPr>
                <w:sz w:val="18"/>
                <w:szCs w:val="24"/>
              </w:rPr>
              <w:t>25,9</w:t>
            </w:r>
          </w:p>
        </w:tc>
        <w:tc>
          <w:tcPr>
            <w:tcW w:w="700" w:type="dxa"/>
            <w:vAlign w:val="bottom"/>
          </w:tcPr>
          <w:p w:rsidR="00F92819" w:rsidRDefault="00F92819">
            <w:pPr>
              <w:spacing w:before="40" w:after="40" w:line="220" w:lineRule="exact"/>
              <w:jc w:val="right"/>
              <w:rPr>
                <w:sz w:val="18"/>
                <w:szCs w:val="24"/>
              </w:rPr>
            </w:pPr>
            <w:r>
              <w:rPr>
                <w:sz w:val="18"/>
                <w:szCs w:val="24"/>
              </w:rPr>
              <w:t>33,6</w:t>
            </w:r>
          </w:p>
        </w:tc>
        <w:tc>
          <w:tcPr>
            <w:tcW w:w="700" w:type="dxa"/>
            <w:vAlign w:val="bottom"/>
          </w:tcPr>
          <w:p w:rsidR="00F92819" w:rsidRDefault="00F92819">
            <w:pPr>
              <w:spacing w:before="40" w:after="40" w:line="220" w:lineRule="exact"/>
              <w:jc w:val="right"/>
              <w:rPr>
                <w:sz w:val="18"/>
                <w:szCs w:val="24"/>
              </w:rPr>
            </w:pPr>
            <w:r>
              <w:rPr>
                <w:sz w:val="18"/>
                <w:szCs w:val="24"/>
              </w:rPr>
              <w:t>4,5</w:t>
            </w:r>
          </w:p>
        </w:tc>
        <w:tc>
          <w:tcPr>
            <w:tcW w:w="700" w:type="dxa"/>
            <w:vAlign w:val="bottom"/>
          </w:tcPr>
          <w:p w:rsidR="00F92819" w:rsidRDefault="00F92819">
            <w:pPr>
              <w:spacing w:before="40" w:after="40" w:line="220" w:lineRule="exact"/>
              <w:jc w:val="right"/>
              <w:rPr>
                <w:sz w:val="18"/>
                <w:szCs w:val="24"/>
              </w:rPr>
            </w:pPr>
            <w:r>
              <w:rPr>
                <w:sz w:val="18"/>
                <w:szCs w:val="24"/>
              </w:rPr>
              <w:t>1,4</w:t>
            </w:r>
          </w:p>
        </w:tc>
        <w:tc>
          <w:tcPr>
            <w:tcW w:w="600" w:type="dxa"/>
            <w:vAlign w:val="bottom"/>
          </w:tcPr>
          <w:p w:rsidR="00F92819" w:rsidRDefault="00F92819">
            <w:pPr>
              <w:spacing w:before="40" w:after="40" w:line="220" w:lineRule="exact"/>
              <w:jc w:val="right"/>
              <w:rPr>
                <w:sz w:val="18"/>
                <w:szCs w:val="24"/>
              </w:rPr>
            </w:pPr>
            <w:r>
              <w:rPr>
                <w:sz w:val="18"/>
                <w:szCs w:val="24"/>
              </w:rPr>
              <w:t>0,3</w:t>
            </w:r>
          </w:p>
        </w:tc>
        <w:tc>
          <w:tcPr>
            <w:tcW w:w="600" w:type="dxa"/>
            <w:gridSpan w:val="2"/>
            <w:vAlign w:val="bottom"/>
          </w:tcPr>
          <w:p w:rsidR="00F92819" w:rsidRDefault="00F92819">
            <w:pPr>
              <w:spacing w:before="40" w:after="40" w:line="220" w:lineRule="exact"/>
              <w:jc w:val="right"/>
              <w:rPr>
                <w:sz w:val="18"/>
                <w:szCs w:val="24"/>
              </w:rPr>
            </w:pPr>
            <w:r>
              <w:rPr>
                <w:sz w:val="18"/>
                <w:szCs w:val="24"/>
              </w:rPr>
              <w:t>0,8</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660,8</w:t>
            </w:r>
          </w:p>
        </w:tc>
      </w:tr>
      <w:tr w:rsidR="00F92819">
        <w:tc>
          <w:tcPr>
            <w:tcW w:w="1766" w:type="dxa"/>
            <w:vAlign w:val="bottom"/>
          </w:tcPr>
          <w:p w:rsidR="00F92819" w:rsidRDefault="00F92819">
            <w:pPr>
              <w:spacing w:before="40" w:after="40" w:line="220" w:lineRule="exact"/>
              <w:rPr>
                <w:szCs w:val="24"/>
              </w:rPr>
            </w:pPr>
            <w:r>
              <w:rPr>
                <w:sz w:val="18"/>
                <w:szCs w:val="24"/>
              </w:rPr>
              <w:t>45</w:t>
            </w:r>
            <w:r w:rsidR="008C04D7">
              <w:rPr>
                <w:sz w:val="18"/>
                <w:szCs w:val="24"/>
              </w:rPr>
              <w:t xml:space="preserve"> a </w:t>
            </w:r>
            <w:r>
              <w:rPr>
                <w:sz w:val="18"/>
                <w:szCs w:val="24"/>
              </w:rPr>
              <w:t>54</w:t>
            </w:r>
          </w:p>
        </w:tc>
        <w:tc>
          <w:tcPr>
            <w:tcW w:w="700" w:type="dxa"/>
            <w:vAlign w:val="bottom"/>
          </w:tcPr>
          <w:p w:rsidR="00F92819" w:rsidRDefault="00F92819">
            <w:pPr>
              <w:spacing w:before="40" w:after="40" w:line="220" w:lineRule="exact"/>
              <w:jc w:val="right"/>
              <w:rPr>
                <w:sz w:val="18"/>
                <w:szCs w:val="24"/>
              </w:rPr>
            </w:pPr>
            <w:r>
              <w:rPr>
                <w:sz w:val="18"/>
                <w:szCs w:val="24"/>
              </w:rPr>
              <w:t>13,4</w:t>
            </w:r>
          </w:p>
        </w:tc>
        <w:tc>
          <w:tcPr>
            <w:tcW w:w="600" w:type="dxa"/>
            <w:vAlign w:val="bottom"/>
          </w:tcPr>
          <w:p w:rsidR="00F92819" w:rsidRDefault="00F92819">
            <w:pPr>
              <w:spacing w:before="40" w:after="40" w:line="220" w:lineRule="exact"/>
              <w:jc w:val="right"/>
              <w:rPr>
                <w:sz w:val="18"/>
                <w:szCs w:val="24"/>
              </w:rPr>
            </w:pPr>
            <w:r>
              <w:rPr>
                <w:sz w:val="18"/>
                <w:szCs w:val="24"/>
              </w:rPr>
              <w:t>28,3</w:t>
            </w:r>
          </w:p>
        </w:tc>
        <w:tc>
          <w:tcPr>
            <w:tcW w:w="700" w:type="dxa"/>
            <w:vAlign w:val="bottom"/>
          </w:tcPr>
          <w:p w:rsidR="00F92819" w:rsidRDefault="00F92819">
            <w:pPr>
              <w:spacing w:before="40" w:after="40" w:line="220" w:lineRule="exact"/>
              <w:jc w:val="right"/>
              <w:rPr>
                <w:sz w:val="18"/>
                <w:szCs w:val="24"/>
              </w:rPr>
            </w:pPr>
            <w:r>
              <w:rPr>
                <w:sz w:val="18"/>
                <w:szCs w:val="24"/>
              </w:rPr>
              <w:t>25,3</w:t>
            </w:r>
          </w:p>
        </w:tc>
        <w:tc>
          <w:tcPr>
            <w:tcW w:w="700" w:type="dxa"/>
            <w:vAlign w:val="bottom"/>
          </w:tcPr>
          <w:p w:rsidR="00F92819" w:rsidRDefault="00F92819">
            <w:pPr>
              <w:spacing w:before="40" w:after="40" w:line="220" w:lineRule="exact"/>
              <w:jc w:val="right"/>
              <w:rPr>
                <w:sz w:val="18"/>
                <w:szCs w:val="24"/>
              </w:rPr>
            </w:pPr>
            <w:r>
              <w:rPr>
                <w:sz w:val="18"/>
                <w:szCs w:val="24"/>
              </w:rPr>
              <w:t>31,5</w:t>
            </w:r>
          </w:p>
        </w:tc>
        <w:tc>
          <w:tcPr>
            <w:tcW w:w="700" w:type="dxa"/>
            <w:vAlign w:val="bottom"/>
          </w:tcPr>
          <w:p w:rsidR="00F92819" w:rsidRDefault="00F92819">
            <w:pPr>
              <w:spacing w:before="40" w:after="40" w:line="220" w:lineRule="exact"/>
              <w:jc w:val="right"/>
              <w:rPr>
                <w:sz w:val="18"/>
                <w:szCs w:val="24"/>
              </w:rPr>
            </w:pPr>
            <w:r>
              <w:rPr>
                <w:sz w:val="18"/>
                <w:szCs w:val="24"/>
              </w:rPr>
              <w:t>8,8</w:t>
            </w:r>
          </w:p>
        </w:tc>
        <w:tc>
          <w:tcPr>
            <w:tcW w:w="700" w:type="dxa"/>
            <w:vAlign w:val="bottom"/>
          </w:tcPr>
          <w:p w:rsidR="00F92819" w:rsidRDefault="00F92819">
            <w:pPr>
              <w:spacing w:before="40" w:after="40" w:line="220" w:lineRule="exact"/>
              <w:jc w:val="right"/>
              <w:rPr>
                <w:sz w:val="18"/>
                <w:szCs w:val="24"/>
              </w:rPr>
            </w:pPr>
            <w:r>
              <w:rPr>
                <w:sz w:val="18"/>
                <w:szCs w:val="24"/>
              </w:rPr>
              <w:t>4,8</w:t>
            </w:r>
          </w:p>
        </w:tc>
        <w:tc>
          <w:tcPr>
            <w:tcW w:w="600" w:type="dxa"/>
            <w:vAlign w:val="bottom"/>
          </w:tcPr>
          <w:p w:rsidR="00F92819" w:rsidRDefault="00F92819">
            <w:pPr>
              <w:spacing w:before="40" w:after="40" w:line="220" w:lineRule="exact"/>
              <w:jc w:val="right"/>
              <w:rPr>
                <w:sz w:val="18"/>
                <w:szCs w:val="24"/>
              </w:rPr>
            </w:pPr>
            <w:r>
              <w:rPr>
                <w:sz w:val="18"/>
                <w:szCs w:val="24"/>
              </w:rPr>
              <w:t>0,2</w:t>
            </w:r>
          </w:p>
        </w:tc>
        <w:tc>
          <w:tcPr>
            <w:tcW w:w="600" w:type="dxa"/>
            <w:gridSpan w:val="2"/>
            <w:vAlign w:val="bottom"/>
          </w:tcPr>
          <w:p w:rsidR="00F92819" w:rsidRDefault="00F92819">
            <w:pPr>
              <w:spacing w:before="40" w:after="40" w:line="220" w:lineRule="exact"/>
              <w:jc w:val="right"/>
              <w:rPr>
                <w:sz w:val="18"/>
                <w:szCs w:val="24"/>
              </w:rPr>
            </w:pPr>
            <w:r>
              <w:rPr>
                <w:sz w:val="18"/>
                <w:szCs w:val="24"/>
              </w:rPr>
              <w:t>1,2</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631,2</w:t>
            </w:r>
          </w:p>
        </w:tc>
      </w:tr>
      <w:tr w:rsidR="00F92819">
        <w:tc>
          <w:tcPr>
            <w:tcW w:w="1766" w:type="dxa"/>
            <w:vAlign w:val="bottom"/>
          </w:tcPr>
          <w:p w:rsidR="00F92819" w:rsidRDefault="00F92819">
            <w:pPr>
              <w:spacing w:before="40" w:after="40" w:line="220" w:lineRule="exact"/>
              <w:rPr>
                <w:szCs w:val="24"/>
              </w:rPr>
            </w:pPr>
            <w:r>
              <w:rPr>
                <w:sz w:val="18"/>
                <w:szCs w:val="24"/>
              </w:rPr>
              <w:t>55</w:t>
            </w:r>
            <w:r w:rsidR="008C04D7">
              <w:rPr>
                <w:sz w:val="18"/>
                <w:szCs w:val="24"/>
              </w:rPr>
              <w:t xml:space="preserve"> a </w:t>
            </w:r>
            <w:r>
              <w:rPr>
                <w:sz w:val="18"/>
                <w:szCs w:val="24"/>
              </w:rPr>
              <w:t>64</w:t>
            </w:r>
          </w:p>
        </w:tc>
        <w:tc>
          <w:tcPr>
            <w:tcW w:w="700" w:type="dxa"/>
            <w:vAlign w:val="bottom"/>
          </w:tcPr>
          <w:p w:rsidR="00F92819" w:rsidRDefault="00F92819">
            <w:pPr>
              <w:spacing w:before="40" w:after="40" w:line="220" w:lineRule="exact"/>
              <w:jc w:val="right"/>
              <w:rPr>
                <w:sz w:val="18"/>
                <w:szCs w:val="24"/>
              </w:rPr>
            </w:pPr>
            <w:r>
              <w:rPr>
                <w:sz w:val="18"/>
                <w:szCs w:val="24"/>
              </w:rPr>
              <w:t>13,2</w:t>
            </w:r>
          </w:p>
        </w:tc>
        <w:tc>
          <w:tcPr>
            <w:tcW w:w="600" w:type="dxa"/>
            <w:vAlign w:val="bottom"/>
          </w:tcPr>
          <w:p w:rsidR="00F92819" w:rsidRDefault="00F92819">
            <w:pPr>
              <w:spacing w:before="40" w:after="40" w:line="220" w:lineRule="exact"/>
              <w:jc w:val="right"/>
              <w:rPr>
                <w:sz w:val="18"/>
                <w:szCs w:val="24"/>
              </w:rPr>
            </w:pPr>
            <w:r>
              <w:rPr>
                <w:sz w:val="18"/>
                <w:szCs w:val="24"/>
              </w:rPr>
              <w:t>27,8</w:t>
            </w:r>
          </w:p>
        </w:tc>
        <w:tc>
          <w:tcPr>
            <w:tcW w:w="700" w:type="dxa"/>
            <w:vAlign w:val="bottom"/>
          </w:tcPr>
          <w:p w:rsidR="00F92819" w:rsidRDefault="00F92819">
            <w:pPr>
              <w:spacing w:before="40" w:after="40" w:line="220" w:lineRule="exact"/>
              <w:jc w:val="right"/>
              <w:rPr>
                <w:sz w:val="18"/>
                <w:szCs w:val="24"/>
              </w:rPr>
            </w:pPr>
            <w:r>
              <w:rPr>
                <w:sz w:val="18"/>
                <w:szCs w:val="24"/>
              </w:rPr>
              <w:t>23,5</w:t>
            </w:r>
          </w:p>
        </w:tc>
        <w:tc>
          <w:tcPr>
            <w:tcW w:w="700" w:type="dxa"/>
            <w:vAlign w:val="bottom"/>
          </w:tcPr>
          <w:p w:rsidR="00F92819" w:rsidRDefault="00F92819">
            <w:pPr>
              <w:spacing w:before="40" w:after="40" w:line="220" w:lineRule="exact"/>
              <w:jc w:val="right"/>
              <w:rPr>
                <w:sz w:val="18"/>
                <w:szCs w:val="24"/>
              </w:rPr>
            </w:pPr>
            <w:r>
              <w:rPr>
                <w:sz w:val="18"/>
                <w:szCs w:val="24"/>
              </w:rPr>
              <w:t>26,7</w:t>
            </w:r>
          </w:p>
        </w:tc>
        <w:tc>
          <w:tcPr>
            <w:tcW w:w="700" w:type="dxa"/>
            <w:vAlign w:val="bottom"/>
          </w:tcPr>
          <w:p w:rsidR="00F92819" w:rsidRDefault="00F92819">
            <w:pPr>
              <w:spacing w:before="40" w:after="40" w:line="220" w:lineRule="exact"/>
              <w:jc w:val="right"/>
              <w:rPr>
                <w:sz w:val="18"/>
                <w:szCs w:val="24"/>
              </w:rPr>
            </w:pPr>
            <w:r>
              <w:rPr>
                <w:sz w:val="18"/>
                <w:szCs w:val="24"/>
              </w:rPr>
              <w:t>9,9</w:t>
            </w:r>
          </w:p>
        </w:tc>
        <w:tc>
          <w:tcPr>
            <w:tcW w:w="700" w:type="dxa"/>
            <w:vAlign w:val="bottom"/>
          </w:tcPr>
          <w:p w:rsidR="00F92819" w:rsidRDefault="00F92819">
            <w:pPr>
              <w:spacing w:before="40" w:after="40" w:line="220" w:lineRule="exact"/>
              <w:jc w:val="right"/>
              <w:rPr>
                <w:sz w:val="18"/>
                <w:szCs w:val="24"/>
              </w:rPr>
            </w:pPr>
            <w:r>
              <w:rPr>
                <w:sz w:val="18"/>
                <w:szCs w:val="24"/>
              </w:rPr>
              <w:t>9,9</w:t>
            </w:r>
          </w:p>
        </w:tc>
        <w:tc>
          <w:tcPr>
            <w:tcW w:w="600" w:type="dxa"/>
            <w:vAlign w:val="bottom"/>
          </w:tcPr>
          <w:p w:rsidR="00F92819" w:rsidRDefault="00F92819">
            <w:pPr>
              <w:spacing w:before="40" w:after="40" w:line="220" w:lineRule="exact"/>
              <w:jc w:val="right"/>
              <w:rPr>
                <w:sz w:val="18"/>
                <w:szCs w:val="24"/>
              </w:rPr>
            </w:pPr>
            <w:r>
              <w:rPr>
                <w:sz w:val="18"/>
                <w:szCs w:val="24"/>
              </w:rPr>
              <w:t>0,7</w:t>
            </w:r>
          </w:p>
        </w:tc>
        <w:tc>
          <w:tcPr>
            <w:tcW w:w="600" w:type="dxa"/>
            <w:gridSpan w:val="2"/>
            <w:vAlign w:val="bottom"/>
          </w:tcPr>
          <w:p w:rsidR="00F92819" w:rsidRDefault="00F92819">
            <w:pPr>
              <w:spacing w:before="40" w:after="40" w:line="220" w:lineRule="exact"/>
              <w:jc w:val="right"/>
              <w:rPr>
                <w:sz w:val="18"/>
                <w:szCs w:val="24"/>
              </w:rPr>
            </w:pPr>
            <w:r>
              <w:rPr>
                <w:sz w:val="18"/>
                <w:szCs w:val="24"/>
              </w:rPr>
              <w:t>1,5</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528,2</w:t>
            </w:r>
          </w:p>
        </w:tc>
      </w:tr>
      <w:tr w:rsidR="00F92819">
        <w:tc>
          <w:tcPr>
            <w:tcW w:w="1766" w:type="dxa"/>
            <w:tcBorders>
              <w:bottom w:val="single" w:sz="4" w:space="0" w:color="auto"/>
            </w:tcBorders>
            <w:vAlign w:val="bottom"/>
          </w:tcPr>
          <w:p w:rsidR="00F92819" w:rsidRDefault="00F92819">
            <w:pPr>
              <w:spacing w:before="40" w:after="40" w:line="220" w:lineRule="exact"/>
              <w:rPr>
                <w:sz w:val="18"/>
                <w:szCs w:val="24"/>
              </w:rPr>
            </w:pPr>
            <w:r>
              <w:rPr>
                <w:sz w:val="18"/>
                <w:szCs w:val="24"/>
              </w:rPr>
              <w:t>65+</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11,6</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15,9</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19,4</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21</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11,2</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20,7</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3,9</w:t>
            </w:r>
          </w:p>
        </w:tc>
        <w:tc>
          <w:tcPr>
            <w:tcW w:w="600" w:type="dxa"/>
            <w:gridSpan w:val="2"/>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7,9</w:t>
            </w:r>
          </w:p>
        </w:tc>
        <w:tc>
          <w:tcPr>
            <w:tcW w:w="489" w:type="dxa"/>
            <w:tcBorders>
              <w:bottom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644,6</w:t>
            </w:r>
          </w:p>
        </w:tc>
      </w:tr>
      <w:tr w:rsidR="00F92819">
        <w:tc>
          <w:tcPr>
            <w:tcW w:w="1766" w:type="dxa"/>
            <w:tcBorders>
              <w:top w:val="single" w:sz="4" w:space="0" w:color="auto"/>
              <w:bottom w:val="single" w:sz="4" w:space="0" w:color="auto"/>
            </w:tcBorders>
            <w:vAlign w:val="bottom"/>
          </w:tcPr>
          <w:p w:rsidR="00F92819" w:rsidRDefault="00F92819">
            <w:pPr>
              <w:spacing w:before="80" w:after="80" w:line="220" w:lineRule="exact"/>
              <w:ind w:firstLine="284"/>
              <w:rPr>
                <w:szCs w:val="24"/>
              </w:rPr>
            </w:pPr>
            <w:r>
              <w:rPr>
                <w:b/>
                <w:sz w:val="18"/>
                <w:szCs w:val="24"/>
                <w:lang w:val="es-ES_tradnl"/>
              </w:rPr>
              <w:t>Hombres – Total</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12,8</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22,7</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23,8</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36,5</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9,4</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5,7</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0,7</w:t>
            </w:r>
          </w:p>
        </w:tc>
        <w:tc>
          <w:tcPr>
            <w:tcW w:w="600" w:type="dxa"/>
            <w:gridSpan w:val="2"/>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1,2</w:t>
            </w:r>
          </w:p>
        </w:tc>
        <w:tc>
          <w:tcPr>
            <w:tcW w:w="48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100</w:t>
            </w:r>
          </w:p>
        </w:tc>
        <w:tc>
          <w:tcPr>
            <w:tcW w:w="85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2 016,9</w:t>
            </w:r>
          </w:p>
        </w:tc>
      </w:tr>
      <w:tr w:rsidR="00F92819">
        <w:tc>
          <w:tcPr>
            <w:tcW w:w="1766" w:type="dxa"/>
            <w:tcBorders>
              <w:top w:val="single" w:sz="4" w:space="0" w:color="auto"/>
            </w:tcBorders>
            <w:vAlign w:val="bottom"/>
          </w:tcPr>
          <w:p w:rsidR="00F92819" w:rsidRDefault="00F92819">
            <w:pPr>
              <w:spacing w:before="40" w:after="40" w:line="220" w:lineRule="exact"/>
              <w:rPr>
                <w:szCs w:val="24"/>
              </w:rPr>
            </w:pPr>
            <w:r>
              <w:rPr>
                <w:sz w:val="18"/>
                <w:szCs w:val="24"/>
              </w:rPr>
              <w:t>15</w:t>
            </w:r>
            <w:r w:rsidR="008C04D7">
              <w:rPr>
                <w:sz w:val="18"/>
                <w:szCs w:val="24"/>
              </w:rPr>
              <w:t xml:space="preserve"> a </w:t>
            </w:r>
            <w:r>
              <w:rPr>
                <w:sz w:val="18"/>
                <w:szCs w:val="24"/>
              </w:rPr>
              <w:t>17</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11,1</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52,6</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43,6</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3,3</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00" w:type="dxa"/>
            <w:gridSpan w:val="2"/>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489"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130,9</w:t>
            </w:r>
          </w:p>
        </w:tc>
      </w:tr>
      <w:tr w:rsidR="00F92819">
        <w:tc>
          <w:tcPr>
            <w:tcW w:w="1766" w:type="dxa"/>
            <w:vAlign w:val="bottom"/>
          </w:tcPr>
          <w:p w:rsidR="00F92819" w:rsidRDefault="00F92819">
            <w:pPr>
              <w:spacing w:before="40" w:after="40" w:line="220" w:lineRule="exact"/>
              <w:rPr>
                <w:szCs w:val="24"/>
              </w:rPr>
            </w:pPr>
            <w:r>
              <w:rPr>
                <w:sz w:val="18"/>
                <w:szCs w:val="24"/>
              </w:rPr>
              <w:t>18</w:t>
            </w:r>
            <w:r w:rsidR="008C04D7">
              <w:rPr>
                <w:sz w:val="18"/>
                <w:szCs w:val="24"/>
              </w:rPr>
              <w:t xml:space="preserve"> a </w:t>
            </w:r>
            <w:r>
              <w:rPr>
                <w:sz w:val="18"/>
                <w:szCs w:val="24"/>
              </w:rPr>
              <w:t>24</w:t>
            </w:r>
          </w:p>
        </w:tc>
        <w:tc>
          <w:tcPr>
            <w:tcW w:w="700" w:type="dxa"/>
            <w:vAlign w:val="bottom"/>
          </w:tcPr>
          <w:p w:rsidR="00F92819" w:rsidRDefault="00F92819">
            <w:pPr>
              <w:spacing w:before="40" w:after="40" w:line="220" w:lineRule="exact"/>
              <w:jc w:val="right"/>
              <w:rPr>
                <w:sz w:val="18"/>
                <w:szCs w:val="24"/>
              </w:rPr>
            </w:pPr>
            <w:r>
              <w:rPr>
                <w:sz w:val="18"/>
                <w:szCs w:val="24"/>
              </w:rPr>
              <w:t>12,3</w:t>
            </w:r>
          </w:p>
        </w:tc>
        <w:tc>
          <w:tcPr>
            <w:tcW w:w="600" w:type="dxa"/>
            <w:vAlign w:val="bottom"/>
          </w:tcPr>
          <w:p w:rsidR="00F92819" w:rsidRDefault="00F92819">
            <w:pPr>
              <w:spacing w:before="40" w:after="40" w:line="220" w:lineRule="exact"/>
              <w:jc w:val="right"/>
              <w:rPr>
                <w:sz w:val="18"/>
                <w:szCs w:val="24"/>
              </w:rPr>
            </w:pPr>
            <w:r>
              <w:rPr>
                <w:sz w:val="18"/>
                <w:szCs w:val="24"/>
              </w:rPr>
              <w:t>3,9</w:t>
            </w:r>
          </w:p>
        </w:tc>
        <w:tc>
          <w:tcPr>
            <w:tcW w:w="700" w:type="dxa"/>
            <w:vAlign w:val="bottom"/>
          </w:tcPr>
          <w:p w:rsidR="00F92819" w:rsidRDefault="00F92819">
            <w:pPr>
              <w:spacing w:before="40" w:after="40" w:line="220" w:lineRule="exact"/>
              <w:jc w:val="right"/>
              <w:rPr>
                <w:sz w:val="18"/>
                <w:szCs w:val="24"/>
              </w:rPr>
            </w:pPr>
            <w:r>
              <w:rPr>
                <w:sz w:val="18"/>
                <w:szCs w:val="24"/>
              </w:rPr>
              <w:t>23,5</w:t>
            </w:r>
          </w:p>
        </w:tc>
        <w:tc>
          <w:tcPr>
            <w:tcW w:w="700" w:type="dxa"/>
            <w:vAlign w:val="bottom"/>
          </w:tcPr>
          <w:p w:rsidR="00F92819" w:rsidRDefault="00F92819">
            <w:pPr>
              <w:spacing w:before="40" w:after="40" w:line="220" w:lineRule="exact"/>
              <w:jc w:val="right"/>
              <w:rPr>
                <w:sz w:val="18"/>
                <w:szCs w:val="24"/>
              </w:rPr>
            </w:pPr>
            <w:r>
              <w:rPr>
                <w:sz w:val="18"/>
                <w:szCs w:val="24"/>
              </w:rPr>
              <w:t>66,7</w:t>
            </w:r>
          </w:p>
        </w:tc>
        <w:tc>
          <w:tcPr>
            <w:tcW w:w="700" w:type="dxa"/>
            <w:vAlign w:val="bottom"/>
          </w:tcPr>
          <w:p w:rsidR="00F92819" w:rsidRDefault="00F92819">
            <w:pPr>
              <w:spacing w:before="40" w:after="40" w:line="220" w:lineRule="exact"/>
              <w:jc w:val="right"/>
              <w:rPr>
                <w:sz w:val="18"/>
                <w:szCs w:val="24"/>
              </w:rPr>
            </w:pPr>
            <w:r>
              <w:rPr>
                <w:sz w:val="18"/>
                <w:szCs w:val="24"/>
              </w:rPr>
              <w:t>4,2</w:t>
            </w:r>
          </w:p>
        </w:tc>
        <w:tc>
          <w:tcPr>
            <w:tcW w:w="700" w:type="dxa"/>
            <w:vAlign w:val="bottom"/>
          </w:tcPr>
          <w:p w:rsidR="00F92819" w:rsidRDefault="00F92819">
            <w:pPr>
              <w:spacing w:before="40" w:after="40" w:line="220" w:lineRule="exact"/>
              <w:jc w:val="right"/>
              <w:rPr>
                <w:sz w:val="18"/>
                <w:szCs w:val="24"/>
              </w:rPr>
            </w:pPr>
            <w:r>
              <w:rPr>
                <w:sz w:val="18"/>
                <w:szCs w:val="24"/>
              </w:rPr>
              <w:t>1,4</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314</w:t>
            </w:r>
          </w:p>
        </w:tc>
      </w:tr>
      <w:tr w:rsidR="00F92819">
        <w:tc>
          <w:tcPr>
            <w:tcW w:w="1766" w:type="dxa"/>
            <w:vAlign w:val="bottom"/>
          </w:tcPr>
          <w:p w:rsidR="00F92819" w:rsidRDefault="00F92819">
            <w:pPr>
              <w:spacing w:before="40" w:after="40" w:line="220" w:lineRule="exact"/>
              <w:rPr>
                <w:szCs w:val="24"/>
              </w:rPr>
            </w:pPr>
            <w:r>
              <w:rPr>
                <w:sz w:val="18"/>
                <w:szCs w:val="24"/>
              </w:rPr>
              <w:t>25</w:t>
            </w:r>
            <w:r w:rsidR="008C04D7">
              <w:rPr>
                <w:sz w:val="18"/>
                <w:szCs w:val="24"/>
              </w:rPr>
              <w:t xml:space="preserve"> a </w:t>
            </w:r>
            <w:r>
              <w:rPr>
                <w:sz w:val="18"/>
                <w:szCs w:val="24"/>
              </w:rPr>
              <w:t>34</w:t>
            </w:r>
          </w:p>
        </w:tc>
        <w:tc>
          <w:tcPr>
            <w:tcW w:w="700" w:type="dxa"/>
            <w:vAlign w:val="bottom"/>
          </w:tcPr>
          <w:p w:rsidR="00F92819" w:rsidRDefault="00F92819">
            <w:pPr>
              <w:spacing w:before="40" w:after="40" w:line="220" w:lineRule="exact"/>
              <w:jc w:val="right"/>
              <w:rPr>
                <w:sz w:val="18"/>
                <w:szCs w:val="24"/>
              </w:rPr>
            </w:pPr>
            <w:r>
              <w:rPr>
                <w:sz w:val="18"/>
                <w:szCs w:val="24"/>
              </w:rPr>
              <w:t>14,2</w:t>
            </w:r>
          </w:p>
        </w:tc>
        <w:tc>
          <w:tcPr>
            <w:tcW w:w="600" w:type="dxa"/>
            <w:vAlign w:val="bottom"/>
          </w:tcPr>
          <w:p w:rsidR="00F92819" w:rsidRDefault="00F92819">
            <w:pPr>
              <w:spacing w:before="40" w:after="40" w:line="220" w:lineRule="exact"/>
              <w:jc w:val="right"/>
              <w:rPr>
                <w:sz w:val="18"/>
                <w:szCs w:val="24"/>
              </w:rPr>
            </w:pPr>
            <w:r>
              <w:rPr>
                <w:sz w:val="18"/>
                <w:szCs w:val="24"/>
              </w:rPr>
              <w:t>29,1</w:t>
            </w:r>
          </w:p>
        </w:tc>
        <w:tc>
          <w:tcPr>
            <w:tcW w:w="700" w:type="dxa"/>
            <w:vAlign w:val="bottom"/>
          </w:tcPr>
          <w:p w:rsidR="00F92819" w:rsidRDefault="00F92819">
            <w:pPr>
              <w:spacing w:before="40" w:after="40" w:line="220" w:lineRule="exact"/>
              <w:jc w:val="right"/>
              <w:rPr>
                <w:sz w:val="18"/>
                <w:szCs w:val="24"/>
              </w:rPr>
            </w:pPr>
            <w:r>
              <w:rPr>
                <w:sz w:val="18"/>
                <w:szCs w:val="24"/>
              </w:rPr>
              <w:t>34,3</w:t>
            </w:r>
          </w:p>
        </w:tc>
        <w:tc>
          <w:tcPr>
            <w:tcW w:w="700" w:type="dxa"/>
            <w:vAlign w:val="bottom"/>
          </w:tcPr>
          <w:p w:rsidR="00F92819" w:rsidRDefault="00F92819">
            <w:pPr>
              <w:spacing w:before="40" w:after="40" w:line="220" w:lineRule="exact"/>
              <w:jc w:val="right"/>
              <w:rPr>
                <w:sz w:val="18"/>
                <w:szCs w:val="24"/>
              </w:rPr>
            </w:pPr>
            <w:r>
              <w:rPr>
                <w:sz w:val="18"/>
                <w:szCs w:val="24"/>
              </w:rPr>
              <w:t>29,5</w:t>
            </w:r>
          </w:p>
        </w:tc>
        <w:tc>
          <w:tcPr>
            <w:tcW w:w="700" w:type="dxa"/>
            <w:vAlign w:val="bottom"/>
          </w:tcPr>
          <w:p w:rsidR="00F92819" w:rsidRDefault="00F92819">
            <w:pPr>
              <w:spacing w:before="40" w:after="40" w:line="220" w:lineRule="exact"/>
              <w:jc w:val="right"/>
              <w:rPr>
                <w:sz w:val="18"/>
                <w:szCs w:val="24"/>
              </w:rPr>
            </w:pPr>
            <w:r>
              <w:rPr>
                <w:sz w:val="18"/>
                <w:szCs w:val="24"/>
              </w:rPr>
              <w:t>4,8</w:t>
            </w:r>
          </w:p>
        </w:tc>
        <w:tc>
          <w:tcPr>
            <w:tcW w:w="700" w:type="dxa"/>
            <w:vAlign w:val="bottom"/>
          </w:tcPr>
          <w:p w:rsidR="00F92819" w:rsidRDefault="00F92819">
            <w:pPr>
              <w:spacing w:before="40" w:after="40" w:line="220" w:lineRule="exact"/>
              <w:jc w:val="right"/>
              <w:rPr>
                <w:sz w:val="18"/>
                <w:szCs w:val="24"/>
              </w:rPr>
            </w:pPr>
            <w:r>
              <w:rPr>
                <w:sz w:val="18"/>
                <w:szCs w:val="24"/>
              </w:rPr>
              <w:t>1,8</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0,4</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418,7</w:t>
            </w:r>
          </w:p>
        </w:tc>
      </w:tr>
      <w:tr w:rsidR="00F92819">
        <w:tc>
          <w:tcPr>
            <w:tcW w:w="1766" w:type="dxa"/>
            <w:vAlign w:val="bottom"/>
          </w:tcPr>
          <w:p w:rsidR="00F92819" w:rsidRDefault="00F92819">
            <w:pPr>
              <w:spacing w:before="40" w:after="40" w:line="220" w:lineRule="exact"/>
              <w:rPr>
                <w:szCs w:val="24"/>
              </w:rPr>
            </w:pPr>
            <w:r>
              <w:rPr>
                <w:sz w:val="18"/>
                <w:szCs w:val="24"/>
              </w:rPr>
              <w:t>35</w:t>
            </w:r>
            <w:r w:rsidR="008C04D7">
              <w:rPr>
                <w:sz w:val="18"/>
                <w:szCs w:val="24"/>
              </w:rPr>
              <w:t xml:space="preserve"> a </w:t>
            </w:r>
            <w:r>
              <w:rPr>
                <w:sz w:val="18"/>
                <w:szCs w:val="24"/>
              </w:rPr>
              <w:t>44</w:t>
            </w:r>
          </w:p>
        </w:tc>
        <w:tc>
          <w:tcPr>
            <w:tcW w:w="700" w:type="dxa"/>
            <w:vAlign w:val="bottom"/>
          </w:tcPr>
          <w:p w:rsidR="00F92819" w:rsidRDefault="00F92819">
            <w:pPr>
              <w:spacing w:before="40" w:after="40" w:line="220" w:lineRule="exact"/>
              <w:jc w:val="right"/>
              <w:rPr>
                <w:sz w:val="18"/>
                <w:szCs w:val="24"/>
              </w:rPr>
            </w:pPr>
            <w:r>
              <w:rPr>
                <w:sz w:val="18"/>
                <w:szCs w:val="24"/>
              </w:rPr>
              <w:t>14</w:t>
            </w:r>
          </w:p>
        </w:tc>
        <w:tc>
          <w:tcPr>
            <w:tcW w:w="600" w:type="dxa"/>
            <w:vAlign w:val="bottom"/>
          </w:tcPr>
          <w:p w:rsidR="00F92819" w:rsidRDefault="00F92819">
            <w:pPr>
              <w:spacing w:before="40" w:after="40" w:line="220" w:lineRule="exact"/>
              <w:jc w:val="right"/>
              <w:rPr>
                <w:sz w:val="18"/>
                <w:szCs w:val="24"/>
              </w:rPr>
            </w:pPr>
            <w:r>
              <w:rPr>
                <w:sz w:val="18"/>
                <w:szCs w:val="24"/>
              </w:rPr>
              <w:t>33</w:t>
            </w:r>
          </w:p>
        </w:tc>
        <w:tc>
          <w:tcPr>
            <w:tcW w:w="700" w:type="dxa"/>
            <w:vAlign w:val="bottom"/>
          </w:tcPr>
          <w:p w:rsidR="00F92819" w:rsidRDefault="00F92819">
            <w:pPr>
              <w:spacing w:before="40" w:after="40" w:line="220" w:lineRule="exact"/>
              <w:jc w:val="right"/>
              <w:rPr>
                <w:sz w:val="18"/>
                <w:szCs w:val="24"/>
              </w:rPr>
            </w:pPr>
            <w:r>
              <w:rPr>
                <w:sz w:val="18"/>
                <w:szCs w:val="24"/>
              </w:rPr>
              <w:t>25,4</w:t>
            </w:r>
          </w:p>
        </w:tc>
        <w:tc>
          <w:tcPr>
            <w:tcW w:w="700" w:type="dxa"/>
            <w:vAlign w:val="bottom"/>
          </w:tcPr>
          <w:p w:rsidR="00F92819" w:rsidRDefault="00F92819">
            <w:pPr>
              <w:spacing w:before="40" w:after="40" w:line="220" w:lineRule="exact"/>
              <w:jc w:val="right"/>
              <w:rPr>
                <w:sz w:val="18"/>
                <w:szCs w:val="24"/>
              </w:rPr>
            </w:pPr>
            <w:r>
              <w:rPr>
                <w:sz w:val="18"/>
                <w:szCs w:val="24"/>
              </w:rPr>
              <w:t>33,6</w:t>
            </w:r>
          </w:p>
        </w:tc>
        <w:tc>
          <w:tcPr>
            <w:tcW w:w="700" w:type="dxa"/>
            <w:vAlign w:val="bottom"/>
          </w:tcPr>
          <w:p w:rsidR="00F92819" w:rsidRDefault="00F92819">
            <w:pPr>
              <w:spacing w:before="40" w:after="40" w:line="220" w:lineRule="exact"/>
              <w:jc w:val="right"/>
              <w:rPr>
                <w:sz w:val="18"/>
                <w:szCs w:val="24"/>
              </w:rPr>
            </w:pPr>
            <w:r>
              <w:rPr>
                <w:sz w:val="18"/>
                <w:szCs w:val="24"/>
              </w:rPr>
              <w:t>5,2</w:t>
            </w:r>
          </w:p>
        </w:tc>
        <w:tc>
          <w:tcPr>
            <w:tcW w:w="700" w:type="dxa"/>
            <w:vAlign w:val="bottom"/>
          </w:tcPr>
          <w:p w:rsidR="00F92819" w:rsidRDefault="00F92819">
            <w:pPr>
              <w:spacing w:before="40" w:after="40" w:line="220" w:lineRule="exact"/>
              <w:jc w:val="right"/>
              <w:rPr>
                <w:sz w:val="18"/>
                <w:szCs w:val="24"/>
              </w:rPr>
            </w:pPr>
            <w:r>
              <w:rPr>
                <w:sz w:val="18"/>
                <w:szCs w:val="24"/>
              </w:rPr>
              <w:t>1,8</w:t>
            </w:r>
          </w:p>
        </w:tc>
        <w:tc>
          <w:tcPr>
            <w:tcW w:w="600" w:type="dxa"/>
            <w:vAlign w:val="bottom"/>
          </w:tcPr>
          <w:p w:rsidR="00F92819" w:rsidRDefault="00F92819">
            <w:pPr>
              <w:spacing w:before="40" w:after="40" w:line="220" w:lineRule="exact"/>
              <w:jc w:val="right"/>
              <w:rPr>
                <w:sz w:val="18"/>
                <w:szCs w:val="24"/>
              </w:rPr>
            </w:pPr>
            <w:r>
              <w:rPr>
                <w:sz w:val="18"/>
                <w:szCs w:val="24"/>
              </w:rPr>
              <w:t>0,3</w:t>
            </w:r>
          </w:p>
        </w:tc>
        <w:tc>
          <w:tcPr>
            <w:tcW w:w="600" w:type="dxa"/>
            <w:gridSpan w:val="2"/>
            <w:vAlign w:val="bottom"/>
          </w:tcPr>
          <w:p w:rsidR="00F92819" w:rsidRDefault="00F92819">
            <w:pPr>
              <w:spacing w:before="40" w:after="40" w:line="220" w:lineRule="exact"/>
              <w:jc w:val="right"/>
              <w:rPr>
                <w:sz w:val="18"/>
                <w:szCs w:val="24"/>
              </w:rPr>
            </w:pPr>
            <w:r>
              <w:rPr>
                <w:sz w:val="18"/>
                <w:szCs w:val="24"/>
              </w:rPr>
              <w:t>0,7</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325,6</w:t>
            </w:r>
          </w:p>
        </w:tc>
      </w:tr>
      <w:tr w:rsidR="00F92819">
        <w:tc>
          <w:tcPr>
            <w:tcW w:w="1766" w:type="dxa"/>
            <w:vAlign w:val="bottom"/>
          </w:tcPr>
          <w:p w:rsidR="00F92819" w:rsidRDefault="00F92819">
            <w:pPr>
              <w:spacing w:before="40" w:after="40" w:line="220" w:lineRule="exact"/>
              <w:rPr>
                <w:szCs w:val="24"/>
              </w:rPr>
            </w:pPr>
            <w:r>
              <w:rPr>
                <w:sz w:val="18"/>
                <w:szCs w:val="24"/>
              </w:rPr>
              <w:t>45</w:t>
            </w:r>
            <w:r w:rsidR="008C04D7">
              <w:rPr>
                <w:sz w:val="18"/>
                <w:szCs w:val="24"/>
              </w:rPr>
              <w:t xml:space="preserve"> a </w:t>
            </w:r>
            <w:r>
              <w:rPr>
                <w:sz w:val="18"/>
                <w:szCs w:val="24"/>
              </w:rPr>
              <w:t>54</w:t>
            </w:r>
          </w:p>
        </w:tc>
        <w:tc>
          <w:tcPr>
            <w:tcW w:w="700" w:type="dxa"/>
            <w:vAlign w:val="bottom"/>
          </w:tcPr>
          <w:p w:rsidR="00F92819" w:rsidRDefault="00F92819">
            <w:pPr>
              <w:spacing w:before="40" w:after="40" w:line="220" w:lineRule="exact"/>
              <w:jc w:val="right"/>
              <w:rPr>
                <w:sz w:val="18"/>
                <w:szCs w:val="24"/>
              </w:rPr>
            </w:pPr>
            <w:r>
              <w:rPr>
                <w:sz w:val="18"/>
                <w:szCs w:val="24"/>
              </w:rPr>
              <w:t>13,3</w:t>
            </w:r>
          </w:p>
        </w:tc>
        <w:tc>
          <w:tcPr>
            <w:tcW w:w="600" w:type="dxa"/>
            <w:vAlign w:val="bottom"/>
          </w:tcPr>
          <w:p w:rsidR="00F92819" w:rsidRDefault="00F92819">
            <w:pPr>
              <w:spacing w:before="40" w:after="40" w:line="220" w:lineRule="exact"/>
              <w:jc w:val="right"/>
              <w:rPr>
                <w:sz w:val="18"/>
                <w:szCs w:val="24"/>
              </w:rPr>
            </w:pPr>
            <w:r>
              <w:rPr>
                <w:sz w:val="18"/>
                <w:szCs w:val="24"/>
              </w:rPr>
              <w:t>28,3</w:t>
            </w:r>
          </w:p>
        </w:tc>
        <w:tc>
          <w:tcPr>
            <w:tcW w:w="700" w:type="dxa"/>
            <w:vAlign w:val="bottom"/>
          </w:tcPr>
          <w:p w:rsidR="00F92819" w:rsidRDefault="00F92819">
            <w:pPr>
              <w:spacing w:before="40" w:after="40" w:line="220" w:lineRule="exact"/>
              <w:jc w:val="right"/>
              <w:rPr>
                <w:sz w:val="18"/>
                <w:szCs w:val="24"/>
              </w:rPr>
            </w:pPr>
            <w:r>
              <w:rPr>
                <w:sz w:val="18"/>
                <w:szCs w:val="24"/>
              </w:rPr>
              <w:t>24</w:t>
            </w:r>
          </w:p>
        </w:tc>
        <w:tc>
          <w:tcPr>
            <w:tcW w:w="700" w:type="dxa"/>
            <w:vAlign w:val="bottom"/>
          </w:tcPr>
          <w:p w:rsidR="00F92819" w:rsidRDefault="00F92819">
            <w:pPr>
              <w:spacing w:before="40" w:after="40" w:line="220" w:lineRule="exact"/>
              <w:jc w:val="right"/>
              <w:rPr>
                <w:sz w:val="18"/>
                <w:szCs w:val="24"/>
              </w:rPr>
            </w:pPr>
            <w:r>
              <w:rPr>
                <w:sz w:val="18"/>
                <w:szCs w:val="24"/>
              </w:rPr>
              <w:t>32,3</w:t>
            </w:r>
          </w:p>
        </w:tc>
        <w:tc>
          <w:tcPr>
            <w:tcW w:w="700" w:type="dxa"/>
            <w:vAlign w:val="bottom"/>
          </w:tcPr>
          <w:p w:rsidR="00F92819" w:rsidRDefault="00F92819">
            <w:pPr>
              <w:spacing w:before="40" w:after="40" w:line="220" w:lineRule="exact"/>
              <w:jc w:val="right"/>
              <w:rPr>
                <w:sz w:val="18"/>
                <w:szCs w:val="24"/>
              </w:rPr>
            </w:pPr>
            <w:r>
              <w:rPr>
                <w:sz w:val="18"/>
                <w:szCs w:val="24"/>
              </w:rPr>
              <w:t>9,3</w:t>
            </w:r>
          </w:p>
        </w:tc>
        <w:tc>
          <w:tcPr>
            <w:tcW w:w="700" w:type="dxa"/>
            <w:vAlign w:val="bottom"/>
          </w:tcPr>
          <w:p w:rsidR="00F92819" w:rsidRDefault="00F92819">
            <w:pPr>
              <w:spacing w:before="40" w:after="40" w:line="220" w:lineRule="exact"/>
              <w:jc w:val="right"/>
              <w:rPr>
                <w:sz w:val="18"/>
                <w:szCs w:val="24"/>
              </w:rPr>
            </w:pPr>
            <w:r>
              <w:rPr>
                <w:sz w:val="18"/>
                <w:szCs w:val="24"/>
              </w:rPr>
              <w:t>5</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0,9</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302,9</w:t>
            </w:r>
          </w:p>
        </w:tc>
      </w:tr>
      <w:tr w:rsidR="00F92819">
        <w:tc>
          <w:tcPr>
            <w:tcW w:w="1766" w:type="dxa"/>
            <w:vAlign w:val="bottom"/>
          </w:tcPr>
          <w:p w:rsidR="00F92819" w:rsidRDefault="00F92819">
            <w:pPr>
              <w:spacing w:before="40" w:after="40" w:line="220" w:lineRule="exact"/>
              <w:rPr>
                <w:szCs w:val="24"/>
              </w:rPr>
            </w:pPr>
            <w:r>
              <w:rPr>
                <w:sz w:val="18"/>
                <w:szCs w:val="24"/>
              </w:rPr>
              <w:t>55</w:t>
            </w:r>
            <w:r w:rsidR="008C04D7">
              <w:rPr>
                <w:sz w:val="18"/>
                <w:szCs w:val="24"/>
              </w:rPr>
              <w:t xml:space="preserve"> a </w:t>
            </w:r>
            <w:r>
              <w:rPr>
                <w:sz w:val="18"/>
                <w:szCs w:val="24"/>
              </w:rPr>
              <w:t>64</w:t>
            </w:r>
          </w:p>
        </w:tc>
        <w:tc>
          <w:tcPr>
            <w:tcW w:w="700" w:type="dxa"/>
            <w:vAlign w:val="bottom"/>
          </w:tcPr>
          <w:p w:rsidR="00F92819" w:rsidRDefault="00F92819">
            <w:pPr>
              <w:spacing w:before="40" w:after="40" w:line="220" w:lineRule="exact"/>
              <w:jc w:val="right"/>
              <w:rPr>
                <w:sz w:val="18"/>
                <w:szCs w:val="24"/>
              </w:rPr>
            </w:pPr>
            <w:r>
              <w:rPr>
                <w:sz w:val="18"/>
                <w:szCs w:val="24"/>
              </w:rPr>
              <w:t>13,3</w:t>
            </w:r>
          </w:p>
        </w:tc>
        <w:tc>
          <w:tcPr>
            <w:tcW w:w="600" w:type="dxa"/>
            <w:vAlign w:val="bottom"/>
          </w:tcPr>
          <w:p w:rsidR="00F92819" w:rsidRDefault="00F92819">
            <w:pPr>
              <w:spacing w:before="40" w:after="40" w:line="220" w:lineRule="exact"/>
              <w:jc w:val="right"/>
              <w:rPr>
                <w:sz w:val="18"/>
                <w:szCs w:val="24"/>
              </w:rPr>
            </w:pPr>
            <w:r>
              <w:rPr>
                <w:sz w:val="18"/>
                <w:szCs w:val="24"/>
              </w:rPr>
              <w:t>29,5</w:t>
            </w:r>
          </w:p>
        </w:tc>
        <w:tc>
          <w:tcPr>
            <w:tcW w:w="700" w:type="dxa"/>
            <w:vAlign w:val="bottom"/>
          </w:tcPr>
          <w:p w:rsidR="00F92819" w:rsidRDefault="00F92819">
            <w:pPr>
              <w:spacing w:before="40" w:after="40" w:line="220" w:lineRule="exact"/>
              <w:jc w:val="right"/>
              <w:rPr>
                <w:sz w:val="18"/>
                <w:szCs w:val="24"/>
              </w:rPr>
            </w:pPr>
            <w:r>
              <w:rPr>
                <w:sz w:val="18"/>
                <w:szCs w:val="24"/>
              </w:rPr>
              <w:t>22,3</w:t>
            </w:r>
          </w:p>
        </w:tc>
        <w:tc>
          <w:tcPr>
            <w:tcW w:w="700" w:type="dxa"/>
            <w:vAlign w:val="bottom"/>
          </w:tcPr>
          <w:p w:rsidR="00F92819" w:rsidRDefault="00F92819">
            <w:pPr>
              <w:spacing w:before="40" w:after="40" w:line="220" w:lineRule="exact"/>
              <w:jc w:val="right"/>
              <w:rPr>
                <w:sz w:val="18"/>
                <w:szCs w:val="24"/>
              </w:rPr>
            </w:pPr>
            <w:r>
              <w:rPr>
                <w:sz w:val="18"/>
                <w:szCs w:val="24"/>
              </w:rPr>
              <w:t>26,7</w:t>
            </w:r>
          </w:p>
        </w:tc>
        <w:tc>
          <w:tcPr>
            <w:tcW w:w="700" w:type="dxa"/>
            <w:vAlign w:val="bottom"/>
          </w:tcPr>
          <w:p w:rsidR="00F92819" w:rsidRDefault="00F92819">
            <w:pPr>
              <w:spacing w:before="40" w:after="40" w:line="220" w:lineRule="exact"/>
              <w:jc w:val="right"/>
              <w:rPr>
                <w:sz w:val="18"/>
                <w:szCs w:val="24"/>
              </w:rPr>
            </w:pPr>
            <w:r>
              <w:rPr>
                <w:sz w:val="18"/>
                <w:szCs w:val="24"/>
              </w:rPr>
              <w:t>10,3</w:t>
            </w:r>
          </w:p>
        </w:tc>
        <w:tc>
          <w:tcPr>
            <w:tcW w:w="700" w:type="dxa"/>
            <w:vAlign w:val="bottom"/>
          </w:tcPr>
          <w:p w:rsidR="00F92819" w:rsidRDefault="00F92819">
            <w:pPr>
              <w:spacing w:before="40" w:after="40" w:line="220" w:lineRule="exact"/>
              <w:jc w:val="right"/>
              <w:rPr>
                <w:sz w:val="18"/>
                <w:szCs w:val="24"/>
              </w:rPr>
            </w:pPr>
            <w:r>
              <w:rPr>
                <w:sz w:val="18"/>
                <w:szCs w:val="24"/>
              </w:rPr>
              <w:t>9,4</w:t>
            </w:r>
          </w:p>
        </w:tc>
        <w:tc>
          <w:tcPr>
            <w:tcW w:w="600" w:type="dxa"/>
            <w:vAlign w:val="bottom"/>
          </w:tcPr>
          <w:p w:rsidR="00F92819" w:rsidRDefault="00F92819">
            <w:pPr>
              <w:spacing w:before="40" w:after="40" w:line="220" w:lineRule="exact"/>
              <w:jc w:val="right"/>
              <w:rPr>
                <w:sz w:val="18"/>
                <w:szCs w:val="24"/>
              </w:rPr>
            </w:pPr>
            <w:r>
              <w:rPr>
                <w:sz w:val="18"/>
                <w:szCs w:val="24"/>
              </w:rPr>
              <w:t>0,6</w:t>
            </w:r>
          </w:p>
        </w:tc>
        <w:tc>
          <w:tcPr>
            <w:tcW w:w="600" w:type="dxa"/>
            <w:gridSpan w:val="2"/>
            <w:vAlign w:val="bottom"/>
          </w:tcPr>
          <w:p w:rsidR="00F92819" w:rsidRDefault="00F92819">
            <w:pPr>
              <w:spacing w:before="40" w:after="40" w:line="220" w:lineRule="exact"/>
              <w:jc w:val="right"/>
              <w:rPr>
                <w:sz w:val="18"/>
                <w:szCs w:val="24"/>
              </w:rPr>
            </w:pPr>
            <w:r>
              <w:rPr>
                <w:sz w:val="18"/>
                <w:szCs w:val="24"/>
              </w:rPr>
              <w:t>1,1</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251,9</w:t>
            </w:r>
          </w:p>
        </w:tc>
      </w:tr>
      <w:tr w:rsidR="00F92819">
        <w:tc>
          <w:tcPr>
            <w:tcW w:w="1766" w:type="dxa"/>
            <w:tcBorders>
              <w:bottom w:val="single" w:sz="4" w:space="0" w:color="auto"/>
            </w:tcBorders>
            <w:vAlign w:val="bottom"/>
          </w:tcPr>
          <w:p w:rsidR="00F92819" w:rsidRDefault="00F92819">
            <w:pPr>
              <w:spacing w:before="40" w:after="40" w:line="220" w:lineRule="exact"/>
              <w:rPr>
                <w:sz w:val="18"/>
                <w:szCs w:val="24"/>
              </w:rPr>
            </w:pPr>
            <w:r>
              <w:rPr>
                <w:sz w:val="18"/>
                <w:szCs w:val="24"/>
              </w:rPr>
              <w:t>65+</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12</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20,8</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17,9</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22</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10,5</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20,1</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3,6</w:t>
            </w:r>
          </w:p>
        </w:tc>
        <w:tc>
          <w:tcPr>
            <w:tcW w:w="600" w:type="dxa"/>
            <w:gridSpan w:val="2"/>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5</w:t>
            </w:r>
          </w:p>
        </w:tc>
        <w:tc>
          <w:tcPr>
            <w:tcW w:w="489" w:type="dxa"/>
            <w:tcBorders>
              <w:bottom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273</w:t>
            </w:r>
          </w:p>
        </w:tc>
      </w:tr>
      <w:tr w:rsidR="00F92819">
        <w:tc>
          <w:tcPr>
            <w:tcW w:w="1766" w:type="dxa"/>
            <w:tcBorders>
              <w:top w:val="single" w:sz="4" w:space="0" w:color="auto"/>
              <w:bottom w:val="single" w:sz="4" w:space="0" w:color="auto"/>
            </w:tcBorders>
            <w:vAlign w:val="bottom"/>
          </w:tcPr>
          <w:p w:rsidR="00F92819" w:rsidRDefault="00DE3F4D">
            <w:pPr>
              <w:spacing w:before="80" w:after="80" w:line="220" w:lineRule="exact"/>
              <w:ind w:firstLine="284"/>
              <w:rPr>
                <w:szCs w:val="24"/>
              </w:rPr>
            </w:pPr>
            <w:r>
              <w:rPr>
                <w:b/>
                <w:sz w:val="18"/>
                <w:szCs w:val="24"/>
                <w:lang w:val="es-ES_tradnl"/>
              </w:rPr>
              <w:t>Mujeres –</w:t>
            </w:r>
            <w:r w:rsidR="00F92819">
              <w:rPr>
                <w:b/>
                <w:sz w:val="18"/>
                <w:szCs w:val="24"/>
                <w:lang w:val="es-ES_tradnl"/>
              </w:rPr>
              <w:t xml:space="preserve"> Total</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12,9</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22,6</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25,3</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34,2</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8,4</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6,1</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0,9</w:t>
            </w:r>
          </w:p>
        </w:tc>
        <w:tc>
          <w:tcPr>
            <w:tcW w:w="600" w:type="dxa"/>
            <w:gridSpan w:val="2"/>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2,5</w:t>
            </w:r>
          </w:p>
        </w:tc>
        <w:tc>
          <w:tcPr>
            <w:tcW w:w="48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100</w:t>
            </w:r>
          </w:p>
        </w:tc>
        <w:tc>
          <w:tcPr>
            <w:tcW w:w="85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2 151,3</w:t>
            </w:r>
          </w:p>
        </w:tc>
      </w:tr>
      <w:tr w:rsidR="00F92819">
        <w:tc>
          <w:tcPr>
            <w:tcW w:w="1766" w:type="dxa"/>
            <w:tcBorders>
              <w:top w:val="single" w:sz="4" w:space="0" w:color="auto"/>
            </w:tcBorders>
            <w:vAlign w:val="bottom"/>
          </w:tcPr>
          <w:p w:rsidR="00F92819" w:rsidRDefault="00F92819">
            <w:pPr>
              <w:spacing w:before="40" w:after="40" w:line="220" w:lineRule="exact"/>
              <w:rPr>
                <w:szCs w:val="24"/>
              </w:rPr>
            </w:pPr>
            <w:r>
              <w:rPr>
                <w:sz w:val="18"/>
                <w:szCs w:val="24"/>
              </w:rPr>
              <w:t>15</w:t>
            </w:r>
            <w:r w:rsidR="008C04D7">
              <w:rPr>
                <w:sz w:val="18"/>
                <w:szCs w:val="24"/>
              </w:rPr>
              <w:t xml:space="preserve"> a </w:t>
            </w:r>
            <w:r>
              <w:rPr>
                <w:sz w:val="18"/>
                <w:szCs w:val="24"/>
              </w:rPr>
              <w:t>17</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11,2</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54,5</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44,1</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1,1</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00" w:type="dxa"/>
            <w:gridSpan w:val="2"/>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489"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124,8</w:t>
            </w:r>
          </w:p>
        </w:tc>
      </w:tr>
      <w:tr w:rsidR="00F92819">
        <w:tc>
          <w:tcPr>
            <w:tcW w:w="1766" w:type="dxa"/>
            <w:vAlign w:val="bottom"/>
          </w:tcPr>
          <w:p w:rsidR="00F92819" w:rsidRDefault="00F92819">
            <w:pPr>
              <w:spacing w:before="40" w:after="40" w:line="220" w:lineRule="exact"/>
              <w:rPr>
                <w:szCs w:val="24"/>
              </w:rPr>
            </w:pPr>
            <w:r>
              <w:rPr>
                <w:sz w:val="18"/>
                <w:szCs w:val="24"/>
              </w:rPr>
              <w:t>18</w:t>
            </w:r>
            <w:r w:rsidR="008C04D7">
              <w:rPr>
                <w:sz w:val="18"/>
                <w:szCs w:val="24"/>
              </w:rPr>
              <w:t xml:space="preserve"> a </w:t>
            </w:r>
            <w:r>
              <w:rPr>
                <w:sz w:val="18"/>
                <w:szCs w:val="24"/>
              </w:rPr>
              <w:t>24</w:t>
            </w:r>
          </w:p>
        </w:tc>
        <w:tc>
          <w:tcPr>
            <w:tcW w:w="700" w:type="dxa"/>
            <w:vAlign w:val="bottom"/>
          </w:tcPr>
          <w:p w:rsidR="00F92819" w:rsidRDefault="00F92819">
            <w:pPr>
              <w:spacing w:before="40" w:after="40" w:line="220" w:lineRule="exact"/>
              <w:jc w:val="right"/>
              <w:rPr>
                <w:sz w:val="18"/>
                <w:szCs w:val="24"/>
              </w:rPr>
            </w:pPr>
            <w:r>
              <w:rPr>
                <w:sz w:val="18"/>
                <w:szCs w:val="24"/>
              </w:rPr>
              <w:t>12,6</w:t>
            </w:r>
          </w:p>
        </w:tc>
        <w:tc>
          <w:tcPr>
            <w:tcW w:w="600" w:type="dxa"/>
            <w:vAlign w:val="bottom"/>
          </w:tcPr>
          <w:p w:rsidR="00F92819" w:rsidRDefault="00F92819">
            <w:pPr>
              <w:spacing w:before="40" w:after="40" w:line="220" w:lineRule="exact"/>
              <w:jc w:val="right"/>
              <w:rPr>
                <w:sz w:val="18"/>
                <w:szCs w:val="24"/>
              </w:rPr>
            </w:pPr>
            <w:r>
              <w:rPr>
                <w:sz w:val="18"/>
                <w:szCs w:val="24"/>
              </w:rPr>
              <w:t>3,9</w:t>
            </w:r>
          </w:p>
        </w:tc>
        <w:tc>
          <w:tcPr>
            <w:tcW w:w="700" w:type="dxa"/>
            <w:vAlign w:val="bottom"/>
          </w:tcPr>
          <w:p w:rsidR="00F92819" w:rsidRDefault="00F92819">
            <w:pPr>
              <w:spacing w:before="40" w:after="40" w:line="220" w:lineRule="exact"/>
              <w:jc w:val="right"/>
              <w:rPr>
                <w:sz w:val="18"/>
                <w:szCs w:val="24"/>
              </w:rPr>
            </w:pPr>
            <w:r>
              <w:rPr>
                <w:sz w:val="18"/>
                <w:szCs w:val="24"/>
              </w:rPr>
              <w:t>33</w:t>
            </w:r>
          </w:p>
        </w:tc>
        <w:tc>
          <w:tcPr>
            <w:tcW w:w="700" w:type="dxa"/>
            <w:vAlign w:val="bottom"/>
          </w:tcPr>
          <w:p w:rsidR="00F92819" w:rsidRDefault="00F92819">
            <w:pPr>
              <w:spacing w:before="40" w:after="40" w:line="220" w:lineRule="exact"/>
              <w:jc w:val="right"/>
              <w:rPr>
                <w:sz w:val="18"/>
                <w:szCs w:val="24"/>
              </w:rPr>
            </w:pPr>
            <w:r>
              <w:rPr>
                <w:sz w:val="18"/>
                <w:szCs w:val="24"/>
              </w:rPr>
              <w:t>60,5</w:t>
            </w:r>
          </w:p>
        </w:tc>
        <w:tc>
          <w:tcPr>
            <w:tcW w:w="700" w:type="dxa"/>
            <w:vAlign w:val="bottom"/>
          </w:tcPr>
          <w:p w:rsidR="00F92819" w:rsidRDefault="00F92819">
            <w:pPr>
              <w:spacing w:before="40" w:after="40" w:line="220" w:lineRule="exact"/>
              <w:jc w:val="right"/>
              <w:rPr>
                <w:sz w:val="18"/>
                <w:szCs w:val="24"/>
              </w:rPr>
            </w:pPr>
            <w:r>
              <w:rPr>
                <w:sz w:val="18"/>
                <w:szCs w:val="24"/>
              </w:rPr>
              <w:t>1,6</w:t>
            </w:r>
          </w:p>
        </w:tc>
        <w:tc>
          <w:tcPr>
            <w:tcW w:w="700" w:type="dxa"/>
            <w:vAlign w:val="bottom"/>
          </w:tcPr>
          <w:p w:rsidR="00F92819" w:rsidRDefault="00F92819">
            <w:pPr>
              <w:spacing w:before="40" w:after="40" w:line="220" w:lineRule="exact"/>
              <w:jc w:val="right"/>
              <w:rPr>
                <w:sz w:val="18"/>
                <w:szCs w:val="24"/>
              </w:rPr>
            </w:pPr>
            <w:r>
              <w:rPr>
                <w:sz w:val="18"/>
                <w:szCs w:val="24"/>
              </w:rPr>
              <w:t>0,5</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0,4</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300</w:t>
            </w:r>
          </w:p>
        </w:tc>
      </w:tr>
      <w:tr w:rsidR="00F92819">
        <w:tc>
          <w:tcPr>
            <w:tcW w:w="1766" w:type="dxa"/>
            <w:vAlign w:val="bottom"/>
          </w:tcPr>
          <w:p w:rsidR="00F92819" w:rsidRDefault="00F92819">
            <w:pPr>
              <w:spacing w:before="40" w:after="40" w:line="220" w:lineRule="exact"/>
              <w:rPr>
                <w:szCs w:val="24"/>
              </w:rPr>
            </w:pPr>
            <w:r>
              <w:rPr>
                <w:sz w:val="18"/>
                <w:szCs w:val="24"/>
              </w:rPr>
              <w:t>25</w:t>
            </w:r>
            <w:r w:rsidR="008C04D7">
              <w:rPr>
                <w:sz w:val="18"/>
                <w:szCs w:val="24"/>
              </w:rPr>
              <w:t xml:space="preserve"> a </w:t>
            </w:r>
            <w:r>
              <w:rPr>
                <w:sz w:val="18"/>
                <w:szCs w:val="24"/>
              </w:rPr>
              <w:t>34</w:t>
            </w:r>
          </w:p>
        </w:tc>
        <w:tc>
          <w:tcPr>
            <w:tcW w:w="700" w:type="dxa"/>
            <w:vAlign w:val="bottom"/>
          </w:tcPr>
          <w:p w:rsidR="00F92819" w:rsidRDefault="00F92819">
            <w:pPr>
              <w:spacing w:before="40" w:after="40" w:line="220" w:lineRule="exact"/>
              <w:jc w:val="right"/>
              <w:rPr>
                <w:sz w:val="18"/>
                <w:szCs w:val="24"/>
              </w:rPr>
            </w:pPr>
            <w:r>
              <w:rPr>
                <w:sz w:val="18"/>
                <w:szCs w:val="24"/>
              </w:rPr>
              <w:t>14,6</w:t>
            </w:r>
          </w:p>
        </w:tc>
        <w:tc>
          <w:tcPr>
            <w:tcW w:w="600" w:type="dxa"/>
            <w:vAlign w:val="bottom"/>
          </w:tcPr>
          <w:p w:rsidR="00F92819" w:rsidRDefault="00F92819">
            <w:pPr>
              <w:spacing w:before="40" w:after="40" w:line="220" w:lineRule="exact"/>
              <w:jc w:val="right"/>
              <w:rPr>
                <w:sz w:val="18"/>
                <w:szCs w:val="24"/>
              </w:rPr>
            </w:pPr>
            <w:r>
              <w:rPr>
                <w:sz w:val="18"/>
                <w:szCs w:val="24"/>
              </w:rPr>
              <w:t>36</w:t>
            </w:r>
          </w:p>
        </w:tc>
        <w:tc>
          <w:tcPr>
            <w:tcW w:w="700" w:type="dxa"/>
            <w:vAlign w:val="bottom"/>
          </w:tcPr>
          <w:p w:rsidR="00F92819" w:rsidRDefault="00F92819">
            <w:pPr>
              <w:spacing w:before="40" w:after="40" w:line="220" w:lineRule="exact"/>
              <w:jc w:val="right"/>
              <w:rPr>
                <w:sz w:val="18"/>
                <w:szCs w:val="24"/>
              </w:rPr>
            </w:pPr>
            <w:r>
              <w:rPr>
                <w:sz w:val="18"/>
                <w:szCs w:val="24"/>
              </w:rPr>
              <w:t>30,5</w:t>
            </w:r>
          </w:p>
        </w:tc>
        <w:tc>
          <w:tcPr>
            <w:tcW w:w="700" w:type="dxa"/>
            <w:vAlign w:val="bottom"/>
          </w:tcPr>
          <w:p w:rsidR="00F92819" w:rsidRDefault="00F92819">
            <w:pPr>
              <w:spacing w:before="40" w:after="40" w:line="220" w:lineRule="exact"/>
              <w:jc w:val="right"/>
              <w:rPr>
                <w:sz w:val="18"/>
                <w:szCs w:val="24"/>
              </w:rPr>
            </w:pPr>
            <w:r>
              <w:rPr>
                <w:sz w:val="18"/>
                <w:szCs w:val="24"/>
              </w:rPr>
              <w:t>29,3</w:t>
            </w:r>
          </w:p>
        </w:tc>
        <w:tc>
          <w:tcPr>
            <w:tcW w:w="700" w:type="dxa"/>
            <w:vAlign w:val="bottom"/>
          </w:tcPr>
          <w:p w:rsidR="00F92819" w:rsidRDefault="00F92819">
            <w:pPr>
              <w:spacing w:before="40" w:after="40" w:line="220" w:lineRule="exact"/>
              <w:jc w:val="right"/>
              <w:rPr>
                <w:sz w:val="18"/>
                <w:szCs w:val="24"/>
              </w:rPr>
            </w:pPr>
            <w:r>
              <w:rPr>
                <w:sz w:val="18"/>
                <w:szCs w:val="24"/>
              </w:rPr>
              <w:t>2,5</w:t>
            </w:r>
          </w:p>
        </w:tc>
        <w:tc>
          <w:tcPr>
            <w:tcW w:w="700" w:type="dxa"/>
            <w:vAlign w:val="bottom"/>
          </w:tcPr>
          <w:p w:rsidR="00F92819" w:rsidRDefault="00F92819">
            <w:pPr>
              <w:spacing w:before="40" w:after="40" w:line="220" w:lineRule="exact"/>
              <w:jc w:val="right"/>
              <w:rPr>
                <w:sz w:val="18"/>
                <w:szCs w:val="24"/>
              </w:rPr>
            </w:pPr>
            <w:r>
              <w:rPr>
                <w:sz w:val="18"/>
                <w:szCs w:val="24"/>
              </w:rPr>
              <w:t>0,9</w:t>
            </w:r>
          </w:p>
        </w:tc>
        <w:tc>
          <w:tcPr>
            <w:tcW w:w="600" w:type="dxa"/>
            <w:vAlign w:val="bottom"/>
          </w:tcPr>
          <w:p w:rsidR="00F92819" w:rsidRDefault="00F92819">
            <w:pPr>
              <w:spacing w:before="40" w:after="40" w:line="220" w:lineRule="exact"/>
              <w:jc w:val="right"/>
              <w:rPr>
                <w:sz w:val="18"/>
                <w:szCs w:val="24"/>
              </w:rPr>
            </w:pPr>
            <w:r>
              <w:rPr>
                <w:sz w:val="18"/>
                <w:szCs w:val="24"/>
              </w:rPr>
              <w:t>0,2</w:t>
            </w:r>
          </w:p>
        </w:tc>
        <w:tc>
          <w:tcPr>
            <w:tcW w:w="600" w:type="dxa"/>
            <w:gridSpan w:val="2"/>
            <w:vAlign w:val="bottom"/>
          </w:tcPr>
          <w:p w:rsidR="00F92819" w:rsidRDefault="00F92819">
            <w:pPr>
              <w:spacing w:before="40" w:after="40" w:line="220" w:lineRule="exact"/>
              <w:jc w:val="right"/>
              <w:rPr>
                <w:sz w:val="18"/>
                <w:szCs w:val="24"/>
              </w:rPr>
            </w:pPr>
            <w:r>
              <w:rPr>
                <w:sz w:val="18"/>
                <w:szCs w:val="24"/>
              </w:rPr>
              <w:t>0,4</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414,9</w:t>
            </w:r>
          </w:p>
        </w:tc>
      </w:tr>
      <w:tr w:rsidR="00F92819">
        <w:tc>
          <w:tcPr>
            <w:tcW w:w="1766" w:type="dxa"/>
            <w:vAlign w:val="bottom"/>
          </w:tcPr>
          <w:p w:rsidR="00F92819" w:rsidRDefault="00F92819">
            <w:pPr>
              <w:spacing w:before="40" w:after="40" w:line="220" w:lineRule="exact"/>
              <w:rPr>
                <w:szCs w:val="24"/>
              </w:rPr>
            </w:pPr>
            <w:r>
              <w:rPr>
                <w:sz w:val="18"/>
                <w:szCs w:val="24"/>
              </w:rPr>
              <w:t>35</w:t>
            </w:r>
            <w:r w:rsidR="008C04D7">
              <w:rPr>
                <w:sz w:val="18"/>
                <w:szCs w:val="24"/>
              </w:rPr>
              <w:t xml:space="preserve"> a </w:t>
            </w:r>
            <w:r>
              <w:rPr>
                <w:sz w:val="18"/>
                <w:szCs w:val="24"/>
              </w:rPr>
              <w:t>44</w:t>
            </w:r>
          </w:p>
        </w:tc>
        <w:tc>
          <w:tcPr>
            <w:tcW w:w="700" w:type="dxa"/>
            <w:vAlign w:val="bottom"/>
          </w:tcPr>
          <w:p w:rsidR="00F92819" w:rsidRDefault="00F92819">
            <w:pPr>
              <w:spacing w:before="40" w:after="40" w:line="220" w:lineRule="exact"/>
              <w:jc w:val="right"/>
              <w:rPr>
                <w:sz w:val="18"/>
                <w:szCs w:val="24"/>
              </w:rPr>
            </w:pPr>
            <w:r>
              <w:rPr>
                <w:sz w:val="18"/>
                <w:szCs w:val="24"/>
              </w:rPr>
              <w:t>14,2</w:t>
            </w:r>
          </w:p>
        </w:tc>
        <w:tc>
          <w:tcPr>
            <w:tcW w:w="600" w:type="dxa"/>
            <w:vAlign w:val="bottom"/>
          </w:tcPr>
          <w:p w:rsidR="00F92819" w:rsidRDefault="00F92819">
            <w:pPr>
              <w:spacing w:before="40" w:after="40" w:line="220" w:lineRule="exact"/>
              <w:jc w:val="right"/>
              <w:rPr>
                <w:sz w:val="18"/>
                <w:szCs w:val="24"/>
              </w:rPr>
            </w:pPr>
            <w:r>
              <w:rPr>
                <w:sz w:val="18"/>
                <w:szCs w:val="24"/>
              </w:rPr>
              <w:t>34,1</w:t>
            </w:r>
          </w:p>
        </w:tc>
        <w:tc>
          <w:tcPr>
            <w:tcW w:w="700" w:type="dxa"/>
            <w:vAlign w:val="bottom"/>
          </w:tcPr>
          <w:p w:rsidR="00F92819" w:rsidRDefault="00F92819">
            <w:pPr>
              <w:spacing w:before="40" w:after="40" w:line="220" w:lineRule="exact"/>
              <w:jc w:val="right"/>
              <w:rPr>
                <w:sz w:val="18"/>
                <w:szCs w:val="24"/>
              </w:rPr>
            </w:pPr>
            <w:r>
              <w:rPr>
                <w:sz w:val="18"/>
                <w:szCs w:val="24"/>
              </w:rPr>
              <w:t>26,3</w:t>
            </w:r>
          </w:p>
        </w:tc>
        <w:tc>
          <w:tcPr>
            <w:tcW w:w="700" w:type="dxa"/>
            <w:vAlign w:val="bottom"/>
          </w:tcPr>
          <w:p w:rsidR="00F92819" w:rsidRDefault="00F92819">
            <w:pPr>
              <w:spacing w:before="40" w:after="40" w:line="220" w:lineRule="exact"/>
              <w:jc w:val="right"/>
              <w:rPr>
                <w:sz w:val="18"/>
                <w:szCs w:val="24"/>
              </w:rPr>
            </w:pPr>
            <w:r>
              <w:rPr>
                <w:sz w:val="18"/>
                <w:szCs w:val="24"/>
              </w:rPr>
              <w:t>33,6</w:t>
            </w:r>
          </w:p>
        </w:tc>
        <w:tc>
          <w:tcPr>
            <w:tcW w:w="700" w:type="dxa"/>
            <w:vAlign w:val="bottom"/>
          </w:tcPr>
          <w:p w:rsidR="00F92819" w:rsidRDefault="00F92819">
            <w:pPr>
              <w:spacing w:before="40" w:after="40" w:line="220" w:lineRule="exact"/>
              <w:jc w:val="right"/>
              <w:rPr>
                <w:sz w:val="18"/>
                <w:szCs w:val="24"/>
              </w:rPr>
            </w:pPr>
            <w:r>
              <w:rPr>
                <w:sz w:val="18"/>
                <w:szCs w:val="24"/>
              </w:rPr>
              <w:t>3,8</w:t>
            </w:r>
          </w:p>
        </w:tc>
        <w:tc>
          <w:tcPr>
            <w:tcW w:w="700" w:type="dxa"/>
            <w:vAlign w:val="bottom"/>
          </w:tcPr>
          <w:p w:rsidR="00F92819" w:rsidRDefault="00F92819">
            <w:pPr>
              <w:spacing w:before="40" w:after="40" w:line="220" w:lineRule="exact"/>
              <w:jc w:val="right"/>
              <w:rPr>
                <w:sz w:val="18"/>
                <w:szCs w:val="24"/>
              </w:rPr>
            </w:pPr>
            <w:r>
              <w:rPr>
                <w:sz w:val="18"/>
                <w:szCs w:val="24"/>
              </w:rPr>
              <w:t>1,1</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1</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335,3</w:t>
            </w:r>
          </w:p>
        </w:tc>
      </w:tr>
      <w:tr w:rsidR="00F92819">
        <w:tc>
          <w:tcPr>
            <w:tcW w:w="1766" w:type="dxa"/>
            <w:vAlign w:val="bottom"/>
          </w:tcPr>
          <w:p w:rsidR="00F92819" w:rsidRDefault="00F92819">
            <w:pPr>
              <w:spacing w:before="40" w:after="40" w:line="220" w:lineRule="exact"/>
              <w:rPr>
                <w:szCs w:val="24"/>
              </w:rPr>
            </w:pPr>
            <w:r>
              <w:rPr>
                <w:sz w:val="18"/>
                <w:szCs w:val="24"/>
              </w:rPr>
              <w:t>45</w:t>
            </w:r>
            <w:r w:rsidR="008C04D7">
              <w:rPr>
                <w:sz w:val="18"/>
                <w:szCs w:val="24"/>
              </w:rPr>
              <w:t xml:space="preserve"> a </w:t>
            </w:r>
            <w:r>
              <w:rPr>
                <w:sz w:val="18"/>
                <w:szCs w:val="24"/>
              </w:rPr>
              <w:t>54</w:t>
            </w:r>
          </w:p>
        </w:tc>
        <w:tc>
          <w:tcPr>
            <w:tcW w:w="700" w:type="dxa"/>
            <w:vAlign w:val="bottom"/>
          </w:tcPr>
          <w:p w:rsidR="00F92819" w:rsidRDefault="00F92819">
            <w:pPr>
              <w:spacing w:before="40" w:after="40" w:line="220" w:lineRule="exact"/>
              <w:jc w:val="right"/>
              <w:rPr>
                <w:sz w:val="18"/>
                <w:szCs w:val="24"/>
              </w:rPr>
            </w:pPr>
            <w:r>
              <w:rPr>
                <w:sz w:val="18"/>
                <w:szCs w:val="24"/>
              </w:rPr>
              <w:t>13,5</w:t>
            </w:r>
          </w:p>
        </w:tc>
        <w:tc>
          <w:tcPr>
            <w:tcW w:w="600" w:type="dxa"/>
            <w:vAlign w:val="bottom"/>
          </w:tcPr>
          <w:p w:rsidR="00F92819" w:rsidRDefault="00F92819">
            <w:pPr>
              <w:spacing w:before="40" w:after="40" w:line="220" w:lineRule="exact"/>
              <w:jc w:val="right"/>
              <w:rPr>
                <w:sz w:val="18"/>
                <w:szCs w:val="24"/>
              </w:rPr>
            </w:pPr>
            <w:r>
              <w:rPr>
                <w:sz w:val="18"/>
                <w:szCs w:val="24"/>
              </w:rPr>
              <w:t>28,2</w:t>
            </w:r>
          </w:p>
        </w:tc>
        <w:tc>
          <w:tcPr>
            <w:tcW w:w="700" w:type="dxa"/>
            <w:vAlign w:val="bottom"/>
          </w:tcPr>
          <w:p w:rsidR="00F92819" w:rsidRDefault="00F92819">
            <w:pPr>
              <w:spacing w:before="40" w:after="40" w:line="220" w:lineRule="exact"/>
              <w:jc w:val="right"/>
              <w:rPr>
                <w:sz w:val="18"/>
                <w:szCs w:val="24"/>
              </w:rPr>
            </w:pPr>
            <w:r>
              <w:rPr>
                <w:sz w:val="18"/>
                <w:szCs w:val="24"/>
              </w:rPr>
              <w:t>26,4</w:t>
            </w:r>
          </w:p>
        </w:tc>
        <w:tc>
          <w:tcPr>
            <w:tcW w:w="700" w:type="dxa"/>
            <w:vAlign w:val="bottom"/>
          </w:tcPr>
          <w:p w:rsidR="00F92819" w:rsidRDefault="00F92819">
            <w:pPr>
              <w:spacing w:before="40" w:after="40" w:line="220" w:lineRule="exact"/>
              <w:jc w:val="right"/>
              <w:rPr>
                <w:sz w:val="18"/>
                <w:szCs w:val="24"/>
              </w:rPr>
            </w:pPr>
            <w:r>
              <w:rPr>
                <w:sz w:val="18"/>
                <w:szCs w:val="24"/>
              </w:rPr>
              <w:t>30,9</w:t>
            </w:r>
          </w:p>
        </w:tc>
        <w:tc>
          <w:tcPr>
            <w:tcW w:w="700" w:type="dxa"/>
            <w:vAlign w:val="bottom"/>
          </w:tcPr>
          <w:p w:rsidR="00F92819" w:rsidRDefault="00F92819">
            <w:pPr>
              <w:spacing w:before="40" w:after="40" w:line="220" w:lineRule="exact"/>
              <w:jc w:val="right"/>
              <w:rPr>
                <w:sz w:val="18"/>
                <w:szCs w:val="24"/>
              </w:rPr>
            </w:pPr>
            <w:r>
              <w:rPr>
                <w:sz w:val="18"/>
                <w:szCs w:val="24"/>
              </w:rPr>
              <w:t>8,3</w:t>
            </w:r>
          </w:p>
        </w:tc>
        <w:tc>
          <w:tcPr>
            <w:tcW w:w="700" w:type="dxa"/>
            <w:vAlign w:val="bottom"/>
          </w:tcPr>
          <w:p w:rsidR="00F92819" w:rsidRDefault="00F92819">
            <w:pPr>
              <w:spacing w:before="40" w:after="40" w:line="220" w:lineRule="exact"/>
              <w:jc w:val="right"/>
              <w:rPr>
                <w:sz w:val="18"/>
                <w:szCs w:val="24"/>
              </w:rPr>
            </w:pPr>
            <w:r>
              <w:rPr>
                <w:sz w:val="18"/>
                <w:szCs w:val="24"/>
              </w:rPr>
              <w:t>4,6</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1,4</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328,3</w:t>
            </w:r>
          </w:p>
        </w:tc>
      </w:tr>
      <w:tr w:rsidR="00F92819">
        <w:tc>
          <w:tcPr>
            <w:tcW w:w="1766" w:type="dxa"/>
            <w:vAlign w:val="bottom"/>
          </w:tcPr>
          <w:p w:rsidR="00F92819" w:rsidRDefault="00F92819">
            <w:pPr>
              <w:spacing w:before="40" w:after="40" w:line="220" w:lineRule="exact"/>
              <w:rPr>
                <w:szCs w:val="24"/>
              </w:rPr>
            </w:pPr>
            <w:r>
              <w:rPr>
                <w:sz w:val="18"/>
                <w:szCs w:val="24"/>
              </w:rPr>
              <w:t>55</w:t>
            </w:r>
            <w:r w:rsidR="008C04D7">
              <w:rPr>
                <w:sz w:val="18"/>
                <w:szCs w:val="24"/>
              </w:rPr>
              <w:t xml:space="preserve"> a </w:t>
            </w:r>
            <w:r>
              <w:rPr>
                <w:sz w:val="18"/>
                <w:szCs w:val="24"/>
              </w:rPr>
              <w:t>64</w:t>
            </w:r>
          </w:p>
        </w:tc>
        <w:tc>
          <w:tcPr>
            <w:tcW w:w="700" w:type="dxa"/>
            <w:vAlign w:val="bottom"/>
          </w:tcPr>
          <w:p w:rsidR="00F92819" w:rsidRDefault="00F92819">
            <w:pPr>
              <w:spacing w:before="40" w:after="40" w:line="220" w:lineRule="exact"/>
              <w:jc w:val="right"/>
              <w:rPr>
                <w:sz w:val="18"/>
                <w:szCs w:val="24"/>
              </w:rPr>
            </w:pPr>
            <w:r>
              <w:rPr>
                <w:sz w:val="18"/>
                <w:szCs w:val="24"/>
              </w:rPr>
              <w:t>13,1</w:t>
            </w:r>
          </w:p>
        </w:tc>
        <w:tc>
          <w:tcPr>
            <w:tcW w:w="600" w:type="dxa"/>
            <w:vAlign w:val="bottom"/>
          </w:tcPr>
          <w:p w:rsidR="00F92819" w:rsidRDefault="00F92819">
            <w:pPr>
              <w:spacing w:before="40" w:after="40" w:line="220" w:lineRule="exact"/>
              <w:jc w:val="right"/>
              <w:rPr>
                <w:sz w:val="18"/>
                <w:szCs w:val="24"/>
              </w:rPr>
            </w:pPr>
            <w:r>
              <w:rPr>
                <w:sz w:val="18"/>
                <w:szCs w:val="24"/>
              </w:rPr>
              <w:t>26,2</w:t>
            </w:r>
          </w:p>
        </w:tc>
        <w:tc>
          <w:tcPr>
            <w:tcW w:w="700" w:type="dxa"/>
            <w:vAlign w:val="bottom"/>
          </w:tcPr>
          <w:p w:rsidR="00F92819" w:rsidRDefault="00F92819">
            <w:pPr>
              <w:spacing w:before="40" w:after="40" w:line="220" w:lineRule="exact"/>
              <w:jc w:val="right"/>
              <w:rPr>
                <w:sz w:val="18"/>
                <w:szCs w:val="24"/>
              </w:rPr>
            </w:pPr>
            <w:r>
              <w:rPr>
                <w:sz w:val="18"/>
                <w:szCs w:val="24"/>
              </w:rPr>
              <w:t>24,5</w:t>
            </w:r>
          </w:p>
        </w:tc>
        <w:tc>
          <w:tcPr>
            <w:tcW w:w="700" w:type="dxa"/>
            <w:vAlign w:val="bottom"/>
          </w:tcPr>
          <w:p w:rsidR="00F92819" w:rsidRDefault="00F92819">
            <w:pPr>
              <w:spacing w:before="40" w:after="40" w:line="220" w:lineRule="exact"/>
              <w:jc w:val="right"/>
              <w:rPr>
                <w:sz w:val="18"/>
                <w:szCs w:val="24"/>
              </w:rPr>
            </w:pPr>
            <w:r>
              <w:rPr>
                <w:sz w:val="18"/>
                <w:szCs w:val="24"/>
              </w:rPr>
              <w:t>26,7</w:t>
            </w:r>
          </w:p>
        </w:tc>
        <w:tc>
          <w:tcPr>
            <w:tcW w:w="700" w:type="dxa"/>
            <w:vAlign w:val="bottom"/>
          </w:tcPr>
          <w:p w:rsidR="00F92819" w:rsidRDefault="00F92819">
            <w:pPr>
              <w:spacing w:before="40" w:after="40" w:line="220" w:lineRule="exact"/>
              <w:jc w:val="right"/>
              <w:rPr>
                <w:sz w:val="18"/>
                <w:szCs w:val="24"/>
              </w:rPr>
            </w:pPr>
            <w:r>
              <w:rPr>
                <w:sz w:val="18"/>
                <w:szCs w:val="24"/>
              </w:rPr>
              <w:t>9,5</w:t>
            </w:r>
          </w:p>
        </w:tc>
        <w:tc>
          <w:tcPr>
            <w:tcW w:w="700" w:type="dxa"/>
            <w:vAlign w:val="bottom"/>
          </w:tcPr>
          <w:p w:rsidR="00F92819" w:rsidRDefault="00F92819">
            <w:pPr>
              <w:spacing w:before="40" w:after="40" w:line="220" w:lineRule="exact"/>
              <w:jc w:val="right"/>
              <w:rPr>
                <w:sz w:val="18"/>
                <w:szCs w:val="24"/>
              </w:rPr>
            </w:pPr>
            <w:r>
              <w:rPr>
                <w:sz w:val="18"/>
                <w:szCs w:val="24"/>
              </w:rPr>
              <w:t>10,4</w:t>
            </w:r>
          </w:p>
        </w:tc>
        <w:tc>
          <w:tcPr>
            <w:tcW w:w="600" w:type="dxa"/>
            <w:vAlign w:val="bottom"/>
          </w:tcPr>
          <w:p w:rsidR="00F92819" w:rsidRDefault="00F92819">
            <w:pPr>
              <w:spacing w:before="40" w:after="40" w:line="220" w:lineRule="exact"/>
              <w:jc w:val="right"/>
              <w:rPr>
                <w:sz w:val="18"/>
                <w:szCs w:val="24"/>
              </w:rPr>
            </w:pPr>
            <w:r>
              <w:rPr>
                <w:sz w:val="18"/>
                <w:szCs w:val="24"/>
              </w:rPr>
              <w:t>0,8</w:t>
            </w:r>
          </w:p>
        </w:tc>
        <w:tc>
          <w:tcPr>
            <w:tcW w:w="600" w:type="dxa"/>
            <w:gridSpan w:val="2"/>
            <w:vAlign w:val="bottom"/>
          </w:tcPr>
          <w:p w:rsidR="00F92819" w:rsidRDefault="00F92819">
            <w:pPr>
              <w:spacing w:before="40" w:after="40" w:line="220" w:lineRule="exact"/>
              <w:jc w:val="right"/>
              <w:rPr>
                <w:sz w:val="18"/>
                <w:szCs w:val="24"/>
              </w:rPr>
            </w:pPr>
            <w:r>
              <w:rPr>
                <w:sz w:val="18"/>
                <w:szCs w:val="24"/>
              </w:rPr>
              <w:t>1,9</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276,3</w:t>
            </w:r>
          </w:p>
        </w:tc>
      </w:tr>
      <w:tr w:rsidR="00F92819">
        <w:tc>
          <w:tcPr>
            <w:tcW w:w="1766" w:type="dxa"/>
            <w:vAlign w:val="bottom"/>
          </w:tcPr>
          <w:p w:rsidR="00F92819" w:rsidRDefault="00F92819">
            <w:pPr>
              <w:spacing w:before="40" w:after="40" w:line="220" w:lineRule="exact"/>
              <w:rPr>
                <w:sz w:val="18"/>
                <w:szCs w:val="24"/>
              </w:rPr>
            </w:pPr>
            <w:r>
              <w:rPr>
                <w:sz w:val="18"/>
                <w:szCs w:val="24"/>
              </w:rPr>
              <w:t>65+</w:t>
            </w:r>
          </w:p>
        </w:tc>
        <w:tc>
          <w:tcPr>
            <w:tcW w:w="700" w:type="dxa"/>
            <w:vAlign w:val="bottom"/>
          </w:tcPr>
          <w:p w:rsidR="00F92819" w:rsidRDefault="00F92819">
            <w:pPr>
              <w:spacing w:before="40" w:after="40" w:line="220" w:lineRule="exact"/>
              <w:jc w:val="right"/>
              <w:rPr>
                <w:sz w:val="18"/>
                <w:szCs w:val="24"/>
              </w:rPr>
            </w:pPr>
            <w:r>
              <w:rPr>
                <w:sz w:val="18"/>
                <w:szCs w:val="24"/>
              </w:rPr>
              <w:t>11,3</w:t>
            </w:r>
          </w:p>
        </w:tc>
        <w:tc>
          <w:tcPr>
            <w:tcW w:w="600" w:type="dxa"/>
            <w:vAlign w:val="bottom"/>
          </w:tcPr>
          <w:p w:rsidR="00F92819" w:rsidRDefault="00F92819">
            <w:pPr>
              <w:spacing w:before="40" w:after="40" w:line="220" w:lineRule="exact"/>
              <w:jc w:val="right"/>
              <w:rPr>
                <w:sz w:val="18"/>
                <w:szCs w:val="24"/>
              </w:rPr>
            </w:pPr>
            <w:r>
              <w:rPr>
                <w:sz w:val="18"/>
                <w:szCs w:val="24"/>
              </w:rPr>
              <w:t>12,3</w:t>
            </w:r>
          </w:p>
        </w:tc>
        <w:tc>
          <w:tcPr>
            <w:tcW w:w="700" w:type="dxa"/>
            <w:vAlign w:val="bottom"/>
          </w:tcPr>
          <w:p w:rsidR="00F92819" w:rsidRDefault="00F92819">
            <w:pPr>
              <w:spacing w:before="40" w:after="40" w:line="220" w:lineRule="exact"/>
              <w:jc w:val="right"/>
              <w:rPr>
                <w:sz w:val="18"/>
                <w:szCs w:val="24"/>
              </w:rPr>
            </w:pPr>
            <w:r>
              <w:rPr>
                <w:sz w:val="18"/>
                <w:szCs w:val="24"/>
              </w:rPr>
              <w:t>20,5</w:t>
            </w:r>
          </w:p>
        </w:tc>
        <w:tc>
          <w:tcPr>
            <w:tcW w:w="700" w:type="dxa"/>
            <w:vAlign w:val="bottom"/>
          </w:tcPr>
          <w:p w:rsidR="00F92819" w:rsidRDefault="00F92819">
            <w:pPr>
              <w:spacing w:before="40" w:after="40" w:line="220" w:lineRule="exact"/>
              <w:jc w:val="right"/>
              <w:rPr>
                <w:sz w:val="18"/>
                <w:szCs w:val="24"/>
              </w:rPr>
            </w:pPr>
            <w:r>
              <w:rPr>
                <w:sz w:val="18"/>
                <w:szCs w:val="24"/>
              </w:rPr>
              <w:t>20,2</w:t>
            </w:r>
          </w:p>
        </w:tc>
        <w:tc>
          <w:tcPr>
            <w:tcW w:w="700" w:type="dxa"/>
            <w:vAlign w:val="bottom"/>
          </w:tcPr>
          <w:p w:rsidR="00F92819" w:rsidRDefault="00F92819">
            <w:pPr>
              <w:spacing w:before="40" w:after="40" w:line="220" w:lineRule="exact"/>
              <w:jc w:val="right"/>
              <w:rPr>
                <w:sz w:val="18"/>
                <w:szCs w:val="24"/>
              </w:rPr>
            </w:pPr>
            <w:r>
              <w:rPr>
                <w:sz w:val="18"/>
                <w:szCs w:val="24"/>
              </w:rPr>
              <w:t>11,8</w:t>
            </w:r>
          </w:p>
        </w:tc>
        <w:tc>
          <w:tcPr>
            <w:tcW w:w="700" w:type="dxa"/>
            <w:vAlign w:val="bottom"/>
          </w:tcPr>
          <w:p w:rsidR="00F92819" w:rsidRDefault="00F92819">
            <w:pPr>
              <w:spacing w:before="40" w:after="40" w:line="220" w:lineRule="exact"/>
              <w:jc w:val="right"/>
              <w:rPr>
                <w:sz w:val="18"/>
                <w:szCs w:val="24"/>
              </w:rPr>
            </w:pPr>
            <w:r>
              <w:rPr>
                <w:sz w:val="18"/>
                <w:szCs w:val="24"/>
              </w:rPr>
              <w:t>21,1</w:t>
            </w:r>
          </w:p>
        </w:tc>
        <w:tc>
          <w:tcPr>
            <w:tcW w:w="600" w:type="dxa"/>
            <w:vAlign w:val="bottom"/>
          </w:tcPr>
          <w:p w:rsidR="00F92819" w:rsidRDefault="00F92819">
            <w:pPr>
              <w:spacing w:before="40" w:after="40" w:line="220" w:lineRule="exact"/>
              <w:jc w:val="right"/>
              <w:rPr>
                <w:sz w:val="18"/>
                <w:szCs w:val="24"/>
              </w:rPr>
            </w:pPr>
            <w:r>
              <w:rPr>
                <w:sz w:val="18"/>
                <w:szCs w:val="24"/>
              </w:rPr>
              <w:t>4,1</w:t>
            </w:r>
          </w:p>
        </w:tc>
        <w:tc>
          <w:tcPr>
            <w:tcW w:w="600" w:type="dxa"/>
            <w:gridSpan w:val="2"/>
            <w:vAlign w:val="bottom"/>
          </w:tcPr>
          <w:p w:rsidR="00F92819" w:rsidRDefault="00F92819">
            <w:pPr>
              <w:spacing w:before="40" w:after="40" w:line="220" w:lineRule="exact"/>
              <w:jc w:val="right"/>
              <w:rPr>
                <w:sz w:val="18"/>
                <w:szCs w:val="24"/>
              </w:rPr>
            </w:pPr>
            <w:r>
              <w:rPr>
                <w:sz w:val="18"/>
                <w:szCs w:val="24"/>
              </w:rPr>
              <w:t>10</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371,7</w:t>
            </w:r>
          </w:p>
        </w:tc>
      </w:tr>
      <w:tr w:rsidR="00F92819">
        <w:tc>
          <w:tcPr>
            <w:tcW w:w="8405" w:type="dxa"/>
            <w:gridSpan w:val="12"/>
            <w:vAlign w:val="bottom"/>
          </w:tcPr>
          <w:p w:rsidR="00F92819" w:rsidRDefault="00F92819">
            <w:pPr>
              <w:spacing w:before="80" w:after="80" w:line="200" w:lineRule="exact"/>
              <w:rPr>
                <w:szCs w:val="24"/>
              </w:rPr>
            </w:pPr>
            <w:r>
              <w:rPr>
                <w:i/>
                <w:sz w:val="16"/>
                <w:szCs w:val="24"/>
                <w:lang w:val="es-ES_tradnl"/>
              </w:rPr>
              <w:t>Árabes</w:t>
            </w:r>
          </w:p>
        </w:tc>
      </w:tr>
      <w:tr w:rsidR="00F92819">
        <w:tc>
          <w:tcPr>
            <w:tcW w:w="1766" w:type="dxa"/>
            <w:vAlign w:val="bottom"/>
          </w:tcPr>
          <w:p w:rsidR="00F92819" w:rsidRDefault="00F92819">
            <w:pPr>
              <w:spacing w:before="40" w:after="40" w:line="220" w:lineRule="exact"/>
              <w:rPr>
                <w:sz w:val="18"/>
                <w:szCs w:val="24"/>
              </w:rPr>
            </w:pPr>
            <w:r>
              <w:rPr>
                <w:sz w:val="18"/>
                <w:szCs w:val="24"/>
              </w:rPr>
              <w:t>2002</w:t>
            </w:r>
          </w:p>
        </w:tc>
        <w:tc>
          <w:tcPr>
            <w:tcW w:w="700" w:type="dxa"/>
            <w:vAlign w:val="bottom"/>
          </w:tcPr>
          <w:p w:rsidR="00F92819" w:rsidRDefault="00F92819">
            <w:pPr>
              <w:spacing w:before="40" w:after="40" w:line="220" w:lineRule="exact"/>
              <w:jc w:val="right"/>
              <w:rPr>
                <w:sz w:val="18"/>
                <w:szCs w:val="24"/>
              </w:rPr>
            </w:pPr>
            <w:r>
              <w:rPr>
                <w:sz w:val="18"/>
                <w:szCs w:val="24"/>
              </w:rPr>
              <w:t>10,9</w:t>
            </w:r>
          </w:p>
        </w:tc>
        <w:tc>
          <w:tcPr>
            <w:tcW w:w="600" w:type="dxa"/>
            <w:vAlign w:val="bottom"/>
          </w:tcPr>
          <w:p w:rsidR="00F92819" w:rsidRDefault="00F92819">
            <w:pPr>
              <w:spacing w:before="40" w:after="40" w:line="220" w:lineRule="exact"/>
              <w:jc w:val="right"/>
              <w:rPr>
                <w:sz w:val="18"/>
                <w:szCs w:val="24"/>
              </w:rPr>
            </w:pPr>
            <w:r>
              <w:rPr>
                <w:sz w:val="18"/>
                <w:szCs w:val="24"/>
              </w:rPr>
              <w:t>7,7</w:t>
            </w:r>
          </w:p>
        </w:tc>
        <w:tc>
          <w:tcPr>
            <w:tcW w:w="700" w:type="dxa"/>
            <w:vAlign w:val="bottom"/>
          </w:tcPr>
          <w:p w:rsidR="00F92819" w:rsidRDefault="00F92819">
            <w:pPr>
              <w:spacing w:before="40" w:after="40" w:line="220" w:lineRule="exact"/>
              <w:jc w:val="right"/>
              <w:rPr>
                <w:sz w:val="18"/>
                <w:szCs w:val="24"/>
              </w:rPr>
            </w:pPr>
            <w:r>
              <w:rPr>
                <w:sz w:val="18"/>
                <w:szCs w:val="24"/>
              </w:rPr>
              <w:t>10,7</w:t>
            </w:r>
          </w:p>
        </w:tc>
        <w:tc>
          <w:tcPr>
            <w:tcW w:w="700" w:type="dxa"/>
            <w:vAlign w:val="bottom"/>
          </w:tcPr>
          <w:p w:rsidR="00F92819" w:rsidRDefault="00F92819">
            <w:pPr>
              <w:spacing w:before="40" w:after="40" w:line="220" w:lineRule="exact"/>
              <w:jc w:val="right"/>
              <w:rPr>
                <w:sz w:val="18"/>
                <w:szCs w:val="24"/>
              </w:rPr>
            </w:pPr>
            <w:r>
              <w:rPr>
                <w:sz w:val="18"/>
                <w:szCs w:val="24"/>
              </w:rPr>
              <w:t>30,9</w:t>
            </w:r>
          </w:p>
        </w:tc>
        <w:tc>
          <w:tcPr>
            <w:tcW w:w="700" w:type="dxa"/>
            <w:vAlign w:val="bottom"/>
          </w:tcPr>
          <w:p w:rsidR="00F92819" w:rsidRDefault="00F92819">
            <w:pPr>
              <w:spacing w:before="40" w:after="40" w:line="220" w:lineRule="exact"/>
              <w:jc w:val="right"/>
              <w:rPr>
                <w:sz w:val="18"/>
                <w:szCs w:val="24"/>
              </w:rPr>
            </w:pPr>
            <w:r>
              <w:rPr>
                <w:sz w:val="18"/>
                <w:szCs w:val="24"/>
              </w:rPr>
              <w:t>19,2</w:t>
            </w:r>
          </w:p>
        </w:tc>
        <w:tc>
          <w:tcPr>
            <w:tcW w:w="700" w:type="dxa"/>
            <w:vAlign w:val="bottom"/>
          </w:tcPr>
          <w:p w:rsidR="00F92819" w:rsidRDefault="00F92819">
            <w:pPr>
              <w:spacing w:before="40" w:after="40" w:line="220" w:lineRule="exact"/>
              <w:jc w:val="right"/>
              <w:rPr>
                <w:sz w:val="18"/>
                <w:szCs w:val="24"/>
              </w:rPr>
            </w:pPr>
            <w:r>
              <w:rPr>
                <w:sz w:val="18"/>
                <w:szCs w:val="24"/>
              </w:rPr>
              <w:t>20,6</w:t>
            </w:r>
          </w:p>
        </w:tc>
        <w:tc>
          <w:tcPr>
            <w:tcW w:w="600" w:type="dxa"/>
            <w:vAlign w:val="bottom"/>
          </w:tcPr>
          <w:p w:rsidR="00F92819" w:rsidRDefault="00F92819">
            <w:pPr>
              <w:spacing w:before="40" w:after="40" w:line="220" w:lineRule="exact"/>
              <w:jc w:val="right"/>
              <w:rPr>
                <w:sz w:val="18"/>
                <w:szCs w:val="24"/>
              </w:rPr>
            </w:pPr>
            <w:r>
              <w:rPr>
                <w:sz w:val="18"/>
                <w:szCs w:val="24"/>
              </w:rPr>
              <w:t>4</w:t>
            </w:r>
          </w:p>
        </w:tc>
        <w:tc>
          <w:tcPr>
            <w:tcW w:w="600" w:type="dxa"/>
            <w:gridSpan w:val="2"/>
            <w:vAlign w:val="bottom"/>
          </w:tcPr>
          <w:p w:rsidR="00F92819" w:rsidRDefault="00F92819">
            <w:pPr>
              <w:spacing w:before="40" w:after="40" w:line="220" w:lineRule="exact"/>
              <w:jc w:val="right"/>
              <w:rPr>
                <w:sz w:val="18"/>
                <w:szCs w:val="24"/>
              </w:rPr>
            </w:pPr>
            <w:r>
              <w:rPr>
                <w:sz w:val="18"/>
                <w:szCs w:val="24"/>
              </w:rPr>
              <w:t>7</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747,2</w:t>
            </w:r>
          </w:p>
        </w:tc>
      </w:tr>
      <w:tr w:rsidR="00F92819">
        <w:tc>
          <w:tcPr>
            <w:tcW w:w="1766" w:type="dxa"/>
            <w:vAlign w:val="bottom"/>
          </w:tcPr>
          <w:p w:rsidR="00F92819" w:rsidRDefault="00F92819">
            <w:pPr>
              <w:spacing w:before="40" w:after="40" w:line="220" w:lineRule="exact"/>
              <w:rPr>
                <w:sz w:val="18"/>
                <w:szCs w:val="24"/>
              </w:rPr>
            </w:pPr>
            <w:r>
              <w:rPr>
                <w:sz w:val="18"/>
                <w:szCs w:val="24"/>
              </w:rPr>
              <w:t>2004</w:t>
            </w:r>
          </w:p>
        </w:tc>
        <w:tc>
          <w:tcPr>
            <w:tcW w:w="700" w:type="dxa"/>
            <w:vAlign w:val="bottom"/>
          </w:tcPr>
          <w:p w:rsidR="00F92819" w:rsidRDefault="00F92819">
            <w:pPr>
              <w:spacing w:before="40" w:after="40" w:line="220" w:lineRule="exact"/>
              <w:jc w:val="right"/>
              <w:rPr>
                <w:sz w:val="18"/>
                <w:szCs w:val="24"/>
              </w:rPr>
            </w:pPr>
            <w:r>
              <w:rPr>
                <w:sz w:val="18"/>
                <w:szCs w:val="24"/>
              </w:rPr>
              <w:t>11,1</w:t>
            </w:r>
          </w:p>
        </w:tc>
        <w:tc>
          <w:tcPr>
            <w:tcW w:w="600" w:type="dxa"/>
            <w:vAlign w:val="bottom"/>
          </w:tcPr>
          <w:p w:rsidR="00F92819" w:rsidRDefault="00F92819">
            <w:pPr>
              <w:spacing w:before="40" w:after="40" w:line="220" w:lineRule="exact"/>
              <w:jc w:val="right"/>
              <w:rPr>
                <w:sz w:val="18"/>
                <w:szCs w:val="24"/>
              </w:rPr>
            </w:pPr>
            <w:r>
              <w:rPr>
                <w:sz w:val="18"/>
                <w:szCs w:val="24"/>
              </w:rPr>
              <w:t>8</w:t>
            </w:r>
          </w:p>
        </w:tc>
        <w:tc>
          <w:tcPr>
            <w:tcW w:w="700" w:type="dxa"/>
            <w:vAlign w:val="bottom"/>
          </w:tcPr>
          <w:p w:rsidR="00F92819" w:rsidRDefault="00F92819">
            <w:pPr>
              <w:spacing w:before="40" w:after="40" w:line="220" w:lineRule="exact"/>
              <w:jc w:val="right"/>
              <w:rPr>
                <w:sz w:val="18"/>
                <w:szCs w:val="24"/>
              </w:rPr>
            </w:pPr>
            <w:r>
              <w:rPr>
                <w:sz w:val="18"/>
                <w:szCs w:val="24"/>
              </w:rPr>
              <w:t>10,4</w:t>
            </w:r>
          </w:p>
        </w:tc>
        <w:tc>
          <w:tcPr>
            <w:tcW w:w="700" w:type="dxa"/>
            <w:vAlign w:val="bottom"/>
          </w:tcPr>
          <w:p w:rsidR="00F92819" w:rsidRDefault="00F92819">
            <w:pPr>
              <w:spacing w:before="40" w:after="40" w:line="220" w:lineRule="exact"/>
              <w:jc w:val="right"/>
              <w:rPr>
                <w:sz w:val="18"/>
                <w:szCs w:val="24"/>
              </w:rPr>
            </w:pPr>
            <w:r>
              <w:rPr>
                <w:sz w:val="18"/>
                <w:szCs w:val="24"/>
              </w:rPr>
              <w:t>32,9</w:t>
            </w:r>
          </w:p>
        </w:tc>
        <w:tc>
          <w:tcPr>
            <w:tcW w:w="700" w:type="dxa"/>
            <w:vAlign w:val="bottom"/>
          </w:tcPr>
          <w:p w:rsidR="00F92819" w:rsidRDefault="00F92819">
            <w:pPr>
              <w:spacing w:before="40" w:after="40" w:line="220" w:lineRule="exact"/>
              <w:jc w:val="right"/>
              <w:rPr>
                <w:sz w:val="18"/>
                <w:szCs w:val="24"/>
              </w:rPr>
            </w:pPr>
            <w:r>
              <w:rPr>
                <w:sz w:val="18"/>
                <w:szCs w:val="24"/>
              </w:rPr>
              <w:t>18,7</w:t>
            </w:r>
          </w:p>
        </w:tc>
        <w:tc>
          <w:tcPr>
            <w:tcW w:w="700" w:type="dxa"/>
            <w:vAlign w:val="bottom"/>
          </w:tcPr>
          <w:p w:rsidR="00F92819" w:rsidRDefault="00F92819">
            <w:pPr>
              <w:spacing w:before="40" w:after="40" w:line="220" w:lineRule="exact"/>
              <w:jc w:val="right"/>
              <w:rPr>
                <w:sz w:val="18"/>
                <w:szCs w:val="24"/>
              </w:rPr>
            </w:pPr>
            <w:r>
              <w:rPr>
                <w:sz w:val="18"/>
                <w:szCs w:val="24"/>
              </w:rPr>
              <w:t>19</w:t>
            </w:r>
          </w:p>
        </w:tc>
        <w:tc>
          <w:tcPr>
            <w:tcW w:w="600" w:type="dxa"/>
            <w:vAlign w:val="bottom"/>
          </w:tcPr>
          <w:p w:rsidR="00F92819" w:rsidRDefault="00F92819">
            <w:pPr>
              <w:spacing w:before="40" w:after="40" w:line="220" w:lineRule="exact"/>
              <w:jc w:val="right"/>
              <w:rPr>
                <w:sz w:val="18"/>
                <w:szCs w:val="24"/>
              </w:rPr>
            </w:pPr>
            <w:r>
              <w:rPr>
                <w:sz w:val="18"/>
                <w:szCs w:val="24"/>
              </w:rPr>
              <w:t>4,4</w:t>
            </w:r>
          </w:p>
        </w:tc>
        <w:tc>
          <w:tcPr>
            <w:tcW w:w="600" w:type="dxa"/>
            <w:gridSpan w:val="2"/>
            <w:vAlign w:val="bottom"/>
          </w:tcPr>
          <w:p w:rsidR="00F92819" w:rsidRDefault="00F92819">
            <w:pPr>
              <w:spacing w:before="40" w:after="40" w:line="220" w:lineRule="exact"/>
              <w:jc w:val="right"/>
              <w:rPr>
                <w:sz w:val="18"/>
                <w:szCs w:val="24"/>
              </w:rPr>
            </w:pPr>
            <w:r>
              <w:rPr>
                <w:sz w:val="18"/>
                <w:szCs w:val="24"/>
              </w:rPr>
              <w:t>6,5</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783,1</w:t>
            </w:r>
          </w:p>
        </w:tc>
      </w:tr>
      <w:tr w:rsidR="00F92819">
        <w:tc>
          <w:tcPr>
            <w:tcW w:w="1766" w:type="dxa"/>
            <w:tcBorders>
              <w:bottom w:val="single" w:sz="4" w:space="0" w:color="auto"/>
            </w:tcBorders>
            <w:vAlign w:val="bottom"/>
          </w:tcPr>
          <w:p w:rsidR="00F92819" w:rsidRDefault="00F92819">
            <w:pPr>
              <w:spacing w:before="40" w:after="40" w:line="220" w:lineRule="exact"/>
              <w:rPr>
                <w:sz w:val="18"/>
                <w:szCs w:val="24"/>
              </w:rPr>
            </w:pPr>
            <w:r>
              <w:rPr>
                <w:sz w:val="18"/>
                <w:szCs w:val="24"/>
              </w:rPr>
              <w:t>2006</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11,1</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8,9</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10,3</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32,7</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18,8</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19,3</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3,9</w:t>
            </w:r>
          </w:p>
        </w:tc>
        <w:tc>
          <w:tcPr>
            <w:tcW w:w="600" w:type="dxa"/>
            <w:gridSpan w:val="2"/>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6,1</w:t>
            </w:r>
          </w:p>
        </w:tc>
        <w:tc>
          <w:tcPr>
            <w:tcW w:w="489" w:type="dxa"/>
            <w:tcBorders>
              <w:bottom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841,2</w:t>
            </w:r>
          </w:p>
        </w:tc>
      </w:tr>
      <w:tr w:rsidR="00F92819">
        <w:tc>
          <w:tcPr>
            <w:tcW w:w="8405" w:type="dxa"/>
            <w:gridSpan w:val="12"/>
            <w:tcBorders>
              <w:top w:val="single" w:sz="4" w:space="0" w:color="auto"/>
              <w:bottom w:val="single" w:sz="4" w:space="0" w:color="auto"/>
            </w:tcBorders>
            <w:vAlign w:val="bottom"/>
          </w:tcPr>
          <w:p w:rsidR="00F92819" w:rsidRDefault="00F92819" w:rsidP="0063063E">
            <w:pPr>
              <w:keepNext/>
              <w:spacing w:before="80" w:after="80" w:line="220" w:lineRule="exact"/>
              <w:ind w:firstLine="284"/>
              <w:rPr>
                <w:szCs w:val="24"/>
              </w:rPr>
            </w:pPr>
            <w:r>
              <w:rPr>
                <w:b/>
                <w:sz w:val="18"/>
                <w:szCs w:val="24"/>
                <w:lang w:val="es-ES_tradnl"/>
              </w:rPr>
              <w:t>2007 – Total</w:t>
            </w:r>
          </w:p>
        </w:tc>
      </w:tr>
      <w:tr w:rsidR="00F92819">
        <w:tc>
          <w:tcPr>
            <w:tcW w:w="1766"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 Miles</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78</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87,9</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303,8</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153,3</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155</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27,4</w:t>
            </w:r>
          </w:p>
        </w:tc>
        <w:tc>
          <w:tcPr>
            <w:tcW w:w="600" w:type="dxa"/>
            <w:gridSpan w:val="2"/>
            <w:tcBorders>
              <w:top w:val="single" w:sz="4" w:space="0" w:color="auto"/>
            </w:tcBorders>
            <w:vAlign w:val="bottom"/>
          </w:tcPr>
          <w:p w:rsidR="00F92819" w:rsidRDefault="00F92819">
            <w:pPr>
              <w:spacing w:before="40" w:after="40" w:line="220" w:lineRule="exact"/>
              <w:jc w:val="right"/>
              <w:rPr>
                <w:sz w:val="18"/>
                <w:szCs w:val="24"/>
              </w:rPr>
            </w:pPr>
            <w:r>
              <w:rPr>
                <w:sz w:val="18"/>
                <w:szCs w:val="24"/>
              </w:rPr>
              <w:t>53,1</w:t>
            </w:r>
          </w:p>
        </w:tc>
        <w:tc>
          <w:tcPr>
            <w:tcW w:w="489" w:type="dxa"/>
            <w:tcBorders>
              <w:top w:val="single" w:sz="4" w:space="0" w:color="auto"/>
            </w:tcBorders>
            <w:vAlign w:val="bottom"/>
          </w:tcPr>
          <w:p w:rsidR="00F92819" w:rsidRDefault="00F92819">
            <w:pPr>
              <w:spacing w:before="40" w:after="40" w:line="220" w:lineRule="exact"/>
              <w:jc w:val="right"/>
              <w:rPr>
                <w:sz w:val="18"/>
                <w:szCs w:val="24"/>
              </w:rPr>
            </w:pPr>
          </w:p>
        </w:tc>
        <w:tc>
          <w:tcPr>
            <w:tcW w:w="85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863</w:t>
            </w:r>
          </w:p>
        </w:tc>
      </w:tr>
      <w:tr w:rsidR="00F92819">
        <w:tc>
          <w:tcPr>
            <w:tcW w:w="1766" w:type="dxa"/>
            <w:vAlign w:val="bottom"/>
          </w:tcPr>
          <w:p w:rsidR="00F92819" w:rsidRDefault="00F92819">
            <w:pPr>
              <w:spacing w:before="40" w:after="40" w:line="220" w:lineRule="exact"/>
              <w:rPr>
                <w:szCs w:val="24"/>
              </w:rPr>
            </w:pPr>
            <w:r>
              <w:rPr>
                <w:sz w:val="18"/>
                <w:szCs w:val="24"/>
                <w:lang w:val="es-ES_tradnl"/>
              </w:rPr>
              <w:t xml:space="preserve">- </w:t>
            </w:r>
            <w:r w:rsidR="00D715FC">
              <w:rPr>
                <w:sz w:val="18"/>
                <w:szCs w:val="24"/>
                <w:lang w:val="es-ES_tradnl"/>
              </w:rPr>
              <w:t>Porcentaje</w:t>
            </w:r>
          </w:p>
        </w:tc>
        <w:tc>
          <w:tcPr>
            <w:tcW w:w="700" w:type="dxa"/>
            <w:vAlign w:val="bottom"/>
          </w:tcPr>
          <w:p w:rsidR="00F92819" w:rsidRDefault="00F92819">
            <w:pPr>
              <w:spacing w:before="40" w:after="40" w:line="220" w:lineRule="exact"/>
              <w:jc w:val="right"/>
              <w:rPr>
                <w:sz w:val="18"/>
                <w:szCs w:val="24"/>
              </w:rPr>
            </w:pPr>
            <w:r>
              <w:rPr>
                <w:sz w:val="18"/>
                <w:szCs w:val="24"/>
              </w:rPr>
              <w:t>11,3</w:t>
            </w:r>
          </w:p>
        </w:tc>
        <w:tc>
          <w:tcPr>
            <w:tcW w:w="600" w:type="dxa"/>
            <w:vAlign w:val="bottom"/>
          </w:tcPr>
          <w:p w:rsidR="00F92819" w:rsidRDefault="00F92819">
            <w:pPr>
              <w:spacing w:before="40" w:after="40" w:line="220" w:lineRule="exact"/>
              <w:jc w:val="right"/>
              <w:rPr>
                <w:sz w:val="18"/>
                <w:szCs w:val="24"/>
              </w:rPr>
            </w:pPr>
            <w:r>
              <w:rPr>
                <w:sz w:val="18"/>
                <w:szCs w:val="24"/>
              </w:rPr>
              <w:t>9,1</w:t>
            </w:r>
          </w:p>
        </w:tc>
        <w:tc>
          <w:tcPr>
            <w:tcW w:w="700" w:type="dxa"/>
            <w:vAlign w:val="bottom"/>
          </w:tcPr>
          <w:p w:rsidR="00F92819" w:rsidRDefault="00F92819">
            <w:pPr>
              <w:spacing w:before="40" w:after="40" w:line="220" w:lineRule="exact"/>
              <w:jc w:val="right"/>
              <w:rPr>
                <w:sz w:val="18"/>
                <w:szCs w:val="24"/>
              </w:rPr>
            </w:pPr>
            <w:r>
              <w:rPr>
                <w:sz w:val="18"/>
                <w:szCs w:val="24"/>
              </w:rPr>
              <w:t>10,2</w:t>
            </w:r>
          </w:p>
        </w:tc>
        <w:tc>
          <w:tcPr>
            <w:tcW w:w="700" w:type="dxa"/>
            <w:vAlign w:val="bottom"/>
          </w:tcPr>
          <w:p w:rsidR="00F92819" w:rsidRDefault="00F92819">
            <w:pPr>
              <w:spacing w:before="40" w:after="40" w:line="220" w:lineRule="exact"/>
              <w:jc w:val="right"/>
              <w:rPr>
                <w:sz w:val="18"/>
                <w:szCs w:val="24"/>
              </w:rPr>
            </w:pPr>
            <w:r>
              <w:rPr>
                <w:sz w:val="18"/>
                <w:szCs w:val="24"/>
              </w:rPr>
              <w:t>35,4</w:t>
            </w:r>
          </w:p>
        </w:tc>
        <w:tc>
          <w:tcPr>
            <w:tcW w:w="700" w:type="dxa"/>
            <w:vAlign w:val="bottom"/>
          </w:tcPr>
          <w:p w:rsidR="00F92819" w:rsidRDefault="00F92819">
            <w:pPr>
              <w:spacing w:before="40" w:after="40" w:line="220" w:lineRule="exact"/>
              <w:jc w:val="right"/>
              <w:rPr>
                <w:sz w:val="18"/>
                <w:szCs w:val="24"/>
              </w:rPr>
            </w:pPr>
            <w:r>
              <w:rPr>
                <w:sz w:val="18"/>
                <w:szCs w:val="24"/>
              </w:rPr>
              <w:t>17,9</w:t>
            </w:r>
          </w:p>
        </w:tc>
        <w:tc>
          <w:tcPr>
            <w:tcW w:w="700" w:type="dxa"/>
            <w:vAlign w:val="bottom"/>
          </w:tcPr>
          <w:p w:rsidR="00F92819" w:rsidRDefault="00F92819">
            <w:pPr>
              <w:spacing w:before="40" w:after="40" w:line="220" w:lineRule="exact"/>
              <w:jc w:val="right"/>
              <w:rPr>
                <w:sz w:val="18"/>
                <w:szCs w:val="24"/>
              </w:rPr>
            </w:pPr>
            <w:r>
              <w:rPr>
                <w:sz w:val="18"/>
                <w:szCs w:val="24"/>
              </w:rPr>
              <w:t>18,1</w:t>
            </w:r>
          </w:p>
        </w:tc>
        <w:tc>
          <w:tcPr>
            <w:tcW w:w="600" w:type="dxa"/>
            <w:vAlign w:val="bottom"/>
          </w:tcPr>
          <w:p w:rsidR="00F92819" w:rsidRDefault="00F92819">
            <w:pPr>
              <w:spacing w:before="40" w:after="40" w:line="220" w:lineRule="exact"/>
              <w:jc w:val="right"/>
              <w:rPr>
                <w:sz w:val="18"/>
                <w:szCs w:val="24"/>
              </w:rPr>
            </w:pPr>
            <w:r>
              <w:rPr>
                <w:sz w:val="18"/>
                <w:szCs w:val="24"/>
              </w:rPr>
              <w:t>3,2</w:t>
            </w:r>
          </w:p>
        </w:tc>
        <w:tc>
          <w:tcPr>
            <w:tcW w:w="600" w:type="dxa"/>
            <w:gridSpan w:val="2"/>
            <w:vAlign w:val="bottom"/>
          </w:tcPr>
          <w:p w:rsidR="00F92819" w:rsidRDefault="00F92819">
            <w:pPr>
              <w:spacing w:before="40" w:after="40" w:line="220" w:lineRule="exact"/>
              <w:jc w:val="right"/>
              <w:rPr>
                <w:sz w:val="18"/>
                <w:szCs w:val="24"/>
              </w:rPr>
            </w:pPr>
            <w:r>
              <w:rPr>
                <w:sz w:val="18"/>
                <w:szCs w:val="24"/>
              </w:rPr>
              <w:t>6,2</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p>
        </w:tc>
      </w:tr>
      <w:tr w:rsidR="00F92819">
        <w:tc>
          <w:tcPr>
            <w:tcW w:w="8405" w:type="dxa"/>
            <w:gridSpan w:val="12"/>
            <w:vAlign w:val="bottom"/>
          </w:tcPr>
          <w:p w:rsidR="00F92819" w:rsidRDefault="00F92819">
            <w:pPr>
              <w:keepNext/>
              <w:spacing w:before="80" w:after="80" w:line="200" w:lineRule="exact"/>
              <w:rPr>
                <w:szCs w:val="24"/>
              </w:rPr>
            </w:pPr>
            <w:r>
              <w:rPr>
                <w:i/>
                <w:sz w:val="16"/>
                <w:szCs w:val="24"/>
                <w:lang w:val="es-ES_tradnl"/>
              </w:rPr>
              <w:t>Edad</w:t>
            </w:r>
          </w:p>
        </w:tc>
      </w:tr>
      <w:tr w:rsidR="00F92819">
        <w:tc>
          <w:tcPr>
            <w:tcW w:w="1766" w:type="dxa"/>
            <w:vAlign w:val="bottom"/>
          </w:tcPr>
          <w:p w:rsidR="00F92819" w:rsidRDefault="00F92819">
            <w:pPr>
              <w:keepNext/>
              <w:spacing w:before="40" w:after="40" w:line="220" w:lineRule="exact"/>
              <w:rPr>
                <w:szCs w:val="24"/>
              </w:rPr>
            </w:pPr>
            <w:r>
              <w:rPr>
                <w:sz w:val="18"/>
                <w:szCs w:val="24"/>
              </w:rPr>
              <w:t>15</w:t>
            </w:r>
            <w:r w:rsidR="008C04D7">
              <w:rPr>
                <w:sz w:val="18"/>
                <w:szCs w:val="24"/>
              </w:rPr>
              <w:t xml:space="preserve"> a </w:t>
            </w:r>
            <w:r>
              <w:rPr>
                <w:sz w:val="18"/>
                <w:szCs w:val="24"/>
              </w:rPr>
              <w:t>17</w:t>
            </w:r>
          </w:p>
        </w:tc>
        <w:tc>
          <w:tcPr>
            <w:tcW w:w="700" w:type="dxa"/>
            <w:vAlign w:val="bottom"/>
          </w:tcPr>
          <w:p w:rsidR="00F92819" w:rsidRDefault="00F92819">
            <w:pPr>
              <w:keepNext/>
              <w:spacing w:before="40" w:after="40" w:line="220" w:lineRule="exact"/>
              <w:jc w:val="right"/>
              <w:rPr>
                <w:sz w:val="18"/>
                <w:szCs w:val="24"/>
              </w:rPr>
            </w:pPr>
            <w:r>
              <w:rPr>
                <w:sz w:val="18"/>
                <w:szCs w:val="24"/>
              </w:rPr>
              <w:t>11</w:t>
            </w:r>
          </w:p>
        </w:tc>
        <w:tc>
          <w:tcPr>
            <w:tcW w:w="600" w:type="dxa"/>
            <w:vAlign w:val="bottom"/>
          </w:tcPr>
          <w:p w:rsidR="00F92819" w:rsidRDefault="00F92819">
            <w:pPr>
              <w:keepNext/>
              <w:spacing w:before="40" w:after="40" w:line="220" w:lineRule="exact"/>
              <w:jc w:val="right"/>
              <w:rPr>
                <w:sz w:val="18"/>
                <w:szCs w:val="24"/>
              </w:rPr>
            </w:pPr>
            <w:r>
              <w:rPr>
                <w:sz w:val="18"/>
                <w:szCs w:val="24"/>
              </w:rPr>
              <w:t>-</w:t>
            </w:r>
          </w:p>
        </w:tc>
        <w:tc>
          <w:tcPr>
            <w:tcW w:w="700" w:type="dxa"/>
            <w:vAlign w:val="bottom"/>
          </w:tcPr>
          <w:p w:rsidR="00F92819" w:rsidRDefault="00F92819">
            <w:pPr>
              <w:keepNext/>
              <w:spacing w:before="40" w:after="40" w:line="220" w:lineRule="exact"/>
              <w:jc w:val="right"/>
              <w:rPr>
                <w:sz w:val="18"/>
                <w:szCs w:val="24"/>
              </w:rPr>
            </w:pPr>
            <w:r>
              <w:rPr>
                <w:sz w:val="18"/>
                <w:szCs w:val="24"/>
              </w:rPr>
              <w:t>-</w:t>
            </w:r>
          </w:p>
        </w:tc>
        <w:tc>
          <w:tcPr>
            <w:tcW w:w="700" w:type="dxa"/>
            <w:vAlign w:val="bottom"/>
          </w:tcPr>
          <w:p w:rsidR="00F92819" w:rsidRDefault="00F92819">
            <w:pPr>
              <w:keepNext/>
              <w:spacing w:before="40" w:after="40" w:line="220" w:lineRule="exact"/>
              <w:jc w:val="right"/>
              <w:rPr>
                <w:sz w:val="18"/>
                <w:szCs w:val="24"/>
              </w:rPr>
            </w:pPr>
            <w:r>
              <w:rPr>
                <w:sz w:val="18"/>
                <w:szCs w:val="24"/>
              </w:rPr>
              <w:t>50,2</w:t>
            </w:r>
          </w:p>
        </w:tc>
        <w:tc>
          <w:tcPr>
            <w:tcW w:w="700" w:type="dxa"/>
            <w:vAlign w:val="bottom"/>
          </w:tcPr>
          <w:p w:rsidR="00F92819" w:rsidRDefault="00F92819">
            <w:pPr>
              <w:keepNext/>
              <w:spacing w:before="40" w:after="40" w:line="220" w:lineRule="exact"/>
              <w:jc w:val="right"/>
              <w:rPr>
                <w:sz w:val="18"/>
                <w:szCs w:val="24"/>
              </w:rPr>
            </w:pPr>
            <w:r>
              <w:rPr>
                <w:sz w:val="18"/>
                <w:szCs w:val="24"/>
              </w:rPr>
              <w:t>44</w:t>
            </w:r>
          </w:p>
        </w:tc>
        <w:tc>
          <w:tcPr>
            <w:tcW w:w="700" w:type="dxa"/>
            <w:vAlign w:val="bottom"/>
          </w:tcPr>
          <w:p w:rsidR="00F92819" w:rsidRDefault="00F92819">
            <w:pPr>
              <w:keepNext/>
              <w:spacing w:before="40" w:after="40" w:line="220" w:lineRule="exact"/>
              <w:jc w:val="right"/>
              <w:rPr>
                <w:sz w:val="18"/>
                <w:szCs w:val="24"/>
              </w:rPr>
            </w:pPr>
            <w:r>
              <w:rPr>
                <w:sz w:val="18"/>
                <w:szCs w:val="24"/>
              </w:rPr>
              <w:t>4,2</w:t>
            </w:r>
          </w:p>
        </w:tc>
        <w:tc>
          <w:tcPr>
            <w:tcW w:w="600" w:type="dxa"/>
            <w:vAlign w:val="bottom"/>
          </w:tcPr>
          <w:p w:rsidR="00F92819" w:rsidRDefault="00F92819">
            <w:pPr>
              <w:keepNext/>
              <w:spacing w:before="40" w:after="40" w:line="220" w:lineRule="exact"/>
              <w:jc w:val="right"/>
              <w:rPr>
                <w:sz w:val="18"/>
                <w:szCs w:val="24"/>
              </w:rPr>
            </w:pPr>
            <w:r>
              <w:rPr>
                <w:sz w:val="18"/>
                <w:szCs w:val="24"/>
              </w:rPr>
              <w:t>-</w:t>
            </w:r>
          </w:p>
        </w:tc>
        <w:tc>
          <w:tcPr>
            <w:tcW w:w="600" w:type="dxa"/>
            <w:gridSpan w:val="2"/>
            <w:vAlign w:val="bottom"/>
          </w:tcPr>
          <w:p w:rsidR="00F92819" w:rsidRDefault="00F92819">
            <w:pPr>
              <w:keepNext/>
              <w:spacing w:before="40" w:after="40" w:line="220" w:lineRule="exact"/>
              <w:jc w:val="right"/>
              <w:rPr>
                <w:sz w:val="18"/>
                <w:szCs w:val="24"/>
              </w:rPr>
            </w:pPr>
            <w:r>
              <w:rPr>
                <w:sz w:val="18"/>
                <w:szCs w:val="24"/>
              </w:rPr>
              <w:t>-</w:t>
            </w:r>
          </w:p>
        </w:tc>
        <w:tc>
          <w:tcPr>
            <w:tcW w:w="489" w:type="dxa"/>
            <w:vAlign w:val="bottom"/>
          </w:tcPr>
          <w:p w:rsidR="00F92819" w:rsidRDefault="00F92819">
            <w:pPr>
              <w:keepNext/>
              <w:spacing w:before="40" w:after="40" w:line="220" w:lineRule="exact"/>
              <w:jc w:val="right"/>
              <w:rPr>
                <w:b/>
                <w:sz w:val="18"/>
                <w:szCs w:val="24"/>
              </w:rPr>
            </w:pPr>
            <w:r>
              <w:rPr>
                <w:b/>
                <w:sz w:val="18"/>
                <w:szCs w:val="24"/>
              </w:rPr>
              <w:t>100</w:t>
            </w:r>
          </w:p>
        </w:tc>
        <w:tc>
          <w:tcPr>
            <w:tcW w:w="850" w:type="dxa"/>
            <w:vAlign w:val="bottom"/>
          </w:tcPr>
          <w:p w:rsidR="00F92819" w:rsidRDefault="00F92819">
            <w:pPr>
              <w:keepNext/>
              <w:spacing w:before="40" w:after="40" w:line="220" w:lineRule="exact"/>
              <w:jc w:val="right"/>
              <w:rPr>
                <w:sz w:val="18"/>
                <w:szCs w:val="24"/>
              </w:rPr>
            </w:pPr>
            <w:r>
              <w:rPr>
                <w:sz w:val="18"/>
                <w:szCs w:val="24"/>
              </w:rPr>
              <w:t>89,7</w:t>
            </w:r>
          </w:p>
        </w:tc>
      </w:tr>
      <w:tr w:rsidR="00F92819">
        <w:tc>
          <w:tcPr>
            <w:tcW w:w="1766" w:type="dxa"/>
            <w:vAlign w:val="bottom"/>
          </w:tcPr>
          <w:p w:rsidR="00F92819" w:rsidRDefault="00F92819">
            <w:pPr>
              <w:spacing w:before="40" w:after="40" w:line="220" w:lineRule="exact"/>
              <w:rPr>
                <w:szCs w:val="24"/>
              </w:rPr>
            </w:pPr>
            <w:r>
              <w:rPr>
                <w:sz w:val="18"/>
                <w:szCs w:val="24"/>
              </w:rPr>
              <w:t>18</w:t>
            </w:r>
            <w:r w:rsidR="008C04D7">
              <w:rPr>
                <w:sz w:val="18"/>
                <w:szCs w:val="24"/>
              </w:rPr>
              <w:t xml:space="preserve"> a </w:t>
            </w:r>
            <w:r>
              <w:rPr>
                <w:sz w:val="18"/>
                <w:szCs w:val="24"/>
              </w:rPr>
              <w:t>24</w:t>
            </w:r>
          </w:p>
        </w:tc>
        <w:tc>
          <w:tcPr>
            <w:tcW w:w="700" w:type="dxa"/>
            <w:vAlign w:val="bottom"/>
          </w:tcPr>
          <w:p w:rsidR="00F92819" w:rsidRDefault="00F92819">
            <w:pPr>
              <w:spacing w:before="40" w:after="40" w:line="220" w:lineRule="exact"/>
              <w:jc w:val="right"/>
              <w:rPr>
                <w:sz w:val="18"/>
                <w:szCs w:val="24"/>
              </w:rPr>
            </w:pPr>
            <w:r>
              <w:rPr>
                <w:sz w:val="18"/>
                <w:szCs w:val="24"/>
              </w:rPr>
              <w:t>12,1</w:t>
            </w:r>
          </w:p>
        </w:tc>
        <w:tc>
          <w:tcPr>
            <w:tcW w:w="600" w:type="dxa"/>
            <w:vAlign w:val="bottom"/>
          </w:tcPr>
          <w:p w:rsidR="00F92819" w:rsidRDefault="00F92819">
            <w:pPr>
              <w:spacing w:before="40" w:after="40" w:line="220" w:lineRule="exact"/>
              <w:jc w:val="right"/>
              <w:rPr>
                <w:sz w:val="18"/>
                <w:szCs w:val="24"/>
              </w:rPr>
            </w:pPr>
            <w:r>
              <w:rPr>
                <w:sz w:val="18"/>
                <w:szCs w:val="24"/>
              </w:rPr>
              <w:t>6,1</w:t>
            </w:r>
          </w:p>
        </w:tc>
        <w:tc>
          <w:tcPr>
            <w:tcW w:w="700" w:type="dxa"/>
            <w:vAlign w:val="bottom"/>
          </w:tcPr>
          <w:p w:rsidR="00F92819" w:rsidRDefault="00F92819">
            <w:pPr>
              <w:spacing w:before="40" w:after="40" w:line="220" w:lineRule="exact"/>
              <w:jc w:val="right"/>
              <w:rPr>
                <w:sz w:val="18"/>
                <w:szCs w:val="24"/>
              </w:rPr>
            </w:pPr>
            <w:r>
              <w:rPr>
                <w:sz w:val="18"/>
                <w:szCs w:val="24"/>
              </w:rPr>
              <w:t>22,1</w:t>
            </w:r>
          </w:p>
        </w:tc>
        <w:tc>
          <w:tcPr>
            <w:tcW w:w="700" w:type="dxa"/>
            <w:vAlign w:val="bottom"/>
          </w:tcPr>
          <w:p w:rsidR="00F92819" w:rsidRDefault="00F92819">
            <w:pPr>
              <w:spacing w:before="40" w:after="40" w:line="220" w:lineRule="exact"/>
              <w:jc w:val="right"/>
              <w:rPr>
                <w:sz w:val="18"/>
                <w:szCs w:val="24"/>
              </w:rPr>
            </w:pPr>
            <w:r>
              <w:rPr>
                <w:sz w:val="18"/>
                <w:szCs w:val="24"/>
              </w:rPr>
              <w:t>50,9</w:t>
            </w:r>
          </w:p>
        </w:tc>
        <w:tc>
          <w:tcPr>
            <w:tcW w:w="700" w:type="dxa"/>
            <w:vAlign w:val="bottom"/>
          </w:tcPr>
          <w:p w:rsidR="00F92819" w:rsidRDefault="00F92819">
            <w:pPr>
              <w:spacing w:before="40" w:after="40" w:line="220" w:lineRule="exact"/>
              <w:jc w:val="right"/>
              <w:rPr>
                <w:sz w:val="18"/>
                <w:szCs w:val="24"/>
              </w:rPr>
            </w:pPr>
            <w:r>
              <w:rPr>
                <w:sz w:val="18"/>
                <w:szCs w:val="24"/>
              </w:rPr>
              <w:t>11</w:t>
            </w:r>
          </w:p>
        </w:tc>
        <w:tc>
          <w:tcPr>
            <w:tcW w:w="700" w:type="dxa"/>
            <w:vAlign w:val="bottom"/>
          </w:tcPr>
          <w:p w:rsidR="00F92819" w:rsidRDefault="00F92819">
            <w:pPr>
              <w:spacing w:before="40" w:after="40" w:line="220" w:lineRule="exact"/>
              <w:jc w:val="right"/>
              <w:rPr>
                <w:sz w:val="18"/>
                <w:szCs w:val="24"/>
              </w:rPr>
            </w:pPr>
            <w:r>
              <w:rPr>
                <w:sz w:val="18"/>
                <w:szCs w:val="24"/>
              </w:rPr>
              <w:t>8</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1,5</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172,6</w:t>
            </w:r>
          </w:p>
        </w:tc>
      </w:tr>
      <w:tr w:rsidR="00F92819">
        <w:tc>
          <w:tcPr>
            <w:tcW w:w="1766" w:type="dxa"/>
            <w:vAlign w:val="bottom"/>
          </w:tcPr>
          <w:p w:rsidR="00F92819" w:rsidRDefault="00F92819">
            <w:pPr>
              <w:spacing w:before="40" w:after="40" w:line="220" w:lineRule="exact"/>
              <w:rPr>
                <w:szCs w:val="24"/>
              </w:rPr>
            </w:pPr>
            <w:r>
              <w:rPr>
                <w:sz w:val="18"/>
                <w:szCs w:val="24"/>
              </w:rPr>
              <w:t>25</w:t>
            </w:r>
            <w:r w:rsidR="008C04D7">
              <w:rPr>
                <w:sz w:val="18"/>
                <w:szCs w:val="24"/>
              </w:rPr>
              <w:t xml:space="preserve"> a </w:t>
            </w:r>
            <w:r>
              <w:rPr>
                <w:sz w:val="18"/>
                <w:szCs w:val="24"/>
              </w:rPr>
              <w:t>34</w:t>
            </w:r>
          </w:p>
        </w:tc>
        <w:tc>
          <w:tcPr>
            <w:tcW w:w="700" w:type="dxa"/>
            <w:vAlign w:val="bottom"/>
          </w:tcPr>
          <w:p w:rsidR="00F92819" w:rsidRDefault="00F92819">
            <w:pPr>
              <w:spacing w:before="40" w:after="40" w:line="220" w:lineRule="exact"/>
              <w:jc w:val="right"/>
              <w:rPr>
                <w:sz w:val="18"/>
                <w:szCs w:val="24"/>
              </w:rPr>
            </w:pPr>
            <w:r>
              <w:rPr>
                <w:sz w:val="18"/>
                <w:szCs w:val="24"/>
              </w:rPr>
              <w:t>11,8</w:t>
            </w:r>
          </w:p>
        </w:tc>
        <w:tc>
          <w:tcPr>
            <w:tcW w:w="600" w:type="dxa"/>
            <w:vAlign w:val="bottom"/>
          </w:tcPr>
          <w:p w:rsidR="00F92819" w:rsidRDefault="00F92819">
            <w:pPr>
              <w:spacing w:before="40" w:after="40" w:line="220" w:lineRule="exact"/>
              <w:jc w:val="right"/>
              <w:rPr>
                <w:sz w:val="18"/>
                <w:szCs w:val="24"/>
              </w:rPr>
            </w:pPr>
            <w:r>
              <w:rPr>
                <w:sz w:val="18"/>
                <w:szCs w:val="24"/>
              </w:rPr>
              <w:t>15,1</w:t>
            </w:r>
          </w:p>
        </w:tc>
        <w:tc>
          <w:tcPr>
            <w:tcW w:w="700" w:type="dxa"/>
            <w:vAlign w:val="bottom"/>
          </w:tcPr>
          <w:p w:rsidR="00F92819" w:rsidRDefault="00F92819">
            <w:pPr>
              <w:spacing w:before="40" w:after="40" w:line="220" w:lineRule="exact"/>
              <w:jc w:val="right"/>
              <w:rPr>
                <w:sz w:val="18"/>
                <w:szCs w:val="24"/>
              </w:rPr>
            </w:pPr>
            <w:r>
              <w:rPr>
                <w:sz w:val="18"/>
                <w:szCs w:val="24"/>
              </w:rPr>
              <w:t>11,2</w:t>
            </w:r>
          </w:p>
        </w:tc>
        <w:tc>
          <w:tcPr>
            <w:tcW w:w="700" w:type="dxa"/>
            <w:vAlign w:val="bottom"/>
          </w:tcPr>
          <w:p w:rsidR="00F92819" w:rsidRDefault="00F92819">
            <w:pPr>
              <w:spacing w:before="40" w:after="40" w:line="220" w:lineRule="exact"/>
              <w:jc w:val="right"/>
              <w:rPr>
                <w:sz w:val="18"/>
                <w:szCs w:val="24"/>
              </w:rPr>
            </w:pPr>
            <w:r>
              <w:rPr>
                <w:sz w:val="18"/>
                <w:szCs w:val="24"/>
              </w:rPr>
              <w:t>39,1</w:t>
            </w:r>
          </w:p>
        </w:tc>
        <w:tc>
          <w:tcPr>
            <w:tcW w:w="700" w:type="dxa"/>
            <w:vAlign w:val="bottom"/>
          </w:tcPr>
          <w:p w:rsidR="00F92819" w:rsidRDefault="00F92819">
            <w:pPr>
              <w:spacing w:before="40" w:after="40" w:line="220" w:lineRule="exact"/>
              <w:jc w:val="right"/>
              <w:rPr>
                <w:sz w:val="18"/>
                <w:szCs w:val="24"/>
              </w:rPr>
            </w:pPr>
            <w:r>
              <w:rPr>
                <w:sz w:val="18"/>
                <w:szCs w:val="24"/>
              </w:rPr>
              <w:t>17,6</w:t>
            </w:r>
          </w:p>
        </w:tc>
        <w:tc>
          <w:tcPr>
            <w:tcW w:w="700" w:type="dxa"/>
            <w:vAlign w:val="bottom"/>
          </w:tcPr>
          <w:p w:rsidR="00F92819" w:rsidRDefault="00F92819">
            <w:pPr>
              <w:spacing w:before="40" w:after="40" w:line="220" w:lineRule="exact"/>
              <w:jc w:val="right"/>
              <w:rPr>
                <w:sz w:val="18"/>
                <w:szCs w:val="24"/>
              </w:rPr>
            </w:pPr>
            <w:r>
              <w:rPr>
                <w:sz w:val="18"/>
                <w:szCs w:val="24"/>
              </w:rPr>
              <w:t>13,7</w:t>
            </w:r>
          </w:p>
        </w:tc>
        <w:tc>
          <w:tcPr>
            <w:tcW w:w="600" w:type="dxa"/>
            <w:vAlign w:val="bottom"/>
          </w:tcPr>
          <w:p w:rsidR="00F92819" w:rsidRDefault="00F92819">
            <w:pPr>
              <w:spacing w:before="40" w:after="40" w:line="220" w:lineRule="exact"/>
              <w:jc w:val="right"/>
              <w:rPr>
                <w:sz w:val="18"/>
                <w:szCs w:val="24"/>
              </w:rPr>
            </w:pPr>
            <w:r>
              <w:rPr>
                <w:sz w:val="18"/>
                <w:szCs w:val="24"/>
              </w:rPr>
              <w:t>0,8</w:t>
            </w:r>
          </w:p>
        </w:tc>
        <w:tc>
          <w:tcPr>
            <w:tcW w:w="600" w:type="dxa"/>
            <w:gridSpan w:val="2"/>
            <w:vAlign w:val="bottom"/>
          </w:tcPr>
          <w:p w:rsidR="00F92819" w:rsidRDefault="00F92819">
            <w:pPr>
              <w:spacing w:before="40" w:after="40" w:line="220" w:lineRule="exact"/>
              <w:jc w:val="right"/>
              <w:rPr>
                <w:sz w:val="18"/>
                <w:szCs w:val="24"/>
              </w:rPr>
            </w:pPr>
            <w:r>
              <w:rPr>
                <w:sz w:val="18"/>
                <w:szCs w:val="24"/>
              </w:rPr>
              <w:t>2,5</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217,1</w:t>
            </w:r>
          </w:p>
        </w:tc>
      </w:tr>
      <w:tr w:rsidR="00F92819">
        <w:tc>
          <w:tcPr>
            <w:tcW w:w="1766" w:type="dxa"/>
            <w:vAlign w:val="bottom"/>
          </w:tcPr>
          <w:p w:rsidR="00F92819" w:rsidRDefault="00F92819">
            <w:pPr>
              <w:spacing w:before="40" w:after="40" w:line="220" w:lineRule="exact"/>
              <w:rPr>
                <w:szCs w:val="24"/>
              </w:rPr>
            </w:pPr>
            <w:r>
              <w:rPr>
                <w:sz w:val="18"/>
                <w:szCs w:val="24"/>
              </w:rPr>
              <w:t>35</w:t>
            </w:r>
            <w:r w:rsidR="008C04D7">
              <w:rPr>
                <w:sz w:val="18"/>
                <w:szCs w:val="24"/>
              </w:rPr>
              <w:t xml:space="preserve"> a </w:t>
            </w:r>
            <w:r>
              <w:rPr>
                <w:sz w:val="18"/>
                <w:szCs w:val="24"/>
              </w:rPr>
              <w:t>44</w:t>
            </w:r>
          </w:p>
        </w:tc>
        <w:tc>
          <w:tcPr>
            <w:tcW w:w="700" w:type="dxa"/>
            <w:vAlign w:val="bottom"/>
          </w:tcPr>
          <w:p w:rsidR="00F92819" w:rsidRDefault="00F92819">
            <w:pPr>
              <w:spacing w:before="40" w:after="40" w:line="220" w:lineRule="exact"/>
              <w:jc w:val="right"/>
              <w:rPr>
                <w:sz w:val="18"/>
                <w:szCs w:val="24"/>
              </w:rPr>
            </w:pPr>
            <w:r>
              <w:rPr>
                <w:sz w:val="18"/>
                <w:szCs w:val="24"/>
              </w:rPr>
              <w:t>11,2</w:t>
            </w:r>
          </w:p>
        </w:tc>
        <w:tc>
          <w:tcPr>
            <w:tcW w:w="600" w:type="dxa"/>
            <w:vAlign w:val="bottom"/>
          </w:tcPr>
          <w:p w:rsidR="00F92819" w:rsidRDefault="00F92819">
            <w:pPr>
              <w:spacing w:before="40" w:after="40" w:line="220" w:lineRule="exact"/>
              <w:jc w:val="right"/>
              <w:rPr>
                <w:sz w:val="18"/>
                <w:szCs w:val="24"/>
              </w:rPr>
            </w:pPr>
            <w:r>
              <w:rPr>
                <w:sz w:val="18"/>
                <w:szCs w:val="24"/>
              </w:rPr>
              <w:t>12</w:t>
            </w:r>
          </w:p>
        </w:tc>
        <w:tc>
          <w:tcPr>
            <w:tcW w:w="700" w:type="dxa"/>
            <w:vAlign w:val="bottom"/>
          </w:tcPr>
          <w:p w:rsidR="00F92819" w:rsidRDefault="00F92819">
            <w:pPr>
              <w:spacing w:before="40" w:after="40" w:line="220" w:lineRule="exact"/>
              <w:jc w:val="right"/>
              <w:rPr>
                <w:sz w:val="18"/>
                <w:szCs w:val="24"/>
              </w:rPr>
            </w:pPr>
            <w:r>
              <w:rPr>
                <w:sz w:val="18"/>
                <w:szCs w:val="24"/>
              </w:rPr>
              <w:t>8,3</w:t>
            </w:r>
          </w:p>
        </w:tc>
        <w:tc>
          <w:tcPr>
            <w:tcW w:w="700" w:type="dxa"/>
            <w:vAlign w:val="bottom"/>
          </w:tcPr>
          <w:p w:rsidR="00F92819" w:rsidRDefault="00F92819">
            <w:pPr>
              <w:spacing w:before="40" w:after="40" w:line="220" w:lineRule="exact"/>
              <w:jc w:val="right"/>
              <w:rPr>
                <w:sz w:val="18"/>
                <w:szCs w:val="24"/>
              </w:rPr>
            </w:pPr>
            <w:r>
              <w:rPr>
                <w:sz w:val="18"/>
                <w:szCs w:val="24"/>
              </w:rPr>
              <w:t>33,1</w:t>
            </w:r>
          </w:p>
        </w:tc>
        <w:tc>
          <w:tcPr>
            <w:tcW w:w="700" w:type="dxa"/>
            <w:vAlign w:val="bottom"/>
          </w:tcPr>
          <w:p w:rsidR="00F92819" w:rsidRDefault="00F92819">
            <w:pPr>
              <w:spacing w:before="40" w:after="40" w:line="220" w:lineRule="exact"/>
              <w:jc w:val="right"/>
              <w:rPr>
                <w:sz w:val="18"/>
                <w:szCs w:val="24"/>
              </w:rPr>
            </w:pPr>
            <w:r>
              <w:rPr>
                <w:sz w:val="18"/>
                <w:szCs w:val="24"/>
              </w:rPr>
              <w:t>20,4</w:t>
            </w:r>
          </w:p>
        </w:tc>
        <w:tc>
          <w:tcPr>
            <w:tcW w:w="700" w:type="dxa"/>
            <w:vAlign w:val="bottom"/>
          </w:tcPr>
          <w:p w:rsidR="00F92819" w:rsidRDefault="00F92819">
            <w:pPr>
              <w:spacing w:before="40" w:after="40" w:line="220" w:lineRule="exact"/>
              <w:jc w:val="right"/>
              <w:rPr>
                <w:sz w:val="18"/>
                <w:szCs w:val="24"/>
              </w:rPr>
            </w:pPr>
            <w:r>
              <w:rPr>
                <w:sz w:val="18"/>
                <w:szCs w:val="24"/>
              </w:rPr>
              <w:t>21,6</w:t>
            </w:r>
          </w:p>
        </w:tc>
        <w:tc>
          <w:tcPr>
            <w:tcW w:w="600" w:type="dxa"/>
            <w:vAlign w:val="bottom"/>
          </w:tcPr>
          <w:p w:rsidR="00F92819" w:rsidRDefault="00F92819">
            <w:pPr>
              <w:spacing w:before="40" w:after="40" w:line="220" w:lineRule="exact"/>
              <w:jc w:val="right"/>
              <w:rPr>
                <w:sz w:val="18"/>
                <w:szCs w:val="24"/>
              </w:rPr>
            </w:pPr>
            <w:r>
              <w:rPr>
                <w:sz w:val="18"/>
                <w:szCs w:val="24"/>
              </w:rPr>
              <w:t>1,6</w:t>
            </w:r>
          </w:p>
        </w:tc>
        <w:tc>
          <w:tcPr>
            <w:tcW w:w="600" w:type="dxa"/>
            <w:gridSpan w:val="2"/>
            <w:vAlign w:val="bottom"/>
          </w:tcPr>
          <w:p w:rsidR="00F92819" w:rsidRDefault="00F92819">
            <w:pPr>
              <w:spacing w:before="40" w:after="40" w:line="220" w:lineRule="exact"/>
              <w:jc w:val="right"/>
              <w:rPr>
                <w:sz w:val="18"/>
                <w:szCs w:val="24"/>
              </w:rPr>
            </w:pPr>
            <w:r>
              <w:rPr>
                <w:sz w:val="18"/>
                <w:szCs w:val="24"/>
              </w:rPr>
              <w:t>3,1</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168</w:t>
            </w:r>
          </w:p>
        </w:tc>
      </w:tr>
      <w:tr w:rsidR="00F92819">
        <w:tc>
          <w:tcPr>
            <w:tcW w:w="1766" w:type="dxa"/>
            <w:vAlign w:val="bottom"/>
          </w:tcPr>
          <w:p w:rsidR="00F92819" w:rsidRDefault="00F92819">
            <w:pPr>
              <w:spacing w:before="40" w:after="40" w:line="220" w:lineRule="exact"/>
              <w:rPr>
                <w:szCs w:val="24"/>
              </w:rPr>
            </w:pPr>
            <w:r>
              <w:rPr>
                <w:sz w:val="18"/>
                <w:szCs w:val="24"/>
              </w:rPr>
              <w:t>45</w:t>
            </w:r>
            <w:r w:rsidR="008C04D7">
              <w:rPr>
                <w:sz w:val="18"/>
                <w:szCs w:val="24"/>
              </w:rPr>
              <w:t xml:space="preserve"> a </w:t>
            </w:r>
            <w:r>
              <w:rPr>
                <w:sz w:val="18"/>
                <w:szCs w:val="24"/>
              </w:rPr>
              <w:t>54</w:t>
            </w:r>
          </w:p>
        </w:tc>
        <w:tc>
          <w:tcPr>
            <w:tcW w:w="700" w:type="dxa"/>
            <w:vAlign w:val="bottom"/>
          </w:tcPr>
          <w:p w:rsidR="00F92819" w:rsidRDefault="00F92819">
            <w:pPr>
              <w:spacing w:before="40" w:after="40" w:line="220" w:lineRule="exact"/>
              <w:jc w:val="right"/>
              <w:rPr>
                <w:sz w:val="18"/>
                <w:szCs w:val="24"/>
              </w:rPr>
            </w:pPr>
            <w:r>
              <w:rPr>
                <w:sz w:val="18"/>
                <w:szCs w:val="24"/>
              </w:rPr>
              <w:t>9,4</w:t>
            </w:r>
          </w:p>
        </w:tc>
        <w:tc>
          <w:tcPr>
            <w:tcW w:w="600" w:type="dxa"/>
            <w:vAlign w:val="bottom"/>
          </w:tcPr>
          <w:p w:rsidR="00F92819" w:rsidRDefault="00F92819">
            <w:pPr>
              <w:spacing w:before="40" w:after="40" w:line="220" w:lineRule="exact"/>
              <w:jc w:val="right"/>
              <w:rPr>
                <w:sz w:val="18"/>
                <w:szCs w:val="24"/>
              </w:rPr>
            </w:pPr>
            <w:r>
              <w:rPr>
                <w:sz w:val="18"/>
                <w:szCs w:val="24"/>
              </w:rPr>
              <w:t>10,1</w:t>
            </w:r>
          </w:p>
        </w:tc>
        <w:tc>
          <w:tcPr>
            <w:tcW w:w="700" w:type="dxa"/>
            <w:vAlign w:val="bottom"/>
          </w:tcPr>
          <w:p w:rsidR="00F92819" w:rsidRDefault="00F92819">
            <w:pPr>
              <w:spacing w:before="40" w:after="40" w:line="220" w:lineRule="exact"/>
              <w:jc w:val="right"/>
              <w:rPr>
                <w:sz w:val="18"/>
                <w:szCs w:val="24"/>
              </w:rPr>
            </w:pPr>
            <w:r>
              <w:rPr>
                <w:sz w:val="18"/>
                <w:szCs w:val="24"/>
              </w:rPr>
              <w:t>6,7</w:t>
            </w:r>
          </w:p>
        </w:tc>
        <w:tc>
          <w:tcPr>
            <w:tcW w:w="700" w:type="dxa"/>
            <w:vAlign w:val="bottom"/>
          </w:tcPr>
          <w:p w:rsidR="00F92819" w:rsidRDefault="00F92819">
            <w:pPr>
              <w:spacing w:before="40" w:after="40" w:line="220" w:lineRule="exact"/>
              <w:jc w:val="right"/>
              <w:rPr>
                <w:sz w:val="18"/>
                <w:szCs w:val="24"/>
              </w:rPr>
            </w:pPr>
            <w:r>
              <w:rPr>
                <w:sz w:val="18"/>
                <w:szCs w:val="24"/>
              </w:rPr>
              <w:t>20,8</w:t>
            </w:r>
          </w:p>
        </w:tc>
        <w:tc>
          <w:tcPr>
            <w:tcW w:w="700" w:type="dxa"/>
            <w:vAlign w:val="bottom"/>
          </w:tcPr>
          <w:p w:rsidR="00F92819" w:rsidRDefault="00F92819">
            <w:pPr>
              <w:spacing w:before="40" w:after="40" w:line="220" w:lineRule="exact"/>
              <w:jc w:val="right"/>
              <w:rPr>
                <w:sz w:val="18"/>
                <w:szCs w:val="24"/>
              </w:rPr>
            </w:pPr>
            <w:r>
              <w:rPr>
                <w:sz w:val="18"/>
                <w:szCs w:val="24"/>
              </w:rPr>
              <w:t>15,6</w:t>
            </w:r>
          </w:p>
        </w:tc>
        <w:tc>
          <w:tcPr>
            <w:tcW w:w="700" w:type="dxa"/>
            <w:vAlign w:val="bottom"/>
          </w:tcPr>
          <w:p w:rsidR="00F92819" w:rsidRDefault="00F92819">
            <w:pPr>
              <w:spacing w:before="40" w:after="40" w:line="220" w:lineRule="exact"/>
              <w:jc w:val="right"/>
              <w:rPr>
                <w:sz w:val="18"/>
                <w:szCs w:val="24"/>
              </w:rPr>
            </w:pPr>
            <w:r>
              <w:rPr>
                <w:sz w:val="18"/>
                <w:szCs w:val="24"/>
              </w:rPr>
              <w:t>32,7</w:t>
            </w:r>
          </w:p>
        </w:tc>
        <w:tc>
          <w:tcPr>
            <w:tcW w:w="600" w:type="dxa"/>
            <w:vAlign w:val="bottom"/>
          </w:tcPr>
          <w:p w:rsidR="00F92819" w:rsidRDefault="00F92819">
            <w:pPr>
              <w:spacing w:before="40" w:after="40" w:line="220" w:lineRule="exact"/>
              <w:jc w:val="right"/>
              <w:rPr>
                <w:sz w:val="18"/>
                <w:szCs w:val="24"/>
              </w:rPr>
            </w:pPr>
            <w:r>
              <w:rPr>
                <w:sz w:val="18"/>
                <w:szCs w:val="24"/>
              </w:rPr>
              <w:t>6,9</w:t>
            </w:r>
          </w:p>
        </w:tc>
        <w:tc>
          <w:tcPr>
            <w:tcW w:w="600" w:type="dxa"/>
            <w:gridSpan w:val="2"/>
            <w:vAlign w:val="bottom"/>
          </w:tcPr>
          <w:p w:rsidR="00F92819" w:rsidRDefault="00F92819">
            <w:pPr>
              <w:spacing w:before="40" w:after="40" w:line="220" w:lineRule="exact"/>
              <w:jc w:val="right"/>
              <w:rPr>
                <w:sz w:val="18"/>
                <w:szCs w:val="24"/>
              </w:rPr>
            </w:pPr>
            <w:r>
              <w:rPr>
                <w:sz w:val="18"/>
                <w:szCs w:val="24"/>
              </w:rPr>
              <w:t>7,3</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105,1</w:t>
            </w:r>
          </w:p>
        </w:tc>
      </w:tr>
      <w:tr w:rsidR="00F92819">
        <w:tc>
          <w:tcPr>
            <w:tcW w:w="1766" w:type="dxa"/>
            <w:vAlign w:val="bottom"/>
          </w:tcPr>
          <w:p w:rsidR="00F92819" w:rsidRDefault="00F92819">
            <w:pPr>
              <w:spacing w:before="40" w:after="40" w:line="220" w:lineRule="exact"/>
              <w:rPr>
                <w:szCs w:val="24"/>
              </w:rPr>
            </w:pPr>
            <w:r>
              <w:rPr>
                <w:sz w:val="18"/>
                <w:szCs w:val="24"/>
              </w:rPr>
              <w:t>55</w:t>
            </w:r>
            <w:r w:rsidR="008C04D7">
              <w:rPr>
                <w:sz w:val="18"/>
                <w:szCs w:val="24"/>
              </w:rPr>
              <w:t xml:space="preserve"> a </w:t>
            </w:r>
            <w:r>
              <w:rPr>
                <w:sz w:val="18"/>
                <w:szCs w:val="24"/>
              </w:rPr>
              <w:t>64</w:t>
            </w:r>
          </w:p>
        </w:tc>
        <w:tc>
          <w:tcPr>
            <w:tcW w:w="700" w:type="dxa"/>
            <w:vAlign w:val="bottom"/>
          </w:tcPr>
          <w:p w:rsidR="00F92819" w:rsidRDefault="00F92819">
            <w:pPr>
              <w:spacing w:before="40" w:after="40" w:line="220" w:lineRule="exact"/>
              <w:jc w:val="right"/>
              <w:rPr>
                <w:sz w:val="18"/>
                <w:szCs w:val="24"/>
              </w:rPr>
            </w:pPr>
            <w:r>
              <w:rPr>
                <w:sz w:val="18"/>
                <w:szCs w:val="24"/>
              </w:rPr>
              <w:t>6,9</w:t>
            </w:r>
          </w:p>
        </w:tc>
        <w:tc>
          <w:tcPr>
            <w:tcW w:w="600" w:type="dxa"/>
            <w:vAlign w:val="bottom"/>
          </w:tcPr>
          <w:p w:rsidR="00F92819" w:rsidRDefault="00F92819">
            <w:pPr>
              <w:spacing w:before="40" w:after="40" w:line="220" w:lineRule="exact"/>
              <w:jc w:val="right"/>
              <w:rPr>
                <w:sz w:val="18"/>
                <w:szCs w:val="24"/>
              </w:rPr>
            </w:pPr>
            <w:r>
              <w:rPr>
                <w:sz w:val="18"/>
                <w:szCs w:val="24"/>
              </w:rPr>
              <w:t>4,9</w:t>
            </w:r>
          </w:p>
        </w:tc>
        <w:tc>
          <w:tcPr>
            <w:tcW w:w="700" w:type="dxa"/>
            <w:vAlign w:val="bottom"/>
          </w:tcPr>
          <w:p w:rsidR="00F92819" w:rsidRDefault="00F92819">
            <w:pPr>
              <w:spacing w:before="40" w:after="40" w:line="220" w:lineRule="exact"/>
              <w:jc w:val="right"/>
              <w:rPr>
                <w:sz w:val="18"/>
                <w:szCs w:val="24"/>
              </w:rPr>
            </w:pPr>
            <w:r>
              <w:rPr>
                <w:sz w:val="18"/>
                <w:szCs w:val="24"/>
              </w:rPr>
              <w:t>5,2</w:t>
            </w:r>
          </w:p>
        </w:tc>
        <w:tc>
          <w:tcPr>
            <w:tcW w:w="700" w:type="dxa"/>
            <w:vAlign w:val="bottom"/>
          </w:tcPr>
          <w:p w:rsidR="00F92819" w:rsidRDefault="00F92819">
            <w:pPr>
              <w:spacing w:before="40" w:after="40" w:line="220" w:lineRule="exact"/>
              <w:jc w:val="right"/>
              <w:rPr>
                <w:sz w:val="18"/>
                <w:szCs w:val="24"/>
              </w:rPr>
            </w:pPr>
            <w:r>
              <w:rPr>
                <w:sz w:val="18"/>
                <w:szCs w:val="24"/>
              </w:rPr>
              <w:t>9</w:t>
            </w:r>
          </w:p>
        </w:tc>
        <w:tc>
          <w:tcPr>
            <w:tcW w:w="700" w:type="dxa"/>
            <w:vAlign w:val="bottom"/>
          </w:tcPr>
          <w:p w:rsidR="00F92819" w:rsidRDefault="00F92819">
            <w:pPr>
              <w:spacing w:before="40" w:after="40" w:line="220" w:lineRule="exact"/>
              <w:jc w:val="right"/>
              <w:rPr>
                <w:sz w:val="18"/>
                <w:szCs w:val="24"/>
              </w:rPr>
            </w:pPr>
            <w:r>
              <w:rPr>
                <w:sz w:val="18"/>
                <w:szCs w:val="24"/>
              </w:rPr>
              <w:t>8,5</w:t>
            </w:r>
          </w:p>
        </w:tc>
        <w:tc>
          <w:tcPr>
            <w:tcW w:w="700" w:type="dxa"/>
            <w:vAlign w:val="bottom"/>
          </w:tcPr>
          <w:p w:rsidR="00F92819" w:rsidRDefault="00F92819">
            <w:pPr>
              <w:spacing w:before="40" w:after="40" w:line="220" w:lineRule="exact"/>
              <w:jc w:val="right"/>
              <w:rPr>
                <w:sz w:val="18"/>
                <w:szCs w:val="24"/>
              </w:rPr>
            </w:pPr>
            <w:r>
              <w:rPr>
                <w:sz w:val="18"/>
                <w:szCs w:val="24"/>
              </w:rPr>
              <w:t>42</w:t>
            </w:r>
          </w:p>
        </w:tc>
        <w:tc>
          <w:tcPr>
            <w:tcW w:w="600" w:type="dxa"/>
            <w:vAlign w:val="bottom"/>
          </w:tcPr>
          <w:p w:rsidR="00F92819" w:rsidRDefault="00F92819">
            <w:pPr>
              <w:spacing w:before="40" w:after="40" w:line="220" w:lineRule="exact"/>
              <w:jc w:val="right"/>
              <w:rPr>
                <w:sz w:val="18"/>
                <w:szCs w:val="24"/>
              </w:rPr>
            </w:pPr>
            <w:r>
              <w:rPr>
                <w:sz w:val="18"/>
                <w:szCs w:val="24"/>
              </w:rPr>
              <w:t>11,3</w:t>
            </w:r>
          </w:p>
        </w:tc>
        <w:tc>
          <w:tcPr>
            <w:tcW w:w="600" w:type="dxa"/>
            <w:gridSpan w:val="2"/>
            <w:vAlign w:val="bottom"/>
          </w:tcPr>
          <w:p w:rsidR="00F92819" w:rsidRDefault="00F92819">
            <w:pPr>
              <w:spacing w:before="40" w:after="40" w:line="220" w:lineRule="exact"/>
              <w:jc w:val="right"/>
              <w:rPr>
                <w:sz w:val="18"/>
                <w:szCs w:val="24"/>
              </w:rPr>
            </w:pPr>
            <w:r>
              <w:rPr>
                <w:sz w:val="18"/>
                <w:szCs w:val="24"/>
              </w:rPr>
              <w:t>19,1</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61,1</w:t>
            </w:r>
          </w:p>
        </w:tc>
      </w:tr>
      <w:tr w:rsidR="00F92819">
        <w:tc>
          <w:tcPr>
            <w:tcW w:w="1766" w:type="dxa"/>
            <w:tcBorders>
              <w:bottom w:val="single" w:sz="4" w:space="0" w:color="auto"/>
            </w:tcBorders>
            <w:vAlign w:val="bottom"/>
          </w:tcPr>
          <w:p w:rsidR="00F92819" w:rsidRDefault="00F92819">
            <w:pPr>
              <w:spacing w:before="40" w:after="40" w:line="220" w:lineRule="exact"/>
              <w:rPr>
                <w:sz w:val="18"/>
                <w:szCs w:val="24"/>
              </w:rPr>
            </w:pPr>
            <w:r>
              <w:rPr>
                <w:sz w:val="18"/>
                <w:szCs w:val="24"/>
              </w:rPr>
              <w:t>65+</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3,5</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2,7</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3,2</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10</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3,9</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24</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16,2</w:t>
            </w:r>
          </w:p>
        </w:tc>
        <w:tc>
          <w:tcPr>
            <w:tcW w:w="600" w:type="dxa"/>
            <w:gridSpan w:val="2"/>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40,4</w:t>
            </w:r>
          </w:p>
        </w:tc>
        <w:tc>
          <w:tcPr>
            <w:tcW w:w="489" w:type="dxa"/>
            <w:tcBorders>
              <w:bottom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49,4</w:t>
            </w:r>
          </w:p>
        </w:tc>
      </w:tr>
      <w:tr w:rsidR="00F92819">
        <w:tc>
          <w:tcPr>
            <w:tcW w:w="1766" w:type="dxa"/>
            <w:tcBorders>
              <w:top w:val="single" w:sz="4" w:space="0" w:color="auto"/>
              <w:bottom w:val="single" w:sz="4" w:space="0" w:color="auto"/>
            </w:tcBorders>
            <w:vAlign w:val="bottom"/>
          </w:tcPr>
          <w:p w:rsidR="00F92819" w:rsidRDefault="00F92819">
            <w:pPr>
              <w:spacing w:before="80" w:after="80" w:line="220" w:lineRule="exact"/>
              <w:ind w:firstLine="284"/>
              <w:rPr>
                <w:szCs w:val="24"/>
              </w:rPr>
            </w:pPr>
            <w:r>
              <w:rPr>
                <w:b/>
                <w:sz w:val="18"/>
                <w:szCs w:val="24"/>
                <w:lang w:val="es-ES_tradnl"/>
              </w:rPr>
              <w:t>Hombres – Total</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11,3</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9,3</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9,4</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37,4</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19,8</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18,7</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2,7</w:t>
            </w:r>
          </w:p>
        </w:tc>
        <w:tc>
          <w:tcPr>
            <w:tcW w:w="600" w:type="dxa"/>
            <w:gridSpan w:val="2"/>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2,8</w:t>
            </w:r>
          </w:p>
        </w:tc>
        <w:tc>
          <w:tcPr>
            <w:tcW w:w="48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100</w:t>
            </w:r>
          </w:p>
        </w:tc>
        <w:tc>
          <w:tcPr>
            <w:tcW w:w="85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437,1</w:t>
            </w:r>
          </w:p>
        </w:tc>
      </w:tr>
      <w:tr w:rsidR="00F92819">
        <w:tc>
          <w:tcPr>
            <w:tcW w:w="1766" w:type="dxa"/>
            <w:tcBorders>
              <w:top w:val="single" w:sz="4" w:space="0" w:color="auto"/>
            </w:tcBorders>
            <w:vAlign w:val="bottom"/>
          </w:tcPr>
          <w:p w:rsidR="00F92819" w:rsidRDefault="00F92819">
            <w:pPr>
              <w:spacing w:before="40" w:after="40" w:line="220" w:lineRule="exact"/>
              <w:rPr>
                <w:szCs w:val="24"/>
              </w:rPr>
            </w:pPr>
            <w:r>
              <w:rPr>
                <w:sz w:val="18"/>
                <w:szCs w:val="24"/>
              </w:rPr>
              <w:t>15</w:t>
            </w:r>
            <w:r w:rsidR="008C04D7">
              <w:rPr>
                <w:sz w:val="18"/>
                <w:szCs w:val="24"/>
              </w:rPr>
              <w:t xml:space="preserve"> a </w:t>
            </w:r>
            <w:r>
              <w:rPr>
                <w:sz w:val="18"/>
                <w:szCs w:val="24"/>
              </w:rPr>
              <w:t>17</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11</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49,4</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45,2</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4,4</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00" w:type="dxa"/>
            <w:gridSpan w:val="2"/>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489"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45,8</w:t>
            </w:r>
          </w:p>
        </w:tc>
      </w:tr>
      <w:tr w:rsidR="00F92819">
        <w:tc>
          <w:tcPr>
            <w:tcW w:w="1766" w:type="dxa"/>
            <w:vAlign w:val="bottom"/>
          </w:tcPr>
          <w:p w:rsidR="00F92819" w:rsidRDefault="00F92819">
            <w:pPr>
              <w:spacing w:before="40" w:after="40" w:line="220" w:lineRule="exact"/>
              <w:rPr>
                <w:szCs w:val="24"/>
              </w:rPr>
            </w:pPr>
            <w:r>
              <w:rPr>
                <w:sz w:val="18"/>
                <w:szCs w:val="24"/>
              </w:rPr>
              <w:t>18</w:t>
            </w:r>
            <w:r w:rsidR="008C04D7">
              <w:rPr>
                <w:sz w:val="18"/>
                <w:szCs w:val="24"/>
              </w:rPr>
              <w:t xml:space="preserve"> a </w:t>
            </w:r>
            <w:r>
              <w:rPr>
                <w:sz w:val="18"/>
                <w:szCs w:val="24"/>
              </w:rPr>
              <w:t>24</w:t>
            </w:r>
          </w:p>
        </w:tc>
        <w:tc>
          <w:tcPr>
            <w:tcW w:w="700" w:type="dxa"/>
            <w:vAlign w:val="bottom"/>
          </w:tcPr>
          <w:p w:rsidR="00F92819" w:rsidRDefault="00F92819">
            <w:pPr>
              <w:spacing w:before="40" w:after="40" w:line="220" w:lineRule="exact"/>
              <w:jc w:val="right"/>
              <w:rPr>
                <w:sz w:val="18"/>
                <w:szCs w:val="24"/>
              </w:rPr>
            </w:pPr>
            <w:r>
              <w:rPr>
                <w:sz w:val="18"/>
                <w:szCs w:val="24"/>
              </w:rPr>
              <w:t>11,9</w:t>
            </w:r>
          </w:p>
        </w:tc>
        <w:tc>
          <w:tcPr>
            <w:tcW w:w="600" w:type="dxa"/>
            <w:vAlign w:val="bottom"/>
          </w:tcPr>
          <w:p w:rsidR="00F92819" w:rsidRDefault="00F92819">
            <w:pPr>
              <w:spacing w:before="40" w:after="40" w:line="220" w:lineRule="exact"/>
              <w:jc w:val="right"/>
              <w:rPr>
                <w:sz w:val="18"/>
                <w:szCs w:val="24"/>
              </w:rPr>
            </w:pPr>
            <w:r>
              <w:rPr>
                <w:sz w:val="18"/>
                <w:szCs w:val="24"/>
              </w:rPr>
              <w:t>3,9</w:t>
            </w:r>
          </w:p>
        </w:tc>
        <w:tc>
          <w:tcPr>
            <w:tcW w:w="700" w:type="dxa"/>
            <w:vAlign w:val="bottom"/>
          </w:tcPr>
          <w:p w:rsidR="00F92819" w:rsidRDefault="00F92819">
            <w:pPr>
              <w:spacing w:before="40" w:after="40" w:line="220" w:lineRule="exact"/>
              <w:jc w:val="right"/>
              <w:rPr>
                <w:sz w:val="18"/>
                <w:szCs w:val="24"/>
              </w:rPr>
            </w:pPr>
            <w:r>
              <w:rPr>
                <w:sz w:val="18"/>
                <w:szCs w:val="24"/>
              </w:rPr>
              <w:t>17,1</w:t>
            </w:r>
          </w:p>
        </w:tc>
        <w:tc>
          <w:tcPr>
            <w:tcW w:w="700" w:type="dxa"/>
            <w:vAlign w:val="bottom"/>
          </w:tcPr>
          <w:p w:rsidR="00F92819" w:rsidRDefault="00F92819">
            <w:pPr>
              <w:spacing w:before="40" w:after="40" w:line="220" w:lineRule="exact"/>
              <w:jc w:val="right"/>
              <w:rPr>
                <w:sz w:val="18"/>
                <w:szCs w:val="24"/>
              </w:rPr>
            </w:pPr>
            <w:r>
              <w:rPr>
                <w:sz w:val="18"/>
                <w:szCs w:val="24"/>
              </w:rPr>
              <w:t>54,7</w:t>
            </w:r>
          </w:p>
        </w:tc>
        <w:tc>
          <w:tcPr>
            <w:tcW w:w="700" w:type="dxa"/>
            <w:vAlign w:val="bottom"/>
          </w:tcPr>
          <w:p w:rsidR="00F92819" w:rsidRDefault="00F92819">
            <w:pPr>
              <w:spacing w:before="40" w:after="40" w:line="220" w:lineRule="exact"/>
              <w:jc w:val="right"/>
              <w:rPr>
                <w:sz w:val="18"/>
                <w:szCs w:val="24"/>
              </w:rPr>
            </w:pPr>
            <w:r>
              <w:rPr>
                <w:sz w:val="18"/>
                <w:szCs w:val="24"/>
              </w:rPr>
              <w:t>13,8</w:t>
            </w:r>
          </w:p>
        </w:tc>
        <w:tc>
          <w:tcPr>
            <w:tcW w:w="700" w:type="dxa"/>
            <w:vAlign w:val="bottom"/>
          </w:tcPr>
          <w:p w:rsidR="00F92819" w:rsidRDefault="00F92819">
            <w:pPr>
              <w:spacing w:before="40" w:after="40" w:line="220" w:lineRule="exact"/>
              <w:jc w:val="right"/>
              <w:rPr>
                <w:sz w:val="18"/>
                <w:szCs w:val="24"/>
              </w:rPr>
            </w:pPr>
            <w:r>
              <w:rPr>
                <w:sz w:val="18"/>
                <w:szCs w:val="24"/>
              </w:rPr>
              <w:t>9,3</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88,4</w:t>
            </w:r>
          </w:p>
        </w:tc>
      </w:tr>
      <w:tr w:rsidR="00F92819">
        <w:tc>
          <w:tcPr>
            <w:tcW w:w="1766" w:type="dxa"/>
            <w:vAlign w:val="bottom"/>
          </w:tcPr>
          <w:p w:rsidR="00F92819" w:rsidRDefault="00F92819">
            <w:pPr>
              <w:spacing w:before="40" w:after="40" w:line="220" w:lineRule="exact"/>
              <w:rPr>
                <w:szCs w:val="24"/>
              </w:rPr>
            </w:pPr>
            <w:r>
              <w:rPr>
                <w:sz w:val="18"/>
                <w:szCs w:val="24"/>
              </w:rPr>
              <w:t>25</w:t>
            </w:r>
            <w:r w:rsidR="008C04D7">
              <w:rPr>
                <w:sz w:val="18"/>
                <w:szCs w:val="24"/>
              </w:rPr>
              <w:t xml:space="preserve"> a </w:t>
            </w:r>
            <w:r>
              <w:rPr>
                <w:sz w:val="18"/>
                <w:szCs w:val="24"/>
              </w:rPr>
              <w:t>34</w:t>
            </w:r>
          </w:p>
        </w:tc>
        <w:tc>
          <w:tcPr>
            <w:tcW w:w="700" w:type="dxa"/>
            <w:vAlign w:val="bottom"/>
          </w:tcPr>
          <w:p w:rsidR="00F92819" w:rsidRDefault="00F92819">
            <w:pPr>
              <w:spacing w:before="40" w:after="40" w:line="220" w:lineRule="exact"/>
              <w:jc w:val="right"/>
              <w:rPr>
                <w:sz w:val="18"/>
                <w:szCs w:val="24"/>
              </w:rPr>
            </w:pPr>
            <w:r>
              <w:rPr>
                <w:sz w:val="18"/>
                <w:szCs w:val="24"/>
              </w:rPr>
              <w:t>11,8</w:t>
            </w:r>
          </w:p>
        </w:tc>
        <w:tc>
          <w:tcPr>
            <w:tcW w:w="600" w:type="dxa"/>
            <w:vAlign w:val="bottom"/>
          </w:tcPr>
          <w:p w:rsidR="00F92819" w:rsidRDefault="00F92819">
            <w:pPr>
              <w:spacing w:before="40" w:after="40" w:line="220" w:lineRule="exact"/>
              <w:jc w:val="right"/>
              <w:rPr>
                <w:sz w:val="18"/>
                <w:szCs w:val="24"/>
              </w:rPr>
            </w:pPr>
            <w:r>
              <w:rPr>
                <w:sz w:val="18"/>
                <w:szCs w:val="24"/>
              </w:rPr>
              <w:t>14,3</w:t>
            </w:r>
          </w:p>
        </w:tc>
        <w:tc>
          <w:tcPr>
            <w:tcW w:w="700" w:type="dxa"/>
            <w:vAlign w:val="bottom"/>
          </w:tcPr>
          <w:p w:rsidR="00F92819" w:rsidRDefault="00F92819">
            <w:pPr>
              <w:spacing w:before="40" w:after="40" w:line="220" w:lineRule="exact"/>
              <w:jc w:val="right"/>
              <w:rPr>
                <w:sz w:val="18"/>
                <w:szCs w:val="24"/>
              </w:rPr>
            </w:pPr>
            <w:r>
              <w:rPr>
                <w:sz w:val="18"/>
                <w:szCs w:val="24"/>
              </w:rPr>
              <w:t>10,9</w:t>
            </w:r>
          </w:p>
        </w:tc>
        <w:tc>
          <w:tcPr>
            <w:tcW w:w="700" w:type="dxa"/>
            <w:vAlign w:val="bottom"/>
          </w:tcPr>
          <w:p w:rsidR="00F92819" w:rsidRDefault="00F92819">
            <w:pPr>
              <w:spacing w:before="40" w:after="40" w:line="220" w:lineRule="exact"/>
              <w:jc w:val="right"/>
              <w:rPr>
                <w:sz w:val="18"/>
                <w:szCs w:val="24"/>
              </w:rPr>
            </w:pPr>
            <w:r>
              <w:rPr>
                <w:sz w:val="18"/>
                <w:szCs w:val="24"/>
              </w:rPr>
              <w:t>40</w:t>
            </w:r>
          </w:p>
        </w:tc>
        <w:tc>
          <w:tcPr>
            <w:tcW w:w="700" w:type="dxa"/>
            <w:vAlign w:val="bottom"/>
          </w:tcPr>
          <w:p w:rsidR="00F92819" w:rsidRDefault="00F92819">
            <w:pPr>
              <w:spacing w:before="40" w:after="40" w:line="220" w:lineRule="exact"/>
              <w:jc w:val="right"/>
              <w:rPr>
                <w:sz w:val="18"/>
                <w:szCs w:val="24"/>
              </w:rPr>
            </w:pPr>
            <w:r>
              <w:rPr>
                <w:sz w:val="18"/>
                <w:szCs w:val="24"/>
              </w:rPr>
              <w:t>18,8</w:t>
            </w:r>
          </w:p>
        </w:tc>
        <w:tc>
          <w:tcPr>
            <w:tcW w:w="700" w:type="dxa"/>
            <w:vAlign w:val="bottom"/>
          </w:tcPr>
          <w:p w:rsidR="00F92819" w:rsidRDefault="00F92819">
            <w:pPr>
              <w:spacing w:before="40" w:after="40" w:line="220" w:lineRule="exact"/>
              <w:jc w:val="right"/>
              <w:rPr>
                <w:sz w:val="18"/>
                <w:szCs w:val="24"/>
              </w:rPr>
            </w:pPr>
            <w:r>
              <w:rPr>
                <w:sz w:val="18"/>
                <w:szCs w:val="24"/>
              </w:rPr>
              <w:t>13,5</w:t>
            </w:r>
          </w:p>
        </w:tc>
        <w:tc>
          <w:tcPr>
            <w:tcW w:w="600" w:type="dxa"/>
            <w:vAlign w:val="bottom"/>
          </w:tcPr>
          <w:p w:rsidR="00F92819" w:rsidRDefault="00F92819">
            <w:pPr>
              <w:spacing w:before="40" w:after="40" w:line="220" w:lineRule="exact"/>
              <w:jc w:val="right"/>
              <w:rPr>
                <w:sz w:val="18"/>
                <w:szCs w:val="24"/>
              </w:rPr>
            </w:pPr>
            <w:r>
              <w:rPr>
                <w:sz w:val="18"/>
                <w:szCs w:val="24"/>
              </w:rPr>
              <w:t>0,9</w:t>
            </w:r>
          </w:p>
        </w:tc>
        <w:tc>
          <w:tcPr>
            <w:tcW w:w="600" w:type="dxa"/>
            <w:gridSpan w:val="2"/>
            <w:vAlign w:val="bottom"/>
          </w:tcPr>
          <w:p w:rsidR="00F92819" w:rsidRDefault="00F92819">
            <w:pPr>
              <w:spacing w:before="40" w:after="40" w:line="220" w:lineRule="exact"/>
              <w:jc w:val="right"/>
              <w:rPr>
                <w:sz w:val="18"/>
                <w:szCs w:val="24"/>
              </w:rPr>
            </w:pPr>
            <w:r>
              <w:rPr>
                <w:sz w:val="18"/>
                <w:szCs w:val="24"/>
              </w:rPr>
              <w:t>1,6</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110,2</w:t>
            </w:r>
          </w:p>
        </w:tc>
      </w:tr>
      <w:tr w:rsidR="00F92819">
        <w:tc>
          <w:tcPr>
            <w:tcW w:w="1766" w:type="dxa"/>
            <w:vAlign w:val="bottom"/>
          </w:tcPr>
          <w:p w:rsidR="00F92819" w:rsidRDefault="00F92819">
            <w:pPr>
              <w:spacing w:before="40" w:after="40" w:line="220" w:lineRule="exact"/>
              <w:rPr>
                <w:szCs w:val="24"/>
              </w:rPr>
            </w:pPr>
            <w:r>
              <w:rPr>
                <w:sz w:val="18"/>
                <w:szCs w:val="24"/>
              </w:rPr>
              <w:t>35</w:t>
            </w:r>
            <w:r w:rsidR="008C04D7">
              <w:rPr>
                <w:sz w:val="18"/>
                <w:szCs w:val="24"/>
              </w:rPr>
              <w:t xml:space="preserve"> a </w:t>
            </w:r>
            <w:r>
              <w:rPr>
                <w:sz w:val="18"/>
                <w:szCs w:val="24"/>
              </w:rPr>
              <w:t>44</w:t>
            </w:r>
          </w:p>
        </w:tc>
        <w:tc>
          <w:tcPr>
            <w:tcW w:w="700" w:type="dxa"/>
            <w:vAlign w:val="bottom"/>
          </w:tcPr>
          <w:p w:rsidR="00F92819" w:rsidRDefault="00F92819">
            <w:pPr>
              <w:spacing w:before="40" w:after="40" w:line="220" w:lineRule="exact"/>
              <w:jc w:val="right"/>
              <w:rPr>
                <w:sz w:val="18"/>
                <w:szCs w:val="24"/>
              </w:rPr>
            </w:pPr>
            <w:r>
              <w:rPr>
                <w:sz w:val="18"/>
                <w:szCs w:val="24"/>
              </w:rPr>
              <w:t>11,3</w:t>
            </w:r>
          </w:p>
        </w:tc>
        <w:tc>
          <w:tcPr>
            <w:tcW w:w="600" w:type="dxa"/>
            <w:vAlign w:val="bottom"/>
          </w:tcPr>
          <w:p w:rsidR="00F92819" w:rsidRDefault="00F92819">
            <w:pPr>
              <w:spacing w:before="40" w:after="40" w:line="220" w:lineRule="exact"/>
              <w:jc w:val="right"/>
              <w:rPr>
                <w:sz w:val="18"/>
                <w:szCs w:val="24"/>
              </w:rPr>
            </w:pPr>
            <w:r>
              <w:rPr>
                <w:sz w:val="18"/>
                <w:szCs w:val="24"/>
              </w:rPr>
              <w:t>12,1</w:t>
            </w:r>
          </w:p>
        </w:tc>
        <w:tc>
          <w:tcPr>
            <w:tcW w:w="700" w:type="dxa"/>
            <w:vAlign w:val="bottom"/>
          </w:tcPr>
          <w:p w:rsidR="00F92819" w:rsidRDefault="00F92819">
            <w:pPr>
              <w:spacing w:before="40" w:after="40" w:line="220" w:lineRule="exact"/>
              <w:jc w:val="right"/>
              <w:rPr>
                <w:sz w:val="18"/>
                <w:szCs w:val="24"/>
              </w:rPr>
            </w:pPr>
            <w:r>
              <w:rPr>
                <w:sz w:val="18"/>
                <w:szCs w:val="24"/>
              </w:rPr>
              <w:t>7,9</w:t>
            </w:r>
          </w:p>
        </w:tc>
        <w:tc>
          <w:tcPr>
            <w:tcW w:w="700" w:type="dxa"/>
            <w:vAlign w:val="bottom"/>
          </w:tcPr>
          <w:p w:rsidR="00F92819" w:rsidRDefault="00F92819">
            <w:pPr>
              <w:spacing w:before="40" w:after="40" w:line="220" w:lineRule="exact"/>
              <w:jc w:val="right"/>
              <w:rPr>
                <w:sz w:val="18"/>
                <w:szCs w:val="24"/>
              </w:rPr>
            </w:pPr>
            <w:r>
              <w:rPr>
                <w:sz w:val="18"/>
                <w:szCs w:val="24"/>
              </w:rPr>
              <w:t>35,3</w:t>
            </w:r>
          </w:p>
        </w:tc>
        <w:tc>
          <w:tcPr>
            <w:tcW w:w="700" w:type="dxa"/>
            <w:vAlign w:val="bottom"/>
          </w:tcPr>
          <w:p w:rsidR="00F92819" w:rsidRDefault="00F92819">
            <w:pPr>
              <w:spacing w:before="40" w:after="40" w:line="220" w:lineRule="exact"/>
              <w:jc w:val="right"/>
              <w:rPr>
                <w:sz w:val="18"/>
                <w:szCs w:val="24"/>
              </w:rPr>
            </w:pPr>
            <w:r>
              <w:rPr>
                <w:sz w:val="18"/>
                <w:szCs w:val="24"/>
              </w:rPr>
              <w:t>22,2</w:t>
            </w:r>
          </w:p>
        </w:tc>
        <w:tc>
          <w:tcPr>
            <w:tcW w:w="700" w:type="dxa"/>
            <w:vAlign w:val="bottom"/>
          </w:tcPr>
          <w:p w:rsidR="00F92819" w:rsidRDefault="00F92819">
            <w:pPr>
              <w:spacing w:before="40" w:after="40" w:line="220" w:lineRule="exact"/>
              <w:jc w:val="right"/>
              <w:rPr>
                <w:sz w:val="18"/>
                <w:szCs w:val="24"/>
              </w:rPr>
            </w:pPr>
            <w:r>
              <w:rPr>
                <w:sz w:val="18"/>
                <w:szCs w:val="24"/>
              </w:rPr>
              <w:t>19,6</w:t>
            </w:r>
          </w:p>
        </w:tc>
        <w:tc>
          <w:tcPr>
            <w:tcW w:w="600" w:type="dxa"/>
            <w:vAlign w:val="bottom"/>
          </w:tcPr>
          <w:p w:rsidR="00F92819" w:rsidRDefault="00F92819">
            <w:pPr>
              <w:spacing w:before="40" w:after="40" w:line="220" w:lineRule="exact"/>
              <w:jc w:val="right"/>
              <w:rPr>
                <w:sz w:val="18"/>
                <w:szCs w:val="24"/>
              </w:rPr>
            </w:pPr>
            <w:r>
              <w:rPr>
                <w:sz w:val="18"/>
                <w:szCs w:val="24"/>
              </w:rPr>
              <w:t>1,4</w:t>
            </w:r>
          </w:p>
        </w:tc>
        <w:tc>
          <w:tcPr>
            <w:tcW w:w="600" w:type="dxa"/>
            <w:gridSpan w:val="2"/>
            <w:vAlign w:val="bottom"/>
          </w:tcPr>
          <w:p w:rsidR="00F92819" w:rsidRDefault="00F92819">
            <w:pPr>
              <w:spacing w:before="40" w:after="40" w:line="220" w:lineRule="exact"/>
              <w:jc w:val="right"/>
              <w:rPr>
                <w:sz w:val="18"/>
                <w:szCs w:val="24"/>
              </w:rPr>
            </w:pPr>
            <w:r>
              <w:rPr>
                <w:sz w:val="18"/>
                <w:szCs w:val="24"/>
              </w:rPr>
              <w:t>1,3</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85,8</w:t>
            </w:r>
          </w:p>
        </w:tc>
      </w:tr>
      <w:tr w:rsidR="00F92819">
        <w:tc>
          <w:tcPr>
            <w:tcW w:w="1766" w:type="dxa"/>
            <w:vAlign w:val="bottom"/>
          </w:tcPr>
          <w:p w:rsidR="00F92819" w:rsidRDefault="00F92819">
            <w:pPr>
              <w:spacing w:before="40" w:after="40" w:line="220" w:lineRule="exact"/>
              <w:rPr>
                <w:szCs w:val="24"/>
              </w:rPr>
            </w:pPr>
            <w:r>
              <w:rPr>
                <w:sz w:val="18"/>
                <w:szCs w:val="24"/>
              </w:rPr>
              <w:t>45</w:t>
            </w:r>
            <w:r w:rsidR="008C04D7">
              <w:rPr>
                <w:sz w:val="18"/>
                <w:szCs w:val="24"/>
              </w:rPr>
              <w:t xml:space="preserve"> a </w:t>
            </w:r>
            <w:r>
              <w:rPr>
                <w:sz w:val="18"/>
                <w:szCs w:val="24"/>
              </w:rPr>
              <w:t>54</w:t>
            </w:r>
          </w:p>
        </w:tc>
        <w:tc>
          <w:tcPr>
            <w:tcW w:w="700" w:type="dxa"/>
            <w:vAlign w:val="bottom"/>
          </w:tcPr>
          <w:p w:rsidR="00F92819" w:rsidRDefault="00F92819">
            <w:pPr>
              <w:spacing w:before="40" w:after="40" w:line="220" w:lineRule="exact"/>
              <w:jc w:val="right"/>
              <w:rPr>
                <w:sz w:val="18"/>
                <w:szCs w:val="24"/>
              </w:rPr>
            </w:pPr>
            <w:r>
              <w:rPr>
                <w:sz w:val="18"/>
                <w:szCs w:val="24"/>
              </w:rPr>
              <w:t>10,5</w:t>
            </w:r>
          </w:p>
        </w:tc>
        <w:tc>
          <w:tcPr>
            <w:tcW w:w="600" w:type="dxa"/>
            <w:vAlign w:val="bottom"/>
          </w:tcPr>
          <w:p w:rsidR="00F92819" w:rsidRDefault="00F92819">
            <w:pPr>
              <w:spacing w:before="40" w:after="40" w:line="220" w:lineRule="exact"/>
              <w:jc w:val="right"/>
              <w:rPr>
                <w:sz w:val="18"/>
                <w:szCs w:val="24"/>
              </w:rPr>
            </w:pPr>
            <w:r>
              <w:rPr>
                <w:sz w:val="18"/>
                <w:szCs w:val="24"/>
              </w:rPr>
              <w:t>13,8</w:t>
            </w:r>
          </w:p>
        </w:tc>
        <w:tc>
          <w:tcPr>
            <w:tcW w:w="700" w:type="dxa"/>
            <w:vAlign w:val="bottom"/>
          </w:tcPr>
          <w:p w:rsidR="00F92819" w:rsidRDefault="00F92819">
            <w:pPr>
              <w:spacing w:before="40" w:after="40" w:line="220" w:lineRule="exact"/>
              <w:jc w:val="right"/>
              <w:rPr>
                <w:sz w:val="18"/>
                <w:szCs w:val="24"/>
              </w:rPr>
            </w:pPr>
            <w:r>
              <w:rPr>
                <w:sz w:val="18"/>
                <w:szCs w:val="24"/>
              </w:rPr>
              <w:t>7,4</w:t>
            </w:r>
          </w:p>
        </w:tc>
        <w:tc>
          <w:tcPr>
            <w:tcW w:w="700" w:type="dxa"/>
            <w:vAlign w:val="bottom"/>
          </w:tcPr>
          <w:p w:rsidR="00F92819" w:rsidRDefault="00F92819">
            <w:pPr>
              <w:spacing w:before="40" w:after="40" w:line="220" w:lineRule="exact"/>
              <w:jc w:val="right"/>
              <w:rPr>
                <w:sz w:val="18"/>
                <w:szCs w:val="24"/>
              </w:rPr>
            </w:pPr>
            <w:r>
              <w:rPr>
                <w:sz w:val="18"/>
                <w:szCs w:val="24"/>
              </w:rPr>
              <w:t>24,1</w:t>
            </w:r>
          </w:p>
        </w:tc>
        <w:tc>
          <w:tcPr>
            <w:tcW w:w="700" w:type="dxa"/>
            <w:vAlign w:val="bottom"/>
          </w:tcPr>
          <w:p w:rsidR="00F92819" w:rsidRDefault="00F92819">
            <w:pPr>
              <w:spacing w:before="40" w:after="40" w:line="220" w:lineRule="exact"/>
              <w:jc w:val="right"/>
              <w:rPr>
                <w:sz w:val="18"/>
                <w:szCs w:val="24"/>
              </w:rPr>
            </w:pPr>
            <w:r>
              <w:rPr>
                <w:sz w:val="18"/>
                <w:szCs w:val="24"/>
              </w:rPr>
              <w:t>18,3</w:t>
            </w:r>
          </w:p>
        </w:tc>
        <w:tc>
          <w:tcPr>
            <w:tcW w:w="700" w:type="dxa"/>
            <w:vAlign w:val="bottom"/>
          </w:tcPr>
          <w:p w:rsidR="00F92819" w:rsidRDefault="00F92819">
            <w:pPr>
              <w:spacing w:before="40" w:after="40" w:line="220" w:lineRule="exact"/>
              <w:jc w:val="right"/>
              <w:rPr>
                <w:sz w:val="18"/>
                <w:szCs w:val="24"/>
              </w:rPr>
            </w:pPr>
            <w:r>
              <w:rPr>
                <w:sz w:val="18"/>
                <w:szCs w:val="24"/>
              </w:rPr>
              <w:t>29,6</w:t>
            </w:r>
          </w:p>
        </w:tc>
        <w:tc>
          <w:tcPr>
            <w:tcW w:w="600" w:type="dxa"/>
            <w:vAlign w:val="bottom"/>
          </w:tcPr>
          <w:p w:rsidR="00F92819" w:rsidRDefault="00F92819">
            <w:pPr>
              <w:spacing w:before="40" w:after="40" w:line="220" w:lineRule="exact"/>
              <w:jc w:val="right"/>
              <w:rPr>
                <w:sz w:val="18"/>
                <w:szCs w:val="24"/>
              </w:rPr>
            </w:pPr>
            <w:r>
              <w:rPr>
                <w:sz w:val="18"/>
                <w:szCs w:val="24"/>
              </w:rPr>
              <w:t>4,5</w:t>
            </w:r>
          </w:p>
        </w:tc>
        <w:tc>
          <w:tcPr>
            <w:tcW w:w="600" w:type="dxa"/>
            <w:gridSpan w:val="2"/>
            <w:vAlign w:val="bottom"/>
          </w:tcPr>
          <w:p w:rsidR="00F92819" w:rsidRDefault="00F92819">
            <w:pPr>
              <w:spacing w:before="40" w:after="40" w:line="220" w:lineRule="exact"/>
              <w:jc w:val="right"/>
              <w:rPr>
                <w:sz w:val="18"/>
                <w:szCs w:val="24"/>
              </w:rPr>
            </w:pPr>
            <w:r>
              <w:rPr>
                <w:sz w:val="18"/>
                <w:szCs w:val="24"/>
              </w:rPr>
              <w:t>2,3</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53,3</w:t>
            </w:r>
          </w:p>
        </w:tc>
      </w:tr>
      <w:tr w:rsidR="00F92819">
        <w:tc>
          <w:tcPr>
            <w:tcW w:w="1766" w:type="dxa"/>
            <w:vAlign w:val="bottom"/>
          </w:tcPr>
          <w:p w:rsidR="00F92819" w:rsidRDefault="00F92819">
            <w:pPr>
              <w:spacing w:before="40" w:after="40" w:line="220" w:lineRule="exact"/>
              <w:rPr>
                <w:szCs w:val="24"/>
              </w:rPr>
            </w:pPr>
            <w:r>
              <w:rPr>
                <w:sz w:val="18"/>
                <w:szCs w:val="24"/>
              </w:rPr>
              <w:t>55</w:t>
            </w:r>
            <w:r w:rsidR="008C04D7">
              <w:rPr>
                <w:sz w:val="18"/>
                <w:szCs w:val="24"/>
              </w:rPr>
              <w:t xml:space="preserve"> a </w:t>
            </w:r>
            <w:r>
              <w:rPr>
                <w:sz w:val="18"/>
                <w:szCs w:val="24"/>
              </w:rPr>
              <w:t>64</w:t>
            </w:r>
          </w:p>
        </w:tc>
        <w:tc>
          <w:tcPr>
            <w:tcW w:w="700" w:type="dxa"/>
            <w:vAlign w:val="bottom"/>
          </w:tcPr>
          <w:p w:rsidR="00F92819" w:rsidRDefault="00F92819">
            <w:pPr>
              <w:spacing w:before="40" w:after="40" w:line="220" w:lineRule="exact"/>
              <w:jc w:val="right"/>
              <w:rPr>
                <w:sz w:val="18"/>
                <w:szCs w:val="24"/>
              </w:rPr>
            </w:pPr>
            <w:r>
              <w:rPr>
                <w:sz w:val="18"/>
                <w:szCs w:val="24"/>
              </w:rPr>
              <w:t>7,8</w:t>
            </w:r>
          </w:p>
        </w:tc>
        <w:tc>
          <w:tcPr>
            <w:tcW w:w="600" w:type="dxa"/>
            <w:vAlign w:val="bottom"/>
          </w:tcPr>
          <w:p w:rsidR="00F92819" w:rsidRDefault="00F92819">
            <w:pPr>
              <w:spacing w:before="40" w:after="40" w:line="220" w:lineRule="exact"/>
              <w:jc w:val="right"/>
              <w:rPr>
                <w:sz w:val="18"/>
                <w:szCs w:val="24"/>
              </w:rPr>
            </w:pPr>
            <w:r>
              <w:rPr>
                <w:sz w:val="18"/>
                <w:szCs w:val="24"/>
              </w:rPr>
              <w:t>7,9</w:t>
            </w:r>
          </w:p>
        </w:tc>
        <w:tc>
          <w:tcPr>
            <w:tcW w:w="700" w:type="dxa"/>
            <w:vAlign w:val="bottom"/>
          </w:tcPr>
          <w:p w:rsidR="00F92819" w:rsidRDefault="00F92819">
            <w:pPr>
              <w:spacing w:before="40" w:after="40" w:line="220" w:lineRule="exact"/>
              <w:jc w:val="right"/>
              <w:rPr>
                <w:sz w:val="18"/>
                <w:szCs w:val="24"/>
              </w:rPr>
            </w:pPr>
            <w:r>
              <w:rPr>
                <w:sz w:val="18"/>
                <w:szCs w:val="24"/>
              </w:rPr>
              <w:t>7,5</w:t>
            </w:r>
          </w:p>
        </w:tc>
        <w:tc>
          <w:tcPr>
            <w:tcW w:w="700" w:type="dxa"/>
            <w:vAlign w:val="bottom"/>
          </w:tcPr>
          <w:p w:rsidR="00F92819" w:rsidRDefault="00F92819">
            <w:pPr>
              <w:spacing w:before="40" w:after="40" w:line="220" w:lineRule="exact"/>
              <w:jc w:val="right"/>
              <w:rPr>
                <w:sz w:val="18"/>
                <w:szCs w:val="24"/>
              </w:rPr>
            </w:pPr>
            <w:r>
              <w:rPr>
                <w:sz w:val="18"/>
                <w:szCs w:val="24"/>
              </w:rPr>
              <w:t>9,8</w:t>
            </w:r>
          </w:p>
        </w:tc>
        <w:tc>
          <w:tcPr>
            <w:tcW w:w="700" w:type="dxa"/>
            <w:vAlign w:val="bottom"/>
          </w:tcPr>
          <w:p w:rsidR="00F92819" w:rsidRDefault="00F92819">
            <w:pPr>
              <w:spacing w:before="40" w:after="40" w:line="220" w:lineRule="exact"/>
              <w:jc w:val="right"/>
              <w:rPr>
                <w:sz w:val="18"/>
                <w:szCs w:val="24"/>
              </w:rPr>
            </w:pPr>
            <w:r>
              <w:rPr>
                <w:sz w:val="18"/>
                <w:szCs w:val="24"/>
              </w:rPr>
              <w:t>10</w:t>
            </w:r>
          </w:p>
        </w:tc>
        <w:tc>
          <w:tcPr>
            <w:tcW w:w="700" w:type="dxa"/>
            <w:vAlign w:val="bottom"/>
          </w:tcPr>
          <w:p w:rsidR="00F92819" w:rsidRDefault="00F92819">
            <w:pPr>
              <w:spacing w:before="40" w:after="40" w:line="220" w:lineRule="exact"/>
              <w:jc w:val="right"/>
              <w:rPr>
                <w:sz w:val="18"/>
                <w:szCs w:val="24"/>
              </w:rPr>
            </w:pPr>
            <w:r>
              <w:rPr>
                <w:sz w:val="18"/>
                <w:szCs w:val="24"/>
              </w:rPr>
              <w:t>48,5</w:t>
            </w:r>
          </w:p>
        </w:tc>
        <w:tc>
          <w:tcPr>
            <w:tcW w:w="600" w:type="dxa"/>
            <w:vAlign w:val="bottom"/>
          </w:tcPr>
          <w:p w:rsidR="00F92819" w:rsidRDefault="00F92819">
            <w:pPr>
              <w:spacing w:before="40" w:after="40" w:line="220" w:lineRule="exact"/>
              <w:jc w:val="right"/>
              <w:rPr>
                <w:sz w:val="18"/>
                <w:szCs w:val="24"/>
              </w:rPr>
            </w:pPr>
            <w:r>
              <w:rPr>
                <w:sz w:val="18"/>
                <w:szCs w:val="24"/>
              </w:rPr>
              <w:t>7,5</w:t>
            </w:r>
          </w:p>
        </w:tc>
        <w:tc>
          <w:tcPr>
            <w:tcW w:w="600" w:type="dxa"/>
            <w:gridSpan w:val="2"/>
            <w:vAlign w:val="bottom"/>
          </w:tcPr>
          <w:p w:rsidR="00F92819" w:rsidRDefault="00F92819">
            <w:pPr>
              <w:spacing w:before="40" w:after="40" w:line="220" w:lineRule="exact"/>
              <w:jc w:val="right"/>
              <w:rPr>
                <w:sz w:val="18"/>
                <w:szCs w:val="24"/>
              </w:rPr>
            </w:pPr>
            <w:r>
              <w:rPr>
                <w:sz w:val="18"/>
                <w:szCs w:val="24"/>
              </w:rPr>
              <w:t>8,8</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30,3</w:t>
            </w:r>
          </w:p>
        </w:tc>
      </w:tr>
      <w:tr w:rsidR="00F92819">
        <w:tc>
          <w:tcPr>
            <w:tcW w:w="1766" w:type="dxa"/>
            <w:tcBorders>
              <w:bottom w:val="single" w:sz="4" w:space="0" w:color="auto"/>
            </w:tcBorders>
            <w:vAlign w:val="bottom"/>
          </w:tcPr>
          <w:p w:rsidR="00F92819" w:rsidRDefault="00F92819">
            <w:pPr>
              <w:spacing w:before="40" w:after="40" w:line="220" w:lineRule="exact"/>
              <w:rPr>
                <w:sz w:val="18"/>
                <w:szCs w:val="24"/>
              </w:rPr>
            </w:pPr>
            <w:r>
              <w:rPr>
                <w:sz w:val="18"/>
                <w:szCs w:val="24"/>
              </w:rPr>
              <w:t>65+</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6,3</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4,9</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3,9</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10,8</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4,9</w:t>
            </w:r>
          </w:p>
        </w:tc>
        <w:tc>
          <w:tcPr>
            <w:tcW w:w="7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38,3</w:t>
            </w:r>
          </w:p>
        </w:tc>
        <w:tc>
          <w:tcPr>
            <w:tcW w:w="60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17,7</w:t>
            </w:r>
          </w:p>
        </w:tc>
        <w:tc>
          <w:tcPr>
            <w:tcW w:w="600" w:type="dxa"/>
            <w:gridSpan w:val="2"/>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19,5</w:t>
            </w:r>
          </w:p>
        </w:tc>
        <w:tc>
          <w:tcPr>
            <w:tcW w:w="489" w:type="dxa"/>
            <w:tcBorders>
              <w:bottom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23,5</w:t>
            </w:r>
          </w:p>
        </w:tc>
      </w:tr>
      <w:tr w:rsidR="00F92819">
        <w:tc>
          <w:tcPr>
            <w:tcW w:w="1766" w:type="dxa"/>
            <w:tcBorders>
              <w:top w:val="single" w:sz="4" w:space="0" w:color="auto"/>
              <w:bottom w:val="single" w:sz="4" w:space="0" w:color="auto"/>
            </w:tcBorders>
            <w:vAlign w:val="bottom"/>
          </w:tcPr>
          <w:p w:rsidR="00F92819" w:rsidRDefault="00F92819">
            <w:pPr>
              <w:spacing w:before="80" w:after="80" w:line="220" w:lineRule="exact"/>
              <w:ind w:firstLine="284"/>
              <w:rPr>
                <w:szCs w:val="24"/>
              </w:rPr>
            </w:pPr>
            <w:r>
              <w:rPr>
                <w:b/>
                <w:sz w:val="18"/>
                <w:szCs w:val="24"/>
                <w:lang w:val="es-ES_tradnl"/>
              </w:rPr>
              <w:t>Mujeres - Total</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11,2</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8,9</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11</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33,3</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15,9</w:t>
            </w:r>
          </w:p>
        </w:tc>
        <w:tc>
          <w:tcPr>
            <w:tcW w:w="7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17,4</w:t>
            </w:r>
          </w:p>
        </w:tc>
        <w:tc>
          <w:tcPr>
            <w:tcW w:w="60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3,7</w:t>
            </w:r>
          </w:p>
        </w:tc>
        <w:tc>
          <w:tcPr>
            <w:tcW w:w="600" w:type="dxa"/>
            <w:gridSpan w:val="2"/>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9,7</w:t>
            </w:r>
          </w:p>
        </w:tc>
        <w:tc>
          <w:tcPr>
            <w:tcW w:w="48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100</w:t>
            </w:r>
          </w:p>
        </w:tc>
        <w:tc>
          <w:tcPr>
            <w:tcW w:w="85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425,9</w:t>
            </w:r>
          </w:p>
        </w:tc>
      </w:tr>
      <w:tr w:rsidR="00F92819">
        <w:tc>
          <w:tcPr>
            <w:tcW w:w="1766" w:type="dxa"/>
            <w:tcBorders>
              <w:top w:val="single" w:sz="4" w:space="0" w:color="auto"/>
            </w:tcBorders>
            <w:vAlign w:val="bottom"/>
          </w:tcPr>
          <w:p w:rsidR="00F92819" w:rsidRDefault="00F92819">
            <w:pPr>
              <w:spacing w:before="40" w:after="40" w:line="220" w:lineRule="exact"/>
              <w:rPr>
                <w:szCs w:val="24"/>
              </w:rPr>
            </w:pPr>
            <w:r>
              <w:rPr>
                <w:sz w:val="18"/>
                <w:szCs w:val="24"/>
              </w:rPr>
              <w:t>15</w:t>
            </w:r>
            <w:r w:rsidR="008C04D7">
              <w:rPr>
                <w:sz w:val="18"/>
                <w:szCs w:val="24"/>
              </w:rPr>
              <w:t xml:space="preserve"> a </w:t>
            </w:r>
            <w:r>
              <w:rPr>
                <w:sz w:val="18"/>
                <w:szCs w:val="24"/>
              </w:rPr>
              <w:t>17</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11,1</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51,1</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42,8</w:t>
            </w:r>
          </w:p>
        </w:tc>
        <w:tc>
          <w:tcPr>
            <w:tcW w:w="7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w:t>
            </w:r>
          </w:p>
        </w:tc>
        <w:tc>
          <w:tcPr>
            <w:tcW w:w="60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600" w:type="dxa"/>
            <w:gridSpan w:val="2"/>
            <w:tcBorders>
              <w:top w:val="single" w:sz="4" w:space="0" w:color="auto"/>
            </w:tcBorders>
            <w:vAlign w:val="bottom"/>
          </w:tcPr>
          <w:p w:rsidR="00F92819" w:rsidRDefault="00F92819">
            <w:pPr>
              <w:spacing w:before="40" w:after="40" w:line="220" w:lineRule="exact"/>
              <w:jc w:val="right"/>
              <w:rPr>
                <w:sz w:val="18"/>
                <w:szCs w:val="24"/>
              </w:rPr>
            </w:pPr>
            <w:r>
              <w:rPr>
                <w:sz w:val="18"/>
                <w:szCs w:val="24"/>
              </w:rPr>
              <w:t>-</w:t>
            </w:r>
          </w:p>
        </w:tc>
        <w:tc>
          <w:tcPr>
            <w:tcW w:w="489"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43,9</w:t>
            </w:r>
          </w:p>
        </w:tc>
      </w:tr>
      <w:tr w:rsidR="00F92819">
        <w:tc>
          <w:tcPr>
            <w:tcW w:w="1766" w:type="dxa"/>
            <w:vAlign w:val="bottom"/>
          </w:tcPr>
          <w:p w:rsidR="00F92819" w:rsidRDefault="00F92819">
            <w:pPr>
              <w:spacing w:before="40" w:after="40" w:line="220" w:lineRule="exact"/>
              <w:rPr>
                <w:szCs w:val="24"/>
              </w:rPr>
            </w:pPr>
            <w:r>
              <w:rPr>
                <w:sz w:val="18"/>
                <w:szCs w:val="24"/>
              </w:rPr>
              <w:t>18</w:t>
            </w:r>
            <w:r w:rsidR="008C04D7">
              <w:rPr>
                <w:sz w:val="18"/>
                <w:szCs w:val="24"/>
              </w:rPr>
              <w:t xml:space="preserve"> a </w:t>
            </w:r>
            <w:r>
              <w:rPr>
                <w:sz w:val="18"/>
                <w:szCs w:val="24"/>
              </w:rPr>
              <w:t>24</w:t>
            </w:r>
          </w:p>
        </w:tc>
        <w:tc>
          <w:tcPr>
            <w:tcW w:w="700" w:type="dxa"/>
            <w:vAlign w:val="bottom"/>
          </w:tcPr>
          <w:p w:rsidR="00F92819" w:rsidRDefault="00F92819">
            <w:pPr>
              <w:spacing w:before="40" w:after="40" w:line="220" w:lineRule="exact"/>
              <w:jc w:val="right"/>
              <w:rPr>
                <w:sz w:val="18"/>
                <w:szCs w:val="24"/>
              </w:rPr>
            </w:pPr>
            <w:r>
              <w:rPr>
                <w:sz w:val="18"/>
                <w:szCs w:val="24"/>
              </w:rPr>
              <w:t>12,4</w:t>
            </w:r>
          </w:p>
        </w:tc>
        <w:tc>
          <w:tcPr>
            <w:tcW w:w="600" w:type="dxa"/>
            <w:vAlign w:val="bottom"/>
          </w:tcPr>
          <w:p w:rsidR="00F92819" w:rsidRDefault="00F92819">
            <w:pPr>
              <w:spacing w:before="40" w:after="40" w:line="220" w:lineRule="exact"/>
              <w:jc w:val="right"/>
              <w:rPr>
                <w:sz w:val="18"/>
                <w:szCs w:val="24"/>
              </w:rPr>
            </w:pPr>
            <w:r>
              <w:rPr>
                <w:sz w:val="18"/>
                <w:szCs w:val="24"/>
              </w:rPr>
              <w:t>8,4</w:t>
            </w:r>
          </w:p>
        </w:tc>
        <w:tc>
          <w:tcPr>
            <w:tcW w:w="700" w:type="dxa"/>
            <w:vAlign w:val="bottom"/>
          </w:tcPr>
          <w:p w:rsidR="00F92819" w:rsidRDefault="00F92819">
            <w:pPr>
              <w:spacing w:before="40" w:after="40" w:line="220" w:lineRule="exact"/>
              <w:jc w:val="right"/>
              <w:rPr>
                <w:sz w:val="18"/>
                <w:szCs w:val="24"/>
              </w:rPr>
            </w:pPr>
            <w:r>
              <w:rPr>
                <w:sz w:val="18"/>
                <w:szCs w:val="24"/>
              </w:rPr>
              <w:t>27,4</w:t>
            </w:r>
          </w:p>
        </w:tc>
        <w:tc>
          <w:tcPr>
            <w:tcW w:w="700" w:type="dxa"/>
            <w:vAlign w:val="bottom"/>
          </w:tcPr>
          <w:p w:rsidR="00F92819" w:rsidRDefault="00F92819">
            <w:pPr>
              <w:spacing w:before="40" w:after="40" w:line="220" w:lineRule="exact"/>
              <w:jc w:val="right"/>
              <w:rPr>
                <w:sz w:val="18"/>
                <w:szCs w:val="24"/>
              </w:rPr>
            </w:pPr>
            <w:r>
              <w:rPr>
                <w:sz w:val="18"/>
                <w:szCs w:val="24"/>
              </w:rPr>
              <w:t>47</w:t>
            </w:r>
          </w:p>
        </w:tc>
        <w:tc>
          <w:tcPr>
            <w:tcW w:w="700" w:type="dxa"/>
            <w:vAlign w:val="bottom"/>
          </w:tcPr>
          <w:p w:rsidR="00F92819" w:rsidRDefault="00F92819">
            <w:pPr>
              <w:spacing w:before="40" w:after="40" w:line="220" w:lineRule="exact"/>
              <w:jc w:val="right"/>
              <w:rPr>
                <w:sz w:val="18"/>
                <w:szCs w:val="24"/>
              </w:rPr>
            </w:pPr>
            <w:r>
              <w:rPr>
                <w:sz w:val="18"/>
                <w:szCs w:val="24"/>
              </w:rPr>
              <w:t>8</w:t>
            </w:r>
          </w:p>
        </w:tc>
        <w:tc>
          <w:tcPr>
            <w:tcW w:w="700" w:type="dxa"/>
            <w:vAlign w:val="bottom"/>
          </w:tcPr>
          <w:p w:rsidR="00F92819" w:rsidRDefault="00F92819">
            <w:pPr>
              <w:spacing w:before="40" w:after="40" w:line="220" w:lineRule="exact"/>
              <w:jc w:val="right"/>
              <w:rPr>
                <w:sz w:val="18"/>
                <w:szCs w:val="24"/>
              </w:rPr>
            </w:pPr>
            <w:r>
              <w:rPr>
                <w:sz w:val="18"/>
                <w:szCs w:val="24"/>
              </w:rPr>
              <w:t>6,7</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2,6</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84,3</w:t>
            </w:r>
          </w:p>
        </w:tc>
      </w:tr>
      <w:tr w:rsidR="00F92819">
        <w:tc>
          <w:tcPr>
            <w:tcW w:w="1766" w:type="dxa"/>
            <w:vAlign w:val="bottom"/>
          </w:tcPr>
          <w:p w:rsidR="00F92819" w:rsidRDefault="00F92819">
            <w:pPr>
              <w:spacing w:before="40" w:after="40" w:line="220" w:lineRule="exact"/>
              <w:rPr>
                <w:szCs w:val="24"/>
              </w:rPr>
            </w:pPr>
            <w:r>
              <w:rPr>
                <w:sz w:val="18"/>
                <w:szCs w:val="24"/>
              </w:rPr>
              <w:t>25</w:t>
            </w:r>
            <w:r w:rsidR="008C04D7">
              <w:rPr>
                <w:sz w:val="18"/>
                <w:szCs w:val="24"/>
              </w:rPr>
              <w:t xml:space="preserve"> a </w:t>
            </w:r>
            <w:r>
              <w:rPr>
                <w:sz w:val="18"/>
                <w:szCs w:val="24"/>
              </w:rPr>
              <w:t>34</w:t>
            </w:r>
          </w:p>
        </w:tc>
        <w:tc>
          <w:tcPr>
            <w:tcW w:w="700" w:type="dxa"/>
            <w:vAlign w:val="bottom"/>
          </w:tcPr>
          <w:p w:rsidR="00F92819" w:rsidRDefault="00F92819">
            <w:pPr>
              <w:spacing w:before="40" w:after="40" w:line="220" w:lineRule="exact"/>
              <w:jc w:val="right"/>
              <w:rPr>
                <w:sz w:val="18"/>
                <w:szCs w:val="24"/>
              </w:rPr>
            </w:pPr>
            <w:r>
              <w:rPr>
                <w:sz w:val="18"/>
                <w:szCs w:val="24"/>
              </w:rPr>
              <w:t>11,8</w:t>
            </w:r>
          </w:p>
        </w:tc>
        <w:tc>
          <w:tcPr>
            <w:tcW w:w="600" w:type="dxa"/>
            <w:vAlign w:val="bottom"/>
          </w:tcPr>
          <w:p w:rsidR="00F92819" w:rsidRDefault="00F92819">
            <w:pPr>
              <w:spacing w:before="40" w:after="40" w:line="220" w:lineRule="exact"/>
              <w:jc w:val="right"/>
              <w:rPr>
                <w:sz w:val="18"/>
                <w:szCs w:val="24"/>
              </w:rPr>
            </w:pPr>
            <w:r>
              <w:rPr>
                <w:sz w:val="18"/>
                <w:szCs w:val="24"/>
              </w:rPr>
              <w:t>16</w:t>
            </w:r>
          </w:p>
        </w:tc>
        <w:tc>
          <w:tcPr>
            <w:tcW w:w="700" w:type="dxa"/>
            <w:vAlign w:val="bottom"/>
          </w:tcPr>
          <w:p w:rsidR="00F92819" w:rsidRDefault="00F92819">
            <w:pPr>
              <w:spacing w:before="40" w:after="40" w:line="220" w:lineRule="exact"/>
              <w:jc w:val="right"/>
              <w:rPr>
                <w:sz w:val="18"/>
                <w:szCs w:val="24"/>
              </w:rPr>
            </w:pPr>
            <w:r>
              <w:rPr>
                <w:sz w:val="18"/>
                <w:szCs w:val="24"/>
              </w:rPr>
              <w:t>11,4</w:t>
            </w:r>
          </w:p>
        </w:tc>
        <w:tc>
          <w:tcPr>
            <w:tcW w:w="700" w:type="dxa"/>
            <w:vAlign w:val="bottom"/>
          </w:tcPr>
          <w:p w:rsidR="00F92819" w:rsidRDefault="00F92819">
            <w:pPr>
              <w:spacing w:before="40" w:after="40" w:line="220" w:lineRule="exact"/>
              <w:jc w:val="right"/>
              <w:rPr>
                <w:sz w:val="18"/>
                <w:szCs w:val="24"/>
              </w:rPr>
            </w:pPr>
            <w:r>
              <w:rPr>
                <w:sz w:val="18"/>
                <w:szCs w:val="24"/>
              </w:rPr>
              <w:t>38,2</w:t>
            </w:r>
          </w:p>
        </w:tc>
        <w:tc>
          <w:tcPr>
            <w:tcW w:w="700" w:type="dxa"/>
            <w:vAlign w:val="bottom"/>
          </w:tcPr>
          <w:p w:rsidR="00F92819" w:rsidRDefault="00F92819">
            <w:pPr>
              <w:spacing w:before="40" w:after="40" w:line="220" w:lineRule="exact"/>
              <w:jc w:val="right"/>
              <w:rPr>
                <w:sz w:val="18"/>
                <w:szCs w:val="24"/>
              </w:rPr>
            </w:pPr>
            <w:r>
              <w:rPr>
                <w:sz w:val="18"/>
                <w:szCs w:val="24"/>
              </w:rPr>
              <w:t>16,3</w:t>
            </w:r>
          </w:p>
        </w:tc>
        <w:tc>
          <w:tcPr>
            <w:tcW w:w="700" w:type="dxa"/>
            <w:vAlign w:val="bottom"/>
          </w:tcPr>
          <w:p w:rsidR="00F92819" w:rsidRDefault="00F92819">
            <w:pPr>
              <w:spacing w:before="40" w:after="40" w:line="220" w:lineRule="exact"/>
              <w:jc w:val="right"/>
              <w:rPr>
                <w:sz w:val="18"/>
                <w:szCs w:val="24"/>
              </w:rPr>
            </w:pPr>
            <w:r>
              <w:rPr>
                <w:sz w:val="18"/>
                <w:szCs w:val="24"/>
              </w:rPr>
              <w:t>13,9</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600" w:type="dxa"/>
            <w:gridSpan w:val="2"/>
            <w:vAlign w:val="bottom"/>
          </w:tcPr>
          <w:p w:rsidR="00F92819" w:rsidRDefault="00F92819">
            <w:pPr>
              <w:spacing w:before="40" w:after="40" w:line="220" w:lineRule="exact"/>
              <w:jc w:val="right"/>
              <w:rPr>
                <w:sz w:val="18"/>
                <w:szCs w:val="24"/>
              </w:rPr>
            </w:pPr>
            <w:r>
              <w:rPr>
                <w:sz w:val="18"/>
                <w:szCs w:val="24"/>
              </w:rPr>
              <w:t>3,4</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106,9</w:t>
            </w:r>
          </w:p>
        </w:tc>
      </w:tr>
      <w:tr w:rsidR="00F92819">
        <w:tc>
          <w:tcPr>
            <w:tcW w:w="1766" w:type="dxa"/>
            <w:vAlign w:val="bottom"/>
          </w:tcPr>
          <w:p w:rsidR="00F92819" w:rsidRDefault="00F92819">
            <w:pPr>
              <w:spacing w:before="40" w:after="40" w:line="220" w:lineRule="exact"/>
              <w:rPr>
                <w:szCs w:val="24"/>
              </w:rPr>
            </w:pPr>
            <w:r>
              <w:rPr>
                <w:sz w:val="18"/>
                <w:szCs w:val="24"/>
              </w:rPr>
              <w:t>35</w:t>
            </w:r>
            <w:r w:rsidR="008C04D7">
              <w:rPr>
                <w:sz w:val="18"/>
                <w:szCs w:val="24"/>
              </w:rPr>
              <w:t xml:space="preserve"> a </w:t>
            </w:r>
            <w:r>
              <w:rPr>
                <w:sz w:val="18"/>
                <w:szCs w:val="24"/>
              </w:rPr>
              <w:t>44</w:t>
            </w:r>
          </w:p>
        </w:tc>
        <w:tc>
          <w:tcPr>
            <w:tcW w:w="700" w:type="dxa"/>
            <w:vAlign w:val="bottom"/>
          </w:tcPr>
          <w:p w:rsidR="00F92819" w:rsidRDefault="00F92819">
            <w:pPr>
              <w:spacing w:before="40" w:after="40" w:line="220" w:lineRule="exact"/>
              <w:jc w:val="right"/>
              <w:rPr>
                <w:sz w:val="18"/>
                <w:szCs w:val="24"/>
              </w:rPr>
            </w:pPr>
            <w:r>
              <w:rPr>
                <w:sz w:val="18"/>
                <w:szCs w:val="24"/>
              </w:rPr>
              <w:t>11,1</w:t>
            </w:r>
          </w:p>
        </w:tc>
        <w:tc>
          <w:tcPr>
            <w:tcW w:w="600" w:type="dxa"/>
            <w:vAlign w:val="bottom"/>
          </w:tcPr>
          <w:p w:rsidR="00F92819" w:rsidRDefault="00F92819">
            <w:pPr>
              <w:spacing w:before="40" w:after="40" w:line="220" w:lineRule="exact"/>
              <w:jc w:val="right"/>
              <w:rPr>
                <w:sz w:val="18"/>
                <w:szCs w:val="24"/>
              </w:rPr>
            </w:pPr>
            <w:r>
              <w:rPr>
                <w:sz w:val="18"/>
                <w:szCs w:val="24"/>
              </w:rPr>
              <w:t>11,9</w:t>
            </w:r>
          </w:p>
        </w:tc>
        <w:tc>
          <w:tcPr>
            <w:tcW w:w="700" w:type="dxa"/>
            <w:vAlign w:val="bottom"/>
          </w:tcPr>
          <w:p w:rsidR="00F92819" w:rsidRDefault="00F92819">
            <w:pPr>
              <w:spacing w:before="40" w:after="40" w:line="220" w:lineRule="exact"/>
              <w:jc w:val="right"/>
              <w:rPr>
                <w:sz w:val="18"/>
                <w:szCs w:val="24"/>
              </w:rPr>
            </w:pPr>
            <w:r>
              <w:rPr>
                <w:sz w:val="18"/>
                <w:szCs w:val="24"/>
              </w:rPr>
              <w:t>8,6</w:t>
            </w:r>
          </w:p>
        </w:tc>
        <w:tc>
          <w:tcPr>
            <w:tcW w:w="700" w:type="dxa"/>
            <w:vAlign w:val="bottom"/>
          </w:tcPr>
          <w:p w:rsidR="00F92819" w:rsidRDefault="00F92819">
            <w:pPr>
              <w:spacing w:before="40" w:after="40" w:line="220" w:lineRule="exact"/>
              <w:jc w:val="right"/>
              <w:rPr>
                <w:sz w:val="18"/>
                <w:szCs w:val="24"/>
              </w:rPr>
            </w:pPr>
            <w:r>
              <w:rPr>
                <w:sz w:val="18"/>
                <w:szCs w:val="24"/>
              </w:rPr>
              <w:t>30,7</w:t>
            </w:r>
          </w:p>
        </w:tc>
        <w:tc>
          <w:tcPr>
            <w:tcW w:w="700" w:type="dxa"/>
            <w:vAlign w:val="bottom"/>
          </w:tcPr>
          <w:p w:rsidR="00F92819" w:rsidRDefault="00F92819">
            <w:pPr>
              <w:spacing w:before="40" w:after="40" w:line="220" w:lineRule="exact"/>
              <w:jc w:val="right"/>
              <w:rPr>
                <w:sz w:val="18"/>
                <w:szCs w:val="24"/>
              </w:rPr>
            </w:pPr>
            <w:r>
              <w:rPr>
                <w:sz w:val="18"/>
                <w:szCs w:val="24"/>
              </w:rPr>
              <w:t>18,4</w:t>
            </w:r>
          </w:p>
        </w:tc>
        <w:tc>
          <w:tcPr>
            <w:tcW w:w="700" w:type="dxa"/>
            <w:vAlign w:val="bottom"/>
          </w:tcPr>
          <w:p w:rsidR="00F92819" w:rsidRDefault="00F92819">
            <w:pPr>
              <w:spacing w:before="40" w:after="40" w:line="220" w:lineRule="exact"/>
              <w:jc w:val="right"/>
              <w:rPr>
                <w:sz w:val="18"/>
                <w:szCs w:val="24"/>
              </w:rPr>
            </w:pPr>
            <w:r>
              <w:rPr>
                <w:sz w:val="18"/>
                <w:szCs w:val="24"/>
              </w:rPr>
              <w:t>23,6</w:t>
            </w:r>
          </w:p>
        </w:tc>
        <w:tc>
          <w:tcPr>
            <w:tcW w:w="600" w:type="dxa"/>
            <w:vAlign w:val="bottom"/>
          </w:tcPr>
          <w:p w:rsidR="00F92819" w:rsidRDefault="00F92819">
            <w:pPr>
              <w:spacing w:before="40" w:after="40" w:line="220" w:lineRule="exact"/>
              <w:jc w:val="right"/>
              <w:rPr>
                <w:sz w:val="18"/>
                <w:szCs w:val="24"/>
              </w:rPr>
            </w:pPr>
            <w:r>
              <w:rPr>
                <w:sz w:val="18"/>
                <w:szCs w:val="24"/>
              </w:rPr>
              <w:t>1,8</w:t>
            </w:r>
          </w:p>
        </w:tc>
        <w:tc>
          <w:tcPr>
            <w:tcW w:w="600" w:type="dxa"/>
            <w:gridSpan w:val="2"/>
            <w:vAlign w:val="bottom"/>
          </w:tcPr>
          <w:p w:rsidR="00F92819" w:rsidRDefault="00F92819">
            <w:pPr>
              <w:spacing w:before="40" w:after="40" w:line="220" w:lineRule="exact"/>
              <w:jc w:val="right"/>
              <w:rPr>
                <w:sz w:val="18"/>
                <w:szCs w:val="24"/>
              </w:rPr>
            </w:pPr>
            <w:r>
              <w:rPr>
                <w:sz w:val="18"/>
                <w:szCs w:val="24"/>
              </w:rPr>
              <w:t>5</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82,2</w:t>
            </w:r>
          </w:p>
        </w:tc>
      </w:tr>
      <w:tr w:rsidR="00F92819">
        <w:tc>
          <w:tcPr>
            <w:tcW w:w="1766" w:type="dxa"/>
            <w:vAlign w:val="bottom"/>
          </w:tcPr>
          <w:p w:rsidR="00F92819" w:rsidRDefault="00F92819">
            <w:pPr>
              <w:spacing w:before="40" w:after="40" w:line="220" w:lineRule="exact"/>
              <w:rPr>
                <w:szCs w:val="24"/>
              </w:rPr>
            </w:pPr>
            <w:r>
              <w:rPr>
                <w:sz w:val="18"/>
                <w:szCs w:val="24"/>
              </w:rPr>
              <w:t>45</w:t>
            </w:r>
            <w:r w:rsidR="008C04D7">
              <w:rPr>
                <w:sz w:val="18"/>
                <w:szCs w:val="24"/>
              </w:rPr>
              <w:t xml:space="preserve"> a </w:t>
            </w:r>
            <w:r>
              <w:rPr>
                <w:sz w:val="18"/>
                <w:szCs w:val="24"/>
              </w:rPr>
              <w:t>54</w:t>
            </w:r>
          </w:p>
        </w:tc>
        <w:tc>
          <w:tcPr>
            <w:tcW w:w="700" w:type="dxa"/>
            <w:vAlign w:val="bottom"/>
          </w:tcPr>
          <w:p w:rsidR="00F92819" w:rsidRDefault="00F92819">
            <w:pPr>
              <w:spacing w:before="40" w:after="40" w:line="220" w:lineRule="exact"/>
              <w:jc w:val="right"/>
              <w:rPr>
                <w:sz w:val="18"/>
                <w:szCs w:val="24"/>
              </w:rPr>
            </w:pPr>
            <w:r>
              <w:rPr>
                <w:sz w:val="18"/>
                <w:szCs w:val="24"/>
              </w:rPr>
              <w:t>8,2</w:t>
            </w:r>
          </w:p>
        </w:tc>
        <w:tc>
          <w:tcPr>
            <w:tcW w:w="600" w:type="dxa"/>
            <w:vAlign w:val="bottom"/>
          </w:tcPr>
          <w:p w:rsidR="00F92819" w:rsidRDefault="00F92819">
            <w:pPr>
              <w:spacing w:before="40" w:after="40" w:line="220" w:lineRule="exact"/>
              <w:jc w:val="right"/>
              <w:rPr>
                <w:sz w:val="18"/>
                <w:szCs w:val="24"/>
              </w:rPr>
            </w:pPr>
            <w:r>
              <w:rPr>
                <w:sz w:val="18"/>
                <w:szCs w:val="24"/>
              </w:rPr>
              <w:t>6,3</w:t>
            </w:r>
          </w:p>
        </w:tc>
        <w:tc>
          <w:tcPr>
            <w:tcW w:w="700" w:type="dxa"/>
            <w:vAlign w:val="bottom"/>
          </w:tcPr>
          <w:p w:rsidR="00F92819" w:rsidRDefault="00F92819">
            <w:pPr>
              <w:spacing w:before="40" w:after="40" w:line="220" w:lineRule="exact"/>
              <w:jc w:val="right"/>
              <w:rPr>
                <w:sz w:val="18"/>
                <w:szCs w:val="24"/>
              </w:rPr>
            </w:pPr>
            <w:r>
              <w:rPr>
                <w:sz w:val="18"/>
                <w:szCs w:val="24"/>
              </w:rPr>
              <w:t>6</w:t>
            </w:r>
          </w:p>
        </w:tc>
        <w:tc>
          <w:tcPr>
            <w:tcW w:w="700" w:type="dxa"/>
            <w:vAlign w:val="bottom"/>
          </w:tcPr>
          <w:p w:rsidR="00F92819" w:rsidRDefault="00F92819">
            <w:pPr>
              <w:spacing w:before="40" w:after="40" w:line="220" w:lineRule="exact"/>
              <w:jc w:val="right"/>
              <w:rPr>
                <w:sz w:val="18"/>
                <w:szCs w:val="24"/>
              </w:rPr>
            </w:pPr>
            <w:r>
              <w:rPr>
                <w:sz w:val="18"/>
                <w:szCs w:val="24"/>
              </w:rPr>
              <w:t>17,4</w:t>
            </w:r>
          </w:p>
        </w:tc>
        <w:tc>
          <w:tcPr>
            <w:tcW w:w="700" w:type="dxa"/>
            <w:vAlign w:val="bottom"/>
          </w:tcPr>
          <w:p w:rsidR="00F92819" w:rsidRDefault="00F92819">
            <w:pPr>
              <w:spacing w:before="40" w:after="40" w:line="220" w:lineRule="exact"/>
              <w:jc w:val="right"/>
              <w:rPr>
                <w:sz w:val="18"/>
                <w:szCs w:val="24"/>
              </w:rPr>
            </w:pPr>
            <w:r>
              <w:rPr>
                <w:sz w:val="18"/>
                <w:szCs w:val="24"/>
              </w:rPr>
              <w:t>12,8</w:t>
            </w:r>
          </w:p>
        </w:tc>
        <w:tc>
          <w:tcPr>
            <w:tcW w:w="700" w:type="dxa"/>
            <w:vAlign w:val="bottom"/>
          </w:tcPr>
          <w:p w:rsidR="00F92819" w:rsidRDefault="00F92819">
            <w:pPr>
              <w:spacing w:before="40" w:after="40" w:line="220" w:lineRule="exact"/>
              <w:jc w:val="right"/>
              <w:rPr>
                <w:sz w:val="18"/>
                <w:szCs w:val="24"/>
              </w:rPr>
            </w:pPr>
            <w:r>
              <w:rPr>
                <w:sz w:val="18"/>
                <w:szCs w:val="24"/>
              </w:rPr>
              <w:t>35,8</w:t>
            </w:r>
          </w:p>
        </w:tc>
        <w:tc>
          <w:tcPr>
            <w:tcW w:w="600" w:type="dxa"/>
            <w:vAlign w:val="bottom"/>
          </w:tcPr>
          <w:p w:rsidR="00F92819" w:rsidRDefault="00F92819">
            <w:pPr>
              <w:spacing w:before="40" w:after="40" w:line="220" w:lineRule="exact"/>
              <w:jc w:val="right"/>
              <w:rPr>
                <w:sz w:val="18"/>
                <w:szCs w:val="24"/>
              </w:rPr>
            </w:pPr>
            <w:r>
              <w:rPr>
                <w:sz w:val="18"/>
                <w:szCs w:val="24"/>
              </w:rPr>
              <w:t>9,4</w:t>
            </w:r>
          </w:p>
        </w:tc>
        <w:tc>
          <w:tcPr>
            <w:tcW w:w="600" w:type="dxa"/>
            <w:gridSpan w:val="2"/>
            <w:vAlign w:val="bottom"/>
          </w:tcPr>
          <w:p w:rsidR="00F92819" w:rsidRDefault="00F92819">
            <w:pPr>
              <w:spacing w:before="40" w:after="40" w:line="220" w:lineRule="exact"/>
              <w:jc w:val="right"/>
              <w:rPr>
                <w:sz w:val="18"/>
                <w:szCs w:val="24"/>
              </w:rPr>
            </w:pPr>
            <w:r>
              <w:rPr>
                <w:sz w:val="18"/>
                <w:szCs w:val="24"/>
              </w:rPr>
              <w:t>12,4</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51,8</w:t>
            </w:r>
          </w:p>
        </w:tc>
      </w:tr>
      <w:tr w:rsidR="00F92819">
        <w:tc>
          <w:tcPr>
            <w:tcW w:w="1766" w:type="dxa"/>
            <w:vAlign w:val="bottom"/>
          </w:tcPr>
          <w:p w:rsidR="00F92819" w:rsidRDefault="00F92819">
            <w:pPr>
              <w:spacing w:before="40" w:after="40" w:line="220" w:lineRule="exact"/>
              <w:rPr>
                <w:szCs w:val="24"/>
              </w:rPr>
            </w:pPr>
            <w:r>
              <w:rPr>
                <w:sz w:val="18"/>
                <w:szCs w:val="24"/>
              </w:rPr>
              <w:t>55</w:t>
            </w:r>
            <w:r w:rsidR="008C04D7">
              <w:rPr>
                <w:sz w:val="18"/>
                <w:szCs w:val="24"/>
              </w:rPr>
              <w:t xml:space="preserve"> a </w:t>
            </w:r>
            <w:r>
              <w:rPr>
                <w:sz w:val="18"/>
                <w:szCs w:val="24"/>
              </w:rPr>
              <w:t>64</w:t>
            </w:r>
          </w:p>
        </w:tc>
        <w:tc>
          <w:tcPr>
            <w:tcW w:w="700" w:type="dxa"/>
            <w:vAlign w:val="bottom"/>
          </w:tcPr>
          <w:p w:rsidR="00F92819" w:rsidRDefault="00F92819">
            <w:pPr>
              <w:spacing w:before="40" w:after="40" w:line="220" w:lineRule="exact"/>
              <w:jc w:val="right"/>
              <w:rPr>
                <w:sz w:val="18"/>
                <w:szCs w:val="24"/>
              </w:rPr>
            </w:pPr>
            <w:r>
              <w:rPr>
                <w:sz w:val="18"/>
                <w:szCs w:val="24"/>
              </w:rPr>
              <w:t>5,6</w:t>
            </w:r>
          </w:p>
        </w:tc>
        <w:tc>
          <w:tcPr>
            <w:tcW w:w="600" w:type="dxa"/>
            <w:vAlign w:val="bottom"/>
          </w:tcPr>
          <w:p w:rsidR="00F92819" w:rsidRDefault="00F92819">
            <w:pPr>
              <w:spacing w:before="40" w:after="40" w:line="220" w:lineRule="exact"/>
              <w:jc w:val="right"/>
              <w:rPr>
                <w:sz w:val="18"/>
                <w:szCs w:val="24"/>
              </w:rPr>
            </w:pPr>
            <w:r>
              <w:rPr>
                <w:sz w:val="18"/>
                <w:szCs w:val="24"/>
              </w:rPr>
              <w:t>-</w:t>
            </w:r>
          </w:p>
        </w:tc>
        <w:tc>
          <w:tcPr>
            <w:tcW w:w="700" w:type="dxa"/>
            <w:vAlign w:val="bottom"/>
          </w:tcPr>
          <w:p w:rsidR="00F92819" w:rsidRDefault="00F92819">
            <w:pPr>
              <w:spacing w:before="40" w:after="40" w:line="220" w:lineRule="exact"/>
              <w:jc w:val="right"/>
              <w:rPr>
                <w:sz w:val="18"/>
                <w:szCs w:val="24"/>
              </w:rPr>
            </w:pPr>
            <w:r>
              <w:rPr>
                <w:sz w:val="18"/>
                <w:szCs w:val="24"/>
              </w:rPr>
              <w:t>2,9</w:t>
            </w:r>
          </w:p>
        </w:tc>
        <w:tc>
          <w:tcPr>
            <w:tcW w:w="700" w:type="dxa"/>
            <w:vAlign w:val="bottom"/>
          </w:tcPr>
          <w:p w:rsidR="00F92819" w:rsidRDefault="00F92819">
            <w:pPr>
              <w:spacing w:before="40" w:after="40" w:line="220" w:lineRule="exact"/>
              <w:jc w:val="right"/>
              <w:rPr>
                <w:sz w:val="18"/>
                <w:szCs w:val="24"/>
              </w:rPr>
            </w:pPr>
            <w:r>
              <w:rPr>
                <w:sz w:val="18"/>
                <w:szCs w:val="24"/>
              </w:rPr>
              <w:t>8,2</w:t>
            </w:r>
          </w:p>
        </w:tc>
        <w:tc>
          <w:tcPr>
            <w:tcW w:w="700" w:type="dxa"/>
            <w:vAlign w:val="bottom"/>
          </w:tcPr>
          <w:p w:rsidR="00F92819" w:rsidRDefault="00F92819">
            <w:pPr>
              <w:spacing w:before="40" w:after="40" w:line="220" w:lineRule="exact"/>
              <w:jc w:val="right"/>
              <w:rPr>
                <w:sz w:val="18"/>
                <w:szCs w:val="24"/>
              </w:rPr>
            </w:pPr>
            <w:r>
              <w:rPr>
                <w:sz w:val="18"/>
                <w:szCs w:val="24"/>
              </w:rPr>
              <w:t>7</w:t>
            </w:r>
          </w:p>
        </w:tc>
        <w:tc>
          <w:tcPr>
            <w:tcW w:w="700" w:type="dxa"/>
            <w:vAlign w:val="bottom"/>
          </w:tcPr>
          <w:p w:rsidR="00F92819" w:rsidRDefault="00F92819">
            <w:pPr>
              <w:spacing w:before="40" w:after="40" w:line="220" w:lineRule="exact"/>
              <w:jc w:val="right"/>
              <w:rPr>
                <w:sz w:val="18"/>
                <w:szCs w:val="24"/>
              </w:rPr>
            </w:pPr>
            <w:r>
              <w:rPr>
                <w:sz w:val="18"/>
                <w:szCs w:val="24"/>
              </w:rPr>
              <w:t>35,6</w:t>
            </w:r>
          </w:p>
        </w:tc>
        <w:tc>
          <w:tcPr>
            <w:tcW w:w="600" w:type="dxa"/>
            <w:vAlign w:val="bottom"/>
          </w:tcPr>
          <w:p w:rsidR="00F92819" w:rsidRDefault="00F92819">
            <w:pPr>
              <w:spacing w:before="40" w:after="40" w:line="220" w:lineRule="exact"/>
              <w:jc w:val="right"/>
              <w:rPr>
                <w:sz w:val="18"/>
                <w:szCs w:val="24"/>
              </w:rPr>
            </w:pPr>
            <w:r>
              <w:rPr>
                <w:sz w:val="18"/>
                <w:szCs w:val="24"/>
              </w:rPr>
              <w:t>15</w:t>
            </w:r>
          </w:p>
        </w:tc>
        <w:tc>
          <w:tcPr>
            <w:tcW w:w="600" w:type="dxa"/>
            <w:gridSpan w:val="2"/>
            <w:vAlign w:val="bottom"/>
          </w:tcPr>
          <w:p w:rsidR="00F92819" w:rsidRDefault="00F92819">
            <w:pPr>
              <w:spacing w:before="40" w:after="40" w:line="220" w:lineRule="exact"/>
              <w:jc w:val="right"/>
              <w:rPr>
                <w:sz w:val="18"/>
                <w:szCs w:val="24"/>
              </w:rPr>
            </w:pPr>
            <w:r>
              <w:rPr>
                <w:sz w:val="18"/>
                <w:szCs w:val="24"/>
              </w:rPr>
              <w:t>29,2</w:t>
            </w:r>
          </w:p>
        </w:tc>
        <w:tc>
          <w:tcPr>
            <w:tcW w:w="489" w:type="dxa"/>
            <w:vAlign w:val="bottom"/>
          </w:tcPr>
          <w:p w:rsidR="00F92819" w:rsidRDefault="00F92819">
            <w:pPr>
              <w:spacing w:before="40" w:after="40" w:line="220" w:lineRule="exact"/>
              <w:jc w:val="right"/>
              <w:rPr>
                <w:b/>
                <w:sz w:val="18"/>
                <w:szCs w:val="24"/>
              </w:rPr>
            </w:pPr>
            <w:r>
              <w:rPr>
                <w:b/>
                <w:sz w:val="18"/>
                <w:szCs w:val="24"/>
              </w:rPr>
              <w:t>100</w:t>
            </w:r>
          </w:p>
        </w:tc>
        <w:tc>
          <w:tcPr>
            <w:tcW w:w="850" w:type="dxa"/>
            <w:vAlign w:val="bottom"/>
          </w:tcPr>
          <w:p w:rsidR="00F92819" w:rsidRDefault="00F92819">
            <w:pPr>
              <w:spacing w:before="40" w:after="40" w:line="220" w:lineRule="exact"/>
              <w:jc w:val="right"/>
              <w:rPr>
                <w:sz w:val="18"/>
                <w:szCs w:val="24"/>
              </w:rPr>
            </w:pPr>
            <w:r>
              <w:rPr>
                <w:sz w:val="18"/>
                <w:szCs w:val="24"/>
              </w:rPr>
              <w:t>30,9</w:t>
            </w:r>
          </w:p>
        </w:tc>
      </w:tr>
      <w:tr w:rsidR="00F92819">
        <w:tc>
          <w:tcPr>
            <w:tcW w:w="1766" w:type="dxa"/>
            <w:tcBorders>
              <w:bottom w:val="single" w:sz="12" w:space="0" w:color="auto"/>
            </w:tcBorders>
            <w:vAlign w:val="bottom"/>
          </w:tcPr>
          <w:p w:rsidR="00F92819" w:rsidRDefault="00F92819">
            <w:pPr>
              <w:spacing w:before="40" w:after="40" w:line="220" w:lineRule="exact"/>
              <w:rPr>
                <w:sz w:val="18"/>
                <w:szCs w:val="24"/>
              </w:rPr>
            </w:pPr>
            <w:r>
              <w:rPr>
                <w:sz w:val="18"/>
                <w:szCs w:val="24"/>
              </w:rPr>
              <w:t>65+</w:t>
            </w:r>
          </w:p>
        </w:tc>
        <w:tc>
          <w:tcPr>
            <w:tcW w:w="7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0,9</w:t>
            </w:r>
          </w:p>
        </w:tc>
        <w:tc>
          <w:tcPr>
            <w:tcW w:w="6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9,3</w:t>
            </w:r>
          </w:p>
        </w:tc>
        <w:tc>
          <w:tcPr>
            <w:tcW w:w="7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w:t>
            </w:r>
          </w:p>
        </w:tc>
        <w:tc>
          <w:tcPr>
            <w:tcW w:w="7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11,2</w:t>
            </w:r>
          </w:p>
        </w:tc>
        <w:tc>
          <w:tcPr>
            <w:tcW w:w="6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14,9</w:t>
            </w:r>
          </w:p>
        </w:tc>
        <w:tc>
          <w:tcPr>
            <w:tcW w:w="600" w:type="dxa"/>
            <w:gridSpan w:val="2"/>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58,5</w:t>
            </w:r>
          </w:p>
        </w:tc>
        <w:tc>
          <w:tcPr>
            <w:tcW w:w="489" w:type="dxa"/>
            <w:tcBorders>
              <w:bottom w:val="single" w:sz="12" w:space="0" w:color="auto"/>
            </w:tcBorders>
            <w:vAlign w:val="bottom"/>
          </w:tcPr>
          <w:p w:rsidR="00F92819" w:rsidRDefault="00F92819">
            <w:pPr>
              <w:spacing w:before="40" w:after="40" w:line="220" w:lineRule="exact"/>
              <w:jc w:val="right"/>
              <w:rPr>
                <w:b/>
                <w:sz w:val="18"/>
                <w:szCs w:val="24"/>
              </w:rPr>
            </w:pPr>
            <w:r>
              <w:rPr>
                <w:b/>
                <w:sz w:val="18"/>
                <w:szCs w:val="24"/>
              </w:rPr>
              <w:t>100</w:t>
            </w:r>
          </w:p>
        </w:tc>
        <w:tc>
          <w:tcPr>
            <w:tcW w:w="85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26</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2007 y 2008.</w:t>
      </w:r>
    </w:p>
    <w:p w:rsidR="00F92819" w:rsidRDefault="00F92819">
      <w:pPr>
        <w:pStyle w:val="H23G"/>
        <w:rPr>
          <w:szCs w:val="24"/>
        </w:rPr>
      </w:pPr>
      <w:r>
        <w:rPr>
          <w:szCs w:val="24"/>
        </w:rPr>
        <w:tab/>
      </w:r>
      <w:r>
        <w:rPr>
          <w:szCs w:val="24"/>
        </w:rPr>
        <w:tab/>
      </w:r>
      <w:r>
        <w:rPr>
          <w:szCs w:val="24"/>
          <w:lang w:val="es-ES_tradnl"/>
        </w:rPr>
        <w:t>Niveles de asistencia en el sistema educativo</w:t>
      </w:r>
    </w:p>
    <w:p w:rsidR="00F92819" w:rsidRDefault="00F92819">
      <w:pPr>
        <w:pStyle w:val="SingleTxtG"/>
        <w:rPr>
          <w:szCs w:val="24"/>
        </w:rPr>
      </w:pPr>
      <w:r>
        <w:rPr>
          <w:szCs w:val="24"/>
        </w:rPr>
        <w:t>563.</w:t>
      </w:r>
      <w:r>
        <w:rPr>
          <w:szCs w:val="24"/>
        </w:rPr>
        <w:tab/>
      </w:r>
      <w:r>
        <w:rPr>
          <w:szCs w:val="24"/>
          <w:lang w:val="es-ES_tradnl"/>
        </w:rPr>
        <w:t xml:space="preserve">El cuadro que sigue muestra el aumento gradual continuo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número de alumnos en el sistema educativo israelí.</w:t>
      </w:r>
    </w:p>
    <w:p w:rsidR="00F92819" w:rsidRDefault="00F92819">
      <w:pPr>
        <w:pStyle w:val="Heading1"/>
        <w:spacing w:before="240"/>
        <w:rPr>
          <w:szCs w:val="24"/>
        </w:rPr>
      </w:pPr>
      <w:r>
        <w:rPr>
          <w:szCs w:val="24"/>
          <w:lang w:val="es-ES_tradnl"/>
        </w:rPr>
        <w:t>Cuadro 38</w:t>
      </w:r>
    </w:p>
    <w:p w:rsidR="00F92819" w:rsidRDefault="00F92819">
      <w:pPr>
        <w:pStyle w:val="SingleTxtG"/>
        <w:rPr>
          <w:b/>
          <w:szCs w:val="24"/>
        </w:rPr>
      </w:pPr>
      <w:r>
        <w:rPr>
          <w:b/>
          <w:szCs w:val="24"/>
          <w:lang w:val="es-ES_tradnl"/>
        </w:rPr>
        <w:t>Alumnos en instituciones de enseñanza, 2004</w:t>
      </w:r>
      <w:r w:rsidR="008C04D7">
        <w:rPr>
          <w:b/>
          <w:szCs w:val="24"/>
          <w:lang w:val="es-ES_tradnl"/>
        </w:rPr>
        <w:t>-</w:t>
      </w:r>
      <w:r>
        <w:rPr>
          <w:b/>
          <w:szCs w:val="24"/>
          <w:lang w:val="es-ES_tradnl"/>
        </w:rPr>
        <w:t>2008</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560"/>
        <w:gridCol w:w="3006"/>
        <w:gridCol w:w="984"/>
        <w:gridCol w:w="985"/>
        <w:gridCol w:w="985"/>
        <w:gridCol w:w="985"/>
      </w:tblGrid>
      <w:tr w:rsidR="00F92819">
        <w:trPr>
          <w:tblHeader/>
        </w:trPr>
        <w:tc>
          <w:tcPr>
            <w:tcW w:w="1560" w:type="dxa"/>
            <w:tcBorders>
              <w:top w:val="single" w:sz="4" w:space="0" w:color="auto"/>
              <w:bottom w:val="single" w:sz="12" w:space="0" w:color="auto"/>
            </w:tcBorders>
            <w:vAlign w:val="bottom"/>
          </w:tcPr>
          <w:p w:rsidR="00F92819" w:rsidRDefault="00F92819">
            <w:pPr>
              <w:spacing w:before="80" w:after="80" w:line="200" w:lineRule="exact"/>
              <w:rPr>
                <w:szCs w:val="24"/>
              </w:rPr>
            </w:pPr>
            <w:r>
              <w:rPr>
                <w:i/>
                <w:sz w:val="16"/>
                <w:szCs w:val="24"/>
                <w:lang w:val="es-ES_tradnl"/>
              </w:rPr>
              <w:t>Año</w:t>
            </w:r>
          </w:p>
        </w:tc>
        <w:tc>
          <w:tcPr>
            <w:tcW w:w="3006"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p>
        </w:tc>
        <w:tc>
          <w:tcPr>
            <w:tcW w:w="984"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2004/05</w:t>
            </w:r>
          </w:p>
        </w:tc>
        <w:tc>
          <w:tcPr>
            <w:tcW w:w="985"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2005/06</w:t>
            </w:r>
          </w:p>
        </w:tc>
        <w:tc>
          <w:tcPr>
            <w:tcW w:w="985"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2006/07</w:t>
            </w:r>
          </w:p>
        </w:tc>
        <w:tc>
          <w:tcPr>
            <w:tcW w:w="985"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2007/08</w:t>
            </w:r>
          </w:p>
        </w:tc>
      </w:tr>
      <w:tr w:rsidR="00F92819">
        <w:tc>
          <w:tcPr>
            <w:tcW w:w="1560" w:type="dxa"/>
            <w:tcBorders>
              <w:top w:val="single" w:sz="12" w:space="0" w:color="auto"/>
              <w:bottom w:val="single" w:sz="4" w:space="0" w:color="auto"/>
            </w:tcBorders>
            <w:vAlign w:val="bottom"/>
          </w:tcPr>
          <w:p w:rsidR="00F92819" w:rsidRDefault="00F92819">
            <w:pPr>
              <w:spacing w:before="80" w:after="80" w:line="220" w:lineRule="exact"/>
              <w:ind w:left="284"/>
              <w:rPr>
                <w:szCs w:val="24"/>
              </w:rPr>
            </w:pPr>
            <w:r>
              <w:rPr>
                <w:b/>
                <w:sz w:val="18"/>
                <w:szCs w:val="24"/>
                <w:lang w:val="es-ES_tradnl"/>
              </w:rPr>
              <w:t>Total general</w:t>
            </w:r>
          </w:p>
        </w:tc>
        <w:tc>
          <w:tcPr>
            <w:tcW w:w="3006"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p>
        </w:tc>
        <w:tc>
          <w:tcPr>
            <w:tcW w:w="984"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2 084 525</w:t>
            </w:r>
          </w:p>
        </w:tc>
        <w:tc>
          <w:tcPr>
            <w:tcW w:w="985"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2 093 329</w:t>
            </w:r>
          </w:p>
        </w:tc>
        <w:tc>
          <w:tcPr>
            <w:tcW w:w="985"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2 160 427</w:t>
            </w:r>
          </w:p>
        </w:tc>
        <w:tc>
          <w:tcPr>
            <w:tcW w:w="985"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2 187 494</w:t>
            </w:r>
          </w:p>
        </w:tc>
      </w:tr>
      <w:tr w:rsidR="00F92819">
        <w:tc>
          <w:tcPr>
            <w:tcW w:w="1560"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Enseñanza en hebreo</w:t>
            </w:r>
          </w:p>
        </w:tc>
        <w:tc>
          <w:tcPr>
            <w:tcW w:w="3006" w:type="dxa"/>
            <w:tcBorders>
              <w:top w:val="single" w:sz="4" w:space="0" w:color="auto"/>
            </w:tcBorders>
            <w:vAlign w:val="bottom"/>
          </w:tcPr>
          <w:p w:rsidR="00F92819" w:rsidRDefault="00F92819">
            <w:pPr>
              <w:spacing w:before="40" w:after="40" w:line="220" w:lineRule="exact"/>
              <w:rPr>
                <w:szCs w:val="24"/>
              </w:rPr>
            </w:pPr>
            <w:r>
              <w:rPr>
                <w:b/>
                <w:sz w:val="18"/>
                <w:szCs w:val="24"/>
                <w:lang w:val="es-ES_tradnl"/>
              </w:rPr>
              <w:t>Total general</w:t>
            </w:r>
          </w:p>
        </w:tc>
        <w:tc>
          <w:tcPr>
            <w:tcW w:w="984"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1 648 289</w:t>
            </w:r>
          </w:p>
        </w:tc>
        <w:tc>
          <w:tcPr>
            <w:tcW w:w="985"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1 641 538</w:t>
            </w:r>
          </w:p>
        </w:tc>
        <w:tc>
          <w:tcPr>
            <w:tcW w:w="985"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1 691 087</w:t>
            </w:r>
          </w:p>
        </w:tc>
        <w:tc>
          <w:tcPr>
            <w:tcW w:w="985" w:type="dxa"/>
            <w:tcBorders>
              <w:top w:val="single" w:sz="4" w:space="0" w:color="auto"/>
            </w:tcBorders>
            <w:vAlign w:val="bottom"/>
          </w:tcPr>
          <w:p w:rsidR="00F92819" w:rsidRDefault="00F92819">
            <w:pPr>
              <w:spacing w:before="40" w:after="40" w:line="220" w:lineRule="exact"/>
              <w:jc w:val="right"/>
              <w:rPr>
                <w:b/>
                <w:sz w:val="18"/>
                <w:szCs w:val="24"/>
              </w:rPr>
            </w:pPr>
            <w:r>
              <w:rPr>
                <w:b/>
                <w:sz w:val="18"/>
                <w:szCs w:val="24"/>
              </w:rPr>
              <w:t>1 708 277</w:t>
            </w:r>
          </w:p>
        </w:tc>
      </w:tr>
      <w:tr w:rsidR="00F92819">
        <w:tc>
          <w:tcPr>
            <w:tcW w:w="1560" w:type="dxa"/>
            <w:vAlign w:val="bottom"/>
          </w:tcPr>
          <w:p w:rsidR="00F92819" w:rsidRDefault="00F92819">
            <w:pPr>
              <w:spacing w:before="40" w:after="40" w:line="220" w:lineRule="exact"/>
              <w:rPr>
                <w:sz w:val="18"/>
                <w:szCs w:val="24"/>
              </w:rPr>
            </w:pPr>
          </w:p>
        </w:tc>
        <w:tc>
          <w:tcPr>
            <w:tcW w:w="3006" w:type="dxa"/>
            <w:vAlign w:val="bottom"/>
          </w:tcPr>
          <w:p w:rsidR="00F92819" w:rsidRDefault="00F92819">
            <w:pPr>
              <w:spacing w:before="40" w:after="40" w:line="220" w:lineRule="exact"/>
              <w:rPr>
                <w:szCs w:val="24"/>
              </w:rPr>
            </w:pPr>
            <w:r>
              <w:rPr>
                <w:sz w:val="18"/>
                <w:szCs w:val="24"/>
                <w:lang w:val="es-ES_tradnl"/>
              </w:rPr>
              <w:t>Jardines de infancia</w:t>
            </w:r>
          </w:p>
        </w:tc>
        <w:tc>
          <w:tcPr>
            <w:tcW w:w="984" w:type="dxa"/>
            <w:vAlign w:val="bottom"/>
          </w:tcPr>
          <w:p w:rsidR="00F92819" w:rsidRDefault="00F92819">
            <w:pPr>
              <w:spacing w:before="40" w:after="40" w:line="220" w:lineRule="exact"/>
              <w:jc w:val="right"/>
              <w:rPr>
                <w:sz w:val="18"/>
                <w:szCs w:val="24"/>
              </w:rPr>
            </w:pPr>
            <w:r>
              <w:rPr>
                <w:sz w:val="18"/>
                <w:szCs w:val="24"/>
              </w:rPr>
              <w:t>313 801</w:t>
            </w:r>
          </w:p>
        </w:tc>
        <w:tc>
          <w:tcPr>
            <w:tcW w:w="985" w:type="dxa"/>
            <w:vAlign w:val="bottom"/>
          </w:tcPr>
          <w:p w:rsidR="00F92819" w:rsidRDefault="00F92819">
            <w:pPr>
              <w:spacing w:before="40" w:after="40" w:line="220" w:lineRule="exact"/>
              <w:jc w:val="right"/>
              <w:rPr>
                <w:sz w:val="18"/>
                <w:szCs w:val="24"/>
              </w:rPr>
            </w:pPr>
            <w:r>
              <w:rPr>
                <w:sz w:val="18"/>
                <w:szCs w:val="24"/>
              </w:rPr>
              <w:t>315 000</w:t>
            </w:r>
          </w:p>
        </w:tc>
        <w:tc>
          <w:tcPr>
            <w:tcW w:w="985" w:type="dxa"/>
            <w:vAlign w:val="bottom"/>
          </w:tcPr>
          <w:p w:rsidR="00F92819" w:rsidRDefault="00F92819">
            <w:pPr>
              <w:spacing w:before="40" w:after="40" w:line="220" w:lineRule="exact"/>
              <w:jc w:val="right"/>
              <w:rPr>
                <w:sz w:val="18"/>
                <w:szCs w:val="24"/>
              </w:rPr>
            </w:pPr>
            <w:r>
              <w:rPr>
                <w:sz w:val="18"/>
                <w:szCs w:val="24"/>
              </w:rPr>
              <w:t>340 114</w:t>
            </w:r>
          </w:p>
        </w:tc>
        <w:tc>
          <w:tcPr>
            <w:tcW w:w="985" w:type="dxa"/>
            <w:vAlign w:val="bottom"/>
          </w:tcPr>
          <w:p w:rsidR="00F92819" w:rsidRDefault="00F92819">
            <w:pPr>
              <w:spacing w:before="40" w:after="40" w:line="220" w:lineRule="exact"/>
              <w:jc w:val="right"/>
              <w:rPr>
                <w:sz w:val="18"/>
                <w:szCs w:val="24"/>
              </w:rPr>
            </w:pPr>
            <w:r>
              <w:rPr>
                <w:sz w:val="18"/>
                <w:szCs w:val="24"/>
              </w:rPr>
              <w:t>350 000</w:t>
            </w:r>
          </w:p>
        </w:tc>
      </w:tr>
      <w:tr w:rsidR="00F92819">
        <w:tc>
          <w:tcPr>
            <w:tcW w:w="1560" w:type="dxa"/>
            <w:vAlign w:val="bottom"/>
          </w:tcPr>
          <w:p w:rsidR="00F92819" w:rsidRDefault="00F92819">
            <w:pPr>
              <w:spacing w:before="40" w:after="40" w:line="220" w:lineRule="exact"/>
              <w:rPr>
                <w:sz w:val="18"/>
                <w:szCs w:val="24"/>
              </w:rPr>
            </w:pPr>
          </w:p>
        </w:tc>
        <w:tc>
          <w:tcPr>
            <w:tcW w:w="3006" w:type="dxa"/>
            <w:vAlign w:val="bottom"/>
          </w:tcPr>
          <w:p w:rsidR="00F92819" w:rsidRDefault="00F92819">
            <w:pPr>
              <w:spacing w:before="40" w:after="40" w:line="220" w:lineRule="exact"/>
              <w:rPr>
                <w:szCs w:val="24"/>
              </w:rPr>
            </w:pPr>
            <w:r>
              <w:rPr>
                <w:sz w:val="18"/>
                <w:szCs w:val="24"/>
                <w:lang w:val="es-ES_tradnl"/>
              </w:rPr>
              <w:t>Enseñanza primaria</w:t>
            </w:r>
          </w:p>
        </w:tc>
        <w:tc>
          <w:tcPr>
            <w:tcW w:w="984" w:type="dxa"/>
            <w:vAlign w:val="bottom"/>
          </w:tcPr>
          <w:p w:rsidR="00F92819" w:rsidRDefault="00F92819">
            <w:pPr>
              <w:spacing w:before="40" w:after="40" w:line="220" w:lineRule="exact"/>
              <w:jc w:val="right"/>
              <w:rPr>
                <w:sz w:val="18"/>
                <w:szCs w:val="24"/>
              </w:rPr>
            </w:pPr>
            <w:r>
              <w:rPr>
                <w:sz w:val="18"/>
                <w:szCs w:val="24"/>
              </w:rPr>
              <w:t>574 468</w:t>
            </w:r>
          </w:p>
        </w:tc>
        <w:tc>
          <w:tcPr>
            <w:tcW w:w="985" w:type="dxa"/>
            <w:vAlign w:val="bottom"/>
          </w:tcPr>
          <w:p w:rsidR="00F92819" w:rsidRDefault="00F92819">
            <w:pPr>
              <w:spacing w:before="40" w:after="40" w:line="220" w:lineRule="exact"/>
              <w:jc w:val="right"/>
              <w:rPr>
                <w:sz w:val="18"/>
                <w:szCs w:val="24"/>
              </w:rPr>
            </w:pPr>
            <w:r>
              <w:rPr>
                <w:sz w:val="18"/>
                <w:szCs w:val="24"/>
              </w:rPr>
              <w:t>584 441</w:t>
            </w:r>
          </w:p>
        </w:tc>
        <w:tc>
          <w:tcPr>
            <w:tcW w:w="985" w:type="dxa"/>
            <w:vAlign w:val="bottom"/>
          </w:tcPr>
          <w:p w:rsidR="00F92819" w:rsidRDefault="00F92819">
            <w:pPr>
              <w:spacing w:before="40" w:after="40" w:line="220" w:lineRule="exact"/>
              <w:jc w:val="right"/>
              <w:rPr>
                <w:sz w:val="18"/>
                <w:szCs w:val="24"/>
              </w:rPr>
            </w:pPr>
            <w:r>
              <w:rPr>
                <w:sz w:val="18"/>
                <w:szCs w:val="24"/>
              </w:rPr>
              <w:t>598 029</w:t>
            </w:r>
          </w:p>
        </w:tc>
        <w:tc>
          <w:tcPr>
            <w:tcW w:w="985" w:type="dxa"/>
            <w:vAlign w:val="bottom"/>
          </w:tcPr>
          <w:p w:rsidR="00F92819" w:rsidRDefault="00F92819">
            <w:pPr>
              <w:spacing w:before="40" w:after="40" w:line="220" w:lineRule="exact"/>
              <w:jc w:val="right"/>
              <w:rPr>
                <w:sz w:val="18"/>
                <w:szCs w:val="24"/>
              </w:rPr>
            </w:pPr>
            <w:r>
              <w:rPr>
                <w:sz w:val="18"/>
                <w:szCs w:val="24"/>
              </w:rPr>
              <w:t>604 725</w:t>
            </w:r>
          </w:p>
        </w:tc>
      </w:tr>
      <w:tr w:rsidR="00F92819">
        <w:tc>
          <w:tcPr>
            <w:tcW w:w="1560" w:type="dxa"/>
            <w:vAlign w:val="bottom"/>
          </w:tcPr>
          <w:p w:rsidR="00F92819" w:rsidRDefault="00F92819">
            <w:pPr>
              <w:spacing w:before="40" w:after="40" w:line="220" w:lineRule="exact"/>
              <w:rPr>
                <w:sz w:val="18"/>
                <w:szCs w:val="24"/>
              </w:rPr>
            </w:pPr>
          </w:p>
        </w:tc>
        <w:tc>
          <w:tcPr>
            <w:tcW w:w="3006" w:type="dxa"/>
            <w:vAlign w:val="bottom"/>
          </w:tcPr>
          <w:p w:rsidR="00F92819" w:rsidRDefault="00F92819">
            <w:pPr>
              <w:spacing w:before="40" w:after="40" w:line="220" w:lineRule="exact"/>
              <w:rPr>
                <w:szCs w:val="24"/>
              </w:rPr>
            </w:pPr>
            <w:r>
              <w:rPr>
                <w:sz w:val="18"/>
                <w:szCs w:val="24"/>
                <w:lang w:val="es-ES_tradnl"/>
              </w:rPr>
              <w:t>Enseñanza postprimaria</w:t>
            </w:r>
          </w:p>
        </w:tc>
        <w:tc>
          <w:tcPr>
            <w:tcW w:w="984" w:type="dxa"/>
            <w:vAlign w:val="bottom"/>
          </w:tcPr>
          <w:p w:rsidR="00F92819" w:rsidRDefault="00F92819">
            <w:pPr>
              <w:spacing w:before="40" w:after="40" w:line="220" w:lineRule="exact"/>
              <w:jc w:val="right"/>
              <w:rPr>
                <w:sz w:val="18"/>
                <w:szCs w:val="24"/>
              </w:rPr>
            </w:pPr>
            <w:r>
              <w:rPr>
                <w:sz w:val="18"/>
                <w:szCs w:val="24"/>
              </w:rPr>
              <w:t>472 139</w:t>
            </w:r>
          </w:p>
        </w:tc>
        <w:tc>
          <w:tcPr>
            <w:tcW w:w="985" w:type="dxa"/>
            <w:vAlign w:val="bottom"/>
          </w:tcPr>
          <w:p w:rsidR="00F92819" w:rsidRDefault="00F92819">
            <w:pPr>
              <w:spacing w:before="40" w:after="40" w:line="220" w:lineRule="exact"/>
              <w:jc w:val="right"/>
              <w:rPr>
                <w:sz w:val="18"/>
                <w:szCs w:val="24"/>
              </w:rPr>
            </w:pPr>
            <w:r>
              <w:rPr>
                <w:sz w:val="18"/>
                <w:szCs w:val="24"/>
              </w:rPr>
              <w:t>469 387</w:t>
            </w:r>
          </w:p>
        </w:tc>
        <w:tc>
          <w:tcPr>
            <w:tcW w:w="985" w:type="dxa"/>
            <w:vAlign w:val="bottom"/>
          </w:tcPr>
          <w:p w:rsidR="00F92819" w:rsidRDefault="00F92819">
            <w:pPr>
              <w:spacing w:before="40" w:after="40" w:line="220" w:lineRule="exact"/>
              <w:jc w:val="right"/>
              <w:rPr>
                <w:sz w:val="18"/>
                <w:szCs w:val="24"/>
              </w:rPr>
            </w:pPr>
            <w:r>
              <w:rPr>
                <w:sz w:val="18"/>
                <w:szCs w:val="24"/>
              </w:rPr>
              <w:t>467 721</w:t>
            </w:r>
          </w:p>
        </w:tc>
        <w:tc>
          <w:tcPr>
            <w:tcW w:w="985" w:type="dxa"/>
            <w:vAlign w:val="bottom"/>
          </w:tcPr>
          <w:p w:rsidR="00F92819" w:rsidRDefault="00F92819">
            <w:pPr>
              <w:spacing w:before="40" w:after="40" w:line="220" w:lineRule="exact"/>
              <w:jc w:val="right"/>
              <w:rPr>
                <w:sz w:val="18"/>
                <w:szCs w:val="24"/>
              </w:rPr>
            </w:pPr>
            <w:r>
              <w:rPr>
                <w:sz w:val="18"/>
                <w:szCs w:val="24"/>
              </w:rPr>
              <w:t>462 360</w:t>
            </w:r>
          </w:p>
        </w:tc>
      </w:tr>
      <w:tr w:rsidR="00F92819">
        <w:tc>
          <w:tcPr>
            <w:tcW w:w="1560" w:type="dxa"/>
            <w:vAlign w:val="bottom"/>
          </w:tcPr>
          <w:p w:rsidR="00F92819" w:rsidRDefault="00F92819">
            <w:pPr>
              <w:keepNext/>
              <w:keepLines/>
              <w:spacing w:before="40" w:after="40" w:line="220" w:lineRule="exact"/>
              <w:rPr>
                <w:sz w:val="18"/>
                <w:szCs w:val="24"/>
              </w:rPr>
            </w:pPr>
          </w:p>
        </w:tc>
        <w:tc>
          <w:tcPr>
            <w:tcW w:w="3006" w:type="dxa"/>
            <w:vAlign w:val="bottom"/>
          </w:tcPr>
          <w:p w:rsidR="00F92819" w:rsidRDefault="00F92819">
            <w:pPr>
              <w:keepNext/>
              <w:keepLines/>
              <w:spacing w:before="40" w:after="40" w:line="220" w:lineRule="exact"/>
              <w:rPr>
                <w:szCs w:val="24"/>
              </w:rPr>
            </w:pPr>
            <w:r>
              <w:rPr>
                <w:sz w:val="18"/>
                <w:szCs w:val="24"/>
                <w:lang w:val="es-ES_tradnl"/>
              </w:rPr>
              <w:t>Instituciones de enseñanza</w:t>
            </w:r>
            <w:r>
              <w:rPr>
                <w:sz w:val="18"/>
                <w:szCs w:val="24"/>
                <w:lang w:val="es-ES_tradnl"/>
              </w:rPr>
              <w:br/>
              <w:t xml:space="preserve">  postsecundaria</w:t>
            </w:r>
          </w:p>
        </w:tc>
        <w:tc>
          <w:tcPr>
            <w:tcW w:w="984" w:type="dxa"/>
            <w:vAlign w:val="bottom"/>
          </w:tcPr>
          <w:p w:rsidR="00F92819" w:rsidRDefault="00F92819">
            <w:pPr>
              <w:keepNext/>
              <w:keepLines/>
              <w:spacing w:before="40" w:after="40" w:line="220" w:lineRule="exact"/>
              <w:jc w:val="right"/>
              <w:rPr>
                <w:sz w:val="18"/>
                <w:szCs w:val="24"/>
              </w:rPr>
            </w:pPr>
            <w:r>
              <w:rPr>
                <w:sz w:val="18"/>
                <w:szCs w:val="24"/>
              </w:rPr>
              <w:t>51 195</w:t>
            </w:r>
          </w:p>
        </w:tc>
        <w:tc>
          <w:tcPr>
            <w:tcW w:w="985" w:type="dxa"/>
            <w:vAlign w:val="bottom"/>
          </w:tcPr>
          <w:p w:rsidR="00F92819" w:rsidRDefault="00F92819">
            <w:pPr>
              <w:keepNext/>
              <w:keepLines/>
              <w:spacing w:before="40" w:after="40" w:line="220" w:lineRule="exact"/>
              <w:jc w:val="right"/>
              <w:rPr>
                <w:sz w:val="18"/>
                <w:szCs w:val="24"/>
              </w:rPr>
            </w:pPr>
            <w:r>
              <w:rPr>
                <w:sz w:val="18"/>
                <w:szCs w:val="24"/>
              </w:rPr>
              <w:t>52 601</w:t>
            </w:r>
          </w:p>
        </w:tc>
        <w:tc>
          <w:tcPr>
            <w:tcW w:w="985" w:type="dxa"/>
            <w:vAlign w:val="bottom"/>
          </w:tcPr>
          <w:p w:rsidR="00F92819" w:rsidRDefault="00F92819">
            <w:pPr>
              <w:keepNext/>
              <w:keepLines/>
              <w:spacing w:before="40" w:after="40" w:line="220" w:lineRule="exact"/>
              <w:jc w:val="right"/>
              <w:rPr>
                <w:sz w:val="18"/>
                <w:szCs w:val="24"/>
              </w:rPr>
            </w:pPr>
            <w:r>
              <w:rPr>
                <w:sz w:val="18"/>
                <w:szCs w:val="24"/>
              </w:rPr>
              <w:t>51 332</w:t>
            </w:r>
          </w:p>
        </w:tc>
        <w:tc>
          <w:tcPr>
            <w:tcW w:w="985" w:type="dxa"/>
            <w:vAlign w:val="bottom"/>
          </w:tcPr>
          <w:p w:rsidR="00F92819" w:rsidRDefault="00F92819">
            <w:pPr>
              <w:keepNext/>
              <w:keepLines/>
              <w:spacing w:before="40" w:after="40" w:line="220" w:lineRule="exact"/>
              <w:jc w:val="right"/>
              <w:rPr>
                <w:sz w:val="18"/>
                <w:szCs w:val="24"/>
              </w:rPr>
            </w:pPr>
            <w:r>
              <w:rPr>
                <w:sz w:val="18"/>
                <w:szCs w:val="24"/>
              </w:rPr>
              <w:t>51 000</w:t>
            </w:r>
          </w:p>
        </w:tc>
      </w:tr>
      <w:tr w:rsidR="00F92819">
        <w:tc>
          <w:tcPr>
            <w:tcW w:w="1560" w:type="dxa"/>
            <w:vAlign w:val="bottom"/>
          </w:tcPr>
          <w:p w:rsidR="00F92819" w:rsidRDefault="00F92819">
            <w:pPr>
              <w:keepNext/>
              <w:keepLines/>
              <w:spacing w:before="40" w:after="40" w:line="220" w:lineRule="exact"/>
              <w:rPr>
                <w:sz w:val="18"/>
                <w:szCs w:val="24"/>
              </w:rPr>
            </w:pPr>
          </w:p>
        </w:tc>
        <w:tc>
          <w:tcPr>
            <w:tcW w:w="3006" w:type="dxa"/>
            <w:vAlign w:val="bottom"/>
          </w:tcPr>
          <w:p w:rsidR="00F92819" w:rsidRDefault="00F92819">
            <w:pPr>
              <w:keepNext/>
              <w:keepLines/>
              <w:spacing w:before="40" w:after="40" w:line="220" w:lineRule="exact"/>
              <w:rPr>
                <w:szCs w:val="24"/>
              </w:rPr>
            </w:pPr>
            <w:r>
              <w:rPr>
                <w:sz w:val="18"/>
                <w:szCs w:val="24"/>
                <w:lang w:val="es-ES_tradnl"/>
              </w:rPr>
              <w:t>Instituciones no universitarias</w:t>
            </w:r>
            <w:r>
              <w:rPr>
                <w:sz w:val="18"/>
                <w:szCs w:val="24"/>
                <w:lang w:val="es-ES_tradnl"/>
              </w:rPr>
              <w:br/>
              <w:t xml:space="preserve">  de enseñanza superior</w:t>
            </w:r>
            <w:r>
              <w:rPr>
                <w:lang w:val="es-ES_tradnl"/>
              </w:rPr>
              <w:t>**</w:t>
            </w:r>
          </w:p>
        </w:tc>
        <w:tc>
          <w:tcPr>
            <w:tcW w:w="984" w:type="dxa"/>
            <w:vAlign w:val="bottom"/>
          </w:tcPr>
          <w:p w:rsidR="00F92819" w:rsidRDefault="00F92819">
            <w:pPr>
              <w:keepNext/>
              <w:keepLines/>
              <w:spacing w:before="40" w:after="40" w:line="220" w:lineRule="exact"/>
              <w:jc w:val="right"/>
              <w:rPr>
                <w:sz w:val="18"/>
                <w:szCs w:val="24"/>
              </w:rPr>
            </w:pPr>
            <w:r>
              <w:rPr>
                <w:sz w:val="18"/>
                <w:szCs w:val="24"/>
              </w:rPr>
              <w:t>77 738</w:t>
            </w:r>
          </w:p>
        </w:tc>
        <w:tc>
          <w:tcPr>
            <w:tcW w:w="985" w:type="dxa"/>
            <w:vAlign w:val="bottom"/>
          </w:tcPr>
          <w:p w:rsidR="00F92819" w:rsidRDefault="00F92819">
            <w:pPr>
              <w:keepNext/>
              <w:keepLines/>
              <w:spacing w:before="40" w:after="40" w:line="220" w:lineRule="exact"/>
              <w:jc w:val="right"/>
              <w:rPr>
                <w:sz w:val="18"/>
                <w:szCs w:val="24"/>
              </w:rPr>
            </w:pPr>
            <w:r>
              <w:rPr>
                <w:sz w:val="18"/>
                <w:szCs w:val="24"/>
              </w:rPr>
              <w:t>82 023</w:t>
            </w:r>
          </w:p>
        </w:tc>
        <w:tc>
          <w:tcPr>
            <w:tcW w:w="985" w:type="dxa"/>
            <w:vAlign w:val="bottom"/>
          </w:tcPr>
          <w:p w:rsidR="00F92819" w:rsidRDefault="00F92819">
            <w:pPr>
              <w:keepNext/>
              <w:keepLines/>
              <w:spacing w:before="40" w:after="40" w:line="220" w:lineRule="exact"/>
              <w:jc w:val="right"/>
              <w:rPr>
                <w:sz w:val="18"/>
                <w:szCs w:val="24"/>
              </w:rPr>
            </w:pPr>
            <w:r>
              <w:rPr>
                <w:sz w:val="18"/>
                <w:szCs w:val="24"/>
              </w:rPr>
              <w:t>97 923</w:t>
            </w:r>
          </w:p>
        </w:tc>
        <w:tc>
          <w:tcPr>
            <w:tcW w:w="985" w:type="dxa"/>
            <w:vAlign w:val="bottom"/>
          </w:tcPr>
          <w:p w:rsidR="00F92819" w:rsidRDefault="00F92819">
            <w:pPr>
              <w:keepNext/>
              <w:keepLines/>
              <w:spacing w:before="40" w:after="40" w:line="220" w:lineRule="exact"/>
              <w:jc w:val="right"/>
              <w:rPr>
                <w:sz w:val="18"/>
                <w:szCs w:val="24"/>
              </w:rPr>
            </w:pPr>
            <w:r>
              <w:rPr>
                <w:sz w:val="18"/>
                <w:szCs w:val="24"/>
              </w:rPr>
              <w:t>104 689</w:t>
            </w:r>
          </w:p>
        </w:tc>
      </w:tr>
      <w:tr w:rsidR="00F92819">
        <w:tc>
          <w:tcPr>
            <w:tcW w:w="1560" w:type="dxa"/>
            <w:vAlign w:val="bottom"/>
          </w:tcPr>
          <w:p w:rsidR="00F92819" w:rsidRDefault="00F92819">
            <w:pPr>
              <w:spacing w:before="40" w:after="40" w:line="220" w:lineRule="exact"/>
              <w:rPr>
                <w:sz w:val="18"/>
                <w:szCs w:val="24"/>
              </w:rPr>
            </w:pPr>
          </w:p>
        </w:tc>
        <w:tc>
          <w:tcPr>
            <w:tcW w:w="3006" w:type="dxa"/>
            <w:vAlign w:val="bottom"/>
          </w:tcPr>
          <w:p w:rsidR="00F92819" w:rsidRDefault="00F92819">
            <w:pPr>
              <w:spacing w:before="40" w:after="40" w:line="220" w:lineRule="exact"/>
              <w:rPr>
                <w:szCs w:val="24"/>
              </w:rPr>
            </w:pPr>
            <w:r>
              <w:rPr>
                <w:sz w:val="18"/>
                <w:szCs w:val="24"/>
                <w:lang w:val="es-ES_tradnl"/>
              </w:rPr>
              <w:t>Universidades</w:t>
            </w:r>
          </w:p>
        </w:tc>
        <w:tc>
          <w:tcPr>
            <w:tcW w:w="984" w:type="dxa"/>
            <w:vAlign w:val="bottom"/>
          </w:tcPr>
          <w:p w:rsidR="00F92819" w:rsidRDefault="00F92819">
            <w:pPr>
              <w:spacing w:before="40" w:after="40" w:line="220" w:lineRule="exact"/>
              <w:jc w:val="right"/>
              <w:rPr>
                <w:sz w:val="18"/>
                <w:szCs w:val="24"/>
              </w:rPr>
            </w:pPr>
            <w:r>
              <w:rPr>
                <w:sz w:val="18"/>
                <w:szCs w:val="24"/>
              </w:rPr>
              <w:t>124 430</w:t>
            </w:r>
          </w:p>
        </w:tc>
        <w:tc>
          <w:tcPr>
            <w:tcW w:w="985" w:type="dxa"/>
            <w:vAlign w:val="bottom"/>
          </w:tcPr>
          <w:p w:rsidR="00F92819" w:rsidRDefault="00F92819">
            <w:pPr>
              <w:spacing w:before="40" w:after="40" w:line="220" w:lineRule="exact"/>
              <w:jc w:val="right"/>
              <w:rPr>
                <w:sz w:val="18"/>
                <w:szCs w:val="24"/>
              </w:rPr>
            </w:pPr>
            <w:r>
              <w:rPr>
                <w:sz w:val="18"/>
                <w:szCs w:val="24"/>
              </w:rPr>
              <w:t>123 010</w:t>
            </w:r>
          </w:p>
        </w:tc>
        <w:tc>
          <w:tcPr>
            <w:tcW w:w="985" w:type="dxa"/>
            <w:vAlign w:val="bottom"/>
          </w:tcPr>
          <w:p w:rsidR="00F92819" w:rsidRDefault="00F92819">
            <w:pPr>
              <w:spacing w:before="40" w:after="40" w:line="220" w:lineRule="exact"/>
              <w:jc w:val="right"/>
              <w:rPr>
                <w:sz w:val="18"/>
                <w:szCs w:val="24"/>
              </w:rPr>
            </w:pPr>
            <w:r>
              <w:rPr>
                <w:sz w:val="18"/>
                <w:szCs w:val="24"/>
              </w:rPr>
              <w:t>121 234</w:t>
            </w:r>
          </w:p>
        </w:tc>
        <w:tc>
          <w:tcPr>
            <w:tcW w:w="985" w:type="dxa"/>
            <w:vAlign w:val="bottom"/>
          </w:tcPr>
          <w:p w:rsidR="00F92819" w:rsidRDefault="00F92819">
            <w:pPr>
              <w:spacing w:before="40" w:after="40" w:line="220" w:lineRule="exact"/>
              <w:jc w:val="right"/>
              <w:rPr>
                <w:sz w:val="18"/>
                <w:szCs w:val="24"/>
              </w:rPr>
            </w:pPr>
            <w:r>
              <w:rPr>
                <w:sz w:val="18"/>
                <w:szCs w:val="24"/>
              </w:rPr>
              <w:t>121 003</w:t>
            </w:r>
          </w:p>
        </w:tc>
      </w:tr>
      <w:tr w:rsidR="00F92819">
        <w:tc>
          <w:tcPr>
            <w:tcW w:w="1560" w:type="dxa"/>
            <w:vAlign w:val="bottom"/>
          </w:tcPr>
          <w:p w:rsidR="00F92819" w:rsidRDefault="00F92819">
            <w:pPr>
              <w:spacing w:before="40" w:after="40" w:line="220" w:lineRule="exact"/>
              <w:rPr>
                <w:sz w:val="18"/>
                <w:szCs w:val="24"/>
              </w:rPr>
            </w:pPr>
          </w:p>
        </w:tc>
        <w:tc>
          <w:tcPr>
            <w:tcW w:w="3006" w:type="dxa"/>
            <w:vAlign w:val="bottom"/>
          </w:tcPr>
          <w:p w:rsidR="00F92819" w:rsidRDefault="00F92819">
            <w:pPr>
              <w:spacing w:before="40" w:after="40" w:line="220" w:lineRule="exact"/>
              <w:rPr>
                <w:szCs w:val="24"/>
              </w:rPr>
            </w:pPr>
            <w:r>
              <w:rPr>
                <w:sz w:val="18"/>
                <w:szCs w:val="24"/>
                <w:lang w:val="es-ES_tradnl"/>
              </w:rPr>
              <w:t>Otras instituciones</w:t>
            </w:r>
          </w:p>
        </w:tc>
        <w:tc>
          <w:tcPr>
            <w:tcW w:w="984" w:type="dxa"/>
            <w:vAlign w:val="bottom"/>
          </w:tcPr>
          <w:p w:rsidR="00F92819" w:rsidRDefault="00F92819">
            <w:pPr>
              <w:spacing w:before="40" w:after="40" w:line="220" w:lineRule="exact"/>
              <w:jc w:val="right"/>
              <w:rPr>
                <w:sz w:val="18"/>
                <w:szCs w:val="24"/>
              </w:rPr>
            </w:pPr>
            <w:r>
              <w:rPr>
                <w:sz w:val="18"/>
                <w:szCs w:val="24"/>
              </w:rPr>
              <w:t>34 518</w:t>
            </w:r>
          </w:p>
        </w:tc>
        <w:tc>
          <w:tcPr>
            <w:tcW w:w="985" w:type="dxa"/>
            <w:vAlign w:val="bottom"/>
          </w:tcPr>
          <w:p w:rsidR="00F92819" w:rsidRDefault="00F92819">
            <w:pPr>
              <w:spacing w:before="40" w:after="40" w:line="220" w:lineRule="exact"/>
              <w:jc w:val="right"/>
              <w:rPr>
                <w:sz w:val="18"/>
                <w:szCs w:val="24"/>
              </w:rPr>
            </w:pPr>
            <w:r>
              <w:rPr>
                <w:sz w:val="18"/>
                <w:szCs w:val="24"/>
              </w:rPr>
              <w:t>15 076</w:t>
            </w:r>
          </w:p>
        </w:tc>
        <w:tc>
          <w:tcPr>
            <w:tcW w:w="985" w:type="dxa"/>
            <w:vAlign w:val="bottom"/>
          </w:tcPr>
          <w:p w:rsidR="00F92819" w:rsidRDefault="00F92819">
            <w:pPr>
              <w:spacing w:before="40" w:after="40" w:line="220" w:lineRule="exact"/>
              <w:jc w:val="right"/>
              <w:rPr>
                <w:sz w:val="18"/>
                <w:szCs w:val="24"/>
              </w:rPr>
            </w:pPr>
            <w:r>
              <w:rPr>
                <w:sz w:val="18"/>
                <w:szCs w:val="24"/>
              </w:rPr>
              <w:t>14 734</w:t>
            </w:r>
          </w:p>
        </w:tc>
        <w:tc>
          <w:tcPr>
            <w:tcW w:w="985" w:type="dxa"/>
            <w:vAlign w:val="bottom"/>
          </w:tcPr>
          <w:p w:rsidR="00F92819" w:rsidRDefault="00F92819">
            <w:pPr>
              <w:spacing w:before="40" w:after="40" w:line="220" w:lineRule="exact"/>
              <w:jc w:val="right"/>
              <w:rPr>
                <w:sz w:val="18"/>
                <w:szCs w:val="24"/>
              </w:rPr>
            </w:pPr>
            <w:r>
              <w:rPr>
                <w:sz w:val="18"/>
                <w:szCs w:val="24"/>
              </w:rPr>
              <w:t>14 500</w:t>
            </w:r>
          </w:p>
        </w:tc>
      </w:tr>
      <w:tr w:rsidR="00F92819">
        <w:tc>
          <w:tcPr>
            <w:tcW w:w="1560" w:type="dxa"/>
            <w:vAlign w:val="bottom"/>
          </w:tcPr>
          <w:p w:rsidR="00F92819" w:rsidRDefault="00F92819">
            <w:pPr>
              <w:keepNext/>
              <w:keepLines/>
              <w:spacing w:before="40" w:after="40" w:line="220" w:lineRule="exact"/>
              <w:rPr>
                <w:szCs w:val="24"/>
              </w:rPr>
            </w:pPr>
            <w:r>
              <w:rPr>
                <w:sz w:val="18"/>
                <w:szCs w:val="24"/>
                <w:lang w:val="es-ES_tradnl"/>
              </w:rPr>
              <w:t>Enseñanza en árabe</w:t>
            </w:r>
          </w:p>
        </w:tc>
        <w:tc>
          <w:tcPr>
            <w:tcW w:w="3006" w:type="dxa"/>
            <w:vAlign w:val="bottom"/>
          </w:tcPr>
          <w:p w:rsidR="00F92819" w:rsidRDefault="00F92819">
            <w:pPr>
              <w:keepNext/>
              <w:keepLines/>
              <w:spacing w:before="40" w:after="40" w:line="220" w:lineRule="exact"/>
              <w:rPr>
                <w:szCs w:val="24"/>
              </w:rPr>
            </w:pPr>
            <w:r>
              <w:rPr>
                <w:b/>
                <w:sz w:val="18"/>
                <w:szCs w:val="24"/>
                <w:lang w:val="es-ES_tradnl"/>
              </w:rPr>
              <w:t>Total general</w:t>
            </w:r>
          </w:p>
        </w:tc>
        <w:tc>
          <w:tcPr>
            <w:tcW w:w="984" w:type="dxa"/>
            <w:vAlign w:val="bottom"/>
          </w:tcPr>
          <w:p w:rsidR="00F92819" w:rsidRDefault="00F92819">
            <w:pPr>
              <w:keepNext/>
              <w:keepLines/>
              <w:spacing w:before="40" w:after="40" w:line="220" w:lineRule="exact"/>
              <w:jc w:val="right"/>
              <w:rPr>
                <w:b/>
                <w:sz w:val="18"/>
                <w:szCs w:val="24"/>
              </w:rPr>
            </w:pPr>
            <w:r>
              <w:rPr>
                <w:b/>
                <w:sz w:val="18"/>
                <w:szCs w:val="24"/>
              </w:rPr>
              <w:t>436 236</w:t>
            </w:r>
          </w:p>
        </w:tc>
        <w:tc>
          <w:tcPr>
            <w:tcW w:w="985" w:type="dxa"/>
            <w:vAlign w:val="bottom"/>
          </w:tcPr>
          <w:p w:rsidR="00F92819" w:rsidRDefault="00F92819">
            <w:pPr>
              <w:keepNext/>
              <w:keepLines/>
              <w:spacing w:before="40" w:after="40" w:line="220" w:lineRule="exact"/>
              <w:jc w:val="right"/>
              <w:rPr>
                <w:b/>
                <w:sz w:val="18"/>
                <w:szCs w:val="24"/>
              </w:rPr>
            </w:pPr>
            <w:r>
              <w:rPr>
                <w:b/>
                <w:sz w:val="18"/>
                <w:szCs w:val="24"/>
              </w:rPr>
              <w:t>451 791</w:t>
            </w:r>
          </w:p>
        </w:tc>
        <w:tc>
          <w:tcPr>
            <w:tcW w:w="985" w:type="dxa"/>
            <w:vAlign w:val="bottom"/>
          </w:tcPr>
          <w:p w:rsidR="00F92819" w:rsidRDefault="00F92819">
            <w:pPr>
              <w:keepNext/>
              <w:keepLines/>
              <w:spacing w:before="40" w:after="40" w:line="220" w:lineRule="exact"/>
              <w:jc w:val="right"/>
              <w:rPr>
                <w:b/>
                <w:sz w:val="18"/>
                <w:szCs w:val="24"/>
              </w:rPr>
            </w:pPr>
            <w:r>
              <w:rPr>
                <w:b/>
                <w:sz w:val="18"/>
                <w:szCs w:val="24"/>
              </w:rPr>
              <w:t>469 340</w:t>
            </w:r>
          </w:p>
        </w:tc>
        <w:tc>
          <w:tcPr>
            <w:tcW w:w="985" w:type="dxa"/>
            <w:vAlign w:val="bottom"/>
          </w:tcPr>
          <w:p w:rsidR="00F92819" w:rsidRDefault="00F92819">
            <w:pPr>
              <w:keepNext/>
              <w:keepLines/>
              <w:spacing w:before="40" w:after="40" w:line="220" w:lineRule="exact"/>
              <w:jc w:val="right"/>
              <w:rPr>
                <w:b/>
                <w:sz w:val="18"/>
                <w:szCs w:val="24"/>
              </w:rPr>
            </w:pPr>
            <w:r>
              <w:rPr>
                <w:b/>
                <w:sz w:val="18"/>
                <w:szCs w:val="24"/>
              </w:rPr>
              <w:t>479 217</w:t>
            </w:r>
          </w:p>
        </w:tc>
      </w:tr>
      <w:tr w:rsidR="00F92819">
        <w:tc>
          <w:tcPr>
            <w:tcW w:w="1560" w:type="dxa"/>
            <w:vAlign w:val="bottom"/>
          </w:tcPr>
          <w:p w:rsidR="00F92819" w:rsidRDefault="00F92819">
            <w:pPr>
              <w:keepNext/>
              <w:keepLines/>
              <w:spacing w:before="40" w:after="40" w:line="220" w:lineRule="exact"/>
              <w:rPr>
                <w:sz w:val="18"/>
                <w:szCs w:val="24"/>
              </w:rPr>
            </w:pPr>
          </w:p>
        </w:tc>
        <w:tc>
          <w:tcPr>
            <w:tcW w:w="3006" w:type="dxa"/>
            <w:vAlign w:val="bottom"/>
          </w:tcPr>
          <w:p w:rsidR="00F92819" w:rsidRDefault="00F92819">
            <w:pPr>
              <w:keepNext/>
              <w:keepLines/>
              <w:spacing w:before="40" w:after="40" w:line="220" w:lineRule="exact"/>
              <w:rPr>
                <w:szCs w:val="24"/>
              </w:rPr>
            </w:pPr>
            <w:r>
              <w:rPr>
                <w:sz w:val="18"/>
                <w:szCs w:val="24"/>
                <w:lang w:val="es-ES_tradnl"/>
              </w:rPr>
              <w:t>Jardines de infancia</w:t>
            </w:r>
          </w:p>
        </w:tc>
        <w:tc>
          <w:tcPr>
            <w:tcW w:w="984" w:type="dxa"/>
            <w:vAlign w:val="bottom"/>
          </w:tcPr>
          <w:p w:rsidR="00F92819" w:rsidRDefault="00F92819">
            <w:pPr>
              <w:keepNext/>
              <w:keepLines/>
              <w:spacing w:before="40" w:after="40" w:line="220" w:lineRule="exact"/>
              <w:jc w:val="right"/>
              <w:rPr>
                <w:sz w:val="18"/>
                <w:szCs w:val="24"/>
              </w:rPr>
            </w:pPr>
            <w:r>
              <w:rPr>
                <w:sz w:val="18"/>
                <w:szCs w:val="24"/>
              </w:rPr>
              <w:t>89 400</w:t>
            </w:r>
          </w:p>
        </w:tc>
        <w:tc>
          <w:tcPr>
            <w:tcW w:w="985" w:type="dxa"/>
            <w:vAlign w:val="bottom"/>
          </w:tcPr>
          <w:p w:rsidR="00F92819" w:rsidRDefault="00F92819">
            <w:pPr>
              <w:keepNext/>
              <w:keepLines/>
              <w:spacing w:before="40" w:after="40" w:line="220" w:lineRule="exact"/>
              <w:jc w:val="right"/>
              <w:rPr>
                <w:sz w:val="18"/>
                <w:szCs w:val="24"/>
              </w:rPr>
            </w:pPr>
            <w:r>
              <w:rPr>
                <w:sz w:val="18"/>
                <w:szCs w:val="24"/>
              </w:rPr>
              <w:t>92 000</w:t>
            </w:r>
          </w:p>
        </w:tc>
        <w:tc>
          <w:tcPr>
            <w:tcW w:w="985" w:type="dxa"/>
            <w:vAlign w:val="bottom"/>
          </w:tcPr>
          <w:p w:rsidR="00F92819" w:rsidRDefault="00F92819">
            <w:pPr>
              <w:keepNext/>
              <w:keepLines/>
              <w:spacing w:before="40" w:after="40" w:line="220" w:lineRule="exact"/>
              <w:jc w:val="right"/>
              <w:rPr>
                <w:sz w:val="18"/>
                <w:szCs w:val="24"/>
              </w:rPr>
            </w:pPr>
            <w:r>
              <w:rPr>
                <w:sz w:val="18"/>
                <w:szCs w:val="24"/>
              </w:rPr>
              <w:t>94 383</w:t>
            </w:r>
          </w:p>
        </w:tc>
        <w:tc>
          <w:tcPr>
            <w:tcW w:w="985" w:type="dxa"/>
            <w:vAlign w:val="bottom"/>
          </w:tcPr>
          <w:p w:rsidR="00F92819" w:rsidRDefault="00F92819">
            <w:pPr>
              <w:keepNext/>
              <w:keepLines/>
              <w:spacing w:before="40" w:after="40" w:line="220" w:lineRule="exact"/>
              <w:jc w:val="right"/>
              <w:rPr>
                <w:sz w:val="18"/>
                <w:szCs w:val="24"/>
              </w:rPr>
            </w:pPr>
            <w:r>
              <w:rPr>
                <w:sz w:val="18"/>
                <w:szCs w:val="24"/>
              </w:rPr>
              <w:t>95 000</w:t>
            </w:r>
          </w:p>
        </w:tc>
      </w:tr>
      <w:tr w:rsidR="00F92819">
        <w:tc>
          <w:tcPr>
            <w:tcW w:w="1560" w:type="dxa"/>
            <w:vAlign w:val="bottom"/>
          </w:tcPr>
          <w:p w:rsidR="00F92819" w:rsidRDefault="00F92819">
            <w:pPr>
              <w:spacing w:before="40" w:after="40" w:line="220" w:lineRule="exact"/>
              <w:rPr>
                <w:sz w:val="18"/>
                <w:szCs w:val="24"/>
              </w:rPr>
            </w:pPr>
          </w:p>
        </w:tc>
        <w:tc>
          <w:tcPr>
            <w:tcW w:w="3006" w:type="dxa"/>
            <w:vAlign w:val="bottom"/>
          </w:tcPr>
          <w:p w:rsidR="00F92819" w:rsidRDefault="00F92819">
            <w:pPr>
              <w:spacing w:before="40" w:after="40" w:line="220" w:lineRule="exact"/>
              <w:rPr>
                <w:szCs w:val="24"/>
              </w:rPr>
            </w:pPr>
            <w:r>
              <w:rPr>
                <w:sz w:val="18"/>
                <w:szCs w:val="24"/>
                <w:lang w:val="es-ES_tradnl"/>
              </w:rPr>
              <w:t>Enseñanza primaria</w:t>
            </w:r>
          </w:p>
        </w:tc>
        <w:tc>
          <w:tcPr>
            <w:tcW w:w="984" w:type="dxa"/>
            <w:vAlign w:val="bottom"/>
          </w:tcPr>
          <w:p w:rsidR="00F92819" w:rsidRDefault="00F92819">
            <w:pPr>
              <w:spacing w:before="40" w:after="40" w:line="220" w:lineRule="exact"/>
              <w:jc w:val="right"/>
              <w:rPr>
                <w:sz w:val="18"/>
                <w:szCs w:val="24"/>
              </w:rPr>
            </w:pPr>
            <w:r>
              <w:rPr>
                <w:sz w:val="18"/>
                <w:szCs w:val="24"/>
              </w:rPr>
              <w:t>212 638</w:t>
            </w:r>
          </w:p>
        </w:tc>
        <w:tc>
          <w:tcPr>
            <w:tcW w:w="985" w:type="dxa"/>
            <w:vAlign w:val="bottom"/>
          </w:tcPr>
          <w:p w:rsidR="00F92819" w:rsidRDefault="00F92819">
            <w:pPr>
              <w:spacing w:before="40" w:after="40" w:line="220" w:lineRule="exact"/>
              <w:jc w:val="right"/>
              <w:rPr>
                <w:sz w:val="18"/>
                <w:szCs w:val="24"/>
              </w:rPr>
            </w:pPr>
            <w:r>
              <w:rPr>
                <w:sz w:val="18"/>
                <w:szCs w:val="24"/>
              </w:rPr>
              <w:t>221 133</w:t>
            </w:r>
          </w:p>
        </w:tc>
        <w:tc>
          <w:tcPr>
            <w:tcW w:w="985" w:type="dxa"/>
            <w:vAlign w:val="bottom"/>
          </w:tcPr>
          <w:p w:rsidR="00F92819" w:rsidRDefault="00F92819">
            <w:pPr>
              <w:spacing w:before="40" w:after="40" w:line="220" w:lineRule="exact"/>
              <w:jc w:val="right"/>
              <w:rPr>
                <w:sz w:val="18"/>
                <w:szCs w:val="24"/>
              </w:rPr>
            </w:pPr>
            <w:r>
              <w:rPr>
                <w:sz w:val="18"/>
                <w:szCs w:val="24"/>
              </w:rPr>
              <w:t>231 268</w:t>
            </w:r>
          </w:p>
        </w:tc>
        <w:tc>
          <w:tcPr>
            <w:tcW w:w="985" w:type="dxa"/>
            <w:vAlign w:val="bottom"/>
          </w:tcPr>
          <w:p w:rsidR="00F92819" w:rsidRDefault="00F92819">
            <w:pPr>
              <w:spacing w:before="40" w:after="40" w:line="220" w:lineRule="exact"/>
              <w:jc w:val="right"/>
              <w:rPr>
                <w:sz w:val="18"/>
                <w:szCs w:val="24"/>
              </w:rPr>
            </w:pPr>
            <w:r>
              <w:rPr>
                <w:sz w:val="18"/>
                <w:szCs w:val="24"/>
              </w:rPr>
              <w:t>236 885</w:t>
            </w:r>
          </w:p>
        </w:tc>
      </w:tr>
      <w:tr w:rsidR="00F92819">
        <w:tc>
          <w:tcPr>
            <w:tcW w:w="1560" w:type="dxa"/>
            <w:vAlign w:val="bottom"/>
          </w:tcPr>
          <w:p w:rsidR="00F92819" w:rsidRDefault="00F92819">
            <w:pPr>
              <w:spacing w:before="40" w:after="40" w:line="220" w:lineRule="exact"/>
              <w:rPr>
                <w:sz w:val="18"/>
                <w:szCs w:val="24"/>
              </w:rPr>
            </w:pPr>
          </w:p>
        </w:tc>
        <w:tc>
          <w:tcPr>
            <w:tcW w:w="3006" w:type="dxa"/>
            <w:vAlign w:val="bottom"/>
          </w:tcPr>
          <w:p w:rsidR="00F92819" w:rsidRDefault="00F92819">
            <w:pPr>
              <w:spacing w:before="40" w:after="40" w:line="220" w:lineRule="exact"/>
              <w:rPr>
                <w:szCs w:val="24"/>
              </w:rPr>
            </w:pPr>
            <w:r>
              <w:rPr>
                <w:sz w:val="18"/>
                <w:szCs w:val="24"/>
                <w:lang w:val="es-ES_tradnl"/>
              </w:rPr>
              <w:t>Enseñanza postprimaria</w:t>
            </w:r>
          </w:p>
        </w:tc>
        <w:tc>
          <w:tcPr>
            <w:tcW w:w="984" w:type="dxa"/>
            <w:vAlign w:val="bottom"/>
          </w:tcPr>
          <w:p w:rsidR="00F92819" w:rsidRDefault="00F92819">
            <w:pPr>
              <w:spacing w:before="40" w:after="40" w:line="220" w:lineRule="exact"/>
              <w:jc w:val="right"/>
              <w:rPr>
                <w:sz w:val="18"/>
                <w:szCs w:val="24"/>
              </w:rPr>
            </w:pPr>
            <w:r>
              <w:rPr>
                <w:sz w:val="18"/>
                <w:szCs w:val="24"/>
              </w:rPr>
              <w:t>132 225</w:t>
            </w:r>
          </w:p>
        </w:tc>
        <w:tc>
          <w:tcPr>
            <w:tcW w:w="985" w:type="dxa"/>
            <w:vAlign w:val="bottom"/>
          </w:tcPr>
          <w:p w:rsidR="00F92819" w:rsidRDefault="00F92819">
            <w:pPr>
              <w:spacing w:before="40" w:after="40" w:line="220" w:lineRule="exact"/>
              <w:jc w:val="right"/>
              <w:rPr>
                <w:sz w:val="18"/>
                <w:szCs w:val="24"/>
              </w:rPr>
            </w:pPr>
            <w:r>
              <w:rPr>
                <w:sz w:val="18"/>
                <w:szCs w:val="24"/>
              </w:rPr>
              <w:t>136 804</w:t>
            </w:r>
          </w:p>
        </w:tc>
        <w:tc>
          <w:tcPr>
            <w:tcW w:w="985" w:type="dxa"/>
            <w:vAlign w:val="bottom"/>
          </w:tcPr>
          <w:p w:rsidR="00F92819" w:rsidRDefault="00F92819">
            <w:pPr>
              <w:spacing w:before="40" w:after="40" w:line="220" w:lineRule="exact"/>
              <w:jc w:val="right"/>
              <w:rPr>
                <w:sz w:val="18"/>
                <w:szCs w:val="24"/>
              </w:rPr>
            </w:pPr>
            <w:r>
              <w:rPr>
                <w:sz w:val="18"/>
                <w:szCs w:val="24"/>
              </w:rPr>
              <w:t>141 279</w:t>
            </w:r>
          </w:p>
        </w:tc>
        <w:tc>
          <w:tcPr>
            <w:tcW w:w="985" w:type="dxa"/>
            <w:vAlign w:val="bottom"/>
          </w:tcPr>
          <w:p w:rsidR="00F92819" w:rsidRDefault="00F92819">
            <w:pPr>
              <w:spacing w:before="40" w:after="40" w:line="220" w:lineRule="exact"/>
              <w:jc w:val="right"/>
              <w:rPr>
                <w:sz w:val="18"/>
                <w:szCs w:val="24"/>
              </w:rPr>
            </w:pPr>
            <w:r>
              <w:rPr>
                <w:sz w:val="18"/>
                <w:szCs w:val="24"/>
              </w:rPr>
              <w:t>144 932</w:t>
            </w:r>
          </w:p>
        </w:tc>
      </w:tr>
      <w:tr w:rsidR="00F92819">
        <w:tc>
          <w:tcPr>
            <w:tcW w:w="1560" w:type="dxa"/>
            <w:tcBorders>
              <w:bottom w:val="single" w:sz="12" w:space="0" w:color="auto"/>
            </w:tcBorders>
            <w:vAlign w:val="bottom"/>
          </w:tcPr>
          <w:p w:rsidR="00F92819" w:rsidRDefault="00F92819">
            <w:pPr>
              <w:spacing w:before="40" w:after="40" w:line="220" w:lineRule="exact"/>
              <w:rPr>
                <w:sz w:val="18"/>
                <w:szCs w:val="24"/>
              </w:rPr>
            </w:pPr>
          </w:p>
        </w:tc>
        <w:tc>
          <w:tcPr>
            <w:tcW w:w="3006" w:type="dxa"/>
            <w:tcBorders>
              <w:bottom w:val="single" w:sz="12" w:space="0" w:color="auto"/>
            </w:tcBorders>
            <w:vAlign w:val="bottom"/>
          </w:tcPr>
          <w:p w:rsidR="00F92819" w:rsidRDefault="00F92819">
            <w:pPr>
              <w:spacing w:before="40" w:after="40" w:line="220" w:lineRule="exact"/>
              <w:rPr>
                <w:szCs w:val="24"/>
              </w:rPr>
            </w:pPr>
            <w:r>
              <w:rPr>
                <w:sz w:val="18"/>
                <w:szCs w:val="24"/>
                <w:lang w:val="es-ES_tradnl"/>
              </w:rPr>
              <w:t>Instituciones de enseñanza</w:t>
            </w:r>
            <w:r>
              <w:rPr>
                <w:sz w:val="18"/>
                <w:szCs w:val="24"/>
                <w:lang w:val="es-ES_tradnl"/>
              </w:rPr>
              <w:br/>
              <w:t xml:space="preserve">  postsecundaria</w:t>
            </w:r>
          </w:p>
        </w:tc>
        <w:tc>
          <w:tcPr>
            <w:tcW w:w="984"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1 973</w:t>
            </w:r>
          </w:p>
        </w:tc>
        <w:tc>
          <w:tcPr>
            <w:tcW w:w="985"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1 854</w:t>
            </w:r>
          </w:p>
        </w:tc>
        <w:tc>
          <w:tcPr>
            <w:tcW w:w="985"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2 410</w:t>
            </w:r>
          </w:p>
        </w:tc>
        <w:tc>
          <w:tcPr>
            <w:tcW w:w="985"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2 400</w:t>
            </w:r>
          </w:p>
        </w:tc>
      </w:tr>
    </w:tbl>
    <w:p w:rsidR="00F92819" w:rsidRDefault="00F92819">
      <w:pPr>
        <w:spacing w:before="12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2006, 2007 y 2008.</w:t>
      </w:r>
    </w:p>
    <w:p w:rsidR="00F92819" w:rsidRDefault="00F92819">
      <w:pPr>
        <w:spacing w:after="240"/>
        <w:ind w:left="1134" w:right="1134" w:firstLine="170"/>
        <w:rPr>
          <w:szCs w:val="24"/>
        </w:rPr>
      </w:pPr>
      <w:r>
        <w:rPr>
          <w:lang w:val="es-ES_tradnl"/>
        </w:rPr>
        <w:t>**</w:t>
      </w:r>
      <w:r>
        <w:rPr>
          <w:sz w:val="18"/>
          <w:szCs w:val="24"/>
          <w:lang w:val="es-ES_tradnl"/>
        </w:rPr>
        <w:t xml:space="preserve"> </w:t>
      </w:r>
      <w:r w:rsidR="002B478C">
        <w:rPr>
          <w:sz w:val="18"/>
          <w:szCs w:val="24"/>
          <w:lang w:val="es-ES_tradnl"/>
        </w:rPr>
        <w:t xml:space="preserve"> </w:t>
      </w:r>
      <w:r>
        <w:rPr>
          <w:sz w:val="18"/>
          <w:szCs w:val="24"/>
          <w:lang w:val="es-ES_tradnl"/>
        </w:rPr>
        <w:t>Incluidos los estudiantes de primer ciclo de facultades universitarias y de magisterio.</w:t>
      </w:r>
      <w:r>
        <w:rPr>
          <w:sz w:val="18"/>
          <w:szCs w:val="24"/>
        </w:rPr>
        <w:t xml:space="preserve"> </w:t>
      </w:r>
      <w:r>
        <w:rPr>
          <w:sz w:val="18"/>
          <w:szCs w:val="24"/>
          <w:lang w:val="es-ES_tradnl"/>
        </w:rPr>
        <w:t>Desde 2006/2007, comprende 5.668 alumnos matriculados en educación continua para la obtención de la licenciatura de magisterio.</w:t>
      </w:r>
    </w:p>
    <w:p w:rsidR="00F92819" w:rsidRDefault="00F92819">
      <w:pPr>
        <w:pStyle w:val="H23G"/>
        <w:rPr>
          <w:szCs w:val="24"/>
        </w:rPr>
      </w:pPr>
      <w:r>
        <w:rPr>
          <w:szCs w:val="24"/>
        </w:rPr>
        <w:tab/>
      </w:r>
      <w:r>
        <w:rPr>
          <w:szCs w:val="24"/>
        </w:rPr>
        <w:tab/>
      </w:r>
      <w:r>
        <w:rPr>
          <w:szCs w:val="24"/>
          <w:lang w:val="es-ES_tradnl"/>
        </w:rPr>
        <w:t>Educación superior</w:t>
      </w:r>
    </w:p>
    <w:p w:rsidR="00F92819" w:rsidRDefault="00F92819">
      <w:pPr>
        <w:pStyle w:val="SingleTxtG"/>
        <w:rPr>
          <w:szCs w:val="24"/>
        </w:rPr>
      </w:pPr>
      <w:r>
        <w:rPr>
          <w:szCs w:val="24"/>
        </w:rPr>
        <w:t>564.</w:t>
      </w:r>
      <w:r>
        <w:rPr>
          <w:szCs w:val="24"/>
        </w:rPr>
        <w:tab/>
      </w:r>
      <w:r>
        <w:rPr>
          <w:szCs w:val="24"/>
          <w:lang w:val="es-ES_tradnl"/>
        </w:rPr>
        <w:t>En 2006/2007, 261.788 alumnos asistieron a instituciones de educación superior (facultades, institutos y universidad abierta).</w:t>
      </w:r>
      <w:r>
        <w:rPr>
          <w:szCs w:val="24"/>
        </w:rPr>
        <w:t xml:space="preserve"> </w:t>
      </w:r>
      <w:r>
        <w:rPr>
          <w:szCs w:val="24"/>
          <w:lang w:val="es-ES_tradnl"/>
        </w:rPr>
        <w:t>El cuadro siguiente muestra el número de alumnos en la universidad y su agrupación por título, campo de estudio, género, edad y grupo de población.</w:t>
      </w:r>
    </w:p>
    <w:p w:rsidR="00F92819" w:rsidRDefault="00F92819">
      <w:pPr>
        <w:pStyle w:val="Heading1"/>
        <w:spacing w:before="240"/>
        <w:rPr>
          <w:szCs w:val="24"/>
        </w:rPr>
      </w:pPr>
      <w:r>
        <w:rPr>
          <w:szCs w:val="24"/>
          <w:lang w:val="es-ES_tradnl"/>
        </w:rPr>
        <w:t>Cuadro 39</w:t>
      </w:r>
    </w:p>
    <w:p w:rsidR="00F92819" w:rsidRDefault="00F92819">
      <w:pPr>
        <w:pStyle w:val="SingleTxtG"/>
        <w:jc w:val="left"/>
        <w:rPr>
          <w:b/>
          <w:szCs w:val="24"/>
        </w:rPr>
      </w:pPr>
      <w:r>
        <w:rPr>
          <w:b/>
          <w:szCs w:val="24"/>
          <w:lang w:val="es-ES_tradnl"/>
        </w:rPr>
        <w:t>Estudiantes en universidades, por titulo, género y grupo de población (porcentaje, a menos que se indique otra cosa)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841"/>
        <w:gridCol w:w="1843"/>
        <w:gridCol w:w="1843"/>
        <w:gridCol w:w="1843"/>
      </w:tblGrid>
      <w:tr w:rsidR="00F92819">
        <w:trPr>
          <w:tblHeader/>
        </w:trPr>
        <w:tc>
          <w:tcPr>
            <w:tcW w:w="1841" w:type="dxa"/>
            <w:tcBorders>
              <w:top w:val="single" w:sz="4" w:space="0" w:color="auto"/>
              <w:bottom w:val="single" w:sz="12" w:space="0" w:color="auto"/>
            </w:tcBorders>
            <w:vAlign w:val="bottom"/>
          </w:tcPr>
          <w:p w:rsidR="00F92819" w:rsidRDefault="00F92819">
            <w:pPr>
              <w:spacing w:before="80" w:after="80" w:line="200" w:lineRule="exact"/>
              <w:rPr>
                <w:i/>
                <w:sz w:val="16"/>
                <w:szCs w:val="24"/>
              </w:rPr>
            </w:pPr>
          </w:p>
        </w:tc>
        <w:tc>
          <w:tcPr>
            <w:tcW w:w="1843"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2004/05</w:t>
            </w:r>
          </w:p>
        </w:tc>
        <w:tc>
          <w:tcPr>
            <w:tcW w:w="1843"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2005/06</w:t>
            </w:r>
          </w:p>
        </w:tc>
        <w:tc>
          <w:tcPr>
            <w:tcW w:w="1843"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2006/07</w:t>
            </w:r>
          </w:p>
        </w:tc>
      </w:tr>
      <w:tr w:rsidR="00F92819">
        <w:tc>
          <w:tcPr>
            <w:tcW w:w="7370" w:type="dxa"/>
            <w:gridSpan w:val="4"/>
            <w:tcBorders>
              <w:top w:val="single" w:sz="12" w:space="0" w:color="auto"/>
              <w:bottom w:val="single" w:sz="4" w:space="0" w:color="auto"/>
            </w:tcBorders>
            <w:vAlign w:val="bottom"/>
          </w:tcPr>
          <w:p w:rsidR="00F92819" w:rsidRDefault="00F92819">
            <w:pPr>
              <w:spacing w:before="80" w:after="80" w:line="220" w:lineRule="exact"/>
              <w:ind w:firstLine="284"/>
              <w:rPr>
                <w:szCs w:val="24"/>
              </w:rPr>
            </w:pPr>
            <w:r>
              <w:rPr>
                <w:b/>
                <w:sz w:val="18"/>
                <w:szCs w:val="24"/>
                <w:lang w:val="es-ES_tradnl"/>
              </w:rPr>
              <w:t>Licenciatura - Total</w:t>
            </w:r>
          </w:p>
        </w:tc>
      </w:tr>
      <w:tr w:rsidR="00F92819">
        <w:tc>
          <w:tcPr>
            <w:tcW w:w="1841"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Números absolutos</w:t>
            </w:r>
          </w:p>
        </w:tc>
        <w:tc>
          <w:tcPr>
            <w:tcW w:w="1843"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78 247</w:t>
            </w:r>
          </w:p>
        </w:tc>
        <w:tc>
          <w:tcPr>
            <w:tcW w:w="1843"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76 707</w:t>
            </w:r>
          </w:p>
        </w:tc>
        <w:tc>
          <w:tcPr>
            <w:tcW w:w="1843"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76 155</w:t>
            </w:r>
          </w:p>
        </w:tc>
      </w:tr>
      <w:tr w:rsidR="00F92819">
        <w:tc>
          <w:tcPr>
            <w:tcW w:w="1841" w:type="dxa"/>
            <w:vAlign w:val="bottom"/>
          </w:tcPr>
          <w:p w:rsidR="00F92819" w:rsidRDefault="009516FC">
            <w:pPr>
              <w:spacing w:before="40" w:after="40" w:line="220" w:lineRule="exact"/>
              <w:rPr>
                <w:szCs w:val="24"/>
              </w:rPr>
            </w:pPr>
            <w:r>
              <w:rPr>
                <w:sz w:val="18"/>
                <w:szCs w:val="24"/>
                <w:lang w:val="es-ES_tradnl"/>
              </w:rPr>
              <w:t>Porcentaje</w:t>
            </w:r>
          </w:p>
        </w:tc>
        <w:tc>
          <w:tcPr>
            <w:tcW w:w="1843" w:type="dxa"/>
            <w:vAlign w:val="bottom"/>
          </w:tcPr>
          <w:p w:rsidR="00F92819" w:rsidRDefault="00F92819">
            <w:pPr>
              <w:spacing w:before="40" w:after="40" w:line="220" w:lineRule="exact"/>
              <w:jc w:val="right"/>
              <w:rPr>
                <w:sz w:val="18"/>
                <w:szCs w:val="24"/>
              </w:rPr>
            </w:pPr>
            <w:r>
              <w:rPr>
                <w:sz w:val="18"/>
                <w:szCs w:val="24"/>
              </w:rPr>
              <w:t>100</w:t>
            </w:r>
          </w:p>
        </w:tc>
        <w:tc>
          <w:tcPr>
            <w:tcW w:w="1843" w:type="dxa"/>
            <w:vAlign w:val="bottom"/>
          </w:tcPr>
          <w:p w:rsidR="00F92819" w:rsidRDefault="00F92819">
            <w:pPr>
              <w:spacing w:before="40" w:after="40" w:line="220" w:lineRule="exact"/>
              <w:jc w:val="right"/>
              <w:rPr>
                <w:sz w:val="18"/>
                <w:szCs w:val="24"/>
              </w:rPr>
            </w:pPr>
            <w:r>
              <w:rPr>
                <w:sz w:val="18"/>
                <w:szCs w:val="24"/>
              </w:rPr>
              <w:t>100</w:t>
            </w:r>
          </w:p>
        </w:tc>
        <w:tc>
          <w:tcPr>
            <w:tcW w:w="1843" w:type="dxa"/>
            <w:vAlign w:val="bottom"/>
          </w:tcPr>
          <w:p w:rsidR="00F92819" w:rsidRDefault="00F92819">
            <w:pPr>
              <w:spacing w:before="40" w:after="40" w:line="220" w:lineRule="exact"/>
              <w:jc w:val="right"/>
              <w:rPr>
                <w:sz w:val="18"/>
                <w:szCs w:val="24"/>
              </w:rPr>
            </w:pPr>
            <w:r>
              <w:rPr>
                <w:sz w:val="18"/>
                <w:szCs w:val="24"/>
              </w:rPr>
              <w:t>100</w:t>
            </w:r>
          </w:p>
        </w:tc>
      </w:tr>
      <w:tr w:rsidR="00F92819">
        <w:tc>
          <w:tcPr>
            <w:tcW w:w="1841" w:type="dxa"/>
            <w:vAlign w:val="bottom"/>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Pr>
                <w:sz w:val="18"/>
                <w:szCs w:val="24"/>
                <w:lang w:val="es-ES_tradnl"/>
              </w:rPr>
              <w:t>mujeres</w:t>
            </w:r>
          </w:p>
        </w:tc>
        <w:tc>
          <w:tcPr>
            <w:tcW w:w="1843" w:type="dxa"/>
            <w:vAlign w:val="bottom"/>
          </w:tcPr>
          <w:p w:rsidR="00F92819" w:rsidRDefault="00F92819">
            <w:pPr>
              <w:spacing w:before="40" w:after="40" w:line="220" w:lineRule="exact"/>
              <w:jc w:val="right"/>
              <w:rPr>
                <w:sz w:val="18"/>
                <w:szCs w:val="24"/>
              </w:rPr>
            </w:pPr>
            <w:r>
              <w:rPr>
                <w:sz w:val="18"/>
                <w:szCs w:val="24"/>
              </w:rPr>
              <w:t>55,3</w:t>
            </w:r>
          </w:p>
        </w:tc>
        <w:tc>
          <w:tcPr>
            <w:tcW w:w="1843" w:type="dxa"/>
            <w:vAlign w:val="bottom"/>
          </w:tcPr>
          <w:p w:rsidR="00F92819" w:rsidRDefault="00F92819">
            <w:pPr>
              <w:spacing w:before="40" w:after="40" w:line="220" w:lineRule="exact"/>
              <w:jc w:val="right"/>
              <w:rPr>
                <w:sz w:val="18"/>
                <w:szCs w:val="24"/>
              </w:rPr>
            </w:pPr>
            <w:r>
              <w:rPr>
                <w:sz w:val="18"/>
                <w:szCs w:val="24"/>
              </w:rPr>
              <w:t>55</w:t>
            </w:r>
          </w:p>
        </w:tc>
        <w:tc>
          <w:tcPr>
            <w:tcW w:w="1843" w:type="dxa"/>
            <w:vAlign w:val="bottom"/>
          </w:tcPr>
          <w:p w:rsidR="00F92819" w:rsidRDefault="00F92819">
            <w:pPr>
              <w:spacing w:before="40" w:after="40" w:line="220" w:lineRule="exact"/>
              <w:jc w:val="right"/>
              <w:rPr>
                <w:sz w:val="18"/>
                <w:szCs w:val="24"/>
              </w:rPr>
            </w:pPr>
            <w:r>
              <w:rPr>
                <w:sz w:val="18"/>
                <w:szCs w:val="24"/>
              </w:rPr>
              <w:t>54,8</w:t>
            </w:r>
          </w:p>
        </w:tc>
      </w:tr>
      <w:tr w:rsidR="00F92819">
        <w:tc>
          <w:tcPr>
            <w:tcW w:w="7370" w:type="dxa"/>
            <w:gridSpan w:val="4"/>
            <w:vAlign w:val="bottom"/>
          </w:tcPr>
          <w:p w:rsidR="00F92819" w:rsidRDefault="00F92819">
            <w:pPr>
              <w:spacing w:before="40" w:after="40" w:line="220" w:lineRule="exact"/>
              <w:rPr>
                <w:szCs w:val="24"/>
              </w:rPr>
            </w:pPr>
            <w:r>
              <w:rPr>
                <w:i/>
                <w:sz w:val="18"/>
                <w:szCs w:val="24"/>
                <w:lang w:val="es-ES_tradnl"/>
              </w:rPr>
              <w:t>Grupo de población</w:t>
            </w:r>
          </w:p>
        </w:tc>
      </w:tr>
      <w:tr w:rsidR="00F92819">
        <w:tc>
          <w:tcPr>
            <w:tcW w:w="1841" w:type="dxa"/>
            <w:vAlign w:val="bottom"/>
          </w:tcPr>
          <w:p w:rsidR="00F92819" w:rsidRDefault="00F92819">
            <w:pPr>
              <w:spacing w:before="40" w:after="40" w:line="220" w:lineRule="exact"/>
              <w:rPr>
                <w:szCs w:val="24"/>
              </w:rPr>
            </w:pPr>
            <w:r>
              <w:rPr>
                <w:sz w:val="18"/>
                <w:szCs w:val="24"/>
                <w:lang w:val="es-ES_tradnl"/>
              </w:rPr>
              <w:t>Judíos y otras</w:t>
            </w:r>
          </w:p>
        </w:tc>
        <w:tc>
          <w:tcPr>
            <w:tcW w:w="1843" w:type="dxa"/>
            <w:vAlign w:val="bottom"/>
          </w:tcPr>
          <w:p w:rsidR="00F92819" w:rsidRDefault="00F92819">
            <w:pPr>
              <w:spacing w:before="40" w:after="40" w:line="220" w:lineRule="exact"/>
              <w:jc w:val="right"/>
              <w:rPr>
                <w:sz w:val="18"/>
                <w:szCs w:val="24"/>
              </w:rPr>
            </w:pPr>
            <w:r>
              <w:rPr>
                <w:sz w:val="18"/>
                <w:szCs w:val="24"/>
              </w:rPr>
              <w:t>89,9</w:t>
            </w:r>
          </w:p>
        </w:tc>
        <w:tc>
          <w:tcPr>
            <w:tcW w:w="1843" w:type="dxa"/>
            <w:vAlign w:val="bottom"/>
          </w:tcPr>
          <w:p w:rsidR="00F92819" w:rsidRDefault="00F92819">
            <w:pPr>
              <w:spacing w:before="40" w:after="40" w:line="220" w:lineRule="exact"/>
              <w:jc w:val="right"/>
              <w:rPr>
                <w:sz w:val="18"/>
                <w:szCs w:val="24"/>
              </w:rPr>
            </w:pPr>
            <w:r>
              <w:rPr>
                <w:sz w:val="18"/>
                <w:szCs w:val="24"/>
              </w:rPr>
              <w:t>89,4</w:t>
            </w:r>
          </w:p>
        </w:tc>
        <w:tc>
          <w:tcPr>
            <w:tcW w:w="1843" w:type="dxa"/>
            <w:vAlign w:val="bottom"/>
          </w:tcPr>
          <w:p w:rsidR="00F92819" w:rsidRDefault="00F92819">
            <w:pPr>
              <w:spacing w:before="40" w:after="40" w:line="220" w:lineRule="exact"/>
              <w:jc w:val="right"/>
              <w:rPr>
                <w:sz w:val="18"/>
                <w:szCs w:val="24"/>
              </w:rPr>
            </w:pPr>
            <w:r>
              <w:rPr>
                <w:sz w:val="18"/>
                <w:szCs w:val="24"/>
              </w:rPr>
              <w:t>88,8</w:t>
            </w:r>
          </w:p>
        </w:tc>
      </w:tr>
      <w:tr w:rsidR="00F92819">
        <w:tc>
          <w:tcPr>
            <w:tcW w:w="1841" w:type="dxa"/>
            <w:vAlign w:val="bottom"/>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Pr>
                <w:sz w:val="18"/>
                <w:szCs w:val="24"/>
                <w:lang w:val="es-ES_tradnl"/>
              </w:rPr>
              <w:t>judíos</w:t>
            </w:r>
          </w:p>
        </w:tc>
        <w:tc>
          <w:tcPr>
            <w:tcW w:w="1843" w:type="dxa"/>
            <w:vAlign w:val="bottom"/>
          </w:tcPr>
          <w:p w:rsidR="00F92819" w:rsidRDefault="00F92819">
            <w:pPr>
              <w:spacing w:before="40" w:after="40" w:line="220" w:lineRule="exact"/>
              <w:jc w:val="right"/>
              <w:rPr>
                <w:sz w:val="18"/>
                <w:szCs w:val="24"/>
              </w:rPr>
            </w:pPr>
            <w:r>
              <w:rPr>
                <w:sz w:val="18"/>
                <w:szCs w:val="24"/>
              </w:rPr>
              <w:t>86,6</w:t>
            </w:r>
          </w:p>
        </w:tc>
        <w:tc>
          <w:tcPr>
            <w:tcW w:w="1843" w:type="dxa"/>
            <w:vAlign w:val="bottom"/>
          </w:tcPr>
          <w:p w:rsidR="00F92819" w:rsidRDefault="00F92819">
            <w:pPr>
              <w:spacing w:before="40" w:after="40" w:line="220" w:lineRule="exact"/>
              <w:jc w:val="right"/>
              <w:rPr>
                <w:sz w:val="18"/>
                <w:szCs w:val="24"/>
              </w:rPr>
            </w:pPr>
            <w:r>
              <w:rPr>
                <w:sz w:val="18"/>
                <w:szCs w:val="24"/>
              </w:rPr>
              <w:t>86,1</w:t>
            </w:r>
          </w:p>
        </w:tc>
        <w:tc>
          <w:tcPr>
            <w:tcW w:w="1843" w:type="dxa"/>
            <w:vAlign w:val="bottom"/>
          </w:tcPr>
          <w:p w:rsidR="00F92819" w:rsidRDefault="00F92819">
            <w:pPr>
              <w:spacing w:before="40" w:after="40" w:line="220" w:lineRule="exact"/>
              <w:jc w:val="right"/>
              <w:rPr>
                <w:sz w:val="18"/>
                <w:szCs w:val="24"/>
              </w:rPr>
            </w:pPr>
            <w:r>
              <w:rPr>
                <w:sz w:val="18"/>
                <w:szCs w:val="24"/>
              </w:rPr>
              <w:t>85,5</w:t>
            </w:r>
          </w:p>
        </w:tc>
      </w:tr>
      <w:tr w:rsidR="00F92819">
        <w:tc>
          <w:tcPr>
            <w:tcW w:w="1841" w:type="dxa"/>
            <w:tcBorders>
              <w:bottom w:val="single" w:sz="4" w:space="0" w:color="auto"/>
            </w:tcBorders>
            <w:vAlign w:val="bottom"/>
          </w:tcPr>
          <w:p w:rsidR="00F92819" w:rsidRDefault="00F92819">
            <w:pPr>
              <w:spacing w:before="40" w:after="40" w:line="220" w:lineRule="exact"/>
              <w:rPr>
                <w:szCs w:val="24"/>
              </w:rPr>
            </w:pPr>
            <w:r>
              <w:rPr>
                <w:sz w:val="18"/>
                <w:szCs w:val="24"/>
                <w:lang w:val="es-ES_tradnl"/>
              </w:rPr>
              <w:t>Árabes</w:t>
            </w:r>
          </w:p>
        </w:tc>
        <w:tc>
          <w:tcPr>
            <w:tcW w:w="1843"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10,1</w:t>
            </w:r>
          </w:p>
        </w:tc>
        <w:tc>
          <w:tcPr>
            <w:tcW w:w="1843"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10,6</w:t>
            </w:r>
          </w:p>
        </w:tc>
        <w:tc>
          <w:tcPr>
            <w:tcW w:w="1843"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11,2</w:t>
            </w:r>
          </w:p>
        </w:tc>
      </w:tr>
      <w:tr w:rsidR="00F92819">
        <w:tc>
          <w:tcPr>
            <w:tcW w:w="7370" w:type="dxa"/>
            <w:gridSpan w:val="4"/>
            <w:tcBorders>
              <w:top w:val="single" w:sz="4" w:space="0" w:color="auto"/>
              <w:bottom w:val="single" w:sz="4" w:space="0" w:color="auto"/>
            </w:tcBorders>
            <w:vAlign w:val="bottom"/>
          </w:tcPr>
          <w:p w:rsidR="00F92819" w:rsidRDefault="00F92819">
            <w:pPr>
              <w:spacing w:before="80" w:after="80" w:line="220" w:lineRule="exact"/>
              <w:ind w:firstLine="284"/>
              <w:rPr>
                <w:szCs w:val="24"/>
              </w:rPr>
            </w:pPr>
            <w:r>
              <w:rPr>
                <w:b/>
                <w:sz w:val="18"/>
                <w:szCs w:val="24"/>
                <w:lang w:val="es-ES_tradnl"/>
              </w:rPr>
              <w:t>Maestría - Total</w:t>
            </w:r>
          </w:p>
        </w:tc>
      </w:tr>
      <w:tr w:rsidR="00F92819">
        <w:tc>
          <w:tcPr>
            <w:tcW w:w="1841"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Números absolutos</w:t>
            </w:r>
          </w:p>
        </w:tc>
        <w:tc>
          <w:tcPr>
            <w:tcW w:w="1843"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35 165</w:t>
            </w:r>
          </w:p>
        </w:tc>
        <w:tc>
          <w:tcPr>
            <w:tcW w:w="1843"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34 935</w:t>
            </w:r>
          </w:p>
        </w:tc>
        <w:tc>
          <w:tcPr>
            <w:tcW w:w="1843"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33 817</w:t>
            </w:r>
          </w:p>
        </w:tc>
      </w:tr>
      <w:tr w:rsidR="00F92819">
        <w:tc>
          <w:tcPr>
            <w:tcW w:w="1841" w:type="dxa"/>
            <w:vAlign w:val="bottom"/>
          </w:tcPr>
          <w:p w:rsidR="00F92819" w:rsidRDefault="009516FC">
            <w:pPr>
              <w:spacing w:before="40" w:after="40" w:line="220" w:lineRule="exact"/>
              <w:rPr>
                <w:szCs w:val="24"/>
              </w:rPr>
            </w:pPr>
            <w:r>
              <w:rPr>
                <w:sz w:val="18"/>
                <w:szCs w:val="24"/>
                <w:lang w:val="es-ES_tradnl"/>
              </w:rPr>
              <w:t>Porcentaje</w:t>
            </w:r>
          </w:p>
        </w:tc>
        <w:tc>
          <w:tcPr>
            <w:tcW w:w="1843" w:type="dxa"/>
            <w:vAlign w:val="bottom"/>
          </w:tcPr>
          <w:p w:rsidR="00F92819" w:rsidRDefault="00F92819">
            <w:pPr>
              <w:spacing w:before="40" w:after="40" w:line="220" w:lineRule="exact"/>
              <w:jc w:val="right"/>
              <w:rPr>
                <w:sz w:val="18"/>
                <w:szCs w:val="24"/>
              </w:rPr>
            </w:pPr>
            <w:r>
              <w:rPr>
                <w:sz w:val="18"/>
                <w:szCs w:val="24"/>
              </w:rPr>
              <w:t>100</w:t>
            </w:r>
          </w:p>
        </w:tc>
        <w:tc>
          <w:tcPr>
            <w:tcW w:w="1843" w:type="dxa"/>
            <w:vAlign w:val="bottom"/>
          </w:tcPr>
          <w:p w:rsidR="00F92819" w:rsidRDefault="00F92819">
            <w:pPr>
              <w:spacing w:before="40" w:after="40" w:line="220" w:lineRule="exact"/>
              <w:jc w:val="right"/>
              <w:rPr>
                <w:sz w:val="18"/>
                <w:szCs w:val="24"/>
              </w:rPr>
            </w:pPr>
            <w:r>
              <w:rPr>
                <w:sz w:val="18"/>
                <w:szCs w:val="24"/>
              </w:rPr>
              <w:t>100</w:t>
            </w:r>
          </w:p>
        </w:tc>
        <w:tc>
          <w:tcPr>
            <w:tcW w:w="1843" w:type="dxa"/>
            <w:vAlign w:val="bottom"/>
          </w:tcPr>
          <w:p w:rsidR="00F92819" w:rsidRDefault="00F92819">
            <w:pPr>
              <w:spacing w:before="40" w:after="40" w:line="220" w:lineRule="exact"/>
              <w:jc w:val="right"/>
              <w:rPr>
                <w:sz w:val="18"/>
                <w:szCs w:val="24"/>
              </w:rPr>
            </w:pPr>
            <w:r>
              <w:rPr>
                <w:sz w:val="18"/>
                <w:szCs w:val="24"/>
              </w:rPr>
              <w:t>100</w:t>
            </w:r>
          </w:p>
        </w:tc>
      </w:tr>
      <w:tr w:rsidR="00F92819">
        <w:tc>
          <w:tcPr>
            <w:tcW w:w="1841" w:type="dxa"/>
            <w:vAlign w:val="bottom"/>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Pr>
                <w:sz w:val="18"/>
                <w:szCs w:val="24"/>
                <w:lang w:val="es-ES_tradnl"/>
              </w:rPr>
              <w:t>mujeres</w:t>
            </w:r>
          </w:p>
        </w:tc>
        <w:tc>
          <w:tcPr>
            <w:tcW w:w="1843" w:type="dxa"/>
            <w:vAlign w:val="bottom"/>
          </w:tcPr>
          <w:p w:rsidR="00F92819" w:rsidRDefault="00F92819">
            <w:pPr>
              <w:spacing w:before="40" w:after="40" w:line="220" w:lineRule="exact"/>
              <w:jc w:val="right"/>
              <w:rPr>
                <w:sz w:val="18"/>
                <w:szCs w:val="24"/>
              </w:rPr>
            </w:pPr>
            <w:r>
              <w:rPr>
                <w:sz w:val="18"/>
                <w:szCs w:val="24"/>
              </w:rPr>
              <w:t>57,3</w:t>
            </w:r>
          </w:p>
        </w:tc>
        <w:tc>
          <w:tcPr>
            <w:tcW w:w="1843" w:type="dxa"/>
            <w:vAlign w:val="bottom"/>
          </w:tcPr>
          <w:p w:rsidR="00F92819" w:rsidRDefault="00F92819">
            <w:pPr>
              <w:spacing w:before="40" w:after="40" w:line="220" w:lineRule="exact"/>
              <w:jc w:val="right"/>
              <w:rPr>
                <w:sz w:val="18"/>
                <w:szCs w:val="24"/>
              </w:rPr>
            </w:pPr>
            <w:r>
              <w:rPr>
                <w:sz w:val="18"/>
                <w:szCs w:val="24"/>
              </w:rPr>
              <w:t>56,6</w:t>
            </w:r>
          </w:p>
        </w:tc>
        <w:tc>
          <w:tcPr>
            <w:tcW w:w="1843" w:type="dxa"/>
            <w:vAlign w:val="bottom"/>
          </w:tcPr>
          <w:p w:rsidR="00F92819" w:rsidRDefault="00F92819">
            <w:pPr>
              <w:spacing w:before="40" w:after="40" w:line="220" w:lineRule="exact"/>
              <w:jc w:val="right"/>
              <w:rPr>
                <w:sz w:val="18"/>
                <w:szCs w:val="24"/>
              </w:rPr>
            </w:pPr>
            <w:r>
              <w:rPr>
                <w:sz w:val="18"/>
                <w:szCs w:val="24"/>
              </w:rPr>
              <w:t>56,3</w:t>
            </w:r>
          </w:p>
        </w:tc>
      </w:tr>
      <w:tr w:rsidR="00F92819">
        <w:tc>
          <w:tcPr>
            <w:tcW w:w="7370" w:type="dxa"/>
            <w:gridSpan w:val="4"/>
            <w:vAlign w:val="bottom"/>
          </w:tcPr>
          <w:p w:rsidR="00F92819" w:rsidRDefault="00F92819">
            <w:pPr>
              <w:keepNext/>
              <w:spacing w:before="40" w:after="40" w:line="220" w:lineRule="exact"/>
              <w:rPr>
                <w:szCs w:val="24"/>
              </w:rPr>
            </w:pPr>
            <w:r>
              <w:rPr>
                <w:i/>
                <w:sz w:val="18"/>
                <w:szCs w:val="24"/>
                <w:lang w:val="es-ES_tradnl"/>
              </w:rPr>
              <w:t>Grupo de población</w:t>
            </w:r>
          </w:p>
        </w:tc>
      </w:tr>
      <w:tr w:rsidR="00F92819">
        <w:tc>
          <w:tcPr>
            <w:tcW w:w="1841" w:type="dxa"/>
            <w:vAlign w:val="bottom"/>
          </w:tcPr>
          <w:p w:rsidR="00F92819" w:rsidRDefault="00F92819">
            <w:pPr>
              <w:keepNext/>
              <w:spacing w:before="40" w:after="40" w:line="220" w:lineRule="exact"/>
              <w:rPr>
                <w:szCs w:val="24"/>
              </w:rPr>
            </w:pPr>
            <w:r>
              <w:rPr>
                <w:sz w:val="18"/>
                <w:szCs w:val="24"/>
                <w:lang w:val="es-ES_tradnl"/>
              </w:rPr>
              <w:t>Judíos y otras</w:t>
            </w:r>
          </w:p>
        </w:tc>
        <w:tc>
          <w:tcPr>
            <w:tcW w:w="1843" w:type="dxa"/>
            <w:vAlign w:val="bottom"/>
          </w:tcPr>
          <w:p w:rsidR="00F92819" w:rsidRDefault="00F92819">
            <w:pPr>
              <w:keepNext/>
              <w:spacing w:before="40" w:after="40" w:line="220" w:lineRule="exact"/>
              <w:jc w:val="right"/>
              <w:rPr>
                <w:sz w:val="18"/>
                <w:szCs w:val="24"/>
              </w:rPr>
            </w:pPr>
            <w:r>
              <w:rPr>
                <w:sz w:val="18"/>
                <w:szCs w:val="24"/>
              </w:rPr>
              <w:t>94,5</w:t>
            </w:r>
          </w:p>
        </w:tc>
        <w:tc>
          <w:tcPr>
            <w:tcW w:w="1843" w:type="dxa"/>
            <w:vAlign w:val="bottom"/>
          </w:tcPr>
          <w:p w:rsidR="00F92819" w:rsidRDefault="00F92819">
            <w:pPr>
              <w:spacing w:before="40" w:after="40" w:line="220" w:lineRule="exact"/>
              <w:jc w:val="right"/>
              <w:rPr>
                <w:sz w:val="18"/>
                <w:szCs w:val="24"/>
              </w:rPr>
            </w:pPr>
            <w:r>
              <w:rPr>
                <w:sz w:val="18"/>
                <w:szCs w:val="24"/>
              </w:rPr>
              <w:t>94,2</w:t>
            </w:r>
          </w:p>
        </w:tc>
        <w:tc>
          <w:tcPr>
            <w:tcW w:w="1843" w:type="dxa"/>
            <w:vAlign w:val="bottom"/>
          </w:tcPr>
          <w:p w:rsidR="00F92819" w:rsidRDefault="00F92819">
            <w:pPr>
              <w:spacing w:before="40" w:after="40" w:line="220" w:lineRule="exact"/>
              <w:jc w:val="right"/>
              <w:rPr>
                <w:sz w:val="18"/>
                <w:szCs w:val="24"/>
              </w:rPr>
            </w:pPr>
            <w:r>
              <w:rPr>
                <w:sz w:val="18"/>
                <w:szCs w:val="24"/>
              </w:rPr>
              <w:t>93,9</w:t>
            </w:r>
          </w:p>
        </w:tc>
      </w:tr>
      <w:tr w:rsidR="00F92819">
        <w:tc>
          <w:tcPr>
            <w:tcW w:w="1841" w:type="dxa"/>
            <w:vAlign w:val="bottom"/>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Pr>
                <w:sz w:val="18"/>
                <w:szCs w:val="24"/>
                <w:lang w:val="es-ES_tradnl"/>
              </w:rPr>
              <w:t>judíos</w:t>
            </w:r>
          </w:p>
        </w:tc>
        <w:tc>
          <w:tcPr>
            <w:tcW w:w="1843" w:type="dxa"/>
            <w:vAlign w:val="bottom"/>
          </w:tcPr>
          <w:p w:rsidR="00F92819" w:rsidRDefault="00F92819">
            <w:pPr>
              <w:spacing w:before="40" w:after="40" w:line="220" w:lineRule="exact"/>
              <w:jc w:val="right"/>
              <w:rPr>
                <w:sz w:val="18"/>
                <w:szCs w:val="24"/>
              </w:rPr>
            </w:pPr>
            <w:r>
              <w:rPr>
                <w:sz w:val="18"/>
                <w:szCs w:val="24"/>
              </w:rPr>
              <w:t>92,6</w:t>
            </w:r>
          </w:p>
        </w:tc>
        <w:tc>
          <w:tcPr>
            <w:tcW w:w="1843" w:type="dxa"/>
            <w:vAlign w:val="bottom"/>
          </w:tcPr>
          <w:p w:rsidR="00F92819" w:rsidRDefault="00F92819">
            <w:pPr>
              <w:spacing w:before="40" w:after="40" w:line="220" w:lineRule="exact"/>
              <w:jc w:val="right"/>
              <w:rPr>
                <w:sz w:val="18"/>
                <w:szCs w:val="24"/>
              </w:rPr>
            </w:pPr>
            <w:r>
              <w:rPr>
                <w:sz w:val="18"/>
                <w:szCs w:val="24"/>
              </w:rPr>
              <w:t>92,2</w:t>
            </w:r>
          </w:p>
        </w:tc>
        <w:tc>
          <w:tcPr>
            <w:tcW w:w="1843" w:type="dxa"/>
            <w:vAlign w:val="bottom"/>
          </w:tcPr>
          <w:p w:rsidR="00F92819" w:rsidRDefault="00F92819">
            <w:pPr>
              <w:spacing w:before="40" w:after="40" w:line="220" w:lineRule="exact"/>
              <w:jc w:val="right"/>
              <w:rPr>
                <w:sz w:val="18"/>
                <w:szCs w:val="24"/>
              </w:rPr>
            </w:pPr>
            <w:r>
              <w:rPr>
                <w:sz w:val="18"/>
                <w:szCs w:val="24"/>
              </w:rPr>
              <w:t>91,9</w:t>
            </w:r>
          </w:p>
        </w:tc>
      </w:tr>
      <w:tr w:rsidR="00F92819">
        <w:tc>
          <w:tcPr>
            <w:tcW w:w="1841" w:type="dxa"/>
            <w:tcBorders>
              <w:bottom w:val="single" w:sz="4" w:space="0" w:color="auto"/>
            </w:tcBorders>
            <w:vAlign w:val="bottom"/>
          </w:tcPr>
          <w:p w:rsidR="00F92819" w:rsidRDefault="00F92819">
            <w:pPr>
              <w:spacing w:before="40" w:after="40" w:line="220" w:lineRule="exact"/>
              <w:rPr>
                <w:szCs w:val="24"/>
              </w:rPr>
            </w:pPr>
            <w:r>
              <w:rPr>
                <w:sz w:val="18"/>
                <w:szCs w:val="24"/>
                <w:lang w:val="es-ES_tradnl"/>
              </w:rPr>
              <w:t>Árabes</w:t>
            </w:r>
          </w:p>
        </w:tc>
        <w:tc>
          <w:tcPr>
            <w:tcW w:w="1843"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5,5</w:t>
            </w:r>
          </w:p>
        </w:tc>
        <w:tc>
          <w:tcPr>
            <w:tcW w:w="1843"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5,8</w:t>
            </w:r>
          </w:p>
        </w:tc>
        <w:tc>
          <w:tcPr>
            <w:tcW w:w="1843"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6,1</w:t>
            </w:r>
          </w:p>
        </w:tc>
      </w:tr>
      <w:tr w:rsidR="00F92819">
        <w:tc>
          <w:tcPr>
            <w:tcW w:w="7370" w:type="dxa"/>
            <w:gridSpan w:val="4"/>
            <w:tcBorders>
              <w:top w:val="single" w:sz="4" w:space="0" w:color="auto"/>
              <w:bottom w:val="single" w:sz="4" w:space="0" w:color="auto"/>
            </w:tcBorders>
            <w:vAlign w:val="bottom"/>
          </w:tcPr>
          <w:p w:rsidR="00F92819" w:rsidRDefault="00F92819">
            <w:pPr>
              <w:keepNext/>
              <w:keepLines/>
              <w:spacing w:before="80" w:after="80" w:line="220" w:lineRule="exact"/>
              <w:ind w:firstLine="284"/>
              <w:rPr>
                <w:szCs w:val="24"/>
              </w:rPr>
            </w:pPr>
            <w:r>
              <w:rPr>
                <w:b/>
                <w:sz w:val="18"/>
                <w:szCs w:val="24"/>
                <w:lang w:val="es-ES_tradnl"/>
              </w:rPr>
              <w:t>Doctorado - Total</w:t>
            </w:r>
          </w:p>
        </w:tc>
      </w:tr>
      <w:tr w:rsidR="00F92819">
        <w:tc>
          <w:tcPr>
            <w:tcW w:w="1841" w:type="dxa"/>
            <w:tcBorders>
              <w:top w:val="single" w:sz="4" w:space="0" w:color="auto"/>
            </w:tcBorders>
            <w:vAlign w:val="bottom"/>
          </w:tcPr>
          <w:p w:rsidR="00F92819" w:rsidRDefault="00F92819">
            <w:pPr>
              <w:keepNext/>
              <w:keepLines/>
              <w:spacing w:before="40" w:after="40" w:line="220" w:lineRule="exact"/>
              <w:rPr>
                <w:szCs w:val="24"/>
              </w:rPr>
            </w:pPr>
            <w:r>
              <w:rPr>
                <w:sz w:val="18"/>
                <w:szCs w:val="24"/>
                <w:lang w:val="es-ES_tradnl"/>
              </w:rPr>
              <w:t>Números absolutos</w:t>
            </w:r>
          </w:p>
        </w:tc>
        <w:tc>
          <w:tcPr>
            <w:tcW w:w="1843"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9 315</w:t>
            </w:r>
          </w:p>
        </w:tc>
        <w:tc>
          <w:tcPr>
            <w:tcW w:w="1843"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9 715</w:t>
            </w:r>
          </w:p>
        </w:tc>
        <w:tc>
          <w:tcPr>
            <w:tcW w:w="1843"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9 972</w:t>
            </w:r>
          </w:p>
        </w:tc>
      </w:tr>
      <w:tr w:rsidR="00F92819">
        <w:tc>
          <w:tcPr>
            <w:tcW w:w="1841" w:type="dxa"/>
            <w:vAlign w:val="bottom"/>
          </w:tcPr>
          <w:p w:rsidR="00F92819" w:rsidRDefault="009516FC">
            <w:pPr>
              <w:keepNext/>
              <w:keepLines/>
              <w:spacing w:before="40" w:after="40" w:line="220" w:lineRule="exact"/>
              <w:rPr>
                <w:szCs w:val="24"/>
              </w:rPr>
            </w:pPr>
            <w:r>
              <w:rPr>
                <w:sz w:val="18"/>
                <w:szCs w:val="24"/>
                <w:lang w:val="es-ES_tradnl"/>
              </w:rPr>
              <w:t>Porcentaje</w:t>
            </w:r>
          </w:p>
        </w:tc>
        <w:tc>
          <w:tcPr>
            <w:tcW w:w="1843" w:type="dxa"/>
            <w:vAlign w:val="bottom"/>
          </w:tcPr>
          <w:p w:rsidR="00F92819" w:rsidRDefault="00F92819">
            <w:pPr>
              <w:keepNext/>
              <w:keepLines/>
              <w:spacing w:before="40" w:after="40" w:line="220" w:lineRule="exact"/>
              <w:jc w:val="right"/>
              <w:rPr>
                <w:sz w:val="18"/>
                <w:szCs w:val="24"/>
              </w:rPr>
            </w:pPr>
            <w:r>
              <w:rPr>
                <w:sz w:val="18"/>
                <w:szCs w:val="24"/>
              </w:rPr>
              <w:t>100</w:t>
            </w:r>
          </w:p>
        </w:tc>
        <w:tc>
          <w:tcPr>
            <w:tcW w:w="1843" w:type="dxa"/>
            <w:vAlign w:val="bottom"/>
          </w:tcPr>
          <w:p w:rsidR="00F92819" w:rsidRDefault="00F92819">
            <w:pPr>
              <w:keepNext/>
              <w:keepLines/>
              <w:spacing w:before="40" w:after="40" w:line="220" w:lineRule="exact"/>
              <w:jc w:val="right"/>
              <w:rPr>
                <w:sz w:val="18"/>
                <w:szCs w:val="24"/>
              </w:rPr>
            </w:pPr>
            <w:r>
              <w:rPr>
                <w:sz w:val="18"/>
                <w:szCs w:val="24"/>
              </w:rPr>
              <w:t>100</w:t>
            </w:r>
          </w:p>
        </w:tc>
        <w:tc>
          <w:tcPr>
            <w:tcW w:w="1843" w:type="dxa"/>
            <w:vAlign w:val="bottom"/>
          </w:tcPr>
          <w:p w:rsidR="00F92819" w:rsidRDefault="00F92819">
            <w:pPr>
              <w:keepNext/>
              <w:keepLines/>
              <w:spacing w:before="40" w:after="40" w:line="220" w:lineRule="exact"/>
              <w:jc w:val="right"/>
              <w:rPr>
                <w:sz w:val="18"/>
                <w:szCs w:val="24"/>
              </w:rPr>
            </w:pPr>
            <w:r>
              <w:rPr>
                <w:sz w:val="18"/>
                <w:szCs w:val="24"/>
              </w:rPr>
              <w:t>100</w:t>
            </w:r>
          </w:p>
        </w:tc>
      </w:tr>
      <w:tr w:rsidR="00F92819">
        <w:tc>
          <w:tcPr>
            <w:tcW w:w="1841" w:type="dxa"/>
            <w:vAlign w:val="bottom"/>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Pr>
                <w:sz w:val="18"/>
                <w:szCs w:val="24"/>
                <w:lang w:val="es-ES_tradnl"/>
              </w:rPr>
              <w:t>mujeres</w:t>
            </w:r>
          </w:p>
        </w:tc>
        <w:tc>
          <w:tcPr>
            <w:tcW w:w="1843" w:type="dxa"/>
            <w:vAlign w:val="bottom"/>
          </w:tcPr>
          <w:p w:rsidR="00F92819" w:rsidRDefault="00F92819">
            <w:pPr>
              <w:spacing w:before="40" w:after="40" w:line="220" w:lineRule="exact"/>
              <w:jc w:val="right"/>
              <w:rPr>
                <w:sz w:val="18"/>
                <w:szCs w:val="24"/>
              </w:rPr>
            </w:pPr>
            <w:r>
              <w:rPr>
                <w:sz w:val="18"/>
                <w:szCs w:val="24"/>
              </w:rPr>
              <w:t>52,1</w:t>
            </w:r>
          </w:p>
        </w:tc>
        <w:tc>
          <w:tcPr>
            <w:tcW w:w="1843" w:type="dxa"/>
            <w:vAlign w:val="bottom"/>
          </w:tcPr>
          <w:p w:rsidR="00F92819" w:rsidRDefault="00F92819">
            <w:pPr>
              <w:spacing w:before="40" w:after="40" w:line="220" w:lineRule="exact"/>
              <w:jc w:val="right"/>
              <w:rPr>
                <w:sz w:val="18"/>
                <w:szCs w:val="24"/>
              </w:rPr>
            </w:pPr>
            <w:r>
              <w:rPr>
                <w:sz w:val="18"/>
                <w:szCs w:val="24"/>
              </w:rPr>
              <w:t>52,5</w:t>
            </w:r>
          </w:p>
        </w:tc>
        <w:tc>
          <w:tcPr>
            <w:tcW w:w="1843" w:type="dxa"/>
            <w:vAlign w:val="bottom"/>
          </w:tcPr>
          <w:p w:rsidR="00F92819" w:rsidRDefault="00F92819">
            <w:pPr>
              <w:spacing w:before="40" w:after="40" w:line="220" w:lineRule="exact"/>
              <w:jc w:val="right"/>
              <w:rPr>
                <w:sz w:val="18"/>
                <w:szCs w:val="24"/>
              </w:rPr>
            </w:pPr>
            <w:r>
              <w:rPr>
                <w:sz w:val="18"/>
                <w:szCs w:val="24"/>
              </w:rPr>
              <w:t>53</w:t>
            </w:r>
          </w:p>
        </w:tc>
      </w:tr>
      <w:tr w:rsidR="00F92819">
        <w:tc>
          <w:tcPr>
            <w:tcW w:w="7370" w:type="dxa"/>
            <w:gridSpan w:val="4"/>
            <w:vAlign w:val="bottom"/>
          </w:tcPr>
          <w:p w:rsidR="00F92819" w:rsidRDefault="00F92819">
            <w:pPr>
              <w:spacing w:before="40" w:after="40" w:line="220" w:lineRule="exact"/>
              <w:rPr>
                <w:szCs w:val="24"/>
              </w:rPr>
            </w:pPr>
            <w:r>
              <w:rPr>
                <w:i/>
                <w:sz w:val="18"/>
                <w:szCs w:val="24"/>
                <w:lang w:val="es-ES_tradnl"/>
              </w:rPr>
              <w:t>Grupo de población</w:t>
            </w:r>
          </w:p>
        </w:tc>
      </w:tr>
      <w:tr w:rsidR="00F92819">
        <w:tc>
          <w:tcPr>
            <w:tcW w:w="1841" w:type="dxa"/>
            <w:vAlign w:val="bottom"/>
          </w:tcPr>
          <w:p w:rsidR="00F92819" w:rsidRDefault="00F92819">
            <w:pPr>
              <w:spacing w:before="40" w:after="40" w:line="220" w:lineRule="exact"/>
              <w:rPr>
                <w:szCs w:val="24"/>
              </w:rPr>
            </w:pPr>
            <w:r>
              <w:rPr>
                <w:sz w:val="18"/>
                <w:szCs w:val="24"/>
                <w:lang w:val="es-ES_tradnl"/>
              </w:rPr>
              <w:t>Judíos y otras</w:t>
            </w:r>
          </w:p>
        </w:tc>
        <w:tc>
          <w:tcPr>
            <w:tcW w:w="1843" w:type="dxa"/>
            <w:vAlign w:val="bottom"/>
          </w:tcPr>
          <w:p w:rsidR="00F92819" w:rsidRDefault="00F92819">
            <w:pPr>
              <w:spacing w:before="40" w:after="40" w:line="220" w:lineRule="exact"/>
              <w:jc w:val="right"/>
              <w:rPr>
                <w:sz w:val="18"/>
                <w:szCs w:val="24"/>
              </w:rPr>
            </w:pPr>
            <w:r>
              <w:rPr>
                <w:sz w:val="18"/>
                <w:szCs w:val="24"/>
              </w:rPr>
              <w:t>96,6</w:t>
            </w:r>
          </w:p>
        </w:tc>
        <w:tc>
          <w:tcPr>
            <w:tcW w:w="1843" w:type="dxa"/>
            <w:vAlign w:val="bottom"/>
          </w:tcPr>
          <w:p w:rsidR="00F92819" w:rsidRDefault="00F92819">
            <w:pPr>
              <w:spacing w:before="40" w:after="40" w:line="220" w:lineRule="exact"/>
              <w:jc w:val="right"/>
              <w:rPr>
                <w:sz w:val="18"/>
                <w:szCs w:val="24"/>
              </w:rPr>
            </w:pPr>
            <w:r>
              <w:rPr>
                <w:sz w:val="18"/>
                <w:szCs w:val="24"/>
              </w:rPr>
              <w:t>96,7</w:t>
            </w:r>
          </w:p>
        </w:tc>
        <w:tc>
          <w:tcPr>
            <w:tcW w:w="1843" w:type="dxa"/>
            <w:vAlign w:val="bottom"/>
          </w:tcPr>
          <w:p w:rsidR="00F92819" w:rsidRDefault="00F92819">
            <w:pPr>
              <w:spacing w:before="40" w:after="40" w:line="220" w:lineRule="exact"/>
              <w:jc w:val="right"/>
              <w:rPr>
                <w:sz w:val="18"/>
                <w:szCs w:val="24"/>
              </w:rPr>
            </w:pPr>
            <w:r>
              <w:rPr>
                <w:sz w:val="18"/>
                <w:szCs w:val="24"/>
              </w:rPr>
              <w:t>96,5</w:t>
            </w:r>
          </w:p>
        </w:tc>
      </w:tr>
      <w:tr w:rsidR="00F92819">
        <w:tc>
          <w:tcPr>
            <w:tcW w:w="1841" w:type="dxa"/>
            <w:vAlign w:val="bottom"/>
          </w:tcPr>
          <w:p w:rsidR="00F92819" w:rsidRDefault="00F92819">
            <w:pPr>
              <w:keepNext/>
              <w:keepLines/>
              <w:spacing w:before="40" w:after="40" w:line="220" w:lineRule="exact"/>
              <w:rPr>
                <w:szCs w:val="24"/>
              </w:rPr>
            </w:pPr>
            <w:r>
              <w:rPr>
                <w:sz w:val="18"/>
                <w:szCs w:val="24"/>
                <w:lang w:val="es-ES_tradnl"/>
              </w:rPr>
              <w:t>De los cuales:</w:t>
            </w:r>
            <w:r>
              <w:rPr>
                <w:sz w:val="18"/>
                <w:szCs w:val="24"/>
              </w:rPr>
              <w:t xml:space="preserve"> </w:t>
            </w:r>
            <w:r>
              <w:rPr>
                <w:sz w:val="18"/>
                <w:szCs w:val="24"/>
                <w:lang w:val="es-ES_tradnl"/>
              </w:rPr>
              <w:t>judíos</w:t>
            </w:r>
          </w:p>
        </w:tc>
        <w:tc>
          <w:tcPr>
            <w:tcW w:w="1843" w:type="dxa"/>
            <w:vAlign w:val="bottom"/>
          </w:tcPr>
          <w:p w:rsidR="00F92819" w:rsidRDefault="00F92819">
            <w:pPr>
              <w:keepNext/>
              <w:keepLines/>
              <w:spacing w:before="40" w:after="40" w:line="220" w:lineRule="exact"/>
              <w:jc w:val="right"/>
              <w:rPr>
                <w:sz w:val="18"/>
                <w:szCs w:val="24"/>
              </w:rPr>
            </w:pPr>
            <w:r>
              <w:rPr>
                <w:sz w:val="18"/>
                <w:szCs w:val="24"/>
              </w:rPr>
              <w:t>94,3</w:t>
            </w:r>
          </w:p>
        </w:tc>
        <w:tc>
          <w:tcPr>
            <w:tcW w:w="1843" w:type="dxa"/>
            <w:vAlign w:val="bottom"/>
          </w:tcPr>
          <w:p w:rsidR="00F92819" w:rsidRDefault="00F92819">
            <w:pPr>
              <w:keepNext/>
              <w:keepLines/>
              <w:spacing w:before="40" w:after="40" w:line="220" w:lineRule="exact"/>
              <w:jc w:val="right"/>
              <w:rPr>
                <w:sz w:val="18"/>
                <w:szCs w:val="24"/>
              </w:rPr>
            </w:pPr>
            <w:r>
              <w:rPr>
                <w:sz w:val="18"/>
                <w:szCs w:val="24"/>
              </w:rPr>
              <w:t>94,5</w:t>
            </w:r>
          </w:p>
        </w:tc>
        <w:tc>
          <w:tcPr>
            <w:tcW w:w="1843" w:type="dxa"/>
            <w:vAlign w:val="bottom"/>
          </w:tcPr>
          <w:p w:rsidR="00F92819" w:rsidRDefault="00F92819">
            <w:pPr>
              <w:keepNext/>
              <w:keepLines/>
              <w:spacing w:before="40" w:after="40" w:line="220" w:lineRule="exact"/>
              <w:jc w:val="right"/>
              <w:rPr>
                <w:sz w:val="18"/>
                <w:szCs w:val="24"/>
              </w:rPr>
            </w:pPr>
            <w:r>
              <w:rPr>
                <w:sz w:val="18"/>
                <w:szCs w:val="24"/>
              </w:rPr>
              <w:t>94,3</w:t>
            </w:r>
          </w:p>
        </w:tc>
      </w:tr>
      <w:tr w:rsidR="00F92819">
        <w:tc>
          <w:tcPr>
            <w:tcW w:w="1841" w:type="dxa"/>
            <w:tcBorders>
              <w:bottom w:val="single" w:sz="12" w:space="0" w:color="auto"/>
            </w:tcBorders>
            <w:vAlign w:val="bottom"/>
          </w:tcPr>
          <w:p w:rsidR="00F92819" w:rsidRDefault="00F92819">
            <w:pPr>
              <w:keepNext/>
              <w:keepLines/>
              <w:spacing w:before="40" w:after="40" w:line="220" w:lineRule="exact"/>
              <w:rPr>
                <w:szCs w:val="24"/>
              </w:rPr>
            </w:pPr>
            <w:r>
              <w:rPr>
                <w:sz w:val="18"/>
                <w:szCs w:val="24"/>
                <w:lang w:val="es-ES_tradnl"/>
              </w:rPr>
              <w:t>Árabes</w:t>
            </w:r>
          </w:p>
        </w:tc>
        <w:tc>
          <w:tcPr>
            <w:tcW w:w="1843"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3,4</w:t>
            </w:r>
          </w:p>
        </w:tc>
        <w:tc>
          <w:tcPr>
            <w:tcW w:w="1843"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3,3</w:t>
            </w:r>
          </w:p>
        </w:tc>
        <w:tc>
          <w:tcPr>
            <w:tcW w:w="1843" w:type="dxa"/>
            <w:tcBorders>
              <w:bottom w:val="single" w:sz="12" w:space="0" w:color="auto"/>
            </w:tcBorders>
            <w:vAlign w:val="bottom"/>
          </w:tcPr>
          <w:p w:rsidR="00F92819" w:rsidRDefault="00F92819">
            <w:pPr>
              <w:keepNext/>
              <w:keepLines/>
              <w:spacing w:before="40" w:after="40" w:line="220" w:lineRule="exact"/>
              <w:jc w:val="right"/>
              <w:rPr>
                <w:sz w:val="18"/>
                <w:szCs w:val="24"/>
              </w:rPr>
            </w:pPr>
            <w:r>
              <w:rPr>
                <w:sz w:val="18"/>
                <w:szCs w:val="24"/>
              </w:rPr>
              <w:t>3,5</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pStyle w:val="H23G"/>
        <w:rPr>
          <w:szCs w:val="24"/>
        </w:rPr>
      </w:pPr>
      <w:r>
        <w:rPr>
          <w:szCs w:val="24"/>
        </w:rPr>
        <w:tab/>
      </w:r>
      <w:r>
        <w:rPr>
          <w:szCs w:val="24"/>
        </w:rPr>
        <w:tab/>
      </w:r>
      <w:r>
        <w:rPr>
          <w:szCs w:val="24"/>
          <w:lang w:val="es-ES_tradnl"/>
        </w:rPr>
        <w:t>Tasas de abandono</w:t>
      </w:r>
    </w:p>
    <w:p w:rsidR="00F92819" w:rsidRDefault="00F92819">
      <w:pPr>
        <w:pStyle w:val="SingleTxtG"/>
        <w:tabs>
          <w:tab w:val="num" w:pos="1600"/>
        </w:tabs>
        <w:ind w:left="1100"/>
        <w:rPr>
          <w:szCs w:val="24"/>
        </w:rPr>
      </w:pPr>
      <w:r>
        <w:rPr>
          <w:szCs w:val="24"/>
        </w:rPr>
        <w:t>565.</w:t>
      </w:r>
      <w:r>
        <w:rPr>
          <w:szCs w:val="24"/>
        </w:rPr>
        <w:tab/>
      </w:r>
      <w:r>
        <w:rPr>
          <w:szCs w:val="24"/>
          <w:lang w:val="es-ES_tradnl"/>
        </w:rPr>
        <w:t>En 2007 el 91,4% de los adolescentes de entre 15 y 17 años asistía a la escuela, el 1,4% trabajaba y no estudiaba, y el 7,2% ni trabajaba ni estudiaba (un descenso con respecto a 2006 (7,8%)).</w:t>
      </w:r>
      <w:r>
        <w:rPr>
          <w:szCs w:val="24"/>
        </w:rPr>
        <w:t xml:space="preserve"> </w:t>
      </w:r>
      <w:r>
        <w:rPr>
          <w:szCs w:val="24"/>
          <w:lang w:val="es-ES_tradnl"/>
        </w:rPr>
        <w:t>El 92% de las jóvenes de entre 15 y 17 años asistían a la escuela frente al 91% de los chicos.</w:t>
      </w:r>
      <w:r>
        <w:rPr>
          <w:szCs w:val="24"/>
        </w:rPr>
        <w:t xml:space="preserve"> </w:t>
      </w:r>
      <w:r>
        <w:rPr>
          <w:szCs w:val="24"/>
          <w:lang w:val="es-ES_tradnl"/>
        </w:rPr>
        <w:t>Entre la población judía, el 5,4% de los jóvenes de entre 15 y 17 años no trabajaba ni estudiaba (5,5% de chicos y 5,4% de chicas), frente al 12,5% entre la población árabe (12,7% de chicos y 12,1% de chicas).</w:t>
      </w:r>
    </w:p>
    <w:p w:rsidR="00F92819" w:rsidRDefault="00F92819">
      <w:pPr>
        <w:pStyle w:val="SingleTxtG"/>
        <w:tabs>
          <w:tab w:val="num" w:pos="1600"/>
        </w:tabs>
        <w:ind w:left="1100"/>
        <w:rPr>
          <w:szCs w:val="24"/>
          <w:u w:val="single"/>
        </w:rPr>
      </w:pPr>
      <w:r>
        <w:rPr>
          <w:szCs w:val="24"/>
        </w:rPr>
        <w:t>566.</w:t>
      </w:r>
      <w:r>
        <w:rPr>
          <w:szCs w:val="24"/>
        </w:rPr>
        <w:tab/>
      </w:r>
      <w:r>
        <w:rPr>
          <w:szCs w:val="24"/>
          <w:lang w:val="es-ES_tradnl"/>
        </w:rPr>
        <w:t>El cuadro siguiente presenta datos sobre tasas de abandono escolar, según el grado, el género y el grupo de población.</w:t>
      </w:r>
    </w:p>
    <w:p w:rsidR="00F92819" w:rsidRDefault="00F92819">
      <w:pPr>
        <w:pStyle w:val="Heading1"/>
        <w:spacing w:before="240"/>
        <w:rPr>
          <w:szCs w:val="24"/>
        </w:rPr>
      </w:pPr>
      <w:r>
        <w:rPr>
          <w:szCs w:val="24"/>
          <w:lang w:val="es-ES_tradnl"/>
        </w:rPr>
        <w:t>Cuadro 40</w:t>
      </w:r>
    </w:p>
    <w:p w:rsidR="00F92819" w:rsidRDefault="00F92819">
      <w:pPr>
        <w:pStyle w:val="SingleTxtG"/>
        <w:jc w:val="left"/>
        <w:rPr>
          <w:b/>
          <w:szCs w:val="24"/>
        </w:rPr>
      </w:pPr>
      <w:r>
        <w:rPr>
          <w:b/>
          <w:szCs w:val="24"/>
          <w:lang w:val="es-ES_tradnl"/>
        </w:rPr>
        <w:t>Tasas de abandono escolar de alumnos de los grados 7º a 12º, por grupo de población, grado y género</w:t>
      </w:r>
    </w:p>
    <w:tbl>
      <w:tblPr>
        <w:tblStyle w:val="TableGrid"/>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000"/>
        <w:gridCol w:w="1933"/>
        <w:gridCol w:w="839"/>
        <w:gridCol w:w="839"/>
        <w:gridCol w:w="840"/>
        <w:gridCol w:w="830"/>
        <w:gridCol w:w="840"/>
        <w:gridCol w:w="839"/>
        <w:gridCol w:w="840"/>
        <w:gridCol w:w="839"/>
      </w:tblGrid>
      <w:tr w:rsidR="00F92819">
        <w:trPr>
          <w:trHeight w:val="180"/>
          <w:tblHeader/>
        </w:trPr>
        <w:tc>
          <w:tcPr>
            <w:tcW w:w="2933" w:type="dxa"/>
            <w:gridSpan w:val="2"/>
            <w:vMerge w:val="restart"/>
            <w:tcBorders>
              <w:top w:val="single" w:sz="4" w:space="0" w:color="auto"/>
            </w:tcBorders>
            <w:vAlign w:val="bottom"/>
          </w:tcPr>
          <w:p w:rsidR="00F92819" w:rsidRDefault="00F92819">
            <w:pPr>
              <w:spacing w:before="80" w:after="80" w:line="200" w:lineRule="exact"/>
              <w:jc w:val="right"/>
              <w:rPr>
                <w:i/>
                <w:sz w:val="16"/>
                <w:szCs w:val="24"/>
              </w:rPr>
            </w:pPr>
          </w:p>
        </w:tc>
        <w:tc>
          <w:tcPr>
            <w:tcW w:w="3348" w:type="dxa"/>
            <w:gridSpan w:val="4"/>
            <w:tcBorders>
              <w:top w:val="single" w:sz="4" w:space="0" w:color="auto"/>
              <w:bottom w:val="single" w:sz="4" w:space="0" w:color="auto"/>
              <w:right w:val="single" w:sz="24" w:space="0" w:color="FFFFFF"/>
            </w:tcBorders>
            <w:vAlign w:val="bottom"/>
          </w:tcPr>
          <w:p w:rsidR="00F92819" w:rsidRDefault="00F92819">
            <w:pPr>
              <w:spacing w:before="80" w:after="80" w:line="200" w:lineRule="exact"/>
              <w:jc w:val="center"/>
              <w:rPr>
                <w:szCs w:val="24"/>
              </w:rPr>
            </w:pPr>
            <w:r>
              <w:rPr>
                <w:i/>
                <w:sz w:val="16"/>
                <w:szCs w:val="24"/>
                <w:lang w:val="es-ES_tradnl"/>
              </w:rPr>
              <w:t>Enseñanza en hebreo</w:t>
            </w:r>
          </w:p>
        </w:tc>
        <w:tc>
          <w:tcPr>
            <w:tcW w:w="3358" w:type="dxa"/>
            <w:gridSpan w:val="4"/>
            <w:tcBorders>
              <w:top w:val="single" w:sz="4" w:space="0" w:color="auto"/>
              <w:left w:val="single" w:sz="24" w:space="0" w:color="FFFFFF"/>
              <w:bottom w:val="single" w:sz="4" w:space="0" w:color="auto"/>
            </w:tcBorders>
            <w:vAlign w:val="bottom"/>
          </w:tcPr>
          <w:p w:rsidR="00F92819" w:rsidRDefault="00F92819">
            <w:pPr>
              <w:spacing w:before="80" w:after="80" w:line="200" w:lineRule="exact"/>
              <w:jc w:val="center"/>
              <w:rPr>
                <w:szCs w:val="24"/>
              </w:rPr>
            </w:pPr>
            <w:r>
              <w:rPr>
                <w:i/>
                <w:sz w:val="16"/>
                <w:szCs w:val="24"/>
                <w:lang w:val="es-ES_tradnl"/>
              </w:rPr>
              <w:t>Enseñanza en árabe</w:t>
            </w:r>
          </w:p>
        </w:tc>
      </w:tr>
      <w:tr w:rsidR="00F92819">
        <w:trPr>
          <w:trHeight w:val="180"/>
          <w:tblHeader/>
        </w:trPr>
        <w:tc>
          <w:tcPr>
            <w:tcW w:w="2933" w:type="dxa"/>
            <w:gridSpan w:val="2"/>
            <w:vMerge/>
            <w:tcBorders>
              <w:bottom w:val="single" w:sz="12" w:space="0" w:color="auto"/>
            </w:tcBorders>
            <w:vAlign w:val="bottom"/>
          </w:tcPr>
          <w:p w:rsidR="00F92819" w:rsidRDefault="00F92819">
            <w:pPr>
              <w:spacing w:before="80" w:after="80" w:line="200" w:lineRule="exact"/>
              <w:jc w:val="right"/>
              <w:rPr>
                <w:i/>
                <w:sz w:val="16"/>
                <w:szCs w:val="24"/>
              </w:rPr>
            </w:pPr>
          </w:p>
        </w:tc>
        <w:tc>
          <w:tcPr>
            <w:tcW w:w="839"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2003/04</w:t>
            </w:r>
            <w:r w:rsidR="008C04D7">
              <w:rPr>
                <w:i/>
                <w:sz w:val="16"/>
                <w:szCs w:val="24"/>
              </w:rPr>
              <w:t>-</w:t>
            </w:r>
            <w:r>
              <w:rPr>
                <w:i/>
                <w:sz w:val="16"/>
                <w:szCs w:val="24"/>
              </w:rPr>
              <w:t>2004/05</w:t>
            </w:r>
          </w:p>
        </w:tc>
        <w:tc>
          <w:tcPr>
            <w:tcW w:w="839"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2004/05</w:t>
            </w:r>
            <w:r w:rsidR="008C04D7">
              <w:rPr>
                <w:i/>
                <w:sz w:val="16"/>
                <w:szCs w:val="24"/>
              </w:rPr>
              <w:t>-</w:t>
            </w:r>
            <w:r>
              <w:rPr>
                <w:i/>
                <w:sz w:val="16"/>
                <w:szCs w:val="24"/>
              </w:rPr>
              <w:t>2005/06</w:t>
            </w:r>
          </w:p>
        </w:tc>
        <w:tc>
          <w:tcPr>
            <w:tcW w:w="84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2005/06</w:t>
            </w:r>
            <w:r w:rsidR="008C04D7">
              <w:rPr>
                <w:i/>
                <w:sz w:val="16"/>
                <w:szCs w:val="24"/>
              </w:rPr>
              <w:t>-</w:t>
            </w:r>
            <w:r>
              <w:rPr>
                <w:i/>
                <w:sz w:val="16"/>
                <w:szCs w:val="24"/>
              </w:rPr>
              <w:t>2006/07</w:t>
            </w:r>
          </w:p>
        </w:tc>
        <w:tc>
          <w:tcPr>
            <w:tcW w:w="830" w:type="dxa"/>
            <w:tcBorders>
              <w:top w:val="single" w:sz="4" w:space="0" w:color="auto"/>
              <w:bottom w:val="single" w:sz="12" w:space="0" w:color="auto"/>
              <w:right w:val="single" w:sz="24" w:space="0" w:color="FFFFFF"/>
            </w:tcBorders>
            <w:vAlign w:val="bottom"/>
          </w:tcPr>
          <w:p w:rsidR="00F92819" w:rsidRDefault="00F92819">
            <w:pPr>
              <w:spacing w:before="80" w:after="80" w:line="200" w:lineRule="exact"/>
              <w:jc w:val="right"/>
              <w:rPr>
                <w:szCs w:val="24"/>
              </w:rPr>
            </w:pPr>
            <w:r>
              <w:rPr>
                <w:i/>
                <w:sz w:val="16"/>
                <w:szCs w:val="24"/>
              </w:rPr>
              <w:t>2006/07</w:t>
            </w:r>
            <w:r w:rsidR="008C04D7">
              <w:rPr>
                <w:i/>
                <w:sz w:val="16"/>
                <w:szCs w:val="24"/>
              </w:rPr>
              <w:t>-</w:t>
            </w:r>
            <w:r>
              <w:rPr>
                <w:i/>
                <w:sz w:val="16"/>
                <w:szCs w:val="24"/>
              </w:rPr>
              <w:t>2007/08</w:t>
            </w:r>
          </w:p>
        </w:tc>
        <w:tc>
          <w:tcPr>
            <w:tcW w:w="840" w:type="dxa"/>
            <w:tcBorders>
              <w:top w:val="single" w:sz="4" w:space="0" w:color="auto"/>
              <w:left w:val="single" w:sz="24" w:space="0" w:color="FFFFFF"/>
              <w:bottom w:val="single" w:sz="12" w:space="0" w:color="auto"/>
            </w:tcBorders>
            <w:vAlign w:val="bottom"/>
          </w:tcPr>
          <w:p w:rsidR="00F92819" w:rsidRDefault="00F92819">
            <w:pPr>
              <w:spacing w:before="80" w:after="80" w:line="200" w:lineRule="exact"/>
              <w:jc w:val="right"/>
              <w:rPr>
                <w:szCs w:val="24"/>
              </w:rPr>
            </w:pPr>
            <w:r>
              <w:rPr>
                <w:i/>
                <w:sz w:val="16"/>
                <w:szCs w:val="24"/>
              </w:rPr>
              <w:t>2003/04</w:t>
            </w:r>
            <w:r w:rsidR="008C04D7">
              <w:rPr>
                <w:i/>
                <w:sz w:val="16"/>
                <w:szCs w:val="24"/>
              </w:rPr>
              <w:t>-</w:t>
            </w:r>
            <w:r>
              <w:rPr>
                <w:i/>
                <w:sz w:val="16"/>
                <w:szCs w:val="24"/>
              </w:rPr>
              <w:t>2004/05</w:t>
            </w:r>
          </w:p>
        </w:tc>
        <w:tc>
          <w:tcPr>
            <w:tcW w:w="839"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2004/05</w:t>
            </w:r>
            <w:r w:rsidR="008C04D7">
              <w:rPr>
                <w:i/>
                <w:sz w:val="16"/>
                <w:szCs w:val="24"/>
              </w:rPr>
              <w:t>-</w:t>
            </w:r>
            <w:r>
              <w:rPr>
                <w:i/>
                <w:sz w:val="16"/>
                <w:szCs w:val="24"/>
              </w:rPr>
              <w:t>2005/06</w:t>
            </w:r>
          </w:p>
        </w:tc>
        <w:tc>
          <w:tcPr>
            <w:tcW w:w="84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2005/06</w:t>
            </w:r>
            <w:r w:rsidR="008C04D7">
              <w:rPr>
                <w:i/>
                <w:sz w:val="16"/>
                <w:szCs w:val="24"/>
              </w:rPr>
              <w:t>-</w:t>
            </w:r>
            <w:r>
              <w:rPr>
                <w:i/>
                <w:sz w:val="16"/>
                <w:szCs w:val="24"/>
              </w:rPr>
              <w:t>2006/07</w:t>
            </w:r>
          </w:p>
        </w:tc>
        <w:tc>
          <w:tcPr>
            <w:tcW w:w="839"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i/>
                <w:sz w:val="16"/>
                <w:szCs w:val="24"/>
              </w:rPr>
              <w:t>2006/07</w:t>
            </w:r>
            <w:r w:rsidR="008C04D7">
              <w:rPr>
                <w:i/>
                <w:sz w:val="16"/>
                <w:szCs w:val="24"/>
              </w:rPr>
              <w:t>-</w:t>
            </w:r>
            <w:r>
              <w:rPr>
                <w:i/>
                <w:sz w:val="16"/>
                <w:szCs w:val="24"/>
              </w:rPr>
              <w:t>2007/08</w:t>
            </w:r>
          </w:p>
        </w:tc>
      </w:tr>
      <w:tr w:rsidR="00F92819">
        <w:tc>
          <w:tcPr>
            <w:tcW w:w="2933" w:type="dxa"/>
            <w:gridSpan w:val="2"/>
            <w:tcBorders>
              <w:top w:val="single" w:sz="12" w:space="0" w:color="auto"/>
              <w:bottom w:val="single" w:sz="4" w:space="0" w:color="auto"/>
            </w:tcBorders>
            <w:vAlign w:val="bottom"/>
          </w:tcPr>
          <w:p w:rsidR="00F92819" w:rsidRDefault="00F92819">
            <w:pPr>
              <w:spacing w:before="80" w:after="80" w:line="220" w:lineRule="exact"/>
              <w:ind w:left="284"/>
              <w:rPr>
                <w:szCs w:val="24"/>
              </w:rPr>
            </w:pPr>
            <w:r>
              <w:rPr>
                <w:b/>
                <w:sz w:val="18"/>
                <w:szCs w:val="24"/>
                <w:lang w:val="es-ES_tradnl"/>
              </w:rPr>
              <w:t>Total general</w:t>
            </w:r>
          </w:p>
        </w:tc>
        <w:tc>
          <w:tcPr>
            <w:tcW w:w="839"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523 029</w:t>
            </w:r>
          </w:p>
        </w:tc>
        <w:tc>
          <w:tcPr>
            <w:tcW w:w="839"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521 032</w:t>
            </w:r>
          </w:p>
        </w:tc>
        <w:tc>
          <w:tcPr>
            <w:tcW w:w="840"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520 189</w:t>
            </w:r>
          </w:p>
        </w:tc>
        <w:tc>
          <w:tcPr>
            <w:tcW w:w="830"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519 615</w:t>
            </w:r>
          </w:p>
        </w:tc>
        <w:tc>
          <w:tcPr>
            <w:tcW w:w="840"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140 145</w:t>
            </w:r>
          </w:p>
        </w:tc>
        <w:tc>
          <w:tcPr>
            <w:tcW w:w="839"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147 912</w:t>
            </w:r>
          </w:p>
        </w:tc>
        <w:tc>
          <w:tcPr>
            <w:tcW w:w="840"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154 967</w:t>
            </w:r>
          </w:p>
        </w:tc>
        <w:tc>
          <w:tcPr>
            <w:tcW w:w="839" w:type="dxa"/>
            <w:tcBorders>
              <w:top w:val="single" w:sz="12"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160 729</w:t>
            </w:r>
          </w:p>
        </w:tc>
      </w:tr>
      <w:tr w:rsidR="00F92819">
        <w:tc>
          <w:tcPr>
            <w:tcW w:w="1000" w:type="dxa"/>
            <w:tcBorders>
              <w:top w:val="single" w:sz="4" w:space="0" w:color="auto"/>
            </w:tcBorders>
            <w:vAlign w:val="bottom"/>
          </w:tcPr>
          <w:p w:rsidR="00F92819" w:rsidRDefault="00F92819">
            <w:pPr>
              <w:spacing w:before="80" w:after="80" w:line="220" w:lineRule="exact"/>
              <w:rPr>
                <w:sz w:val="18"/>
                <w:szCs w:val="24"/>
              </w:rPr>
            </w:pPr>
          </w:p>
        </w:tc>
        <w:tc>
          <w:tcPr>
            <w:tcW w:w="1933" w:type="dxa"/>
            <w:tcBorders>
              <w:top w:val="single" w:sz="4" w:space="0" w:color="auto"/>
              <w:bottom w:val="single" w:sz="4" w:space="0" w:color="auto"/>
            </w:tcBorders>
            <w:vAlign w:val="bottom"/>
          </w:tcPr>
          <w:p w:rsidR="00F92819" w:rsidRDefault="00F92819">
            <w:pPr>
              <w:spacing w:before="80" w:after="80" w:line="220" w:lineRule="exact"/>
              <w:rPr>
                <w:szCs w:val="24"/>
              </w:rPr>
            </w:pPr>
            <w:r>
              <w:rPr>
                <w:b/>
                <w:sz w:val="18"/>
                <w:szCs w:val="24"/>
                <w:lang w:val="es-ES_tradnl"/>
              </w:rPr>
              <w:t>Total</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86 145</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88 670</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86 331</w:t>
            </w:r>
          </w:p>
        </w:tc>
        <w:tc>
          <w:tcPr>
            <w:tcW w:w="83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86 924</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28 156</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30 460</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30 298</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30 729</w:t>
            </w:r>
          </w:p>
        </w:tc>
      </w:tr>
      <w:tr w:rsidR="00F92819">
        <w:tc>
          <w:tcPr>
            <w:tcW w:w="1000" w:type="dxa"/>
            <w:vAlign w:val="bottom"/>
          </w:tcPr>
          <w:p w:rsidR="00F92819" w:rsidRDefault="00F92819">
            <w:pPr>
              <w:spacing w:before="40" w:after="40" w:line="220" w:lineRule="exact"/>
              <w:rPr>
                <w:szCs w:val="24"/>
              </w:rPr>
            </w:pPr>
            <w:r>
              <w:rPr>
                <w:sz w:val="18"/>
                <w:szCs w:val="24"/>
                <w:lang w:val="es-ES_tradnl"/>
              </w:rPr>
              <w:t>7º grado</w:t>
            </w:r>
          </w:p>
        </w:tc>
        <w:tc>
          <w:tcPr>
            <w:tcW w:w="1933"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sidR="0081365B">
              <w:rPr>
                <w:sz w:val="18"/>
                <w:szCs w:val="24"/>
                <w:lang w:val="es-ES_tradnl"/>
              </w:rPr>
              <w:t xml:space="preserve">porcentaje </w:t>
            </w:r>
            <w:r>
              <w:rPr>
                <w:sz w:val="18"/>
                <w:szCs w:val="24"/>
                <w:lang w:val="es-ES_tradnl"/>
              </w:rPr>
              <w:t>de abandono del sistema educativo</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1,6</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1,1</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0,5</w:t>
            </w:r>
          </w:p>
        </w:tc>
        <w:tc>
          <w:tcPr>
            <w:tcW w:w="83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0,8</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1,9</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1,9</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1,3</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1,1</w:t>
            </w:r>
          </w:p>
        </w:tc>
      </w:tr>
      <w:tr w:rsidR="00F92819">
        <w:tc>
          <w:tcPr>
            <w:tcW w:w="1000" w:type="dxa"/>
            <w:vAlign w:val="bottom"/>
          </w:tcPr>
          <w:p w:rsidR="00F92819" w:rsidRDefault="00F92819">
            <w:pPr>
              <w:spacing w:before="40" w:after="40" w:line="220" w:lineRule="exact"/>
              <w:rPr>
                <w:sz w:val="18"/>
                <w:szCs w:val="24"/>
              </w:rPr>
            </w:pPr>
          </w:p>
        </w:tc>
        <w:tc>
          <w:tcPr>
            <w:tcW w:w="1933" w:type="dxa"/>
            <w:vAlign w:val="bottom"/>
          </w:tcPr>
          <w:p w:rsidR="00F92819" w:rsidRDefault="0081365B">
            <w:pPr>
              <w:spacing w:before="40" w:after="40" w:line="220" w:lineRule="exact"/>
              <w:rPr>
                <w:szCs w:val="24"/>
              </w:rPr>
            </w:pPr>
            <w:r>
              <w:rPr>
                <w:sz w:val="18"/>
                <w:szCs w:val="24"/>
                <w:lang w:val="es-ES_tradnl"/>
              </w:rPr>
              <w:t>porcentaje</w:t>
            </w:r>
            <w:r w:rsidR="00F92819">
              <w:rPr>
                <w:sz w:val="18"/>
                <w:szCs w:val="24"/>
                <w:lang w:val="es-ES_tradnl"/>
              </w:rPr>
              <w:t xml:space="preserve"> de chicos</w:t>
            </w:r>
          </w:p>
        </w:tc>
        <w:tc>
          <w:tcPr>
            <w:tcW w:w="839" w:type="dxa"/>
            <w:vAlign w:val="bottom"/>
          </w:tcPr>
          <w:p w:rsidR="00F92819" w:rsidRDefault="00F92819">
            <w:pPr>
              <w:spacing w:before="40" w:after="40" w:line="220" w:lineRule="exact"/>
              <w:jc w:val="right"/>
              <w:rPr>
                <w:sz w:val="18"/>
                <w:szCs w:val="24"/>
              </w:rPr>
            </w:pPr>
            <w:r>
              <w:rPr>
                <w:sz w:val="18"/>
                <w:szCs w:val="24"/>
              </w:rPr>
              <w:t>2,1</w:t>
            </w:r>
          </w:p>
        </w:tc>
        <w:tc>
          <w:tcPr>
            <w:tcW w:w="839" w:type="dxa"/>
            <w:vAlign w:val="bottom"/>
          </w:tcPr>
          <w:p w:rsidR="00F92819" w:rsidRDefault="00F92819">
            <w:pPr>
              <w:spacing w:before="40" w:after="40" w:line="220" w:lineRule="exact"/>
              <w:jc w:val="right"/>
              <w:rPr>
                <w:sz w:val="18"/>
                <w:szCs w:val="24"/>
              </w:rPr>
            </w:pPr>
            <w:r>
              <w:rPr>
                <w:sz w:val="18"/>
                <w:szCs w:val="24"/>
              </w:rPr>
              <w:t>1,4</w:t>
            </w:r>
          </w:p>
        </w:tc>
        <w:tc>
          <w:tcPr>
            <w:tcW w:w="840" w:type="dxa"/>
            <w:vAlign w:val="bottom"/>
          </w:tcPr>
          <w:p w:rsidR="00F92819" w:rsidRDefault="00F92819">
            <w:pPr>
              <w:spacing w:before="40" w:after="40" w:line="220" w:lineRule="exact"/>
              <w:jc w:val="right"/>
              <w:rPr>
                <w:sz w:val="18"/>
                <w:szCs w:val="24"/>
              </w:rPr>
            </w:pPr>
            <w:r>
              <w:rPr>
                <w:sz w:val="18"/>
                <w:szCs w:val="24"/>
              </w:rPr>
              <w:t>0,8</w:t>
            </w:r>
          </w:p>
        </w:tc>
        <w:tc>
          <w:tcPr>
            <w:tcW w:w="830" w:type="dxa"/>
            <w:vAlign w:val="bottom"/>
          </w:tcPr>
          <w:p w:rsidR="00F92819" w:rsidRDefault="00F92819">
            <w:pPr>
              <w:spacing w:before="40" w:after="40" w:line="220" w:lineRule="exact"/>
              <w:jc w:val="right"/>
              <w:rPr>
                <w:sz w:val="18"/>
                <w:szCs w:val="24"/>
              </w:rPr>
            </w:pPr>
            <w:r>
              <w:rPr>
                <w:sz w:val="18"/>
                <w:szCs w:val="24"/>
              </w:rPr>
              <w:t>1,3</w:t>
            </w:r>
          </w:p>
        </w:tc>
        <w:tc>
          <w:tcPr>
            <w:tcW w:w="840" w:type="dxa"/>
            <w:vAlign w:val="bottom"/>
          </w:tcPr>
          <w:p w:rsidR="00F92819" w:rsidRDefault="00F92819">
            <w:pPr>
              <w:spacing w:before="40" w:after="40" w:line="220" w:lineRule="exact"/>
              <w:jc w:val="right"/>
              <w:rPr>
                <w:sz w:val="18"/>
                <w:szCs w:val="24"/>
              </w:rPr>
            </w:pPr>
            <w:r>
              <w:rPr>
                <w:sz w:val="18"/>
                <w:szCs w:val="24"/>
              </w:rPr>
              <w:t>1,9</w:t>
            </w:r>
          </w:p>
        </w:tc>
        <w:tc>
          <w:tcPr>
            <w:tcW w:w="839" w:type="dxa"/>
            <w:vAlign w:val="bottom"/>
          </w:tcPr>
          <w:p w:rsidR="00F92819" w:rsidRDefault="00F92819">
            <w:pPr>
              <w:spacing w:before="40" w:after="40" w:line="220" w:lineRule="exact"/>
              <w:jc w:val="right"/>
              <w:rPr>
                <w:sz w:val="18"/>
                <w:szCs w:val="24"/>
              </w:rPr>
            </w:pPr>
            <w:r>
              <w:rPr>
                <w:sz w:val="18"/>
                <w:szCs w:val="24"/>
              </w:rPr>
              <w:t>1,9</w:t>
            </w:r>
          </w:p>
        </w:tc>
        <w:tc>
          <w:tcPr>
            <w:tcW w:w="840" w:type="dxa"/>
            <w:vAlign w:val="bottom"/>
          </w:tcPr>
          <w:p w:rsidR="00F92819" w:rsidRDefault="00F92819">
            <w:pPr>
              <w:spacing w:before="40" w:after="40" w:line="220" w:lineRule="exact"/>
              <w:jc w:val="right"/>
              <w:rPr>
                <w:sz w:val="18"/>
                <w:szCs w:val="24"/>
              </w:rPr>
            </w:pPr>
            <w:r>
              <w:rPr>
                <w:sz w:val="18"/>
                <w:szCs w:val="24"/>
              </w:rPr>
              <w:t>1,4</w:t>
            </w:r>
          </w:p>
        </w:tc>
        <w:tc>
          <w:tcPr>
            <w:tcW w:w="839" w:type="dxa"/>
            <w:vAlign w:val="bottom"/>
          </w:tcPr>
          <w:p w:rsidR="00F92819" w:rsidRDefault="00F92819">
            <w:pPr>
              <w:spacing w:before="40" w:after="40" w:line="220" w:lineRule="exact"/>
              <w:jc w:val="right"/>
              <w:rPr>
                <w:sz w:val="18"/>
                <w:szCs w:val="24"/>
              </w:rPr>
            </w:pPr>
            <w:r>
              <w:rPr>
                <w:sz w:val="18"/>
                <w:szCs w:val="24"/>
              </w:rPr>
              <w:t>1,2</w:t>
            </w:r>
          </w:p>
        </w:tc>
      </w:tr>
      <w:tr w:rsidR="00F92819">
        <w:tc>
          <w:tcPr>
            <w:tcW w:w="1000" w:type="dxa"/>
            <w:vAlign w:val="bottom"/>
          </w:tcPr>
          <w:p w:rsidR="00F92819" w:rsidRDefault="00F92819">
            <w:pPr>
              <w:spacing w:before="40" w:after="40" w:line="220" w:lineRule="exact"/>
              <w:rPr>
                <w:sz w:val="18"/>
                <w:szCs w:val="24"/>
              </w:rPr>
            </w:pPr>
          </w:p>
        </w:tc>
        <w:tc>
          <w:tcPr>
            <w:tcW w:w="1933" w:type="dxa"/>
            <w:tcBorders>
              <w:bottom w:val="single" w:sz="4" w:space="0" w:color="auto"/>
            </w:tcBorders>
            <w:vAlign w:val="bottom"/>
          </w:tcPr>
          <w:p w:rsidR="00F92819" w:rsidRDefault="00F92819">
            <w:pPr>
              <w:spacing w:before="40" w:after="40" w:line="220" w:lineRule="exact"/>
              <w:rPr>
                <w:szCs w:val="24"/>
              </w:rPr>
            </w:pPr>
            <w:r>
              <w:rPr>
                <w:sz w:val="18"/>
                <w:szCs w:val="24"/>
              </w:rPr>
              <w:t xml:space="preserve">1. </w:t>
            </w:r>
            <w:r w:rsidR="0081365B">
              <w:rPr>
                <w:sz w:val="18"/>
                <w:szCs w:val="24"/>
                <w:lang w:val="es-ES_tradnl"/>
              </w:rPr>
              <w:t>porcentaje</w:t>
            </w:r>
            <w:r>
              <w:rPr>
                <w:sz w:val="18"/>
                <w:szCs w:val="24"/>
                <w:lang w:val="es-ES_tradnl"/>
              </w:rPr>
              <w:t xml:space="preserve"> de chicas</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1,1</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0,7</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0,3</w:t>
            </w:r>
          </w:p>
        </w:tc>
        <w:tc>
          <w:tcPr>
            <w:tcW w:w="83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0,4</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1,9</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1,9</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1,3</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1,0</w:t>
            </w:r>
          </w:p>
        </w:tc>
      </w:tr>
      <w:tr w:rsidR="00F92819">
        <w:tc>
          <w:tcPr>
            <w:tcW w:w="1000" w:type="dxa"/>
            <w:vAlign w:val="bottom"/>
          </w:tcPr>
          <w:p w:rsidR="00F92819" w:rsidRDefault="00F92819">
            <w:pPr>
              <w:spacing w:before="80" w:after="80" w:line="220" w:lineRule="exact"/>
              <w:rPr>
                <w:sz w:val="18"/>
                <w:szCs w:val="24"/>
              </w:rPr>
            </w:pPr>
          </w:p>
        </w:tc>
        <w:tc>
          <w:tcPr>
            <w:tcW w:w="1933" w:type="dxa"/>
            <w:tcBorders>
              <w:top w:val="single" w:sz="4" w:space="0" w:color="auto"/>
              <w:bottom w:val="single" w:sz="4" w:space="0" w:color="auto"/>
            </w:tcBorders>
            <w:vAlign w:val="bottom"/>
          </w:tcPr>
          <w:p w:rsidR="00F92819" w:rsidRDefault="00F92819">
            <w:pPr>
              <w:spacing w:before="80" w:after="80" w:line="220" w:lineRule="exact"/>
              <w:rPr>
                <w:szCs w:val="24"/>
              </w:rPr>
            </w:pPr>
            <w:r>
              <w:rPr>
                <w:b/>
                <w:sz w:val="18"/>
                <w:szCs w:val="24"/>
                <w:lang w:val="es-ES_tradnl"/>
              </w:rPr>
              <w:t>Total</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84 888</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84 562</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87 745</w:t>
            </w:r>
          </w:p>
        </w:tc>
        <w:tc>
          <w:tcPr>
            <w:tcW w:w="83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85 591</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27 477</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28 314</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30 518</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30 487</w:t>
            </w:r>
          </w:p>
        </w:tc>
      </w:tr>
      <w:tr w:rsidR="00F92819">
        <w:tc>
          <w:tcPr>
            <w:tcW w:w="1000" w:type="dxa"/>
            <w:vAlign w:val="bottom"/>
          </w:tcPr>
          <w:p w:rsidR="00F92819" w:rsidRDefault="00F92819">
            <w:pPr>
              <w:spacing w:before="40" w:after="40" w:line="220" w:lineRule="exact"/>
              <w:rPr>
                <w:szCs w:val="24"/>
              </w:rPr>
            </w:pPr>
            <w:r>
              <w:rPr>
                <w:sz w:val="18"/>
                <w:szCs w:val="24"/>
                <w:lang w:val="es-ES_tradnl"/>
              </w:rPr>
              <w:t>8º grado</w:t>
            </w:r>
          </w:p>
        </w:tc>
        <w:tc>
          <w:tcPr>
            <w:tcW w:w="1933"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sidR="0081365B">
              <w:rPr>
                <w:sz w:val="18"/>
                <w:szCs w:val="24"/>
                <w:lang w:val="es-ES_tradnl"/>
              </w:rPr>
              <w:t>porcentaje</w:t>
            </w:r>
            <w:r>
              <w:rPr>
                <w:sz w:val="18"/>
                <w:szCs w:val="24"/>
                <w:lang w:val="es-ES_tradnl"/>
              </w:rPr>
              <w:t xml:space="preserve"> de abandono del sistema educativo</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3,3</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2,6</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2,2</w:t>
            </w:r>
          </w:p>
        </w:tc>
        <w:tc>
          <w:tcPr>
            <w:tcW w:w="83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2,7</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4,2</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3,5</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3,9</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4,1</w:t>
            </w:r>
          </w:p>
        </w:tc>
      </w:tr>
      <w:tr w:rsidR="00F92819">
        <w:tc>
          <w:tcPr>
            <w:tcW w:w="1000" w:type="dxa"/>
            <w:vAlign w:val="bottom"/>
          </w:tcPr>
          <w:p w:rsidR="00F92819" w:rsidRDefault="00F92819">
            <w:pPr>
              <w:spacing w:before="40" w:after="40" w:line="220" w:lineRule="exact"/>
              <w:rPr>
                <w:sz w:val="18"/>
                <w:szCs w:val="24"/>
              </w:rPr>
            </w:pPr>
          </w:p>
        </w:tc>
        <w:tc>
          <w:tcPr>
            <w:tcW w:w="1933" w:type="dxa"/>
            <w:vAlign w:val="bottom"/>
          </w:tcPr>
          <w:p w:rsidR="00F92819" w:rsidRDefault="0081365B">
            <w:pPr>
              <w:spacing w:before="40" w:after="40" w:line="220" w:lineRule="exact"/>
              <w:rPr>
                <w:szCs w:val="24"/>
              </w:rPr>
            </w:pPr>
            <w:r>
              <w:rPr>
                <w:sz w:val="18"/>
                <w:szCs w:val="24"/>
                <w:lang w:val="es-ES_tradnl"/>
              </w:rPr>
              <w:t>porcentaje</w:t>
            </w:r>
            <w:r w:rsidR="00F92819">
              <w:rPr>
                <w:sz w:val="18"/>
                <w:szCs w:val="24"/>
                <w:lang w:val="es-ES_tradnl"/>
              </w:rPr>
              <w:t xml:space="preserve"> de chicos</w:t>
            </w:r>
          </w:p>
        </w:tc>
        <w:tc>
          <w:tcPr>
            <w:tcW w:w="839" w:type="dxa"/>
            <w:vAlign w:val="bottom"/>
          </w:tcPr>
          <w:p w:rsidR="00F92819" w:rsidRDefault="00F92819">
            <w:pPr>
              <w:spacing w:before="40" w:after="40" w:line="220" w:lineRule="exact"/>
              <w:jc w:val="right"/>
              <w:rPr>
                <w:sz w:val="18"/>
                <w:szCs w:val="24"/>
              </w:rPr>
            </w:pPr>
            <w:r>
              <w:rPr>
                <w:sz w:val="18"/>
                <w:szCs w:val="24"/>
              </w:rPr>
              <w:t>4,2</w:t>
            </w:r>
          </w:p>
        </w:tc>
        <w:tc>
          <w:tcPr>
            <w:tcW w:w="839" w:type="dxa"/>
            <w:vAlign w:val="bottom"/>
          </w:tcPr>
          <w:p w:rsidR="00F92819" w:rsidRDefault="00F92819">
            <w:pPr>
              <w:spacing w:before="40" w:after="40" w:line="220" w:lineRule="exact"/>
              <w:jc w:val="right"/>
              <w:rPr>
                <w:sz w:val="18"/>
                <w:szCs w:val="24"/>
              </w:rPr>
            </w:pPr>
            <w:r>
              <w:rPr>
                <w:sz w:val="18"/>
                <w:szCs w:val="24"/>
              </w:rPr>
              <w:t>3,4</w:t>
            </w:r>
          </w:p>
        </w:tc>
        <w:tc>
          <w:tcPr>
            <w:tcW w:w="840" w:type="dxa"/>
            <w:vAlign w:val="bottom"/>
          </w:tcPr>
          <w:p w:rsidR="00F92819" w:rsidRDefault="00F92819">
            <w:pPr>
              <w:spacing w:before="40" w:after="40" w:line="220" w:lineRule="exact"/>
              <w:jc w:val="right"/>
              <w:rPr>
                <w:sz w:val="18"/>
                <w:szCs w:val="24"/>
              </w:rPr>
            </w:pPr>
            <w:r>
              <w:rPr>
                <w:sz w:val="18"/>
                <w:szCs w:val="24"/>
              </w:rPr>
              <w:t>2,8</w:t>
            </w:r>
          </w:p>
        </w:tc>
        <w:tc>
          <w:tcPr>
            <w:tcW w:w="830" w:type="dxa"/>
            <w:vAlign w:val="bottom"/>
          </w:tcPr>
          <w:p w:rsidR="00F92819" w:rsidRDefault="00F92819">
            <w:pPr>
              <w:spacing w:before="40" w:after="40" w:line="220" w:lineRule="exact"/>
              <w:jc w:val="right"/>
              <w:rPr>
                <w:sz w:val="18"/>
                <w:szCs w:val="24"/>
              </w:rPr>
            </w:pPr>
            <w:r>
              <w:rPr>
                <w:sz w:val="18"/>
                <w:szCs w:val="24"/>
              </w:rPr>
              <w:t>3,8</w:t>
            </w:r>
          </w:p>
        </w:tc>
        <w:tc>
          <w:tcPr>
            <w:tcW w:w="840" w:type="dxa"/>
            <w:vAlign w:val="bottom"/>
          </w:tcPr>
          <w:p w:rsidR="00F92819" w:rsidRDefault="00F92819">
            <w:pPr>
              <w:spacing w:before="40" w:after="40" w:line="220" w:lineRule="exact"/>
              <w:jc w:val="right"/>
              <w:rPr>
                <w:sz w:val="18"/>
                <w:szCs w:val="24"/>
              </w:rPr>
            </w:pPr>
            <w:r>
              <w:rPr>
                <w:sz w:val="18"/>
                <w:szCs w:val="24"/>
              </w:rPr>
              <w:t>5,4</w:t>
            </w:r>
          </w:p>
        </w:tc>
        <w:tc>
          <w:tcPr>
            <w:tcW w:w="839" w:type="dxa"/>
            <w:vAlign w:val="bottom"/>
          </w:tcPr>
          <w:p w:rsidR="00F92819" w:rsidRDefault="00F92819">
            <w:pPr>
              <w:spacing w:before="40" w:after="40" w:line="220" w:lineRule="exact"/>
              <w:jc w:val="right"/>
              <w:rPr>
                <w:sz w:val="18"/>
                <w:szCs w:val="24"/>
              </w:rPr>
            </w:pPr>
            <w:r>
              <w:rPr>
                <w:sz w:val="18"/>
                <w:szCs w:val="24"/>
              </w:rPr>
              <w:t>4,3</w:t>
            </w:r>
          </w:p>
        </w:tc>
        <w:tc>
          <w:tcPr>
            <w:tcW w:w="840" w:type="dxa"/>
            <w:vAlign w:val="bottom"/>
          </w:tcPr>
          <w:p w:rsidR="00F92819" w:rsidRDefault="00F92819">
            <w:pPr>
              <w:spacing w:before="40" w:after="40" w:line="220" w:lineRule="exact"/>
              <w:jc w:val="right"/>
              <w:rPr>
                <w:sz w:val="18"/>
                <w:szCs w:val="24"/>
              </w:rPr>
            </w:pPr>
            <w:r>
              <w:rPr>
                <w:sz w:val="18"/>
                <w:szCs w:val="24"/>
              </w:rPr>
              <w:t>4,9</w:t>
            </w:r>
          </w:p>
        </w:tc>
        <w:tc>
          <w:tcPr>
            <w:tcW w:w="839" w:type="dxa"/>
            <w:vAlign w:val="bottom"/>
          </w:tcPr>
          <w:p w:rsidR="00F92819" w:rsidRDefault="00F92819">
            <w:pPr>
              <w:spacing w:before="40" w:after="40" w:line="220" w:lineRule="exact"/>
              <w:jc w:val="right"/>
              <w:rPr>
                <w:sz w:val="18"/>
                <w:szCs w:val="24"/>
              </w:rPr>
            </w:pPr>
            <w:r>
              <w:rPr>
                <w:sz w:val="18"/>
                <w:szCs w:val="24"/>
              </w:rPr>
              <w:t>5,1</w:t>
            </w:r>
          </w:p>
        </w:tc>
      </w:tr>
      <w:tr w:rsidR="00F92819">
        <w:tc>
          <w:tcPr>
            <w:tcW w:w="1000" w:type="dxa"/>
            <w:vAlign w:val="bottom"/>
          </w:tcPr>
          <w:p w:rsidR="00F92819" w:rsidRDefault="00F92819">
            <w:pPr>
              <w:spacing w:before="40" w:after="40" w:line="220" w:lineRule="exact"/>
              <w:rPr>
                <w:sz w:val="18"/>
                <w:szCs w:val="24"/>
              </w:rPr>
            </w:pPr>
          </w:p>
        </w:tc>
        <w:tc>
          <w:tcPr>
            <w:tcW w:w="1933" w:type="dxa"/>
            <w:tcBorders>
              <w:bottom w:val="single" w:sz="4" w:space="0" w:color="auto"/>
            </w:tcBorders>
            <w:vAlign w:val="bottom"/>
          </w:tcPr>
          <w:p w:rsidR="00F92819" w:rsidRDefault="00F92819">
            <w:pPr>
              <w:spacing w:before="40" w:after="40" w:line="220" w:lineRule="exact"/>
              <w:rPr>
                <w:szCs w:val="24"/>
              </w:rPr>
            </w:pPr>
            <w:r>
              <w:rPr>
                <w:sz w:val="18"/>
                <w:szCs w:val="24"/>
              </w:rPr>
              <w:t xml:space="preserve">2. </w:t>
            </w:r>
            <w:r w:rsidR="0081365B">
              <w:rPr>
                <w:sz w:val="18"/>
                <w:szCs w:val="24"/>
                <w:lang w:val="es-ES_tradnl"/>
              </w:rPr>
              <w:t>porcentaje</w:t>
            </w:r>
            <w:r>
              <w:rPr>
                <w:sz w:val="18"/>
                <w:szCs w:val="24"/>
                <w:lang w:val="es-ES_tradnl"/>
              </w:rPr>
              <w:t xml:space="preserve"> de chicas</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2,3</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1,7</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1,5</w:t>
            </w:r>
          </w:p>
        </w:tc>
        <w:tc>
          <w:tcPr>
            <w:tcW w:w="83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1,6</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2,9</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2,6</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2,8</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3,0</w:t>
            </w:r>
          </w:p>
        </w:tc>
      </w:tr>
      <w:tr w:rsidR="00F92819">
        <w:tc>
          <w:tcPr>
            <w:tcW w:w="1000" w:type="dxa"/>
            <w:vAlign w:val="bottom"/>
          </w:tcPr>
          <w:p w:rsidR="00F92819" w:rsidRDefault="00F92819">
            <w:pPr>
              <w:spacing w:before="80" w:after="80" w:line="220" w:lineRule="exact"/>
              <w:rPr>
                <w:sz w:val="18"/>
                <w:szCs w:val="24"/>
              </w:rPr>
            </w:pPr>
          </w:p>
        </w:tc>
        <w:tc>
          <w:tcPr>
            <w:tcW w:w="1933" w:type="dxa"/>
            <w:tcBorders>
              <w:top w:val="single" w:sz="4" w:space="0" w:color="auto"/>
              <w:bottom w:val="single" w:sz="4" w:space="0" w:color="auto"/>
            </w:tcBorders>
            <w:vAlign w:val="bottom"/>
          </w:tcPr>
          <w:p w:rsidR="00F92819" w:rsidRDefault="00F92819">
            <w:pPr>
              <w:spacing w:before="80" w:after="80" w:line="220" w:lineRule="exact"/>
              <w:rPr>
                <w:szCs w:val="24"/>
              </w:rPr>
            </w:pPr>
            <w:r>
              <w:rPr>
                <w:b/>
                <w:sz w:val="18"/>
                <w:szCs w:val="24"/>
                <w:lang w:val="es-ES_tradnl"/>
              </w:rPr>
              <w:t>Total</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90 282</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87 775</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87 573</w:t>
            </w:r>
          </w:p>
        </w:tc>
        <w:tc>
          <w:tcPr>
            <w:tcW w:w="83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89 257</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26 697</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26 813</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27 767</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29 508</w:t>
            </w:r>
          </w:p>
        </w:tc>
      </w:tr>
      <w:tr w:rsidR="00F92819">
        <w:tc>
          <w:tcPr>
            <w:tcW w:w="1000" w:type="dxa"/>
            <w:vAlign w:val="bottom"/>
          </w:tcPr>
          <w:p w:rsidR="00F92819" w:rsidRDefault="00F92819">
            <w:pPr>
              <w:spacing w:before="40" w:after="40" w:line="220" w:lineRule="exact"/>
              <w:rPr>
                <w:szCs w:val="24"/>
              </w:rPr>
            </w:pPr>
            <w:r>
              <w:rPr>
                <w:sz w:val="18"/>
                <w:szCs w:val="24"/>
                <w:lang w:val="es-ES_tradnl"/>
              </w:rPr>
              <w:t>9º grado</w:t>
            </w:r>
          </w:p>
        </w:tc>
        <w:tc>
          <w:tcPr>
            <w:tcW w:w="1933"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sidR="0081365B">
              <w:rPr>
                <w:sz w:val="18"/>
                <w:szCs w:val="24"/>
                <w:lang w:val="es-ES_tradnl"/>
              </w:rPr>
              <w:t>porcentaje</w:t>
            </w:r>
            <w:r>
              <w:rPr>
                <w:sz w:val="18"/>
                <w:szCs w:val="24"/>
                <w:lang w:val="es-ES_tradnl"/>
              </w:rPr>
              <w:t xml:space="preserve"> de abandono del sistema educativo</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4,3</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3,9</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3,0</w:t>
            </w:r>
          </w:p>
        </w:tc>
        <w:tc>
          <w:tcPr>
            <w:tcW w:w="83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3,2</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11,8</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10,9</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11,7</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12,3</w:t>
            </w:r>
          </w:p>
        </w:tc>
      </w:tr>
      <w:tr w:rsidR="00F92819">
        <w:tc>
          <w:tcPr>
            <w:tcW w:w="1000" w:type="dxa"/>
            <w:vAlign w:val="bottom"/>
          </w:tcPr>
          <w:p w:rsidR="00F92819" w:rsidRDefault="00F92819">
            <w:pPr>
              <w:spacing w:before="40" w:after="40" w:line="220" w:lineRule="exact"/>
              <w:rPr>
                <w:sz w:val="18"/>
                <w:szCs w:val="24"/>
              </w:rPr>
            </w:pPr>
          </w:p>
        </w:tc>
        <w:tc>
          <w:tcPr>
            <w:tcW w:w="1933" w:type="dxa"/>
            <w:vAlign w:val="bottom"/>
          </w:tcPr>
          <w:p w:rsidR="00F92819" w:rsidRDefault="0081365B">
            <w:pPr>
              <w:spacing w:before="40" w:after="40" w:line="220" w:lineRule="exact"/>
              <w:rPr>
                <w:szCs w:val="24"/>
              </w:rPr>
            </w:pPr>
            <w:r>
              <w:rPr>
                <w:sz w:val="18"/>
                <w:szCs w:val="24"/>
                <w:lang w:val="es-ES_tradnl"/>
              </w:rPr>
              <w:t xml:space="preserve">porcentaje </w:t>
            </w:r>
            <w:r w:rsidR="00F92819">
              <w:rPr>
                <w:sz w:val="18"/>
                <w:szCs w:val="24"/>
                <w:lang w:val="es-ES_tradnl"/>
              </w:rPr>
              <w:t>de chicos</w:t>
            </w:r>
          </w:p>
        </w:tc>
        <w:tc>
          <w:tcPr>
            <w:tcW w:w="839" w:type="dxa"/>
            <w:vAlign w:val="bottom"/>
          </w:tcPr>
          <w:p w:rsidR="00F92819" w:rsidRDefault="00F92819">
            <w:pPr>
              <w:spacing w:before="40" w:after="40" w:line="220" w:lineRule="exact"/>
              <w:jc w:val="right"/>
              <w:rPr>
                <w:sz w:val="18"/>
                <w:szCs w:val="24"/>
              </w:rPr>
            </w:pPr>
            <w:r>
              <w:rPr>
                <w:sz w:val="18"/>
                <w:szCs w:val="24"/>
              </w:rPr>
              <w:t>6,0</w:t>
            </w:r>
          </w:p>
        </w:tc>
        <w:tc>
          <w:tcPr>
            <w:tcW w:w="839" w:type="dxa"/>
            <w:vAlign w:val="bottom"/>
          </w:tcPr>
          <w:p w:rsidR="00F92819" w:rsidRDefault="00F92819">
            <w:pPr>
              <w:spacing w:before="40" w:after="40" w:line="220" w:lineRule="exact"/>
              <w:jc w:val="right"/>
              <w:rPr>
                <w:sz w:val="18"/>
                <w:szCs w:val="24"/>
              </w:rPr>
            </w:pPr>
            <w:r>
              <w:rPr>
                <w:sz w:val="18"/>
                <w:szCs w:val="24"/>
              </w:rPr>
              <w:t>5,5</w:t>
            </w:r>
          </w:p>
        </w:tc>
        <w:tc>
          <w:tcPr>
            <w:tcW w:w="840" w:type="dxa"/>
            <w:vAlign w:val="bottom"/>
          </w:tcPr>
          <w:p w:rsidR="00F92819" w:rsidRDefault="00F92819">
            <w:pPr>
              <w:spacing w:before="40" w:after="40" w:line="220" w:lineRule="exact"/>
              <w:jc w:val="right"/>
              <w:rPr>
                <w:sz w:val="18"/>
                <w:szCs w:val="24"/>
              </w:rPr>
            </w:pPr>
            <w:r>
              <w:rPr>
                <w:sz w:val="18"/>
                <w:szCs w:val="24"/>
              </w:rPr>
              <w:t>4,4</w:t>
            </w:r>
          </w:p>
        </w:tc>
        <w:tc>
          <w:tcPr>
            <w:tcW w:w="830" w:type="dxa"/>
            <w:vAlign w:val="bottom"/>
          </w:tcPr>
          <w:p w:rsidR="00F92819" w:rsidRDefault="00F92819">
            <w:pPr>
              <w:spacing w:before="40" w:after="40" w:line="220" w:lineRule="exact"/>
              <w:jc w:val="right"/>
              <w:rPr>
                <w:sz w:val="18"/>
                <w:szCs w:val="24"/>
              </w:rPr>
            </w:pPr>
            <w:r>
              <w:rPr>
                <w:sz w:val="18"/>
                <w:szCs w:val="24"/>
              </w:rPr>
              <w:t>4,8</w:t>
            </w:r>
          </w:p>
        </w:tc>
        <w:tc>
          <w:tcPr>
            <w:tcW w:w="840" w:type="dxa"/>
            <w:vAlign w:val="bottom"/>
          </w:tcPr>
          <w:p w:rsidR="00F92819" w:rsidRDefault="00F92819">
            <w:pPr>
              <w:spacing w:before="40" w:after="40" w:line="220" w:lineRule="exact"/>
              <w:jc w:val="right"/>
              <w:rPr>
                <w:sz w:val="18"/>
                <w:szCs w:val="24"/>
              </w:rPr>
            </w:pPr>
            <w:r>
              <w:rPr>
                <w:sz w:val="18"/>
                <w:szCs w:val="24"/>
              </w:rPr>
              <w:t>15,9</w:t>
            </w:r>
          </w:p>
        </w:tc>
        <w:tc>
          <w:tcPr>
            <w:tcW w:w="839" w:type="dxa"/>
            <w:vAlign w:val="bottom"/>
          </w:tcPr>
          <w:p w:rsidR="00F92819" w:rsidRDefault="00F92819">
            <w:pPr>
              <w:spacing w:before="40" w:after="40" w:line="220" w:lineRule="exact"/>
              <w:jc w:val="right"/>
              <w:rPr>
                <w:sz w:val="18"/>
                <w:szCs w:val="24"/>
              </w:rPr>
            </w:pPr>
            <w:r>
              <w:rPr>
                <w:sz w:val="18"/>
                <w:szCs w:val="24"/>
              </w:rPr>
              <w:t>14,2</w:t>
            </w:r>
          </w:p>
        </w:tc>
        <w:tc>
          <w:tcPr>
            <w:tcW w:w="840" w:type="dxa"/>
            <w:vAlign w:val="bottom"/>
          </w:tcPr>
          <w:p w:rsidR="00F92819" w:rsidRDefault="00F92819">
            <w:pPr>
              <w:spacing w:before="40" w:after="40" w:line="220" w:lineRule="exact"/>
              <w:jc w:val="right"/>
              <w:rPr>
                <w:sz w:val="18"/>
                <w:szCs w:val="24"/>
              </w:rPr>
            </w:pPr>
            <w:r>
              <w:rPr>
                <w:sz w:val="18"/>
                <w:szCs w:val="24"/>
              </w:rPr>
              <w:t>15,8</w:t>
            </w:r>
          </w:p>
        </w:tc>
        <w:tc>
          <w:tcPr>
            <w:tcW w:w="839" w:type="dxa"/>
            <w:vAlign w:val="bottom"/>
          </w:tcPr>
          <w:p w:rsidR="00F92819" w:rsidRDefault="00F92819">
            <w:pPr>
              <w:spacing w:before="40" w:after="40" w:line="220" w:lineRule="exact"/>
              <w:jc w:val="right"/>
              <w:rPr>
                <w:sz w:val="18"/>
                <w:szCs w:val="24"/>
              </w:rPr>
            </w:pPr>
            <w:r>
              <w:rPr>
                <w:sz w:val="18"/>
                <w:szCs w:val="24"/>
              </w:rPr>
              <w:t>17,0</w:t>
            </w:r>
          </w:p>
        </w:tc>
      </w:tr>
      <w:tr w:rsidR="00F92819">
        <w:tc>
          <w:tcPr>
            <w:tcW w:w="1000" w:type="dxa"/>
            <w:vAlign w:val="bottom"/>
          </w:tcPr>
          <w:p w:rsidR="00F92819" w:rsidRDefault="00F92819">
            <w:pPr>
              <w:spacing w:before="40" w:after="40" w:line="220" w:lineRule="exact"/>
              <w:rPr>
                <w:sz w:val="18"/>
                <w:szCs w:val="24"/>
              </w:rPr>
            </w:pPr>
          </w:p>
        </w:tc>
        <w:tc>
          <w:tcPr>
            <w:tcW w:w="1933" w:type="dxa"/>
            <w:tcBorders>
              <w:bottom w:val="single" w:sz="4" w:space="0" w:color="auto"/>
            </w:tcBorders>
            <w:vAlign w:val="bottom"/>
          </w:tcPr>
          <w:p w:rsidR="00F92819" w:rsidRDefault="00F92819">
            <w:pPr>
              <w:spacing w:before="40" w:after="40" w:line="220" w:lineRule="exact"/>
              <w:rPr>
                <w:szCs w:val="24"/>
              </w:rPr>
            </w:pPr>
            <w:r>
              <w:rPr>
                <w:sz w:val="18"/>
                <w:szCs w:val="24"/>
              </w:rPr>
              <w:t xml:space="preserve">3. </w:t>
            </w:r>
            <w:r w:rsidR="0081365B">
              <w:rPr>
                <w:sz w:val="18"/>
                <w:szCs w:val="24"/>
                <w:lang w:val="es-ES_tradnl"/>
              </w:rPr>
              <w:t>porcentaje</w:t>
            </w:r>
            <w:r>
              <w:rPr>
                <w:sz w:val="18"/>
                <w:szCs w:val="24"/>
                <w:lang w:val="es-ES_tradnl"/>
              </w:rPr>
              <w:t xml:space="preserve"> de chicas</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2,5</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2,2</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1,4</w:t>
            </w:r>
          </w:p>
        </w:tc>
        <w:tc>
          <w:tcPr>
            <w:tcW w:w="83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1,7</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7,6</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7,5</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7,3</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7,4</w:t>
            </w:r>
          </w:p>
        </w:tc>
      </w:tr>
      <w:tr w:rsidR="00F92819">
        <w:tc>
          <w:tcPr>
            <w:tcW w:w="1000" w:type="dxa"/>
            <w:vAlign w:val="bottom"/>
          </w:tcPr>
          <w:p w:rsidR="00F92819" w:rsidRDefault="00F92819">
            <w:pPr>
              <w:spacing w:before="80" w:after="80" w:line="220" w:lineRule="exact"/>
              <w:rPr>
                <w:sz w:val="18"/>
                <w:szCs w:val="24"/>
              </w:rPr>
            </w:pPr>
          </w:p>
        </w:tc>
        <w:tc>
          <w:tcPr>
            <w:tcW w:w="1933" w:type="dxa"/>
            <w:tcBorders>
              <w:top w:val="single" w:sz="4" w:space="0" w:color="auto"/>
              <w:bottom w:val="single" w:sz="4" w:space="0" w:color="auto"/>
            </w:tcBorders>
            <w:vAlign w:val="bottom"/>
          </w:tcPr>
          <w:p w:rsidR="00F92819" w:rsidRDefault="00F92819">
            <w:pPr>
              <w:spacing w:before="80" w:after="80" w:line="220" w:lineRule="exact"/>
              <w:rPr>
                <w:szCs w:val="24"/>
              </w:rPr>
            </w:pPr>
            <w:r>
              <w:rPr>
                <w:b/>
                <w:sz w:val="18"/>
                <w:szCs w:val="24"/>
                <w:lang w:val="es-ES_tradnl"/>
              </w:rPr>
              <w:t>Total</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88 565</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89 494</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87 359</w:t>
            </w:r>
          </w:p>
        </w:tc>
        <w:tc>
          <w:tcPr>
            <w:tcW w:w="83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87 425</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21 393</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24 237</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24 381</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25 273</w:t>
            </w:r>
          </w:p>
        </w:tc>
      </w:tr>
      <w:tr w:rsidR="00F92819">
        <w:tc>
          <w:tcPr>
            <w:tcW w:w="1000" w:type="dxa"/>
            <w:vAlign w:val="bottom"/>
          </w:tcPr>
          <w:p w:rsidR="00F92819" w:rsidRDefault="00F92819">
            <w:pPr>
              <w:spacing w:before="40" w:after="40" w:line="220" w:lineRule="exact"/>
              <w:rPr>
                <w:szCs w:val="24"/>
              </w:rPr>
            </w:pPr>
            <w:r>
              <w:rPr>
                <w:sz w:val="18"/>
                <w:szCs w:val="24"/>
                <w:lang w:val="es-ES_tradnl"/>
              </w:rPr>
              <w:t>10º grado</w:t>
            </w:r>
          </w:p>
        </w:tc>
        <w:tc>
          <w:tcPr>
            <w:tcW w:w="1933"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sidR="0081365B">
              <w:rPr>
                <w:sz w:val="18"/>
                <w:szCs w:val="24"/>
                <w:lang w:val="es-ES_tradnl"/>
              </w:rPr>
              <w:t>porcentaje</w:t>
            </w:r>
            <w:r>
              <w:rPr>
                <w:sz w:val="18"/>
                <w:szCs w:val="24"/>
                <w:lang w:val="es-ES_tradnl"/>
              </w:rPr>
              <w:t xml:space="preserve"> de abandono del sistema educativo</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4,7</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4,0</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3,4</w:t>
            </w:r>
          </w:p>
        </w:tc>
        <w:tc>
          <w:tcPr>
            <w:tcW w:w="83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3,7</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8,0</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6,9</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6,6</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6,6</w:t>
            </w:r>
          </w:p>
        </w:tc>
      </w:tr>
      <w:tr w:rsidR="00F92819">
        <w:tc>
          <w:tcPr>
            <w:tcW w:w="1000" w:type="dxa"/>
            <w:vAlign w:val="bottom"/>
          </w:tcPr>
          <w:p w:rsidR="00F92819" w:rsidRDefault="00F92819">
            <w:pPr>
              <w:spacing w:before="40" w:after="40" w:line="220" w:lineRule="exact"/>
              <w:rPr>
                <w:sz w:val="18"/>
                <w:szCs w:val="24"/>
              </w:rPr>
            </w:pPr>
          </w:p>
        </w:tc>
        <w:tc>
          <w:tcPr>
            <w:tcW w:w="1933" w:type="dxa"/>
            <w:vAlign w:val="bottom"/>
          </w:tcPr>
          <w:p w:rsidR="00F92819" w:rsidRDefault="0081365B">
            <w:pPr>
              <w:spacing w:before="40" w:after="40" w:line="220" w:lineRule="exact"/>
              <w:rPr>
                <w:szCs w:val="24"/>
              </w:rPr>
            </w:pPr>
            <w:r>
              <w:rPr>
                <w:sz w:val="18"/>
                <w:szCs w:val="24"/>
                <w:lang w:val="es-ES_tradnl"/>
              </w:rPr>
              <w:t>porcentaje</w:t>
            </w:r>
            <w:r w:rsidR="00F92819">
              <w:rPr>
                <w:sz w:val="18"/>
                <w:szCs w:val="24"/>
                <w:lang w:val="es-ES_tradnl"/>
              </w:rPr>
              <w:t xml:space="preserve"> de chicos</w:t>
            </w:r>
          </w:p>
        </w:tc>
        <w:tc>
          <w:tcPr>
            <w:tcW w:w="839" w:type="dxa"/>
            <w:vAlign w:val="bottom"/>
          </w:tcPr>
          <w:p w:rsidR="00F92819" w:rsidRDefault="00F92819">
            <w:pPr>
              <w:spacing w:before="40" w:after="40" w:line="220" w:lineRule="exact"/>
              <w:jc w:val="right"/>
              <w:rPr>
                <w:sz w:val="18"/>
                <w:szCs w:val="24"/>
              </w:rPr>
            </w:pPr>
            <w:r>
              <w:rPr>
                <w:sz w:val="18"/>
                <w:szCs w:val="24"/>
              </w:rPr>
              <w:t>6,3</w:t>
            </w:r>
          </w:p>
        </w:tc>
        <w:tc>
          <w:tcPr>
            <w:tcW w:w="839" w:type="dxa"/>
            <w:vAlign w:val="bottom"/>
          </w:tcPr>
          <w:p w:rsidR="00F92819" w:rsidRDefault="00F92819">
            <w:pPr>
              <w:spacing w:before="40" w:after="40" w:line="220" w:lineRule="exact"/>
              <w:jc w:val="right"/>
              <w:rPr>
                <w:sz w:val="18"/>
                <w:szCs w:val="24"/>
              </w:rPr>
            </w:pPr>
            <w:r>
              <w:rPr>
                <w:sz w:val="18"/>
                <w:szCs w:val="24"/>
              </w:rPr>
              <w:t>5,5</w:t>
            </w:r>
          </w:p>
        </w:tc>
        <w:tc>
          <w:tcPr>
            <w:tcW w:w="840" w:type="dxa"/>
            <w:vAlign w:val="bottom"/>
          </w:tcPr>
          <w:p w:rsidR="00F92819" w:rsidRDefault="00F92819">
            <w:pPr>
              <w:spacing w:before="40" w:after="40" w:line="220" w:lineRule="exact"/>
              <w:jc w:val="right"/>
              <w:rPr>
                <w:sz w:val="18"/>
                <w:szCs w:val="24"/>
              </w:rPr>
            </w:pPr>
            <w:r>
              <w:rPr>
                <w:sz w:val="18"/>
                <w:szCs w:val="24"/>
              </w:rPr>
              <w:t>4,7</w:t>
            </w:r>
          </w:p>
        </w:tc>
        <w:tc>
          <w:tcPr>
            <w:tcW w:w="830" w:type="dxa"/>
            <w:vAlign w:val="bottom"/>
          </w:tcPr>
          <w:p w:rsidR="00F92819" w:rsidRDefault="00F92819">
            <w:pPr>
              <w:spacing w:before="40" w:after="40" w:line="220" w:lineRule="exact"/>
              <w:jc w:val="right"/>
              <w:rPr>
                <w:sz w:val="18"/>
                <w:szCs w:val="24"/>
              </w:rPr>
            </w:pPr>
            <w:r>
              <w:rPr>
                <w:sz w:val="18"/>
                <w:szCs w:val="24"/>
              </w:rPr>
              <w:t>5,3</w:t>
            </w:r>
          </w:p>
        </w:tc>
        <w:tc>
          <w:tcPr>
            <w:tcW w:w="840" w:type="dxa"/>
            <w:vAlign w:val="bottom"/>
          </w:tcPr>
          <w:p w:rsidR="00F92819" w:rsidRDefault="00F92819">
            <w:pPr>
              <w:spacing w:before="40" w:after="40" w:line="220" w:lineRule="exact"/>
              <w:jc w:val="right"/>
              <w:rPr>
                <w:sz w:val="18"/>
                <w:szCs w:val="24"/>
              </w:rPr>
            </w:pPr>
            <w:r>
              <w:rPr>
                <w:sz w:val="18"/>
                <w:szCs w:val="24"/>
              </w:rPr>
              <w:t>11,1</w:t>
            </w:r>
          </w:p>
        </w:tc>
        <w:tc>
          <w:tcPr>
            <w:tcW w:w="839" w:type="dxa"/>
            <w:vAlign w:val="bottom"/>
          </w:tcPr>
          <w:p w:rsidR="00F92819" w:rsidRDefault="00F92819">
            <w:pPr>
              <w:spacing w:before="40" w:after="40" w:line="220" w:lineRule="exact"/>
              <w:jc w:val="right"/>
              <w:rPr>
                <w:sz w:val="18"/>
                <w:szCs w:val="24"/>
              </w:rPr>
            </w:pPr>
            <w:r>
              <w:rPr>
                <w:sz w:val="18"/>
                <w:szCs w:val="24"/>
              </w:rPr>
              <w:t>10,6</w:t>
            </w:r>
          </w:p>
        </w:tc>
        <w:tc>
          <w:tcPr>
            <w:tcW w:w="840" w:type="dxa"/>
            <w:vAlign w:val="bottom"/>
          </w:tcPr>
          <w:p w:rsidR="00F92819" w:rsidRDefault="00F92819">
            <w:pPr>
              <w:spacing w:before="40" w:after="40" w:line="220" w:lineRule="exact"/>
              <w:jc w:val="right"/>
              <w:rPr>
                <w:sz w:val="18"/>
                <w:szCs w:val="24"/>
              </w:rPr>
            </w:pPr>
            <w:r>
              <w:rPr>
                <w:sz w:val="18"/>
                <w:szCs w:val="24"/>
              </w:rPr>
              <w:t>9,7</w:t>
            </w:r>
          </w:p>
        </w:tc>
        <w:tc>
          <w:tcPr>
            <w:tcW w:w="839" w:type="dxa"/>
            <w:vAlign w:val="bottom"/>
          </w:tcPr>
          <w:p w:rsidR="00F92819" w:rsidRDefault="00F92819">
            <w:pPr>
              <w:spacing w:before="40" w:after="40" w:line="220" w:lineRule="exact"/>
              <w:jc w:val="right"/>
              <w:rPr>
                <w:sz w:val="18"/>
                <w:szCs w:val="24"/>
              </w:rPr>
            </w:pPr>
            <w:r>
              <w:rPr>
                <w:sz w:val="18"/>
                <w:szCs w:val="24"/>
              </w:rPr>
              <w:t>10,3</w:t>
            </w:r>
          </w:p>
        </w:tc>
      </w:tr>
      <w:tr w:rsidR="00F92819">
        <w:tc>
          <w:tcPr>
            <w:tcW w:w="1000" w:type="dxa"/>
            <w:vAlign w:val="bottom"/>
          </w:tcPr>
          <w:p w:rsidR="00F92819" w:rsidRDefault="00F92819">
            <w:pPr>
              <w:spacing w:before="40" w:after="40" w:line="220" w:lineRule="exact"/>
              <w:rPr>
                <w:sz w:val="18"/>
                <w:szCs w:val="24"/>
              </w:rPr>
            </w:pPr>
          </w:p>
        </w:tc>
        <w:tc>
          <w:tcPr>
            <w:tcW w:w="1933" w:type="dxa"/>
            <w:tcBorders>
              <w:bottom w:val="single" w:sz="4" w:space="0" w:color="auto"/>
            </w:tcBorders>
            <w:vAlign w:val="bottom"/>
          </w:tcPr>
          <w:p w:rsidR="00F92819" w:rsidRDefault="00F92819">
            <w:pPr>
              <w:spacing w:before="40" w:after="40" w:line="220" w:lineRule="exact"/>
              <w:rPr>
                <w:szCs w:val="24"/>
              </w:rPr>
            </w:pPr>
            <w:r>
              <w:rPr>
                <w:sz w:val="18"/>
                <w:szCs w:val="24"/>
              </w:rPr>
              <w:t xml:space="preserve">4. </w:t>
            </w:r>
            <w:r w:rsidR="0081365B">
              <w:rPr>
                <w:sz w:val="18"/>
                <w:szCs w:val="24"/>
                <w:lang w:val="es-ES_tradnl"/>
              </w:rPr>
              <w:t>porcentaje</w:t>
            </w:r>
            <w:r>
              <w:rPr>
                <w:sz w:val="18"/>
                <w:szCs w:val="24"/>
                <w:lang w:val="es-ES_tradnl"/>
              </w:rPr>
              <w:t xml:space="preserve"> de chicas</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2,9</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2,3</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1,9</w:t>
            </w:r>
          </w:p>
        </w:tc>
        <w:tc>
          <w:tcPr>
            <w:tcW w:w="83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1,9</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5,0</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3,4</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3,5</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3,0</w:t>
            </w:r>
          </w:p>
        </w:tc>
      </w:tr>
      <w:tr w:rsidR="00F92819">
        <w:tc>
          <w:tcPr>
            <w:tcW w:w="1000" w:type="dxa"/>
            <w:vAlign w:val="bottom"/>
          </w:tcPr>
          <w:p w:rsidR="00F92819" w:rsidRDefault="00F92819">
            <w:pPr>
              <w:keepNext/>
              <w:keepLines/>
              <w:spacing w:before="80" w:after="80" w:line="220" w:lineRule="exact"/>
              <w:rPr>
                <w:sz w:val="18"/>
                <w:szCs w:val="24"/>
              </w:rPr>
            </w:pPr>
          </w:p>
        </w:tc>
        <w:tc>
          <w:tcPr>
            <w:tcW w:w="1933" w:type="dxa"/>
            <w:tcBorders>
              <w:top w:val="single" w:sz="4" w:space="0" w:color="auto"/>
              <w:bottom w:val="single" w:sz="4" w:space="0" w:color="auto"/>
            </w:tcBorders>
            <w:vAlign w:val="bottom"/>
          </w:tcPr>
          <w:p w:rsidR="00F92819" w:rsidRDefault="00F92819">
            <w:pPr>
              <w:keepNext/>
              <w:keepLines/>
              <w:spacing w:before="80" w:after="80" w:line="220" w:lineRule="exact"/>
              <w:rPr>
                <w:szCs w:val="24"/>
              </w:rPr>
            </w:pPr>
            <w:r>
              <w:rPr>
                <w:b/>
                <w:sz w:val="18"/>
                <w:szCs w:val="24"/>
              </w:rPr>
              <w:t xml:space="preserve">5. </w:t>
            </w:r>
            <w:r>
              <w:rPr>
                <w:b/>
                <w:sz w:val="18"/>
                <w:szCs w:val="24"/>
                <w:lang w:val="es-ES_tradnl"/>
              </w:rPr>
              <w:t>Total</w:t>
            </w:r>
          </w:p>
        </w:tc>
        <w:tc>
          <w:tcPr>
            <w:tcW w:w="839" w:type="dxa"/>
            <w:tcBorders>
              <w:top w:val="single" w:sz="4"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87 180</w:t>
            </w:r>
          </w:p>
        </w:tc>
        <w:tc>
          <w:tcPr>
            <w:tcW w:w="839" w:type="dxa"/>
            <w:tcBorders>
              <w:top w:val="single" w:sz="4"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87 692</w:t>
            </w:r>
          </w:p>
        </w:tc>
        <w:tc>
          <w:tcPr>
            <w:tcW w:w="840" w:type="dxa"/>
            <w:tcBorders>
              <w:top w:val="single" w:sz="4"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88 160</w:t>
            </w:r>
          </w:p>
        </w:tc>
        <w:tc>
          <w:tcPr>
            <w:tcW w:w="830" w:type="dxa"/>
            <w:tcBorders>
              <w:top w:val="single" w:sz="4"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86 636</w:t>
            </w:r>
          </w:p>
        </w:tc>
        <w:tc>
          <w:tcPr>
            <w:tcW w:w="840" w:type="dxa"/>
            <w:tcBorders>
              <w:top w:val="single" w:sz="4"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18 816</w:t>
            </w:r>
          </w:p>
        </w:tc>
        <w:tc>
          <w:tcPr>
            <w:tcW w:w="839" w:type="dxa"/>
            <w:tcBorders>
              <w:top w:val="single" w:sz="4"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20 148</w:t>
            </w:r>
          </w:p>
        </w:tc>
        <w:tc>
          <w:tcPr>
            <w:tcW w:w="840" w:type="dxa"/>
            <w:tcBorders>
              <w:top w:val="single" w:sz="4"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22 729</w:t>
            </w:r>
          </w:p>
        </w:tc>
        <w:tc>
          <w:tcPr>
            <w:tcW w:w="839" w:type="dxa"/>
            <w:tcBorders>
              <w:top w:val="single" w:sz="4" w:space="0" w:color="auto"/>
              <w:bottom w:val="single" w:sz="4" w:space="0" w:color="auto"/>
            </w:tcBorders>
            <w:vAlign w:val="bottom"/>
          </w:tcPr>
          <w:p w:rsidR="00F92819" w:rsidRDefault="00F92819">
            <w:pPr>
              <w:keepNext/>
              <w:keepLines/>
              <w:spacing w:before="80" w:after="80" w:line="220" w:lineRule="exact"/>
              <w:jc w:val="right"/>
              <w:rPr>
                <w:b/>
                <w:sz w:val="18"/>
                <w:szCs w:val="24"/>
              </w:rPr>
            </w:pPr>
            <w:r>
              <w:rPr>
                <w:b/>
                <w:sz w:val="18"/>
                <w:szCs w:val="24"/>
              </w:rPr>
              <w:t>22 866</w:t>
            </w:r>
          </w:p>
        </w:tc>
      </w:tr>
      <w:tr w:rsidR="00F92819">
        <w:tc>
          <w:tcPr>
            <w:tcW w:w="1000" w:type="dxa"/>
            <w:vAlign w:val="bottom"/>
          </w:tcPr>
          <w:p w:rsidR="00F92819" w:rsidRDefault="00F92819">
            <w:pPr>
              <w:keepNext/>
              <w:keepLines/>
              <w:spacing w:before="40" w:after="40" w:line="220" w:lineRule="exact"/>
              <w:rPr>
                <w:szCs w:val="24"/>
              </w:rPr>
            </w:pPr>
            <w:r>
              <w:rPr>
                <w:sz w:val="18"/>
                <w:szCs w:val="24"/>
                <w:lang w:val="es-ES_tradnl"/>
              </w:rPr>
              <w:t>11º grado</w:t>
            </w:r>
          </w:p>
        </w:tc>
        <w:tc>
          <w:tcPr>
            <w:tcW w:w="1933" w:type="dxa"/>
            <w:tcBorders>
              <w:top w:val="single" w:sz="4" w:space="0" w:color="auto"/>
            </w:tcBorders>
            <w:vAlign w:val="bottom"/>
          </w:tcPr>
          <w:p w:rsidR="00F92819" w:rsidRDefault="00F92819">
            <w:pPr>
              <w:keepNext/>
              <w:keepLines/>
              <w:spacing w:before="40" w:after="40" w:line="220" w:lineRule="exact"/>
              <w:rPr>
                <w:szCs w:val="24"/>
              </w:rPr>
            </w:pPr>
            <w:r>
              <w:rPr>
                <w:sz w:val="18"/>
                <w:szCs w:val="24"/>
                <w:lang w:val="es-ES_tradnl"/>
              </w:rPr>
              <w:t>De los cuales:</w:t>
            </w:r>
            <w:r>
              <w:rPr>
                <w:sz w:val="18"/>
                <w:szCs w:val="24"/>
              </w:rPr>
              <w:t xml:space="preserve"> </w:t>
            </w:r>
            <w:r w:rsidR="0081365B">
              <w:rPr>
                <w:sz w:val="18"/>
                <w:szCs w:val="24"/>
                <w:lang w:val="es-ES_tradnl"/>
              </w:rPr>
              <w:t>porcentaje</w:t>
            </w:r>
            <w:r>
              <w:rPr>
                <w:sz w:val="18"/>
                <w:szCs w:val="24"/>
                <w:lang w:val="es-ES_tradnl"/>
              </w:rPr>
              <w:t xml:space="preserve"> de abandono del sistema educativo</w:t>
            </w:r>
          </w:p>
        </w:tc>
        <w:tc>
          <w:tcPr>
            <w:tcW w:w="839"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5,2</w:t>
            </w:r>
          </w:p>
        </w:tc>
        <w:tc>
          <w:tcPr>
            <w:tcW w:w="839"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5,8</w:t>
            </w:r>
          </w:p>
        </w:tc>
        <w:tc>
          <w:tcPr>
            <w:tcW w:w="840"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5,3</w:t>
            </w:r>
          </w:p>
        </w:tc>
        <w:tc>
          <w:tcPr>
            <w:tcW w:w="830"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6,3</w:t>
            </w:r>
          </w:p>
        </w:tc>
        <w:tc>
          <w:tcPr>
            <w:tcW w:w="840"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6,5</w:t>
            </w:r>
          </w:p>
        </w:tc>
        <w:tc>
          <w:tcPr>
            <w:tcW w:w="839"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6,7</w:t>
            </w:r>
          </w:p>
        </w:tc>
        <w:tc>
          <w:tcPr>
            <w:tcW w:w="840"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5,3</w:t>
            </w:r>
          </w:p>
        </w:tc>
        <w:tc>
          <w:tcPr>
            <w:tcW w:w="839" w:type="dxa"/>
            <w:tcBorders>
              <w:top w:val="single" w:sz="4" w:space="0" w:color="auto"/>
            </w:tcBorders>
            <w:vAlign w:val="bottom"/>
          </w:tcPr>
          <w:p w:rsidR="00F92819" w:rsidRDefault="00F92819">
            <w:pPr>
              <w:keepNext/>
              <w:keepLines/>
              <w:spacing w:before="40" w:after="40" w:line="220" w:lineRule="exact"/>
              <w:jc w:val="right"/>
              <w:rPr>
                <w:sz w:val="18"/>
                <w:szCs w:val="24"/>
              </w:rPr>
            </w:pPr>
            <w:r>
              <w:rPr>
                <w:sz w:val="18"/>
                <w:szCs w:val="24"/>
              </w:rPr>
              <w:t>6,3</w:t>
            </w:r>
          </w:p>
        </w:tc>
      </w:tr>
      <w:tr w:rsidR="00F92819">
        <w:tc>
          <w:tcPr>
            <w:tcW w:w="1000" w:type="dxa"/>
            <w:vAlign w:val="bottom"/>
          </w:tcPr>
          <w:p w:rsidR="00F92819" w:rsidRDefault="00F92819">
            <w:pPr>
              <w:spacing w:before="40" w:after="40" w:line="220" w:lineRule="exact"/>
              <w:rPr>
                <w:sz w:val="18"/>
                <w:szCs w:val="24"/>
              </w:rPr>
            </w:pPr>
          </w:p>
        </w:tc>
        <w:tc>
          <w:tcPr>
            <w:tcW w:w="1933" w:type="dxa"/>
            <w:vAlign w:val="bottom"/>
          </w:tcPr>
          <w:p w:rsidR="00F92819" w:rsidRDefault="0081365B">
            <w:pPr>
              <w:spacing w:before="40" w:after="40" w:line="220" w:lineRule="exact"/>
              <w:rPr>
                <w:szCs w:val="24"/>
              </w:rPr>
            </w:pPr>
            <w:r>
              <w:rPr>
                <w:sz w:val="18"/>
                <w:szCs w:val="24"/>
                <w:lang w:val="es-ES_tradnl"/>
              </w:rPr>
              <w:t>porcentaje</w:t>
            </w:r>
            <w:r w:rsidR="00F92819">
              <w:rPr>
                <w:sz w:val="18"/>
                <w:szCs w:val="24"/>
                <w:lang w:val="es-ES_tradnl"/>
              </w:rPr>
              <w:t xml:space="preserve"> de chicos</w:t>
            </w:r>
          </w:p>
        </w:tc>
        <w:tc>
          <w:tcPr>
            <w:tcW w:w="839" w:type="dxa"/>
            <w:vAlign w:val="bottom"/>
          </w:tcPr>
          <w:p w:rsidR="00F92819" w:rsidRDefault="00F92819">
            <w:pPr>
              <w:spacing w:before="40" w:after="40" w:line="220" w:lineRule="exact"/>
              <w:jc w:val="right"/>
              <w:rPr>
                <w:sz w:val="18"/>
                <w:szCs w:val="24"/>
              </w:rPr>
            </w:pPr>
            <w:r>
              <w:rPr>
                <w:sz w:val="18"/>
                <w:szCs w:val="24"/>
              </w:rPr>
              <w:t>8,5</w:t>
            </w:r>
          </w:p>
        </w:tc>
        <w:tc>
          <w:tcPr>
            <w:tcW w:w="839" w:type="dxa"/>
            <w:vAlign w:val="bottom"/>
          </w:tcPr>
          <w:p w:rsidR="00F92819" w:rsidRDefault="00F92819">
            <w:pPr>
              <w:spacing w:before="40" w:after="40" w:line="220" w:lineRule="exact"/>
              <w:jc w:val="right"/>
              <w:rPr>
                <w:sz w:val="18"/>
                <w:szCs w:val="24"/>
              </w:rPr>
            </w:pPr>
            <w:r>
              <w:rPr>
                <w:sz w:val="18"/>
                <w:szCs w:val="24"/>
              </w:rPr>
              <w:t>8,3</w:t>
            </w:r>
          </w:p>
        </w:tc>
        <w:tc>
          <w:tcPr>
            <w:tcW w:w="840" w:type="dxa"/>
            <w:vAlign w:val="bottom"/>
          </w:tcPr>
          <w:p w:rsidR="00F92819" w:rsidRDefault="00F92819">
            <w:pPr>
              <w:spacing w:before="40" w:after="40" w:line="220" w:lineRule="exact"/>
              <w:jc w:val="right"/>
              <w:rPr>
                <w:sz w:val="18"/>
                <w:szCs w:val="24"/>
              </w:rPr>
            </w:pPr>
            <w:r>
              <w:rPr>
                <w:sz w:val="18"/>
                <w:szCs w:val="24"/>
              </w:rPr>
              <w:t>7,9</w:t>
            </w:r>
          </w:p>
        </w:tc>
        <w:tc>
          <w:tcPr>
            <w:tcW w:w="830" w:type="dxa"/>
            <w:vAlign w:val="bottom"/>
          </w:tcPr>
          <w:p w:rsidR="00F92819" w:rsidRDefault="00F92819">
            <w:pPr>
              <w:spacing w:before="40" w:after="40" w:line="220" w:lineRule="exact"/>
              <w:jc w:val="right"/>
              <w:rPr>
                <w:sz w:val="18"/>
                <w:szCs w:val="24"/>
              </w:rPr>
            </w:pPr>
            <w:r>
              <w:rPr>
                <w:sz w:val="18"/>
                <w:szCs w:val="24"/>
              </w:rPr>
              <w:t>9,5</w:t>
            </w:r>
          </w:p>
        </w:tc>
        <w:tc>
          <w:tcPr>
            <w:tcW w:w="840" w:type="dxa"/>
            <w:vAlign w:val="bottom"/>
          </w:tcPr>
          <w:p w:rsidR="00F92819" w:rsidRDefault="00F92819">
            <w:pPr>
              <w:spacing w:before="40" w:after="40" w:line="220" w:lineRule="exact"/>
              <w:jc w:val="right"/>
              <w:rPr>
                <w:sz w:val="18"/>
                <w:szCs w:val="24"/>
              </w:rPr>
            </w:pPr>
            <w:r>
              <w:rPr>
                <w:sz w:val="18"/>
                <w:szCs w:val="24"/>
              </w:rPr>
              <w:t>8,4</w:t>
            </w:r>
          </w:p>
        </w:tc>
        <w:tc>
          <w:tcPr>
            <w:tcW w:w="839" w:type="dxa"/>
            <w:vAlign w:val="bottom"/>
          </w:tcPr>
          <w:p w:rsidR="00F92819" w:rsidRDefault="00F92819">
            <w:pPr>
              <w:spacing w:before="40" w:after="40" w:line="220" w:lineRule="exact"/>
              <w:jc w:val="right"/>
              <w:rPr>
                <w:sz w:val="18"/>
                <w:szCs w:val="24"/>
              </w:rPr>
            </w:pPr>
            <w:r>
              <w:rPr>
                <w:sz w:val="18"/>
                <w:szCs w:val="24"/>
              </w:rPr>
              <w:t>9,6</w:t>
            </w:r>
          </w:p>
        </w:tc>
        <w:tc>
          <w:tcPr>
            <w:tcW w:w="840" w:type="dxa"/>
            <w:vAlign w:val="bottom"/>
          </w:tcPr>
          <w:p w:rsidR="00F92819" w:rsidRDefault="00F92819">
            <w:pPr>
              <w:spacing w:before="40" w:after="40" w:line="220" w:lineRule="exact"/>
              <w:jc w:val="right"/>
              <w:rPr>
                <w:sz w:val="18"/>
                <w:szCs w:val="24"/>
              </w:rPr>
            </w:pPr>
            <w:r>
              <w:rPr>
                <w:sz w:val="18"/>
                <w:szCs w:val="24"/>
              </w:rPr>
              <w:t>7,5</w:t>
            </w:r>
          </w:p>
        </w:tc>
        <w:tc>
          <w:tcPr>
            <w:tcW w:w="839" w:type="dxa"/>
            <w:vAlign w:val="bottom"/>
          </w:tcPr>
          <w:p w:rsidR="00F92819" w:rsidRDefault="00F92819">
            <w:pPr>
              <w:spacing w:before="40" w:after="40" w:line="220" w:lineRule="exact"/>
              <w:jc w:val="right"/>
              <w:rPr>
                <w:sz w:val="18"/>
                <w:szCs w:val="24"/>
              </w:rPr>
            </w:pPr>
            <w:r>
              <w:rPr>
                <w:sz w:val="18"/>
                <w:szCs w:val="24"/>
              </w:rPr>
              <w:t>9,3</w:t>
            </w:r>
          </w:p>
        </w:tc>
      </w:tr>
      <w:tr w:rsidR="00F92819">
        <w:tc>
          <w:tcPr>
            <w:tcW w:w="1000" w:type="dxa"/>
            <w:vAlign w:val="bottom"/>
          </w:tcPr>
          <w:p w:rsidR="00F92819" w:rsidRDefault="00F92819">
            <w:pPr>
              <w:spacing w:before="40" w:after="40" w:line="220" w:lineRule="exact"/>
              <w:rPr>
                <w:sz w:val="18"/>
                <w:szCs w:val="24"/>
              </w:rPr>
            </w:pPr>
          </w:p>
        </w:tc>
        <w:tc>
          <w:tcPr>
            <w:tcW w:w="1933" w:type="dxa"/>
            <w:tcBorders>
              <w:bottom w:val="single" w:sz="4" w:space="0" w:color="auto"/>
            </w:tcBorders>
            <w:vAlign w:val="bottom"/>
          </w:tcPr>
          <w:p w:rsidR="00F92819" w:rsidRDefault="0081365B">
            <w:pPr>
              <w:spacing w:before="40" w:after="40" w:line="220" w:lineRule="exact"/>
              <w:rPr>
                <w:szCs w:val="24"/>
              </w:rPr>
            </w:pPr>
            <w:r>
              <w:rPr>
                <w:sz w:val="18"/>
                <w:szCs w:val="24"/>
                <w:lang w:val="es-ES_tradnl"/>
              </w:rPr>
              <w:t>porcentaje</w:t>
            </w:r>
            <w:r w:rsidR="00F92819">
              <w:rPr>
                <w:sz w:val="18"/>
                <w:szCs w:val="24"/>
                <w:lang w:val="es-ES_tradnl"/>
              </w:rPr>
              <w:t xml:space="preserve"> de chicas</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3,5</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3,2</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2,7</w:t>
            </w:r>
          </w:p>
        </w:tc>
        <w:tc>
          <w:tcPr>
            <w:tcW w:w="83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2,9</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4,7</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4,0</w:t>
            </w:r>
          </w:p>
        </w:tc>
        <w:tc>
          <w:tcPr>
            <w:tcW w:w="840"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3,3</w:t>
            </w:r>
          </w:p>
        </w:tc>
        <w:tc>
          <w:tcPr>
            <w:tcW w:w="839" w:type="dxa"/>
            <w:tcBorders>
              <w:bottom w:val="single" w:sz="4" w:space="0" w:color="auto"/>
            </w:tcBorders>
            <w:vAlign w:val="bottom"/>
          </w:tcPr>
          <w:p w:rsidR="00F92819" w:rsidRDefault="00F92819">
            <w:pPr>
              <w:spacing w:before="40" w:after="40" w:line="220" w:lineRule="exact"/>
              <w:jc w:val="right"/>
              <w:rPr>
                <w:sz w:val="18"/>
                <w:szCs w:val="24"/>
              </w:rPr>
            </w:pPr>
            <w:r>
              <w:rPr>
                <w:sz w:val="18"/>
                <w:szCs w:val="24"/>
              </w:rPr>
              <w:t>3,5</w:t>
            </w:r>
          </w:p>
        </w:tc>
      </w:tr>
      <w:tr w:rsidR="00F92819">
        <w:tc>
          <w:tcPr>
            <w:tcW w:w="1000" w:type="dxa"/>
            <w:vAlign w:val="bottom"/>
          </w:tcPr>
          <w:p w:rsidR="00F92819" w:rsidRDefault="00F92819">
            <w:pPr>
              <w:spacing w:before="80" w:after="80" w:line="220" w:lineRule="exact"/>
              <w:rPr>
                <w:szCs w:val="24"/>
              </w:rPr>
            </w:pPr>
            <w:r>
              <w:rPr>
                <w:sz w:val="18"/>
                <w:szCs w:val="24"/>
                <w:lang w:val="es-ES_tradnl"/>
              </w:rPr>
              <w:t>12º grado</w:t>
            </w:r>
          </w:p>
        </w:tc>
        <w:tc>
          <w:tcPr>
            <w:tcW w:w="1933" w:type="dxa"/>
            <w:tcBorders>
              <w:top w:val="single" w:sz="4" w:space="0" w:color="auto"/>
              <w:bottom w:val="single" w:sz="4" w:space="0" w:color="auto"/>
            </w:tcBorders>
            <w:vAlign w:val="bottom"/>
          </w:tcPr>
          <w:p w:rsidR="00F92819" w:rsidRDefault="00F92819">
            <w:pPr>
              <w:spacing w:before="80" w:after="80" w:line="220" w:lineRule="exact"/>
              <w:rPr>
                <w:szCs w:val="24"/>
              </w:rPr>
            </w:pPr>
            <w:r>
              <w:rPr>
                <w:b/>
                <w:sz w:val="18"/>
                <w:szCs w:val="24"/>
              </w:rPr>
              <w:t xml:space="preserve">6. </w:t>
            </w:r>
            <w:r>
              <w:rPr>
                <w:b/>
                <w:sz w:val="18"/>
                <w:szCs w:val="24"/>
                <w:lang w:val="es-ES_tradnl"/>
              </w:rPr>
              <w:t>Total</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85 969</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82 839</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83 021</w:t>
            </w:r>
          </w:p>
        </w:tc>
        <w:tc>
          <w:tcPr>
            <w:tcW w:w="83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83 782</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17 606</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17 940</w:t>
            </w:r>
          </w:p>
        </w:tc>
        <w:tc>
          <w:tcPr>
            <w:tcW w:w="840"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19 274</w:t>
            </w:r>
          </w:p>
        </w:tc>
        <w:tc>
          <w:tcPr>
            <w:tcW w:w="839" w:type="dxa"/>
            <w:tcBorders>
              <w:top w:val="single" w:sz="4" w:space="0" w:color="auto"/>
              <w:bottom w:val="single" w:sz="4" w:space="0" w:color="auto"/>
            </w:tcBorders>
            <w:vAlign w:val="bottom"/>
          </w:tcPr>
          <w:p w:rsidR="00F92819" w:rsidRDefault="00F92819">
            <w:pPr>
              <w:spacing w:before="80" w:after="80" w:line="220" w:lineRule="exact"/>
              <w:jc w:val="right"/>
              <w:rPr>
                <w:b/>
                <w:sz w:val="18"/>
                <w:szCs w:val="24"/>
              </w:rPr>
            </w:pPr>
            <w:r>
              <w:rPr>
                <w:b/>
                <w:sz w:val="18"/>
                <w:szCs w:val="24"/>
              </w:rPr>
              <w:t>21 866</w:t>
            </w:r>
          </w:p>
        </w:tc>
      </w:tr>
      <w:tr w:rsidR="00F92819">
        <w:tc>
          <w:tcPr>
            <w:tcW w:w="1000" w:type="dxa"/>
            <w:vAlign w:val="bottom"/>
          </w:tcPr>
          <w:p w:rsidR="00F92819" w:rsidRDefault="00F92819">
            <w:pPr>
              <w:spacing w:before="40" w:after="40" w:line="220" w:lineRule="exact"/>
              <w:rPr>
                <w:sz w:val="18"/>
                <w:szCs w:val="24"/>
              </w:rPr>
            </w:pPr>
          </w:p>
        </w:tc>
        <w:tc>
          <w:tcPr>
            <w:tcW w:w="1933" w:type="dxa"/>
            <w:tcBorders>
              <w:top w:val="single" w:sz="4" w:space="0" w:color="auto"/>
            </w:tcBorders>
            <w:vAlign w:val="bottom"/>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sidR="0081365B">
              <w:rPr>
                <w:sz w:val="18"/>
                <w:szCs w:val="24"/>
                <w:lang w:val="es-ES_tradnl"/>
              </w:rPr>
              <w:t>porcentaje</w:t>
            </w:r>
            <w:r>
              <w:rPr>
                <w:sz w:val="18"/>
                <w:szCs w:val="24"/>
                <w:lang w:val="es-ES_tradnl"/>
              </w:rPr>
              <w:t xml:space="preserve"> de abandono del sistema educativo</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1,7</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1,8</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1,7</w:t>
            </w:r>
          </w:p>
        </w:tc>
        <w:tc>
          <w:tcPr>
            <w:tcW w:w="83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1,7</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1,2</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1,9</w:t>
            </w:r>
          </w:p>
        </w:tc>
        <w:tc>
          <w:tcPr>
            <w:tcW w:w="840"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1,9</w:t>
            </w:r>
          </w:p>
        </w:tc>
        <w:tc>
          <w:tcPr>
            <w:tcW w:w="839" w:type="dxa"/>
            <w:tcBorders>
              <w:top w:val="single" w:sz="4" w:space="0" w:color="auto"/>
            </w:tcBorders>
            <w:vAlign w:val="bottom"/>
          </w:tcPr>
          <w:p w:rsidR="00F92819" w:rsidRDefault="00F92819">
            <w:pPr>
              <w:spacing w:before="40" w:after="40" w:line="220" w:lineRule="exact"/>
              <w:jc w:val="right"/>
              <w:rPr>
                <w:sz w:val="18"/>
                <w:szCs w:val="24"/>
              </w:rPr>
            </w:pPr>
            <w:r>
              <w:rPr>
                <w:sz w:val="18"/>
                <w:szCs w:val="24"/>
              </w:rPr>
              <w:t>1,7</w:t>
            </w:r>
          </w:p>
        </w:tc>
      </w:tr>
      <w:tr w:rsidR="00F92819">
        <w:tc>
          <w:tcPr>
            <w:tcW w:w="1000" w:type="dxa"/>
            <w:vAlign w:val="bottom"/>
          </w:tcPr>
          <w:p w:rsidR="00F92819" w:rsidRDefault="00F92819">
            <w:pPr>
              <w:spacing w:before="40" w:after="40" w:line="220" w:lineRule="exact"/>
              <w:rPr>
                <w:sz w:val="18"/>
                <w:szCs w:val="24"/>
              </w:rPr>
            </w:pPr>
          </w:p>
        </w:tc>
        <w:tc>
          <w:tcPr>
            <w:tcW w:w="1933" w:type="dxa"/>
            <w:vAlign w:val="bottom"/>
          </w:tcPr>
          <w:p w:rsidR="00F92819" w:rsidRDefault="0081365B">
            <w:pPr>
              <w:spacing w:before="40" w:after="40" w:line="220" w:lineRule="exact"/>
              <w:rPr>
                <w:szCs w:val="24"/>
              </w:rPr>
            </w:pPr>
            <w:r>
              <w:rPr>
                <w:sz w:val="18"/>
                <w:szCs w:val="24"/>
                <w:lang w:val="es-ES_tradnl"/>
              </w:rPr>
              <w:t>porcentaje</w:t>
            </w:r>
            <w:r w:rsidR="00F92819">
              <w:rPr>
                <w:sz w:val="18"/>
                <w:szCs w:val="24"/>
                <w:lang w:val="es-ES_tradnl"/>
              </w:rPr>
              <w:t xml:space="preserve"> de chicos</w:t>
            </w:r>
          </w:p>
        </w:tc>
        <w:tc>
          <w:tcPr>
            <w:tcW w:w="839" w:type="dxa"/>
            <w:vAlign w:val="bottom"/>
          </w:tcPr>
          <w:p w:rsidR="00F92819" w:rsidRDefault="00F92819">
            <w:pPr>
              <w:spacing w:before="40" w:after="40" w:line="220" w:lineRule="exact"/>
              <w:jc w:val="right"/>
              <w:rPr>
                <w:sz w:val="18"/>
                <w:szCs w:val="24"/>
              </w:rPr>
            </w:pPr>
            <w:r>
              <w:rPr>
                <w:sz w:val="18"/>
                <w:szCs w:val="24"/>
              </w:rPr>
              <w:t>2,6</w:t>
            </w:r>
          </w:p>
        </w:tc>
        <w:tc>
          <w:tcPr>
            <w:tcW w:w="839" w:type="dxa"/>
            <w:vAlign w:val="bottom"/>
          </w:tcPr>
          <w:p w:rsidR="00F92819" w:rsidRDefault="00F92819">
            <w:pPr>
              <w:spacing w:before="40" w:after="40" w:line="220" w:lineRule="exact"/>
              <w:jc w:val="right"/>
              <w:rPr>
                <w:sz w:val="18"/>
                <w:szCs w:val="24"/>
              </w:rPr>
            </w:pPr>
            <w:r>
              <w:rPr>
                <w:sz w:val="18"/>
                <w:szCs w:val="24"/>
              </w:rPr>
              <w:t>2,6</w:t>
            </w:r>
          </w:p>
        </w:tc>
        <w:tc>
          <w:tcPr>
            <w:tcW w:w="840" w:type="dxa"/>
            <w:vAlign w:val="bottom"/>
          </w:tcPr>
          <w:p w:rsidR="00F92819" w:rsidRDefault="00F92819">
            <w:pPr>
              <w:spacing w:before="40" w:after="40" w:line="220" w:lineRule="exact"/>
              <w:jc w:val="right"/>
              <w:rPr>
                <w:sz w:val="18"/>
                <w:szCs w:val="24"/>
              </w:rPr>
            </w:pPr>
            <w:r>
              <w:rPr>
                <w:sz w:val="18"/>
                <w:szCs w:val="24"/>
              </w:rPr>
              <w:t>2,5</w:t>
            </w:r>
          </w:p>
        </w:tc>
        <w:tc>
          <w:tcPr>
            <w:tcW w:w="830" w:type="dxa"/>
            <w:vAlign w:val="bottom"/>
          </w:tcPr>
          <w:p w:rsidR="00F92819" w:rsidRDefault="00F92819">
            <w:pPr>
              <w:spacing w:before="40" w:after="40" w:line="220" w:lineRule="exact"/>
              <w:jc w:val="right"/>
              <w:rPr>
                <w:sz w:val="18"/>
                <w:szCs w:val="24"/>
              </w:rPr>
            </w:pPr>
            <w:r>
              <w:rPr>
                <w:sz w:val="18"/>
                <w:szCs w:val="24"/>
              </w:rPr>
              <w:t>2,6</w:t>
            </w:r>
          </w:p>
        </w:tc>
        <w:tc>
          <w:tcPr>
            <w:tcW w:w="840" w:type="dxa"/>
            <w:vAlign w:val="bottom"/>
          </w:tcPr>
          <w:p w:rsidR="00F92819" w:rsidRDefault="00F92819">
            <w:pPr>
              <w:spacing w:before="40" w:after="40" w:line="220" w:lineRule="exact"/>
              <w:jc w:val="right"/>
              <w:rPr>
                <w:sz w:val="18"/>
                <w:szCs w:val="24"/>
              </w:rPr>
            </w:pPr>
            <w:r>
              <w:rPr>
                <w:sz w:val="18"/>
                <w:szCs w:val="24"/>
              </w:rPr>
              <w:t>2,3</w:t>
            </w:r>
          </w:p>
        </w:tc>
        <w:tc>
          <w:tcPr>
            <w:tcW w:w="839" w:type="dxa"/>
            <w:vAlign w:val="bottom"/>
          </w:tcPr>
          <w:p w:rsidR="00F92819" w:rsidRDefault="00F92819">
            <w:pPr>
              <w:spacing w:before="40" w:after="40" w:line="220" w:lineRule="exact"/>
              <w:jc w:val="right"/>
              <w:rPr>
                <w:sz w:val="18"/>
                <w:szCs w:val="24"/>
              </w:rPr>
            </w:pPr>
            <w:r>
              <w:rPr>
                <w:sz w:val="18"/>
                <w:szCs w:val="24"/>
              </w:rPr>
              <w:t>2,2</w:t>
            </w:r>
          </w:p>
        </w:tc>
        <w:tc>
          <w:tcPr>
            <w:tcW w:w="840" w:type="dxa"/>
            <w:vAlign w:val="bottom"/>
          </w:tcPr>
          <w:p w:rsidR="00F92819" w:rsidRDefault="00F92819">
            <w:pPr>
              <w:spacing w:before="40" w:after="40" w:line="220" w:lineRule="exact"/>
              <w:jc w:val="right"/>
              <w:rPr>
                <w:sz w:val="18"/>
                <w:szCs w:val="24"/>
              </w:rPr>
            </w:pPr>
            <w:r>
              <w:rPr>
                <w:sz w:val="18"/>
                <w:szCs w:val="24"/>
              </w:rPr>
              <w:t>2,4</w:t>
            </w:r>
          </w:p>
        </w:tc>
        <w:tc>
          <w:tcPr>
            <w:tcW w:w="839" w:type="dxa"/>
            <w:vAlign w:val="bottom"/>
          </w:tcPr>
          <w:p w:rsidR="00F92819" w:rsidRDefault="00F92819">
            <w:pPr>
              <w:spacing w:before="40" w:after="40" w:line="220" w:lineRule="exact"/>
              <w:jc w:val="right"/>
              <w:rPr>
                <w:sz w:val="18"/>
                <w:szCs w:val="24"/>
              </w:rPr>
            </w:pPr>
            <w:r>
              <w:rPr>
                <w:sz w:val="18"/>
                <w:szCs w:val="24"/>
              </w:rPr>
              <w:t>2,2</w:t>
            </w:r>
          </w:p>
        </w:tc>
      </w:tr>
      <w:tr w:rsidR="00F92819">
        <w:tc>
          <w:tcPr>
            <w:tcW w:w="1000" w:type="dxa"/>
            <w:tcBorders>
              <w:bottom w:val="single" w:sz="12" w:space="0" w:color="auto"/>
            </w:tcBorders>
            <w:vAlign w:val="bottom"/>
          </w:tcPr>
          <w:p w:rsidR="00F92819" w:rsidRDefault="00F92819">
            <w:pPr>
              <w:spacing w:before="40" w:after="40" w:line="220" w:lineRule="exact"/>
              <w:rPr>
                <w:sz w:val="18"/>
                <w:szCs w:val="24"/>
              </w:rPr>
            </w:pPr>
          </w:p>
        </w:tc>
        <w:tc>
          <w:tcPr>
            <w:tcW w:w="1933" w:type="dxa"/>
            <w:tcBorders>
              <w:bottom w:val="single" w:sz="12" w:space="0" w:color="auto"/>
            </w:tcBorders>
            <w:vAlign w:val="bottom"/>
          </w:tcPr>
          <w:p w:rsidR="00F92819" w:rsidRDefault="00F92819">
            <w:pPr>
              <w:spacing w:before="40" w:after="40" w:line="220" w:lineRule="exact"/>
              <w:rPr>
                <w:szCs w:val="24"/>
              </w:rPr>
            </w:pPr>
            <w:r>
              <w:rPr>
                <w:sz w:val="18"/>
                <w:szCs w:val="24"/>
              </w:rPr>
              <w:t xml:space="preserve">7. </w:t>
            </w:r>
            <w:r w:rsidR="0081365B">
              <w:rPr>
                <w:sz w:val="18"/>
                <w:szCs w:val="24"/>
                <w:lang w:val="es-ES_tradnl"/>
              </w:rPr>
              <w:t>porcentaje</w:t>
            </w:r>
            <w:r>
              <w:rPr>
                <w:sz w:val="18"/>
                <w:szCs w:val="24"/>
                <w:lang w:val="es-ES_tradnl"/>
              </w:rPr>
              <w:t xml:space="preserve"> de chicas</w:t>
            </w:r>
          </w:p>
        </w:tc>
        <w:tc>
          <w:tcPr>
            <w:tcW w:w="83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0,9</w:t>
            </w:r>
          </w:p>
        </w:tc>
        <w:tc>
          <w:tcPr>
            <w:tcW w:w="83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0,9</w:t>
            </w:r>
          </w:p>
        </w:tc>
        <w:tc>
          <w:tcPr>
            <w:tcW w:w="84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0,8</w:t>
            </w:r>
          </w:p>
        </w:tc>
        <w:tc>
          <w:tcPr>
            <w:tcW w:w="83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0,7</w:t>
            </w:r>
          </w:p>
        </w:tc>
        <w:tc>
          <w:tcPr>
            <w:tcW w:w="84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0,9</w:t>
            </w:r>
          </w:p>
        </w:tc>
        <w:tc>
          <w:tcPr>
            <w:tcW w:w="83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1,6</w:t>
            </w:r>
          </w:p>
        </w:tc>
        <w:tc>
          <w:tcPr>
            <w:tcW w:w="84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1,4</w:t>
            </w:r>
          </w:p>
        </w:tc>
        <w:tc>
          <w:tcPr>
            <w:tcW w:w="839"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1,3</w:t>
            </w:r>
          </w:p>
        </w:tc>
      </w:tr>
    </w:tbl>
    <w:p w:rsidR="00F92819" w:rsidRDefault="00F92819">
      <w:pPr>
        <w:spacing w:before="120" w:after="240"/>
        <w:ind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pStyle w:val="H23G"/>
        <w:rPr>
          <w:szCs w:val="24"/>
        </w:rPr>
      </w:pPr>
      <w:r>
        <w:rPr>
          <w:szCs w:val="24"/>
        </w:rPr>
        <w:tab/>
      </w:r>
      <w:r>
        <w:rPr>
          <w:szCs w:val="24"/>
        </w:rPr>
        <w:tab/>
      </w:r>
      <w:r>
        <w:rPr>
          <w:szCs w:val="24"/>
          <w:lang w:val="es-ES_tradnl"/>
        </w:rPr>
        <w:t>Tasas de graduación a todos los niveles</w:t>
      </w:r>
    </w:p>
    <w:p w:rsidR="00F92819" w:rsidRDefault="00F92819">
      <w:pPr>
        <w:pStyle w:val="SingleTxtG"/>
        <w:tabs>
          <w:tab w:val="num" w:pos="1600"/>
        </w:tabs>
        <w:ind w:left="1100"/>
        <w:rPr>
          <w:szCs w:val="24"/>
        </w:rPr>
      </w:pPr>
      <w:r>
        <w:rPr>
          <w:szCs w:val="24"/>
        </w:rPr>
        <w:t>567.</w:t>
      </w:r>
      <w:r>
        <w:rPr>
          <w:szCs w:val="24"/>
        </w:rPr>
        <w:tab/>
      </w:r>
      <w:r>
        <w:rPr>
          <w:szCs w:val="24"/>
          <w:lang w:val="es-ES_tradnl"/>
        </w:rPr>
        <w:t>El cuadro siguiente muestra el porcentaje de alumnos con derecho a matriculación tras su graduación de la escuela secundaria y la proporción entre los que satisfacen los requisitos para la matriculación y los que no satisfacen esos requisitos (separados por grupo de población y por género).</w:t>
      </w:r>
    </w:p>
    <w:p w:rsidR="00F92819" w:rsidRDefault="00F92819">
      <w:pPr>
        <w:pStyle w:val="Heading1"/>
        <w:spacing w:before="240"/>
        <w:rPr>
          <w:szCs w:val="24"/>
        </w:rPr>
      </w:pPr>
      <w:r>
        <w:rPr>
          <w:szCs w:val="24"/>
          <w:lang w:val="es-ES_tradnl"/>
        </w:rPr>
        <w:t>Cuadro 41</w:t>
      </w:r>
    </w:p>
    <w:p w:rsidR="00F92819" w:rsidRDefault="00F92819">
      <w:pPr>
        <w:pStyle w:val="SingleTxtG"/>
        <w:jc w:val="left"/>
        <w:rPr>
          <w:b/>
          <w:szCs w:val="24"/>
        </w:rPr>
      </w:pPr>
      <w:r>
        <w:rPr>
          <w:b/>
          <w:szCs w:val="24"/>
          <w:lang w:val="es-ES_tradnl"/>
        </w:rPr>
        <w:t>Alumnos que efectuaron un examen de matrícula y obtuvieron un certificado, 2006</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474"/>
        <w:gridCol w:w="1220"/>
        <w:gridCol w:w="1728"/>
        <w:gridCol w:w="1248"/>
        <w:gridCol w:w="1700"/>
      </w:tblGrid>
      <w:tr w:rsidR="00F92819">
        <w:trPr>
          <w:trHeight w:val="180"/>
          <w:tblHeader/>
        </w:trPr>
        <w:tc>
          <w:tcPr>
            <w:tcW w:w="1474" w:type="dxa"/>
            <w:vMerge w:val="restart"/>
            <w:tcBorders>
              <w:top w:val="single" w:sz="4" w:space="0" w:color="auto"/>
            </w:tcBorders>
            <w:vAlign w:val="bottom"/>
          </w:tcPr>
          <w:p w:rsidR="00F92819" w:rsidRDefault="00F92819">
            <w:pPr>
              <w:spacing w:before="80" w:after="80" w:line="200" w:lineRule="exact"/>
              <w:rPr>
                <w:i/>
                <w:sz w:val="16"/>
                <w:szCs w:val="24"/>
              </w:rPr>
            </w:pPr>
          </w:p>
        </w:tc>
        <w:tc>
          <w:tcPr>
            <w:tcW w:w="2948" w:type="dxa"/>
            <w:gridSpan w:val="2"/>
            <w:tcBorders>
              <w:top w:val="single" w:sz="4" w:space="0" w:color="auto"/>
              <w:bottom w:val="single" w:sz="4" w:space="0" w:color="auto"/>
              <w:right w:val="single" w:sz="24" w:space="0" w:color="FFFFFF"/>
            </w:tcBorders>
            <w:vAlign w:val="bottom"/>
          </w:tcPr>
          <w:p w:rsidR="00F92819" w:rsidRDefault="00F92819">
            <w:pPr>
              <w:spacing w:before="80" w:after="80" w:line="200" w:lineRule="exact"/>
              <w:jc w:val="center"/>
              <w:rPr>
                <w:szCs w:val="24"/>
              </w:rPr>
            </w:pPr>
            <w:r>
              <w:rPr>
                <w:i/>
                <w:sz w:val="16"/>
                <w:szCs w:val="24"/>
                <w:lang w:val="es-ES_tradnl"/>
              </w:rPr>
              <w:t>Examinados</w:t>
            </w:r>
          </w:p>
        </w:tc>
        <w:tc>
          <w:tcPr>
            <w:tcW w:w="2948" w:type="dxa"/>
            <w:gridSpan w:val="2"/>
            <w:tcBorders>
              <w:top w:val="single" w:sz="4" w:space="0" w:color="auto"/>
              <w:left w:val="single" w:sz="24" w:space="0" w:color="FFFFFF"/>
              <w:bottom w:val="single" w:sz="4" w:space="0" w:color="auto"/>
            </w:tcBorders>
            <w:vAlign w:val="bottom"/>
          </w:tcPr>
          <w:p w:rsidR="00F92819" w:rsidRDefault="00F92819">
            <w:pPr>
              <w:spacing w:before="80" w:after="80" w:line="200" w:lineRule="exact"/>
              <w:jc w:val="center"/>
              <w:rPr>
                <w:szCs w:val="24"/>
              </w:rPr>
            </w:pPr>
            <w:r>
              <w:rPr>
                <w:i/>
                <w:sz w:val="16"/>
                <w:szCs w:val="24"/>
                <w:lang w:val="es-ES_tradnl"/>
              </w:rPr>
              <w:t>Obtuvieron un certificado</w:t>
            </w:r>
          </w:p>
        </w:tc>
      </w:tr>
      <w:tr w:rsidR="00F92819">
        <w:trPr>
          <w:trHeight w:val="180"/>
          <w:tblHeader/>
        </w:trPr>
        <w:tc>
          <w:tcPr>
            <w:tcW w:w="1474" w:type="dxa"/>
            <w:vMerge/>
            <w:tcBorders>
              <w:bottom w:val="single" w:sz="12" w:space="0" w:color="auto"/>
            </w:tcBorders>
            <w:vAlign w:val="bottom"/>
          </w:tcPr>
          <w:p w:rsidR="00F92819" w:rsidRDefault="00F92819">
            <w:pPr>
              <w:spacing w:before="80" w:after="80" w:line="200" w:lineRule="exact"/>
              <w:rPr>
                <w:i/>
                <w:sz w:val="16"/>
                <w:szCs w:val="24"/>
              </w:rPr>
            </w:pPr>
          </w:p>
        </w:tc>
        <w:tc>
          <w:tcPr>
            <w:tcW w:w="1220" w:type="dxa"/>
            <w:tcBorders>
              <w:top w:val="single" w:sz="4" w:space="0" w:color="auto"/>
              <w:bottom w:val="single" w:sz="12" w:space="0" w:color="auto"/>
            </w:tcBorders>
            <w:vAlign w:val="bottom"/>
          </w:tcPr>
          <w:p w:rsidR="00F92819" w:rsidRDefault="00F92819">
            <w:pPr>
              <w:spacing w:before="80" w:after="80" w:line="200" w:lineRule="exact"/>
              <w:jc w:val="right"/>
              <w:rPr>
                <w:szCs w:val="24"/>
              </w:rPr>
            </w:pPr>
            <w:r>
              <w:rPr>
                <w:b/>
                <w:i/>
                <w:sz w:val="16"/>
                <w:szCs w:val="24"/>
                <w:lang w:val="es-ES_tradnl"/>
              </w:rPr>
              <w:t>Total</w:t>
            </w:r>
          </w:p>
        </w:tc>
        <w:tc>
          <w:tcPr>
            <w:tcW w:w="1728" w:type="dxa"/>
            <w:tcBorders>
              <w:top w:val="single" w:sz="4" w:space="0" w:color="auto"/>
              <w:bottom w:val="single" w:sz="12" w:space="0" w:color="auto"/>
              <w:right w:val="single" w:sz="24" w:space="0" w:color="FFFFFF"/>
            </w:tcBorders>
            <w:vAlign w:val="bottom"/>
          </w:tcPr>
          <w:p w:rsidR="00F92819" w:rsidRDefault="0081365B">
            <w:pPr>
              <w:spacing w:before="80" w:after="80" w:line="200" w:lineRule="exact"/>
              <w:jc w:val="right"/>
              <w:rPr>
                <w:szCs w:val="24"/>
              </w:rPr>
            </w:pPr>
            <w:r>
              <w:rPr>
                <w:i/>
                <w:sz w:val="16"/>
                <w:szCs w:val="24"/>
                <w:lang w:val="es-ES_tradnl"/>
              </w:rPr>
              <w:t xml:space="preserve">Porcentaje </w:t>
            </w:r>
            <w:r w:rsidR="00F92819">
              <w:rPr>
                <w:i/>
                <w:sz w:val="16"/>
                <w:szCs w:val="24"/>
                <w:lang w:val="es-ES_tradnl"/>
              </w:rPr>
              <w:t>de alumnos en el 12º grado</w:t>
            </w:r>
          </w:p>
        </w:tc>
        <w:tc>
          <w:tcPr>
            <w:tcW w:w="1248" w:type="dxa"/>
            <w:tcBorders>
              <w:top w:val="single" w:sz="4" w:space="0" w:color="auto"/>
              <w:left w:val="single" w:sz="24" w:space="0" w:color="FFFFFF"/>
              <w:bottom w:val="single" w:sz="12" w:space="0" w:color="auto"/>
            </w:tcBorders>
            <w:vAlign w:val="bottom"/>
          </w:tcPr>
          <w:p w:rsidR="00F92819" w:rsidRDefault="00F92819">
            <w:pPr>
              <w:spacing w:before="80" w:after="80" w:line="200" w:lineRule="exact"/>
              <w:jc w:val="right"/>
              <w:rPr>
                <w:szCs w:val="24"/>
              </w:rPr>
            </w:pPr>
            <w:r>
              <w:rPr>
                <w:b/>
                <w:i/>
                <w:sz w:val="16"/>
                <w:szCs w:val="24"/>
                <w:lang w:val="es-ES_tradnl"/>
              </w:rPr>
              <w:t>Total</w:t>
            </w:r>
          </w:p>
        </w:tc>
        <w:tc>
          <w:tcPr>
            <w:tcW w:w="1700" w:type="dxa"/>
            <w:tcBorders>
              <w:top w:val="single" w:sz="4" w:space="0" w:color="auto"/>
              <w:bottom w:val="single" w:sz="12" w:space="0" w:color="auto"/>
            </w:tcBorders>
            <w:vAlign w:val="bottom"/>
          </w:tcPr>
          <w:p w:rsidR="00F92819" w:rsidRDefault="0081365B">
            <w:pPr>
              <w:spacing w:before="80" w:after="80" w:line="200" w:lineRule="exact"/>
              <w:jc w:val="right"/>
              <w:rPr>
                <w:szCs w:val="24"/>
              </w:rPr>
            </w:pPr>
            <w:r>
              <w:rPr>
                <w:i/>
                <w:sz w:val="16"/>
                <w:szCs w:val="24"/>
                <w:lang w:val="es-ES_tradnl"/>
              </w:rPr>
              <w:t xml:space="preserve">Porcentaje </w:t>
            </w:r>
            <w:r w:rsidR="00F92819">
              <w:rPr>
                <w:i/>
                <w:sz w:val="16"/>
                <w:szCs w:val="24"/>
                <w:lang w:val="es-ES_tradnl"/>
              </w:rPr>
              <w:t>de alumnos en el</w:t>
            </w:r>
            <w:r>
              <w:rPr>
                <w:i/>
                <w:sz w:val="16"/>
                <w:szCs w:val="24"/>
                <w:lang w:val="es-ES_tradnl"/>
              </w:rPr>
              <w:t xml:space="preserve"> </w:t>
            </w:r>
            <w:r w:rsidR="00F92819">
              <w:rPr>
                <w:i/>
                <w:sz w:val="16"/>
                <w:szCs w:val="24"/>
                <w:lang w:val="es-ES_tradnl"/>
              </w:rPr>
              <w:t>12º grado</w:t>
            </w:r>
          </w:p>
        </w:tc>
      </w:tr>
      <w:tr w:rsidR="00F92819">
        <w:tc>
          <w:tcPr>
            <w:tcW w:w="1474" w:type="dxa"/>
            <w:tcBorders>
              <w:top w:val="single" w:sz="12" w:space="0" w:color="auto"/>
            </w:tcBorders>
          </w:tcPr>
          <w:p w:rsidR="00F92819" w:rsidRDefault="00F92819">
            <w:pPr>
              <w:spacing w:before="40" w:after="40" w:line="220" w:lineRule="exact"/>
              <w:rPr>
                <w:szCs w:val="24"/>
              </w:rPr>
            </w:pPr>
            <w:r>
              <w:rPr>
                <w:sz w:val="18"/>
                <w:szCs w:val="24"/>
                <w:lang w:val="es-ES_tradnl"/>
              </w:rPr>
              <w:t>Enseñanza en hebreo</w:t>
            </w:r>
          </w:p>
        </w:tc>
        <w:tc>
          <w:tcPr>
            <w:tcW w:w="1220" w:type="dxa"/>
            <w:tcBorders>
              <w:top w:val="single" w:sz="12" w:space="0" w:color="auto"/>
            </w:tcBorders>
            <w:vAlign w:val="bottom"/>
          </w:tcPr>
          <w:p w:rsidR="00F92819" w:rsidRDefault="00F92819">
            <w:pPr>
              <w:spacing w:before="40" w:after="40" w:line="220" w:lineRule="exact"/>
              <w:jc w:val="right"/>
              <w:rPr>
                <w:b/>
                <w:sz w:val="18"/>
                <w:szCs w:val="24"/>
              </w:rPr>
            </w:pPr>
            <w:r>
              <w:rPr>
                <w:b/>
                <w:sz w:val="18"/>
                <w:szCs w:val="24"/>
              </w:rPr>
              <w:t>67 210</w:t>
            </w:r>
          </w:p>
        </w:tc>
        <w:tc>
          <w:tcPr>
            <w:tcW w:w="1728"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82,4</w:t>
            </w:r>
          </w:p>
        </w:tc>
        <w:tc>
          <w:tcPr>
            <w:tcW w:w="1248" w:type="dxa"/>
            <w:tcBorders>
              <w:top w:val="single" w:sz="12" w:space="0" w:color="auto"/>
            </w:tcBorders>
            <w:vAlign w:val="bottom"/>
          </w:tcPr>
          <w:p w:rsidR="00F92819" w:rsidRDefault="00F92819">
            <w:pPr>
              <w:spacing w:before="40" w:after="40" w:line="220" w:lineRule="exact"/>
              <w:jc w:val="right"/>
              <w:rPr>
                <w:b/>
                <w:sz w:val="18"/>
                <w:szCs w:val="24"/>
              </w:rPr>
            </w:pPr>
            <w:r>
              <w:rPr>
                <w:b/>
                <w:sz w:val="18"/>
                <w:szCs w:val="24"/>
              </w:rPr>
              <w:t>44 778</w:t>
            </w:r>
          </w:p>
        </w:tc>
        <w:tc>
          <w:tcPr>
            <w:tcW w:w="1700" w:type="dxa"/>
            <w:tcBorders>
              <w:top w:val="single" w:sz="12" w:space="0" w:color="auto"/>
            </w:tcBorders>
            <w:vAlign w:val="bottom"/>
          </w:tcPr>
          <w:p w:rsidR="00F92819" w:rsidRDefault="00F92819">
            <w:pPr>
              <w:spacing w:before="40" w:after="40" w:line="220" w:lineRule="exact"/>
              <w:jc w:val="right"/>
              <w:rPr>
                <w:sz w:val="18"/>
                <w:szCs w:val="24"/>
              </w:rPr>
            </w:pPr>
            <w:r>
              <w:rPr>
                <w:sz w:val="18"/>
                <w:szCs w:val="24"/>
              </w:rPr>
              <w:t>54.9</w:t>
            </w:r>
          </w:p>
        </w:tc>
      </w:tr>
      <w:tr w:rsidR="00F92819">
        <w:tc>
          <w:tcPr>
            <w:tcW w:w="1474" w:type="dxa"/>
          </w:tcPr>
          <w:p w:rsidR="00F92819" w:rsidRDefault="00F92819">
            <w:pPr>
              <w:spacing w:before="40" w:after="40" w:line="220" w:lineRule="exact"/>
              <w:rPr>
                <w:szCs w:val="24"/>
              </w:rPr>
            </w:pPr>
            <w:r>
              <w:rPr>
                <w:sz w:val="18"/>
                <w:szCs w:val="24"/>
                <w:lang w:val="es-ES_tradnl"/>
              </w:rPr>
              <w:t>Alumnos menores</w:t>
            </w:r>
          </w:p>
        </w:tc>
        <w:tc>
          <w:tcPr>
            <w:tcW w:w="1220" w:type="dxa"/>
            <w:vAlign w:val="center"/>
          </w:tcPr>
          <w:p w:rsidR="00F92819" w:rsidRDefault="00F92819">
            <w:pPr>
              <w:spacing w:before="40" w:after="40" w:line="220" w:lineRule="exact"/>
              <w:jc w:val="right"/>
              <w:rPr>
                <w:b/>
                <w:sz w:val="18"/>
                <w:szCs w:val="24"/>
              </w:rPr>
            </w:pPr>
            <w:r>
              <w:rPr>
                <w:b/>
                <w:sz w:val="18"/>
                <w:szCs w:val="24"/>
              </w:rPr>
              <w:t>31 954</w:t>
            </w:r>
          </w:p>
        </w:tc>
        <w:tc>
          <w:tcPr>
            <w:tcW w:w="1728" w:type="dxa"/>
            <w:vAlign w:val="center"/>
          </w:tcPr>
          <w:p w:rsidR="00F92819" w:rsidRDefault="00F92819">
            <w:pPr>
              <w:spacing w:before="40" w:after="40" w:line="220" w:lineRule="exact"/>
              <w:jc w:val="right"/>
              <w:rPr>
                <w:sz w:val="18"/>
                <w:szCs w:val="24"/>
              </w:rPr>
            </w:pPr>
            <w:r>
              <w:rPr>
                <w:sz w:val="18"/>
                <w:szCs w:val="24"/>
              </w:rPr>
              <w:t>80,4</w:t>
            </w:r>
          </w:p>
        </w:tc>
        <w:tc>
          <w:tcPr>
            <w:tcW w:w="1248" w:type="dxa"/>
            <w:vAlign w:val="center"/>
          </w:tcPr>
          <w:p w:rsidR="00F92819" w:rsidRDefault="00F92819">
            <w:pPr>
              <w:spacing w:before="40" w:after="40" w:line="220" w:lineRule="exact"/>
              <w:jc w:val="right"/>
              <w:rPr>
                <w:b/>
                <w:sz w:val="18"/>
                <w:szCs w:val="24"/>
              </w:rPr>
            </w:pPr>
            <w:r>
              <w:rPr>
                <w:b/>
                <w:sz w:val="18"/>
                <w:szCs w:val="24"/>
              </w:rPr>
              <w:t>19 682</w:t>
            </w:r>
          </w:p>
        </w:tc>
        <w:tc>
          <w:tcPr>
            <w:tcW w:w="1700" w:type="dxa"/>
            <w:vAlign w:val="center"/>
          </w:tcPr>
          <w:p w:rsidR="00F92819" w:rsidRDefault="00F92819">
            <w:pPr>
              <w:spacing w:before="40" w:after="40" w:line="220" w:lineRule="exact"/>
              <w:jc w:val="right"/>
              <w:rPr>
                <w:sz w:val="18"/>
                <w:szCs w:val="24"/>
              </w:rPr>
            </w:pPr>
            <w:r>
              <w:rPr>
                <w:sz w:val="18"/>
                <w:szCs w:val="24"/>
              </w:rPr>
              <w:t>49,5</w:t>
            </w:r>
          </w:p>
        </w:tc>
      </w:tr>
      <w:tr w:rsidR="00F92819">
        <w:tc>
          <w:tcPr>
            <w:tcW w:w="1474" w:type="dxa"/>
            <w:vAlign w:val="bottom"/>
          </w:tcPr>
          <w:p w:rsidR="00F92819" w:rsidRDefault="00F92819">
            <w:pPr>
              <w:spacing w:before="40" w:after="40" w:line="220" w:lineRule="exact"/>
              <w:rPr>
                <w:szCs w:val="24"/>
              </w:rPr>
            </w:pPr>
            <w:r>
              <w:rPr>
                <w:sz w:val="18"/>
                <w:szCs w:val="24"/>
                <w:lang w:val="es-ES_tradnl"/>
              </w:rPr>
              <w:t>Alumnas menores</w:t>
            </w:r>
          </w:p>
        </w:tc>
        <w:tc>
          <w:tcPr>
            <w:tcW w:w="1220" w:type="dxa"/>
            <w:vAlign w:val="bottom"/>
          </w:tcPr>
          <w:p w:rsidR="00F92819" w:rsidRDefault="00F92819">
            <w:pPr>
              <w:spacing w:before="40" w:after="40" w:line="220" w:lineRule="exact"/>
              <w:jc w:val="right"/>
              <w:rPr>
                <w:b/>
                <w:sz w:val="18"/>
                <w:szCs w:val="24"/>
              </w:rPr>
            </w:pPr>
            <w:r>
              <w:rPr>
                <w:b/>
                <w:sz w:val="18"/>
                <w:szCs w:val="24"/>
              </w:rPr>
              <w:t>35 256</w:t>
            </w:r>
          </w:p>
        </w:tc>
        <w:tc>
          <w:tcPr>
            <w:tcW w:w="1728" w:type="dxa"/>
            <w:vAlign w:val="bottom"/>
          </w:tcPr>
          <w:p w:rsidR="00F92819" w:rsidRDefault="00F92819">
            <w:pPr>
              <w:spacing w:before="40" w:after="40" w:line="220" w:lineRule="exact"/>
              <w:jc w:val="right"/>
              <w:rPr>
                <w:sz w:val="18"/>
                <w:szCs w:val="24"/>
              </w:rPr>
            </w:pPr>
            <w:r>
              <w:rPr>
                <w:sz w:val="18"/>
                <w:szCs w:val="24"/>
              </w:rPr>
              <w:t>85,7</w:t>
            </w:r>
          </w:p>
        </w:tc>
        <w:tc>
          <w:tcPr>
            <w:tcW w:w="1248" w:type="dxa"/>
            <w:vAlign w:val="bottom"/>
          </w:tcPr>
          <w:p w:rsidR="00F92819" w:rsidRDefault="00F92819">
            <w:pPr>
              <w:spacing w:before="40" w:after="40" w:line="220" w:lineRule="exact"/>
              <w:jc w:val="right"/>
              <w:rPr>
                <w:b/>
                <w:sz w:val="18"/>
                <w:szCs w:val="24"/>
              </w:rPr>
            </w:pPr>
            <w:r>
              <w:rPr>
                <w:b/>
                <w:sz w:val="18"/>
                <w:szCs w:val="24"/>
              </w:rPr>
              <w:t>25 096</w:t>
            </w:r>
          </w:p>
        </w:tc>
        <w:tc>
          <w:tcPr>
            <w:tcW w:w="1700" w:type="dxa"/>
            <w:vAlign w:val="bottom"/>
          </w:tcPr>
          <w:p w:rsidR="00F92819" w:rsidRDefault="00F92819">
            <w:pPr>
              <w:spacing w:before="40" w:after="40" w:line="220" w:lineRule="exact"/>
              <w:jc w:val="right"/>
              <w:rPr>
                <w:sz w:val="18"/>
                <w:szCs w:val="24"/>
              </w:rPr>
            </w:pPr>
            <w:r>
              <w:rPr>
                <w:sz w:val="18"/>
                <w:szCs w:val="24"/>
              </w:rPr>
              <w:t>61,0</w:t>
            </w:r>
          </w:p>
        </w:tc>
      </w:tr>
      <w:tr w:rsidR="00F92819">
        <w:tc>
          <w:tcPr>
            <w:tcW w:w="1474" w:type="dxa"/>
            <w:vAlign w:val="bottom"/>
          </w:tcPr>
          <w:p w:rsidR="00F92819" w:rsidRDefault="00F92819">
            <w:pPr>
              <w:spacing w:before="40" w:after="40" w:line="220" w:lineRule="exact"/>
              <w:rPr>
                <w:szCs w:val="24"/>
              </w:rPr>
            </w:pPr>
            <w:r>
              <w:rPr>
                <w:sz w:val="18"/>
                <w:szCs w:val="24"/>
                <w:lang w:val="es-ES_tradnl"/>
              </w:rPr>
              <w:t>Enseñanza en árabe</w:t>
            </w:r>
          </w:p>
        </w:tc>
        <w:tc>
          <w:tcPr>
            <w:tcW w:w="1220" w:type="dxa"/>
            <w:vAlign w:val="bottom"/>
          </w:tcPr>
          <w:p w:rsidR="00F92819" w:rsidRDefault="00F92819">
            <w:pPr>
              <w:spacing w:before="40" w:after="40" w:line="220" w:lineRule="exact"/>
              <w:jc w:val="right"/>
              <w:rPr>
                <w:b/>
                <w:sz w:val="18"/>
                <w:szCs w:val="24"/>
              </w:rPr>
            </w:pPr>
            <w:r>
              <w:rPr>
                <w:b/>
                <w:sz w:val="18"/>
                <w:szCs w:val="24"/>
              </w:rPr>
              <w:t>15 303</w:t>
            </w:r>
          </w:p>
        </w:tc>
        <w:tc>
          <w:tcPr>
            <w:tcW w:w="1728" w:type="dxa"/>
            <w:vAlign w:val="bottom"/>
          </w:tcPr>
          <w:p w:rsidR="00F92819" w:rsidRDefault="00F92819">
            <w:pPr>
              <w:spacing w:before="40" w:after="40" w:line="220" w:lineRule="exact"/>
              <w:jc w:val="right"/>
              <w:rPr>
                <w:sz w:val="18"/>
                <w:szCs w:val="24"/>
              </w:rPr>
            </w:pPr>
            <w:r>
              <w:rPr>
                <w:sz w:val="18"/>
                <w:szCs w:val="24"/>
              </w:rPr>
              <w:t>90,1</w:t>
            </w:r>
          </w:p>
        </w:tc>
        <w:tc>
          <w:tcPr>
            <w:tcW w:w="1248" w:type="dxa"/>
            <w:vAlign w:val="bottom"/>
          </w:tcPr>
          <w:p w:rsidR="00F92819" w:rsidRDefault="00F92819">
            <w:pPr>
              <w:spacing w:before="40" w:after="40" w:line="220" w:lineRule="exact"/>
              <w:jc w:val="right"/>
              <w:rPr>
                <w:b/>
                <w:sz w:val="18"/>
                <w:szCs w:val="24"/>
              </w:rPr>
            </w:pPr>
            <w:r>
              <w:rPr>
                <w:b/>
                <w:sz w:val="18"/>
                <w:szCs w:val="24"/>
              </w:rPr>
              <w:t>7 872</w:t>
            </w:r>
          </w:p>
        </w:tc>
        <w:tc>
          <w:tcPr>
            <w:tcW w:w="1700" w:type="dxa"/>
            <w:vAlign w:val="bottom"/>
          </w:tcPr>
          <w:p w:rsidR="00F92819" w:rsidRDefault="00F92819">
            <w:pPr>
              <w:spacing w:before="40" w:after="40" w:line="220" w:lineRule="exact"/>
              <w:jc w:val="right"/>
              <w:rPr>
                <w:sz w:val="18"/>
                <w:szCs w:val="24"/>
              </w:rPr>
            </w:pPr>
            <w:r>
              <w:rPr>
                <w:sz w:val="18"/>
                <w:szCs w:val="24"/>
              </w:rPr>
              <w:t>46,3</w:t>
            </w:r>
          </w:p>
        </w:tc>
      </w:tr>
      <w:tr w:rsidR="00F92819">
        <w:tc>
          <w:tcPr>
            <w:tcW w:w="1474" w:type="dxa"/>
            <w:vAlign w:val="bottom"/>
          </w:tcPr>
          <w:p w:rsidR="00F92819" w:rsidRDefault="00F92819">
            <w:pPr>
              <w:spacing w:before="40" w:after="40" w:line="220" w:lineRule="exact"/>
              <w:rPr>
                <w:szCs w:val="24"/>
              </w:rPr>
            </w:pPr>
            <w:r>
              <w:rPr>
                <w:sz w:val="18"/>
                <w:szCs w:val="24"/>
                <w:lang w:val="es-ES_tradnl"/>
              </w:rPr>
              <w:t>Alumnos menores</w:t>
            </w:r>
          </w:p>
        </w:tc>
        <w:tc>
          <w:tcPr>
            <w:tcW w:w="1220" w:type="dxa"/>
            <w:vAlign w:val="bottom"/>
          </w:tcPr>
          <w:p w:rsidR="00F92819" w:rsidRDefault="00F92819">
            <w:pPr>
              <w:spacing w:before="40" w:after="40" w:line="220" w:lineRule="exact"/>
              <w:jc w:val="right"/>
              <w:rPr>
                <w:b/>
                <w:sz w:val="18"/>
                <w:szCs w:val="24"/>
              </w:rPr>
            </w:pPr>
            <w:r>
              <w:rPr>
                <w:b/>
                <w:sz w:val="18"/>
                <w:szCs w:val="24"/>
              </w:rPr>
              <w:t>6 786</w:t>
            </w:r>
          </w:p>
        </w:tc>
        <w:tc>
          <w:tcPr>
            <w:tcW w:w="1728" w:type="dxa"/>
            <w:vAlign w:val="bottom"/>
          </w:tcPr>
          <w:p w:rsidR="00F92819" w:rsidRDefault="00F92819">
            <w:pPr>
              <w:spacing w:before="40" w:after="40" w:line="220" w:lineRule="exact"/>
              <w:jc w:val="right"/>
              <w:rPr>
                <w:sz w:val="18"/>
                <w:szCs w:val="24"/>
              </w:rPr>
            </w:pPr>
            <w:r>
              <w:rPr>
                <w:sz w:val="18"/>
                <w:szCs w:val="24"/>
              </w:rPr>
              <w:t>86,1</w:t>
            </w:r>
          </w:p>
        </w:tc>
        <w:tc>
          <w:tcPr>
            <w:tcW w:w="1248" w:type="dxa"/>
            <w:vAlign w:val="bottom"/>
          </w:tcPr>
          <w:p w:rsidR="00F92819" w:rsidRDefault="00F92819">
            <w:pPr>
              <w:spacing w:before="40" w:after="40" w:line="220" w:lineRule="exact"/>
              <w:jc w:val="right"/>
              <w:rPr>
                <w:b/>
                <w:sz w:val="18"/>
                <w:szCs w:val="24"/>
              </w:rPr>
            </w:pPr>
            <w:r>
              <w:rPr>
                <w:b/>
                <w:sz w:val="18"/>
                <w:szCs w:val="24"/>
              </w:rPr>
              <w:t>2 873</w:t>
            </w:r>
          </w:p>
        </w:tc>
        <w:tc>
          <w:tcPr>
            <w:tcW w:w="1700" w:type="dxa"/>
            <w:vAlign w:val="bottom"/>
          </w:tcPr>
          <w:p w:rsidR="00F92819" w:rsidRDefault="00F92819">
            <w:pPr>
              <w:spacing w:before="40" w:after="40" w:line="220" w:lineRule="exact"/>
              <w:jc w:val="right"/>
              <w:rPr>
                <w:sz w:val="18"/>
                <w:szCs w:val="24"/>
              </w:rPr>
            </w:pPr>
            <w:r>
              <w:rPr>
                <w:sz w:val="18"/>
                <w:szCs w:val="24"/>
              </w:rPr>
              <w:t>36,5</w:t>
            </w:r>
          </w:p>
        </w:tc>
      </w:tr>
      <w:tr w:rsidR="00F92819">
        <w:tc>
          <w:tcPr>
            <w:tcW w:w="1474" w:type="dxa"/>
            <w:vAlign w:val="bottom"/>
          </w:tcPr>
          <w:p w:rsidR="00F92819" w:rsidRDefault="00F92819">
            <w:pPr>
              <w:spacing w:before="40" w:after="40" w:line="220" w:lineRule="exact"/>
              <w:rPr>
                <w:szCs w:val="24"/>
              </w:rPr>
            </w:pPr>
            <w:r>
              <w:rPr>
                <w:sz w:val="18"/>
                <w:szCs w:val="24"/>
                <w:lang w:val="es-ES_tradnl"/>
              </w:rPr>
              <w:t>Alumnas menores</w:t>
            </w:r>
          </w:p>
        </w:tc>
        <w:tc>
          <w:tcPr>
            <w:tcW w:w="1220" w:type="dxa"/>
            <w:vAlign w:val="bottom"/>
          </w:tcPr>
          <w:p w:rsidR="00F92819" w:rsidRDefault="00F92819">
            <w:pPr>
              <w:spacing w:before="40" w:after="40" w:line="220" w:lineRule="exact"/>
              <w:jc w:val="right"/>
              <w:rPr>
                <w:b/>
                <w:sz w:val="18"/>
                <w:szCs w:val="24"/>
              </w:rPr>
            </w:pPr>
            <w:r>
              <w:rPr>
                <w:b/>
                <w:sz w:val="18"/>
                <w:szCs w:val="24"/>
              </w:rPr>
              <w:t>8 517</w:t>
            </w:r>
          </w:p>
        </w:tc>
        <w:tc>
          <w:tcPr>
            <w:tcW w:w="1728" w:type="dxa"/>
            <w:vAlign w:val="bottom"/>
          </w:tcPr>
          <w:p w:rsidR="00F92819" w:rsidRDefault="00F92819">
            <w:pPr>
              <w:spacing w:before="40" w:after="40" w:line="220" w:lineRule="exact"/>
              <w:jc w:val="right"/>
              <w:rPr>
                <w:sz w:val="18"/>
                <w:szCs w:val="24"/>
              </w:rPr>
            </w:pPr>
            <w:r>
              <w:rPr>
                <w:sz w:val="18"/>
                <w:szCs w:val="24"/>
              </w:rPr>
              <w:t>91,2</w:t>
            </w:r>
          </w:p>
        </w:tc>
        <w:tc>
          <w:tcPr>
            <w:tcW w:w="1248" w:type="dxa"/>
            <w:vAlign w:val="bottom"/>
          </w:tcPr>
          <w:p w:rsidR="00F92819" w:rsidRDefault="00F92819">
            <w:pPr>
              <w:spacing w:before="40" w:after="40" w:line="220" w:lineRule="exact"/>
              <w:jc w:val="right"/>
              <w:rPr>
                <w:b/>
                <w:sz w:val="18"/>
                <w:szCs w:val="24"/>
              </w:rPr>
            </w:pPr>
            <w:r>
              <w:rPr>
                <w:b/>
                <w:sz w:val="18"/>
                <w:szCs w:val="24"/>
              </w:rPr>
              <w:t>4 999</w:t>
            </w:r>
          </w:p>
        </w:tc>
        <w:tc>
          <w:tcPr>
            <w:tcW w:w="1700" w:type="dxa"/>
            <w:vAlign w:val="bottom"/>
          </w:tcPr>
          <w:p w:rsidR="00F92819" w:rsidRDefault="00F92819">
            <w:pPr>
              <w:spacing w:before="40" w:after="40" w:line="220" w:lineRule="exact"/>
              <w:jc w:val="right"/>
              <w:rPr>
                <w:sz w:val="18"/>
                <w:szCs w:val="24"/>
              </w:rPr>
            </w:pPr>
            <w:r>
              <w:rPr>
                <w:sz w:val="18"/>
                <w:szCs w:val="24"/>
              </w:rPr>
              <w:t>55,3</w:t>
            </w:r>
          </w:p>
        </w:tc>
      </w:tr>
      <w:tr w:rsidR="00F92819">
        <w:tc>
          <w:tcPr>
            <w:tcW w:w="1474" w:type="dxa"/>
            <w:vAlign w:val="bottom"/>
          </w:tcPr>
          <w:p w:rsidR="00F92819" w:rsidRDefault="00F92819">
            <w:pPr>
              <w:spacing w:before="40" w:after="40" w:line="220" w:lineRule="exact"/>
              <w:rPr>
                <w:szCs w:val="24"/>
              </w:rPr>
            </w:pPr>
            <w:r>
              <w:rPr>
                <w:sz w:val="18"/>
                <w:szCs w:val="24"/>
                <w:lang w:val="es-ES_tradnl"/>
              </w:rPr>
              <w:t>Por religión:</w:t>
            </w:r>
            <w:r>
              <w:rPr>
                <w:sz w:val="18"/>
                <w:szCs w:val="24"/>
              </w:rPr>
              <w:t xml:space="preserve"> </w:t>
            </w:r>
            <w:r>
              <w:rPr>
                <w:sz w:val="18"/>
                <w:szCs w:val="24"/>
                <w:lang w:val="es-ES_tradnl"/>
              </w:rPr>
              <w:t>Musulmanes</w:t>
            </w:r>
          </w:p>
        </w:tc>
        <w:tc>
          <w:tcPr>
            <w:tcW w:w="1220" w:type="dxa"/>
            <w:vAlign w:val="bottom"/>
          </w:tcPr>
          <w:p w:rsidR="00F92819" w:rsidRDefault="00F92819">
            <w:pPr>
              <w:spacing w:before="40" w:after="40" w:line="220" w:lineRule="exact"/>
              <w:jc w:val="right"/>
              <w:rPr>
                <w:b/>
                <w:sz w:val="18"/>
                <w:szCs w:val="24"/>
              </w:rPr>
            </w:pPr>
            <w:r>
              <w:rPr>
                <w:b/>
                <w:sz w:val="18"/>
                <w:szCs w:val="24"/>
              </w:rPr>
              <w:t>11 981</w:t>
            </w:r>
          </w:p>
        </w:tc>
        <w:tc>
          <w:tcPr>
            <w:tcW w:w="1728" w:type="dxa"/>
            <w:vAlign w:val="bottom"/>
          </w:tcPr>
          <w:p w:rsidR="00F92819" w:rsidRDefault="00F92819">
            <w:pPr>
              <w:spacing w:before="40" w:after="40" w:line="220" w:lineRule="exact"/>
              <w:jc w:val="right"/>
              <w:rPr>
                <w:sz w:val="18"/>
                <w:szCs w:val="24"/>
              </w:rPr>
            </w:pPr>
            <w:r>
              <w:rPr>
                <w:sz w:val="18"/>
                <w:szCs w:val="24"/>
              </w:rPr>
              <w:t>89,4</w:t>
            </w:r>
          </w:p>
        </w:tc>
        <w:tc>
          <w:tcPr>
            <w:tcW w:w="1248" w:type="dxa"/>
            <w:vAlign w:val="bottom"/>
          </w:tcPr>
          <w:p w:rsidR="00F92819" w:rsidRDefault="00F92819">
            <w:pPr>
              <w:spacing w:before="40" w:after="40" w:line="220" w:lineRule="exact"/>
              <w:jc w:val="right"/>
              <w:rPr>
                <w:b/>
                <w:sz w:val="18"/>
                <w:szCs w:val="24"/>
              </w:rPr>
            </w:pPr>
            <w:r>
              <w:rPr>
                <w:b/>
                <w:sz w:val="18"/>
                <w:szCs w:val="24"/>
              </w:rPr>
              <w:t>5 854</w:t>
            </w:r>
          </w:p>
        </w:tc>
        <w:tc>
          <w:tcPr>
            <w:tcW w:w="1700" w:type="dxa"/>
            <w:vAlign w:val="bottom"/>
          </w:tcPr>
          <w:p w:rsidR="00F92819" w:rsidRDefault="00F92819">
            <w:pPr>
              <w:spacing w:before="40" w:after="40" w:line="220" w:lineRule="exact"/>
              <w:jc w:val="right"/>
              <w:rPr>
                <w:sz w:val="18"/>
                <w:szCs w:val="24"/>
              </w:rPr>
            </w:pPr>
            <w:r>
              <w:rPr>
                <w:sz w:val="18"/>
                <w:szCs w:val="24"/>
              </w:rPr>
              <w:t>43,7</w:t>
            </w:r>
          </w:p>
        </w:tc>
      </w:tr>
      <w:tr w:rsidR="00F92819">
        <w:tc>
          <w:tcPr>
            <w:tcW w:w="1474" w:type="dxa"/>
            <w:vAlign w:val="bottom"/>
          </w:tcPr>
          <w:p w:rsidR="00F92819" w:rsidRDefault="00F92819">
            <w:pPr>
              <w:spacing w:before="40" w:after="40" w:line="220" w:lineRule="exact"/>
              <w:rPr>
                <w:szCs w:val="24"/>
              </w:rPr>
            </w:pPr>
            <w:r>
              <w:rPr>
                <w:sz w:val="18"/>
                <w:szCs w:val="24"/>
                <w:lang w:val="es-ES_tradnl"/>
              </w:rPr>
              <w:t>Cristianos</w:t>
            </w:r>
          </w:p>
        </w:tc>
        <w:tc>
          <w:tcPr>
            <w:tcW w:w="1220" w:type="dxa"/>
            <w:vAlign w:val="bottom"/>
          </w:tcPr>
          <w:p w:rsidR="00F92819" w:rsidRDefault="00F92819">
            <w:pPr>
              <w:spacing w:before="40" w:after="40" w:line="220" w:lineRule="exact"/>
              <w:jc w:val="right"/>
              <w:rPr>
                <w:b/>
                <w:sz w:val="18"/>
                <w:szCs w:val="24"/>
              </w:rPr>
            </w:pPr>
            <w:r>
              <w:rPr>
                <w:b/>
                <w:sz w:val="18"/>
                <w:szCs w:val="24"/>
              </w:rPr>
              <w:t>1 555</w:t>
            </w:r>
          </w:p>
        </w:tc>
        <w:tc>
          <w:tcPr>
            <w:tcW w:w="1728" w:type="dxa"/>
            <w:vAlign w:val="bottom"/>
          </w:tcPr>
          <w:p w:rsidR="00F92819" w:rsidRDefault="00F92819">
            <w:pPr>
              <w:spacing w:before="40" w:after="40" w:line="220" w:lineRule="exact"/>
              <w:jc w:val="right"/>
              <w:rPr>
                <w:sz w:val="18"/>
                <w:szCs w:val="24"/>
              </w:rPr>
            </w:pPr>
            <w:r>
              <w:rPr>
                <w:sz w:val="18"/>
                <w:szCs w:val="24"/>
              </w:rPr>
              <w:t>94,2</w:t>
            </w:r>
          </w:p>
        </w:tc>
        <w:tc>
          <w:tcPr>
            <w:tcW w:w="1248" w:type="dxa"/>
            <w:vAlign w:val="bottom"/>
          </w:tcPr>
          <w:p w:rsidR="00F92819" w:rsidRDefault="00F92819">
            <w:pPr>
              <w:spacing w:before="40" w:after="40" w:line="220" w:lineRule="exact"/>
              <w:jc w:val="right"/>
              <w:rPr>
                <w:b/>
                <w:sz w:val="18"/>
                <w:szCs w:val="24"/>
              </w:rPr>
            </w:pPr>
            <w:r>
              <w:rPr>
                <w:b/>
                <w:sz w:val="18"/>
                <w:szCs w:val="24"/>
              </w:rPr>
              <w:t>1 005</w:t>
            </w:r>
          </w:p>
        </w:tc>
        <w:tc>
          <w:tcPr>
            <w:tcW w:w="1700" w:type="dxa"/>
            <w:vAlign w:val="bottom"/>
          </w:tcPr>
          <w:p w:rsidR="00F92819" w:rsidRDefault="00F92819">
            <w:pPr>
              <w:spacing w:before="40" w:after="40" w:line="220" w:lineRule="exact"/>
              <w:jc w:val="right"/>
              <w:rPr>
                <w:sz w:val="18"/>
                <w:szCs w:val="24"/>
              </w:rPr>
            </w:pPr>
            <w:r>
              <w:rPr>
                <w:sz w:val="18"/>
                <w:szCs w:val="24"/>
              </w:rPr>
              <w:t>60,9</w:t>
            </w:r>
          </w:p>
        </w:tc>
      </w:tr>
      <w:tr w:rsidR="00F92819">
        <w:tc>
          <w:tcPr>
            <w:tcW w:w="1474" w:type="dxa"/>
            <w:tcBorders>
              <w:bottom w:val="single" w:sz="12" w:space="0" w:color="auto"/>
            </w:tcBorders>
            <w:vAlign w:val="bottom"/>
          </w:tcPr>
          <w:p w:rsidR="00F92819" w:rsidRDefault="00F92819">
            <w:pPr>
              <w:spacing w:before="40" w:after="40" w:line="220" w:lineRule="exact"/>
              <w:rPr>
                <w:szCs w:val="24"/>
              </w:rPr>
            </w:pPr>
            <w:r>
              <w:rPr>
                <w:sz w:val="18"/>
                <w:szCs w:val="24"/>
                <w:lang w:val="es-ES_tradnl"/>
              </w:rPr>
              <w:t>Drusos</w:t>
            </w:r>
          </w:p>
        </w:tc>
        <w:tc>
          <w:tcPr>
            <w:tcW w:w="1220" w:type="dxa"/>
            <w:tcBorders>
              <w:bottom w:val="single" w:sz="12" w:space="0" w:color="auto"/>
            </w:tcBorders>
            <w:vAlign w:val="bottom"/>
          </w:tcPr>
          <w:p w:rsidR="00F92819" w:rsidRDefault="00F92819">
            <w:pPr>
              <w:spacing w:before="40" w:after="40" w:line="220" w:lineRule="exact"/>
              <w:jc w:val="right"/>
              <w:rPr>
                <w:b/>
                <w:sz w:val="18"/>
                <w:szCs w:val="24"/>
              </w:rPr>
            </w:pPr>
            <w:r>
              <w:rPr>
                <w:b/>
                <w:sz w:val="18"/>
                <w:szCs w:val="24"/>
              </w:rPr>
              <w:t>1 733</w:t>
            </w:r>
          </w:p>
        </w:tc>
        <w:tc>
          <w:tcPr>
            <w:tcW w:w="1728"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95</w:t>
            </w:r>
          </w:p>
        </w:tc>
        <w:tc>
          <w:tcPr>
            <w:tcW w:w="1248" w:type="dxa"/>
            <w:tcBorders>
              <w:bottom w:val="single" w:sz="12" w:space="0" w:color="auto"/>
            </w:tcBorders>
            <w:vAlign w:val="bottom"/>
          </w:tcPr>
          <w:p w:rsidR="00F92819" w:rsidRDefault="00F92819">
            <w:pPr>
              <w:spacing w:before="40" w:after="40" w:line="220" w:lineRule="exact"/>
              <w:jc w:val="right"/>
              <w:rPr>
                <w:b/>
                <w:sz w:val="18"/>
                <w:szCs w:val="24"/>
              </w:rPr>
            </w:pPr>
            <w:r>
              <w:rPr>
                <w:b/>
                <w:sz w:val="18"/>
                <w:szCs w:val="24"/>
              </w:rPr>
              <w:t xml:space="preserve"> 996</w:t>
            </w:r>
          </w:p>
        </w:tc>
        <w:tc>
          <w:tcPr>
            <w:tcW w:w="1700" w:type="dxa"/>
            <w:tcBorders>
              <w:bottom w:val="single" w:sz="12" w:space="0" w:color="auto"/>
            </w:tcBorders>
            <w:vAlign w:val="bottom"/>
          </w:tcPr>
          <w:p w:rsidR="00F92819" w:rsidRDefault="00F92819">
            <w:pPr>
              <w:spacing w:before="40" w:after="40" w:line="220" w:lineRule="exact"/>
              <w:jc w:val="right"/>
              <w:rPr>
                <w:sz w:val="18"/>
                <w:szCs w:val="24"/>
              </w:rPr>
            </w:pPr>
            <w:r>
              <w:rPr>
                <w:sz w:val="18"/>
                <w:szCs w:val="24"/>
              </w:rPr>
              <w:t>54,6</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pStyle w:val="SingleTxtG"/>
        <w:tabs>
          <w:tab w:val="num" w:pos="1600"/>
        </w:tabs>
        <w:spacing w:before="240"/>
        <w:ind w:left="1100"/>
        <w:rPr>
          <w:szCs w:val="24"/>
        </w:rPr>
      </w:pPr>
      <w:r>
        <w:rPr>
          <w:szCs w:val="24"/>
        </w:rPr>
        <w:t>568.</w:t>
      </w:r>
      <w:r>
        <w:rPr>
          <w:szCs w:val="24"/>
        </w:rPr>
        <w:tab/>
      </w:r>
      <w:r>
        <w:rPr>
          <w:szCs w:val="24"/>
          <w:lang w:val="es-ES_tradnl"/>
        </w:rPr>
        <w:t>El porcentaje de alumnos con derecho a obtener un certificado de matrícula sigue siendo superior entre las chicas.</w:t>
      </w:r>
      <w:r>
        <w:rPr>
          <w:szCs w:val="24"/>
        </w:rPr>
        <w:t xml:space="preserve"> </w:t>
      </w:r>
      <w:r>
        <w:rPr>
          <w:szCs w:val="24"/>
          <w:lang w:val="es-ES_tradnl"/>
        </w:rPr>
        <w:t>En 2006, en el sistema de educación hebreo, el 85,7% de las menores del grupo de edades del 12º grado realizó exámenes de matriculación (84,3% en 2002), frente a sólo el 80,4% de los menores (75,1% en 2002).</w:t>
      </w:r>
      <w:r>
        <w:rPr>
          <w:szCs w:val="24"/>
        </w:rPr>
        <w:t xml:space="preserve"> </w:t>
      </w:r>
      <w:r>
        <w:rPr>
          <w:szCs w:val="24"/>
          <w:lang w:val="es-ES_tradnl"/>
        </w:rPr>
        <w:t>Las menores que tuvieron derecho a un título de matrícula representaban también un número más elevado y alcanzaron el 61%, frente al 49,5% de los menores.</w:t>
      </w:r>
    </w:p>
    <w:p w:rsidR="00F92819" w:rsidRDefault="00F92819">
      <w:pPr>
        <w:pStyle w:val="SingleTxtG"/>
        <w:tabs>
          <w:tab w:val="num" w:pos="1600"/>
        </w:tabs>
        <w:ind w:left="1100"/>
        <w:rPr>
          <w:szCs w:val="24"/>
        </w:rPr>
      </w:pPr>
      <w:r>
        <w:rPr>
          <w:szCs w:val="24"/>
        </w:rPr>
        <w:t>569.</w:t>
      </w:r>
      <w:r>
        <w:rPr>
          <w:szCs w:val="24"/>
        </w:rPr>
        <w:tab/>
      </w:r>
      <w:r>
        <w:rPr>
          <w:szCs w:val="24"/>
          <w:lang w:val="es-ES_tradnl"/>
        </w:rPr>
        <w:t>En el sistema de educación árabe, el 91,2% de las menores del grupo de edad del 12º grado realizó los exámenes de matrícula (91,7% en 2002) frente al 86,1% de los menores (84% en 2002).</w:t>
      </w:r>
      <w:r>
        <w:rPr>
          <w:szCs w:val="24"/>
        </w:rPr>
        <w:t xml:space="preserve"> </w:t>
      </w:r>
      <w:r>
        <w:rPr>
          <w:szCs w:val="24"/>
          <w:lang w:val="es-ES_tradnl"/>
        </w:rPr>
        <w:t>Las menores árabes con derecho a obtener un título de matrícula fueron asimismo más numerosas que los menores (56,3% y 36,5%, respectivamente).</w:t>
      </w:r>
    </w:p>
    <w:p w:rsidR="00F92819" w:rsidRDefault="00F92819">
      <w:pPr>
        <w:pStyle w:val="SingleTxtG"/>
        <w:tabs>
          <w:tab w:val="num" w:pos="1600"/>
        </w:tabs>
        <w:ind w:left="1100"/>
        <w:rPr>
          <w:szCs w:val="24"/>
        </w:rPr>
      </w:pPr>
      <w:r>
        <w:rPr>
          <w:szCs w:val="24"/>
        </w:rPr>
        <w:t>570.</w:t>
      </w:r>
      <w:r>
        <w:rPr>
          <w:szCs w:val="24"/>
        </w:rPr>
        <w:tab/>
      </w:r>
      <w:r>
        <w:rPr>
          <w:szCs w:val="24"/>
          <w:lang w:val="es-ES_tradnl"/>
        </w:rPr>
        <w:t>Nótese que un tercio de estos alumnos que no aprobaron los exámenes de matriculación en 1997</w:t>
      </w:r>
      <w:r>
        <w:rPr>
          <w:szCs w:val="24"/>
          <w:rtl/>
          <w:lang w:val="es-ES_tradnl"/>
        </w:rPr>
        <w:t xml:space="preserve"> </w:t>
      </w:r>
      <w:r>
        <w:rPr>
          <w:szCs w:val="24"/>
          <w:lang w:val="es-ES_tradnl"/>
        </w:rPr>
        <w:t>y 1998 cumplieron el requisito de obtener un certificado en los 8 años siguientes a su graduación.</w:t>
      </w:r>
    </w:p>
    <w:p w:rsidR="00F92819" w:rsidRDefault="00F92819">
      <w:pPr>
        <w:pStyle w:val="SingleTxtG"/>
        <w:spacing w:before="120" w:after="240"/>
        <w:rPr>
          <w:szCs w:val="24"/>
        </w:rPr>
      </w:pPr>
      <w:r>
        <w:rPr>
          <w:szCs w:val="24"/>
        </w:rPr>
        <w:t>571.</w:t>
      </w:r>
      <w:r>
        <w:rPr>
          <w:szCs w:val="24"/>
        </w:rPr>
        <w:tab/>
      </w:r>
      <w:r>
        <w:rPr>
          <w:szCs w:val="24"/>
          <w:lang w:val="es-ES_tradnl"/>
        </w:rPr>
        <w:t>Los datos siguientes incluyen estadísticas sobre graduados de universidades israelíes, de la universidad abierta (una institución de enseñanza por correspondencia), de instituciones de enseñanza superior no universitaria y de escuelas de formación de maestros.</w:t>
      </w:r>
      <w:r>
        <w:rPr>
          <w:szCs w:val="24"/>
        </w:rPr>
        <w:t xml:space="preserve"> </w:t>
      </w:r>
      <w:r>
        <w:rPr>
          <w:szCs w:val="24"/>
          <w:lang w:val="es-ES_tradnl"/>
        </w:rPr>
        <w:t>Igual que en el informe anterior de Israel, estos cuadros indican una tendencia continua a una mayor cantidad de estudiantes que se gradúan,</w:t>
      </w:r>
      <w:r>
        <w:rPr>
          <w:szCs w:val="24"/>
        </w:rPr>
        <w:t xml:space="preserve"> </w:t>
      </w:r>
      <w:r>
        <w:rPr>
          <w:szCs w:val="24"/>
          <w:lang w:val="es-ES_tradnl"/>
        </w:rPr>
        <w:t>y también que las mujeres lo hacen en número superior a los hombres.</w:t>
      </w:r>
    </w:p>
    <w:p w:rsidR="00F92819" w:rsidRDefault="00F92819">
      <w:pPr>
        <w:pStyle w:val="Heading1"/>
        <w:spacing w:before="240"/>
        <w:rPr>
          <w:szCs w:val="24"/>
        </w:rPr>
      </w:pPr>
      <w:r>
        <w:rPr>
          <w:szCs w:val="24"/>
          <w:lang w:val="es-ES_tradnl"/>
        </w:rPr>
        <w:t>Cuadro 42</w:t>
      </w:r>
    </w:p>
    <w:p w:rsidR="00F92819" w:rsidRDefault="00F92819">
      <w:pPr>
        <w:pStyle w:val="SingleTxtG"/>
        <w:rPr>
          <w:b/>
          <w:szCs w:val="24"/>
        </w:rPr>
      </w:pPr>
      <w:r>
        <w:rPr>
          <w:b/>
          <w:szCs w:val="24"/>
          <w:lang w:val="es-ES_tradnl"/>
        </w:rPr>
        <w:t>Receptores de títulos de universidades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474"/>
        <w:gridCol w:w="1474"/>
        <w:gridCol w:w="1474"/>
        <w:gridCol w:w="1474"/>
        <w:gridCol w:w="1474"/>
      </w:tblGrid>
      <w:tr w:rsidR="00F92819">
        <w:trPr>
          <w:tblHeader/>
        </w:trPr>
        <w:tc>
          <w:tcPr>
            <w:tcW w:w="1474" w:type="dxa"/>
            <w:tcBorders>
              <w:top w:val="single" w:sz="4" w:space="0" w:color="auto"/>
              <w:bottom w:val="single" w:sz="12" w:space="0" w:color="auto"/>
            </w:tcBorders>
            <w:vAlign w:val="bottom"/>
          </w:tcPr>
          <w:p w:rsidR="00F92819" w:rsidRDefault="00F92819">
            <w:pPr>
              <w:spacing w:before="80" w:after="80" w:line="200" w:lineRule="exact"/>
              <w:rPr>
                <w:szCs w:val="24"/>
              </w:rPr>
            </w:pPr>
            <w:r>
              <w:rPr>
                <w:i/>
                <w:sz w:val="16"/>
                <w:szCs w:val="24"/>
                <w:lang w:val="es-ES_tradnl"/>
              </w:rPr>
              <w:t>Título</w:t>
            </w:r>
          </w:p>
        </w:tc>
        <w:tc>
          <w:tcPr>
            <w:tcW w:w="1474"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1999/00</w:t>
            </w:r>
          </w:p>
        </w:tc>
        <w:tc>
          <w:tcPr>
            <w:tcW w:w="1474"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2004/05</w:t>
            </w:r>
          </w:p>
        </w:tc>
        <w:tc>
          <w:tcPr>
            <w:tcW w:w="1474" w:type="dxa"/>
            <w:tcBorders>
              <w:top w:val="single" w:sz="4" w:space="0" w:color="auto"/>
              <w:bottom w:val="single" w:sz="12" w:space="0" w:color="auto"/>
            </w:tcBorders>
            <w:vAlign w:val="bottom"/>
          </w:tcPr>
          <w:p w:rsidR="00F92819" w:rsidRDefault="00F92819">
            <w:pPr>
              <w:spacing w:before="80" w:after="80" w:line="200" w:lineRule="exact"/>
              <w:jc w:val="right"/>
              <w:rPr>
                <w:b/>
                <w:szCs w:val="24"/>
              </w:rPr>
            </w:pPr>
            <w:r>
              <w:rPr>
                <w:i/>
                <w:sz w:val="16"/>
                <w:szCs w:val="24"/>
              </w:rPr>
              <w:t>2005/06</w:t>
            </w:r>
          </w:p>
        </w:tc>
        <w:tc>
          <w:tcPr>
            <w:tcW w:w="1474"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2006/07</w:t>
            </w:r>
          </w:p>
        </w:tc>
      </w:tr>
      <w:tr w:rsidR="00F92819">
        <w:tc>
          <w:tcPr>
            <w:tcW w:w="1474" w:type="dxa"/>
            <w:tcBorders>
              <w:top w:val="single" w:sz="12" w:space="0" w:color="auto"/>
              <w:bottom w:val="single" w:sz="4" w:space="0" w:color="auto"/>
            </w:tcBorders>
          </w:tcPr>
          <w:p w:rsidR="00F92819" w:rsidRDefault="00F92819">
            <w:pPr>
              <w:spacing w:before="80" w:after="80" w:line="220" w:lineRule="exact"/>
              <w:ind w:left="284"/>
              <w:rPr>
                <w:szCs w:val="24"/>
              </w:rPr>
            </w:pPr>
            <w:r>
              <w:rPr>
                <w:b/>
                <w:sz w:val="18"/>
                <w:szCs w:val="24"/>
                <w:lang w:val="es-ES_tradnl"/>
              </w:rPr>
              <w:t>Total general</w:t>
            </w:r>
          </w:p>
        </w:tc>
        <w:tc>
          <w:tcPr>
            <w:tcW w:w="1474" w:type="dxa"/>
            <w:tcBorders>
              <w:top w:val="single" w:sz="12" w:space="0" w:color="auto"/>
              <w:bottom w:val="single" w:sz="4" w:space="0" w:color="auto"/>
            </w:tcBorders>
          </w:tcPr>
          <w:p w:rsidR="00F92819" w:rsidRDefault="00F92819">
            <w:pPr>
              <w:spacing w:before="80" w:after="80" w:line="220" w:lineRule="exact"/>
              <w:ind w:left="284"/>
              <w:jc w:val="right"/>
              <w:rPr>
                <w:b/>
                <w:sz w:val="18"/>
                <w:szCs w:val="24"/>
              </w:rPr>
            </w:pPr>
            <w:r>
              <w:rPr>
                <w:b/>
                <w:sz w:val="18"/>
                <w:szCs w:val="24"/>
              </w:rPr>
              <w:t>26 743</w:t>
            </w:r>
          </w:p>
        </w:tc>
        <w:tc>
          <w:tcPr>
            <w:tcW w:w="1474" w:type="dxa"/>
            <w:tcBorders>
              <w:top w:val="single" w:sz="12" w:space="0" w:color="auto"/>
              <w:bottom w:val="single" w:sz="4" w:space="0" w:color="auto"/>
            </w:tcBorders>
          </w:tcPr>
          <w:p w:rsidR="00F92819" w:rsidRDefault="00F92819">
            <w:pPr>
              <w:tabs>
                <w:tab w:val="right" w:pos="850"/>
                <w:tab w:val="left" w:pos="1134"/>
                <w:tab w:val="left" w:pos="1559"/>
                <w:tab w:val="left" w:pos="1984"/>
                <w:tab w:val="left" w:leader="dot" w:pos="8929"/>
                <w:tab w:val="right" w:pos="9638"/>
              </w:tabs>
              <w:spacing w:before="80" w:after="80"/>
              <w:ind w:left="284"/>
              <w:jc w:val="right"/>
              <w:rPr>
                <w:b/>
                <w:sz w:val="18"/>
                <w:szCs w:val="24"/>
              </w:rPr>
            </w:pPr>
            <w:r>
              <w:rPr>
                <w:b/>
                <w:sz w:val="18"/>
                <w:szCs w:val="24"/>
              </w:rPr>
              <w:t>30 779</w:t>
            </w:r>
          </w:p>
        </w:tc>
        <w:tc>
          <w:tcPr>
            <w:tcW w:w="1474" w:type="dxa"/>
            <w:tcBorders>
              <w:top w:val="single" w:sz="12" w:space="0" w:color="auto"/>
              <w:bottom w:val="single" w:sz="4" w:space="0" w:color="auto"/>
            </w:tcBorders>
          </w:tcPr>
          <w:p w:rsidR="00F92819" w:rsidRDefault="00F92819">
            <w:pPr>
              <w:tabs>
                <w:tab w:val="right" w:pos="850"/>
                <w:tab w:val="left" w:pos="1134"/>
                <w:tab w:val="left" w:pos="1559"/>
                <w:tab w:val="left" w:pos="1984"/>
                <w:tab w:val="left" w:leader="dot" w:pos="8929"/>
                <w:tab w:val="right" w:pos="9638"/>
              </w:tabs>
              <w:spacing w:before="80" w:after="80"/>
              <w:ind w:left="284"/>
              <w:jc w:val="right"/>
              <w:rPr>
                <w:b/>
                <w:sz w:val="18"/>
                <w:szCs w:val="24"/>
              </w:rPr>
            </w:pPr>
            <w:r>
              <w:rPr>
                <w:b/>
                <w:sz w:val="18"/>
                <w:szCs w:val="24"/>
              </w:rPr>
              <w:t>32 254</w:t>
            </w:r>
          </w:p>
        </w:tc>
        <w:tc>
          <w:tcPr>
            <w:tcW w:w="1474" w:type="dxa"/>
            <w:tcBorders>
              <w:top w:val="single" w:sz="12" w:space="0" w:color="auto"/>
              <w:bottom w:val="single" w:sz="4" w:space="0" w:color="auto"/>
            </w:tcBorders>
          </w:tcPr>
          <w:p w:rsidR="00F92819" w:rsidRDefault="00F92819">
            <w:pPr>
              <w:tabs>
                <w:tab w:val="right" w:pos="850"/>
                <w:tab w:val="left" w:pos="1134"/>
                <w:tab w:val="left" w:pos="1559"/>
                <w:tab w:val="left" w:pos="1984"/>
                <w:tab w:val="left" w:leader="dot" w:pos="8929"/>
                <w:tab w:val="right" w:pos="9638"/>
              </w:tabs>
              <w:spacing w:before="80" w:after="80"/>
              <w:ind w:left="284"/>
              <w:jc w:val="right"/>
              <w:rPr>
                <w:b/>
                <w:sz w:val="18"/>
                <w:szCs w:val="24"/>
              </w:rPr>
            </w:pPr>
            <w:r>
              <w:rPr>
                <w:b/>
                <w:sz w:val="18"/>
                <w:szCs w:val="24"/>
              </w:rPr>
              <w:t>33 380</w:t>
            </w:r>
          </w:p>
        </w:tc>
      </w:tr>
      <w:tr w:rsidR="00F92819">
        <w:tc>
          <w:tcPr>
            <w:tcW w:w="1474" w:type="dxa"/>
            <w:tcBorders>
              <w:top w:val="single" w:sz="4" w:space="0" w:color="auto"/>
            </w:tcBorders>
          </w:tcPr>
          <w:p w:rsidR="00F92819" w:rsidRDefault="00F92819">
            <w:pPr>
              <w:spacing w:before="40" w:after="40" w:line="220" w:lineRule="exact"/>
              <w:rPr>
                <w:szCs w:val="24"/>
              </w:rPr>
            </w:pPr>
            <w:r>
              <w:rPr>
                <w:sz w:val="18"/>
                <w:szCs w:val="24"/>
                <w:lang w:val="es-ES_tradnl"/>
              </w:rPr>
              <w:t>Licenciatura</w:t>
            </w:r>
          </w:p>
        </w:tc>
        <w:tc>
          <w:tcPr>
            <w:tcW w:w="1474" w:type="dxa"/>
            <w:tcBorders>
              <w:top w:val="single" w:sz="4" w:space="0" w:color="auto"/>
            </w:tcBorders>
          </w:tcPr>
          <w:p w:rsidR="00F92819" w:rsidRDefault="00F92819">
            <w:pPr>
              <w:spacing w:before="40" w:after="40" w:line="220" w:lineRule="exact"/>
              <w:jc w:val="right"/>
              <w:rPr>
                <w:sz w:val="18"/>
                <w:szCs w:val="24"/>
              </w:rPr>
            </w:pPr>
            <w:r>
              <w:rPr>
                <w:sz w:val="18"/>
                <w:szCs w:val="24"/>
              </w:rPr>
              <w:t>17 298</w:t>
            </w:r>
          </w:p>
        </w:tc>
        <w:tc>
          <w:tcPr>
            <w:tcW w:w="1474" w:type="dxa"/>
            <w:tcBorders>
              <w:top w:val="single" w:sz="4" w:space="0" w:color="auto"/>
            </w:tcBorders>
          </w:tcPr>
          <w:p w:rsidR="00F92819" w:rsidRDefault="00F92819">
            <w:pPr>
              <w:spacing w:before="40" w:after="40" w:line="220" w:lineRule="exact"/>
              <w:jc w:val="right"/>
              <w:rPr>
                <w:sz w:val="18"/>
                <w:szCs w:val="24"/>
              </w:rPr>
            </w:pPr>
            <w:r>
              <w:rPr>
                <w:sz w:val="18"/>
                <w:szCs w:val="24"/>
              </w:rPr>
              <w:t>17 827</w:t>
            </w:r>
          </w:p>
        </w:tc>
        <w:tc>
          <w:tcPr>
            <w:tcW w:w="1474" w:type="dxa"/>
            <w:tcBorders>
              <w:top w:val="single" w:sz="4" w:space="0" w:color="auto"/>
            </w:tcBorders>
          </w:tcPr>
          <w:p w:rsidR="00F92819" w:rsidRDefault="00F92819">
            <w:pPr>
              <w:spacing w:before="40" w:after="40" w:line="220" w:lineRule="exact"/>
              <w:jc w:val="right"/>
              <w:rPr>
                <w:sz w:val="18"/>
                <w:szCs w:val="24"/>
              </w:rPr>
            </w:pPr>
            <w:r>
              <w:rPr>
                <w:sz w:val="18"/>
                <w:szCs w:val="24"/>
              </w:rPr>
              <w:t>19 014</w:t>
            </w:r>
          </w:p>
        </w:tc>
        <w:tc>
          <w:tcPr>
            <w:tcW w:w="1474" w:type="dxa"/>
            <w:tcBorders>
              <w:top w:val="single" w:sz="4" w:space="0" w:color="auto"/>
            </w:tcBorders>
          </w:tcPr>
          <w:p w:rsidR="00F92819" w:rsidRDefault="00F92819">
            <w:pPr>
              <w:spacing w:before="40" w:after="40" w:line="220" w:lineRule="exact"/>
              <w:jc w:val="right"/>
              <w:rPr>
                <w:sz w:val="18"/>
                <w:szCs w:val="24"/>
              </w:rPr>
            </w:pPr>
            <w:r>
              <w:rPr>
                <w:sz w:val="18"/>
                <w:szCs w:val="24"/>
              </w:rPr>
              <w:t>19 527</w:t>
            </w:r>
          </w:p>
        </w:tc>
      </w:tr>
      <w:tr w:rsidR="00F92819">
        <w:tc>
          <w:tcPr>
            <w:tcW w:w="1474" w:type="dxa"/>
          </w:tcPr>
          <w:p w:rsidR="00F92819" w:rsidRDefault="00F92819">
            <w:pPr>
              <w:spacing w:before="40" w:after="40" w:line="220" w:lineRule="exact"/>
              <w:rPr>
                <w:szCs w:val="24"/>
              </w:rPr>
            </w:pPr>
            <w:r>
              <w:rPr>
                <w:sz w:val="18"/>
                <w:szCs w:val="24"/>
                <w:lang w:val="es-ES_tradnl"/>
              </w:rPr>
              <w:t>Maestría</w:t>
            </w:r>
          </w:p>
        </w:tc>
        <w:tc>
          <w:tcPr>
            <w:tcW w:w="1474" w:type="dxa"/>
          </w:tcPr>
          <w:p w:rsidR="00F92819" w:rsidRDefault="00F92819">
            <w:pPr>
              <w:spacing w:before="40" w:after="40" w:line="220" w:lineRule="exact"/>
              <w:jc w:val="right"/>
              <w:rPr>
                <w:sz w:val="18"/>
                <w:szCs w:val="24"/>
              </w:rPr>
            </w:pPr>
            <w:r>
              <w:rPr>
                <w:sz w:val="18"/>
                <w:szCs w:val="24"/>
              </w:rPr>
              <w:t>7 528</w:t>
            </w:r>
          </w:p>
        </w:tc>
        <w:tc>
          <w:tcPr>
            <w:tcW w:w="1474" w:type="dxa"/>
          </w:tcPr>
          <w:p w:rsidR="00F92819" w:rsidRDefault="00F92819">
            <w:pPr>
              <w:spacing w:before="40" w:after="40" w:line="220" w:lineRule="exact"/>
              <w:jc w:val="right"/>
              <w:rPr>
                <w:sz w:val="18"/>
                <w:szCs w:val="24"/>
              </w:rPr>
            </w:pPr>
            <w:r>
              <w:rPr>
                <w:sz w:val="18"/>
                <w:szCs w:val="24"/>
              </w:rPr>
              <w:t>10 703</w:t>
            </w:r>
          </w:p>
        </w:tc>
        <w:tc>
          <w:tcPr>
            <w:tcW w:w="1474" w:type="dxa"/>
          </w:tcPr>
          <w:p w:rsidR="00F92819" w:rsidRDefault="00F92819">
            <w:pPr>
              <w:spacing w:before="40" w:after="40" w:line="220" w:lineRule="exact"/>
              <w:jc w:val="right"/>
              <w:rPr>
                <w:sz w:val="18"/>
                <w:szCs w:val="24"/>
              </w:rPr>
            </w:pPr>
            <w:r>
              <w:rPr>
                <w:sz w:val="18"/>
                <w:szCs w:val="24"/>
              </w:rPr>
              <w:t>11 093</w:t>
            </w:r>
          </w:p>
        </w:tc>
        <w:tc>
          <w:tcPr>
            <w:tcW w:w="1474" w:type="dxa"/>
          </w:tcPr>
          <w:p w:rsidR="00F92819" w:rsidRDefault="00F92819">
            <w:pPr>
              <w:spacing w:before="40" w:after="40" w:line="220" w:lineRule="exact"/>
              <w:jc w:val="right"/>
              <w:rPr>
                <w:sz w:val="18"/>
                <w:szCs w:val="24"/>
              </w:rPr>
            </w:pPr>
            <w:r>
              <w:rPr>
                <w:sz w:val="18"/>
                <w:szCs w:val="24"/>
              </w:rPr>
              <w:t>11 762</w:t>
            </w:r>
          </w:p>
        </w:tc>
      </w:tr>
      <w:tr w:rsidR="00F92819">
        <w:tc>
          <w:tcPr>
            <w:tcW w:w="1474" w:type="dxa"/>
          </w:tcPr>
          <w:p w:rsidR="00F92819" w:rsidRDefault="00F92819">
            <w:pPr>
              <w:spacing w:before="40" w:after="40" w:line="220" w:lineRule="exact"/>
              <w:rPr>
                <w:szCs w:val="24"/>
              </w:rPr>
            </w:pPr>
            <w:r>
              <w:rPr>
                <w:sz w:val="18"/>
                <w:szCs w:val="24"/>
                <w:lang w:val="es-ES_tradnl"/>
              </w:rPr>
              <w:t>Doctorado</w:t>
            </w:r>
          </w:p>
        </w:tc>
        <w:tc>
          <w:tcPr>
            <w:tcW w:w="1474" w:type="dxa"/>
          </w:tcPr>
          <w:p w:rsidR="00F92819" w:rsidRDefault="00F92819">
            <w:pPr>
              <w:spacing w:before="40" w:after="40" w:line="220" w:lineRule="exact"/>
              <w:jc w:val="right"/>
              <w:rPr>
                <w:sz w:val="18"/>
                <w:szCs w:val="24"/>
              </w:rPr>
            </w:pPr>
            <w:r>
              <w:rPr>
                <w:sz w:val="18"/>
                <w:szCs w:val="24"/>
              </w:rPr>
              <w:t>800</w:t>
            </w:r>
          </w:p>
        </w:tc>
        <w:tc>
          <w:tcPr>
            <w:tcW w:w="1474" w:type="dxa"/>
          </w:tcPr>
          <w:p w:rsidR="00F92819" w:rsidRDefault="00F92819">
            <w:pPr>
              <w:spacing w:before="40" w:after="40" w:line="220" w:lineRule="exact"/>
              <w:jc w:val="right"/>
              <w:rPr>
                <w:sz w:val="18"/>
                <w:szCs w:val="24"/>
              </w:rPr>
            </w:pPr>
            <w:r>
              <w:rPr>
                <w:sz w:val="18"/>
                <w:szCs w:val="24"/>
              </w:rPr>
              <w:t>1 206</w:t>
            </w:r>
          </w:p>
        </w:tc>
        <w:tc>
          <w:tcPr>
            <w:tcW w:w="1474" w:type="dxa"/>
          </w:tcPr>
          <w:p w:rsidR="00F92819" w:rsidRDefault="00F92819">
            <w:pPr>
              <w:spacing w:before="40" w:after="40" w:line="220" w:lineRule="exact"/>
              <w:jc w:val="right"/>
              <w:rPr>
                <w:sz w:val="18"/>
                <w:szCs w:val="24"/>
              </w:rPr>
            </w:pPr>
            <w:r>
              <w:rPr>
                <w:sz w:val="18"/>
                <w:szCs w:val="24"/>
              </w:rPr>
              <w:t>1 209</w:t>
            </w:r>
          </w:p>
        </w:tc>
        <w:tc>
          <w:tcPr>
            <w:tcW w:w="1474" w:type="dxa"/>
          </w:tcPr>
          <w:p w:rsidR="00F92819" w:rsidRDefault="00F92819">
            <w:pPr>
              <w:spacing w:before="40" w:after="40" w:line="220" w:lineRule="exact"/>
              <w:jc w:val="right"/>
              <w:rPr>
                <w:sz w:val="18"/>
                <w:szCs w:val="24"/>
              </w:rPr>
            </w:pPr>
            <w:r>
              <w:rPr>
                <w:sz w:val="18"/>
                <w:szCs w:val="24"/>
              </w:rPr>
              <w:t>1 288</w:t>
            </w:r>
          </w:p>
        </w:tc>
      </w:tr>
      <w:tr w:rsidR="00F92819">
        <w:tc>
          <w:tcPr>
            <w:tcW w:w="1474" w:type="dxa"/>
            <w:tcBorders>
              <w:bottom w:val="single" w:sz="12" w:space="0" w:color="auto"/>
            </w:tcBorders>
          </w:tcPr>
          <w:p w:rsidR="00F92819" w:rsidRDefault="00F92819">
            <w:pPr>
              <w:spacing w:before="40" w:after="40" w:line="220" w:lineRule="exact"/>
              <w:rPr>
                <w:szCs w:val="24"/>
              </w:rPr>
            </w:pPr>
            <w:r>
              <w:rPr>
                <w:sz w:val="18"/>
                <w:szCs w:val="24"/>
                <w:lang w:val="es-ES_tradnl"/>
              </w:rPr>
              <w:t>Diploma</w:t>
            </w:r>
          </w:p>
        </w:tc>
        <w:tc>
          <w:tcPr>
            <w:tcW w:w="1474" w:type="dxa"/>
            <w:tcBorders>
              <w:bottom w:val="single" w:sz="12" w:space="0" w:color="auto"/>
            </w:tcBorders>
          </w:tcPr>
          <w:p w:rsidR="00F92819" w:rsidRDefault="00F92819">
            <w:pPr>
              <w:spacing w:before="40" w:after="40" w:line="220" w:lineRule="exact"/>
              <w:jc w:val="right"/>
              <w:rPr>
                <w:sz w:val="18"/>
                <w:szCs w:val="24"/>
              </w:rPr>
            </w:pPr>
            <w:r>
              <w:rPr>
                <w:sz w:val="18"/>
                <w:szCs w:val="24"/>
              </w:rPr>
              <w:t>1 117</w:t>
            </w:r>
          </w:p>
        </w:tc>
        <w:tc>
          <w:tcPr>
            <w:tcW w:w="1474" w:type="dxa"/>
            <w:tcBorders>
              <w:bottom w:val="single" w:sz="12" w:space="0" w:color="auto"/>
            </w:tcBorders>
          </w:tcPr>
          <w:p w:rsidR="00F92819" w:rsidRDefault="00F92819">
            <w:pPr>
              <w:spacing w:before="40" w:after="40" w:line="220" w:lineRule="exact"/>
              <w:jc w:val="right"/>
              <w:rPr>
                <w:sz w:val="18"/>
                <w:szCs w:val="24"/>
              </w:rPr>
            </w:pPr>
            <w:r>
              <w:rPr>
                <w:sz w:val="18"/>
                <w:szCs w:val="24"/>
              </w:rPr>
              <w:t>1 043</w:t>
            </w:r>
          </w:p>
        </w:tc>
        <w:tc>
          <w:tcPr>
            <w:tcW w:w="1474" w:type="dxa"/>
            <w:tcBorders>
              <w:bottom w:val="single" w:sz="12" w:space="0" w:color="auto"/>
            </w:tcBorders>
          </w:tcPr>
          <w:p w:rsidR="00F92819" w:rsidRDefault="00F92819">
            <w:pPr>
              <w:spacing w:before="40" w:after="40" w:line="220" w:lineRule="exact"/>
              <w:jc w:val="right"/>
              <w:rPr>
                <w:sz w:val="18"/>
                <w:szCs w:val="24"/>
              </w:rPr>
            </w:pPr>
            <w:r>
              <w:rPr>
                <w:sz w:val="18"/>
                <w:szCs w:val="24"/>
              </w:rPr>
              <w:t>938</w:t>
            </w:r>
          </w:p>
        </w:tc>
        <w:tc>
          <w:tcPr>
            <w:tcW w:w="1474" w:type="dxa"/>
            <w:tcBorders>
              <w:bottom w:val="single" w:sz="12" w:space="0" w:color="auto"/>
            </w:tcBorders>
          </w:tcPr>
          <w:p w:rsidR="00F92819" w:rsidRDefault="00F92819">
            <w:pPr>
              <w:spacing w:before="40" w:after="40" w:line="220" w:lineRule="exact"/>
              <w:jc w:val="right"/>
              <w:rPr>
                <w:sz w:val="18"/>
                <w:szCs w:val="24"/>
              </w:rPr>
            </w:pPr>
            <w:r>
              <w:rPr>
                <w:sz w:val="18"/>
                <w:szCs w:val="24"/>
              </w:rPr>
              <w:t>803</w:t>
            </w:r>
          </w:p>
        </w:tc>
      </w:tr>
    </w:tbl>
    <w:p w:rsidR="00F92819" w:rsidRDefault="00F92819">
      <w:pPr>
        <w:spacing w:before="120" w:after="240"/>
        <w:ind w:left="1134" w:right="1134" w:firstLine="170"/>
        <w:rPr>
          <w:szCs w:val="24"/>
        </w:rPr>
      </w:pPr>
      <w:r>
        <w:rPr>
          <w:i/>
          <w:sz w:val="18"/>
          <w:szCs w:val="24"/>
          <w:lang w:val="es-ES_tradnl"/>
        </w:rPr>
        <w:t>Fuente:</w:t>
      </w:r>
      <w:r>
        <w:rPr>
          <w:i/>
          <w:sz w:val="18"/>
          <w:szCs w:val="24"/>
        </w:rPr>
        <w:t xml:space="preserve"> </w:t>
      </w:r>
      <w:r>
        <w:rPr>
          <w:sz w:val="18"/>
          <w:szCs w:val="24"/>
          <w:lang w:val="es-ES_tradnl"/>
        </w:rPr>
        <w:t>Oficina Central de Estadística, Resumen estadístico de Israel, 2007 y 2008.</w:t>
      </w:r>
    </w:p>
    <w:p w:rsidR="00F92819" w:rsidRDefault="00F92819">
      <w:pPr>
        <w:pStyle w:val="Heading1"/>
        <w:spacing w:before="240"/>
        <w:rPr>
          <w:szCs w:val="24"/>
        </w:rPr>
      </w:pPr>
      <w:r>
        <w:rPr>
          <w:szCs w:val="24"/>
          <w:lang w:val="es-ES_tradnl"/>
        </w:rPr>
        <w:t>Cuadro 43</w:t>
      </w:r>
    </w:p>
    <w:p w:rsidR="00F92819" w:rsidRDefault="00F92819">
      <w:pPr>
        <w:pStyle w:val="SingleTxtG"/>
        <w:jc w:val="left"/>
        <w:rPr>
          <w:b/>
          <w:szCs w:val="24"/>
        </w:rPr>
      </w:pPr>
      <w:r>
        <w:rPr>
          <w:b/>
          <w:szCs w:val="24"/>
          <w:lang w:val="es-ES_tradnl"/>
        </w:rPr>
        <w:t>Receptores de títulos de universidades, por género, edad y grupo de población (porcentaje, a menos que se indique otra cosa)</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2268"/>
        <w:gridCol w:w="1700"/>
        <w:gridCol w:w="1701"/>
        <w:gridCol w:w="1701"/>
      </w:tblGrid>
      <w:tr w:rsidR="00F92819">
        <w:trPr>
          <w:tblHeader/>
        </w:trPr>
        <w:tc>
          <w:tcPr>
            <w:tcW w:w="2268" w:type="dxa"/>
            <w:tcBorders>
              <w:top w:val="single" w:sz="4" w:space="0" w:color="auto"/>
              <w:bottom w:val="single" w:sz="12" w:space="0" w:color="auto"/>
            </w:tcBorders>
            <w:vAlign w:val="bottom"/>
          </w:tcPr>
          <w:p w:rsidR="00F92819" w:rsidRDefault="00F92819">
            <w:pPr>
              <w:spacing w:before="80" w:after="80" w:line="200" w:lineRule="exact"/>
              <w:rPr>
                <w:i/>
                <w:sz w:val="16"/>
                <w:szCs w:val="24"/>
              </w:rPr>
            </w:pPr>
          </w:p>
        </w:tc>
        <w:tc>
          <w:tcPr>
            <w:tcW w:w="1700"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2003/04</w:t>
            </w:r>
          </w:p>
        </w:tc>
        <w:tc>
          <w:tcPr>
            <w:tcW w:w="1701"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2005/06</w:t>
            </w:r>
          </w:p>
        </w:tc>
        <w:tc>
          <w:tcPr>
            <w:tcW w:w="1701" w:type="dxa"/>
            <w:tcBorders>
              <w:top w:val="single" w:sz="4" w:space="0" w:color="auto"/>
              <w:bottom w:val="single" w:sz="12" w:space="0" w:color="auto"/>
            </w:tcBorders>
            <w:vAlign w:val="bottom"/>
          </w:tcPr>
          <w:p w:rsidR="00F92819" w:rsidRDefault="00F92819">
            <w:pPr>
              <w:spacing w:before="80" w:after="80" w:line="200" w:lineRule="exact"/>
              <w:jc w:val="right"/>
              <w:rPr>
                <w:i/>
                <w:sz w:val="16"/>
                <w:szCs w:val="24"/>
              </w:rPr>
            </w:pPr>
            <w:r>
              <w:rPr>
                <w:i/>
                <w:sz w:val="16"/>
                <w:szCs w:val="24"/>
              </w:rPr>
              <w:t>2006/07</w:t>
            </w:r>
          </w:p>
        </w:tc>
      </w:tr>
      <w:tr w:rsidR="00F92819">
        <w:tc>
          <w:tcPr>
            <w:tcW w:w="2268" w:type="dxa"/>
            <w:tcBorders>
              <w:top w:val="single" w:sz="12" w:space="0" w:color="auto"/>
              <w:bottom w:val="single" w:sz="4" w:space="0" w:color="auto"/>
            </w:tcBorders>
            <w:vAlign w:val="bottom"/>
          </w:tcPr>
          <w:p w:rsidR="00F92819" w:rsidRDefault="00F92819">
            <w:pPr>
              <w:spacing w:before="80" w:after="80" w:line="220" w:lineRule="exact"/>
              <w:ind w:firstLine="284"/>
              <w:rPr>
                <w:szCs w:val="24"/>
              </w:rPr>
            </w:pPr>
            <w:r>
              <w:rPr>
                <w:b/>
                <w:sz w:val="18"/>
                <w:szCs w:val="24"/>
                <w:lang w:val="es-ES_tradnl"/>
              </w:rPr>
              <w:t>Licenciatura - Total</w:t>
            </w:r>
          </w:p>
        </w:tc>
        <w:tc>
          <w:tcPr>
            <w:tcW w:w="1700" w:type="dxa"/>
            <w:tcBorders>
              <w:top w:val="single" w:sz="12" w:space="0" w:color="auto"/>
              <w:bottom w:val="single" w:sz="4" w:space="0" w:color="auto"/>
            </w:tcBorders>
            <w:vAlign w:val="bottom"/>
          </w:tcPr>
          <w:p w:rsidR="00F92819" w:rsidRDefault="00F92819">
            <w:pPr>
              <w:spacing w:before="80" w:after="80" w:line="220" w:lineRule="exact"/>
              <w:ind w:firstLine="284"/>
              <w:jc w:val="right"/>
              <w:rPr>
                <w:b/>
                <w:sz w:val="18"/>
                <w:szCs w:val="24"/>
              </w:rPr>
            </w:pPr>
          </w:p>
        </w:tc>
        <w:tc>
          <w:tcPr>
            <w:tcW w:w="1701" w:type="dxa"/>
            <w:tcBorders>
              <w:top w:val="single" w:sz="12" w:space="0" w:color="auto"/>
              <w:bottom w:val="single" w:sz="4" w:space="0" w:color="auto"/>
            </w:tcBorders>
            <w:vAlign w:val="bottom"/>
          </w:tcPr>
          <w:p w:rsidR="00F92819" w:rsidRDefault="00F92819">
            <w:pPr>
              <w:spacing w:before="80" w:after="80" w:line="220" w:lineRule="exact"/>
              <w:ind w:firstLine="284"/>
              <w:jc w:val="right"/>
              <w:rPr>
                <w:b/>
                <w:sz w:val="18"/>
                <w:szCs w:val="24"/>
              </w:rPr>
            </w:pPr>
          </w:p>
        </w:tc>
        <w:tc>
          <w:tcPr>
            <w:tcW w:w="1701" w:type="dxa"/>
            <w:tcBorders>
              <w:top w:val="single" w:sz="12" w:space="0" w:color="auto"/>
              <w:bottom w:val="single" w:sz="4" w:space="0" w:color="auto"/>
            </w:tcBorders>
            <w:vAlign w:val="bottom"/>
          </w:tcPr>
          <w:p w:rsidR="00F92819" w:rsidRDefault="00F92819">
            <w:pPr>
              <w:spacing w:before="80" w:after="80" w:line="220" w:lineRule="exact"/>
              <w:ind w:firstLine="284"/>
              <w:jc w:val="right"/>
              <w:rPr>
                <w:b/>
                <w:sz w:val="18"/>
                <w:szCs w:val="24"/>
              </w:rPr>
            </w:pPr>
          </w:p>
        </w:tc>
      </w:tr>
      <w:tr w:rsidR="00F92819">
        <w:tc>
          <w:tcPr>
            <w:tcW w:w="2268" w:type="dxa"/>
            <w:tcBorders>
              <w:top w:val="single" w:sz="4" w:space="0" w:color="auto"/>
            </w:tcBorders>
          </w:tcPr>
          <w:p w:rsidR="00F92819" w:rsidRDefault="00F92819">
            <w:pPr>
              <w:spacing w:before="40" w:after="40" w:line="220" w:lineRule="exact"/>
              <w:rPr>
                <w:szCs w:val="24"/>
              </w:rPr>
            </w:pPr>
            <w:r>
              <w:rPr>
                <w:sz w:val="18"/>
                <w:szCs w:val="24"/>
                <w:lang w:val="es-ES_tradnl"/>
              </w:rPr>
              <w:t>Números absolutos</w:t>
            </w:r>
          </w:p>
        </w:tc>
        <w:tc>
          <w:tcPr>
            <w:tcW w:w="1700" w:type="dxa"/>
            <w:tcBorders>
              <w:top w:val="single" w:sz="4" w:space="0" w:color="auto"/>
            </w:tcBorders>
          </w:tcPr>
          <w:p w:rsidR="00F92819" w:rsidRDefault="00F92819">
            <w:pPr>
              <w:spacing w:before="40" w:after="40" w:line="220" w:lineRule="exact"/>
              <w:jc w:val="right"/>
              <w:rPr>
                <w:sz w:val="18"/>
                <w:szCs w:val="24"/>
              </w:rPr>
            </w:pPr>
            <w:r>
              <w:rPr>
                <w:sz w:val="18"/>
                <w:szCs w:val="24"/>
              </w:rPr>
              <w:t>17 989</w:t>
            </w:r>
          </w:p>
        </w:tc>
        <w:tc>
          <w:tcPr>
            <w:tcW w:w="1701" w:type="dxa"/>
            <w:tcBorders>
              <w:top w:val="single" w:sz="4" w:space="0" w:color="auto"/>
            </w:tcBorders>
          </w:tcPr>
          <w:p w:rsidR="00F92819" w:rsidRDefault="00F92819">
            <w:pPr>
              <w:spacing w:before="40" w:after="40" w:line="220" w:lineRule="exact"/>
              <w:jc w:val="right"/>
              <w:rPr>
                <w:sz w:val="18"/>
                <w:szCs w:val="24"/>
              </w:rPr>
            </w:pPr>
            <w:r>
              <w:rPr>
                <w:sz w:val="18"/>
                <w:szCs w:val="24"/>
              </w:rPr>
              <w:t>19 014</w:t>
            </w:r>
          </w:p>
        </w:tc>
        <w:tc>
          <w:tcPr>
            <w:tcW w:w="1701" w:type="dxa"/>
            <w:tcBorders>
              <w:top w:val="single" w:sz="4" w:space="0" w:color="auto"/>
            </w:tcBorders>
          </w:tcPr>
          <w:p w:rsidR="00F92819" w:rsidRDefault="00F92819">
            <w:pPr>
              <w:spacing w:before="40" w:after="40" w:line="220" w:lineRule="exact"/>
              <w:jc w:val="right"/>
              <w:rPr>
                <w:sz w:val="18"/>
                <w:szCs w:val="24"/>
              </w:rPr>
            </w:pPr>
            <w:r>
              <w:rPr>
                <w:sz w:val="18"/>
                <w:szCs w:val="24"/>
              </w:rPr>
              <w:t>19 527</w:t>
            </w:r>
          </w:p>
        </w:tc>
      </w:tr>
      <w:tr w:rsidR="00F92819">
        <w:tc>
          <w:tcPr>
            <w:tcW w:w="2268" w:type="dxa"/>
          </w:tcPr>
          <w:p w:rsidR="00F92819" w:rsidRDefault="00A63340">
            <w:pPr>
              <w:spacing w:before="40" w:after="40" w:line="220" w:lineRule="exact"/>
              <w:rPr>
                <w:szCs w:val="24"/>
              </w:rPr>
            </w:pPr>
            <w:r>
              <w:rPr>
                <w:sz w:val="18"/>
                <w:szCs w:val="24"/>
                <w:lang w:val="es-ES_tradnl"/>
              </w:rPr>
              <w:t>Porcentaje</w:t>
            </w:r>
          </w:p>
        </w:tc>
        <w:tc>
          <w:tcPr>
            <w:tcW w:w="1700" w:type="dxa"/>
          </w:tcPr>
          <w:p w:rsidR="00F92819" w:rsidRDefault="00F92819">
            <w:pPr>
              <w:spacing w:before="40" w:after="40" w:line="220" w:lineRule="exact"/>
              <w:jc w:val="right"/>
              <w:rPr>
                <w:sz w:val="18"/>
                <w:szCs w:val="24"/>
              </w:rPr>
            </w:pPr>
            <w:r>
              <w:rPr>
                <w:sz w:val="18"/>
                <w:szCs w:val="24"/>
              </w:rPr>
              <w:t>100</w:t>
            </w:r>
          </w:p>
        </w:tc>
        <w:tc>
          <w:tcPr>
            <w:tcW w:w="1701" w:type="dxa"/>
          </w:tcPr>
          <w:p w:rsidR="00F92819" w:rsidRDefault="00F92819">
            <w:pPr>
              <w:spacing w:before="40" w:after="40" w:line="220" w:lineRule="exact"/>
              <w:jc w:val="right"/>
              <w:rPr>
                <w:sz w:val="18"/>
                <w:szCs w:val="24"/>
              </w:rPr>
            </w:pPr>
            <w:r>
              <w:rPr>
                <w:sz w:val="18"/>
                <w:szCs w:val="24"/>
              </w:rPr>
              <w:t>100</w:t>
            </w:r>
          </w:p>
        </w:tc>
        <w:tc>
          <w:tcPr>
            <w:tcW w:w="1701" w:type="dxa"/>
          </w:tcPr>
          <w:p w:rsidR="00F92819" w:rsidRDefault="00F92819">
            <w:pPr>
              <w:spacing w:before="40" w:after="40" w:line="220" w:lineRule="exact"/>
              <w:jc w:val="right"/>
              <w:rPr>
                <w:sz w:val="18"/>
                <w:szCs w:val="24"/>
              </w:rPr>
            </w:pPr>
            <w:r>
              <w:rPr>
                <w:sz w:val="18"/>
                <w:szCs w:val="24"/>
              </w:rPr>
              <w:t>100</w:t>
            </w:r>
          </w:p>
        </w:tc>
      </w:tr>
      <w:tr w:rsidR="00F92819">
        <w:tc>
          <w:tcPr>
            <w:tcW w:w="2268" w:type="dxa"/>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Pr>
                <w:sz w:val="18"/>
                <w:szCs w:val="24"/>
                <w:lang w:val="es-ES_tradnl"/>
              </w:rPr>
              <w:t>mujeres</w:t>
            </w:r>
          </w:p>
        </w:tc>
        <w:tc>
          <w:tcPr>
            <w:tcW w:w="1700" w:type="dxa"/>
          </w:tcPr>
          <w:p w:rsidR="00F92819" w:rsidRDefault="00F92819">
            <w:pPr>
              <w:spacing w:before="40" w:after="40" w:line="220" w:lineRule="exact"/>
              <w:jc w:val="right"/>
              <w:rPr>
                <w:sz w:val="18"/>
                <w:szCs w:val="24"/>
              </w:rPr>
            </w:pPr>
            <w:r>
              <w:rPr>
                <w:sz w:val="18"/>
                <w:szCs w:val="24"/>
              </w:rPr>
              <w:t>58,9</w:t>
            </w:r>
          </w:p>
        </w:tc>
        <w:tc>
          <w:tcPr>
            <w:tcW w:w="1701" w:type="dxa"/>
          </w:tcPr>
          <w:p w:rsidR="00F92819" w:rsidRDefault="00F92819">
            <w:pPr>
              <w:spacing w:before="40" w:after="40" w:line="220" w:lineRule="exact"/>
              <w:jc w:val="right"/>
              <w:rPr>
                <w:sz w:val="18"/>
                <w:szCs w:val="24"/>
              </w:rPr>
            </w:pPr>
            <w:r>
              <w:rPr>
                <w:sz w:val="18"/>
                <w:szCs w:val="24"/>
              </w:rPr>
              <w:t>58,2</w:t>
            </w:r>
          </w:p>
        </w:tc>
        <w:tc>
          <w:tcPr>
            <w:tcW w:w="1701" w:type="dxa"/>
          </w:tcPr>
          <w:p w:rsidR="00F92819" w:rsidRDefault="00F92819">
            <w:pPr>
              <w:spacing w:before="40" w:after="40" w:line="220" w:lineRule="exact"/>
              <w:jc w:val="right"/>
              <w:rPr>
                <w:sz w:val="18"/>
                <w:szCs w:val="24"/>
              </w:rPr>
            </w:pPr>
            <w:r>
              <w:rPr>
                <w:sz w:val="18"/>
                <w:szCs w:val="24"/>
              </w:rPr>
              <w:t>58,7</w:t>
            </w:r>
          </w:p>
        </w:tc>
      </w:tr>
      <w:tr w:rsidR="00F92819">
        <w:tc>
          <w:tcPr>
            <w:tcW w:w="2268" w:type="dxa"/>
            <w:vAlign w:val="bottom"/>
          </w:tcPr>
          <w:p w:rsidR="00F92819" w:rsidRDefault="00F92819">
            <w:pPr>
              <w:spacing w:before="40" w:after="40" w:line="220" w:lineRule="exact"/>
              <w:rPr>
                <w:szCs w:val="24"/>
              </w:rPr>
            </w:pPr>
            <w:r>
              <w:rPr>
                <w:i/>
                <w:sz w:val="18"/>
                <w:szCs w:val="24"/>
                <w:lang w:val="es-ES_tradnl"/>
              </w:rPr>
              <w:t>Grupo de población</w:t>
            </w:r>
          </w:p>
        </w:tc>
        <w:tc>
          <w:tcPr>
            <w:tcW w:w="1700" w:type="dxa"/>
            <w:vAlign w:val="bottom"/>
          </w:tcPr>
          <w:p w:rsidR="00F92819" w:rsidRDefault="00F92819">
            <w:pPr>
              <w:spacing w:before="40" w:after="40" w:line="220" w:lineRule="exact"/>
              <w:jc w:val="right"/>
              <w:rPr>
                <w:sz w:val="18"/>
                <w:szCs w:val="24"/>
              </w:rPr>
            </w:pPr>
          </w:p>
        </w:tc>
        <w:tc>
          <w:tcPr>
            <w:tcW w:w="1701" w:type="dxa"/>
            <w:vAlign w:val="bottom"/>
          </w:tcPr>
          <w:p w:rsidR="00F92819" w:rsidRDefault="00F92819">
            <w:pPr>
              <w:spacing w:before="40" w:after="40" w:line="220" w:lineRule="exact"/>
              <w:jc w:val="right"/>
              <w:rPr>
                <w:sz w:val="18"/>
                <w:szCs w:val="24"/>
              </w:rPr>
            </w:pPr>
          </w:p>
        </w:tc>
        <w:tc>
          <w:tcPr>
            <w:tcW w:w="1701" w:type="dxa"/>
            <w:vAlign w:val="bottom"/>
          </w:tcPr>
          <w:p w:rsidR="00F92819" w:rsidRDefault="00F92819">
            <w:pPr>
              <w:spacing w:before="40" w:after="40" w:line="220" w:lineRule="exact"/>
              <w:jc w:val="right"/>
              <w:rPr>
                <w:sz w:val="18"/>
                <w:szCs w:val="24"/>
              </w:rPr>
            </w:pPr>
          </w:p>
        </w:tc>
      </w:tr>
      <w:tr w:rsidR="00F92819">
        <w:tc>
          <w:tcPr>
            <w:tcW w:w="2268" w:type="dxa"/>
          </w:tcPr>
          <w:p w:rsidR="00F92819" w:rsidRDefault="00F92819">
            <w:pPr>
              <w:spacing w:before="40" w:after="40" w:line="220" w:lineRule="exact"/>
              <w:rPr>
                <w:szCs w:val="24"/>
              </w:rPr>
            </w:pPr>
            <w:r>
              <w:rPr>
                <w:sz w:val="18"/>
                <w:szCs w:val="24"/>
                <w:lang w:val="es-ES_tradnl"/>
              </w:rPr>
              <w:t>Judíos y otras</w:t>
            </w:r>
          </w:p>
        </w:tc>
        <w:tc>
          <w:tcPr>
            <w:tcW w:w="1700" w:type="dxa"/>
            <w:vAlign w:val="center"/>
          </w:tcPr>
          <w:p w:rsidR="00F92819" w:rsidRDefault="00F92819">
            <w:pPr>
              <w:spacing w:before="40" w:after="40" w:line="220" w:lineRule="exact"/>
              <w:jc w:val="right"/>
              <w:rPr>
                <w:sz w:val="18"/>
                <w:szCs w:val="24"/>
              </w:rPr>
            </w:pPr>
            <w:r>
              <w:rPr>
                <w:sz w:val="18"/>
                <w:szCs w:val="24"/>
              </w:rPr>
              <w:t>91,6</w:t>
            </w:r>
          </w:p>
        </w:tc>
        <w:tc>
          <w:tcPr>
            <w:tcW w:w="1701" w:type="dxa"/>
            <w:vAlign w:val="center"/>
          </w:tcPr>
          <w:p w:rsidR="00F92819" w:rsidRDefault="00F92819">
            <w:pPr>
              <w:spacing w:before="40" w:after="40" w:line="220" w:lineRule="exact"/>
              <w:jc w:val="right"/>
              <w:rPr>
                <w:sz w:val="18"/>
                <w:szCs w:val="24"/>
              </w:rPr>
            </w:pPr>
            <w:r>
              <w:rPr>
                <w:sz w:val="18"/>
                <w:szCs w:val="24"/>
              </w:rPr>
              <w:t>92,1</w:t>
            </w:r>
          </w:p>
        </w:tc>
        <w:tc>
          <w:tcPr>
            <w:tcW w:w="1701" w:type="dxa"/>
            <w:vAlign w:val="center"/>
          </w:tcPr>
          <w:p w:rsidR="00F92819" w:rsidRDefault="00F92819">
            <w:pPr>
              <w:spacing w:before="40" w:after="40" w:line="220" w:lineRule="exact"/>
              <w:jc w:val="right"/>
              <w:rPr>
                <w:sz w:val="18"/>
                <w:szCs w:val="24"/>
              </w:rPr>
            </w:pPr>
            <w:r>
              <w:rPr>
                <w:sz w:val="18"/>
                <w:szCs w:val="24"/>
              </w:rPr>
              <w:t>91,7</w:t>
            </w:r>
          </w:p>
        </w:tc>
      </w:tr>
      <w:tr w:rsidR="00F92819">
        <w:tc>
          <w:tcPr>
            <w:tcW w:w="2268" w:type="dxa"/>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Pr>
                <w:sz w:val="18"/>
                <w:szCs w:val="24"/>
                <w:lang w:val="es-ES_tradnl"/>
              </w:rPr>
              <w:t>judíos</w:t>
            </w:r>
          </w:p>
        </w:tc>
        <w:tc>
          <w:tcPr>
            <w:tcW w:w="1700" w:type="dxa"/>
            <w:vAlign w:val="center"/>
          </w:tcPr>
          <w:p w:rsidR="00F92819" w:rsidRDefault="00F92819">
            <w:pPr>
              <w:spacing w:before="40" w:after="40" w:line="220" w:lineRule="exact"/>
              <w:jc w:val="right"/>
              <w:rPr>
                <w:sz w:val="18"/>
                <w:szCs w:val="24"/>
              </w:rPr>
            </w:pPr>
            <w:r>
              <w:rPr>
                <w:sz w:val="18"/>
                <w:szCs w:val="24"/>
              </w:rPr>
              <w:t>89,6</w:t>
            </w:r>
          </w:p>
        </w:tc>
        <w:tc>
          <w:tcPr>
            <w:tcW w:w="1701" w:type="dxa"/>
            <w:vAlign w:val="center"/>
          </w:tcPr>
          <w:p w:rsidR="00F92819" w:rsidRDefault="00F92819">
            <w:pPr>
              <w:spacing w:before="40" w:after="40" w:line="220" w:lineRule="exact"/>
              <w:jc w:val="right"/>
              <w:rPr>
                <w:sz w:val="18"/>
                <w:szCs w:val="24"/>
              </w:rPr>
            </w:pPr>
            <w:r>
              <w:rPr>
                <w:sz w:val="18"/>
                <w:szCs w:val="24"/>
              </w:rPr>
              <w:t>89,7</w:t>
            </w:r>
          </w:p>
        </w:tc>
        <w:tc>
          <w:tcPr>
            <w:tcW w:w="1701" w:type="dxa"/>
            <w:vAlign w:val="center"/>
          </w:tcPr>
          <w:p w:rsidR="00F92819" w:rsidRDefault="00F92819">
            <w:pPr>
              <w:spacing w:before="40" w:after="40" w:line="220" w:lineRule="exact"/>
              <w:jc w:val="right"/>
              <w:rPr>
                <w:sz w:val="18"/>
                <w:szCs w:val="24"/>
              </w:rPr>
            </w:pPr>
            <w:r>
              <w:rPr>
                <w:sz w:val="18"/>
                <w:szCs w:val="24"/>
              </w:rPr>
              <w:t>89</w:t>
            </w:r>
          </w:p>
        </w:tc>
      </w:tr>
      <w:tr w:rsidR="00F92819">
        <w:tc>
          <w:tcPr>
            <w:tcW w:w="2268" w:type="dxa"/>
            <w:tcBorders>
              <w:bottom w:val="single" w:sz="4" w:space="0" w:color="auto"/>
            </w:tcBorders>
          </w:tcPr>
          <w:p w:rsidR="00F92819" w:rsidRDefault="00F92819">
            <w:pPr>
              <w:spacing w:before="40" w:after="40" w:line="220" w:lineRule="exact"/>
              <w:rPr>
                <w:szCs w:val="24"/>
              </w:rPr>
            </w:pPr>
            <w:r>
              <w:rPr>
                <w:sz w:val="18"/>
                <w:szCs w:val="24"/>
                <w:lang w:val="es-ES_tradnl"/>
              </w:rPr>
              <w:t>Árabes</w:t>
            </w:r>
          </w:p>
        </w:tc>
        <w:tc>
          <w:tcPr>
            <w:tcW w:w="1700"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8,4</w:t>
            </w:r>
          </w:p>
        </w:tc>
        <w:tc>
          <w:tcPr>
            <w:tcW w:w="1701"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7,9</w:t>
            </w:r>
          </w:p>
        </w:tc>
        <w:tc>
          <w:tcPr>
            <w:tcW w:w="1701" w:type="dxa"/>
            <w:tcBorders>
              <w:bottom w:val="single" w:sz="4" w:space="0" w:color="auto"/>
            </w:tcBorders>
            <w:vAlign w:val="center"/>
          </w:tcPr>
          <w:p w:rsidR="00F92819" w:rsidRDefault="00F92819">
            <w:pPr>
              <w:spacing w:before="40" w:after="40" w:line="220" w:lineRule="exact"/>
              <w:jc w:val="right"/>
              <w:rPr>
                <w:sz w:val="18"/>
                <w:szCs w:val="24"/>
              </w:rPr>
            </w:pPr>
            <w:r>
              <w:rPr>
                <w:sz w:val="18"/>
                <w:szCs w:val="24"/>
              </w:rPr>
              <w:t>8,3</w:t>
            </w:r>
          </w:p>
        </w:tc>
      </w:tr>
      <w:tr w:rsidR="00F92819">
        <w:tc>
          <w:tcPr>
            <w:tcW w:w="2268" w:type="dxa"/>
            <w:tcBorders>
              <w:top w:val="single" w:sz="4" w:space="0" w:color="auto"/>
              <w:bottom w:val="single" w:sz="4" w:space="0" w:color="auto"/>
            </w:tcBorders>
          </w:tcPr>
          <w:p w:rsidR="00F92819" w:rsidRDefault="00F92819">
            <w:pPr>
              <w:spacing w:before="80" w:after="80" w:line="220" w:lineRule="exact"/>
              <w:ind w:firstLine="284"/>
              <w:rPr>
                <w:szCs w:val="24"/>
              </w:rPr>
            </w:pPr>
            <w:r>
              <w:rPr>
                <w:b/>
                <w:sz w:val="18"/>
                <w:szCs w:val="24"/>
                <w:lang w:val="es-ES_tradnl"/>
              </w:rPr>
              <w:t>Maestría - Total</w:t>
            </w:r>
          </w:p>
        </w:tc>
        <w:tc>
          <w:tcPr>
            <w:tcW w:w="1700" w:type="dxa"/>
            <w:tcBorders>
              <w:top w:val="single" w:sz="4" w:space="0" w:color="auto"/>
              <w:bottom w:val="single" w:sz="4" w:space="0" w:color="auto"/>
            </w:tcBorders>
            <w:vAlign w:val="bottom"/>
          </w:tcPr>
          <w:p w:rsidR="00F92819" w:rsidRDefault="00F92819">
            <w:pPr>
              <w:spacing w:before="80" w:after="80" w:line="220" w:lineRule="exact"/>
              <w:ind w:firstLine="284"/>
              <w:jc w:val="right"/>
              <w:rPr>
                <w:b/>
                <w:sz w:val="18"/>
                <w:szCs w:val="24"/>
              </w:rPr>
            </w:pPr>
          </w:p>
        </w:tc>
        <w:tc>
          <w:tcPr>
            <w:tcW w:w="1701" w:type="dxa"/>
            <w:tcBorders>
              <w:top w:val="single" w:sz="4" w:space="0" w:color="auto"/>
              <w:bottom w:val="single" w:sz="4" w:space="0" w:color="auto"/>
            </w:tcBorders>
            <w:vAlign w:val="bottom"/>
          </w:tcPr>
          <w:p w:rsidR="00F92819" w:rsidRDefault="00F92819">
            <w:pPr>
              <w:spacing w:before="80" w:after="80" w:line="220" w:lineRule="exact"/>
              <w:ind w:firstLine="284"/>
              <w:jc w:val="right"/>
              <w:rPr>
                <w:b/>
                <w:sz w:val="18"/>
                <w:szCs w:val="24"/>
              </w:rPr>
            </w:pPr>
          </w:p>
        </w:tc>
        <w:tc>
          <w:tcPr>
            <w:tcW w:w="1701" w:type="dxa"/>
            <w:tcBorders>
              <w:top w:val="single" w:sz="4" w:space="0" w:color="auto"/>
              <w:bottom w:val="single" w:sz="4" w:space="0" w:color="auto"/>
            </w:tcBorders>
            <w:vAlign w:val="bottom"/>
          </w:tcPr>
          <w:p w:rsidR="00F92819" w:rsidRDefault="00F92819">
            <w:pPr>
              <w:spacing w:before="80" w:after="80" w:line="220" w:lineRule="exact"/>
              <w:ind w:firstLine="284"/>
              <w:jc w:val="right"/>
              <w:rPr>
                <w:b/>
                <w:sz w:val="18"/>
                <w:szCs w:val="24"/>
              </w:rPr>
            </w:pPr>
          </w:p>
        </w:tc>
      </w:tr>
      <w:tr w:rsidR="00F92819">
        <w:tc>
          <w:tcPr>
            <w:tcW w:w="2268" w:type="dxa"/>
            <w:tcBorders>
              <w:top w:val="single" w:sz="4" w:space="0" w:color="auto"/>
            </w:tcBorders>
          </w:tcPr>
          <w:p w:rsidR="00F92819" w:rsidRDefault="00F92819">
            <w:pPr>
              <w:spacing w:before="40" w:after="40" w:line="220" w:lineRule="exact"/>
              <w:rPr>
                <w:szCs w:val="24"/>
              </w:rPr>
            </w:pPr>
            <w:r>
              <w:rPr>
                <w:sz w:val="18"/>
                <w:szCs w:val="24"/>
                <w:lang w:val="es-ES_tradnl"/>
              </w:rPr>
              <w:t>Números absolutos</w:t>
            </w:r>
          </w:p>
        </w:tc>
        <w:tc>
          <w:tcPr>
            <w:tcW w:w="1700"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10 135</w:t>
            </w:r>
          </w:p>
        </w:tc>
        <w:tc>
          <w:tcPr>
            <w:tcW w:w="1701"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11 093</w:t>
            </w:r>
          </w:p>
        </w:tc>
        <w:tc>
          <w:tcPr>
            <w:tcW w:w="1701"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11 762</w:t>
            </w:r>
          </w:p>
        </w:tc>
      </w:tr>
      <w:tr w:rsidR="00F92819">
        <w:tc>
          <w:tcPr>
            <w:tcW w:w="2268" w:type="dxa"/>
          </w:tcPr>
          <w:p w:rsidR="00F92819" w:rsidRDefault="00A63340">
            <w:pPr>
              <w:spacing w:before="40" w:after="40" w:line="220" w:lineRule="exact"/>
              <w:rPr>
                <w:szCs w:val="24"/>
              </w:rPr>
            </w:pPr>
            <w:r>
              <w:rPr>
                <w:sz w:val="18"/>
                <w:szCs w:val="24"/>
                <w:lang w:val="es-ES_tradnl"/>
              </w:rPr>
              <w:t>Porcentaje</w:t>
            </w:r>
          </w:p>
        </w:tc>
        <w:tc>
          <w:tcPr>
            <w:tcW w:w="1700" w:type="dxa"/>
            <w:vAlign w:val="center"/>
          </w:tcPr>
          <w:p w:rsidR="00F92819" w:rsidRDefault="00F92819">
            <w:pPr>
              <w:spacing w:before="40" w:after="40" w:line="220" w:lineRule="exact"/>
              <w:jc w:val="right"/>
              <w:rPr>
                <w:sz w:val="18"/>
                <w:szCs w:val="24"/>
              </w:rPr>
            </w:pPr>
            <w:r>
              <w:rPr>
                <w:sz w:val="18"/>
                <w:szCs w:val="24"/>
              </w:rPr>
              <w:t>100</w:t>
            </w:r>
          </w:p>
        </w:tc>
        <w:tc>
          <w:tcPr>
            <w:tcW w:w="1701" w:type="dxa"/>
            <w:vAlign w:val="center"/>
          </w:tcPr>
          <w:p w:rsidR="00F92819" w:rsidRDefault="00F92819">
            <w:pPr>
              <w:spacing w:before="40" w:after="40" w:line="220" w:lineRule="exact"/>
              <w:jc w:val="right"/>
              <w:rPr>
                <w:sz w:val="18"/>
                <w:szCs w:val="24"/>
              </w:rPr>
            </w:pPr>
            <w:r>
              <w:rPr>
                <w:sz w:val="18"/>
                <w:szCs w:val="24"/>
              </w:rPr>
              <w:t>100</w:t>
            </w:r>
          </w:p>
        </w:tc>
        <w:tc>
          <w:tcPr>
            <w:tcW w:w="1701" w:type="dxa"/>
            <w:vAlign w:val="center"/>
          </w:tcPr>
          <w:p w:rsidR="00F92819" w:rsidRDefault="00F92819">
            <w:pPr>
              <w:spacing w:before="40" w:after="40" w:line="220" w:lineRule="exact"/>
              <w:jc w:val="right"/>
              <w:rPr>
                <w:sz w:val="18"/>
                <w:szCs w:val="24"/>
              </w:rPr>
            </w:pPr>
            <w:r>
              <w:rPr>
                <w:sz w:val="18"/>
                <w:szCs w:val="24"/>
              </w:rPr>
              <w:t>100</w:t>
            </w:r>
          </w:p>
        </w:tc>
      </w:tr>
      <w:tr w:rsidR="00F92819">
        <w:tc>
          <w:tcPr>
            <w:tcW w:w="2268" w:type="dxa"/>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Pr>
                <w:sz w:val="18"/>
                <w:szCs w:val="24"/>
                <w:lang w:val="es-ES_tradnl"/>
              </w:rPr>
              <w:t>mujeres</w:t>
            </w:r>
          </w:p>
        </w:tc>
        <w:tc>
          <w:tcPr>
            <w:tcW w:w="1700" w:type="dxa"/>
            <w:vAlign w:val="center"/>
          </w:tcPr>
          <w:p w:rsidR="00F92819" w:rsidRDefault="00F92819">
            <w:pPr>
              <w:spacing w:before="40" w:after="40" w:line="220" w:lineRule="exact"/>
              <w:jc w:val="right"/>
              <w:rPr>
                <w:sz w:val="18"/>
                <w:szCs w:val="24"/>
              </w:rPr>
            </w:pPr>
            <w:r>
              <w:rPr>
                <w:sz w:val="18"/>
                <w:szCs w:val="24"/>
              </w:rPr>
              <w:t>57</w:t>
            </w:r>
          </w:p>
        </w:tc>
        <w:tc>
          <w:tcPr>
            <w:tcW w:w="1701" w:type="dxa"/>
            <w:vAlign w:val="center"/>
          </w:tcPr>
          <w:p w:rsidR="00F92819" w:rsidRDefault="00F92819">
            <w:pPr>
              <w:spacing w:before="40" w:after="40" w:line="220" w:lineRule="exact"/>
              <w:jc w:val="right"/>
              <w:rPr>
                <w:sz w:val="18"/>
                <w:szCs w:val="24"/>
              </w:rPr>
            </w:pPr>
            <w:r>
              <w:rPr>
                <w:sz w:val="18"/>
                <w:szCs w:val="24"/>
              </w:rPr>
              <w:t>57,5</w:t>
            </w:r>
          </w:p>
        </w:tc>
        <w:tc>
          <w:tcPr>
            <w:tcW w:w="1701" w:type="dxa"/>
            <w:vAlign w:val="center"/>
          </w:tcPr>
          <w:p w:rsidR="00F92819" w:rsidRDefault="00F92819">
            <w:pPr>
              <w:spacing w:before="40" w:after="40" w:line="220" w:lineRule="exact"/>
              <w:jc w:val="right"/>
              <w:rPr>
                <w:sz w:val="18"/>
                <w:szCs w:val="24"/>
              </w:rPr>
            </w:pPr>
            <w:r>
              <w:rPr>
                <w:sz w:val="18"/>
                <w:szCs w:val="24"/>
              </w:rPr>
              <w:t>56,3</w:t>
            </w:r>
          </w:p>
        </w:tc>
      </w:tr>
      <w:tr w:rsidR="00F92819">
        <w:tc>
          <w:tcPr>
            <w:tcW w:w="2268" w:type="dxa"/>
          </w:tcPr>
          <w:p w:rsidR="00F92819" w:rsidRDefault="00F92819">
            <w:pPr>
              <w:spacing w:before="40" w:after="40" w:line="220" w:lineRule="exact"/>
              <w:rPr>
                <w:szCs w:val="24"/>
              </w:rPr>
            </w:pPr>
            <w:r>
              <w:rPr>
                <w:i/>
                <w:sz w:val="18"/>
                <w:szCs w:val="24"/>
                <w:lang w:val="es-ES_tradnl"/>
              </w:rPr>
              <w:t>Grupo de población</w:t>
            </w:r>
          </w:p>
        </w:tc>
        <w:tc>
          <w:tcPr>
            <w:tcW w:w="1700" w:type="dxa"/>
            <w:vAlign w:val="bottom"/>
          </w:tcPr>
          <w:p w:rsidR="00F92819" w:rsidRDefault="00F92819">
            <w:pPr>
              <w:spacing w:before="40" w:after="40" w:line="220" w:lineRule="exact"/>
              <w:jc w:val="right"/>
              <w:rPr>
                <w:sz w:val="18"/>
                <w:szCs w:val="24"/>
              </w:rPr>
            </w:pPr>
          </w:p>
        </w:tc>
        <w:tc>
          <w:tcPr>
            <w:tcW w:w="1701" w:type="dxa"/>
            <w:vAlign w:val="bottom"/>
          </w:tcPr>
          <w:p w:rsidR="00F92819" w:rsidRDefault="00F92819">
            <w:pPr>
              <w:spacing w:before="40" w:after="40" w:line="220" w:lineRule="exact"/>
              <w:jc w:val="right"/>
              <w:rPr>
                <w:sz w:val="18"/>
                <w:szCs w:val="24"/>
              </w:rPr>
            </w:pPr>
          </w:p>
        </w:tc>
        <w:tc>
          <w:tcPr>
            <w:tcW w:w="1701" w:type="dxa"/>
            <w:vAlign w:val="bottom"/>
          </w:tcPr>
          <w:p w:rsidR="00F92819" w:rsidRDefault="00F92819">
            <w:pPr>
              <w:spacing w:before="40" w:after="40" w:line="220" w:lineRule="exact"/>
              <w:jc w:val="right"/>
              <w:rPr>
                <w:sz w:val="18"/>
                <w:szCs w:val="24"/>
              </w:rPr>
            </w:pPr>
          </w:p>
        </w:tc>
      </w:tr>
      <w:tr w:rsidR="00F92819">
        <w:tc>
          <w:tcPr>
            <w:tcW w:w="2268" w:type="dxa"/>
          </w:tcPr>
          <w:p w:rsidR="00F92819" w:rsidRDefault="00F92819">
            <w:pPr>
              <w:spacing w:before="40" w:after="40" w:line="220" w:lineRule="exact"/>
              <w:rPr>
                <w:szCs w:val="24"/>
              </w:rPr>
            </w:pPr>
            <w:r>
              <w:rPr>
                <w:sz w:val="18"/>
                <w:szCs w:val="24"/>
                <w:lang w:val="es-ES_tradnl"/>
              </w:rPr>
              <w:t>Judíos y otros</w:t>
            </w:r>
          </w:p>
        </w:tc>
        <w:tc>
          <w:tcPr>
            <w:tcW w:w="1700" w:type="dxa"/>
            <w:vAlign w:val="center"/>
          </w:tcPr>
          <w:p w:rsidR="00F92819" w:rsidRDefault="00F92819">
            <w:pPr>
              <w:spacing w:before="40" w:after="40" w:line="220" w:lineRule="exact"/>
              <w:jc w:val="right"/>
              <w:rPr>
                <w:sz w:val="18"/>
                <w:szCs w:val="24"/>
              </w:rPr>
            </w:pPr>
            <w:r>
              <w:rPr>
                <w:sz w:val="18"/>
                <w:szCs w:val="24"/>
              </w:rPr>
              <w:t>95,5</w:t>
            </w:r>
          </w:p>
        </w:tc>
        <w:tc>
          <w:tcPr>
            <w:tcW w:w="1701" w:type="dxa"/>
            <w:vAlign w:val="center"/>
          </w:tcPr>
          <w:p w:rsidR="00F92819" w:rsidRDefault="00F92819">
            <w:pPr>
              <w:spacing w:before="40" w:after="40" w:line="220" w:lineRule="exact"/>
              <w:jc w:val="right"/>
              <w:rPr>
                <w:sz w:val="18"/>
                <w:szCs w:val="24"/>
              </w:rPr>
            </w:pPr>
            <w:r>
              <w:rPr>
                <w:sz w:val="18"/>
                <w:szCs w:val="24"/>
              </w:rPr>
              <w:t>95,6</w:t>
            </w:r>
          </w:p>
        </w:tc>
        <w:tc>
          <w:tcPr>
            <w:tcW w:w="1701" w:type="dxa"/>
            <w:vAlign w:val="center"/>
          </w:tcPr>
          <w:p w:rsidR="00F92819" w:rsidRDefault="00F92819">
            <w:pPr>
              <w:spacing w:before="40" w:after="40" w:line="220" w:lineRule="exact"/>
              <w:jc w:val="right"/>
              <w:rPr>
                <w:sz w:val="18"/>
                <w:szCs w:val="24"/>
              </w:rPr>
            </w:pPr>
            <w:r>
              <w:rPr>
                <w:sz w:val="18"/>
                <w:szCs w:val="24"/>
              </w:rPr>
              <w:t>95,6</w:t>
            </w:r>
          </w:p>
        </w:tc>
      </w:tr>
      <w:tr w:rsidR="00F92819">
        <w:tc>
          <w:tcPr>
            <w:tcW w:w="2268" w:type="dxa"/>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Pr>
                <w:sz w:val="18"/>
                <w:szCs w:val="24"/>
                <w:lang w:val="es-ES_tradnl"/>
              </w:rPr>
              <w:t>judíos</w:t>
            </w:r>
          </w:p>
        </w:tc>
        <w:tc>
          <w:tcPr>
            <w:tcW w:w="1700" w:type="dxa"/>
            <w:vAlign w:val="center"/>
          </w:tcPr>
          <w:p w:rsidR="00F92819" w:rsidRDefault="00F92819">
            <w:pPr>
              <w:spacing w:before="40" w:after="40" w:line="220" w:lineRule="exact"/>
              <w:jc w:val="right"/>
              <w:rPr>
                <w:sz w:val="18"/>
                <w:szCs w:val="24"/>
              </w:rPr>
            </w:pPr>
            <w:r>
              <w:rPr>
                <w:sz w:val="18"/>
                <w:szCs w:val="24"/>
              </w:rPr>
              <w:t>94,5</w:t>
            </w:r>
          </w:p>
        </w:tc>
        <w:tc>
          <w:tcPr>
            <w:tcW w:w="1701" w:type="dxa"/>
            <w:vAlign w:val="center"/>
          </w:tcPr>
          <w:p w:rsidR="00F92819" w:rsidRDefault="00F92819">
            <w:pPr>
              <w:spacing w:before="40" w:after="40" w:line="220" w:lineRule="exact"/>
              <w:jc w:val="right"/>
              <w:rPr>
                <w:sz w:val="18"/>
                <w:szCs w:val="24"/>
              </w:rPr>
            </w:pPr>
            <w:r>
              <w:rPr>
                <w:sz w:val="18"/>
                <w:szCs w:val="24"/>
              </w:rPr>
              <w:t>94,3</w:t>
            </w:r>
          </w:p>
        </w:tc>
        <w:tc>
          <w:tcPr>
            <w:tcW w:w="1701" w:type="dxa"/>
            <w:vAlign w:val="center"/>
          </w:tcPr>
          <w:p w:rsidR="00F92819" w:rsidRDefault="00F92819">
            <w:pPr>
              <w:spacing w:before="40" w:after="40" w:line="220" w:lineRule="exact"/>
              <w:jc w:val="right"/>
              <w:rPr>
                <w:sz w:val="18"/>
                <w:szCs w:val="24"/>
              </w:rPr>
            </w:pPr>
            <w:r>
              <w:rPr>
                <w:sz w:val="18"/>
                <w:szCs w:val="24"/>
              </w:rPr>
              <w:t>94</w:t>
            </w:r>
          </w:p>
        </w:tc>
      </w:tr>
      <w:tr w:rsidR="00F92819">
        <w:tc>
          <w:tcPr>
            <w:tcW w:w="2268" w:type="dxa"/>
          </w:tcPr>
          <w:p w:rsidR="00F92819" w:rsidRDefault="00F92819">
            <w:pPr>
              <w:spacing w:before="40" w:after="40" w:line="220" w:lineRule="exact"/>
              <w:rPr>
                <w:szCs w:val="24"/>
              </w:rPr>
            </w:pPr>
            <w:r>
              <w:rPr>
                <w:sz w:val="18"/>
                <w:szCs w:val="24"/>
                <w:lang w:val="es-ES_tradnl"/>
              </w:rPr>
              <w:t>Árabes</w:t>
            </w:r>
          </w:p>
        </w:tc>
        <w:tc>
          <w:tcPr>
            <w:tcW w:w="1700" w:type="dxa"/>
            <w:vAlign w:val="center"/>
          </w:tcPr>
          <w:p w:rsidR="00F92819" w:rsidRDefault="00F92819">
            <w:pPr>
              <w:spacing w:before="40" w:after="40" w:line="220" w:lineRule="exact"/>
              <w:jc w:val="right"/>
              <w:rPr>
                <w:sz w:val="18"/>
                <w:szCs w:val="24"/>
              </w:rPr>
            </w:pPr>
            <w:r>
              <w:rPr>
                <w:sz w:val="18"/>
                <w:szCs w:val="24"/>
              </w:rPr>
              <w:t>4,5</w:t>
            </w:r>
          </w:p>
        </w:tc>
        <w:tc>
          <w:tcPr>
            <w:tcW w:w="1701" w:type="dxa"/>
            <w:vAlign w:val="center"/>
          </w:tcPr>
          <w:p w:rsidR="00F92819" w:rsidRDefault="00F92819">
            <w:pPr>
              <w:spacing w:before="40" w:after="40" w:line="220" w:lineRule="exact"/>
              <w:jc w:val="right"/>
              <w:rPr>
                <w:sz w:val="18"/>
                <w:szCs w:val="24"/>
              </w:rPr>
            </w:pPr>
            <w:r>
              <w:rPr>
                <w:sz w:val="18"/>
                <w:szCs w:val="24"/>
              </w:rPr>
              <w:t>4,4</w:t>
            </w:r>
          </w:p>
        </w:tc>
        <w:tc>
          <w:tcPr>
            <w:tcW w:w="1701" w:type="dxa"/>
            <w:vAlign w:val="center"/>
          </w:tcPr>
          <w:p w:rsidR="00F92819" w:rsidRDefault="00F92819">
            <w:pPr>
              <w:spacing w:before="40" w:after="40" w:line="220" w:lineRule="exact"/>
              <w:jc w:val="right"/>
              <w:rPr>
                <w:sz w:val="18"/>
                <w:szCs w:val="24"/>
              </w:rPr>
            </w:pPr>
            <w:r>
              <w:rPr>
                <w:sz w:val="18"/>
                <w:szCs w:val="24"/>
              </w:rPr>
              <w:t>4,3</w:t>
            </w:r>
          </w:p>
        </w:tc>
      </w:tr>
      <w:tr w:rsidR="00F92819">
        <w:tc>
          <w:tcPr>
            <w:tcW w:w="2268" w:type="dxa"/>
            <w:tcBorders>
              <w:bottom w:val="single" w:sz="4" w:space="0" w:color="auto"/>
            </w:tcBorders>
          </w:tcPr>
          <w:p w:rsidR="00F92819" w:rsidRDefault="00F92819">
            <w:pPr>
              <w:keepNext/>
              <w:spacing w:before="80" w:after="80" w:line="220" w:lineRule="exact"/>
              <w:ind w:firstLine="284"/>
              <w:rPr>
                <w:szCs w:val="24"/>
              </w:rPr>
            </w:pPr>
            <w:r>
              <w:rPr>
                <w:b/>
                <w:sz w:val="18"/>
                <w:szCs w:val="24"/>
                <w:lang w:val="es-ES_tradnl"/>
              </w:rPr>
              <w:t>Doctorado - Total</w:t>
            </w:r>
          </w:p>
        </w:tc>
        <w:tc>
          <w:tcPr>
            <w:tcW w:w="1700" w:type="dxa"/>
            <w:tcBorders>
              <w:bottom w:val="single" w:sz="4" w:space="0" w:color="auto"/>
            </w:tcBorders>
            <w:vAlign w:val="bottom"/>
          </w:tcPr>
          <w:p w:rsidR="00F92819" w:rsidRDefault="00F92819">
            <w:pPr>
              <w:keepNext/>
              <w:spacing w:before="80" w:after="80" w:line="220" w:lineRule="exact"/>
              <w:ind w:firstLine="284"/>
              <w:jc w:val="right"/>
              <w:rPr>
                <w:b/>
                <w:sz w:val="18"/>
                <w:szCs w:val="24"/>
              </w:rPr>
            </w:pPr>
          </w:p>
        </w:tc>
        <w:tc>
          <w:tcPr>
            <w:tcW w:w="1701" w:type="dxa"/>
            <w:tcBorders>
              <w:bottom w:val="single" w:sz="4" w:space="0" w:color="auto"/>
            </w:tcBorders>
            <w:vAlign w:val="bottom"/>
          </w:tcPr>
          <w:p w:rsidR="00F92819" w:rsidRDefault="00F92819">
            <w:pPr>
              <w:keepNext/>
              <w:spacing w:before="80" w:after="80" w:line="220" w:lineRule="exact"/>
              <w:ind w:firstLine="284"/>
              <w:jc w:val="right"/>
              <w:rPr>
                <w:b/>
                <w:sz w:val="18"/>
                <w:szCs w:val="24"/>
              </w:rPr>
            </w:pPr>
          </w:p>
        </w:tc>
        <w:tc>
          <w:tcPr>
            <w:tcW w:w="1701" w:type="dxa"/>
            <w:tcBorders>
              <w:bottom w:val="single" w:sz="4" w:space="0" w:color="auto"/>
            </w:tcBorders>
            <w:vAlign w:val="bottom"/>
          </w:tcPr>
          <w:p w:rsidR="00F92819" w:rsidRDefault="00F92819">
            <w:pPr>
              <w:keepNext/>
              <w:spacing w:before="80" w:after="80" w:line="220" w:lineRule="exact"/>
              <w:ind w:firstLine="284"/>
              <w:jc w:val="right"/>
              <w:rPr>
                <w:b/>
                <w:sz w:val="18"/>
                <w:szCs w:val="24"/>
              </w:rPr>
            </w:pPr>
          </w:p>
        </w:tc>
      </w:tr>
      <w:tr w:rsidR="00F92819">
        <w:tc>
          <w:tcPr>
            <w:tcW w:w="2268" w:type="dxa"/>
            <w:tcBorders>
              <w:top w:val="single" w:sz="4" w:space="0" w:color="auto"/>
            </w:tcBorders>
          </w:tcPr>
          <w:p w:rsidR="00F92819" w:rsidRDefault="00F92819">
            <w:pPr>
              <w:keepNext/>
              <w:spacing w:before="40" w:after="40" w:line="220" w:lineRule="exact"/>
              <w:rPr>
                <w:szCs w:val="24"/>
              </w:rPr>
            </w:pPr>
            <w:r>
              <w:rPr>
                <w:sz w:val="18"/>
                <w:szCs w:val="24"/>
                <w:lang w:val="es-ES_tradnl"/>
              </w:rPr>
              <w:t>Números absolutos</w:t>
            </w:r>
          </w:p>
        </w:tc>
        <w:tc>
          <w:tcPr>
            <w:tcW w:w="1700" w:type="dxa"/>
            <w:tcBorders>
              <w:top w:val="single" w:sz="4" w:space="0" w:color="auto"/>
            </w:tcBorders>
            <w:vAlign w:val="center"/>
          </w:tcPr>
          <w:p w:rsidR="00F92819" w:rsidRDefault="00F92819">
            <w:pPr>
              <w:keepNext/>
              <w:spacing w:before="40" w:after="40" w:line="220" w:lineRule="exact"/>
              <w:jc w:val="right"/>
              <w:rPr>
                <w:sz w:val="18"/>
                <w:szCs w:val="24"/>
              </w:rPr>
            </w:pPr>
            <w:r>
              <w:rPr>
                <w:sz w:val="18"/>
                <w:szCs w:val="24"/>
              </w:rPr>
              <w:t>1 135</w:t>
            </w:r>
          </w:p>
        </w:tc>
        <w:tc>
          <w:tcPr>
            <w:tcW w:w="1701" w:type="dxa"/>
            <w:tcBorders>
              <w:top w:val="single" w:sz="4" w:space="0" w:color="auto"/>
            </w:tcBorders>
            <w:vAlign w:val="center"/>
          </w:tcPr>
          <w:p w:rsidR="00F92819" w:rsidRDefault="00F92819">
            <w:pPr>
              <w:keepNext/>
              <w:spacing w:before="40" w:after="40" w:line="220" w:lineRule="exact"/>
              <w:jc w:val="right"/>
              <w:rPr>
                <w:sz w:val="18"/>
                <w:szCs w:val="24"/>
              </w:rPr>
            </w:pPr>
            <w:r>
              <w:rPr>
                <w:sz w:val="18"/>
                <w:szCs w:val="24"/>
              </w:rPr>
              <w:t>1 209</w:t>
            </w:r>
          </w:p>
        </w:tc>
        <w:tc>
          <w:tcPr>
            <w:tcW w:w="1701" w:type="dxa"/>
            <w:tcBorders>
              <w:top w:val="single" w:sz="4" w:space="0" w:color="auto"/>
            </w:tcBorders>
            <w:vAlign w:val="center"/>
          </w:tcPr>
          <w:p w:rsidR="00F92819" w:rsidRDefault="00F92819">
            <w:pPr>
              <w:keepNext/>
              <w:spacing w:before="40" w:after="40" w:line="220" w:lineRule="exact"/>
              <w:jc w:val="right"/>
              <w:rPr>
                <w:sz w:val="18"/>
                <w:szCs w:val="24"/>
              </w:rPr>
            </w:pPr>
            <w:r>
              <w:rPr>
                <w:sz w:val="18"/>
                <w:szCs w:val="24"/>
              </w:rPr>
              <w:t>1 288</w:t>
            </w:r>
          </w:p>
        </w:tc>
      </w:tr>
      <w:tr w:rsidR="00F92819">
        <w:tc>
          <w:tcPr>
            <w:tcW w:w="2268" w:type="dxa"/>
          </w:tcPr>
          <w:p w:rsidR="00F92819" w:rsidRDefault="00A63340">
            <w:pPr>
              <w:keepNext/>
              <w:spacing w:before="40" w:after="40" w:line="220" w:lineRule="exact"/>
              <w:rPr>
                <w:szCs w:val="24"/>
              </w:rPr>
            </w:pPr>
            <w:r>
              <w:rPr>
                <w:sz w:val="18"/>
                <w:szCs w:val="24"/>
                <w:lang w:val="es-ES_tradnl"/>
              </w:rPr>
              <w:t>Porcentaje</w:t>
            </w:r>
          </w:p>
        </w:tc>
        <w:tc>
          <w:tcPr>
            <w:tcW w:w="1700" w:type="dxa"/>
            <w:vAlign w:val="center"/>
          </w:tcPr>
          <w:p w:rsidR="00F92819" w:rsidRDefault="00F92819">
            <w:pPr>
              <w:keepNext/>
              <w:spacing w:before="40" w:after="40" w:line="220" w:lineRule="exact"/>
              <w:jc w:val="right"/>
              <w:rPr>
                <w:sz w:val="18"/>
                <w:szCs w:val="24"/>
              </w:rPr>
            </w:pPr>
            <w:r>
              <w:rPr>
                <w:sz w:val="18"/>
                <w:szCs w:val="24"/>
              </w:rPr>
              <w:t>100</w:t>
            </w:r>
          </w:p>
        </w:tc>
        <w:tc>
          <w:tcPr>
            <w:tcW w:w="1701" w:type="dxa"/>
            <w:vAlign w:val="center"/>
          </w:tcPr>
          <w:p w:rsidR="00F92819" w:rsidRDefault="00F92819">
            <w:pPr>
              <w:keepNext/>
              <w:spacing w:before="40" w:after="40" w:line="220" w:lineRule="exact"/>
              <w:jc w:val="right"/>
              <w:rPr>
                <w:sz w:val="18"/>
                <w:szCs w:val="24"/>
              </w:rPr>
            </w:pPr>
            <w:r>
              <w:rPr>
                <w:sz w:val="18"/>
                <w:szCs w:val="24"/>
              </w:rPr>
              <w:t>100</w:t>
            </w:r>
          </w:p>
        </w:tc>
        <w:tc>
          <w:tcPr>
            <w:tcW w:w="1701" w:type="dxa"/>
            <w:vAlign w:val="center"/>
          </w:tcPr>
          <w:p w:rsidR="00F92819" w:rsidRDefault="00F92819">
            <w:pPr>
              <w:keepNext/>
              <w:spacing w:before="40" w:after="40" w:line="220" w:lineRule="exact"/>
              <w:jc w:val="right"/>
              <w:rPr>
                <w:sz w:val="18"/>
                <w:szCs w:val="24"/>
              </w:rPr>
            </w:pPr>
            <w:r>
              <w:rPr>
                <w:sz w:val="18"/>
                <w:szCs w:val="24"/>
              </w:rPr>
              <w:t>100</w:t>
            </w:r>
          </w:p>
        </w:tc>
      </w:tr>
      <w:tr w:rsidR="00F92819">
        <w:tc>
          <w:tcPr>
            <w:tcW w:w="2268" w:type="dxa"/>
            <w:tcBorders>
              <w:bottom w:val="single" w:sz="12" w:space="0" w:color="auto"/>
            </w:tcBorders>
          </w:tcPr>
          <w:p w:rsidR="00F92819" w:rsidRDefault="00F92819">
            <w:pPr>
              <w:spacing w:before="40" w:after="40" w:line="220" w:lineRule="exact"/>
              <w:rPr>
                <w:szCs w:val="24"/>
              </w:rPr>
            </w:pPr>
            <w:r>
              <w:rPr>
                <w:sz w:val="18"/>
                <w:szCs w:val="24"/>
                <w:lang w:val="es-ES_tradnl"/>
              </w:rPr>
              <w:t>De los cuales:</w:t>
            </w:r>
            <w:r>
              <w:rPr>
                <w:sz w:val="18"/>
                <w:szCs w:val="24"/>
              </w:rPr>
              <w:t xml:space="preserve"> </w:t>
            </w:r>
            <w:r>
              <w:rPr>
                <w:sz w:val="18"/>
                <w:szCs w:val="24"/>
                <w:lang w:val="es-ES_tradnl"/>
              </w:rPr>
              <w:t>mujeres</w:t>
            </w:r>
          </w:p>
        </w:tc>
        <w:tc>
          <w:tcPr>
            <w:tcW w:w="1700"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50,1</w:t>
            </w:r>
          </w:p>
        </w:tc>
        <w:tc>
          <w:tcPr>
            <w:tcW w:w="1701"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51</w:t>
            </w:r>
          </w:p>
        </w:tc>
        <w:tc>
          <w:tcPr>
            <w:tcW w:w="1701"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53</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pStyle w:val="SingleTxtG"/>
        <w:spacing w:before="240"/>
        <w:rPr>
          <w:szCs w:val="24"/>
        </w:rPr>
      </w:pPr>
      <w:r>
        <w:rPr>
          <w:szCs w:val="24"/>
        </w:rPr>
        <w:t>572.</w:t>
      </w:r>
      <w:r>
        <w:rPr>
          <w:szCs w:val="24"/>
        </w:rPr>
        <w:tab/>
      </w:r>
      <w:r>
        <w:rPr>
          <w:szCs w:val="24"/>
          <w:lang w:val="es-ES_tradnl"/>
        </w:rPr>
        <w:t xml:space="preserve">En 2006/2007 un total de 20.942 receptores obtuvieron una licenciatura </w:t>
      </w:r>
      <w:r>
        <w:rPr>
          <w:spacing w:val="2"/>
          <w:szCs w:val="24"/>
          <w:lang w:val="es-ES_tradnl"/>
        </w:rPr>
        <w:t>de instituciones de enseñanza superior no universitaria y de escuelas de formación de profesorado</w:t>
      </w:r>
      <w:r>
        <w:rPr>
          <w:szCs w:val="24"/>
          <w:lang w:val="es-ES_tradnl"/>
        </w:rPr>
        <w:t>:</w:t>
      </w:r>
      <w:r>
        <w:rPr>
          <w:szCs w:val="24"/>
        </w:rPr>
        <w:t xml:space="preserve"> </w:t>
      </w:r>
      <w:r>
        <w:rPr>
          <w:szCs w:val="24"/>
          <w:lang w:val="es-ES_tradnl"/>
        </w:rPr>
        <w:t xml:space="preserve">2.095 de </w:t>
      </w:r>
      <w:smartTag w:uri="urn:schemas-microsoft-com:office:smarttags" w:element="PersonName">
        <w:smartTagPr>
          <w:attr w:name="ProductID" w:val="la Universidad Abierta"/>
        </w:smartTagPr>
        <w:r>
          <w:rPr>
            <w:szCs w:val="24"/>
            <w:lang w:val="es-ES_tradnl"/>
          </w:rPr>
          <w:t>la Universidad Abierta</w:t>
        </w:r>
      </w:smartTag>
      <w:r>
        <w:rPr>
          <w:szCs w:val="24"/>
          <w:lang w:val="es-ES_tradnl"/>
        </w:rPr>
        <w:t>, 12.206 de varias facultades universitarias y 5.433 de escuelas de formación de profesorado.</w:t>
      </w:r>
    </w:p>
    <w:p w:rsidR="00F92819" w:rsidRDefault="00F92819">
      <w:pPr>
        <w:pStyle w:val="H23G"/>
        <w:rPr>
          <w:szCs w:val="24"/>
        </w:rPr>
      </w:pPr>
      <w:r>
        <w:rPr>
          <w:szCs w:val="24"/>
        </w:rPr>
        <w:tab/>
      </w:r>
      <w:r>
        <w:rPr>
          <w:szCs w:val="24"/>
        </w:rPr>
        <w:tab/>
      </w:r>
      <w:r>
        <w:rPr>
          <w:szCs w:val="24"/>
          <w:lang w:val="es-ES_tradnl"/>
        </w:rPr>
        <w:t>Construcción de nuevas escuelas</w:t>
      </w:r>
    </w:p>
    <w:p w:rsidR="00F92819" w:rsidRDefault="00F92819">
      <w:pPr>
        <w:pStyle w:val="SingleTxtG"/>
        <w:rPr>
          <w:szCs w:val="24"/>
        </w:rPr>
      </w:pPr>
      <w:r>
        <w:rPr>
          <w:szCs w:val="24"/>
        </w:rPr>
        <w:t>573.</w:t>
      </w:r>
      <w:r>
        <w:rPr>
          <w:szCs w:val="24"/>
        </w:rPr>
        <w:tab/>
      </w:r>
      <w:r>
        <w:rPr>
          <w:szCs w:val="24"/>
          <w:lang w:val="es-ES_tradnl"/>
        </w:rPr>
        <w:t xml:space="preserve">Desde la presentación </w:t>
      </w:r>
      <w:smartTag w:uri="urn:schemas-microsoft-com:office:smarttags" w:element="State">
        <w:r>
          <w:rPr>
            <w:szCs w:val="24"/>
            <w:lang w:val="es-ES_tradnl"/>
          </w:rPr>
          <w:t>del</w:t>
        </w:r>
      </w:smartTag>
      <w:r>
        <w:rPr>
          <w:szCs w:val="24"/>
          <w:lang w:val="es-ES_tradnl"/>
        </w:rPr>
        <w:t xml:space="preserve"> informe anterior de Israel, ha habido un aumento constante </w:t>
      </w:r>
      <w:smartTag w:uri="urn:schemas-microsoft-com:office:smarttags" w:element="State">
        <w:r>
          <w:rPr>
            <w:szCs w:val="24"/>
            <w:lang w:val="es-ES_tradnl"/>
          </w:rPr>
          <w:t>del</w:t>
        </w:r>
      </w:smartTag>
      <w:r>
        <w:rPr>
          <w:szCs w:val="24"/>
          <w:lang w:val="es-ES_tradnl"/>
        </w:rPr>
        <w:t xml:space="preserve"> número de escuelas y de profesores en el sistema educativo hebreo, así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un aumento considerable en el sistema educativo árabe.</w:t>
      </w:r>
      <w:r>
        <w:rPr>
          <w:szCs w:val="24"/>
        </w:rPr>
        <w:t xml:space="preserve"> </w:t>
      </w:r>
      <w:r>
        <w:rPr>
          <w:szCs w:val="24"/>
          <w:lang w:val="es-ES_tradnl"/>
        </w:rPr>
        <w:t xml:space="preserve">El número total de escuelas en la población judía aumentó en un 6,4% (de 2.957 en </w:t>
      </w:r>
      <w:smartTag w:uri="urn:schemas-microsoft-com:office:smarttags" w:element="metricconverter">
        <w:smartTagPr>
          <w:attr w:name="ProductID" w:val="2000 a"/>
        </w:smartTagPr>
        <w:r>
          <w:rPr>
            <w:szCs w:val="24"/>
            <w:lang w:val="es-ES_tradnl"/>
          </w:rPr>
          <w:t>2000 a</w:t>
        </w:r>
      </w:smartTag>
      <w:r>
        <w:rPr>
          <w:szCs w:val="24"/>
          <w:lang w:val="es-ES_tradnl"/>
        </w:rPr>
        <w:t xml:space="preserve"> 3.145 en 2007).</w:t>
      </w:r>
      <w:r>
        <w:rPr>
          <w:szCs w:val="24"/>
        </w:rPr>
        <w:t xml:space="preserve"> </w:t>
      </w:r>
      <w:r>
        <w:rPr>
          <w:szCs w:val="24"/>
          <w:lang w:val="es-ES_tradnl"/>
        </w:rPr>
        <w:t xml:space="preserve">Durante estos años, el número total de escuelas en la población árabe aumentó en un 28,7% (de </w:t>
      </w:r>
      <w:smartTag w:uri="urn:schemas-microsoft-com:office:smarttags" w:element="metricconverter">
        <w:smartTagPr>
          <w:attr w:name="ProductID" w:val="582 a"/>
        </w:smartTagPr>
        <w:r>
          <w:rPr>
            <w:szCs w:val="24"/>
            <w:lang w:val="es-ES_tradnl"/>
          </w:rPr>
          <w:t>582 a</w:t>
        </w:r>
      </w:smartTag>
      <w:r>
        <w:rPr>
          <w:szCs w:val="24"/>
          <w:lang w:val="es-ES_tradnl"/>
        </w:rPr>
        <w:t xml:space="preserve"> 749 escuelas).</w:t>
      </w:r>
    </w:p>
    <w:p w:rsidR="00F92819" w:rsidRDefault="00F92819">
      <w:pPr>
        <w:pStyle w:val="H23G"/>
        <w:rPr>
          <w:szCs w:val="24"/>
        </w:rPr>
      </w:pPr>
      <w:r>
        <w:rPr>
          <w:szCs w:val="24"/>
        </w:rPr>
        <w:tab/>
      </w:r>
      <w:r>
        <w:rPr>
          <w:szCs w:val="24"/>
        </w:rPr>
        <w:tab/>
      </w:r>
      <w:r>
        <w:rPr>
          <w:szCs w:val="24"/>
          <w:lang w:val="es-ES_tradnl"/>
        </w:rPr>
        <w:t>Proximidad de las escuelas</w:t>
      </w:r>
    </w:p>
    <w:p w:rsidR="00F92819" w:rsidRDefault="00F92819">
      <w:pPr>
        <w:pStyle w:val="SingleTxtG"/>
        <w:rPr>
          <w:szCs w:val="24"/>
        </w:rPr>
      </w:pPr>
      <w:r>
        <w:rPr>
          <w:szCs w:val="24"/>
        </w:rPr>
        <w:t>574.</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Educación en materia de derechos humanos</w:t>
      </w:r>
    </w:p>
    <w:p w:rsidR="00F92819" w:rsidRDefault="00F92819">
      <w:pPr>
        <w:pStyle w:val="SingleTxtG"/>
        <w:rPr>
          <w:szCs w:val="24"/>
        </w:rPr>
      </w:pPr>
      <w:r>
        <w:rPr>
          <w:szCs w:val="24"/>
        </w:rPr>
        <w:t>575.</w:t>
      </w:r>
      <w:r>
        <w:rPr>
          <w:szCs w:val="24"/>
        </w:rPr>
        <w:tab/>
      </w:r>
      <w:r>
        <w:rPr>
          <w:szCs w:val="24"/>
          <w:lang w:val="es-ES_tradnl"/>
        </w:rPr>
        <w:t>En 2008 el Ministerio de Educación ha iniciado la aplicación y asimilación de un cambio fundamental de la instrucción cívica, incluidas las cuestiones de derechos humanos.</w:t>
      </w:r>
      <w:r>
        <w:rPr>
          <w:szCs w:val="24"/>
        </w:rPr>
        <w:t xml:space="preserve"> </w:t>
      </w:r>
      <w:r>
        <w:rPr>
          <w:szCs w:val="24"/>
          <w:lang w:val="es-ES_tradnl"/>
        </w:rPr>
        <w:t xml:space="preserve">El objetivo es aumentar las horas de enseñanza dedicadas a </w:t>
      </w:r>
      <w:smartTag w:uri="urn:schemas-microsoft-com:office:smarttags" w:element="PersonName">
        <w:smartTagPr>
          <w:attr w:name="ProductID" w:val="la materia. En"/>
        </w:smartTagPr>
        <w:r>
          <w:rPr>
            <w:szCs w:val="24"/>
            <w:lang w:val="es-ES_tradnl"/>
          </w:rPr>
          <w:t>la materia.</w:t>
        </w:r>
        <w:r>
          <w:rPr>
            <w:szCs w:val="24"/>
          </w:rPr>
          <w:t xml:space="preserve"> </w:t>
        </w:r>
        <w:r>
          <w:rPr>
            <w:szCs w:val="24"/>
            <w:lang w:val="es-ES_tradnl"/>
          </w:rPr>
          <w:t>En</w:t>
        </w:r>
      </w:smartTag>
      <w:r>
        <w:rPr>
          <w:szCs w:val="24"/>
          <w:lang w:val="es-ES_tradnl"/>
        </w:rPr>
        <w:t xml:space="preserve"> el programa ampliado se pone aún más énfasis en los derechos económicos, sociales y culturales.</w:t>
      </w:r>
    </w:p>
    <w:p w:rsidR="00F92819" w:rsidRDefault="00F92819">
      <w:pPr>
        <w:pStyle w:val="SingleTxtG"/>
        <w:rPr>
          <w:szCs w:val="24"/>
        </w:rPr>
      </w:pPr>
      <w:r>
        <w:rPr>
          <w:szCs w:val="24"/>
        </w:rPr>
        <w:t>576.</w:t>
      </w:r>
      <w:r>
        <w:rPr>
          <w:szCs w:val="24"/>
        </w:rPr>
        <w:tab/>
      </w:r>
      <w:r>
        <w:rPr>
          <w:szCs w:val="24"/>
          <w:lang w:val="es-ES_tradnl"/>
        </w:rPr>
        <w:t>En todo el país se realizan rutinariamente programas educativos sobre cuestiones de derechos humanos. Israel ha creado programas especiales como un “Día de los Derechos Humanos”,</w:t>
      </w:r>
      <w:r>
        <w:rPr>
          <w:szCs w:val="24"/>
        </w:rPr>
        <w:t xml:space="preserve"> </w:t>
      </w:r>
      <w:r>
        <w:rPr>
          <w:szCs w:val="24"/>
          <w:lang w:val="es-ES_tradnl"/>
        </w:rPr>
        <w:t>que cada año se dedica a un aspecto diferente de los derechos humanos, cuyo plan de estudios y material docente se elabora tanto en árabe como en hebreo.</w:t>
      </w:r>
      <w:r>
        <w:rPr>
          <w:szCs w:val="24"/>
        </w:rPr>
        <w:t xml:space="preserve"> </w:t>
      </w:r>
      <w:r>
        <w:rPr>
          <w:szCs w:val="24"/>
          <w:lang w:val="es-ES_tradnl"/>
        </w:rPr>
        <w:t>Por ejemplo, en 2003 el “Día de los Derechos Humanos” abordó el tema de la tolerancia hacia “los demás” y la cuestión de los derechos sociales.</w:t>
      </w:r>
      <w:r>
        <w:rPr>
          <w:szCs w:val="24"/>
        </w:rPr>
        <w:t xml:space="preserve"> </w:t>
      </w:r>
      <w:r>
        <w:rPr>
          <w:szCs w:val="24"/>
          <w:lang w:val="es-ES_tradnl"/>
        </w:rPr>
        <w:t>En 2004 el Ministerio de Educación elaboró una carpeta de material didáctico relacionado con los derechos sociales, con referencias a las culturas y tradiciones tanto judías como islámicas.</w:t>
      </w:r>
      <w:r>
        <w:rPr>
          <w:szCs w:val="24"/>
        </w:rPr>
        <w:t xml:space="preserve"> </w:t>
      </w:r>
      <w:r>
        <w:rPr>
          <w:szCs w:val="24"/>
          <w:lang w:val="es-ES_tradnl"/>
        </w:rPr>
        <w:t>En 2005 se puso énfasis en los derechos de las personas con discapacidad.</w:t>
      </w:r>
      <w:r>
        <w:rPr>
          <w:szCs w:val="24"/>
        </w:rPr>
        <w:t xml:space="preserve"> </w:t>
      </w:r>
      <w:r>
        <w:rPr>
          <w:szCs w:val="24"/>
          <w:lang w:val="es-ES_tradnl"/>
        </w:rPr>
        <w:t>En 2006 el tema elegido fue el derecho a un nivel de vida adecuado y en 2007, el derecho al nivel más alto posible de salud.</w:t>
      </w:r>
    </w:p>
    <w:p w:rsidR="00F92819" w:rsidRDefault="00F92819">
      <w:pPr>
        <w:pStyle w:val="SingleTxtG"/>
        <w:rPr>
          <w:szCs w:val="24"/>
        </w:rPr>
      </w:pPr>
      <w:r>
        <w:rPr>
          <w:szCs w:val="24"/>
        </w:rPr>
        <w:t>577.</w:t>
      </w:r>
      <w:r>
        <w:rPr>
          <w:szCs w:val="24"/>
        </w:rPr>
        <w:tab/>
      </w:r>
      <w:r>
        <w:rPr>
          <w:szCs w:val="24"/>
          <w:lang w:val="es-ES_tradnl"/>
        </w:rPr>
        <w:t xml:space="preserve">Desde 2005 el Ministerio de Asuntos Exteriores, en cooperación con varias ONG y el Coordinador Especial de las Naciones Unidas para el proceso de paz del Oriente Medio, patrocina el programa de simulación “Modelo de las Naciones Unidas en Israel”, con la participación de numerosas escuelas de secundaria de todas partes de la ciudad de Jerusalén y de todos los sectores de </w:t>
      </w:r>
      <w:smartTag w:uri="urn:schemas-microsoft-com:office:smarttags" w:element="PersonName">
        <w:smartTagPr>
          <w:attr w:name="ProductID" w:val="la sociedad. El"/>
        </w:smartTagPr>
        <w:r>
          <w:rPr>
            <w:szCs w:val="24"/>
            <w:lang w:val="es-ES_tradnl"/>
          </w:rPr>
          <w:t>la sociedad.</w:t>
        </w:r>
        <w:r>
          <w:rPr>
            <w:szCs w:val="24"/>
          </w:rPr>
          <w:t xml:space="preserve"> </w:t>
        </w:r>
        <w:r>
          <w:rPr>
            <w:szCs w:val="24"/>
            <w:lang w:val="es-ES_tradnl"/>
          </w:rPr>
          <w:t>El</w:t>
        </w:r>
      </w:smartTag>
      <w:r>
        <w:rPr>
          <w:szCs w:val="24"/>
          <w:lang w:val="es-ES_tradnl"/>
        </w:rPr>
        <w:t xml:space="preserve"> proyecto trata de exponer a los participantes al abanico de actividades de las Naciones Unidas, sensibilizar sobre los principales desafíos del ámbito internacional e inculcar un espíritu de tolerancia y diálogo intercultural.</w:t>
      </w:r>
      <w:r>
        <w:rPr>
          <w:szCs w:val="24"/>
        </w:rPr>
        <w:t xml:space="preserve"> </w:t>
      </w:r>
      <w:r>
        <w:rPr>
          <w:szCs w:val="24"/>
          <w:lang w:val="es-ES_tradnl"/>
        </w:rPr>
        <w:t>El programa forma parte del reconocido programa Modelo de las Naciones Unidas, que está ampliamente extendido en todo el mundo y está encaminado a mejorar la imagen de las Naciones Unidas en Israel. Mediante varias nuevas iniciativas para ampliar las actividades del Modelo de las Naciones Unidas en institutos israelíes de enseñanza superior en 2009, el programa Modelo de las Naciones Unidas en Israel promete llegar a ser un aspecto importante del diálogo educativo en Israel.</w:t>
      </w:r>
    </w:p>
    <w:p w:rsidR="00F92819" w:rsidRDefault="00F92819">
      <w:pPr>
        <w:pStyle w:val="H23G"/>
        <w:rPr>
          <w:szCs w:val="24"/>
        </w:rPr>
      </w:pPr>
      <w:r>
        <w:rPr>
          <w:szCs w:val="24"/>
        </w:rPr>
        <w:tab/>
      </w:r>
      <w:r>
        <w:rPr>
          <w:szCs w:val="24"/>
        </w:rPr>
        <w:tab/>
      </w:r>
      <w:r>
        <w:rPr>
          <w:szCs w:val="24"/>
          <w:lang w:val="es-ES_tradnl"/>
        </w:rPr>
        <w:t>Igualdad de oportunidades de educación</w:t>
      </w:r>
    </w:p>
    <w:p w:rsidR="00F92819" w:rsidRDefault="00F92819">
      <w:pPr>
        <w:pStyle w:val="H4G"/>
        <w:rPr>
          <w:szCs w:val="24"/>
        </w:rPr>
      </w:pPr>
      <w:r>
        <w:rPr>
          <w:szCs w:val="24"/>
        </w:rPr>
        <w:tab/>
      </w:r>
      <w:r>
        <w:rPr>
          <w:szCs w:val="24"/>
        </w:rPr>
        <w:tab/>
      </w:r>
      <w:r>
        <w:rPr>
          <w:szCs w:val="24"/>
          <w:lang w:val="es-ES_tradnl"/>
        </w:rPr>
        <w:t>Igualdad de género</w:t>
      </w:r>
    </w:p>
    <w:p w:rsidR="00F92819" w:rsidRDefault="00F92819">
      <w:pPr>
        <w:pStyle w:val="SingleTxtG"/>
        <w:rPr>
          <w:szCs w:val="24"/>
        </w:rPr>
      </w:pPr>
      <w:r>
        <w:rPr>
          <w:szCs w:val="24"/>
        </w:rPr>
        <w:t>578.</w:t>
      </w:r>
      <w:r>
        <w:rPr>
          <w:szCs w:val="24"/>
        </w:rPr>
        <w:tab/>
      </w:r>
      <w:r>
        <w:rPr>
          <w:szCs w:val="24"/>
          <w:lang w:val="es-ES_tradnl"/>
        </w:rPr>
        <w:t>A lo largo de este artículo se ofrecen datos concretos sobre la proporción de hombres y mujeres en los distintos aspectos educativos, en particular con respecto a los índices de asistencia y de graduación (incluida la enseñanza superior), los años de escolaridad, etc.</w:t>
      </w:r>
    </w:p>
    <w:p w:rsidR="00F92819" w:rsidRDefault="00F92819">
      <w:pPr>
        <w:pStyle w:val="SingleTxtG"/>
        <w:rPr>
          <w:szCs w:val="24"/>
        </w:rPr>
      </w:pPr>
      <w:r>
        <w:rPr>
          <w:szCs w:val="24"/>
        </w:rPr>
        <w:t>579.</w:t>
      </w:r>
      <w:r>
        <w:rPr>
          <w:szCs w:val="24"/>
        </w:rPr>
        <w:tab/>
      </w:r>
      <w:r>
        <w:rPr>
          <w:szCs w:val="24"/>
          <w:lang w:val="es-ES_tradnl"/>
        </w:rPr>
        <w:t>El Ministerio de Educación ha establecido un departamento especial dedicado a la promoción de la igualdad entre los géneros en el sistema escolar.</w:t>
      </w:r>
      <w:r>
        <w:rPr>
          <w:szCs w:val="24"/>
        </w:rPr>
        <w:t xml:space="preserve"> </w:t>
      </w:r>
      <w:r>
        <w:rPr>
          <w:szCs w:val="24"/>
          <w:lang w:val="es-ES_tradnl"/>
        </w:rPr>
        <w:t xml:space="preserve">El Ministerio mantiene un sitio web activo, útil y fácil de usar que no sólo da información sobre sus programas y proyectos, sino también ofrece a los visitantes perspectivas sobre el significado de la igualdad de género y el empoderamiento de </w:t>
      </w:r>
      <w:smartTag w:uri="urn:schemas-microsoft-com:office:smarttags" w:element="PersonName">
        <w:smartTagPr>
          <w:attr w:name="ProductID" w:val="la Mujer. El"/>
        </w:smartTagPr>
        <w:r>
          <w:rPr>
            <w:szCs w:val="24"/>
            <w:lang w:val="es-ES_tradnl"/>
          </w:rPr>
          <w:t>la mujer.</w:t>
        </w:r>
        <w:r>
          <w:rPr>
            <w:szCs w:val="24"/>
          </w:rPr>
          <w:t xml:space="preserve"> </w:t>
        </w:r>
        <w:r>
          <w:rPr>
            <w:szCs w:val="24"/>
            <w:lang w:val="es-ES_tradnl"/>
          </w:rPr>
          <w:t>El</w:t>
        </w:r>
      </w:smartTag>
      <w:r>
        <w:rPr>
          <w:szCs w:val="24"/>
          <w:lang w:val="es-ES_tradnl"/>
        </w:rPr>
        <w:t xml:space="preserve"> lenguaje del sitio y de las directivas del Ministerio de Educación revela un empeño claro en la igualdad de los géneros y da directrices de mayor autoridad para los maestros y todos los funcionarios escolares.</w:t>
      </w:r>
    </w:p>
    <w:p w:rsidR="00F92819" w:rsidRDefault="00F92819">
      <w:pPr>
        <w:pStyle w:val="SingleTxtG"/>
        <w:rPr>
          <w:szCs w:val="24"/>
        </w:rPr>
      </w:pPr>
      <w:r>
        <w:rPr>
          <w:szCs w:val="24"/>
        </w:rPr>
        <w:t>580.</w:t>
      </w:r>
      <w:r>
        <w:rPr>
          <w:szCs w:val="24"/>
        </w:rPr>
        <w:tab/>
      </w:r>
      <w:r>
        <w:rPr>
          <w:szCs w:val="24"/>
          <w:lang w:val="es-ES_tradnl"/>
        </w:rPr>
        <w:t>El Ministro de Educación actual y su Director General son ambas mujeres y feministas.</w:t>
      </w:r>
      <w:r>
        <w:rPr>
          <w:szCs w:val="24"/>
        </w:rPr>
        <w:t xml:space="preserve"> </w:t>
      </w:r>
      <w:r>
        <w:rPr>
          <w:szCs w:val="24"/>
          <w:lang w:val="es-ES_tradnl"/>
        </w:rPr>
        <w:t>La Ministra de Educación ha declarado repetida y explícitamente que la igualdad de los géneros no es sólo un “programa” o un “proyecto”, sino un estilo de vida.</w:t>
      </w:r>
      <w:r>
        <w:rPr>
          <w:szCs w:val="24"/>
        </w:rPr>
        <w:t xml:space="preserve"> </w:t>
      </w:r>
      <w:r>
        <w:rPr>
          <w:szCs w:val="24"/>
          <w:lang w:val="es-ES_tradnl"/>
        </w:rPr>
        <w:t>Con ese fin, todas las escuelas tienen la obligación de crear y mantener un clima educativo favorable a la igualdad y al respeto mutuo.</w:t>
      </w:r>
    </w:p>
    <w:p w:rsidR="00F92819" w:rsidRDefault="00F92819">
      <w:pPr>
        <w:pStyle w:val="SingleTxtG"/>
        <w:rPr>
          <w:szCs w:val="24"/>
        </w:rPr>
      </w:pPr>
      <w:r>
        <w:rPr>
          <w:szCs w:val="24"/>
        </w:rPr>
        <w:t>581.</w:t>
      </w:r>
      <w:r>
        <w:rPr>
          <w:szCs w:val="24"/>
        </w:rPr>
        <w:tab/>
      </w:r>
      <w:r>
        <w:rPr>
          <w:szCs w:val="24"/>
          <w:lang w:val="es-ES_tradnl"/>
        </w:rPr>
        <w:t xml:space="preserve">En 2003 </w:t>
      </w:r>
      <w:smartTag w:uri="urn:schemas-microsoft-com:office:smarttags" w:element="PersonName">
        <w:smartTagPr>
          <w:attr w:name="ProductID" w:val="la Directora General"/>
        </w:smartTagPr>
        <w:r>
          <w:rPr>
            <w:szCs w:val="24"/>
            <w:lang w:val="es-ES_tradnl"/>
          </w:rPr>
          <w:t>la Directora General</w:t>
        </w:r>
      </w:smartTag>
      <w:r>
        <w:rPr>
          <w:szCs w:val="24"/>
          <w:lang w:val="es-ES_tradnl"/>
        </w:rPr>
        <w:t xml:space="preserve"> del Ministerio de Educación emitió una circular sobre diversos aspectos de la igualdad de los géneros, como la elaboración de nuevos materiales didácticos favorables a la igualdad de los géneros, la promoción de la igualdad de oportunidades, el abandono de estereotipos anticuados, el empoderamiento del liderazgo educativo entre maestros y directores, y otros.</w:t>
      </w:r>
    </w:p>
    <w:p w:rsidR="00F92819" w:rsidRDefault="00F92819">
      <w:pPr>
        <w:pStyle w:val="SingleTxtG"/>
        <w:rPr>
          <w:szCs w:val="24"/>
        </w:rPr>
      </w:pPr>
      <w:r>
        <w:rPr>
          <w:szCs w:val="24"/>
        </w:rPr>
        <w:t>582.</w:t>
      </w:r>
      <w:r>
        <w:rPr>
          <w:szCs w:val="24"/>
        </w:rPr>
        <w:tab/>
      </w:r>
      <w:r>
        <w:rPr>
          <w:szCs w:val="24"/>
          <w:lang w:val="es-ES_tradnl"/>
        </w:rPr>
        <w:t>El Ministerio de Educación ofrece muchos programas de formación continua para docentes a fin de aumentar la conciencia de la igualdad de los géneros y los conocimientos especiales para promoverla.</w:t>
      </w:r>
      <w:r>
        <w:rPr>
          <w:szCs w:val="24"/>
        </w:rPr>
        <w:t xml:space="preserve"> </w:t>
      </w:r>
      <w:r>
        <w:rPr>
          <w:szCs w:val="24"/>
          <w:lang w:val="es-ES_tradnl"/>
        </w:rPr>
        <w:t xml:space="preserve">Los programas nacionales como “Las muchachas dirigen un cambio” empoderan a las alumnas de las escuelas de secundaria, y el plan de estudios trata formalmente cuestiones como el género, el gobierno y </w:t>
      </w:r>
      <w:smartTag w:uri="urn:schemas-microsoft-com:office:smarttags" w:element="PersonName">
        <w:smartTagPr>
          <w:attr w:name="ProductID" w:val="la pol￭tica. Recientemente"/>
        </w:smartTagPr>
        <w:r>
          <w:rPr>
            <w:szCs w:val="24"/>
            <w:lang w:val="es-ES_tradnl"/>
          </w:rPr>
          <w:t>la política.</w:t>
        </w:r>
        <w:r>
          <w:rPr>
            <w:szCs w:val="24"/>
          </w:rPr>
          <w:t xml:space="preserve"> </w:t>
        </w:r>
        <w:r>
          <w:rPr>
            <w:szCs w:val="24"/>
            <w:lang w:val="es-ES_tradnl"/>
          </w:rPr>
          <w:t>Recientemente</w:t>
        </w:r>
      </w:smartTag>
      <w:r>
        <w:rPr>
          <w:szCs w:val="24"/>
          <w:lang w:val="es-ES_tradnl"/>
        </w:rPr>
        <w:t xml:space="preserve"> el Ministerio ha establecido un programa de matriculación en estudios de género.</w:t>
      </w:r>
    </w:p>
    <w:p w:rsidR="00F92819" w:rsidRDefault="00F92819">
      <w:pPr>
        <w:pStyle w:val="SingleTxtG"/>
        <w:rPr>
          <w:szCs w:val="24"/>
        </w:rPr>
      </w:pPr>
      <w:r>
        <w:rPr>
          <w:szCs w:val="24"/>
        </w:rPr>
        <w:t>583.</w:t>
      </w:r>
      <w:r>
        <w:rPr>
          <w:szCs w:val="24"/>
        </w:rPr>
        <w:tab/>
      </w:r>
      <w:r>
        <w:rPr>
          <w:szCs w:val="24"/>
          <w:lang w:val="es-ES_tradnl"/>
        </w:rPr>
        <w:t>En 2005 el Ministerio de Educación creó varios programas educativos destinados a promover en mayor medida la igualdad de oportunidades entre los géneros en el sistema educativo.</w:t>
      </w:r>
      <w:r>
        <w:rPr>
          <w:szCs w:val="24"/>
        </w:rPr>
        <w:t xml:space="preserve"> </w:t>
      </w:r>
      <w:r>
        <w:rPr>
          <w:szCs w:val="24"/>
          <w:lang w:val="es-ES_tradnl"/>
        </w:rPr>
        <w:t>El mencionado programa “Las muchachas dirigen un cambio” fue iniciado por la Asociación de Mujeres de Israel para alentar el empoderamiento y el liderazgo entre las jóvenes en las escuelas de secundaria.</w:t>
      </w:r>
      <w:r>
        <w:rPr>
          <w:szCs w:val="24"/>
        </w:rPr>
        <w:t xml:space="preserve"> </w:t>
      </w:r>
      <w:r>
        <w:rPr>
          <w:szCs w:val="24"/>
          <w:lang w:val="es-ES_tradnl"/>
        </w:rPr>
        <w:t>El programa se amplió después para incluir a los jóvenes, y ahora se llama “Las muchachas y los muchachos dirigen un cambio”.</w:t>
      </w:r>
      <w:r>
        <w:rPr>
          <w:szCs w:val="24"/>
        </w:rPr>
        <w:t xml:space="preserve"> </w:t>
      </w:r>
      <w:r>
        <w:rPr>
          <w:szCs w:val="24"/>
          <w:lang w:val="es-ES_tradnl"/>
        </w:rPr>
        <w:t>En 2007 el programa funcionaba en más de 60 escuelas de secundaria de Israel, incluidas escuelas de localidades árabes, y participaron en él más de 2.500 jóvenes.</w:t>
      </w:r>
    </w:p>
    <w:p w:rsidR="00F92819" w:rsidRDefault="00F92819">
      <w:pPr>
        <w:pStyle w:val="SingleTxtG"/>
        <w:rPr>
          <w:szCs w:val="24"/>
        </w:rPr>
      </w:pPr>
      <w:r>
        <w:rPr>
          <w:szCs w:val="24"/>
          <w:lang w:val="es-ES_tradnl"/>
        </w:rPr>
        <w:t>También en 2005 el Ministerio de Educación, en colaboración con la Dirección para el Adelanto de la Mujer, organizó 10 seminarios de un día (en los cuales participaron más de 1.500 directores de escuelas) sobre el tema de la promoción del estudio de las matemáticas y las ciencias exactas entre las muchachas.</w:t>
      </w:r>
      <w:r>
        <w:rPr>
          <w:szCs w:val="24"/>
        </w:rPr>
        <w:t xml:space="preserve"> </w:t>
      </w:r>
      <w:r>
        <w:rPr>
          <w:szCs w:val="24"/>
          <w:lang w:val="es-ES_tradnl"/>
        </w:rPr>
        <w:t>Los seminarios trataron las siguientes cuestiones:</w:t>
      </w:r>
      <w:r>
        <w:rPr>
          <w:szCs w:val="24"/>
        </w:rPr>
        <w:t xml:space="preserve"> </w:t>
      </w:r>
      <w:r>
        <w:rPr>
          <w:szCs w:val="24"/>
          <w:lang w:val="es-ES_tradnl"/>
        </w:rPr>
        <w:t>elevar la conciencia del asunto en los equipos profesionales y directivos, poner de manifiesto los obstáculos aparentes a la participación de las mujeres en este campo y la capacidad efectiva de las estudiantes y los métodos de deconstruir esos obstáculos, elaborar un programa de intervención que aliente a las mujeres a participar en esos campos desde la niñez, y otras cuestiones pertinentes.</w:t>
      </w:r>
    </w:p>
    <w:p w:rsidR="00F92819" w:rsidRDefault="00F92819">
      <w:pPr>
        <w:pStyle w:val="SingleTxtG"/>
        <w:rPr>
          <w:szCs w:val="24"/>
        </w:rPr>
      </w:pPr>
      <w:r>
        <w:rPr>
          <w:szCs w:val="24"/>
        </w:rPr>
        <w:t>584.</w:t>
      </w:r>
      <w:r>
        <w:rPr>
          <w:szCs w:val="24"/>
        </w:rPr>
        <w:tab/>
      </w:r>
      <w:r>
        <w:rPr>
          <w:szCs w:val="24"/>
          <w:lang w:val="es-ES_tradnl"/>
        </w:rPr>
        <w:t>Además, el Ministerio de Educación nombró un comité especial para que examinara el grado en que los estereotipos de género aparecían en los textos educativos.</w:t>
      </w:r>
      <w:r>
        <w:rPr>
          <w:szCs w:val="24"/>
        </w:rPr>
        <w:t xml:space="preserve"> </w:t>
      </w:r>
      <w:r>
        <w:rPr>
          <w:szCs w:val="24"/>
          <w:lang w:val="es-ES_tradnl"/>
        </w:rPr>
        <w:t>Después de recibir los resultados, el Ministro decidió no incorporar en el sistema educativo los libros imbuidos de estereotipos de género y reemplazar gradualmente los que ya estuvieran en uso en las escuelas con estas características.</w:t>
      </w:r>
    </w:p>
    <w:p w:rsidR="00F92819" w:rsidRDefault="00F92819">
      <w:pPr>
        <w:pStyle w:val="SingleTxtG"/>
        <w:rPr>
          <w:szCs w:val="24"/>
        </w:rPr>
      </w:pPr>
      <w:r>
        <w:rPr>
          <w:szCs w:val="24"/>
        </w:rPr>
        <w:t>585.</w:t>
      </w:r>
      <w:r>
        <w:rPr>
          <w:szCs w:val="24"/>
        </w:rPr>
        <w:tab/>
      </w:r>
      <w:r>
        <w:rPr>
          <w:szCs w:val="24"/>
          <w:lang w:val="es-ES_tradnl"/>
        </w:rPr>
        <w:t>El Ministerio se ha comprometido especialmente a promover el talento de las niñas y adolescentes que demuestran aptitudes excepcionales en matemáticas y ciencia.</w:t>
      </w:r>
      <w:r>
        <w:rPr>
          <w:szCs w:val="24"/>
        </w:rPr>
        <w:t xml:space="preserve"> </w:t>
      </w:r>
      <w:r>
        <w:rPr>
          <w:szCs w:val="24"/>
          <w:lang w:val="es-ES_tradnl"/>
        </w:rPr>
        <w:t>Estos programas se basan en el concepto de aumentar la igualdad de los géneros y permitir que cada niño cultive sus inclinaciones y dotes innatas sin deferencia a las presiones sociales ni a las expectativas inflexibles con respecto al género.</w:t>
      </w:r>
    </w:p>
    <w:p w:rsidR="00F92819" w:rsidRDefault="00F92819">
      <w:pPr>
        <w:pStyle w:val="SingleTxtG"/>
        <w:rPr>
          <w:szCs w:val="24"/>
        </w:rPr>
      </w:pPr>
      <w:r>
        <w:rPr>
          <w:szCs w:val="24"/>
        </w:rPr>
        <w:t>586.</w:t>
      </w:r>
      <w:r>
        <w:rPr>
          <w:szCs w:val="24"/>
        </w:rPr>
        <w:tab/>
      </w:r>
      <w:r>
        <w:rPr>
          <w:szCs w:val="24"/>
          <w:lang w:val="es-ES_tradnl"/>
        </w:rPr>
        <w:t>“Bnot Mitzvah”, el rito judío que se celebra cuando una niña llega a los 12 años, se emplea como función escolar para los alumnos de sexto grado y como medio de destacar el empoderamiento de las mujeres, así como diferentes ejemplos de mujeres líderes, mujeres influyentes que cambiaron la sociedad, mujeres combatientes, pioneras y otras.</w:t>
      </w:r>
      <w:r>
        <w:rPr>
          <w:szCs w:val="24"/>
        </w:rPr>
        <w:t xml:space="preserve"> </w:t>
      </w:r>
      <w:r>
        <w:rPr>
          <w:szCs w:val="24"/>
          <w:lang w:val="es-ES_tradnl"/>
        </w:rPr>
        <w:t xml:space="preserve">Esto incluye actividades externas además de actividades en </w:t>
      </w:r>
      <w:smartTag w:uri="urn:schemas-microsoft-com:office:smarttags" w:element="PersonName">
        <w:smartTagPr>
          <w:attr w:name="ProductID" w:val="la escuela. Los"/>
        </w:smartTagPr>
        <w:r>
          <w:rPr>
            <w:szCs w:val="24"/>
            <w:lang w:val="es-ES_tradnl"/>
          </w:rPr>
          <w:t>la escuela.</w:t>
        </w:r>
        <w:r>
          <w:rPr>
            <w:szCs w:val="24"/>
          </w:rPr>
          <w:t xml:space="preserve"> </w:t>
        </w:r>
        <w:r>
          <w:rPr>
            <w:szCs w:val="24"/>
            <w:lang w:val="es-ES_tradnl"/>
          </w:rPr>
          <w:t>Los</w:t>
        </w:r>
      </w:smartTag>
      <w:r>
        <w:rPr>
          <w:szCs w:val="24"/>
          <w:lang w:val="es-ES_tradnl"/>
        </w:rPr>
        <w:t xml:space="preserve"> alumnos examinan la posición de la mujer en Israel y en otros países, y buscan disciplinas que promuevan a las mujeres y les permitan progresar.</w:t>
      </w:r>
    </w:p>
    <w:p w:rsidR="00F92819" w:rsidRDefault="00F92819">
      <w:pPr>
        <w:pStyle w:val="SingleTxtG"/>
        <w:rPr>
          <w:szCs w:val="24"/>
        </w:rPr>
      </w:pPr>
      <w:r>
        <w:rPr>
          <w:szCs w:val="24"/>
        </w:rPr>
        <w:t>587.</w:t>
      </w:r>
      <w:r>
        <w:rPr>
          <w:szCs w:val="24"/>
        </w:rPr>
        <w:tab/>
      </w:r>
      <w:r>
        <w:rPr>
          <w:szCs w:val="24"/>
          <w:lang w:val="es-ES_tradnl"/>
        </w:rPr>
        <w:t xml:space="preserve">El empoderamiento de las alumnas en el sistema escolar general está encaminado a promover el liderazgo y la autonomía de las alumnas de séptimo a noveno grado, que incluye temas que fomentan la sensibilización hacia la igualdad de los géneros y su influencia en todos los aspectos de </w:t>
      </w:r>
      <w:smartTag w:uri="urn:schemas-microsoft-com:office:smarttags" w:element="PersonName">
        <w:smartTagPr>
          <w:attr w:name="ProductID" w:val="la vida. El"/>
        </w:smartTagPr>
        <w:r>
          <w:rPr>
            <w:szCs w:val="24"/>
            <w:lang w:val="es-ES_tradnl"/>
          </w:rPr>
          <w:t>la vida.</w:t>
        </w:r>
        <w:r>
          <w:rPr>
            <w:szCs w:val="24"/>
          </w:rPr>
          <w:t xml:space="preserve"> </w:t>
        </w:r>
        <w:r>
          <w:rPr>
            <w:szCs w:val="24"/>
            <w:lang w:val="es-ES_tradnl"/>
          </w:rPr>
          <w:t>El</w:t>
        </w:r>
      </w:smartTag>
      <w:r>
        <w:rPr>
          <w:szCs w:val="24"/>
          <w:lang w:val="es-ES_tradnl"/>
        </w:rPr>
        <w:t xml:space="preserve"> programa contempla elevar la conciencia de las posibilidades que tienen las alumnas de realizar su potencial personal, la promoción de los conocimientos especializados, y la conciencia social y personal de los cambios necesarios en estos aspectos de la familia, la sociedad y el sistema educativo.</w:t>
      </w:r>
      <w:r>
        <w:rPr>
          <w:szCs w:val="24"/>
        </w:rPr>
        <w:t xml:space="preserve"> </w:t>
      </w:r>
      <w:r>
        <w:rPr>
          <w:szCs w:val="24"/>
          <w:lang w:val="es-ES_tradnl"/>
        </w:rPr>
        <w:t>También incluye elevar la apreciación de la capacidad y el potencial de las mujeres de incorporarse a los sectores económico, político, técnico y militar y la importancia de esa incorporación.</w:t>
      </w:r>
      <w:r>
        <w:rPr>
          <w:szCs w:val="24"/>
        </w:rPr>
        <w:t xml:space="preserve"> </w:t>
      </w:r>
      <w:r>
        <w:rPr>
          <w:szCs w:val="24"/>
          <w:lang w:val="es-ES_tradnl"/>
        </w:rPr>
        <w:t>El programa también comprende actividades con los alumnos varones encaminadas a cambiar sus ideas con respecto a los géneros.</w:t>
      </w:r>
    </w:p>
    <w:p w:rsidR="00F92819" w:rsidRDefault="00F92819">
      <w:pPr>
        <w:pStyle w:val="SingleTxtG"/>
        <w:rPr>
          <w:szCs w:val="24"/>
        </w:rPr>
      </w:pPr>
      <w:r>
        <w:rPr>
          <w:szCs w:val="24"/>
        </w:rPr>
        <w:t>588.</w:t>
      </w:r>
      <w:r>
        <w:rPr>
          <w:szCs w:val="24"/>
        </w:rPr>
        <w:tab/>
      </w:r>
      <w:r>
        <w:rPr>
          <w:szCs w:val="24"/>
          <w:lang w:val="es-ES_tradnl"/>
        </w:rPr>
        <w:t>El programa de empoderamiento de las alumnas árabes está encaminado a promover y cambiar las perspectivas personales y sociales subrayando el papel de la mujer en la familia, la sociedad y el lugar de trabajo.</w:t>
      </w:r>
      <w:r>
        <w:rPr>
          <w:szCs w:val="24"/>
        </w:rPr>
        <w:t xml:space="preserve"> </w:t>
      </w:r>
      <w:r>
        <w:rPr>
          <w:szCs w:val="24"/>
          <w:lang w:val="es-ES_tradnl"/>
        </w:rPr>
        <w:t>Se dirige a las alumnas de séptimo a noveno grado e incluye temas que promueven la conciencia de los estereotipos sobre los dos géneros en la sociedad árabe, la idea que tienen de sus capacidades y sueños, etc. También cuenta con actividades correspondientes con los alumnos varones encaminadas a cambiar sus ideas basadas en los géneros.</w:t>
      </w:r>
    </w:p>
    <w:p w:rsidR="00F92819" w:rsidRDefault="00F92819">
      <w:pPr>
        <w:pStyle w:val="SingleTxtG"/>
        <w:rPr>
          <w:szCs w:val="24"/>
        </w:rPr>
      </w:pPr>
      <w:r>
        <w:rPr>
          <w:szCs w:val="24"/>
        </w:rPr>
        <w:t>589.</w:t>
      </w:r>
      <w:r>
        <w:rPr>
          <w:szCs w:val="24"/>
        </w:rPr>
        <w:tab/>
      </w:r>
      <w:r>
        <w:rPr>
          <w:szCs w:val="24"/>
          <w:lang w:val="es-ES_tradnl"/>
        </w:rPr>
        <w:t>El empoderamiento de las alumnas de las escuelas religiosas se realiza examinando al mismo tiempo los cambios en la sociedad en general y en la sociedad religiosa en particular.</w:t>
      </w:r>
      <w:r>
        <w:rPr>
          <w:szCs w:val="24"/>
        </w:rPr>
        <w:t xml:space="preserve"> </w:t>
      </w:r>
      <w:r>
        <w:rPr>
          <w:szCs w:val="24"/>
          <w:lang w:val="es-ES_tradnl"/>
        </w:rPr>
        <w:t xml:space="preserve">Hacer frente a esos cambios requiere que estas jóvenes religiosas revalúen el desempeño de los papeles que dan forma al hogar, a la familia y a </w:t>
      </w:r>
      <w:smartTag w:uri="urn:schemas-microsoft-com:office:smarttags" w:element="PersonName">
        <w:smartTagPr>
          <w:attr w:name="ProductID" w:val="la sociedad. El"/>
        </w:smartTagPr>
        <w:r>
          <w:rPr>
            <w:szCs w:val="24"/>
            <w:lang w:val="es-ES_tradnl"/>
          </w:rPr>
          <w:t>la sociedad.</w:t>
        </w:r>
        <w:r>
          <w:rPr>
            <w:szCs w:val="24"/>
          </w:rPr>
          <w:t xml:space="preserve"> </w:t>
        </w:r>
        <w:r>
          <w:rPr>
            <w:szCs w:val="24"/>
            <w:lang w:val="es-ES_tradnl"/>
          </w:rPr>
          <w:t>El</w:t>
        </w:r>
      </w:smartTag>
      <w:r>
        <w:rPr>
          <w:szCs w:val="24"/>
          <w:lang w:val="es-ES_tradnl"/>
        </w:rPr>
        <w:t xml:space="preserve"> programa incluye 10 reuniones y está dirigido a las alumnas del séptimo al noveno grado.</w:t>
      </w:r>
    </w:p>
    <w:p w:rsidR="00F92819" w:rsidRDefault="00F92819">
      <w:pPr>
        <w:pStyle w:val="SingleTxtG"/>
        <w:rPr>
          <w:szCs w:val="24"/>
        </w:rPr>
      </w:pPr>
      <w:r>
        <w:rPr>
          <w:szCs w:val="24"/>
        </w:rPr>
        <w:t>590.</w:t>
      </w:r>
      <w:r>
        <w:rPr>
          <w:szCs w:val="24"/>
        </w:rPr>
        <w:tab/>
      </w:r>
      <w:r>
        <w:rPr>
          <w:b/>
          <w:szCs w:val="24"/>
          <w:lang w:val="es-ES_tradnl"/>
        </w:rPr>
        <w:t>Promoción de la igualdad en dignidad humana</w:t>
      </w:r>
      <w:r>
        <w:rPr>
          <w:szCs w:val="24"/>
          <w:lang w:val="es-ES_tradnl"/>
        </w:rPr>
        <w:t>.</w:t>
      </w:r>
      <w:r>
        <w:rPr>
          <w:szCs w:val="24"/>
        </w:rPr>
        <w:t xml:space="preserve"> </w:t>
      </w:r>
      <w:r>
        <w:rPr>
          <w:szCs w:val="24"/>
          <w:lang w:val="es-ES_tradnl"/>
        </w:rPr>
        <w:t>La base del programa es que la igualdad de los géneros también significa igualdad en dignidad humana entre los géneros.</w:t>
      </w:r>
      <w:r>
        <w:rPr>
          <w:szCs w:val="24"/>
        </w:rPr>
        <w:t xml:space="preserve"> </w:t>
      </w:r>
      <w:r>
        <w:rPr>
          <w:szCs w:val="24"/>
          <w:lang w:val="es-ES_tradnl"/>
        </w:rPr>
        <w:t>Entre sus objetivos está el aumento de la capacidad personal de los adolescentes de hacer frente a los cambios de las circunstancias sociales con el grupo de pares (presión del grupo, luchas sociales, amistad, relaciones, etc.) y a la relación con el mundo adulto (autoridad, petición de ayuda, etc.).</w:t>
      </w:r>
      <w:r>
        <w:rPr>
          <w:szCs w:val="24"/>
        </w:rPr>
        <w:t xml:space="preserve"> </w:t>
      </w:r>
      <w:r>
        <w:rPr>
          <w:szCs w:val="24"/>
          <w:lang w:val="es-ES_tradnl"/>
        </w:rPr>
        <w:t>Durante el programa los alumnos estudian las percepciones sociales y la igualdad sobre la base de la dignidad humana de hombres y mujeres.</w:t>
      </w:r>
      <w:r>
        <w:rPr>
          <w:szCs w:val="24"/>
        </w:rPr>
        <w:t xml:space="preserve"> </w:t>
      </w:r>
      <w:r>
        <w:rPr>
          <w:szCs w:val="24"/>
          <w:lang w:val="es-ES_tradnl"/>
        </w:rPr>
        <w:t>Se presenta a los alumnos de 7º a 10º grado.</w:t>
      </w:r>
    </w:p>
    <w:p w:rsidR="00F92819" w:rsidRDefault="00F92819">
      <w:pPr>
        <w:pStyle w:val="SingleTxtG"/>
        <w:rPr>
          <w:szCs w:val="24"/>
        </w:rPr>
      </w:pPr>
      <w:r>
        <w:rPr>
          <w:szCs w:val="24"/>
        </w:rPr>
        <w:t>591.</w:t>
      </w:r>
      <w:r>
        <w:rPr>
          <w:szCs w:val="24"/>
        </w:rPr>
        <w:tab/>
      </w:r>
      <w:r>
        <w:rPr>
          <w:b/>
          <w:szCs w:val="24"/>
          <w:lang w:val="es-ES_tradnl"/>
        </w:rPr>
        <w:t xml:space="preserve">Las mujeres en la ciencia y </w:t>
      </w:r>
      <w:smartTag w:uri="urn:schemas-microsoft-com:office:smarttags" w:element="PersonName">
        <w:smartTagPr>
          <w:attr w:name="ProductID" w:val="la tecnolog￭a. El Consejo"/>
        </w:smartTagPr>
        <w:r>
          <w:rPr>
            <w:b/>
            <w:szCs w:val="24"/>
            <w:lang w:val="es-ES_tradnl"/>
          </w:rPr>
          <w:t>la tecnología</w:t>
        </w:r>
        <w:r>
          <w:rPr>
            <w:szCs w:val="24"/>
            <w:lang w:val="es-ES_tradnl"/>
          </w:rPr>
          <w:t>.</w:t>
        </w:r>
        <w:r>
          <w:rPr>
            <w:szCs w:val="24"/>
          </w:rPr>
          <w:t xml:space="preserve"> </w:t>
        </w:r>
        <w:r>
          <w:rPr>
            <w:szCs w:val="24"/>
            <w:lang w:val="es-ES_tradnl"/>
          </w:rPr>
          <w:t>El Consejo</w:t>
        </w:r>
      </w:smartTag>
      <w:r>
        <w:rPr>
          <w:szCs w:val="24"/>
          <w:lang w:val="es-ES_tradnl"/>
        </w:rPr>
        <w:t xml:space="preserve"> Nacional para la Promoción de la Mujer en la Ciencia y la Tecnología se estableció en 2000. Sus objetivos son servir de facilitador de redes de conexión entre mujeres adultas y adolescentes en el campo de la ciencia y la tecnología, servir de punto de contacto para expresar problemas relacionados con el papel de la mujer en la ciencia, reunir información sobre programas de promoción de dicho papel, proponer y ejecutar programas de promoción de la mujer en la ciencia, elevar la conciencia pública en relación con la situación de la mujer en la ciencia y coordinar las iniciativas públicas y privadas para el adelanto de la participación de la mujer en la ciencia.</w:t>
      </w:r>
    </w:p>
    <w:p w:rsidR="00F92819" w:rsidRDefault="00F92819">
      <w:pPr>
        <w:pStyle w:val="H4G"/>
        <w:rPr>
          <w:szCs w:val="24"/>
          <w:rtl/>
        </w:rPr>
      </w:pPr>
      <w:r>
        <w:rPr>
          <w:szCs w:val="24"/>
        </w:rPr>
        <w:tab/>
      </w:r>
      <w:r>
        <w:rPr>
          <w:szCs w:val="24"/>
        </w:rPr>
        <w:tab/>
      </w:r>
      <w:r>
        <w:rPr>
          <w:szCs w:val="24"/>
          <w:lang w:val="es-ES_tradnl"/>
        </w:rPr>
        <w:t>Niños con discapacidades</w:t>
      </w:r>
    </w:p>
    <w:p w:rsidR="00F92819" w:rsidRDefault="00F92819">
      <w:pPr>
        <w:pStyle w:val="SingleTxtG"/>
        <w:rPr>
          <w:szCs w:val="24"/>
        </w:rPr>
      </w:pPr>
      <w:r>
        <w:rPr>
          <w:szCs w:val="24"/>
        </w:rPr>
        <w:t>592.</w:t>
      </w:r>
      <w:r>
        <w:rPr>
          <w:szCs w:val="24"/>
        </w:rPr>
        <w:tab/>
      </w:r>
      <w:r>
        <w:rPr>
          <w:spacing w:val="6"/>
          <w:szCs w:val="24"/>
          <w:lang w:val="es-ES_tradnl"/>
        </w:rPr>
        <w:t xml:space="preserve">En 2007 vivían en </w:t>
      </w:r>
      <w:smartTag w:uri="urn:schemas-microsoft-com:office:smarttags" w:element="country-region">
        <w:r>
          <w:rPr>
            <w:spacing w:val="6"/>
            <w:szCs w:val="24"/>
            <w:lang w:val="es-ES_tradnl"/>
          </w:rPr>
          <w:t>Israel</w:t>
        </w:r>
      </w:smartTag>
      <w:r>
        <w:rPr>
          <w:spacing w:val="6"/>
          <w:szCs w:val="24"/>
          <w:lang w:val="es-ES_tradnl"/>
        </w:rPr>
        <w:t xml:space="preserve"> 293.000 niños con discapacidades o enfermedades crónicas, que formaban el 12,8% de la población infantil total </w:t>
      </w:r>
      <w:smartTag w:uri="urn:schemas-microsoft-com:office:smarttags" w:element="State">
        <w:smartTag w:uri="urn:schemas-microsoft-com:office:smarttags" w:element="place">
          <w:r>
            <w:rPr>
              <w:spacing w:val="6"/>
              <w:szCs w:val="24"/>
              <w:lang w:val="es-ES_tradnl"/>
            </w:rPr>
            <w:t>del</w:t>
          </w:r>
        </w:smartTag>
      </w:smartTag>
      <w:r>
        <w:rPr>
          <w:spacing w:val="6"/>
          <w:szCs w:val="24"/>
          <w:lang w:val="es-ES_tradnl"/>
        </w:rPr>
        <w:t xml:space="preserve"> país</w:t>
      </w:r>
      <w:r>
        <w:rPr>
          <w:szCs w:val="24"/>
          <w:lang w:val="es-ES_tradnl"/>
        </w:rPr>
        <w:t>.</w:t>
      </w:r>
      <w:r>
        <w:rPr>
          <w:szCs w:val="24"/>
        </w:rPr>
        <w:t xml:space="preserve"> </w:t>
      </w:r>
      <w:r>
        <w:rPr>
          <w:szCs w:val="24"/>
          <w:lang w:val="es-ES_tradnl"/>
        </w:rPr>
        <w:t>Unos 176.000 de esos 293.000 niños eran discapacitados o sufrían una enfermedad crónica que había afectado más de un año su funcionamiento cotidiano.</w:t>
      </w:r>
      <w:r>
        <w:rPr>
          <w:szCs w:val="24"/>
        </w:rPr>
        <w:t xml:space="preserve"> </w:t>
      </w:r>
      <w:r>
        <w:rPr>
          <w:szCs w:val="24"/>
          <w:lang w:val="es-ES_tradnl"/>
        </w:rPr>
        <w:t>Estos niños eran el 7,7% de la población infantil total.</w:t>
      </w:r>
    </w:p>
    <w:p w:rsidR="00F92819" w:rsidRDefault="00F92819">
      <w:pPr>
        <w:pStyle w:val="SingleTxtG"/>
        <w:rPr>
          <w:szCs w:val="24"/>
        </w:rPr>
      </w:pPr>
      <w:r>
        <w:rPr>
          <w:szCs w:val="24"/>
        </w:rPr>
        <w:t>593.</w:t>
      </w:r>
      <w:r>
        <w:rPr>
          <w:szCs w:val="24"/>
        </w:rPr>
        <w:tab/>
      </w:r>
      <w:r>
        <w:rPr>
          <w:szCs w:val="24"/>
          <w:lang w:val="es-ES_tradnl"/>
        </w:rPr>
        <w:t>Las proporciones de niños con necesidades especiales que tienen por lo menos una discapacidad es 9,1% de los niños beduinos (en la zona meridional del Negev), 8,3% de la población total de niños árabes y 7,6% de los niños judíos.</w:t>
      </w:r>
    </w:p>
    <w:p w:rsidR="00F92819" w:rsidRDefault="00F92819">
      <w:pPr>
        <w:pStyle w:val="SingleTxtG"/>
        <w:rPr>
          <w:szCs w:val="24"/>
        </w:rPr>
      </w:pPr>
      <w:r>
        <w:rPr>
          <w:szCs w:val="24"/>
        </w:rPr>
        <w:t>594.</w:t>
      </w:r>
      <w:r>
        <w:rPr>
          <w:szCs w:val="24"/>
        </w:rPr>
        <w:tab/>
      </w:r>
      <w:r>
        <w:rPr>
          <w:szCs w:val="24"/>
          <w:lang w:val="es-ES_tradnl"/>
        </w:rPr>
        <w:t>En 2007 asistían a escuelas especiales el 15,8% de alumnos con necesidades especiales en enseñanza primaria y postprimaria, el 22,3% lo hacía en aulas especiales en escuelas comunes y el 61,8% estaban integrados en escuelas comunes.</w:t>
      </w:r>
      <w:r>
        <w:rPr>
          <w:szCs w:val="24"/>
        </w:rPr>
        <w:t xml:space="preserve"> </w:t>
      </w:r>
      <w:r>
        <w:rPr>
          <w:szCs w:val="24"/>
          <w:lang w:val="es-ES_tradnl"/>
        </w:rPr>
        <w:t>Con respecto a la asistencia de niños con necesidades especiales al jardín de infancia, el 66,4% asisten a clases especiales y el 43,6% están integrados en la enseñanza formal.</w:t>
      </w:r>
    </w:p>
    <w:p w:rsidR="00F92819" w:rsidRDefault="00F92819">
      <w:pPr>
        <w:pStyle w:val="SingleTxtG"/>
        <w:rPr>
          <w:szCs w:val="24"/>
        </w:rPr>
      </w:pPr>
      <w:r>
        <w:rPr>
          <w:szCs w:val="24"/>
        </w:rPr>
        <w:t>595.</w:t>
      </w:r>
      <w:r>
        <w:rPr>
          <w:szCs w:val="24"/>
        </w:rPr>
        <w:tab/>
      </w:r>
      <w:r>
        <w:rPr>
          <w:szCs w:val="24"/>
          <w:lang w:val="es-ES_tradnl"/>
        </w:rPr>
        <w:t xml:space="preserve">La </w:t>
      </w:r>
      <w:r>
        <w:rPr>
          <w:i/>
          <w:szCs w:val="24"/>
          <w:lang w:val="es-ES_tradnl"/>
        </w:rPr>
        <w:t>Ley de educación especial</w:t>
      </w:r>
      <w:r>
        <w:rPr>
          <w:szCs w:val="24"/>
          <w:lang w:val="es-ES_tradnl"/>
        </w:rPr>
        <w:t xml:space="preserve"> de 5748/1988 fue reformada en 2002 para añadir un capítulo relativo a la integración de los niños con necesidades especiales,</w:t>
      </w:r>
      <w:r>
        <w:rPr>
          <w:szCs w:val="24"/>
        </w:rPr>
        <w:t xml:space="preserve"> </w:t>
      </w:r>
      <w:r>
        <w:rPr>
          <w:szCs w:val="24"/>
          <w:lang w:val="es-ES_tradnl"/>
        </w:rPr>
        <w:t>con el propósito de equiparar los servicios que reciben los niños integrados en las escuelas comunes y los que reciben los niños en centros de educación especial.</w:t>
      </w:r>
      <w:r>
        <w:rPr>
          <w:szCs w:val="24"/>
        </w:rPr>
        <w:t xml:space="preserve"> </w:t>
      </w:r>
      <w:r>
        <w:rPr>
          <w:szCs w:val="24"/>
          <w:lang w:val="es-ES_tradnl"/>
        </w:rPr>
        <w:t>La reforma obliga además al Comité de Colocación a preferir colocar al niño con discapacidad en un establecimiento educativo común.</w:t>
      </w:r>
      <w:r>
        <w:rPr>
          <w:szCs w:val="24"/>
        </w:rPr>
        <w:t xml:space="preserve"> </w:t>
      </w:r>
      <w:r>
        <w:rPr>
          <w:szCs w:val="24"/>
          <w:lang w:val="es-ES_tradnl"/>
        </w:rPr>
        <w:t>Uno de los objetos de la reforma es integrar los niños con discapacidades en el sistema de educación común aumentando de un año a otro el presupuesto asignado a este fin.</w:t>
      </w:r>
      <w:r>
        <w:rPr>
          <w:szCs w:val="24"/>
        </w:rPr>
        <w:t xml:space="preserve"> </w:t>
      </w:r>
      <w:r>
        <w:rPr>
          <w:szCs w:val="24"/>
          <w:lang w:val="es-ES_tradnl"/>
        </w:rPr>
        <w:t>La reforma se aplica hasta el momento a niños de 5 años o más.</w:t>
      </w:r>
    </w:p>
    <w:p w:rsidR="00F92819" w:rsidRDefault="00F92819">
      <w:pPr>
        <w:pStyle w:val="SingleTxtG"/>
        <w:rPr>
          <w:szCs w:val="24"/>
        </w:rPr>
      </w:pPr>
      <w:r>
        <w:rPr>
          <w:szCs w:val="24"/>
        </w:rPr>
        <w:t>596.</w:t>
      </w:r>
      <w:r>
        <w:rPr>
          <w:szCs w:val="24"/>
        </w:rPr>
        <w:tab/>
      </w:r>
      <w:r>
        <w:rPr>
          <w:szCs w:val="24"/>
          <w:lang w:val="es-ES_tradnl"/>
        </w:rPr>
        <w:t xml:space="preserve">Recientemente se ha sancionado la </w:t>
      </w:r>
      <w:r>
        <w:rPr>
          <w:i/>
          <w:szCs w:val="24"/>
          <w:lang w:val="es-ES_tradnl"/>
        </w:rPr>
        <w:t>Ley de los derechos de los alumnos con discapacidad en centros de educación secundaria</w:t>
      </w:r>
      <w:r>
        <w:rPr>
          <w:szCs w:val="24"/>
          <w:lang w:val="es-ES_tradnl"/>
        </w:rPr>
        <w:t xml:space="preserve"> de 5768/2008,</w:t>
      </w:r>
      <w:r>
        <w:rPr>
          <w:szCs w:val="24"/>
        </w:rPr>
        <w:t xml:space="preserve"> </w:t>
      </w:r>
      <w:r>
        <w:rPr>
          <w:szCs w:val="24"/>
          <w:lang w:val="es-ES_tradnl"/>
        </w:rPr>
        <w:t>que hace valer los derechos de los alumnos con discapacidades de aprendizaje a que se adapten los criterios de admisión en los centros de educación secundaria (académica, técnica, rabínica o profesional), así como los exámenes y otras tareas durante todo el período de escolaridad.</w:t>
      </w:r>
    </w:p>
    <w:p w:rsidR="00F92819" w:rsidRDefault="00F92819">
      <w:pPr>
        <w:pStyle w:val="SingleTxtG"/>
        <w:rPr>
          <w:szCs w:val="24"/>
        </w:rPr>
      </w:pPr>
      <w:r>
        <w:rPr>
          <w:szCs w:val="24"/>
        </w:rPr>
        <w:t>597.</w:t>
      </w:r>
      <w:r>
        <w:rPr>
          <w:szCs w:val="24"/>
        </w:rPr>
        <w:tab/>
      </w:r>
      <w:r>
        <w:rPr>
          <w:szCs w:val="24"/>
          <w:lang w:val="es-ES_tradnl"/>
        </w:rPr>
        <w:t>Un procedimiento interno del Ministerio de Educación permite a los alumnos con discapacidades obtener todas las adaptaciones de accesibilidad necesarias en el centro educativo al que asisten, y ofrece la financiación necesaria con arreglo a los proyectos específicos presentados al Ministerio por la autoridad local pertinente.</w:t>
      </w:r>
    </w:p>
    <w:p w:rsidR="00F92819" w:rsidRDefault="00F92819">
      <w:pPr>
        <w:pStyle w:val="SingleTxtG"/>
        <w:rPr>
          <w:szCs w:val="24"/>
        </w:rPr>
      </w:pPr>
      <w:r>
        <w:rPr>
          <w:szCs w:val="24"/>
        </w:rPr>
        <w:t>598.</w:t>
      </w:r>
      <w:r>
        <w:rPr>
          <w:szCs w:val="24"/>
        </w:rPr>
        <w:tab/>
      </w:r>
      <w:r>
        <w:rPr>
          <w:szCs w:val="24"/>
          <w:lang w:val="es-ES_tradnl"/>
        </w:rPr>
        <w:t xml:space="preserve">La </w:t>
      </w:r>
      <w:r>
        <w:rPr>
          <w:i/>
          <w:szCs w:val="24"/>
          <w:lang w:val="es-ES_tradnl"/>
        </w:rPr>
        <w:t>Ley de transporte seguro de los niños con discapacidad</w:t>
      </w:r>
      <w:r>
        <w:rPr>
          <w:szCs w:val="24"/>
          <w:lang w:val="es-ES_tradnl"/>
        </w:rPr>
        <w:t xml:space="preserve"> de 5754/1994 se aprobó con el fin de proveer de un transporte seguro de los niños con discapacidades a su centro educativo y de regreso.</w:t>
      </w:r>
      <w:r>
        <w:rPr>
          <w:szCs w:val="24"/>
        </w:rPr>
        <w:t xml:space="preserve"> </w:t>
      </w:r>
      <w:r>
        <w:rPr>
          <w:szCs w:val="24"/>
          <w:lang w:val="es-ES_tradnl"/>
        </w:rPr>
        <w:t>De conformidad con la Ley, un niño con discapacidad tiene derecho a un transporte organizado y adaptado a sus necesidades y tipo de discapacidad, desde su residencia hasta el centro educativo al que asiste.</w:t>
      </w:r>
      <w:r>
        <w:rPr>
          <w:szCs w:val="24"/>
        </w:rPr>
        <w:t xml:space="preserve"> </w:t>
      </w:r>
      <w:r>
        <w:rPr>
          <w:szCs w:val="24"/>
          <w:lang w:val="es-ES_tradnl"/>
        </w:rPr>
        <w:t>La Ley dispone que la autoridad de la localidad donde reside el niño con discapacidad es responsable de facilitar el transporte necesario.</w:t>
      </w:r>
    </w:p>
    <w:p w:rsidR="00F92819" w:rsidRDefault="00F92819">
      <w:pPr>
        <w:pStyle w:val="SingleTxtG"/>
        <w:rPr>
          <w:szCs w:val="24"/>
        </w:rPr>
      </w:pPr>
      <w:r>
        <w:rPr>
          <w:szCs w:val="24"/>
        </w:rPr>
        <w:t>599.</w:t>
      </w:r>
      <w:r>
        <w:rPr>
          <w:szCs w:val="24"/>
        </w:rPr>
        <w:tab/>
      </w:r>
      <w:r>
        <w:rPr>
          <w:szCs w:val="24"/>
          <w:lang w:val="es-ES_tradnl"/>
        </w:rPr>
        <w:t xml:space="preserve">El 18 de junio de 2008 el juzgado de Be’er-Sheva ordenó indemnizar a una niña pequeña con discapacidad y a sus padres, puesto que la municipalidad no le había facilitado un transporte adecuado a la escuela tal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establece la </w:t>
      </w:r>
      <w:r>
        <w:rPr>
          <w:i/>
          <w:szCs w:val="24"/>
          <w:lang w:val="es-ES_tradnl"/>
        </w:rPr>
        <w:t>Ley de transporte seguro de los niños con discapacidad</w:t>
      </w:r>
      <w:r>
        <w:rPr>
          <w:szCs w:val="24"/>
          <w:lang w:val="es-ES_tradnl"/>
        </w:rPr>
        <w:t>.</w:t>
      </w:r>
      <w:r>
        <w:rPr>
          <w:szCs w:val="24"/>
        </w:rPr>
        <w:t xml:space="preserve"> </w:t>
      </w:r>
      <w:r>
        <w:rPr>
          <w:szCs w:val="24"/>
          <w:lang w:val="es-ES_tradnl"/>
        </w:rPr>
        <w:t>Debido a que la municipalidad incumplió su obligación de suministrar el transporte, los padres soportaron gastos por la compra de un automóvil adecuado para llevar a la niña a la escuela, adaptar el vehículo a su discapacidad y llevarla con él a la escuela, lo cual conllevó que alguno de los progenitores tuviera que ausentarse de su lugar de trabajo y perder ingresos, así como la pérdida de prestaciones sociales por su parte.</w:t>
      </w:r>
      <w:r>
        <w:rPr>
          <w:szCs w:val="24"/>
        </w:rPr>
        <w:t xml:space="preserve"> </w:t>
      </w:r>
      <w:r>
        <w:rPr>
          <w:szCs w:val="24"/>
          <w:lang w:val="es-ES_tradnl"/>
        </w:rPr>
        <w:t xml:space="preserve">El Tribunal determinó que las razones presupuestarias de la municipalidad no podían justificar el incumplimiento de una obligación por ley y que está obligada a destinar un presupuesto a tal efecto, aunque no haya fondos de los ministerios gubernamentales o sean insuficientes. Por consiguiente, el Tribunal concedió indemnizar con la cantidad de 30.000 nuevos sheqalim (7.894 dólares de los EE.UU.) por la pérdida de ingresos y prestaciones sociales, 10.000 nuevos sheqalim (2.631 dólares de los EE.UU.) por la aflicción causada y 50.000 nuevos sheqalim (13.157 dólares de los EE.UU.) por el costo del automóvil (C.C (Be’er-Sheva) 2159/03 </w:t>
      </w:r>
      <w:r>
        <w:rPr>
          <w:i/>
          <w:szCs w:val="24"/>
          <w:lang w:val="es-ES_tradnl"/>
        </w:rPr>
        <w:t>Pada Ov Jama c. la Municipalidad de Rahat</w:t>
      </w:r>
      <w:r>
        <w:rPr>
          <w:szCs w:val="24"/>
          <w:lang w:val="es-ES_tradnl"/>
        </w:rPr>
        <w:t xml:space="preserve"> (15 de junio de 2008)).</w:t>
      </w:r>
    </w:p>
    <w:p w:rsidR="00F92819" w:rsidRDefault="00F92819">
      <w:pPr>
        <w:pStyle w:val="SingleTxtG"/>
        <w:rPr>
          <w:szCs w:val="24"/>
        </w:rPr>
      </w:pPr>
      <w:r>
        <w:rPr>
          <w:szCs w:val="24"/>
        </w:rPr>
        <w:t>600.</w:t>
      </w:r>
      <w:r>
        <w:rPr>
          <w:szCs w:val="24"/>
        </w:rPr>
        <w:tab/>
      </w:r>
      <w:r>
        <w:rPr>
          <w:szCs w:val="24"/>
          <w:lang w:val="es-ES_tradnl"/>
        </w:rPr>
        <w:t xml:space="preserve">En un caso reciente, el Tribunal </w:t>
      </w:r>
      <w:smartTag w:uri="urn:schemas-microsoft-com:office:smarttags" w:element="State">
        <w:r>
          <w:rPr>
            <w:szCs w:val="24"/>
            <w:lang w:val="es-ES_tradnl"/>
          </w:rPr>
          <w:t>del</w:t>
        </w:r>
      </w:smartTag>
      <w:r>
        <w:rPr>
          <w:szCs w:val="24"/>
          <w:lang w:val="es-ES_tradnl"/>
        </w:rPr>
        <w:t xml:space="preserve"> Distrito de Tel Aviv, constituido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Tribunal Administrativo, abordó el alcance de la obligación del Estado de ofrecer educación gratuita a los niños con discapacidades.</w:t>
      </w:r>
      <w:r>
        <w:rPr>
          <w:szCs w:val="24"/>
        </w:rPr>
        <w:t xml:space="preserve"> </w:t>
      </w:r>
      <w:r>
        <w:rPr>
          <w:szCs w:val="24"/>
          <w:lang w:val="es-ES_tradnl"/>
        </w:rPr>
        <w:t>Los demandantes cuestionaban una directiva interna del Ministerio de Educación según la cual, a partir del año escolar 2007/2008, supervisores de las escuelas de educación especial podían autorizar la presencia de ayudantes de refuerzo para las clases de educación especial, aunque no podían autorizar asistentes personales.</w:t>
      </w:r>
      <w:r>
        <w:rPr>
          <w:szCs w:val="24"/>
        </w:rPr>
        <w:t xml:space="preserve"> </w:t>
      </w:r>
      <w:r>
        <w:rPr>
          <w:szCs w:val="24"/>
          <w:lang w:val="es-ES_tradnl"/>
        </w:rPr>
        <w:t xml:space="preserve">Los demandantes afirmaban que la directiva violaba el derecho de un niño con discapacidad a la educación gratuita, como está establecido en la </w:t>
      </w:r>
      <w:r>
        <w:rPr>
          <w:i/>
          <w:szCs w:val="24"/>
          <w:lang w:val="es-ES_tradnl"/>
        </w:rPr>
        <w:t>Ley de educación especial</w:t>
      </w:r>
      <w:r>
        <w:rPr>
          <w:szCs w:val="24"/>
          <w:lang w:val="es-ES_tradnl"/>
        </w:rPr>
        <w:t>.</w:t>
      </w:r>
    </w:p>
    <w:p w:rsidR="00F92819" w:rsidRDefault="00F92819">
      <w:pPr>
        <w:pStyle w:val="SingleTxtG"/>
        <w:rPr>
          <w:szCs w:val="24"/>
        </w:rPr>
      </w:pPr>
      <w:r>
        <w:rPr>
          <w:szCs w:val="24"/>
          <w:lang w:val="es-ES_tradnl"/>
        </w:rPr>
        <w:t xml:space="preserve">El Tribunal determinó que el Estado tiene una obligación importante, establecida en la </w:t>
      </w:r>
      <w:r>
        <w:rPr>
          <w:i/>
          <w:szCs w:val="24"/>
          <w:lang w:val="es-ES_tradnl"/>
        </w:rPr>
        <w:t>Ley de educación especial</w:t>
      </w:r>
      <w:r>
        <w:rPr>
          <w:szCs w:val="24"/>
          <w:lang w:val="es-ES_tradnl"/>
        </w:rPr>
        <w:t>, de ofrecer educación gratuita a los niños con discapacidades, y por lo tanto no puede eludir su obligación una vez que el niño forma parte del sistema de educación especial.</w:t>
      </w:r>
      <w:r>
        <w:rPr>
          <w:szCs w:val="24"/>
        </w:rPr>
        <w:t xml:space="preserve"> </w:t>
      </w:r>
      <w:r>
        <w:rPr>
          <w:szCs w:val="24"/>
          <w:lang w:val="es-ES_tradnl"/>
        </w:rPr>
        <w:t>Una directiva que niega la capacidad de una persona o grupo de personas, como las que necesitan asistencia personal, para ejercer su derecho fundamental a la educación, contradice la mencionada obligación.</w:t>
      </w:r>
      <w:r>
        <w:rPr>
          <w:szCs w:val="24"/>
        </w:rPr>
        <w:t xml:space="preserve"> </w:t>
      </w:r>
      <w:r>
        <w:rPr>
          <w:szCs w:val="24"/>
          <w:lang w:val="es-ES_tradnl"/>
        </w:rPr>
        <w:t>El Tribunal determinó que es esencial que la política del Ministerio tenga en cuenta las circunstancias individuales.</w:t>
      </w:r>
      <w:r>
        <w:rPr>
          <w:szCs w:val="24"/>
        </w:rPr>
        <w:t xml:space="preserve"> </w:t>
      </w:r>
      <w:r>
        <w:rPr>
          <w:szCs w:val="24"/>
          <w:lang w:val="es-ES_tradnl"/>
        </w:rPr>
        <w:t>La preferencia de un marco normativo estricto sobre el tratamiento de los casos excepcionales permitiendo la excepción de la regla puede constituir una infracción del derecho fundamental de un niño a recibir educación especial, y como tal, no es válida.</w:t>
      </w:r>
      <w:r>
        <w:rPr>
          <w:szCs w:val="24"/>
        </w:rPr>
        <w:t xml:space="preserve"> </w:t>
      </w:r>
      <w:r>
        <w:rPr>
          <w:szCs w:val="24"/>
          <w:lang w:val="es-ES_tradnl"/>
        </w:rPr>
        <w:t xml:space="preserve">El Tribunal falló declaró nula la directiva del Ministerio de Educación que prohíbe la autorización de asistentes personales en el sistema de educación y deberá redactarse de nuevo de modo que recoja la incorporación de asistentes personales para un alumno en casos excepcionales y justificados (Ad.P 1214/08 </w:t>
      </w:r>
      <w:r>
        <w:rPr>
          <w:i/>
          <w:szCs w:val="24"/>
          <w:lang w:val="es-ES_tradnl"/>
        </w:rPr>
        <w:t>Orel (menor) et al. c. el Ministerio de Educación et al.</w:t>
      </w:r>
      <w:r>
        <w:rPr>
          <w:szCs w:val="24"/>
        </w:rPr>
        <w:t xml:space="preserve"> </w:t>
      </w:r>
      <w:r>
        <w:rPr>
          <w:szCs w:val="24"/>
          <w:lang w:val="es-ES_tradnl"/>
        </w:rPr>
        <w:t>(7 de septiembre de 2008)).</w:t>
      </w:r>
    </w:p>
    <w:p w:rsidR="00F92819" w:rsidRDefault="00F92819">
      <w:pPr>
        <w:pStyle w:val="SingleTxtG"/>
        <w:rPr>
          <w:szCs w:val="24"/>
        </w:rPr>
      </w:pPr>
      <w:r>
        <w:rPr>
          <w:szCs w:val="24"/>
        </w:rPr>
        <w:t>601.</w:t>
      </w:r>
      <w:r>
        <w:rPr>
          <w:szCs w:val="24"/>
        </w:rPr>
        <w:tab/>
      </w:r>
      <w:r>
        <w:rPr>
          <w:szCs w:val="24"/>
          <w:lang w:val="es-ES_tradnl"/>
        </w:rPr>
        <w:t xml:space="preserve">En septiembre de 2007 el Ministro de Educación creó una comisión pública, encabezada por la juez retirada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Tribunal Supremo Dalia Dorner, para examinar el sistema de escuelas de educación especial de Israel.</w:t>
      </w:r>
      <w:r>
        <w:rPr>
          <w:szCs w:val="24"/>
        </w:rPr>
        <w:t xml:space="preserve"> </w:t>
      </w:r>
      <w:r>
        <w:rPr>
          <w:szCs w:val="24"/>
          <w:lang w:val="es-ES_tradnl"/>
        </w:rPr>
        <w:t xml:space="preserve">El trabajo de </w:t>
      </w:r>
      <w:smartTag w:uri="urn:schemas-microsoft-com:office:smarttags" w:element="PersonName">
        <w:smartTagPr>
          <w:attr w:name="ProductID" w:val="la Comisi￳n Dorner"/>
        </w:smartTagPr>
        <w:r>
          <w:rPr>
            <w:szCs w:val="24"/>
            <w:lang w:val="es-ES_tradnl"/>
          </w:rPr>
          <w:t>la Comisión Dorner</w:t>
        </w:r>
      </w:smartTag>
      <w:r>
        <w:rPr>
          <w:szCs w:val="24"/>
          <w:lang w:val="es-ES_tradnl"/>
        </w:rPr>
        <w:t xml:space="preserve"> entonces era analizar la política del Ministerio de Educación con respecto a los niños con necesidades especiales, examinar la asignación presupuestaria del Ministerio para tratar a estos niños, trazar un plan de actuación y establecer una lista de prioridades al respecto, teniendo en cuenta las limitaciones de presupuesto del Ministerio.</w:t>
      </w:r>
    </w:p>
    <w:p w:rsidR="00F92819" w:rsidRDefault="00F92819">
      <w:pPr>
        <w:pStyle w:val="H4G"/>
        <w:rPr>
          <w:szCs w:val="24"/>
        </w:rPr>
      </w:pPr>
      <w:r>
        <w:rPr>
          <w:szCs w:val="24"/>
        </w:rPr>
        <w:tab/>
      </w:r>
      <w:r>
        <w:rPr>
          <w:szCs w:val="24"/>
        </w:rPr>
        <w:tab/>
      </w:r>
      <w:r>
        <w:rPr>
          <w:szCs w:val="24"/>
          <w:lang w:val="es-ES_tradnl"/>
        </w:rPr>
        <w:t>Población árabe</w:t>
      </w:r>
    </w:p>
    <w:p w:rsidR="00F92819" w:rsidRDefault="00F92819">
      <w:pPr>
        <w:pStyle w:val="SingleTxtG"/>
        <w:rPr>
          <w:szCs w:val="24"/>
        </w:rPr>
      </w:pPr>
      <w:r>
        <w:rPr>
          <w:szCs w:val="24"/>
        </w:rPr>
        <w:t>602.</w:t>
      </w:r>
      <w:r>
        <w:rPr>
          <w:szCs w:val="24"/>
        </w:rPr>
        <w:tab/>
      </w:r>
      <w:r>
        <w:rPr>
          <w:szCs w:val="24"/>
          <w:lang w:val="es-ES_tradnl"/>
        </w:rPr>
        <w:t>Desde 2000 se aplica un programa excepcional, exclusivamente para la población árabe,</w:t>
      </w:r>
      <w:r>
        <w:rPr>
          <w:szCs w:val="24"/>
        </w:rPr>
        <w:t xml:space="preserve"> </w:t>
      </w:r>
      <w:r>
        <w:rPr>
          <w:szCs w:val="24"/>
          <w:lang w:val="es-ES_tradnl"/>
        </w:rPr>
        <w:t>encaminado, entre otras cosas, a la formación de profesores; formación de asesores educacionales para obtener una licenciatura; promoción profesional de los profesores; creación de programas orientados a alentar a los estudiantes para lograr mejores resultados en su lengua materna, matemáticas y ciencias; aplicación de programas orientados a aumentar el número de alumnos que pueden optar a un certificado de matrícula; programas para prevenir los abandonos, inversión en computadoras, equipo e infraestructuras físicas, incluidas las clases tecnología y ciencia para las clases de las divisiones más altas, etc. Este programa ha permitido grandes logros:</w:t>
      </w:r>
      <w:r>
        <w:rPr>
          <w:szCs w:val="24"/>
        </w:rPr>
        <w:t xml:space="preserve"> </w:t>
      </w:r>
      <w:r>
        <w:rPr>
          <w:szCs w:val="24"/>
          <w:lang w:val="es-ES_tradnl"/>
        </w:rPr>
        <w:t>mejora constante de los resultados de los alumnos en los exámenes estatales, reducción de diferencias en los resultados de los alumnos de enseñanza media en matemáticas y ciencias, aumento del número de alumnos y disminución de la cantidad de abandonos, aumento del número de alumnos que pueden optar al certificado de matriculación, cambio de actitud hacia la enseñanza y hacia la escuela entre las alumnas, y aumento considerable del número de alumnos que participan en certámenes de ciencia y tecnología.</w:t>
      </w:r>
    </w:p>
    <w:p w:rsidR="00F92819" w:rsidRDefault="00F92819">
      <w:pPr>
        <w:pStyle w:val="SingleTxtG"/>
        <w:rPr>
          <w:szCs w:val="24"/>
        </w:rPr>
      </w:pPr>
      <w:r>
        <w:rPr>
          <w:szCs w:val="24"/>
        </w:rPr>
        <w:t>603.</w:t>
      </w:r>
      <w:r>
        <w:rPr>
          <w:szCs w:val="24"/>
        </w:rPr>
        <w:tab/>
      </w:r>
      <w:r>
        <w:rPr>
          <w:szCs w:val="24"/>
          <w:lang w:val="es-ES_tradnl"/>
        </w:rPr>
        <w:t xml:space="preserve">A lo largo de este artículo se da información actualizada sobre la construcción de escuelas, puestos docentes, tasas de asistencia y de graduación con respecto a la población árabe. </w:t>
      </w:r>
    </w:p>
    <w:p w:rsidR="00F92819" w:rsidRDefault="00F92819">
      <w:pPr>
        <w:pStyle w:val="SingleTxtG"/>
        <w:rPr>
          <w:szCs w:val="24"/>
        </w:rPr>
      </w:pPr>
      <w:r>
        <w:rPr>
          <w:szCs w:val="24"/>
        </w:rPr>
        <w:t>604.</w:t>
      </w:r>
      <w:r>
        <w:rPr>
          <w:szCs w:val="24"/>
        </w:rPr>
        <w:tab/>
      </w:r>
      <w:r>
        <w:rPr>
          <w:szCs w:val="24"/>
          <w:lang w:val="es-ES_tradnl"/>
        </w:rPr>
        <w:t>Debe mencionarse que el 23 de noviembre de 2008 el Comité de Nombramientos del Consejo de Educación Superior otorgó el título de profesor a Haula Abu-Bakar, maestra y docente en Jezreel Valley College, siendo la primera profesora árabe-israelí en Israel.</w:t>
      </w:r>
    </w:p>
    <w:p w:rsidR="00F92819" w:rsidRPr="008E2128" w:rsidRDefault="00F92819">
      <w:pPr>
        <w:pStyle w:val="H4G"/>
        <w:rPr>
          <w:b/>
          <w:szCs w:val="24"/>
        </w:rPr>
      </w:pPr>
      <w:r>
        <w:rPr>
          <w:szCs w:val="24"/>
        </w:rPr>
        <w:tab/>
      </w:r>
      <w:r>
        <w:rPr>
          <w:szCs w:val="24"/>
        </w:rPr>
        <w:tab/>
      </w:r>
      <w:r w:rsidRPr="008E2128">
        <w:rPr>
          <w:b/>
          <w:szCs w:val="24"/>
          <w:lang w:val="es-ES_tradnl"/>
        </w:rPr>
        <w:t>La población beduina</w:t>
      </w:r>
    </w:p>
    <w:p w:rsidR="00F92819" w:rsidRDefault="00F92819">
      <w:pPr>
        <w:pStyle w:val="SingleTxtG"/>
        <w:rPr>
          <w:szCs w:val="24"/>
        </w:rPr>
      </w:pPr>
      <w:r>
        <w:rPr>
          <w:szCs w:val="24"/>
        </w:rPr>
        <w:t>605.</w:t>
      </w:r>
      <w:r>
        <w:rPr>
          <w:szCs w:val="24"/>
        </w:rPr>
        <w:tab/>
      </w:r>
      <w:r>
        <w:rPr>
          <w:szCs w:val="24"/>
          <w:lang w:val="es-ES_tradnl"/>
        </w:rPr>
        <w:t xml:space="preserve">Con arreglo al plan plurianual, se asignó un presupuesto para establecer centros educativos adicionales en las localidades beduinas tanto </w:t>
      </w:r>
      <w:smartTag w:uri="urn:schemas-microsoft-com:office:smarttags" w:element="State">
        <w:r>
          <w:rPr>
            <w:szCs w:val="24"/>
            <w:lang w:val="es-ES_tradnl"/>
          </w:rPr>
          <w:t>del</w:t>
        </w:r>
      </w:smartTag>
      <w:r>
        <w:rPr>
          <w:szCs w:val="24"/>
          <w:lang w:val="es-ES_tradnl"/>
        </w:rPr>
        <w:t xml:space="preserve"> norte </w:t>
      </w:r>
      <w:smartTag w:uri="urn:schemas-microsoft-com:office:smarttags" w:element="City">
        <w:r>
          <w:rPr>
            <w:szCs w:val="24"/>
            <w:lang w:val="es-ES_tradnl"/>
          </w:rPr>
          <w:t>como</w:t>
        </w:r>
      </w:smartTag>
      <w:r>
        <w:rPr>
          <w:szCs w:val="24"/>
          <w:lang w:val="es-ES_tradnl"/>
        </w:rPr>
        <w:t xml:space="preserve"> </w:t>
      </w:r>
      <w:smartTag w:uri="urn:schemas-microsoft-com:office:smarttags" w:element="State">
        <w:r>
          <w:rPr>
            <w:szCs w:val="24"/>
            <w:lang w:val="es-ES_tradnl"/>
          </w:rPr>
          <w:t>del</w:t>
        </w:r>
      </w:smartTag>
      <w:r>
        <w:rPr>
          <w:szCs w:val="24"/>
          <w:lang w:val="es-ES_tradnl"/>
        </w:rPr>
        <w:t xml:space="preserve"> sur. </w:t>
      </w:r>
      <w:smartTag w:uri="urn:schemas-microsoft-com:office:smarttags" w:element="City">
        <w:r>
          <w:rPr>
            <w:szCs w:val="24"/>
            <w:lang w:val="es-ES_tradnl"/>
          </w:rPr>
          <w:t>Como</w:t>
        </w:r>
      </w:smartTag>
      <w:r>
        <w:rPr>
          <w:szCs w:val="24"/>
          <w:lang w:val="es-ES_tradnl"/>
        </w:rPr>
        <w:t xml:space="preserve"> parte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programa del Ministerio de Educación para fomentar el marco educativo en las localidades beduinas, se destinaron fondos para la creación y mejora de laboratorios de ciencias y de informática.</w:t>
      </w:r>
      <w:r>
        <w:rPr>
          <w:szCs w:val="24"/>
        </w:rPr>
        <w:t xml:space="preserve"> </w:t>
      </w:r>
      <w:r>
        <w:rPr>
          <w:szCs w:val="24"/>
          <w:lang w:val="es-ES_tradnl"/>
        </w:rPr>
        <w:t>Se asignaron asesores pedagógicos que prestan asistencia a los directores de las escuelas en la elaboración del plan de trabajo de la escuela y fondos para horas de refuerzo destinadas a los alumnos que lo necesitan en todos los niveles de enseñanza, con el fin de reducir las diferencias pedagógicas y aumentar el porcentaje de obtención del certificado de matriculación.</w:t>
      </w:r>
    </w:p>
    <w:p w:rsidR="00F92819" w:rsidRDefault="00F92819">
      <w:pPr>
        <w:pStyle w:val="SingleTxtG"/>
        <w:rPr>
          <w:szCs w:val="24"/>
        </w:rPr>
      </w:pPr>
      <w:r>
        <w:rPr>
          <w:szCs w:val="24"/>
        </w:rPr>
        <w:t>606.</w:t>
      </w:r>
      <w:r>
        <w:rPr>
          <w:szCs w:val="24"/>
        </w:rPr>
        <w:tab/>
      </w:r>
      <w:r>
        <w:rPr>
          <w:szCs w:val="24"/>
          <w:lang w:val="es-ES_tradnl"/>
        </w:rPr>
        <w:t>Además, se inició un programa para formar profesores beduinos y ayudarles en las primeras etapas de su empleo, con el fin de fortalecer su situación y mejorar los resultados de sus alumnos.</w:t>
      </w:r>
      <w:r>
        <w:rPr>
          <w:szCs w:val="24"/>
        </w:rPr>
        <w:t xml:space="preserve"> </w:t>
      </w:r>
      <w:r>
        <w:rPr>
          <w:szCs w:val="24"/>
          <w:lang w:val="es-ES_tradnl"/>
        </w:rPr>
        <w:t>Actualmente participan en él 165 profesores.</w:t>
      </w:r>
      <w:r>
        <w:rPr>
          <w:szCs w:val="24"/>
        </w:rPr>
        <w:t xml:space="preserve"> </w:t>
      </w:r>
      <w:r>
        <w:rPr>
          <w:szCs w:val="24"/>
          <w:lang w:val="es-ES_tradnl"/>
        </w:rPr>
        <w:t xml:space="preserve">También se inició otro programa de formación para mejorar la plantilla docente en la enseñanza secundaria, en cooperación con </w:t>
      </w:r>
      <w:smartTag w:uri="urn:schemas-microsoft-com:office:smarttags" w:element="PersonName">
        <w:smartTagPr>
          <w:attr w:name="ProductID" w:val="la Universidad Ben-Gurion."/>
        </w:smartTagPr>
        <w:r>
          <w:rPr>
            <w:szCs w:val="24"/>
            <w:lang w:val="es-ES_tradnl"/>
          </w:rPr>
          <w:t>la Universidad Ben-Gurion.</w:t>
        </w:r>
      </w:smartTag>
      <w:r>
        <w:rPr>
          <w:szCs w:val="24"/>
          <w:lang w:val="es-ES_tradnl"/>
        </w:rPr>
        <w:t xml:space="preserve"> </w:t>
      </w:r>
    </w:p>
    <w:p w:rsidR="00F92819" w:rsidRDefault="00F92819">
      <w:pPr>
        <w:pStyle w:val="SingleTxtG"/>
        <w:rPr>
          <w:szCs w:val="24"/>
        </w:rPr>
      </w:pPr>
      <w:r>
        <w:rPr>
          <w:szCs w:val="24"/>
        </w:rPr>
        <w:t>607.</w:t>
      </w:r>
      <w:r>
        <w:rPr>
          <w:szCs w:val="24"/>
        </w:rPr>
        <w:tab/>
      </w:r>
      <w:r>
        <w:rPr>
          <w:szCs w:val="24"/>
          <w:lang w:val="es-ES_tradnl"/>
        </w:rPr>
        <w:t>A partir de 2006, todas las clases de primer y segundo grado en las localidades beduinas que tenían más de 28 alumnos se dividieron en dos clases y recibieron 10 horas más a la semana.</w:t>
      </w:r>
    </w:p>
    <w:p w:rsidR="00F92819" w:rsidRDefault="00F92819">
      <w:pPr>
        <w:pStyle w:val="SingleTxtG"/>
        <w:rPr>
          <w:szCs w:val="24"/>
        </w:rPr>
      </w:pPr>
      <w:r>
        <w:rPr>
          <w:szCs w:val="24"/>
        </w:rPr>
        <w:t>608.</w:t>
      </w:r>
      <w:r>
        <w:rPr>
          <w:szCs w:val="24"/>
        </w:rPr>
        <w:tab/>
      </w:r>
      <w:r>
        <w:rPr>
          <w:szCs w:val="24"/>
          <w:lang w:val="es-ES_tradnl"/>
        </w:rPr>
        <w:t>Los resultados de estos esfuerzos son obvios: la tasa de alumnos beduinos de 12º grado que obtuvieron certificados de matriculación aumentó en un 6% entre 2004 y 2007.</w:t>
      </w:r>
    </w:p>
    <w:p w:rsidR="00F92819" w:rsidRDefault="00F92819">
      <w:pPr>
        <w:pStyle w:val="H4G"/>
        <w:rPr>
          <w:szCs w:val="24"/>
        </w:rPr>
      </w:pPr>
      <w:r>
        <w:rPr>
          <w:szCs w:val="24"/>
        </w:rPr>
        <w:tab/>
      </w:r>
      <w:r>
        <w:rPr>
          <w:szCs w:val="24"/>
        </w:rPr>
        <w:tab/>
      </w:r>
      <w:r>
        <w:rPr>
          <w:szCs w:val="24"/>
          <w:lang w:val="es-ES_tradnl"/>
        </w:rPr>
        <w:t>Formación de profesionales</w:t>
      </w:r>
    </w:p>
    <w:p w:rsidR="00F92819" w:rsidRDefault="00F92819">
      <w:pPr>
        <w:pStyle w:val="SingleTxtG"/>
        <w:rPr>
          <w:szCs w:val="24"/>
        </w:rPr>
      </w:pPr>
      <w:r>
        <w:rPr>
          <w:szCs w:val="24"/>
        </w:rPr>
        <w:t>609.</w:t>
      </w:r>
      <w:r>
        <w:rPr>
          <w:szCs w:val="24"/>
        </w:rPr>
        <w:tab/>
      </w:r>
      <w:r>
        <w:rPr>
          <w:szCs w:val="24"/>
          <w:lang w:val="es-ES_tradnl"/>
        </w:rPr>
        <w:t>Orientadores: entre 2004 y 2008 se crearon tres cursos de capacitación para orientadores, dos en el norte y uno en el sur.</w:t>
      </w:r>
    </w:p>
    <w:p w:rsidR="00F92819" w:rsidRDefault="00F92819">
      <w:pPr>
        <w:pStyle w:val="SingleTxtG"/>
        <w:rPr>
          <w:b/>
          <w:szCs w:val="24"/>
        </w:rPr>
      </w:pPr>
      <w:r>
        <w:rPr>
          <w:szCs w:val="24"/>
        </w:rPr>
        <w:t>610.</w:t>
      </w:r>
      <w:r>
        <w:rPr>
          <w:szCs w:val="24"/>
        </w:rPr>
        <w:tab/>
      </w:r>
      <w:r>
        <w:rPr>
          <w:szCs w:val="24"/>
          <w:lang w:val="es-ES_tradnl"/>
        </w:rPr>
        <w:t xml:space="preserve">Además, se crearon dos clases de especialistas en funciones de aprendizaje, una en el Instituto de Sakhnin (norte) y la segunda en Be’er-Sheva (sur), en el marco de </w:t>
      </w:r>
      <w:smartTag w:uri="urn:schemas-microsoft-com:office:smarttags" w:element="PersonName">
        <w:smartTagPr>
          <w:attr w:name="ProductID" w:val="la Universidad Abierta."/>
        </w:smartTagPr>
        <w:r>
          <w:rPr>
            <w:szCs w:val="24"/>
            <w:lang w:val="es-ES_tradnl"/>
          </w:rPr>
          <w:t>la Universidad Abierta.</w:t>
        </w:r>
      </w:smartTag>
    </w:p>
    <w:p w:rsidR="00F92819" w:rsidRDefault="00F92819">
      <w:pPr>
        <w:pStyle w:val="SingleTxtG"/>
        <w:rPr>
          <w:szCs w:val="24"/>
        </w:rPr>
      </w:pPr>
      <w:r>
        <w:rPr>
          <w:szCs w:val="24"/>
        </w:rPr>
        <w:t>611.</w:t>
      </w:r>
      <w:r>
        <w:rPr>
          <w:szCs w:val="24"/>
        </w:rPr>
        <w:tab/>
      </w:r>
      <w:r>
        <w:rPr>
          <w:szCs w:val="24"/>
          <w:lang w:val="es-ES_tradnl"/>
        </w:rPr>
        <w:t>Psicólogos: se asignaron más puestos para psicólogos, aunque siguen faltando puestos para alumnos y de psicólogos educacionales.</w:t>
      </w:r>
    </w:p>
    <w:p w:rsidR="00F92819" w:rsidRDefault="00F92819">
      <w:pPr>
        <w:pStyle w:val="H4G"/>
        <w:rPr>
          <w:szCs w:val="24"/>
        </w:rPr>
      </w:pPr>
      <w:r>
        <w:rPr>
          <w:szCs w:val="24"/>
        </w:rPr>
        <w:tab/>
      </w:r>
      <w:r>
        <w:rPr>
          <w:szCs w:val="24"/>
        </w:rPr>
        <w:tab/>
      </w:r>
      <w:r>
        <w:rPr>
          <w:szCs w:val="24"/>
          <w:lang w:val="es-ES_tradnl"/>
        </w:rPr>
        <w:t>Programas de educación especial</w:t>
      </w:r>
    </w:p>
    <w:p w:rsidR="00F92819" w:rsidRDefault="00F92819">
      <w:pPr>
        <w:pStyle w:val="SingleTxtG"/>
        <w:rPr>
          <w:szCs w:val="24"/>
        </w:rPr>
      </w:pPr>
      <w:r>
        <w:rPr>
          <w:szCs w:val="24"/>
        </w:rPr>
        <w:t>612.</w:t>
      </w:r>
      <w:r>
        <w:rPr>
          <w:szCs w:val="24"/>
        </w:rPr>
        <w:tab/>
      </w:r>
      <w:r>
        <w:rPr>
          <w:szCs w:val="24"/>
          <w:lang w:val="es-ES_tradnl"/>
        </w:rPr>
        <w:t xml:space="preserve">Actualmente cuatro escuelas de educación especial y 25 jardines de infancia dan servicio a la población beduina </w:t>
      </w:r>
      <w:smartTag w:uri="urn:schemas-microsoft-com:office:smarttags" w:element="State">
        <w:r>
          <w:rPr>
            <w:szCs w:val="24"/>
            <w:lang w:val="es-ES_tradnl"/>
          </w:rPr>
          <w:t>del</w:t>
        </w:r>
      </w:smartTag>
      <w:r>
        <w:rPr>
          <w:szCs w:val="24"/>
          <w:lang w:val="es-ES_tradnl"/>
        </w:rPr>
        <w:t xml:space="preserve"> sur, así </w:t>
      </w:r>
      <w:smartTag w:uri="urn:schemas-microsoft-com:office:smarttags" w:element="City">
        <w:smartTag w:uri="urn:schemas-microsoft-com:office:smarttags" w:element="place">
          <w:r>
            <w:rPr>
              <w:szCs w:val="24"/>
              <w:lang w:val="es-ES_tradnl"/>
            </w:rPr>
            <w:t>como</w:t>
          </w:r>
        </w:smartTag>
      </w:smartTag>
      <w:r>
        <w:rPr>
          <w:szCs w:val="24"/>
          <w:lang w:val="es-ES_tradnl"/>
        </w:rPr>
        <w:t xml:space="preserve"> 3 centros regionales de apoyo.</w:t>
      </w:r>
      <w:r>
        <w:rPr>
          <w:szCs w:val="24"/>
        </w:rPr>
        <w:t xml:space="preserve"> </w:t>
      </w:r>
      <w:r>
        <w:rPr>
          <w:szCs w:val="24"/>
          <w:lang w:val="es-ES_tradnl"/>
        </w:rPr>
        <w:t>En 2008, se abrieron otros 2 centros regionales de apoyo, así como 10 nuevas clases en escuelas primarias.</w:t>
      </w:r>
      <w:r>
        <w:rPr>
          <w:szCs w:val="24"/>
        </w:rPr>
        <w:t xml:space="preserve"> </w:t>
      </w:r>
      <w:r>
        <w:rPr>
          <w:szCs w:val="24"/>
          <w:lang w:val="es-ES_tradnl"/>
        </w:rPr>
        <w:t>Además, en todas las escuelas de primaria y de primer ciclo de secundaria se impartieron más horas de enseñanza de refuerzo.</w:t>
      </w:r>
    </w:p>
    <w:p w:rsidR="00F92819" w:rsidRDefault="00F92819">
      <w:pPr>
        <w:pStyle w:val="SingleTxtG"/>
        <w:rPr>
          <w:szCs w:val="24"/>
        </w:rPr>
      </w:pPr>
      <w:r>
        <w:rPr>
          <w:szCs w:val="24"/>
        </w:rPr>
        <w:t>613.</w:t>
      </w:r>
      <w:r>
        <w:rPr>
          <w:szCs w:val="24"/>
        </w:rPr>
        <w:tab/>
      </w:r>
      <w:r>
        <w:rPr>
          <w:szCs w:val="24"/>
          <w:lang w:val="es-ES_tradnl"/>
        </w:rPr>
        <w:t>En el norte se estableció una escuela para discapacidades intelectuales graves y 6 jardines de infancia de educación especial.</w:t>
      </w:r>
      <w:r>
        <w:rPr>
          <w:szCs w:val="24"/>
        </w:rPr>
        <w:t xml:space="preserve"> </w:t>
      </w:r>
      <w:r>
        <w:rPr>
          <w:szCs w:val="24"/>
          <w:lang w:val="es-ES_tradnl"/>
        </w:rPr>
        <w:t>También se añadieron 4 clases en las escuelas secundarias, así como 3.000 horas de integración.</w:t>
      </w:r>
    </w:p>
    <w:p w:rsidR="00F92819" w:rsidRDefault="00F92819">
      <w:pPr>
        <w:pStyle w:val="H4G"/>
        <w:rPr>
          <w:szCs w:val="24"/>
        </w:rPr>
      </w:pPr>
      <w:r>
        <w:rPr>
          <w:szCs w:val="24"/>
        </w:rPr>
        <w:tab/>
      </w:r>
      <w:r>
        <w:rPr>
          <w:szCs w:val="24"/>
        </w:rPr>
        <w:tab/>
      </w:r>
      <w:r>
        <w:rPr>
          <w:szCs w:val="24"/>
          <w:lang w:val="es-ES_tradnl"/>
        </w:rPr>
        <w:t>La población beduina del sur</w:t>
      </w:r>
    </w:p>
    <w:p w:rsidR="00F92819" w:rsidRDefault="00F92819">
      <w:pPr>
        <w:pStyle w:val="SingleTxtG"/>
        <w:rPr>
          <w:szCs w:val="24"/>
        </w:rPr>
      </w:pPr>
      <w:r>
        <w:rPr>
          <w:szCs w:val="24"/>
        </w:rPr>
        <w:t>614.</w:t>
      </w:r>
      <w:r>
        <w:rPr>
          <w:szCs w:val="24"/>
        </w:rPr>
        <w:tab/>
      </w:r>
      <w:r>
        <w:rPr>
          <w:szCs w:val="24"/>
          <w:lang w:val="es-ES_tradnl"/>
        </w:rPr>
        <w:t>Desde su fundación en 2004 la nueva municipalidad de Abu-Basma dedicó muchos esfuerzos a mejorar los centros de enseñanza para la población beduina de la región, incluidos los que residen en aldeas ilegales.</w:t>
      </w:r>
      <w:r>
        <w:rPr>
          <w:szCs w:val="24"/>
        </w:rPr>
        <w:t xml:space="preserve"> </w:t>
      </w:r>
      <w:r>
        <w:rPr>
          <w:szCs w:val="24"/>
          <w:lang w:val="es-ES_tradnl"/>
        </w:rPr>
        <w:t>Entre abril de 2004 y julio de 2008 se llevó a cabo la creación de 2 clases de jardín de infancia en 3 localidades distintas (6 clases en total) y hay otras 4 clases en construcción.</w:t>
      </w:r>
      <w:r>
        <w:rPr>
          <w:szCs w:val="24"/>
        </w:rPr>
        <w:t xml:space="preserve"> </w:t>
      </w:r>
      <w:r>
        <w:rPr>
          <w:szCs w:val="24"/>
          <w:lang w:val="es-ES_tradnl"/>
        </w:rPr>
        <w:t>Se crearon 66 nuevas clases de primaria en distintas localidades y hay otras 42 en construcción, 10 de las cuales están casi terminadas y 16 clases más están en fase de planificación.</w:t>
      </w:r>
    </w:p>
    <w:p w:rsidR="00F92819" w:rsidRDefault="00F92819">
      <w:pPr>
        <w:pStyle w:val="SingleTxtG"/>
        <w:rPr>
          <w:szCs w:val="24"/>
        </w:rPr>
      </w:pPr>
      <w:r>
        <w:rPr>
          <w:szCs w:val="24"/>
        </w:rPr>
        <w:t>615.</w:t>
      </w:r>
      <w:r>
        <w:rPr>
          <w:szCs w:val="24"/>
        </w:rPr>
        <w:tab/>
      </w:r>
      <w:r>
        <w:rPr>
          <w:szCs w:val="24"/>
          <w:lang w:val="es-ES_tradnl"/>
        </w:rPr>
        <w:t>Desde 2004 se han fundado tres escuelas de secundaria en las aldeas ilegales de Abu-Krinat, Al-Huashlla y Bir-Hadge.</w:t>
      </w:r>
      <w:r>
        <w:rPr>
          <w:szCs w:val="24"/>
        </w:rPr>
        <w:t xml:space="preserve"> </w:t>
      </w:r>
      <w:r>
        <w:rPr>
          <w:spacing w:val="2"/>
          <w:szCs w:val="24"/>
          <w:lang w:val="es-ES_tradnl"/>
        </w:rPr>
        <w:t xml:space="preserve">Estas escuelas han contribuido en gran medida a una reducción considerable de las tasas de abandono </w:t>
      </w:r>
      <w:r>
        <w:rPr>
          <w:szCs w:val="24"/>
          <w:lang w:val="es-ES_tradnl"/>
        </w:rPr>
        <w:t>escolar, especialmente entre las niñas beduinas, a quienes sus padres no enviaban antes a la escuela por la distancia que había desde la aldea y por barreras religiosas y culturales.</w:t>
      </w:r>
      <w:r>
        <w:rPr>
          <w:szCs w:val="24"/>
        </w:rPr>
        <w:t xml:space="preserve"> </w:t>
      </w:r>
      <w:r>
        <w:rPr>
          <w:szCs w:val="24"/>
          <w:lang w:val="es-ES_tradnl"/>
        </w:rPr>
        <w:t>La construcción de nuevas clases de secundaria en Kasar-a-Sar se encuentra en su fase final.</w:t>
      </w:r>
    </w:p>
    <w:p w:rsidR="00F92819" w:rsidRDefault="00F92819">
      <w:pPr>
        <w:pStyle w:val="SingleTxtG"/>
        <w:rPr>
          <w:szCs w:val="24"/>
        </w:rPr>
      </w:pPr>
      <w:r>
        <w:rPr>
          <w:szCs w:val="24"/>
        </w:rPr>
        <w:t>616.</w:t>
      </w:r>
      <w:r>
        <w:rPr>
          <w:szCs w:val="24"/>
        </w:rPr>
        <w:tab/>
      </w:r>
      <w:r>
        <w:rPr>
          <w:i/>
          <w:szCs w:val="24"/>
          <w:lang w:val="es-ES_tradnl"/>
        </w:rPr>
        <w:t>El programa “Daroma” (Sur)</w:t>
      </w:r>
      <w:r>
        <w:rPr>
          <w:szCs w:val="24"/>
          <w:lang w:val="es-ES_tradnl"/>
        </w:rPr>
        <w:t>: en 2004 el Ministerio de Educación dio comienzo a un programa destinado a mejorar los logros educativos de alumnos excepcionales de los grados 10º a 12º.</w:t>
      </w:r>
      <w:r>
        <w:rPr>
          <w:szCs w:val="24"/>
        </w:rPr>
        <w:t xml:space="preserve"> </w:t>
      </w:r>
      <w:r>
        <w:rPr>
          <w:spacing w:val="2"/>
          <w:szCs w:val="24"/>
          <w:lang w:val="es-ES_tradnl"/>
        </w:rPr>
        <w:t>Actualmente, el programa Daroma está en funcionamiento</w:t>
      </w:r>
      <w:r>
        <w:rPr>
          <w:szCs w:val="24"/>
          <w:lang w:val="es-ES_tradnl"/>
        </w:rPr>
        <w:t xml:space="preserve"> en 5 escuelas de secundaria (acoge aproximadamente a 300 alumnos)</w:t>
      </w:r>
      <w:r>
        <w:rPr>
          <w:szCs w:val="24"/>
        </w:rPr>
        <w:t xml:space="preserve"> </w:t>
      </w:r>
      <w:r>
        <w:rPr>
          <w:szCs w:val="24"/>
          <w:lang w:val="es-ES_tradnl"/>
        </w:rPr>
        <w:t>y su finalidad es el adelanto de estos alumnos en matemáticas e inglés, el desarrollo de sus capacidades de aprendizaje y prepararles para la prueba psicométrica necesaria para matricularse en centros de enseñanza superior.</w:t>
      </w:r>
      <w:r>
        <w:rPr>
          <w:szCs w:val="24"/>
        </w:rPr>
        <w:t xml:space="preserve"> </w:t>
      </w:r>
      <w:r>
        <w:rPr>
          <w:szCs w:val="24"/>
          <w:lang w:val="es-ES_tradnl"/>
        </w:rPr>
        <w:t xml:space="preserve">Los alumnos participan en cursos impartidos en instituciones académicas como </w:t>
      </w:r>
      <w:smartTag w:uri="urn:schemas-microsoft-com:office:smarttags" w:element="PersonName">
        <w:smartTagPr>
          <w:attr w:name="ProductID" w:val="la Universidad Ben-Gurion. El"/>
        </w:smartTagPr>
        <w:r>
          <w:rPr>
            <w:szCs w:val="24"/>
            <w:lang w:val="es-ES_tradnl"/>
          </w:rPr>
          <w:t>la Universidad Ben-Gurion.</w:t>
        </w:r>
        <w:r>
          <w:rPr>
            <w:szCs w:val="24"/>
          </w:rPr>
          <w:t xml:space="preserve"> </w:t>
        </w:r>
        <w:r>
          <w:rPr>
            <w:szCs w:val="24"/>
            <w:lang w:val="es-ES_tradnl"/>
          </w:rPr>
          <w:t>El</w:t>
        </w:r>
      </w:smartTag>
      <w:r>
        <w:rPr>
          <w:szCs w:val="24"/>
          <w:lang w:val="es-ES_tradnl"/>
        </w:rPr>
        <w:t xml:space="preserve"> programa también se centra en la propia autonomía y en actividades dentro de la comunidad y para su provecho.</w:t>
      </w:r>
      <w:r>
        <w:rPr>
          <w:szCs w:val="24"/>
        </w:rPr>
        <w:t xml:space="preserve"> </w:t>
      </w:r>
      <w:r>
        <w:rPr>
          <w:szCs w:val="24"/>
          <w:lang w:val="es-ES_tradnl"/>
        </w:rPr>
        <w:t>En 2009 comenzará uno similar en la municipalidad de Abu-Basma y en Tel-Sheva, en el sur.</w:t>
      </w:r>
      <w:r>
        <w:rPr>
          <w:szCs w:val="24"/>
        </w:rPr>
        <w:t xml:space="preserve"> </w:t>
      </w:r>
      <w:r>
        <w:rPr>
          <w:szCs w:val="24"/>
          <w:lang w:val="es-ES_tradnl"/>
        </w:rPr>
        <w:t>En el norte funciona con la denominación de “Heznek Atidim”.</w:t>
      </w:r>
    </w:p>
    <w:p w:rsidR="00F92819" w:rsidRDefault="00F92819">
      <w:pPr>
        <w:pStyle w:val="SingleTxtG"/>
        <w:rPr>
          <w:szCs w:val="24"/>
        </w:rPr>
      </w:pPr>
      <w:r>
        <w:rPr>
          <w:szCs w:val="24"/>
        </w:rPr>
        <w:t>617.</w:t>
      </w:r>
      <w:r>
        <w:rPr>
          <w:szCs w:val="24"/>
        </w:rPr>
        <w:tab/>
      </w:r>
      <w:r>
        <w:rPr>
          <w:szCs w:val="24"/>
          <w:lang w:val="es-ES_tradnl"/>
        </w:rPr>
        <w:t xml:space="preserve">El programa de actividades no académicas también se lleva a cabo en las localidades beduinas del Negev, conjuntamente con el Ministerio para el Desarrollo del Negev y Galilea y </w:t>
      </w:r>
      <w:smartTag w:uri="urn:schemas-microsoft-com:office:smarttags" w:element="PersonName">
        <w:smartTagPr>
          <w:attr w:name="ProductID" w:val="la Asociaci￳n Israel￭"/>
        </w:smartTagPr>
        <w:r>
          <w:rPr>
            <w:szCs w:val="24"/>
            <w:lang w:val="es-ES_tradnl"/>
          </w:rPr>
          <w:t>la Asociación Israelí</w:t>
        </w:r>
      </w:smartTag>
      <w:r>
        <w:rPr>
          <w:szCs w:val="24"/>
          <w:lang w:val="es-ES_tradnl"/>
        </w:rPr>
        <w:t xml:space="preserve"> de Centros de </w:t>
      </w:r>
      <w:smartTag w:uri="urn:schemas-microsoft-com:office:smarttags" w:element="PersonName">
        <w:smartTagPr>
          <w:attr w:name="ProductID" w:val="la Comunidad. Ofrece"/>
        </w:smartTagPr>
        <w:r>
          <w:rPr>
            <w:szCs w:val="24"/>
            <w:lang w:val="es-ES_tradnl"/>
          </w:rPr>
          <w:t>la Comunidad.</w:t>
        </w:r>
        <w:r>
          <w:rPr>
            <w:szCs w:val="24"/>
          </w:rPr>
          <w:t xml:space="preserve"> </w:t>
        </w:r>
        <w:r>
          <w:rPr>
            <w:szCs w:val="24"/>
            <w:lang w:val="es-ES_tradnl"/>
          </w:rPr>
          <w:t>Ofrece</w:t>
        </w:r>
      </w:smartTag>
      <w:r>
        <w:rPr>
          <w:szCs w:val="24"/>
          <w:lang w:val="es-ES_tradnl"/>
        </w:rPr>
        <w:t xml:space="preserve"> becas de actividades no académicas para niños de cuarto a sexto grado en el Negev.</w:t>
      </w:r>
    </w:p>
    <w:p w:rsidR="00F92819" w:rsidRDefault="00F92819">
      <w:pPr>
        <w:pStyle w:val="SingleTxtG"/>
        <w:rPr>
          <w:szCs w:val="24"/>
        </w:rPr>
      </w:pPr>
      <w:r>
        <w:rPr>
          <w:szCs w:val="24"/>
        </w:rPr>
        <w:t>618.</w:t>
      </w:r>
      <w:r>
        <w:rPr>
          <w:szCs w:val="24"/>
        </w:rPr>
        <w:tab/>
      </w:r>
      <w:r>
        <w:rPr>
          <w:szCs w:val="24"/>
          <w:lang w:val="es-ES_tradnl"/>
        </w:rPr>
        <w:t>En 2008 el Ministerio de Educación anunció su intención de conceder a los estudiantes beduinos de ingeniería, tecnología y ciencias, subvenciones y becas para tasas de matrícula en la cantidad de 5.000 nuevos sheqalim (1.315 dólares de los EE.UU.) por persona para el próximo curso académico.</w:t>
      </w:r>
      <w:r>
        <w:rPr>
          <w:szCs w:val="24"/>
        </w:rPr>
        <w:t xml:space="preserve"> </w:t>
      </w:r>
      <w:r>
        <w:rPr>
          <w:szCs w:val="24"/>
          <w:lang w:val="es-ES_tradnl"/>
        </w:rPr>
        <w:t>Las becas están pensadas para alentar más a los estudiantes beduinos a que accedan a la enseñanza superior.</w:t>
      </w:r>
    </w:p>
    <w:p w:rsidR="00F92819" w:rsidRDefault="00F92819">
      <w:pPr>
        <w:pStyle w:val="SingleTxtG"/>
        <w:rPr>
          <w:szCs w:val="24"/>
        </w:rPr>
      </w:pPr>
      <w:r>
        <w:rPr>
          <w:szCs w:val="24"/>
        </w:rPr>
        <w:t>619.</w:t>
      </w:r>
      <w:r>
        <w:rPr>
          <w:szCs w:val="24"/>
        </w:rPr>
        <w:tab/>
      </w:r>
      <w:r>
        <w:rPr>
          <w:szCs w:val="24"/>
          <w:lang w:val="es-ES_tradnl"/>
        </w:rPr>
        <w:t xml:space="preserve">De conformidad con las resoluciones del Gobierno </w:t>
      </w:r>
      <w:r w:rsidR="00713E0E">
        <w:rPr>
          <w:szCs w:val="24"/>
          <w:lang w:val="es-ES_tradnl"/>
        </w:rPr>
        <w:t>Nº</w:t>
      </w:r>
      <w:r>
        <w:rPr>
          <w:szCs w:val="24"/>
          <w:lang w:val="es-ES_tradnl"/>
        </w:rPr>
        <w:t xml:space="preserve"> 412 y </w:t>
      </w:r>
      <w:r w:rsidR="00713E0E">
        <w:rPr>
          <w:szCs w:val="24"/>
          <w:lang w:val="es-ES_tradnl"/>
        </w:rPr>
        <w:t>Nº</w:t>
      </w:r>
      <w:r>
        <w:rPr>
          <w:szCs w:val="24"/>
          <w:lang w:val="es-ES_tradnl"/>
        </w:rPr>
        <w:t xml:space="preserve"> 413 de agosto de 2006, la Dirección para el Adelanto de la Mujer concede becas para estudiantes beduinas del norte, y también para estudiantes drusas y circasianas.</w:t>
      </w:r>
      <w:r>
        <w:rPr>
          <w:szCs w:val="24"/>
        </w:rPr>
        <w:t xml:space="preserve"> </w:t>
      </w:r>
      <w:r>
        <w:rPr>
          <w:szCs w:val="24"/>
          <w:lang w:val="es-ES_tradnl"/>
        </w:rPr>
        <w:t>En 2007/2008 se concedieron 75 becas.</w:t>
      </w:r>
      <w:r>
        <w:rPr>
          <w:szCs w:val="24"/>
        </w:rPr>
        <w:t xml:space="preserve"> </w:t>
      </w:r>
      <w:r>
        <w:rPr>
          <w:szCs w:val="24"/>
          <w:lang w:val="es-ES_tradnl"/>
        </w:rPr>
        <w:t>La Dirección publicó recientemente un comunicado invitando a las mujeres beduinas, drusas y circasianas a presentar solicitudes para el próximo año.</w:t>
      </w:r>
    </w:p>
    <w:p w:rsidR="00F92819" w:rsidRDefault="00F92819">
      <w:pPr>
        <w:pStyle w:val="H23G"/>
        <w:rPr>
          <w:szCs w:val="24"/>
        </w:rPr>
      </w:pPr>
      <w:r>
        <w:rPr>
          <w:szCs w:val="24"/>
        </w:rPr>
        <w:tab/>
      </w:r>
      <w:r>
        <w:rPr>
          <w:szCs w:val="24"/>
        </w:rPr>
        <w:tab/>
      </w:r>
      <w:r>
        <w:rPr>
          <w:szCs w:val="24"/>
          <w:lang w:val="es-ES_tradnl"/>
        </w:rPr>
        <w:t>Servicios de idiomas</w:t>
      </w:r>
    </w:p>
    <w:p w:rsidR="00F92819" w:rsidRDefault="00F92819">
      <w:pPr>
        <w:pStyle w:val="SingleTxtG"/>
        <w:rPr>
          <w:szCs w:val="24"/>
        </w:rPr>
      </w:pPr>
      <w:r>
        <w:rPr>
          <w:szCs w:val="24"/>
        </w:rPr>
        <w:t>620.</w:t>
      </w:r>
      <w:r>
        <w:rPr>
          <w:szCs w:val="24"/>
        </w:rPr>
        <w:tab/>
      </w:r>
      <w:smartTag w:uri="urn:schemas-microsoft-com:office:smarttags" w:element="City">
        <w:r>
          <w:rPr>
            <w:szCs w:val="24"/>
            <w:lang w:val="es-ES_tradnl"/>
          </w:rPr>
          <w:t>Como</w:t>
        </w:r>
      </w:smartTag>
      <w:r>
        <w:rPr>
          <w:szCs w:val="24"/>
          <w:lang w:val="es-ES_tradnl"/>
        </w:rPr>
        <w:t xml:space="preserve"> se comunicó en el informe inicial de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se ofrecen a los nuevos inmigrantes clases de hebreo en las escuelas especialmente creadas para impartirles conocimientos elementales de hebreo.</w:t>
      </w:r>
      <w:r>
        <w:rPr>
          <w:szCs w:val="24"/>
        </w:rPr>
        <w:t xml:space="preserve"> </w:t>
      </w:r>
      <w:r>
        <w:rPr>
          <w:szCs w:val="24"/>
          <w:lang w:val="es-ES_tradnl"/>
        </w:rPr>
        <w:t>En 2006/2007 asistieron a estas escuelas 25.322 personas, agrupadas en 1.404 clases,</w:t>
      </w:r>
      <w:r>
        <w:rPr>
          <w:szCs w:val="24"/>
        </w:rPr>
        <w:t xml:space="preserve"> </w:t>
      </w:r>
      <w:r>
        <w:rPr>
          <w:szCs w:val="24"/>
          <w:lang w:val="es-ES_tradnl"/>
        </w:rPr>
        <w:t xml:space="preserve">de las cuales 14.126 asistieron a escuelas de primaria para nuevos inmigrantes (Ulpanim de primaria) y </w:t>
      </w:r>
      <w:smartTag w:uri="urn:schemas-microsoft-com:office:smarttags" w:element="metricconverter">
        <w:smartTagPr>
          <w:attr w:name="ProductID" w:val="11.196 a"/>
        </w:smartTagPr>
        <w:r>
          <w:rPr>
            <w:szCs w:val="24"/>
            <w:lang w:val="es-ES_tradnl"/>
          </w:rPr>
          <w:t>11.196 a</w:t>
        </w:r>
      </w:smartTag>
      <w:r>
        <w:rPr>
          <w:szCs w:val="24"/>
          <w:lang w:val="es-ES_tradnl"/>
        </w:rPr>
        <w:t xml:space="preserve"> escuelas de continuación para nuevos inmigrantes (Ulpanim de continuación).</w:t>
      </w:r>
    </w:p>
    <w:p w:rsidR="00F92819" w:rsidRDefault="00F92819">
      <w:pPr>
        <w:pStyle w:val="H23G"/>
        <w:rPr>
          <w:szCs w:val="24"/>
          <w:rtl/>
          <w:lang w:bidi="he-IL"/>
        </w:rPr>
      </w:pPr>
      <w:r>
        <w:rPr>
          <w:szCs w:val="24"/>
        </w:rPr>
        <w:tab/>
      </w:r>
      <w:r>
        <w:rPr>
          <w:szCs w:val="24"/>
        </w:rPr>
        <w:tab/>
      </w:r>
      <w:r>
        <w:rPr>
          <w:szCs w:val="24"/>
          <w:lang w:val="es-ES_tradnl"/>
        </w:rPr>
        <w:t>Condiciones del personal docente</w:t>
      </w:r>
    </w:p>
    <w:p w:rsidR="00F92819" w:rsidRDefault="00F92819">
      <w:pPr>
        <w:pStyle w:val="SingleTxtG"/>
        <w:rPr>
          <w:szCs w:val="24"/>
        </w:rPr>
      </w:pPr>
      <w:r>
        <w:rPr>
          <w:szCs w:val="24"/>
        </w:rPr>
        <w:t>621.</w:t>
      </w:r>
      <w:r>
        <w:rPr>
          <w:szCs w:val="24"/>
        </w:rPr>
        <w:tab/>
      </w:r>
      <w:r>
        <w:rPr>
          <w:szCs w:val="24"/>
          <w:lang w:val="es-ES_tradnl"/>
        </w:rPr>
        <w:t xml:space="preserve">El cuadro siguiente se refiere al número de profesores </w:t>
      </w:r>
      <w:smartTag w:uri="urn:schemas-microsoft-com:office:smarttags" w:element="State">
        <w:r>
          <w:rPr>
            <w:szCs w:val="24"/>
            <w:lang w:val="es-ES_tradnl"/>
          </w:rPr>
          <w:t>del</w:t>
        </w:r>
      </w:smartTag>
      <w:r>
        <w:rPr>
          <w:szCs w:val="24"/>
          <w:lang w:val="es-ES_tradnl"/>
        </w:rPr>
        <w:t xml:space="preserve"> sistema educativo, así </w:t>
      </w:r>
      <w:smartTag w:uri="urn:schemas-microsoft-com:office:smarttags" w:element="City">
        <w:r>
          <w:rPr>
            <w:szCs w:val="24"/>
            <w:lang w:val="es-ES_tradnl"/>
          </w:rPr>
          <w:t>como</w:t>
        </w:r>
      </w:smartTag>
      <w:r>
        <w:rPr>
          <w:szCs w:val="24"/>
          <w:lang w:val="es-ES_tradnl"/>
        </w:rPr>
        <w:t xml:space="preserve"> el promedio de horas que trabajan,</w:t>
      </w:r>
      <w:r>
        <w:rPr>
          <w:szCs w:val="24"/>
        </w:rPr>
        <w:t xml:space="preserve"> </w:t>
      </w:r>
      <w:r>
        <w:rPr>
          <w:szCs w:val="24"/>
          <w:lang w:val="es-ES_tradnl"/>
        </w:rPr>
        <w:t xml:space="preserve">y revela un aumento continuo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número de profesores en todo el sistema educativo y en todos los niveles de enseñanza.</w:t>
      </w:r>
      <w:r>
        <w:rPr>
          <w:szCs w:val="24"/>
        </w:rPr>
        <w:t xml:space="preserve"> </w:t>
      </w:r>
      <w:r>
        <w:rPr>
          <w:szCs w:val="24"/>
          <w:lang w:val="es-ES_tradnl"/>
        </w:rPr>
        <w:t>Como se indica en el cuadro, entre los años 2000 y 2007, se incorporaron 2.738 profesores al sistema educativo hebreo y 9.193 al sistema educativo árabe.</w:t>
      </w:r>
    </w:p>
    <w:p w:rsidR="00F92819" w:rsidRDefault="00F92819">
      <w:pPr>
        <w:pStyle w:val="Heading1"/>
        <w:spacing w:before="240"/>
        <w:rPr>
          <w:szCs w:val="24"/>
        </w:rPr>
      </w:pPr>
      <w:r>
        <w:rPr>
          <w:szCs w:val="24"/>
          <w:lang w:val="es-ES_tradnl"/>
        </w:rPr>
        <w:t>Cuadro 44</w:t>
      </w:r>
    </w:p>
    <w:p w:rsidR="00F92819" w:rsidRDefault="00F92819">
      <w:pPr>
        <w:pStyle w:val="SingleTxtG"/>
        <w:jc w:val="left"/>
        <w:rPr>
          <w:b/>
          <w:szCs w:val="24"/>
        </w:rPr>
      </w:pPr>
      <w:r>
        <w:rPr>
          <w:b/>
          <w:szCs w:val="24"/>
          <w:lang w:val="es-ES_tradnl"/>
        </w:rPr>
        <w:t>Personal docente, por nivel de enseñanza y promedio de horas de trabajo a la semana, 1999</w:t>
      </w:r>
      <w:r w:rsidR="008C04D7">
        <w:rPr>
          <w:b/>
          <w:szCs w:val="24"/>
          <w:lang w:val="es-ES_tradnl"/>
        </w:rPr>
        <w:t>-</w:t>
      </w:r>
      <w:r>
        <w:rPr>
          <w:b/>
          <w:szCs w:val="24"/>
          <w:lang w:val="es-ES_tradnl"/>
        </w:rPr>
        <w:t>2007</w:t>
      </w:r>
    </w:p>
    <w:tbl>
      <w:tblPr>
        <w:tblStyle w:val="TableGrid"/>
        <w:tblW w:w="736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3366"/>
        <w:gridCol w:w="1000"/>
        <w:gridCol w:w="1000"/>
        <w:gridCol w:w="1000"/>
        <w:gridCol w:w="1000"/>
      </w:tblGrid>
      <w:tr w:rsidR="00F92819">
        <w:trPr>
          <w:tblHeader/>
        </w:trPr>
        <w:tc>
          <w:tcPr>
            <w:tcW w:w="3366" w:type="dxa"/>
            <w:tcBorders>
              <w:top w:val="single" w:sz="4" w:space="0" w:color="auto"/>
              <w:bottom w:val="single" w:sz="12" w:space="0" w:color="auto"/>
            </w:tcBorders>
            <w:vAlign w:val="bottom"/>
          </w:tcPr>
          <w:p w:rsidR="00F92819" w:rsidRDefault="00F92819">
            <w:pPr>
              <w:spacing w:before="80" w:after="80" w:line="200" w:lineRule="exact"/>
              <w:rPr>
                <w:i/>
                <w:sz w:val="16"/>
                <w:szCs w:val="24"/>
              </w:rPr>
            </w:pPr>
          </w:p>
        </w:tc>
        <w:tc>
          <w:tcPr>
            <w:tcW w:w="1000" w:type="dxa"/>
            <w:tcBorders>
              <w:top w:val="single" w:sz="4" w:space="0" w:color="auto"/>
              <w:bottom w:val="single" w:sz="12" w:space="0" w:color="auto"/>
            </w:tcBorders>
          </w:tcPr>
          <w:p w:rsidR="00F92819" w:rsidRDefault="00F92819">
            <w:pPr>
              <w:spacing w:before="80" w:after="80" w:line="200" w:lineRule="exact"/>
              <w:jc w:val="right"/>
              <w:rPr>
                <w:i/>
                <w:sz w:val="16"/>
                <w:szCs w:val="24"/>
              </w:rPr>
            </w:pPr>
            <w:r>
              <w:rPr>
                <w:i/>
                <w:sz w:val="16"/>
                <w:szCs w:val="24"/>
              </w:rPr>
              <w:t>1999/2000</w:t>
            </w:r>
          </w:p>
        </w:tc>
        <w:tc>
          <w:tcPr>
            <w:tcW w:w="1000" w:type="dxa"/>
            <w:tcBorders>
              <w:top w:val="single" w:sz="4" w:space="0" w:color="auto"/>
              <w:bottom w:val="single" w:sz="12" w:space="0" w:color="auto"/>
            </w:tcBorders>
          </w:tcPr>
          <w:p w:rsidR="00F92819" w:rsidRDefault="00F92819">
            <w:pPr>
              <w:spacing w:before="80" w:after="80" w:line="200" w:lineRule="exact"/>
              <w:jc w:val="right"/>
              <w:rPr>
                <w:i/>
                <w:sz w:val="16"/>
                <w:szCs w:val="24"/>
              </w:rPr>
            </w:pPr>
            <w:r>
              <w:rPr>
                <w:i/>
                <w:sz w:val="16"/>
                <w:szCs w:val="24"/>
              </w:rPr>
              <w:t>2004/05</w:t>
            </w:r>
          </w:p>
        </w:tc>
        <w:tc>
          <w:tcPr>
            <w:tcW w:w="1000" w:type="dxa"/>
            <w:tcBorders>
              <w:top w:val="single" w:sz="4" w:space="0" w:color="auto"/>
              <w:bottom w:val="single" w:sz="12" w:space="0" w:color="auto"/>
            </w:tcBorders>
          </w:tcPr>
          <w:p w:rsidR="00F92819" w:rsidRDefault="00F92819">
            <w:pPr>
              <w:spacing w:before="80" w:after="80" w:line="200" w:lineRule="exact"/>
              <w:jc w:val="right"/>
              <w:rPr>
                <w:i/>
                <w:sz w:val="16"/>
                <w:szCs w:val="24"/>
              </w:rPr>
            </w:pPr>
            <w:r>
              <w:rPr>
                <w:i/>
                <w:sz w:val="16"/>
                <w:szCs w:val="24"/>
              </w:rPr>
              <w:t>2006/07</w:t>
            </w:r>
          </w:p>
        </w:tc>
        <w:tc>
          <w:tcPr>
            <w:tcW w:w="1000" w:type="dxa"/>
            <w:tcBorders>
              <w:top w:val="single" w:sz="4" w:space="0" w:color="auto"/>
              <w:bottom w:val="single" w:sz="12" w:space="0" w:color="auto"/>
            </w:tcBorders>
          </w:tcPr>
          <w:p w:rsidR="00F92819" w:rsidRDefault="00F92819">
            <w:pPr>
              <w:spacing w:before="80" w:after="80" w:line="200" w:lineRule="exact"/>
              <w:jc w:val="right"/>
              <w:rPr>
                <w:i/>
                <w:sz w:val="16"/>
                <w:szCs w:val="24"/>
              </w:rPr>
            </w:pPr>
            <w:r>
              <w:rPr>
                <w:i/>
                <w:sz w:val="16"/>
                <w:szCs w:val="24"/>
              </w:rPr>
              <w:t>2007/08</w:t>
            </w:r>
          </w:p>
        </w:tc>
      </w:tr>
      <w:tr w:rsidR="00F92819">
        <w:tc>
          <w:tcPr>
            <w:tcW w:w="3366" w:type="dxa"/>
            <w:tcBorders>
              <w:top w:val="single" w:sz="12" w:space="0" w:color="auto"/>
              <w:bottom w:val="single" w:sz="4" w:space="0" w:color="auto"/>
            </w:tcBorders>
            <w:vAlign w:val="center"/>
          </w:tcPr>
          <w:p w:rsidR="00F92819" w:rsidRDefault="00F92819">
            <w:pPr>
              <w:spacing w:before="80" w:after="80" w:line="200" w:lineRule="exact"/>
              <w:rPr>
                <w:szCs w:val="24"/>
              </w:rPr>
            </w:pPr>
            <w:r>
              <w:rPr>
                <w:i/>
                <w:sz w:val="16"/>
                <w:szCs w:val="24"/>
                <w:lang w:val="es-ES_tradnl"/>
              </w:rPr>
              <w:t>Enseñanza en hebreo</w:t>
            </w:r>
          </w:p>
        </w:tc>
        <w:tc>
          <w:tcPr>
            <w:tcW w:w="1000" w:type="dxa"/>
            <w:tcBorders>
              <w:top w:val="single" w:sz="12" w:space="0" w:color="auto"/>
              <w:bottom w:val="single" w:sz="4" w:space="0" w:color="auto"/>
            </w:tcBorders>
            <w:vAlign w:val="bottom"/>
          </w:tcPr>
          <w:p w:rsidR="00F92819" w:rsidRDefault="00F92819">
            <w:pPr>
              <w:spacing w:before="80" w:after="80" w:line="200" w:lineRule="exact"/>
              <w:rPr>
                <w:sz w:val="18"/>
                <w:szCs w:val="24"/>
              </w:rPr>
            </w:pPr>
          </w:p>
        </w:tc>
        <w:tc>
          <w:tcPr>
            <w:tcW w:w="1000" w:type="dxa"/>
            <w:tcBorders>
              <w:top w:val="single" w:sz="12" w:space="0" w:color="auto"/>
              <w:bottom w:val="single" w:sz="4" w:space="0" w:color="auto"/>
            </w:tcBorders>
            <w:vAlign w:val="bottom"/>
          </w:tcPr>
          <w:p w:rsidR="00F92819" w:rsidRDefault="00F92819">
            <w:pPr>
              <w:spacing w:before="80" w:after="80" w:line="200" w:lineRule="exact"/>
              <w:rPr>
                <w:sz w:val="18"/>
                <w:szCs w:val="24"/>
              </w:rPr>
            </w:pPr>
          </w:p>
        </w:tc>
        <w:tc>
          <w:tcPr>
            <w:tcW w:w="1000" w:type="dxa"/>
            <w:tcBorders>
              <w:top w:val="single" w:sz="12" w:space="0" w:color="auto"/>
              <w:bottom w:val="single" w:sz="4" w:space="0" w:color="auto"/>
            </w:tcBorders>
            <w:vAlign w:val="bottom"/>
          </w:tcPr>
          <w:p w:rsidR="00F92819" w:rsidRDefault="00F92819">
            <w:pPr>
              <w:spacing w:before="80" w:after="80" w:line="200" w:lineRule="exact"/>
              <w:rPr>
                <w:sz w:val="18"/>
                <w:szCs w:val="24"/>
              </w:rPr>
            </w:pPr>
          </w:p>
        </w:tc>
        <w:tc>
          <w:tcPr>
            <w:tcW w:w="1000" w:type="dxa"/>
            <w:tcBorders>
              <w:top w:val="single" w:sz="12" w:space="0" w:color="auto"/>
              <w:bottom w:val="single" w:sz="4" w:space="0" w:color="auto"/>
            </w:tcBorders>
            <w:vAlign w:val="bottom"/>
          </w:tcPr>
          <w:p w:rsidR="00F92819" w:rsidRDefault="00F92819">
            <w:pPr>
              <w:spacing w:before="80" w:after="80" w:line="200" w:lineRule="exact"/>
              <w:rPr>
                <w:sz w:val="18"/>
                <w:szCs w:val="24"/>
              </w:rPr>
            </w:pPr>
          </w:p>
        </w:tc>
      </w:tr>
      <w:tr w:rsidR="00F92819">
        <w:tc>
          <w:tcPr>
            <w:tcW w:w="3366" w:type="dxa"/>
            <w:tcBorders>
              <w:top w:val="single" w:sz="4" w:space="0" w:color="auto"/>
              <w:bottom w:val="single" w:sz="4" w:space="0" w:color="auto"/>
            </w:tcBorders>
          </w:tcPr>
          <w:p w:rsidR="00F92819" w:rsidRDefault="00F92819">
            <w:pPr>
              <w:spacing w:before="80" w:after="80" w:line="220" w:lineRule="exact"/>
              <w:ind w:firstLine="284"/>
              <w:rPr>
                <w:szCs w:val="24"/>
              </w:rPr>
            </w:pPr>
            <w:r>
              <w:rPr>
                <w:b/>
                <w:sz w:val="18"/>
                <w:szCs w:val="24"/>
                <w:lang w:val="es-ES_tradnl"/>
              </w:rPr>
              <w:t>Total general – Números absolutos</w:t>
            </w:r>
          </w:p>
        </w:tc>
        <w:tc>
          <w:tcPr>
            <w:tcW w:w="1000" w:type="dxa"/>
            <w:tcBorders>
              <w:top w:val="single" w:sz="4" w:space="0" w:color="auto"/>
              <w:bottom w:val="single" w:sz="4" w:space="0" w:color="auto"/>
            </w:tcBorders>
            <w:vAlign w:val="center"/>
          </w:tcPr>
          <w:p w:rsidR="00F92819" w:rsidRDefault="00F92819">
            <w:pPr>
              <w:spacing w:before="80" w:after="80" w:line="220" w:lineRule="exact"/>
              <w:ind w:firstLine="284"/>
              <w:jc w:val="right"/>
              <w:rPr>
                <w:b/>
                <w:sz w:val="18"/>
                <w:szCs w:val="24"/>
              </w:rPr>
            </w:pPr>
            <w:r>
              <w:rPr>
                <w:b/>
                <w:sz w:val="18"/>
                <w:szCs w:val="24"/>
              </w:rPr>
              <w:t>91 067</w:t>
            </w:r>
          </w:p>
        </w:tc>
        <w:tc>
          <w:tcPr>
            <w:tcW w:w="1000" w:type="dxa"/>
            <w:tcBorders>
              <w:top w:val="single" w:sz="4" w:space="0" w:color="auto"/>
              <w:bottom w:val="single" w:sz="4" w:space="0" w:color="auto"/>
            </w:tcBorders>
            <w:vAlign w:val="center"/>
          </w:tcPr>
          <w:p w:rsidR="00F92819" w:rsidRDefault="00F92819">
            <w:pPr>
              <w:spacing w:before="80" w:after="80" w:line="220" w:lineRule="exact"/>
              <w:ind w:firstLine="284"/>
              <w:jc w:val="right"/>
              <w:rPr>
                <w:b/>
                <w:sz w:val="18"/>
                <w:szCs w:val="24"/>
              </w:rPr>
            </w:pPr>
            <w:r>
              <w:rPr>
                <w:b/>
                <w:sz w:val="18"/>
                <w:szCs w:val="24"/>
              </w:rPr>
              <w:t>97 014</w:t>
            </w:r>
          </w:p>
        </w:tc>
        <w:tc>
          <w:tcPr>
            <w:tcW w:w="1000" w:type="dxa"/>
            <w:tcBorders>
              <w:top w:val="single" w:sz="4" w:space="0" w:color="auto"/>
              <w:bottom w:val="single" w:sz="4" w:space="0" w:color="auto"/>
            </w:tcBorders>
            <w:vAlign w:val="center"/>
          </w:tcPr>
          <w:p w:rsidR="00F92819" w:rsidRDefault="00F92819">
            <w:pPr>
              <w:spacing w:before="80" w:after="80" w:line="220" w:lineRule="exact"/>
              <w:ind w:firstLine="284"/>
              <w:jc w:val="right"/>
              <w:rPr>
                <w:b/>
                <w:sz w:val="18"/>
                <w:szCs w:val="24"/>
              </w:rPr>
            </w:pPr>
            <w:r>
              <w:rPr>
                <w:b/>
                <w:sz w:val="18"/>
                <w:szCs w:val="24"/>
              </w:rPr>
              <w:t>97 562</w:t>
            </w:r>
          </w:p>
        </w:tc>
        <w:tc>
          <w:tcPr>
            <w:tcW w:w="1000" w:type="dxa"/>
            <w:tcBorders>
              <w:top w:val="single" w:sz="4" w:space="0" w:color="auto"/>
              <w:bottom w:val="single" w:sz="4" w:space="0" w:color="auto"/>
            </w:tcBorders>
            <w:vAlign w:val="center"/>
          </w:tcPr>
          <w:p w:rsidR="00F92819" w:rsidRDefault="00F92819">
            <w:pPr>
              <w:spacing w:before="80" w:after="80" w:line="220" w:lineRule="exact"/>
              <w:ind w:firstLine="284"/>
              <w:jc w:val="right"/>
              <w:rPr>
                <w:b/>
                <w:sz w:val="18"/>
                <w:szCs w:val="24"/>
              </w:rPr>
            </w:pPr>
            <w:r>
              <w:rPr>
                <w:b/>
                <w:sz w:val="18"/>
                <w:szCs w:val="24"/>
              </w:rPr>
              <w:t>99 217</w:t>
            </w:r>
          </w:p>
        </w:tc>
      </w:tr>
      <w:tr w:rsidR="00F92819">
        <w:tc>
          <w:tcPr>
            <w:tcW w:w="3366" w:type="dxa"/>
            <w:tcBorders>
              <w:top w:val="single" w:sz="4" w:space="0" w:color="auto"/>
            </w:tcBorders>
          </w:tcPr>
          <w:p w:rsidR="00F92819" w:rsidRDefault="00F92819">
            <w:pPr>
              <w:spacing w:before="40" w:after="40" w:line="220" w:lineRule="exact"/>
              <w:rPr>
                <w:szCs w:val="24"/>
              </w:rPr>
            </w:pPr>
            <w:r>
              <w:rPr>
                <w:sz w:val="18"/>
                <w:szCs w:val="24"/>
                <w:lang w:val="es-ES_tradnl"/>
              </w:rPr>
              <w:t>Enseñanza primaria – Total</w:t>
            </w:r>
          </w:p>
        </w:tc>
        <w:tc>
          <w:tcPr>
            <w:tcW w:w="1000"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43 426</w:t>
            </w:r>
          </w:p>
        </w:tc>
        <w:tc>
          <w:tcPr>
            <w:tcW w:w="1000"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45 600</w:t>
            </w:r>
          </w:p>
        </w:tc>
        <w:tc>
          <w:tcPr>
            <w:tcW w:w="1000"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46 447</w:t>
            </w:r>
          </w:p>
        </w:tc>
        <w:tc>
          <w:tcPr>
            <w:tcW w:w="1000"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47 474</w:t>
            </w:r>
          </w:p>
        </w:tc>
      </w:tr>
      <w:tr w:rsidR="00F92819">
        <w:tc>
          <w:tcPr>
            <w:tcW w:w="3366" w:type="dxa"/>
          </w:tcPr>
          <w:p w:rsidR="00F92819" w:rsidRDefault="00F92819">
            <w:pPr>
              <w:spacing w:before="40" w:after="40" w:line="220" w:lineRule="exact"/>
              <w:rPr>
                <w:szCs w:val="24"/>
              </w:rPr>
            </w:pPr>
            <w:r>
              <w:rPr>
                <w:sz w:val="18"/>
                <w:szCs w:val="24"/>
                <w:lang w:val="es-ES_tradnl"/>
              </w:rPr>
              <w:t>Promedio de horas de trabajo semanales</w:t>
            </w:r>
          </w:p>
        </w:tc>
        <w:tc>
          <w:tcPr>
            <w:tcW w:w="1000" w:type="dxa"/>
            <w:vAlign w:val="center"/>
          </w:tcPr>
          <w:p w:rsidR="00F92819" w:rsidRDefault="00F92819">
            <w:pPr>
              <w:spacing w:before="40" w:after="40" w:line="220" w:lineRule="exact"/>
              <w:jc w:val="right"/>
              <w:rPr>
                <w:sz w:val="18"/>
                <w:szCs w:val="24"/>
              </w:rPr>
            </w:pPr>
            <w:r>
              <w:rPr>
                <w:sz w:val="18"/>
                <w:szCs w:val="24"/>
              </w:rPr>
              <w:t>22,6</w:t>
            </w:r>
          </w:p>
        </w:tc>
        <w:tc>
          <w:tcPr>
            <w:tcW w:w="1000" w:type="dxa"/>
            <w:vAlign w:val="center"/>
          </w:tcPr>
          <w:p w:rsidR="00F92819" w:rsidRDefault="00F92819">
            <w:pPr>
              <w:spacing w:before="40" w:after="40" w:line="220" w:lineRule="exact"/>
              <w:jc w:val="right"/>
              <w:rPr>
                <w:sz w:val="18"/>
                <w:szCs w:val="24"/>
              </w:rPr>
            </w:pPr>
            <w:r>
              <w:rPr>
                <w:sz w:val="18"/>
                <w:szCs w:val="24"/>
              </w:rPr>
              <w:t>22,5</w:t>
            </w:r>
          </w:p>
        </w:tc>
        <w:tc>
          <w:tcPr>
            <w:tcW w:w="1000" w:type="dxa"/>
            <w:vAlign w:val="center"/>
          </w:tcPr>
          <w:p w:rsidR="00F92819" w:rsidRDefault="00F92819">
            <w:pPr>
              <w:spacing w:before="40" w:after="40" w:line="220" w:lineRule="exact"/>
              <w:jc w:val="right"/>
              <w:rPr>
                <w:sz w:val="18"/>
                <w:szCs w:val="24"/>
              </w:rPr>
            </w:pPr>
            <w:r>
              <w:rPr>
                <w:sz w:val="18"/>
                <w:szCs w:val="24"/>
              </w:rPr>
              <w:t>22,6</w:t>
            </w:r>
          </w:p>
        </w:tc>
        <w:tc>
          <w:tcPr>
            <w:tcW w:w="1000" w:type="dxa"/>
            <w:vAlign w:val="center"/>
          </w:tcPr>
          <w:p w:rsidR="00F92819" w:rsidRDefault="00F92819">
            <w:pPr>
              <w:spacing w:before="40" w:after="40" w:line="220" w:lineRule="exact"/>
              <w:jc w:val="right"/>
              <w:rPr>
                <w:sz w:val="18"/>
                <w:szCs w:val="24"/>
              </w:rPr>
            </w:pPr>
            <w:r>
              <w:rPr>
                <w:sz w:val="18"/>
                <w:szCs w:val="24"/>
              </w:rPr>
              <w:t>22,6</w:t>
            </w:r>
          </w:p>
        </w:tc>
      </w:tr>
      <w:tr w:rsidR="00F92819">
        <w:tc>
          <w:tcPr>
            <w:tcW w:w="3366" w:type="dxa"/>
          </w:tcPr>
          <w:p w:rsidR="00F92819" w:rsidRDefault="00F92819">
            <w:pPr>
              <w:spacing w:before="40" w:after="40" w:line="220" w:lineRule="exact"/>
              <w:rPr>
                <w:szCs w:val="24"/>
              </w:rPr>
            </w:pPr>
            <w:r>
              <w:rPr>
                <w:sz w:val="18"/>
                <w:szCs w:val="24"/>
                <w:lang w:val="es-ES_tradnl"/>
              </w:rPr>
              <w:t>Enseñanza intermedia – Total</w:t>
            </w:r>
          </w:p>
        </w:tc>
        <w:tc>
          <w:tcPr>
            <w:tcW w:w="1000" w:type="dxa"/>
            <w:vAlign w:val="center"/>
          </w:tcPr>
          <w:p w:rsidR="00F92819" w:rsidRDefault="00F92819">
            <w:pPr>
              <w:spacing w:before="40" w:after="40" w:line="220" w:lineRule="exact"/>
              <w:jc w:val="right"/>
              <w:rPr>
                <w:sz w:val="18"/>
                <w:szCs w:val="24"/>
              </w:rPr>
            </w:pPr>
            <w:r>
              <w:rPr>
                <w:sz w:val="18"/>
                <w:szCs w:val="24"/>
              </w:rPr>
              <w:t>17 385</w:t>
            </w:r>
          </w:p>
        </w:tc>
        <w:tc>
          <w:tcPr>
            <w:tcW w:w="1000" w:type="dxa"/>
            <w:vAlign w:val="center"/>
          </w:tcPr>
          <w:p w:rsidR="00F92819" w:rsidRDefault="00F92819">
            <w:pPr>
              <w:spacing w:before="40" w:after="40" w:line="220" w:lineRule="exact"/>
              <w:jc w:val="right"/>
              <w:rPr>
                <w:sz w:val="18"/>
                <w:szCs w:val="24"/>
              </w:rPr>
            </w:pPr>
            <w:r>
              <w:rPr>
                <w:sz w:val="18"/>
                <w:szCs w:val="24"/>
              </w:rPr>
              <w:t>19 294</w:t>
            </w:r>
          </w:p>
        </w:tc>
        <w:tc>
          <w:tcPr>
            <w:tcW w:w="1000" w:type="dxa"/>
            <w:vAlign w:val="center"/>
          </w:tcPr>
          <w:p w:rsidR="00F92819" w:rsidRDefault="00F92819">
            <w:pPr>
              <w:spacing w:before="40" w:after="40" w:line="220" w:lineRule="exact"/>
              <w:jc w:val="right"/>
              <w:rPr>
                <w:sz w:val="18"/>
                <w:szCs w:val="24"/>
              </w:rPr>
            </w:pPr>
            <w:r>
              <w:rPr>
                <w:sz w:val="18"/>
                <w:szCs w:val="24"/>
              </w:rPr>
              <w:t>18 452</w:t>
            </w:r>
          </w:p>
        </w:tc>
        <w:tc>
          <w:tcPr>
            <w:tcW w:w="1000" w:type="dxa"/>
            <w:vAlign w:val="center"/>
          </w:tcPr>
          <w:p w:rsidR="00F92819" w:rsidRDefault="00F92819">
            <w:pPr>
              <w:spacing w:before="40" w:after="40" w:line="220" w:lineRule="exact"/>
              <w:jc w:val="right"/>
              <w:rPr>
                <w:sz w:val="18"/>
                <w:szCs w:val="24"/>
              </w:rPr>
            </w:pPr>
            <w:r>
              <w:rPr>
                <w:sz w:val="18"/>
                <w:szCs w:val="24"/>
              </w:rPr>
              <w:t>18 169</w:t>
            </w:r>
          </w:p>
        </w:tc>
      </w:tr>
      <w:tr w:rsidR="00F92819">
        <w:tc>
          <w:tcPr>
            <w:tcW w:w="3366" w:type="dxa"/>
          </w:tcPr>
          <w:p w:rsidR="00F92819" w:rsidRDefault="00F92819">
            <w:pPr>
              <w:spacing w:before="40" w:after="40" w:line="220" w:lineRule="exact"/>
              <w:rPr>
                <w:szCs w:val="24"/>
              </w:rPr>
            </w:pPr>
            <w:r>
              <w:rPr>
                <w:sz w:val="18"/>
                <w:szCs w:val="24"/>
                <w:lang w:val="es-ES_tradnl"/>
              </w:rPr>
              <w:t>Promedio de horas de trabajo semanales</w:t>
            </w:r>
          </w:p>
        </w:tc>
        <w:tc>
          <w:tcPr>
            <w:tcW w:w="1000" w:type="dxa"/>
            <w:vAlign w:val="center"/>
          </w:tcPr>
          <w:p w:rsidR="00F92819" w:rsidRDefault="00F92819">
            <w:pPr>
              <w:spacing w:before="40" w:after="40" w:line="220" w:lineRule="exact"/>
              <w:jc w:val="right"/>
              <w:rPr>
                <w:sz w:val="18"/>
                <w:szCs w:val="24"/>
              </w:rPr>
            </w:pPr>
            <w:r>
              <w:rPr>
                <w:sz w:val="18"/>
                <w:szCs w:val="24"/>
              </w:rPr>
              <w:t>19,9</w:t>
            </w:r>
          </w:p>
        </w:tc>
        <w:tc>
          <w:tcPr>
            <w:tcW w:w="1000" w:type="dxa"/>
            <w:vAlign w:val="center"/>
          </w:tcPr>
          <w:p w:rsidR="00F92819" w:rsidRDefault="00F92819">
            <w:pPr>
              <w:spacing w:before="40" w:after="40" w:line="220" w:lineRule="exact"/>
              <w:jc w:val="right"/>
              <w:rPr>
                <w:sz w:val="18"/>
                <w:szCs w:val="24"/>
              </w:rPr>
            </w:pPr>
            <w:r>
              <w:rPr>
                <w:sz w:val="18"/>
                <w:szCs w:val="24"/>
              </w:rPr>
              <w:t>20,9</w:t>
            </w:r>
          </w:p>
        </w:tc>
        <w:tc>
          <w:tcPr>
            <w:tcW w:w="1000" w:type="dxa"/>
            <w:vAlign w:val="center"/>
          </w:tcPr>
          <w:p w:rsidR="00F92819" w:rsidRDefault="00F92819">
            <w:pPr>
              <w:spacing w:before="40" w:after="40" w:line="220" w:lineRule="exact"/>
              <w:jc w:val="right"/>
              <w:rPr>
                <w:sz w:val="18"/>
                <w:szCs w:val="24"/>
              </w:rPr>
            </w:pPr>
            <w:r>
              <w:rPr>
                <w:sz w:val="18"/>
                <w:szCs w:val="24"/>
              </w:rPr>
              <w:t>20,8</w:t>
            </w:r>
          </w:p>
        </w:tc>
        <w:tc>
          <w:tcPr>
            <w:tcW w:w="1000" w:type="dxa"/>
            <w:vAlign w:val="center"/>
          </w:tcPr>
          <w:p w:rsidR="00F92819" w:rsidRDefault="00F92819">
            <w:pPr>
              <w:spacing w:before="40" w:after="40" w:line="220" w:lineRule="exact"/>
              <w:jc w:val="right"/>
              <w:rPr>
                <w:sz w:val="18"/>
                <w:szCs w:val="24"/>
              </w:rPr>
            </w:pPr>
            <w:r>
              <w:rPr>
                <w:sz w:val="18"/>
                <w:szCs w:val="24"/>
              </w:rPr>
              <w:t>21,2</w:t>
            </w:r>
          </w:p>
        </w:tc>
      </w:tr>
      <w:tr w:rsidR="00F92819">
        <w:tc>
          <w:tcPr>
            <w:tcW w:w="3366" w:type="dxa"/>
          </w:tcPr>
          <w:p w:rsidR="00F92819" w:rsidRDefault="00F92819">
            <w:pPr>
              <w:spacing w:before="40" w:after="40" w:line="220" w:lineRule="exact"/>
              <w:rPr>
                <w:szCs w:val="24"/>
              </w:rPr>
            </w:pPr>
            <w:r>
              <w:rPr>
                <w:sz w:val="18"/>
                <w:szCs w:val="24"/>
                <w:lang w:val="es-ES_tradnl"/>
              </w:rPr>
              <w:t>Escuela secundaria – Total</w:t>
            </w:r>
          </w:p>
        </w:tc>
        <w:tc>
          <w:tcPr>
            <w:tcW w:w="1000" w:type="dxa"/>
            <w:vAlign w:val="center"/>
          </w:tcPr>
          <w:p w:rsidR="00F92819" w:rsidRDefault="00F92819">
            <w:pPr>
              <w:spacing w:before="40" w:after="40" w:line="220" w:lineRule="exact"/>
              <w:jc w:val="right"/>
              <w:rPr>
                <w:sz w:val="18"/>
                <w:szCs w:val="24"/>
              </w:rPr>
            </w:pPr>
            <w:r>
              <w:rPr>
                <w:sz w:val="18"/>
                <w:szCs w:val="24"/>
              </w:rPr>
              <w:t>31 293</w:t>
            </w:r>
          </w:p>
        </w:tc>
        <w:tc>
          <w:tcPr>
            <w:tcW w:w="1000" w:type="dxa"/>
            <w:vAlign w:val="center"/>
          </w:tcPr>
          <w:p w:rsidR="00F92819" w:rsidRDefault="00F92819">
            <w:pPr>
              <w:spacing w:before="40" w:after="40" w:line="220" w:lineRule="exact"/>
              <w:jc w:val="right"/>
              <w:rPr>
                <w:sz w:val="18"/>
                <w:szCs w:val="24"/>
              </w:rPr>
            </w:pPr>
            <w:r>
              <w:rPr>
                <w:sz w:val="18"/>
                <w:szCs w:val="24"/>
              </w:rPr>
              <w:t>33 394</w:t>
            </w:r>
          </w:p>
        </w:tc>
        <w:tc>
          <w:tcPr>
            <w:tcW w:w="1000" w:type="dxa"/>
            <w:vAlign w:val="center"/>
          </w:tcPr>
          <w:p w:rsidR="00F92819" w:rsidRDefault="00F92819">
            <w:pPr>
              <w:spacing w:before="40" w:after="40" w:line="220" w:lineRule="exact"/>
              <w:jc w:val="right"/>
              <w:rPr>
                <w:sz w:val="18"/>
                <w:szCs w:val="24"/>
              </w:rPr>
            </w:pPr>
            <w:r>
              <w:rPr>
                <w:sz w:val="18"/>
                <w:szCs w:val="24"/>
              </w:rPr>
              <w:t>33 472</w:t>
            </w:r>
          </w:p>
        </w:tc>
        <w:tc>
          <w:tcPr>
            <w:tcW w:w="1000" w:type="dxa"/>
            <w:vAlign w:val="center"/>
          </w:tcPr>
          <w:p w:rsidR="00F92819" w:rsidRDefault="00F92819">
            <w:pPr>
              <w:spacing w:before="40" w:after="40" w:line="220" w:lineRule="exact"/>
              <w:jc w:val="right"/>
              <w:rPr>
                <w:sz w:val="18"/>
                <w:szCs w:val="24"/>
              </w:rPr>
            </w:pPr>
            <w:r>
              <w:rPr>
                <w:sz w:val="18"/>
                <w:szCs w:val="24"/>
              </w:rPr>
              <w:t>34 350</w:t>
            </w:r>
          </w:p>
        </w:tc>
      </w:tr>
      <w:tr w:rsidR="00F92819">
        <w:tc>
          <w:tcPr>
            <w:tcW w:w="3366" w:type="dxa"/>
          </w:tcPr>
          <w:p w:rsidR="00F92819" w:rsidRDefault="00F92819">
            <w:pPr>
              <w:spacing w:before="40" w:after="40" w:line="220" w:lineRule="exact"/>
              <w:rPr>
                <w:szCs w:val="24"/>
              </w:rPr>
            </w:pPr>
            <w:r>
              <w:rPr>
                <w:sz w:val="18"/>
                <w:szCs w:val="24"/>
                <w:lang w:val="es-ES_tradnl"/>
              </w:rPr>
              <w:t>Promedio de horas de trabajo semanales</w:t>
            </w:r>
          </w:p>
        </w:tc>
        <w:tc>
          <w:tcPr>
            <w:tcW w:w="1000" w:type="dxa"/>
            <w:vAlign w:val="center"/>
          </w:tcPr>
          <w:p w:rsidR="00F92819" w:rsidRDefault="00F92819">
            <w:pPr>
              <w:spacing w:before="40" w:after="40" w:line="220" w:lineRule="exact"/>
              <w:jc w:val="right"/>
              <w:rPr>
                <w:sz w:val="18"/>
                <w:szCs w:val="24"/>
              </w:rPr>
            </w:pPr>
            <w:r>
              <w:rPr>
                <w:sz w:val="18"/>
                <w:szCs w:val="24"/>
              </w:rPr>
              <w:t>18,3</w:t>
            </w:r>
          </w:p>
        </w:tc>
        <w:tc>
          <w:tcPr>
            <w:tcW w:w="1000" w:type="dxa"/>
            <w:vAlign w:val="center"/>
          </w:tcPr>
          <w:p w:rsidR="00F92819" w:rsidRDefault="00F92819">
            <w:pPr>
              <w:spacing w:before="40" w:after="40" w:line="220" w:lineRule="exact"/>
              <w:jc w:val="right"/>
              <w:rPr>
                <w:sz w:val="18"/>
                <w:szCs w:val="24"/>
              </w:rPr>
            </w:pPr>
            <w:r>
              <w:rPr>
                <w:sz w:val="18"/>
                <w:szCs w:val="24"/>
              </w:rPr>
              <w:t>18,7</w:t>
            </w:r>
          </w:p>
        </w:tc>
        <w:tc>
          <w:tcPr>
            <w:tcW w:w="1000" w:type="dxa"/>
            <w:vAlign w:val="center"/>
          </w:tcPr>
          <w:p w:rsidR="00F92819" w:rsidRDefault="00F92819">
            <w:pPr>
              <w:spacing w:before="40" w:after="40" w:line="220" w:lineRule="exact"/>
              <w:jc w:val="right"/>
              <w:rPr>
                <w:sz w:val="18"/>
                <w:szCs w:val="24"/>
              </w:rPr>
            </w:pPr>
            <w:r>
              <w:rPr>
                <w:sz w:val="18"/>
                <w:szCs w:val="24"/>
              </w:rPr>
              <w:t>18,7</w:t>
            </w:r>
          </w:p>
        </w:tc>
        <w:tc>
          <w:tcPr>
            <w:tcW w:w="1000" w:type="dxa"/>
            <w:vAlign w:val="center"/>
          </w:tcPr>
          <w:p w:rsidR="00F92819" w:rsidRDefault="00F92819">
            <w:pPr>
              <w:spacing w:before="40" w:after="40" w:line="220" w:lineRule="exact"/>
              <w:jc w:val="right"/>
              <w:rPr>
                <w:sz w:val="18"/>
                <w:szCs w:val="24"/>
              </w:rPr>
            </w:pPr>
            <w:r>
              <w:rPr>
                <w:sz w:val="18"/>
                <w:szCs w:val="24"/>
              </w:rPr>
              <w:t>18,6</w:t>
            </w:r>
          </w:p>
        </w:tc>
      </w:tr>
      <w:tr w:rsidR="00F92819">
        <w:tc>
          <w:tcPr>
            <w:tcW w:w="3366" w:type="dxa"/>
            <w:tcBorders>
              <w:bottom w:val="single" w:sz="4" w:space="0" w:color="auto"/>
            </w:tcBorders>
            <w:vAlign w:val="center"/>
          </w:tcPr>
          <w:p w:rsidR="00F92819" w:rsidRDefault="00F92819">
            <w:pPr>
              <w:keepNext/>
              <w:keepLines/>
              <w:spacing w:before="80" w:after="80" w:line="200" w:lineRule="exact"/>
              <w:rPr>
                <w:szCs w:val="24"/>
              </w:rPr>
            </w:pPr>
            <w:r>
              <w:rPr>
                <w:i/>
                <w:sz w:val="16"/>
                <w:szCs w:val="24"/>
                <w:lang w:val="es-ES_tradnl"/>
              </w:rPr>
              <w:t>Enseñanza en árabe</w:t>
            </w:r>
          </w:p>
        </w:tc>
        <w:tc>
          <w:tcPr>
            <w:tcW w:w="1000" w:type="dxa"/>
            <w:tcBorders>
              <w:bottom w:val="single" w:sz="4" w:space="0" w:color="auto"/>
            </w:tcBorders>
            <w:vAlign w:val="bottom"/>
          </w:tcPr>
          <w:p w:rsidR="00F92819" w:rsidRDefault="00F92819">
            <w:pPr>
              <w:keepNext/>
              <w:keepLines/>
              <w:spacing w:before="80" w:after="80" w:line="220" w:lineRule="exact"/>
              <w:jc w:val="right"/>
              <w:rPr>
                <w:sz w:val="18"/>
                <w:szCs w:val="24"/>
              </w:rPr>
            </w:pPr>
          </w:p>
        </w:tc>
        <w:tc>
          <w:tcPr>
            <w:tcW w:w="1000" w:type="dxa"/>
            <w:tcBorders>
              <w:bottom w:val="single" w:sz="4" w:space="0" w:color="auto"/>
            </w:tcBorders>
            <w:vAlign w:val="bottom"/>
          </w:tcPr>
          <w:p w:rsidR="00F92819" w:rsidRDefault="00F92819">
            <w:pPr>
              <w:keepNext/>
              <w:keepLines/>
              <w:spacing w:before="80" w:after="80" w:line="220" w:lineRule="exact"/>
              <w:jc w:val="right"/>
              <w:rPr>
                <w:sz w:val="18"/>
                <w:szCs w:val="24"/>
              </w:rPr>
            </w:pPr>
          </w:p>
        </w:tc>
        <w:tc>
          <w:tcPr>
            <w:tcW w:w="1000" w:type="dxa"/>
            <w:tcBorders>
              <w:bottom w:val="single" w:sz="4" w:space="0" w:color="auto"/>
            </w:tcBorders>
            <w:vAlign w:val="bottom"/>
          </w:tcPr>
          <w:p w:rsidR="00F92819" w:rsidRDefault="00F92819">
            <w:pPr>
              <w:keepNext/>
              <w:keepLines/>
              <w:spacing w:before="80" w:after="80" w:line="220" w:lineRule="exact"/>
              <w:jc w:val="right"/>
              <w:rPr>
                <w:sz w:val="18"/>
                <w:szCs w:val="24"/>
              </w:rPr>
            </w:pPr>
          </w:p>
        </w:tc>
        <w:tc>
          <w:tcPr>
            <w:tcW w:w="1000" w:type="dxa"/>
            <w:tcBorders>
              <w:bottom w:val="single" w:sz="4" w:space="0" w:color="auto"/>
            </w:tcBorders>
            <w:vAlign w:val="bottom"/>
          </w:tcPr>
          <w:p w:rsidR="00F92819" w:rsidRDefault="00F92819">
            <w:pPr>
              <w:keepNext/>
              <w:keepLines/>
              <w:spacing w:before="80" w:after="80" w:line="220" w:lineRule="exact"/>
              <w:jc w:val="right"/>
              <w:rPr>
                <w:sz w:val="18"/>
                <w:szCs w:val="24"/>
              </w:rPr>
            </w:pPr>
          </w:p>
        </w:tc>
      </w:tr>
      <w:tr w:rsidR="00F92819">
        <w:tc>
          <w:tcPr>
            <w:tcW w:w="3366" w:type="dxa"/>
            <w:tcBorders>
              <w:top w:val="single" w:sz="4" w:space="0" w:color="auto"/>
              <w:bottom w:val="single" w:sz="4" w:space="0" w:color="auto"/>
            </w:tcBorders>
          </w:tcPr>
          <w:p w:rsidR="00F92819" w:rsidRDefault="00F92819">
            <w:pPr>
              <w:keepNext/>
              <w:keepLines/>
              <w:spacing w:before="80" w:after="80" w:line="220" w:lineRule="exact"/>
              <w:ind w:firstLine="284"/>
              <w:rPr>
                <w:szCs w:val="24"/>
              </w:rPr>
            </w:pPr>
            <w:r>
              <w:rPr>
                <w:b/>
                <w:sz w:val="18"/>
                <w:szCs w:val="24"/>
                <w:lang w:val="es-ES_tradnl"/>
              </w:rPr>
              <w:t>Total general – Números absolutos</w:t>
            </w:r>
          </w:p>
        </w:tc>
        <w:tc>
          <w:tcPr>
            <w:tcW w:w="1000" w:type="dxa"/>
            <w:tcBorders>
              <w:top w:val="single" w:sz="4" w:space="0" w:color="auto"/>
              <w:bottom w:val="single" w:sz="4" w:space="0" w:color="auto"/>
            </w:tcBorders>
            <w:vAlign w:val="center"/>
          </w:tcPr>
          <w:p w:rsidR="00F92819" w:rsidRDefault="00F92819">
            <w:pPr>
              <w:keepNext/>
              <w:keepLines/>
              <w:spacing w:before="80" w:after="80" w:line="220" w:lineRule="exact"/>
              <w:ind w:firstLine="284"/>
              <w:jc w:val="right"/>
              <w:rPr>
                <w:b/>
                <w:sz w:val="18"/>
                <w:szCs w:val="24"/>
              </w:rPr>
            </w:pPr>
            <w:r>
              <w:rPr>
                <w:b/>
                <w:sz w:val="18"/>
                <w:szCs w:val="24"/>
              </w:rPr>
              <w:t>18 835</w:t>
            </w:r>
          </w:p>
        </w:tc>
        <w:tc>
          <w:tcPr>
            <w:tcW w:w="1000" w:type="dxa"/>
            <w:tcBorders>
              <w:top w:val="single" w:sz="4" w:space="0" w:color="auto"/>
              <w:bottom w:val="single" w:sz="4" w:space="0" w:color="auto"/>
            </w:tcBorders>
            <w:vAlign w:val="center"/>
          </w:tcPr>
          <w:p w:rsidR="00F92819" w:rsidRDefault="00F92819">
            <w:pPr>
              <w:keepNext/>
              <w:keepLines/>
              <w:spacing w:before="80" w:after="80" w:line="220" w:lineRule="exact"/>
              <w:ind w:firstLine="284"/>
              <w:jc w:val="right"/>
              <w:rPr>
                <w:b/>
                <w:sz w:val="18"/>
                <w:szCs w:val="24"/>
              </w:rPr>
            </w:pPr>
            <w:r>
              <w:rPr>
                <w:b/>
                <w:sz w:val="18"/>
                <w:szCs w:val="24"/>
              </w:rPr>
              <w:t>25 447</w:t>
            </w:r>
          </w:p>
        </w:tc>
        <w:tc>
          <w:tcPr>
            <w:tcW w:w="1000" w:type="dxa"/>
            <w:tcBorders>
              <w:top w:val="single" w:sz="4" w:space="0" w:color="auto"/>
              <w:bottom w:val="single" w:sz="4" w:space="0" w:color="auto"/>
            </w:tcBorders>
            <w:vAlign w:val="center"/>
          </w:tcPr>
          <w:p w:rsidR="00F92819" w:rsidRDefault="00F92819">
            <w:pPr>
              <w:keepNext/>
              <w:keepLines/>
              <w:spacing w:before="80" w:after="80" w:line="220" w:lineRule="exact"/>
              <w:ind w:firstLine="284"/>
              <w:jc w:val="right"/>
              <w:rPr>
                <w:b/>
                <w:sz w:val="18"/>
                <w:szCs w:val="24"/>
              </w:rPr>
            </w:pPr>
            <w:r>
              <w:rPr>
                <w:b/>
                <w:sz w:val="18"/>
                <w:szCs w:val="24"/>
              </w:rPr>
              <w:t>27 864</w:t>
            </w:r>
          </w:p>
        </w:tc>
        <w:tc>
          <w:tcPr>
            <w:tcW w:w="1000" w:type="dxa"/>
            <w:tcBorders>
              <w:top w:val="single" w:sz="4" w:space="0" w:color="auto"/>
              <w:bottom w:val="single" w:sz="4" w:space="0" w:color="auto"/>
            </w:tcBorders>
            <w:vAlign w:val="center"/>
          </w:tcPr>
          <w:p w:rsidR="00F92819" w:rsidRDefault="00F92819">
            <w:pPr>
              <w:keepNext/>
              <w:keepLines/>
              <w:spacing w:before="80" w:after="80" w:line="220" w:lineRule="exact"/>
              <w:ind w:firstLine="284"/>
              <w:jc w:val="right"/>
              <w:rPr>
                <w:b/>
                <w:sz w:val="18"/>
                <w:szCs w:val="24"/>
              </w:rPr>
            </w:pPr>
            <w:r>
              <w:rPr>
                <w:b/>
                <w:sz w:val="18"/>
                <w:szCs w:val="24"/>
              </w:rPr>
              <w:t>28 846</w:t>
            </w:r>
          </w:p>
        </w:tc>
      </w:tr>
      <w:tr w:rsidR="00F92819">
        <w:tc>
          <w:tcPr>
            <w:tcW w:w="3366" w:type="dxa"/>
            <w:tcBorders>
              <w:top w:val="single" w:sz="4" w:space="0" w:color="auto"/>
            </w:tcBorders>
          </w:tcPr>
          <w:p w:rsidR="00F92819" w:rsidRDefault="00F92819">
            <w:pPr>
              <w:keepNext/>
              <w:keepLines/>
              <w:spacing w:before="40" w:after="40" w:line="220" w:lineRule="exact"/>
              <w:rPr>
                <w:szCs w:val="24"/>
              </w:rPr>
            </w:pPr>
            <w:r>
              <w:rPr>
                <w:sz w:val="18"/>
                <w:szCs w:val="24"/>
                <w:lang w:val="es-ES_tradnl"/>
              </w:rPr>
              <w:t>Enseñanza primaria – Total</w:t>
            </w:r>
          </w:p>
        </w:tc>
        <w:tc>
          <w:tcPr>
            <w:tcW w:w="1000"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11 001</w:t>
            </w:r>
          </w:p>
        </w:tc>
        <w:tc>
          <w:tcPr>
            <w:tcW w:w="1000"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14 671</w:t>
            </w:r>
          </w:p>
        </w:tc>
        <w:tc>
          <w:tcPr>
            <w:tcW w:w="1000"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16 426</w:t>
            </w:r>
          </w:p>
        </w:tc>
        <w:tc>
          <w:tcPr>
            <w:tcW w:w="1000" w:type="dxa"/>
            <w:tcBorders>
              <w:top w:val="single" w:sz="4" w:space="0" w:color="auto"/>
            </w:tcBorders>
            <w:vAlign w:val="center"/>
          </w:tcPr>
          <w:p w:rsidR="00F92819" w:rsidRDefault="00F92819">
            <w:pPr>
              <w:keepNext/>
              <w:keepLines/>
              <w:spacing w:before="40" w:after="40" w:line="220" w:lineRule="exact"/>
              <w:jc w:val="right"/>
              <w:rPr>
                <w:sz w:val="18"/>
                <w:szCs w:val="24"/>
              </w:rPr>
            </w:pPr>
            <w:r>
              <w:rPr>
                <w:sz w:val="18"/>
                <w:szCs w:val="24"/>
              </w:rPr>
              <w:t>17 120</w:t>
            </w:r>
          </w:p>
        </w:tc>
      </w:tr>
      <w:tr w:rsidR="00F92819">
        <w:tc>
          <w:tcPr>
            <w:tcW w:w="3366" w:type="dxa"/>
          </w:tcPr>
          <w:p w:rsidR="00F92819" w:rsidRDefault="00F92819">
            <w:pPr>
              <w:keepNext/>
              <w:keepLines/>
              <w:spacing w:before="40" w:after="40" w:line="220" w:lineRule="exact"/>
              <w:rPr>
                <w:szCs w:val="24"/>
              </w:rPr>
            </w:pPr>
            <w:r>
              <w:rPr>
                <w:sz w:val="18"/>
                <w:szCs w:val="24"/>
                <w:lang w:val="es-ES_tradnl"/>
              </w:rPr>
              <w:t>Promedio de horas de trabajo semanales</w:t>
            </w:r>
          </w:p>
        </w:tc>
        <w:tc>
          <w:tcPr>
            <w:tcW w:w="1000" w:type="dxa"/>
            <w:vAlign w:val="center"/>
          </w:tcPr>
          <w:p w:rsidR="00F92819" w:rsidRDefault="00F92819">
            <w:pPr>
              <w:keepNext/>
              <w:keepLines/>
              <w:spacing w:before="40" w:after="40" w:line="220" w:lineRule="exact"/>
              <w:jc w:val="right"/>
              <w:rPr>
                <w:sz w:val="18"/>
                <w:szCs w:val="24"/>
              </w:rPr>
            </w:pPr>
            <w:r>
              <w:rPr>
                <w:sz w:val="18"/>
                <w:szCs w:val="24"/>
              </w:rPr>
              <w:t>24,9</w:t>
            </w:r>
          </w:p>
        </w:tc>
        <w:tc>
          <w:tcPr>
            <w:tcW w:w="1000" w:type="dxa"/>
            <w:vAlign w:val="center"/>
          </w:tcPr>
          <w:p w:rsidR="00F92819" w:rsidRDefault="00F92819">
            <w:pPr>
              <w:keepNext/>
              <w:keepLines/>
              <w:spacing w:before="40" w:after="40" w:line="220" w:lineRule="exact"/>
              <w:jc w:val="right"/>
              <w:rPr>
                <w:sz w:val="18"/>
                <w:szCs w:val="24"/>
              </w:rPr>
            </w:pPr>
            <w:r>
              <w:rPr>
                <w:sz w:val="18"/>
                <w:szCs w:val="24"/>
              </w:rPr>
              <w:t>24,4</w:t>
            </w:r>
          </w:p>
        </w:tc>
        <w:tc>
          <w:tcPr>
            <w:tcW w:w="1000" w:type="dxa"/>
            <w:vAlign w:val="center"/>
          </w:tcPr>
          <w:p w:rsidR="00F92819" w:rsidRDefault="00F92819">
            <w:pPr>
              <w:keepNext/>
              <w:keepLines/>
              <w:spacing w:before="40" w:after="40" w:line="220" w:lineRule="exact"/>
              <w:jc w:val="right"/>
              <w:rPr>
                <w:sz w:val="18"/>
                <w:szCs w:val="24"/>
              </w:rPr>
            </w:pPr>
            <w:r>
              <w:rPr>
                <w:sz w:val="18"/>
                <w:szCs w:val="24"/>
              </w:rPr>
              <w:t>24,4</w:t>
            </w:r>
          </w:p>
        </w:tc>
        <w:tc>
          <w:tcPr>
            <w:tcW w:w="1000" w:type="dxa"/>
            <w:vAlign w:val="center"/>
          </w:tcPr>
          <w:p w:rsidR="00F92819" w:rsidRDefault="00F92819">
            <w:pPr>
              <w:keepNext/>
              <w:keepLines/>
              <w:spacing w:before="40" w:after="40" w:line="220" w:lineRule="exact"/>
              <w:jc w:val="right"/>
              <w:rPr>
                <w:sz w:val="18"/>
                <w:szCs w:val="24"/>
              </w:rPr>
            </w:pPr>
            <w:r>
              <w:rPr>
                <w:sz w:val="18"/>
                <w:szCs w:val="24"/>
              </w:rPr>
              <w:t>24,1</w:t>
            </w:r>
          </w:p>
        </w:tc>
      </w:tr>
      <w:tr w:rsidR="00F92819">
        <w:tc>
          <w:tcPr>
            <w:tcW w:w="3366" w:type="dxa"/>
          </w:tcPr>
          <w:p w:rsidR="00F92819" w:rsidRDefault="00F92819">
            <w:pPr>
              <w:spacing w:before="40" w:after="40" w:line="220" w:lineRule="exact"/>
              <w:rPr>
                <w:szCs w:val="24"/>
              </w:rPr>
            </w:pPr>
            <w:r>
              <w:rPr>
                <w:sz w:val="18"/>
                <w:szCs w:val="24"/>
                <w:lang w:val="es-ES_tradnl"/>
              </w:rPr>
              <w:t>Enseñanza intermedia – Total</w:t>
            </w:r>
          </w:p>
        </w:tc>
        <w:tc>
          <w:tcPr>
            <w:tcW w:w="1000" w:type="dxa"/>
            <w:vAlign w:val="center"/>
          </w:tcPr>
          <w:p w:rsidR="00F92819" w:rsidRDefault="00F92819">
            <w:pPr>
              <w:spacing w:before="40" w:after="40" w:line="220" w:lineRule="exact"/>
              <w:jc w:val="right"/>
              <w:rPr>
                <w:sz w:val="18"/>
                <w:szCs w:val="24"/>
              </w:rPr>
            </w:pPr>
            <w:r>
              <w:rPr>
                <w:sz w:val="18"/>
                <w:szCs w:val="24"/>
              </w:rPr>
              <w:t>3 732</w:t>
            </w:r>
          </w:p>
        </w:tc>
        <w:tc>
          <w:tcPr>
            <w:tcW w:w="1000" w:type="dxa"/>
            <w:vAlign w:val="center"/>
          </w:tcPr>
          <w:p w:rsidR="00F92819" w:rsidRDefault="00F92819">
            <w:pPr>
              <w:spacing w:before="40" w:after="40" w:line="220" w:lineRule="exact"/>
              <w:jc w:val="right"/>
              <w:rPr>
                <w:sz w:val="18"/>
                <w:szCs w:val="24"/>
              </w:rPr>
            </w:pPr>
            <w:r>
              <w:rPr>
                <w:sz w:val="18"/>
                <w:szCs w:val="24"/>
              </w:rPr>
              <w:t>5 195</w:t>
            </w:r>
          </w:p>
        </w:tc>
        <w:tc>
          <w:tcPr>
            <w:tcW w:w="1000" w:type="dxa"/>
            <w:vAlign w:val="center"/>
          </w:tcPr>
          <w:p w:rsidR="00F92819" w:rsidRDefault="00F92819">
            <w:pPr>
              <w:spacing w:before="40" w:after="40" w:line="220" w:lineRule="exact"/>
              <w:jc w:val="right"/>
              <w:rPr>
                <w:sz w:val="18"/>
                <w:szCs w:val="24"/>
              </w:rPr>
            </w:pPr>
            <w:r>
              <w:rPr>
                <w:sz w:val="18"/>
                <w:szCs w:val="24"/>
              </w:rPr>
              <w:t>5 095</w:t>
            </w:r>
          </w:p>
        </w:tc>
        <w:tc>
          <w:tcPr>
            <w:tcW w:w="1000" w:type="dxa"/>
            <w:vAlign w:val="center"/>
          </w:tcPr>
          <w:p w:rsidR="00F92819" w:rsidRDefault="00F92819">
            <w:pPr>
              <w:spacing w:before="40" w:after="40" w:line="220" w:lineRule="exact"/>
              <w:jc w:val="right"/>
              <w:rPr>
                <w:sz w:val="18"/>
                <w:szCs w:val="24"/>
              </w:rPr>
            </w:pPr>
            <w:r>
              <w:rPr>
                <w:sz w:val="18"/>
                <w:szCs w:val="24"/>
              </w:rPr>
              <w:t>5 189</w:t>
            </w:r>
          </w:p>
        </w:tc>
      </w:tr>
      <w:tr w:rsidR="00F92819">
        <w:tc>
          <w:tcPr>
            <w:tcW w:w="3366" w:type="dxa"/>
          </w:tcPr>
          <w:p w:rsidR="00F92819" w:rsidRDefault="00F92819">
            <w:pPr>
              <w:spacing w:before="40" w:after="40" w:line="220" w:lineRule="exact"/>
              <w:rPr>
                <w:szCs w:val="24"/>
              </w:rPr>
            </w:pPr>
            <w:r>
              <w:rPr>
                <w:sz w:val="18"/>
                <w:szCs w:val="24"/>
                <w:lang w:val="es-ES_tradnl"/>
              </w:rPr>
              <w:t>Promedio de horas de trabajo semanales</w:t>
            </w:r>
          </w:p>
        </w:tc>
        <w:tc>
          <w:tcPr>
            <w:tcW w:w="1000" w:type="dxa"/>
            <w:vAlign w:val="center"/>
          </w:tcPr>
          <w:p w:rsidR="00F92819" w:rsidRDefault="00F92819">
            <w:pPr>
              <w:spacing w:before="40" w:after="40" w:line="220" w:lineRule="exact"/>
              <w:jc w:val="right"/>
              <w:rPr>
                <w:sz w:val="18"/>
                <w:szCs w:val="24"/>
              </w:rPr>
            </w:pPr>
            <w:r>
              <w:rPr>
                <w:sz w:val="18"/>
                <w:szCs w:val="24"/>
              </w:rPr>
              <w:t>20,4</w:t>
            </w:r>
          </w:p>
        </w:tc>
        <w:tc>
          <w:tcPr>
            <w:tcW w:w="1000" w:type="dxa"/>
            <w:vAlign w:val="center"/>
          </w:tcPr>
          <w:p w:rsidR="00F92819" w:rsidRDefault="00F92819">
            <w:pPr>
              <w:spacing w:before="40" w:after="40" w:line="220" w:lineRule="exact"/>
              <w:jc w:val="right"/>
              <w:rPr>
                <w:sz w:val="18"/>
                <w:szCs w:val="24"/>
              </w:rPr>
            </w:pPr>
            <w:r>
              <w:rPr>
                <w:sz w:val="18"/>
                <w:szCs w:val="24"/>
              </w:rPr>
              <w:t>21,2</w:t>
            </w:r>
          </w:p>
        </w:tc>
        <w:tc>
          <w:tcPr>
            <w:tcW w:w="1000" w:type="dxa"/>
            <w:vAlign w:val="center"/>
          </w:tcPr>
          <w:p w:rsidR="00F92819" w:rsidRDefault="00F92819">
            <w:pPr>
              <w:spacing w:before="40" w:after="40" w:line="220" w:lineRule="exact"/>
              <w:jc w:val="right"/>
              <w:rPr>
                <w:sz w:val="18"/>
                <w:szCs w:val="24"/>
              </w:rPr>
            </w:pPr>
            <w:r>
              <w:rPr>
                <w:sz w:val="18"/>
                <w:szCs w:val="24"/>
              </w:rPr>
              <w:t>20,7</w:t>
            </w:r>
          </w:p>
        </w:tc>
        <w:tc>
          <w:tcPr>
            <w:tcW w:w="1000" w:type="dxa"/>
            <w:vAlign w:val="center"/>
          </w:tcPr>
          <w:p w:rsidR="00F92819" w:rsidRDefault="00F92819">
            <w:pPr>
              <w:spacing w:before="40" w:after="40" w:line="220" w:lineRule="exact"/>
              <w:jc w:val="right"/>
              <w:rPr>
                <w:sz w:val="18"/>
                <w:szCs w:val="24"/>
              </w:rPr>
            </w:pPr>
            <w:r>
              <w:rPr>
                <w:sz w:val="18"/>
                <w:szCs w:val="24"/>
              </w:rPr>
              <w:t>21,1</w:t>
            </w:r>
          </w:p>
        </w:tc>
      </w:tr>
      <w:tr w:rsidR="00F92819">
        <w:tc>
          <w:tcPr>
            <w:tcW w:w="3366" w:type="dxa"/>
          </w:tcPr>
          <w:p w:rsidR="00F92819" w:rsidRDefault="00F92819">
            <w:pPr>
              <w:spacing w:before="40" w:after="40" w:line="220" w:lineRule="exact"/>
              <w:rPr>
                <w:szCs w:val="24"/>
              </w:rPr>
            </w:pPr>
            <w:r>
              <w:rPr>
                <w:sz w:val="18"/>
                <w:szCs w:val="24"/>
                <w:lang w:val="es-ES_tradnl"/>
              </w:rPr>
              <w:t>Escuela secundaria – Total</w:t>
            </w:r>
          </w:p>
        </w:tc>
        <w:tc>
          <w:tcPr>
            <w:tcW w:w="1000" w:type="dxa"/>
            <w:vAlign w:val="center"/>
          </w:tcPr>
          <w:p w:rsidR="00F92819" w:rsidRDefault="00F92819">
            <w:pPr>
              <w:spacing w:before="40" w:after="40" w:line="220" w:lineRule="exact"/>
              <w:jc w:val="right"/>
              <w:rPr>
                <w:sz w:val="18"/>
                <w:szCs w:val="24"/>
              </w:rPr>
            </w:pPr>
            <w:r>
              <w:rPr>
                <w:sz w:val="18"/>
                <w:szCs w:val="24"/>
              </w:rPr>
              <w:t>4 095</w:t>
            </w:r>
          </w:p>
        </w:tc>
        <w:tc>
          <w:tcPr>
            <w:tcW w:w="1000" w:type="dxa"/>
            <w:vAlign w:val="center"/>
          </w:tcPr>
          <w:p w:rsidR="00F92819" w:rsidRDefault="00F92819">
            <w:pPr>
              <w:spacing w:before="40" w:after="40" w:line="220" w:lineRule="exact"/>
              <w:jc w:val="right"/>
              <w:rPr>
                <w:sz w:val="18"/>
                <w:szCs w:val="24"/>
              </w:rPr>
            </w:pPr>
            <w:r>
              <w:rPr>
                <w:sz w:val="18"/>
                <w:szCs w:val="24"/>
              </w:rPr>
              <w:t>5 383</w:t>
            </w:r>
          </w:p>
        </w:tc>
        <w:tc>
          <w:tcPr>
            <w:tcW w:w="1000" w:type="dxa"/>
            <w:vAlign w:val="center"/>
          </w:tcPr>
          <w:p w:rsidR="00F92819" w:rsidRDefault="00F92819">
            <w:pPr>
              <w:spacing w:before="40" w:after="40" w:line="220" w:lineRule="exact"/>
              <w:jc w:val="right"/>
              <w:rPr>
                <w:sz w:val="18"/>
                <w:szCs w:val="24"/>
              </w:rPr>
            </w:pPr>
            <w:r>
              <w:rPr>
                <w:sz w:val="18"/>
                <w:szCs w:val="24"/>
              </w:rPr>
              <w:t>5 809</w:t>
            </w:r>
          </w:p>
        </w:tc>
        <w:tc>
          <w:tcPr>
            <w:tcW w:w="1000" w:type="dxa"/>
            <w:vAlign w:val="center"/>
          </w:tcPr>
          <w:p w:rsidR="00F92819" w:rsidRDefault="00F92819">
            <w:pPr>
              <w:spacing w:before="40" w:after="40" w:line="220" w:lineRule="exact"/>
              <w:jc w:val="right"/>
              <w:rPr>
                <w:sz w:val="18"/>
                <w:szCs w:val="24"/>
              </w:rPr>
            </w:pPr>
            <w:r>
              <w:rPr>
                <w:sz w:val="18"/>
                <w:szCs w:val="24"/>
              </w:rPr>
              <w:t>6 151</w:t>
            </w:r>
          </w:p>
        </w:tc>
      </w:tr>
      <w:tr w:rsidR="00F92819">
        <w:tc>
          <w:tcPr>
            <w:tcW w:w="3366" w:type="dxa"/>
            <w:tcBorders>
              <w:bottom w:val="single" w:sz="12" w:space="0" w:color="auto"/>
            </w:tcBorders>
          </w:tcPr>
          <w:p w:rsidR="00F92819" w:rsidRDefault="00F92819">
            <w:pPr>
              <w:spacing w:before="40" w:after="40" w:line="220" w:lineRule="exact"/>
              <w:rPr>
                <w:szCs w:val="24"/>
              </w:rPr>
            </w:pPr>
            <w:r>
              <w:rPr>
                <w:sz w:val="18"/>
                <w:szCs w:val="24"/>
                <w:lang w:val="es-ES_tradnl"/>
              </w:rPr>
              <w:t>Promedio de horas de trabajo semanales</w:t>
            </w:r>
          </w:p>
        </w:tc>
        <w:tc>
          <w:tcPr>
            <w:tcW w:w="1000"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23</w:t>
            </w:r>
          </w:p>
        </w:tc>
        <w:tc>
          <w:tcPr>
            <w:tcW w:w="1000"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22,5</w:t>
            </w:r>
          </w:p>
        </w:tc>
        <w:tc>
          <w:tcPr>
            <w:tcW w:w="1000"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22,6</w:t>
            </w:r>
          </w:p>
        </w:tc>
        <w:tc>
          <w:tcPr>
            <w:tcW w:w="1000"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22,8</w:t>
            </w:r>
          </w:p>
        </w:tc>
      </w:tr>
    </w:tbl>
    <w:p w:rsidR="00F92819" w:rsidRDefault="00F92819">
      <w:pPr>
        <w:spacing w:before="120" w:after="240"/>
        <w:ind w:left="1134" w:right="1134"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pStyle w:val="SingleTxtG"/>
        <w:spacing w:before="240"/>
        <w:rPr>
          <w:szCs w:val="24"/>
        </w:rPr>
      </w:pPr>
      <w:r>
        <w:rPr>
          <w:szCs w:val="24"/>
        </w:rPr>
        <w:t>622.</w:t>
      </w:r>
      <w:r>
        <w:rPr>
          <w:szCs w:val="24"/>
        </w:rPr>
        <w:tab/>
      </w:r>
      <w:r>
        <w:rPr>
          <w:szCs w:val="24"/>
          <w:lang w:val="es-ES_tradnl"/>
        </w:rPr>
        <w:t>Hay actualmente unos 153.863 puestos de docentes en jornada completa en todos los niveles del sistema de enseñanza primaria y secundaria de Israel, frente a los 86.000 que figuraban en el informe periódico anterior de Israel.</w:t>
      </w:r>
      <w:r>
        <w:rPr>
          <w:szCs w:val="24"/>
        </w:rPr>
        <w:t xml:space="preserve"> </w:t>
      </w:r>
      <w:r>
        <w:rPr>
          <w:szCs w:val="24"/>
          <w:lang w:val="es-ES_tradnl"/>
        </w:rPr>
        <w:t>El cuadro siguiente muestra su distribución.</w:t>
      </w:r>
    </w:p>
    <w:p w:rsidR="00F92819" w:rsidRDefault="00F92819">
      <w:pPr>
        <w:pStyle w:val="Heading1"/>
        <w:spacing w:before="240"/>
        <w:rPr>
          <w:szCs w:val="24"/>
        </w:rPr>
      </w:pPr>
      <w:r>
        <w:rPr>
          <w:szCs w:val="24"/>
          <w:lang w:val="es-ES_tradnl"/>
        </w:rPr>
        <w:t>Cuadro 45</w:t>
      </w:r>
    </w:p>
    <w:p w:rsidR="00F92819" w:rsidRDefault="00F92819">
      <w:pPr>
        <w:pStyle w:val="SingleTxtG"/>
        <w:rPr>
          <w:b/>
          <w:szCs w:val="24"/>
        </w:rPr>
      </w:pPr>
      <w:r>
        <w:rPr>
          <w:b/>
          <w:szCs w:val="24"/>
          <w:lang w:val="es-ES_tradnl"/>
        </w:rPr>
        <w:t>Puestos docentes (en jornada completa) en las escuelas, 2007/2008</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1841"/>
        <w:gridCol w:w="1843"/>
        <w:gridCol w:w="1843"/>
        <w:gridCol w:w="1843"/>
      </w:tblGrid>
      <w:tr w:rsidR="00F92819">
        <w:trPr>
          <w:tblHeader/>
        </w:trPr>
        <w:tc>
          <w:tcPr>
            <w:tcW w:w="1841" w:type="dxa"/>
            <w:tcBorders>
              <w:top w:val="single" w:sz="4" w:space="0" w:color="auto"/>
              <w:bottom w:val="single" w:sz="12" w:space="0" w:color="auto"/>
            </w:tcBorders>
            <w:vAlign w:val="bottom"/>
          </w:tcPr>
          <w:p w:rsidR="00F92819" w:rsidRDefault="00F92819">
            <w:pPr>
              <w:spacing w:before="80" w:after="80" w:line="200" w:lineRule="exact"/>
              <w:rPr>
                <w:i/>
                <w:sz w:val="16"/>
                <w:szCs w:val="24"/>
              </w:rPr>
            </w:pPr>
          </w:p>
        </w:tc>
        <w:tc>
          <w:tcPr>
            <w:tcW w:w="1843" w:type="dxa"/>
            <w:tcBorders>
              <w:top w:val="single" w:sz="4" w:space="0" w:color="auto"/>
              <w:bottom w:val="single" w:sz="12" w:space="0" w:color="auto"/>
            </w:tcBorders>
          </w:tcPr>
          <w:p w:rsidR="00F92819" w:rsidRDefault="00F92819">
            <w:pPr>
              <w:spacing w:before="80" w:after="80" w:line="200" w:lineRule="exact"/>
              <w:jc w:val="right"/>
              <w:rPr>
                <w:szCs w:val="24"/>
              </w:rPr>
            </w:pPr>
            <w:r>
              <w:rPr>
                <w:b/>
                <w:i/>
                <w:sz w:val="16"/>
                <w:szCs w:val="24"/>
                <w:lang w:val="es-ES_tradnl"/>
              </w:rPr>
              <w:t>Total</w:t>
            </w:r>
          </w:p>
        </w:tc>
        <w:tc>
          <w:tcPr>
            <w:tcW w:w="1843" w:type="dxa"/>
            <w:tcBorders>
              <w:top w:val="single" w:sz="4" w:space="0" w:color="auto"/>
              <w:bottom w:val="single" w:sz="12" w:space="0" w:color="auto"/>
            </w:tcBorders>
          </w:tcPr>
          <w:p w:rsidR="00F92819" w:rsidRDefault="00F92819">
            <w:pPr>
              <w:spacing w:before="80" w:after="80" w:line="200" w:lineRule="exact"/>
              <w:jc w:val="right"/>
              <w:rPr>
                <w:szCs w:val="24"/>
              </w:rPr>
            </w:pPr>
            <w:r>
              <w:rPr>
                <w:i/>
                <w:sz w:val="16"/>
                <w:szCs w:val="24"/>
                <w:lang w:val="es-ES_tradnl"/>
              </w:rPr>
              <w:t>Enseñanza en hebreo</w:t>
            </w:r>
          </w:p>
        </w:tc>
        <w:tc>
          <w:tcPr>
            <w:tcW w:w="1843" w:type="dxa"/>
            <w:tcBorders>
              <w:top w:val="single" w:sz="4" w:space="0" w:color="auto"/>
              <w:bottom w:val="single" w:sz="12" w:space="0" w:color="auto"/>
            </w:tcBorders>
          </w:tcPr>
          <w:p w:rsidR="00F92819" w:rsidRDefault="00F92819">
            <w:pPr>
              <w:spacing w:before="80" w:after="80" w:line="200" w:lineRule="exact"/>
              <w:jc w:val="right"/>
              <w:rPr>
                <w:szCs w:val="24"/>
              </w:rPr>
            </w:pPr>
            <w:r>
              <w:rPr>
                <w:i/>
                <w:sz w:val="16"/>
                <w:szCs w:val="24"/>
                <w:lang w:val="es-ES_tradnl"/>
              </w:rPr>
              <w:t>Enseñanza en árabe</w:t>
            </w:r>
          </w:p>
        </w:tc>
      </w:tr>
      <w:tr w:rsidR="00F92819">
        <w:tc>
          <w:tcPr>
            <w:tcW w:w="1841" w:type="dxa"/>
            <w:tcBorders>
              <w:top w:val="single" w:sz="12" w:space="0" w:color="auto"/>
              <w:bottom w:val="single" w:sz="4" w:space="0" w:color="auto"/>
            </w:tcBorders>
          </w:tcPr>
          <w:p w:rsidR="00F92819" w:rsidRDefault="00F92819">
            <w:pPr>
              <w:spacing w:before="80" w:after="80" w:line="220" w:lineRule="exact"/>
              <w:ind w:firstLine="284"/>
              <w:rPr>
                <w:szCs w:val="24"/>
              </w:rPr>
            </w:pPr>
            <w:r>
              <w:rPr>
                <w:b/>
                <w:sz w:val="18"/>
                <w:szCs w:val="24"/>
                <w:lang w:val="es-ES_tradnl"/>
              </w:rPr>
              <w:t>Total</w:t>
            </w:r>
          </w:p>
        </w:tc>
        <w:tc>
          <w:tcPr>
            <w:tcW w:w="1843" w:type="dxa"/>
            <w:tcBorders>
              <w:top w:val="single" w:sz="12"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153 863</w:t>
            </w:r>
          </w:p>
        </w:tc>
        <w:tc>
          <w:tcPr>
            <w:tcW w:w="1843" w:type="dxa"/>
            <w:tcBorders>
              <w:top w:val="single" w:sz="12"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121 288</w:t>
            </w:r>
          </w:p>
        </w:tc>
        <w:tc>
          <w:tcPr>
            <w:tcW w:w="1843" w:type="dxa"/>
            <w:tcBorders>
              <w:top w:val="single" w:sz="12" w:space="0" w:color="auto"/>
              <w:bottom w:val="single" w:sz="4" w:space="0" w:color="auto"/>
            </w:tcBorders>
            <w:vAlign w:val="center"/>
          </w:tcPr>
          <w:p w:rsidR="00F92819" w:rsidRDefault="00F92819">
            <w:pPr>
              <w:spacing w:before="80" w:after="80" w:line="220" w:lineRule="exact"/>
              <w:jc w:val="right"/>
              <w:rPr>
                <w:b/>
                <w:sz w:val="18"/>
                <w:szCs w:val="24"/>
              </w:rPr>
            </w:pPr>
            <w:r>
              <w:rPr>
                <w:b/>
                <w:sz w:val="18"/>
                <w:szCs w:val="24"/>
              </w:rPr>
              <w:t>32 575</w:t>
            </w:r>
          </w:p>
        </w:tc>
      </w:tr>
      <w:tr w:rsidR="00F92819">
        <w:tc>
          <w:tcPr>
            <w:tcW w:w="1841" w:type="dxa"/>
            <w:tcBorders>
              <w:top w:val="single" w:sz="4" w:space="0" w:color="auto"/>
            </w:tcBorders>
          </w:tcPr>
          <w:p w:rsidR="00F92819" w:rsidRDefault="00F92819">
            <w:pPr>
              <w:spacing w:before="40" w:after="40" w:line="220" w:lineRule="exact"/>
              <w:rPr>
                <w:szCs w:val="24"/>
              </w:rPr>
            </w:pPr>
            <w:r>
              <w:rPr>
                <w:sz w:val="18"/>
                <w:szCs w:val="24"/>
                <w:lang w:val="es-ES_tradnl"/>
              </w:rPr>
              <w:t>Enseñanza primaria</w:t>
            </w:r>
          </w:p>
        </w:tc>
        <w:tc>
          <w:tcPr>
            <w:tcW w:w="1843" w:type="dxa"/>
            <w:tcBorders>
              <w:top w:val="single" w:sz="4" w:space="0" w:color="auto"/>
            </w:tcBorders>
            <w:vAlign w:val="center"/>
          </w:tcPr>
          <w:p w:rsidR="00F92819" w:rsidRDefault="00F92819">
            <w:pPr>
              <w:spacing w:before="40" w:after="40" w:line="220" w:lineRule="exact"/>
              <w:jc w:val="right"/>
              <w:rPr>
                <w:b/>
                <w:sz w:val="18"/>
                <w:szCs w:val="24"/>
              </w:rPr>
            </w:pPr>
            <w:r>
              <w:rPr>
                <w:b/>
                <w:sz w:val="18"/>
                <w:szCs w:val="24"/>
              </w:rPr>
              <w:t>68 186</w:t>
            </w:r>
          </w:p>
        </w:tc>
        <w:tc>
          <w:tcPr>
            <w:tcW w:w="1843"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50 497</w:t>
            </w:r>
          </w:p>
        </w:tc>
        <w:tc>
          <w:tcPr>
            <w:tcW w:w="1843" w:type="dxa"/>
            <w:tcBorders>
              <w:top w:val="single" w:sz="4" w:space="0" w:color="auto"/>
            </w:tcBorders>
            <w:vAlign w:val="center"/>
          </w:tcPr>
          <w:p w:rsidR="00F92819" w:rsidRDefault="00F92819">
            <w:pPr>
              <w:spacing w:before="40" w:after="40" w:line="220" w:lineRule="exact"/>
              <w:jc w:val="right"/>
              <w:rPr>
                <w:sz w:val="18"/>
                <w:szCs w:val="24"/>
              </w:rPr>
            </w:pPr>
            <w:r>
              <w:rPr>
                <w:sz w:val="18"/>
                <w:szCs w:val="24"/>
              </w:rPr>
              <w:t>17 689</w:t>
            </w:r>
          </w:p>
        </w:tc>
      </w:tr>
      <w:tr w:rsidR="00F92819">
        <w:tc>
          <w:tcPr>
            <w:tcW w:w="1841" w:type="dxa"/>
          </w:tcPr>
          <w:p w:rsidR="00F92819" w:rsidRDefault="00F92819">
            <w:pPr>
              <w:spacing w:before="40" w:after="40" w:line="220" w:lineRule="exact"/>
              <w:rPr>
                <w:szCs w:val="24"/>
              </w:rPr>
            </w:pPr>
            <w:r>
              <w:rPr>
                <w:sz w:val="18"/>
                <w:szCs w:val="24"/>
                <w:lang w:val="es-ES_tradnl"/>
              </w:rPr>
              <w:t>Escuelas intermedias</w:t>
            </w:r>
          </w:p>
        </w:tc>
        <w:tc>
          <w:tcPr>
            <w:tcW w:w="1843" w:type="dxa"/>
            <w:vAlign w:val="center"/>
          </w:tcPr>
          <w:p w:rsidR="00F92819" w:rsidRDefault="00F92819">
            <w:pPr>
              <w:spacing w:before="40" w:after="40" w:line="220" w:lineRule="exact"/>
              <w:jc w:val="right"/>
              <w:rPr>
                <w:b/>
                <w:sz w:val="18"/>
                <w:szCs w:val="24"/>
              </w:rPr>
            </w:pPr>
            <w:r>
              <w:rPr>
                <w:b/>
                <w:sz w:val="18"/>
                <w:szCs w:val="24"/>
              </w:rPr>
              <w:t>24 687</w:t>
            </w:r>
          </w:p>
        </w:tc>
        <w:tc>
          <w:tcPr>
            <w:tcW w:w="1843" w:type="dxa"/>
            <w:vAlign w:val="center"/>
          </w:tcPr>
          <w:p w:rsidR="00F92819" w:rsidRDefault="00F92819">
            <w:pPr>
              <w:spacing w:before="40" w:after="40" w:line="220" w:lineRule="exact"/>
              <w:jc w:val="right"/>
              <w:rPr>
                <w:sz w:val="18"/>
                <w:szCs w:val="24"/>
              </w:rPr>
            </w:pPr>
            <w:r>
              <w:rPr>
                <w:sz w:val="18"/>
                <w:szCs w:val="24"/>
              </w:rPr>
              <w:t>19 336</w:t>
            </w:r>
          </w:p>
        </w:tc>
        <w:tc>
          <w:tcPr>
            <w:tcW w:w="1843" w:type="dxa"/>
            <w:vAlign w:val="center"/>
          </w:tcPr>
          <w:p w:rsidR="00F92819" w:rsidRDefault="00F92819">
            <w:pPr>
              <w:spacing w:before="40" w:after="40" w:line="220" w:lineRule="exact"/>
              <w:jc w:val="right"/>
              <w:rPr>
                <w:sz w:val="18"/>
                <w:szCs w:val="24"/>
              </w:rPr>
            </w:pPr>
            <w:r>
              <w:rPr>
                <w:sz w:val="18"/>
                <w:szCs w:val="24"/>
              </w:rPr>
              <w:t>5 351</w:t>
            </w:r>
          </w:p>
        </w:tc>
      </w:tr>
      <w:tr w:rsidR="00F92819">
        <w:tc>
          <w:tcPr>
            <w:tcW w:w="1841" w:type="dxa"/>
            <w:tcBorders>
              <w:bottom w:val="single" w:sz="12" w:space="0" w:color="auto"/>
            </w:tcBorders>
          </w:tcPr>
          <w:p w:rsidR="00F92819" w:rsidRDefault="00F92819">
            <w:pPr>
              <w:spacing w:before="40" w:after="40" w:line="220" w:lineRule="exact"/>
              <w:rPr>
                <w:szCs w:val="24"/>
              </w:rPr>
            </w:pPr>
            <w:r>
              <w:rPr>
                <w:sz w:val="18"/>
                <w:szCs w:val="24"/>
                <w:lang w:val="es-ES_tradnl"/>
              </w:rPr>
              <w:t>Escuelas secundarias</w:t>
            </w:r>
          </w:p>
        </w:tc>
        <w:tc>
          <w:tcPr>
            <w:tcW w:w="1843" w:type="dxa"/>
            <w:tcBorders>
              <w:bottom w:val="single" w:sz="12" w:space="0" w:color="auto"/>
            </w:tcBorders>
            <w:vAlign w:val="center"/>
          </w:tcPr>
          <w:p w:rsidR="00F92819" w:rsidRDefault="00F92819">
            <w:pPr>
              <w:spacing w:before="40" w:after="40" w:line="220" w:lineRule="exact"/>
              <w:jc w:val="right"/>
              <w:rPr>
                <w:b/>
                <w:sz w:val="18"/>
                <w:szCs w:val="24"/>
              </w:rPr>
            </w:pPr>
            <w:r>
              <w:rPr>
                <w:b/>
                <w:sz w:val="18"/>
                <w:szCs w:val="24"/>
              </w:rPr>
              <w:t>44 488</w:t>
            </w:r>
          </w:p>
        </w:tc>
        <w:tc>
          <w:tcPr>
            <w:tcW w:w="1843"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37 750</w:t>
            </w:r>
          </w:p>
        </w:tc>
        <w:tc>
          <w:tcPr>
            <w:tcW w:w="1843" w:type="dxa"/>
            <w:tcBorders>
              <w:bottom w:val="single" w:sz="12" w:space="0" w:color="auto"/>
            </w:tcBorders>
            <w:vAlign w:val="center"/>
          </w:tcPr>
          <w:p w:rsidR="00F92819" w:rsidRDefault="00F92819">
            <w:pPr>
              <w:spacing w:before="40" w:after="40" w:line="220" w:lineRule="exact"/>
              <w:jc w:val="right"/>
              <w:rPr>
                <w:sz w:val="18"/>
                <w:szCs w:val="24"/>
              </w:rPr>
            </w:pPr>
            <w:r>
              <w:rPr>
                <w:sz w:val="18"/>
                <w:szCs w:val="24"/>
              </w:rPr>
              <w:t>6 738</w:t>
            </w:r>
          </w:p>
        </w:tc>
      </w:tr>
    </w:tbl>
    <w:p w:rsidR="00F92819" w:rsidRDefault="00F92819">
      <w:pPr>
        <w:pStyle w:val="SingleTxtG"/>
        <w:spacing w:before="120" w:after="240"/>
        <w:ind w:firstLine="170"/>
        <w:rPr>
          <w:szCs w:val="24"/>
        </w:rPr>
      </w:pPr>
      <w:r>
        <w:rPr>
          <w:i/>
          <w:sz w:val="18"/>
          <w:szCs w:val="24"/>
          <w:lang w:val="es-ES_tradnl"/>
        </w:rPr>
        <w:t>Fuente:</w:t>
      </w:r>
      <w:r>
        <w:rPr>
          <w:sz w:val="18"/>
          <w:szCs w:val="24"/>
        </w:rPr>
        <w:t xml:space="preserve"> </w:t>
      </w:r>
      <w:r>
        <w:rPr>
          <w:sz w:val="18"/>
          <w:szCs w:val="24"/>
          <w:lang w:val="es-ES_tradnl"/>
        </w:rPr>
        <w:t>Oficina Central de Estadística, Resumen estadístico de Israel, 2008.</w:t>
      </w:r>
    </w:p>
    <w:p w:rsidR="00F92819" w:rsidRDefault="00F92819">
      <w:pPr>
        <w:pStyle w:val="SingleTxtG"/>
        <w:rPr>
          <w:szCs w:val="24"/>
        </w:rPr>
      </w:pPr>
      <w:r>
        <w:rPr>
          <w:szCs w:val="24"/>
        </w:rPr>
        <w:t>623.</w:t>
      </w:r>
      <w:r>
        <w:rPr>
          <w:szCs w:val="24"/>
        </w:rPr>
        <w:tab/>
      </w:r>
      <w:smartTag w:uri="urn:schemas-microsoft-com:office:smarttags" w:element="City">
        <w:r>
          <w:rPr>
            <w:szCs w:val="24"/>
            <w:lang w:val="es-ES_tradnl"/>
          </w:rPr>
          <w:t>Como</w:t>
        </w:r>
      </w:smartTag>
      <w:r>
        <w:rPr>
          <w:szCs w:val="24"/>
          <w:lang w:val="es-ES_tradnl"/>
        </w:rPr>
        <w:t xml:space="preserve"> parte de la reforma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sistema educativo mencionada, se prolongó y modificó la semana laboral de los docentes y se creó un nuevo sistema salarial retributivo.</w:t>
      </w:r>
      <w:r>
        <w:rPr>
          <w:szCs w:val="24"/>
        </w:rPr>
        <w:t xml:space="preserve"> </w:t>
      </w:r>
      <w:r>
        <w:rPr>
          <w:szCs w:val="24"/>
          <w:lang w:val="es-ES_tradnl"/>
        </w:rPr>
        <w:t>La nueva semana laboral se amplió a 36 horas por docente, 26 de las cuales se dedicarán a impartir clase, 5 horas a enseñar a niños individualmente o en grupos reducidos y 5 horas dedicadas a otras tareas.</w:t>
      </w:r>
      <w:r>
        <w:rPr>
          <w:szCs w:val="24"/>
        </w:rPr>
        <w:t xml:space="preserve"> </w:t>
      </w:r>
      <w:r>
        <w:rPr>
          <w:szCs w:val="24"/>
          <w:lang w:val="es-ES_tradnl"/>
        </w:rPr>
        <w:t>El salario de los docentes se ajustó y aumentó en un 26%.</w:t>
      </w:r>
      <w:r>
        <w:rPr>
          <w:szCs w:val="24"/>
        </w:rPr>
        <w:t xml:space="preserve"> </w:t>
      </w:r>
      <w:r>
        <w:rPr>
          <w:szCs w:val="24"/>
          <w:lang w:val="es-ES_tradnl"/>
        </w:rPr>
        <w:t xml:space="preserve">Además, para aumentar y mejorar la formación y desarrollo profesional continuo de los profesores, se modificaron los criterios de promoción para incluir un requisito previo de participación en formación profesional. </w:t>
      </w:r>
    </w:p>
    <w:p w:rsidR="00F92819" w:rsidRDefault="00F92819">
      <w:pPr>
        <w:pStyle w:val="H23G"/>
        <w:rPr>
          <w:szCs w:val="24"/>
        </w:rPr>
      </w:pPr>
      <w:r>
        <w:rPr>
          <w:szCs w:val="24"/>
        </w:rPr>
        <w:tab/>
      </w:r>
      <w:r>
        <w:rPr>
          <w:szCs w:val="24"/>
        </w:rPr>
        <w:tab/>
      </w:r>
      <w:r>
        <w:rPr>
          <w:szCs w:val="24"/>
          <w:lang w:val="es-ES_tradnl"/>
        </w:rPr>
        <w:t>Responsabilidad con respecto al establecimiento y la administración de las escuelas</w:t>
      </w:r>
    </w:p>
    <w:p w:rsidR="00F92819" w:rsidRDefault="00F92819">
      <w:pPr>
        <w:pStyle w:val="SingleTxtG"/>
        <w:rPr>
          <w:szCs w:val="24"/>
        </w:rPr>
      </w:pPr>
      <w:r>
        <w:rPr>
          <w:szCs w:val="24"/>
        </w:rPr>
        <w:t>624.</w:t>
      </w:r>
      <w:r>
        <w:rPr>
          <w:szCs w:val="24"/>
        </w:rPr>
        <w:tab/>
      </w:r>
      <w:r>
        <w:rPr>
          <w:szCs w:val="24"/>
          <w:lang w:val="es-ES_tradnl"/>
        </w:rPr>
        <w:t xml:space="preserve">No se han producido cambios significativos sobre esta cuestión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informe anterior de Israel.</w:t>
      </w:r>
    </w:p>
    <w:p w:rsidR="00F92819" w:rsidRDefault="00F92819">
      <w:pPr>
        <w:pStyle w:val="H1G"/>
        <w:spacing w:line="280" w:lineRule="exact"/>
        <w:ind w:firstLine="0"/>
        <w:rPr>
          <w:szCs w:val="24"/>
        </w:rPr>
      </w:pPr>
      <w:r>
        <w:rPr>
          <w:szCs w:val="24"/>
          <w:lang w:val="es-ES_tradnl"/>
        </w:rPr>
        <w:t>Artículo 15</w:t>
      </w:r>
      <w:r>
        <w:rPr>
          <w:szCs w:val="24"/>
          <w:lang w:val="es-ES_tradnl"/>
        </w:rPr>
        <w:br/>
        <w:t>Derecho a participar en la vida cultural y a beneficiarse del progreso científico</w:t>
      </w:r>
    </w:p>
    <w:p w:rsidR="00F92819" w:rsidRDefault="00F92819">
      <w:pPr>
        <w:pStyle w:val="H23G"/>
        <w:rPr>
          <w:szCs w:val="24"/>
        </w:rPr>
      </w:pPr>
      <w:r>
        <w:rPr>
          <w:szCs w:val="24"/>
        </w:rPr>
        <w:tab/>
      </w:r>
      <w:r>
        <w:rPr>
          <w:szCs w:val="24"/>
        </w:rPr>
        <w:tab/>
      </w:r>
      <w:r>
        <w:rPr>
          <w:szCs w:val="24"/>
          <w:lang w:val="es-ES_tradnl"/>
        </w:rPr>
        <w:t>Derecho a participar en la vida cultural:</w:t>
      </w:r>
      <w:r>
        <w:rPr>
          <w:szCs w:val="24"/>
        </w:rPr>
        <w:t xml:space="preserve"> </w:t>
      </w:r>
      <w:r>
        <w:rPr>
          <w:szCs w:val="24"/>
          <w:lang w:val="es-ES_tradnl"/>
        </w:rPr>
        <w:t>financiación</w:t>
      </w:r>
    </w:p>
    <w:p w:rsidR="00F92819" w:rsidRDefault="00F92819">
      <w:pPr>
        <w:pStyle w:val="SingleTxtG"/>
        <w:rPr>
          <w:szCs w:val="24"/>
        </w:rPr>
      </w:pPr>
      <w:r>
        <w:rPr>
          <w:szCs w:val="24"/>
        </w:rPr>
        <w:t>625.</w:t>
      </w:r>
      <w:r>
        <w:rPr>
          <w:szCs w:val="24"/>
        </w:rPr>
        <w:tab/>
      </w:r>
      <w:r>
        <w:rPr>
          <w:szCs w:val="24"/>
          <w:lang w:val="es-ES_tradnl"/>
        </w:rPr>
        <w:t>En 2007 el gasto nacional en cultura, esparcimiento y deportes constituía el 5,5% del Producto Interno Bruto, un ligero descenso en comparación con el período 2004</w:t>
      </w:r>
      <w:r w:rsidR="008C04D7">
        <w:rPr>
          <w:szCs w:val="24"/>
          <w:lang w:val="es-ES_tradnl"/>
        </w:rPr>
        <w:t>-</w:t>
      </w:r>
      <w:r>
        <w:rPr>
          <w:szCs w:val="24"/>
          <w:lang w:val="es-ES_tradnl"/>
        </w:rPr>
        <w:t>2006, que fue el 5,4% del PIB.</w:t>
      </w:r>
    </w:p>
    <w:p w:rsidR="00F92819" w:rsidRDefault="00F92819">
      <w:pPr>
        <w:pStyle w:val="SingleTxtG"/>
        <w:rPr>
          <w:szCs w:val="24"/>
        </w:rPr>
      </w:pPr>
      <w:r>
        <w:rPr>
          <w:szCs w:val="24"/>
        </w:rPr>
        <w:t>626.</w:t>
      </w:r>
      <w:r>
        <w:rPr>
          <w:szCs w:val="24"/>
        </w:rPr>
        <w:tab/>
      </w:r>
      <w:r>
        <w:rPr>
          <w:szCs w:val="24"/>
          <w:lang w:val="es-ES_tradnl"/>
        </w:rPr>
        <w:t>En 2007, del gasto nacional total en cultura, esparcimiento y deportes, 9,4% se invirtió en patrimonio cultural, literatura y artes visuales, 21,5% en música y artes escénicas, 22,6% en radio, televisión, cine y fotografía, 10,2% en actividades socioculturales, 23,7% en deportes, juegos, computadoras e Internet, 5,8% en apuestas, así como en naturaleza y entorno, y el 4,9% se invirtió en formación de capital fijo.</w:t>
      </w:r>
    </w:p>
    <w:p w:rsidR="00F92819" w:rsidRDefault="00F92819">
      <w:pPr>
        <w:pStyle w:val="H23G"/>
        <w:rPr>
          <w:szCs w:val="24"/>
        </w:rPr>
      </w:pPr>
      <w:r>
        <w:rPr>
          <w:szCs w:val="24"/>
        </w:rPr>
        <w:tab/>
      </w:r>
      <w:r>
        <w:rPr>
          <w:szCs w:val="24"/>
        </w:rPr>
        <w:tab/>
      </w:r>
      <w:r>
        <w:rPr>
          <w:szCs w:val="24"/>
          <w:lang w:val="es-ES_tradnl"/>
        </w:rPr>
        <w:t>Infraestructura institucional de la vida cultural de Israel</w:t>
      </w:r>
    </w:p>
    <w:p w:rsidR="00F92819" w:rsidRDefault="00F92819">
      <w:pPr>
        <w:pStyle w:val="SingleTxtG"/>
        <w:rPr>
          <w:szCs w:val="24"/>
        </w:rPr>
      </w:pPr>
      <w:r>
        <w:rPr>
          <w:szCs w:val="24"/>
        </w:rPr>
        <w:t>627.</w:t>
      </w:r>
      <w:r>
        <w:rPr>
          <w:szCs w:val="24"/>
        </w:rPr>
        <w:tab/>
      </w:r>
      <w:r>
        <w:rPr>
          <w:b/>
          <w:szCs w:val="24"/>
          <w:lang w:val="es-ES_tradnl"/>
        </w:rPr>
        <w:t>El Consejo Nacional para la Cultura y las Artes</w:t>
      </w:r>
      <w:r>
        <w:rPr>
          <w:szCs w:val="24"/>
          <w:lang w:val="es-ES_tradnl"/>
        </w:rPr>
        <w:t xml:space="preserve">. El 12 de noviembre de 2002 el Knesset aprobó la </w:t>
      </w:r>
      <w:r>
        <w:rPr>
          <w:i/>
          <w:szCs w:val="24"/>
          <w:lang w:val="es-ES_tradnl"/>
        </w:rPr>
        <w:t>Ley de la Cultura y las Artes</w:t>
      </w:r>
      <w:r>
        <w:rPr>
          <w:szCs w:val="24"/>
          <w:lang w:val="es-ES_tradnl"/>
        </w:rPr>
        <w:t xml:space="preserve"> de 5762/2002, que daba lugar al Consejo Nacional para la Cultura y las Artes como órgano consultivo de apoyo al Ministerio de Ciencia, Cultura y Deportes, así como a otros órganos del gobierno en cuestiones relacionadas con el arte, la cultura y la financiación de instituciones culturales.</w:t>
      </w:r>
      <w:r>
        <w:rPr>
          <w:szCs w:val="24"/>
        </w:rPr>
        <w:t xml:space="preserve"> </w:t>
      </w:r>
      <w:r>
        <w:rPr>
          <w:szCs w:val="24"/>
          <w:lang w:val="es-ES_tradnl"/>
        </w:rPr>
        <w:t>La función del Consejo Nacional es promover e iniciar políticas y programas de fomento del arte y la cultura, de manera que se asegure la libertad de creación y de expresión de la variedad cultural de la sociedad israelí.</w:t>
      </w:r>
      <w:r>
        <w:rPr>
          <w:szCs w:val="24"/>
        </w:rPr>
        <w:t xml:space="preserve"> </w:t>
      </w:r>
      <w:r>
        <w:rPr>
          <w:szCs w:val="24"/>
          <w:lang w:val="es-ES_tradnl"/>
        </w:rPr>
        <w:t>El Consejo Nacional tiene la obligación de sugerir un plan plurianual de políticas en los ámbitos del arte y la cultura, incluida la financiación de instituciones en esta esfera. El consejo se fundó en 2004.</w:t>
      </w:r>
    </w:p>
    <w:p w:rsidR="00F92819" w:rsidRDefault="00F92819">
      <w:pPr>
        <w:pStyle w:val="SingleTxtG"/>
        <w:rPr>
          <w:szCs w:val="24"/>
        </w:rPr>
      </w:pPr>
      <w:r w:rsidRPr="008E2128">
        <w:rPr>
          <w:szCs w:val="24"/>
        </w:rPr>
        <w:t>628.</w:t>
      </w:r>
      <w:r w:rsidRPr="008E2128">
        <w:rPr>
          <w:szCs w:val="24"/>
        </w:rPr>
        <w:tab/>
      </w:r>
      <w:smartTag w:uri="urn:schemas-microsoft-com:office:smarttags" w:element="PersonName">
        <w:smartTagPr>
          <w:attr w:name="ProductID" w:val="La Biblioteca Nacional. El"/>
        </w:smartTagPr>
        <w:r>
          <w:rPr>
            <w:b/>
            <w:szCs w:val="24"/>
            <w:lang w:val="es-ES_tradnl"/>
          </w:rPr>
          <w:t>La Biblioteca Nacional</w:t>
        </w:r>
        <w:r>
          <w:rPr>
            <w:szCs w:val="24"/>
            <w:lang w:val="es-ES_tradnl"/>
          </w:rPr>
          <w:t>.</w:t>
        </w:r>
        <w:r>
          <w:rPr>
            <w:szCs w:val="24"/>
          </w:rPr>
          <w:t xml:space="preserve"> </w:t>
        </w:r>
        <w:r>
          <w:rPr>
            <w:szCs w:val="24"/>
            <w:lang w:val="es-ES_tradnl"/>
          </w:rPr>
          <w:t>El</w:t>
        </w:r>
      </w:smartTag>
      <w:r>
        <w:rPr>
          <w:szCs w:val="24"/>
          <w:lang w:val="es-ES_tradnl"/>
        </w:rPr>
        <w:t xml:space="preserve"> 26 de noviembre de 2007 el Knesset sancionó la </w:t>
      </w:r>
      <w:r>
        <w:rPr>
          <w:i/>
          <w:szCs w:val="24"/>
          <w:lang w:val="es-ES_tradnl"/>
        </w:rPr>
        <w:t xml:space="preserve">Ley de </w:t>
      </w:r>
      <w:smartTag w:uri="urn:schemas-microsoft-com:office:smarttags" w:element="PersonName">
        <w:smartTagPr>
          <w:attr w:name="ProductID" w:val="la Biblioteca Nacional"/>
        </w:smartTagPr>
        <w:r>
          <w:rPr>
            <w:i/>
            <w:szCs w:val="24"/>
            <w:lang w:val="es-ES_tradnl"/>
          </w:rPr>
          <w:t>la Biblioteca Nacional</w:t>
        </w:r>
      </w:smartTag>
      <w:r>
        <w:rPr>
          <w:szCs w:val="24"/>
          <w:lang w:val="es-ES_tradnl"/>
        </w:rPr>
        <w:t xml:space="preserve"> de 5767/2007, por la cual se declaraba Biblioteca Nacional a la biblioteca de </w:t>
      </w:r>
      <w:smartTag w:uri="urn:schemas-microsoft-com:office:smarttags" w:element="PersonName">
        <w:smartTagPr>
          <w:attr w:name="ProductID" w:val="la Universidad Hebrea"/>
        </w:smartTagPr>
        <w:r>
          <w:rPr>
            <w:szCs w:val="24"/>
            <w:lang w:val="es-ES_tradnl"/>
          </w:rPr>
          <w:t>la Universidad Hebrea</w:t>
        </w:r>
      </w:smartTag>
      <w:r>
        <w:rPr>
          <w:szCs w:val="24"/>
          <w:lang w:val="es-ES_tradnl"/>
        </w:rPr>
        <w:t>, que ya ejercía las funciones de biblioteca nacional de facto con anterioridad a la Ley pero no estaba legalmente reconocida como tal.</w:t>
      </w:r>
      <w:r>
        <w:rPr>
          <w:szCs w:val="24"/>
        </w:rPr>
        <w:t xml:space="preserve"> </w:t>
      </w:r>
      <w:r>
        <w:rPr>
          <w:szCs w:val="24"/>
          <w:lang w:val="es-ES_tradnl"/>
        </w:rPr>
        <w:t xml:space="preserve">De conformidad con la Ley, el propósito de </w:t>
      </w:r>
      <w:smartTag w:uri="urn:schemas-microsoft-com:office:smarttags" w:element="PersonName">
        <w:smartTagPr>
          <w:attr w:name="ProductID" w:val="la Biblioteca Nacional"/>
        </w:smartTagPr>
        <w:r>
          <w:rPr>
            <w:szCs w:val="24"/>
            <w:lang w:val="es-ES_tradnl"/>
          </w:rPr>
          <w:t>la Biblioteca Nacional</w:t>
        </w:r>
      </w:smartTag>
      <w:r>
        <w:rPr>
          <w:szCs w:val="24"/>
          <w:lang w:val="es-ES_tradnl"/>
        </w:rPr>
        <w:t xml:space="preserve"> es acumular, conservar, alimentar y legar los recursos de conocimiento, patrimonio y cultura en general, y los vinculados al Estado de Israel, la tierra de Israel y el pueblo judío en particular. </w:t>
      </w:r>
    </w:p>
    <w:p w:rsidR="00F92819" w:rsidRDefault="00F92819">
      <w:pPr>
        <w:pStyle w:val="SingleTxtG"/>
        <w:rPr>
          <w:szCs w:val="24"/>
        </w:rPr>
      </w:pPr>
      <w:r>
        <w:rPr>
          <w:szCs w:val="24"/>
        </w:rPr>
        <w:t>629.</w:t>
      </w:r>
      <w:r>
        <w:rPr>
          <w:szCs w:val="24"/>
        </w:rPr>
        <w:tab/>
      </w:r>
      <w:r>
        <w:rPr>
          <w:szCs w:val="24"/>
          <w:lang w:val="es-ES_tradnl"/>
        </w:rPr>
        <w:t xml:space="preserve">En 2000 se creó el Consejo Nacional de Cinematografía con arreglo a la </w:t>
      </w:r>
      <w:r>
        <w:rPr>
          <w:i/>
          <w:szCs w:val="24"/>
          <w:lang w:val="es-ES_tradnl"/>
        </w:rPr>
        <w:t xml:space="preserve">Ley del Cine </w:t>
      </w:r>
      <w:r>
        <w:rPr>
          <w:szCs w:val="24"/>
          <w:lang w:val="es-ES_tradnl"/>
        </w:rPr>
        <w:t>de 5759/1999, aprobada el 10 de enero de 1999. El objetivo del Consejo es fomentar la industria cinematográfica israelí, mediante la promoción de la libertad creativa y de expresión de la variedad cultural de la sociedad israelí.</w:t>
      </w:r>
      <w:r>
        <w:rPr>
          <w:szCs w:val="24"/>
        </w:rPr>
        <w:t xml:space="preserve"> </w:t>
      </w:r>
      <w:r>
        <w:rPr>
          <w:szCs w:val="24"/>
          <w:lang w:val="es-ES_tradnl"/>
        </w:rPr>
        <w:t>Las funciones del consejo son de asesoramiento al Ministro de Ciencia, Cultura y Deportes en todas las cuestiones pertinentes relacionadas con la industria del cine, incluida la definición de criterios de ayudas económicas para las instituciones dedicadas a fomentar y promover la creación, producción y distribución de películas israelíes, así como la cooperación internacional.</w:t>
      </w:r>
    </w:p>
    <w:p w:rsidR="00F92819" w:rsidRDefault="00F92819">
      <w:pPr>
        <w:pStyle w:val="H23G"/>
        <w:rPr>
          <w:szCs w:val="24"/>
        </w:rPr>
      </w:pPr>
      <w:r>
        <w:rPr>
          <w:szCs w:val="24"/>
        </w:rPr>
        <w:tab/>
      </w:r>
      <w:r>
        <w:rPr>
          <w:szCs w:val="24"/>
        </w:rPr>
        <w:tab/>
      </w:r>
      <w:r>
        <w:rPr>
          <w:szCs w:val="24"/>
          <w:lang w:val="es-ES_tradnl"/>
        </w:rPr>
        <w:t>Identidad y patrimonio cultural</w:t>
      </w:r>
    </w:p>
    <w:p w:rsidR="00F92819" w:rsidRDefault="00F92819">
      <w:pPr>
        <w:pStyle w:val="H4G"/>
        <w:rPr>
          <w:szCs w:val="24"/>
        </w:rPr>
      </w:pPr>
      <w:r>
        <w:rPr>
          <w:szCs w:val="24"/>
        </w:rPr>
        <w:tab/>
      </w:r>
      <w:r>
        <w:rPr>
          <w:szCs w:val="24"/>
        </w:rPr>
        <w:tab/>
      </w:r>
      <w:r>
        <w:rPr>
          <w:szCs w:val="24"/>
          <w:lang w:val="es-ES_tradnl"/>
        </w:rPr>
        <w:t>Patrimonio judío</w:t>
      </w:r>
    </w:p>
    <w:p w:rsidR="00F92819" w:rsidRDefault="00F92819">
      <w:pPr>
        <w:pStyle w:val="SingleTxtG"/>
        <w:rPr>
          <w:szCs w:val="24"/>
        </w:rPr>
      </w:pPr>
      <w:r>
        <w:rPr>
          <w:szCs w:val="24"/>
        </w:rPr>
        <w:t>630.</w:t>
      </w:r>
      <w:r>
        <w:rPr>
          <w:szCs w:val="24"/>
        </w:rPr>
        <w:tab/>
      </w:r>
      <w:r>
        <w:rPr>
          <w:szCs w:val="24"/>
          <w:lang w:val="es-ES_tradnl"/>
        </w:rPr>
        <w:t>En enero de 2007 el Knesset aprobó la creación de dos autoridades del patrimonio nacional, para el patrimonio de la comunidad judía de Bukhara y para el patrimonio de la comunidad judía de Libia.</w:t>
      </w:r>
      <w:r>
        <w:rPr>
          <w:szCs w:val="24"/>
        </w:rPr>
        <w:t xml:space="preserve"> </w:t>
      </w:r>
      <w:r>
        <w:rPr>
          <w:szCs w:val="24"/>
          <w:lang w:val="es-ES_tradnl"/>
        </w:rPr>
        <w:t xml:space="preserve">Cada una de estas autoridades del patrimonio tiene el mandato de conservar la cultura heredada de su comunidad, investigarla y documentarla (la </w:t>
      </w:r>
      <w:r>
        <w:rPr>
          <w:i/>
          <w:szCs w:val="24"/>
          <w:lang w:val="es-ES_tradnl"/>
        </w:rPr>
        <w:t xml:space="preserve">Ley de </w:t>
      </w:r>
      <w:smartTag w:uri="urn:schemas-microsoft-com:office:smarttags" w:element="PersonName">
        <w:smartTagPr>
          <w:attr w:name="ProductID" w:val="la Direcci￳n Nacional"/>
        </w:smartTagPr>
        <w:r>
          <w:rPr>
            <w:i/>
            <w:szCs w:val="24"/>
            <w:lang w:val="es-ES_tradnl"/>
          </w:rPr>
          <w:t>la Dirección Nacional</w:t>
        </w:r>
      </w:smartTag>
      <w:r>
        <w:rPr>
          <w:i/>
          <w:szCs w:val="24"/>
          <w:lang w:val="es-ES_tradnl"/>
        </w:rPr>
        <w:t xml:space="preserve"> para el Patrimonio Cultura de </w:t>
      </w:r>
      <w:smartTag w:uri="urn:schemas-microsoft-com:office:smarttags" w:element="PersonName">
        <w:smartTagPr>
          <w:attr w:name="ProductID" w:val="la Comunidad Jud￭a"/>
        </w:smartTagPr>
        <w:r>
          <w:rPr>
            <w:i/>
            <w:szCs w:val="24"/>
            <w:lang w:val="es-ES_tradnl"/>
          </w:rPr>
          <w:t>la Comunidad Judía</w:t>
        </w:r>
      </w:smartTag>
      <w:r>
        <w:rPr>
          <w:i/>
          <w:szCs w:val="24"/>
          <w:lang w:val="es-ES_tradnl"/>
        </w:rPr>
        <w:t xml:space="preserve"> de Bukhara </w:t>
      </w:r>
      <w:r>
        <w:rPr>
          <w:szCs w:val="24"/>
          <w:lang w:val="es-ES_tradnl"/>
        </w:rPr>
        <w:t xml:space="preserve">de 5767/2007 y la </w:t>
      </w:r>
      <w:r>
        <w:rPr>
          <w:i/>
          <w:szCs w:val="24"/>
          <w:lang w:val="es-ES_tradnl"/>
        </w:rPr>
        <w:t xml:space="preserve">Ley de </w:t>
      </w:r>
      <w:smartTag w:uri="urn:schemas-microsoft-com:office:smarttags" w:element="PersonName">
        <w:smartTagPr>
          <w:attr w:name="ProductID" w:val="la Direcci￳n Nacional"/>
        </w:smartTagPr>
        <w:r>
          <w:rPr>
            <w:i/>
            <w:szCs w:val="24"/>
            <w:lang w:val="es-ES_tradnl"/>
          </w:rPr>
          <w:t>la Dirección Nacional</w:t>
        </w:r>
      </w:smartTag>
      <w:r>
        <w:rPr>
          <w:i/>
          <w:szCs w:val="24"/>
          <w:lang w:val="es-ES_tradnl"/>
        </w:rPr>
        <w:t xml:space="preserve"> para el Patrimonio Cultural de </w:t>
      </w:r>
      <w:smartTag w:uri="urn:schemas-microsoft-com:office:smarttags" w:element="PersonName">
        <w:smartTagPr>
          <w:attr w:name="ProductID" w:val="la Comunidad Jud￭a"/>
        </w:smartTagPr>
        <w:r>
          <w:rPr>
            <w:i/>
            <w:szCs w:val="24"/>
            <w:lang w:val="es-ES_tradnl"/>
          </w:rPr>
          <w:t>la Comunidad Judía</w:t>
        </w:r>
      </w:smartTag>
      <w:r>
        <w:rPr>
          <w:i/>
          <w:szCs w:val="24"/>
          <w:lang w:val="es-ES_tradnl"/>
        </w:rPr>
        <w:t xml:space="preserve"> de Libia </w:t>
      </w:r>
      <w:r>
        <w:rPr>
          <w:szCs w:val="24"/>
          <w:lang w:val="es-ES_tradnl"/>
        </w:rPr>
        <w:t>de 5767/2007).</w:t>
      </w:r>
    </w:p>
    <w:p w:rsidR="00F92819" w:rsidRDefault="00F92819">
      <w:pPr>
        <w:pStyle w:val="SingleTxtG"/>
        <w:rPr>
          <w:szCs w:val="24"/>
        </w:rPr>
      </w:pPr>
      <w:r>
        <w:rPr>
          <w:szCs w:val="24"/>
        </w:rPr>
        <w:t>631.</w:t>
      </w:r>
      <w:r>
        <w:rPr>
          <w:szCs w:val="24"/>
        </w:rPr>
        <w:tab/>
      </w:r>
      <w:r>
        <w:rPr>
          <w:szCs w:val="24"/>
          <w:lang w:val="es-ES_tradnl"/>
        </w:rPr>
        <w:t xml:space="preserve">El 6 de diciembre de 2005 el Knesset sancionó la </w:t>
      </w:r>
      <w:r>
        <w:rPr>
          <w:i/>
          <w:szCs w:val="24"/>
          <w:lang w:val="es-ES_tradnl"/>
        </w:rPr>
        <w:t>Ley del Museo de la Diáspora</w:t>
      </w:r>
      <w:r>
        <w:rPr>
          <w:szCs w:val="24"/>
          <w:lang w:val="es-ES_tradnl"/>
        </w:rPr>
        <w:t xml:space="preserve"> de 5765/2005 que reconocía el Museo de la Diáspora de Tel Aviv como el centro nacional para las comunidades de Israel y del extranjero, y para asegurar su existencia.</w:t>
      </w:r>
      <w:r>
        <w:rPr>
          <w:szCs w:val="24"/>
        </w:rPr>
        <w:t xml:space="preserve"> </w:t>
      </w:r>
      <w:r>
        <w:rPr>
          <w:szCs w:val="24"/>
          <w:lang w:val="es-ES_tradnl"/>
        </w:rPr>
        <w:t>De conformidad con la Ley, las funciones y responsabilidades del Museo de la Diáspora son presentar elementos relacionados con las comunidades israelíes y con la historia del pueblo judío, investigar y aunar el conocimiento sobre cuestiones relacionadas con el pueblo judío.</w:t>
      </w:r>
      <w:r>
        <w:rPr>
          <w:szCs w:val="24"/>
        </w:rPr>
        <w:t xml:space="preserve"> </w:t>
      </w:r>
      <w:r>
        <w:rPr>
          <w:szCs w:val="24"/>
          <w:lang w:val="es-ES_tradnl"/>
        </w:rPr>
        <w:t>Además, entre sus funciones está la creación de una reserva de árboles genealógicos y nombres de familias judías del mundo y crear una base de datos de comunidades judías en el mundo y su historia.</w:t>
      </w:r>
      <w:r>
        <w:rPr>
          <w:szCs w:val="24"/>
        </w:rPr>
        <w:t xml:space="preserve"> </w:t>
      </w:r>
      <w:r>
        <w:rPr>
          <w:szCs w:val="24"/>
          <w:lang w:val="es-ES_tradnl"/>
        </w:rPr>
        <w:t>El Ministerio de Educación, Cultura y Deportes se encarga de la ejecución de esta ley y el Estado participará en la financiación del Museo de la Diáspora.</w:t>
      </w:r>
    </w:p>
    <w:p w:rsidR="00F92819" w:rsidRDefault="00F92819">
      <w:pPr>
        <w:pStyle w:val="SingleTxtG"/>
        <w:rPr>
          <w:szCs w:val="24"/>
        </w:rPr>
      </w:pPr>
      <w:r>
        <w:rPr>
          <w:szCs w:val="24"/>
        </w:rPr>
        <w:t>632.</w:t>
      </w:r>
      <w:r>
        <w:rPr>
          <w:szCs w:val="24"/>
        </w:rPr>
        <w:tab/>
      </w:r>
      <w:r>
        <w:rPr>
          <w:szCs w:val="24"/>
          <w:lang w:val="es-ES_tradnl"/>
        </w:rPr>
        <w:t xml:space="preserve">La </w:t>
      </w:r>
      <w:r>
        <w:rPr>
          <w:i/>
          <w:szCs w:val="24"/>
          <w:lang w:val="es-ES_tradnl"/>
        </w:rPr>
        <w:t>Ley del Consejo para la Conmemoración del Patrimonio Sefardí y Oriental</w:t>
      </w:r>
      <w:r>
        <w:rPr>
          <w:szCs w:val="24"/>
          <w:lang w:val="es-ES_tradnl"/>
        </w:rPr>
        <w:t xml:space="preserve"> de 5762/2002 se aprobó el 13 de noviembre de 2002. De conformidad con la Ley, el Ministro de Ciencia, Cultura y Deportes y el Ministro de Asuntos Religiosos nombrarán el Consejo para la Conmemoración del Patrimonio Sefardí y Oriental para asesorar a los Ministros sobre la promoción, ayuda y fomento de actividades relacionadas con el patrimonio de los judíos españoles.</w:t>
      </w:r>
    </w:p>
    <w:p w:rsidR="00F92819" w:rsidRDefault="00F92819">
      <w:pPr>
        <w:pStyle w:val="H4G"/>
        <w:rPr>
          <w:szCs w:val="24"/>
        </w:rPr>
      </w:pPr>
      <w:r>
        <w:rPr>
          <w:szCs w:val="24"/>
        </w:rPr>
        <w:tab/>
      </w:r>
      <w:r>
        <w:rPr>
          <w:szCs w:val="24"/>
        </w:rPr>
        <w:tab/>
      </w:r>
      <w:r>
        <w:rPr>
          <w:szCs w:val="24"/>
          <w:lang w:val="es-ES_tradnl"/>
        </w:rPr>
        <w:t>Patrimonio druso</w:t>
      </w:r>
    </w:p>
    <w:p w:rsidR="00F92819" w:rsidRDefault="00F92819">
      <w:pPr>
        <w:pStyle w:val="SingleTxtG"/>
        <w:rPr>
          <w:szCs w:val="24"/>
        </w:rPr>
      </w:pPr>
      <w:r>
        <w:rPr>
          <w:szCs w:val="24"/>
        </w:rPr>
        <w:t>633.</w:t>
      </w:r>
      <w:r>
        <w:rPr>
          <w:szCs w:val="24"/>
        </w:rPr>
        <w:tab/>
      </w:r>
      <w:r>
        <w:rPr>
          <w:szCs w:val="24"/>
          <w:lang w:val="es-ES_tradnl"/>
        </w:rPr>
        <w:t xml:space="preserve">El 4 de junio de 2007 el Knesset sancionó la </w:t>
      </w:r>
      <w:r>
        <w:rPr>
          <w:i/>
          <w:szCs w:val="24"/>
          <w:lang w:val="es-ES_tradnl"/>
        </w:rPr>
        <w:t xml:space="preserve">Ley del Centro del Patrimonio Cultural Druso </w:t>
      </w:r>
      <w:r>
        <w:rPr>
          <w:szCs w:val="24"/>
          <w:lang w:val="es-ES_tradnl"/>
        </w:rPr>
        <w:t>de 5767/2007, cuya finalidad es facilitar la creación de un Centro del Patrimonio Cultural Druso en Israel.</w:t>
      </w:r>
      <w:r>
        <w:rPr>
          <w:szCs w:val="24"/>
        </w:rPr>
        <w:t xml:space="preserve"> </w:t>
      </w:r>
      <w:r>
        <w:rPr>
          <w:szCs w:val="24"/>
          <w:lang w:val="es-ES_tradnl"/>
        </w:rPr>
        <w:t>De conformidad con la Ley, el Gobierno destinará el presupuesto necesario para la fundación, funcionamiento y mantenimiento del Centro,</w:t>
      </w:r>
      <w:r>
        <w:rPr>
          <w:szCs w:val="24"/>
        </w:rPr>
        <w:t xml:space="preserve"> </w:t>
      </w:r>
      <w:r>
        <w:rPr>
          <w:szCs w:val="24"/>
          <w:lang w:val="es-ES_tradnl"/>
        </w:rPr>
        <w:t>que contará con un instituto de investigación, un museo y un archivo del patrimonio, cultura e historia del pueblo druso. El Centro desarrollará y promoverá actividades de investigación y programas educativos, entre otras, visitas, charlas, conferencias y exposiciones encaminadas al desarrollo, enriquecimiento y promoción del conocimiento relacionado con los distintos aspectos de la cultura, historia y patrimonio del pueblo druso.</w:t>
      </w:r>
    </w:p>
    <w:p w:rsidR="00F92819" w:rsidRDefault="00F92819">
      <w:pPr>
        <w:pStyle w:val="H23G"/>
        <w:rPr>
          <w:szCs w:val="24"/>
          <w:rtl/>
        </w:rPr>
      </w:pPr>
      <w:r>
        <w:rPr>
          <w:szCs w:val="24"/>
        </w:rPr>
        <w:tab/>
      </w:r>
      <w:r>
        <w:rPr>
          <w:szCs w:val="24"/>
        </w:rPr>
        <w:tab/>
      </w:r>
      <w:r>
        <w:rPr>
          <w:szCs w:val="24"/>
          <w:lang w:val="es-ES_tradnl"/>
        </w:rPr>
        <w:t>Papel de los medios de comunicación de masas en la promoción de la participación en la vida cultural.</w:t>
      </w:r>
    </w:p>
    <w:p w:rsidR="00F92819" w:rsidRDefault="00F92819">
      <w:pPr>
        <w:pStyle w:val="SingleTxtG"/>
        <w:rPr>
          <w:szCs w:val="24"/>
        </w:rPr>
      </w:pPr>
      <w:r>
        <w:rPr>
          <w:szCs w:val="24"/>
        </w:rPr>
        <w:t>634.</w:t>
      </w:r>
      <w:r>
        <w:rPr>
          <w:szCs w:val="24"/>
        </w:rPr>
        <w:tab/>
      </w:r>
      <w:r>
        <w:rPr>
          <w:szCs w:val="24"/>
          <w:lang w:val="es-ES_tradnl"/>
        </w:rPr>
        <w:t>Los avances sobre la accesibilidad de las personas con discapacidad a las emisiones de televisión se detallan en el artículo 2 anterior.</w:t>
      </w:r>
    </w:p>
    <w:p w:rsidR="00F92819" w:rsidRDefault="00F92819">
      <w:pPr>
        <w:pStyle w:val="SingleTxtG"/>
        <w:rPr>
          <w:szCs w:val="24"/>
        </w:rPr>
      </w:pPr>
      <w:r>
        <w:rPr>
          <w:szCs w:val="24"/>
        </w:rPr>
        <w:t>635.</w:t>
      </w:r>
      <w:r>
        <w:rPr>
          <w:szCs w:val="24"/>
        </w:rPr>
        <w:tab/>
      </w:r>
      <w:r>
        <w:rPr>
          <w:szCs w:val="24"/>
          <w:lang w:val="es-ES_tradnl"/>
        </w:rPr>
        <w:t>El Consejo para la Transmisión de Televisión por Cable y por Satélite es un consejo público establecido en virtud de la</w:t>
      </w:r>
      <w:r>
        <w:rPr>
          <w:i/>
          <w:szCs w:val="24"/>
          <w:lang w:val="es-ES_tradnl"/>
        </w:rPr>
        <w:t xml:space="preserve"> Ley de telecomunicaciones</w:t>
      </w:r>
      <w:r>
        <w:rPr>
          <w:szCs w:val="24"/>
          <w:lang w:val="es-ES_tradnl"/>
        </w:rPr>
        <w:t>.</w:t>
      </w:r>
      <w:r>
        <w:rPr>
          <w:szCs w:val="24"/>
        </w:rPr>
        <w:t xml:space="preserve"> </w:t>
      </w:r>
      <w:r>
        <w:rPr>
          <w:szCs w:val="24"/>
          <w:lang w:val="es-ES_tradnl"/>
        </w:rPr>
        <w:t>Su cometido principal es regular la suscripción a múltiples canales de televisión israelí por cable y por satélite representando, protegiendo y promoviendo los intereses públicos en este ámbito,</w:t>
      </w:r>
      <w:r>
        <w:rPr>
          <w:szCs w:val="24"/>
        </w:rPr>
        <w:t xml:space="preserve"> </w:t>
      </w:r>
      <w:r>
        <w:rPr>
          <w:szCs w:val="24"/>
          <w:lang w:val="es-ES_tradnl"/>
        </w:rPr>
        <w:t>que son, entre otros, asegurar la máxima diversidad y pluralismo de las emisoras y los contenidos que ofrecen; mejorar las tecnologías y servicios; mejorar la oferta de contenidos y la libertad de elección de los abonados; desarrollar y producir contenidos originales israelíes; reducir precios, etc.</w:t>
      </w:r>
    </w:p>
    <w:p w:rsidR="00F92819" w:rsidRDefault="00F92819">
      <w:pPr>
        <w:pStyle w:val="SingleTxtG"/>
        <w:rPr>
          <w:szCs w:val="24"/>
        </w:rPr>
      </w:pPr>
      <w:r>
        <w:rPr>
          <w:szCs w:val="24"/>
        </w:rPr>
        <w:t>636.</w:t>
      </w:r>
      <w:r>
        <w:rPr>
          <w:szCs w:val="24"/>
        </w:rPr>
        <w:tab/>
      </w:r>
      <w:r>
        <w:rPr>
          <w:szCs w:val="24"/>
          <w:lang w:val="es-ES_tradnl"/>
        </w:rPr>
        <w:t>La realización de estos objetivos fomenta a su vez la participación en la vida cultural local y la exposición a la vida cultural extranjera de todos los ciudadanos israelíes abonados a múltiples canales de televisión. En el período 2001</w:t>
      </w:r>
      <w:r w:rsidR="008C04D7">
        <w:rPr>
          <w:szCs w:val="24"/>
          <w:lang w:val="es-ES_tradnl"/>
        </w:rPr>
        <w:t>-</w:t>
      </w:r>
      <w:r>
        <w:rPr>
          <w:szCs w:val="24"/>
          <w:lang w:val="es-ES_tradnl"/>
        </w:rPr>
        <w:t>2007 han constituido una media de aproximadamente el 80% al 85% de los hogares israelíes.</w:t>
      </w:r>
    </w:p>
    <w:p w:rsidR="00F92819" w:rsidRDefault="00F92819">
      <w:pPr>
        <w:pStyle w:val="H4G"/>
        <w:rPr>
          <w:szCs w:val="24"/>
        </w:rPr>
      </w:pPr>
      <w:r>
        <w:rPr>
          <w:szCs w:val="24"/>
        </w:rPr>
        <w:tab/>
      </w:r>
      <w:r>
        <w:rPr>
          <w:szCs w:val="24"/>
        </w:rPr>
        <w:tab/>
      </w:r>
      <w:r>
        <w:rPr>
          <w:szCs w:val="24"/>
          <w:lang w:val="es-ES_tradnl"/>
        </w:rPr>
        <w:t>Desarrollo y producción de contenidos originales israelíes</w:t>
      </w:r>
    </w:p>
    <w:p w:rsidR="00F92819" w:rsidRDefault="00F92819">
      <w:pPr>
        <w:pStyle w:val="SingleTxtG"/>
        <w:rPr>
          <w:szCs w:val="24"/>
        </w:rPr>
      </w:pPr>
      <w:r>
        <w:rPr>
          <w:szCs w:val="24"/>
        </w:rPr>
        <w:t>637.</w:t>
      </w:r>
      <w:r>
        <w:rPr>
          <w:szCs w:val="24"/>
        </w:rPr>
        <w:tab/>
      </w:r>
      <w:r>
        <w:rPr>
          <w:szCs w:val="24"/>
          <w:lang w:val="es-ES_tradnl"/>
        </w:rPr>
        <w:t>El Consejo para la Transmisión de Televisión por Cable y por Satélite es responsable de asegurar que las empresas adjudicatarias de televisión por cable y por satélite inviertan entre el 8% y el 12% de sus ingresos anuales en la producción de contenidos originales israelíes de diversos géneros, y decidir y declarar los requisitos concretos para el cumplimiento de esta obligación.</w:t>
      </w:r>
    </w:p>
    <w:p w:rsidR="00F92819" w:rsidRDefault="00F92819">
      <w:pPr>
        <w:pStyle w:val="SingleTxtG"/>
        <w:rPr>
          <w:szCs w:val="24"/>
        </w:rPr>
      </w:pPr>
      <w:r>
        <w:rPr>
          <w:szCs w:val="24"/>
        </w:rPr>
        <w:t>638.</w:t>
      </w:r>
      <w:r>
        <w:rPr>
          <w:szCs w:val="24"/>
        </w:rPr>
        <w:tab/>
      </w:r>
      <w:r>
        <w:rPr>
          <w:szCs w:val="24"/>
          <w:lang w:val="es-ES_tradnl"/>
        </w:rPr>
        <w:t>En años anteriores, las adjudicatarias habían invertido cantidades considerables en la producción de contenidos originales israelíes:</w:t>
      </w:r>
      <w:r>
        <w:rPr>
          <w:szCs w:val="24"/>
        </w:rPr>
        <w:t xml:space="preserve"> </w:t>
      </w:r>
      <w:r>
        <w:rPr>
          <w:szCs w:val="24"/>
          <w:lang w:val="es-ES_tradnl"/>
        </w:rPr>
        <w:t>en 2003, 198.338.624 nuevos sheqalim (53.605.033 dólares de los EE.UU.); en 2004, 245.947.713 nuevos sheqalim (66.472.354 dólares de los EE.UU.); en 2005, 248.615.342 nuevos sheqalim (67.193.335); y en 2006, 237.326.932 nuevos sheqalim (64.142.414 dólares de los EE.UU.).</w:t>
      </w:r>
    </w:p>
    <w:p w:rsidR="00F92819" w:rsidRDefault="00F92819">
      <w:pPr>
        <w:pStyle w:val="SingleTxtG"/>
        <w:rPr>
          <w:szCs w:val="24"/>
        </w:rPr>
      </w:pPr>
      <w:r>
        <w:rPr>
          <w:szCs w:val="24"/>
        </w:rPr>
        <w:t>639.</w:t>
      </w:r>
      <w:r>
        <w:rPr>
          <w:szCs w:val="24"/>
        </w:rPr>
        <w:tab/>
      </w:r>
      <w:r>
        <w:rPr>
          <w:szCs w:val="24"/>
          <w:lang w:val="es-ES_tradnl"/>
        </w:rPr>
        <w:t xml:space="preserve">El desarrollo de la industria de producción local ha ampliado y sigue ampliando el conjunto de posibilidades de expresión de la multitud de culturas, gustos y opiniones del público israelí, enriquece la cultura israelí, permite una variada representación de cuestiones de actualidad y fortalece la comprensión de la lengua hebrea moderna, y también ofrece emisiones en otras lenguas generalizadas en Israel como el árabe, el ruso y el amhárico. </w:t>
      </w:r>
    </w:p>
    <w:p w:rsidR="00F92819" w:rsidRDefault="00F92819">
      <w:pPr>
        <w:pStyle w:val="SingleTxtG"/>
        <w:rPr>
          <w:szCs w:val="24"/>
        </w:rPr>
      </w:pPr>
      <w:r>
        <w:rPr>
          <w:szCs w:val="24"/>
        </w:rPr>
        <w:t>640.</w:t>
      </w:r>
      <w:r>
        <w:rPr>
          <w:szCs w:val="24"/>
        </w:rPr>
        <w:tab/>
      </w:r>
      <w:r>
        <w:rPr>
          <w:szCs w:val="24"/>
          <w:lang w:val="es-ES_tradnl"/>
        </w:rPr>
        <w:t>Además, el desarrollo de la industria de producción local crea multitud de nuevos puestos de trabajo para israelíes, mediante la ampliación y desarrollo de las esferas profesionales existentes, tales como producción, redacción, dirección, interpretación, fotografía, tecnología, etc. Otro valor añadido de esta actividad es la promoción de la creación israelí y, por consiguiente, de la cultura, estilo de vida y economía de Israel en el extranjero. En varios países se venden películas y programas israelíes a otras empresas de difusión, con éxito en festivales internacionales, como ha sucedido con bastante frecuencia en los últimos años.</w:t>
      </w:r>
    </w:p>
    <w:p w:rsidR="00F92819" w:rsidRDefault="00F92819">
      <w:pPr>
        <w:pStyle w:val="H4G"/>
        <w:rPr>
          <w:szCs w:val="24"/>
        </w:rPr>
      </w:pPr>
      <w:r>
        <w:rPr>
          <w:szCs w:val="24"/>
        </w:rPr>
        <w:tab/>
      </w:r>
      <w:r>
        <w:rPr>
          <w:szCs w:val="24"/>
        </w:rPr>
        <w:tab/>
      </w:r>
      <w:r>
        <w:rPr>
          <w:szCs w:val="24"/>
          <w:lang w:val="es-ES_tradnl"/>
        </w:rPr>
        <w:t>Creación y concesión de licencias de emisión para canales designados</w:t>
      </w:r>
    </w:p>
    <w:p w:rsidR="00F92819" w:rsidRDefault="00F92819">
      <w:pPr>
        <w:pStyle w:val="SingleTxtG"/>
        <w:rPr>
          <w:szCs w:val="24"/>
        </w:rPr>
      </w:pPr>
      <w:r>
        <w:rPr>
          <w:szCs w:val="24"/>
        </w:rPr>
        <w:t>641.</w:t>
      </w:r>
      <w:r>
        <w:rPr>
          <w:szCs w:val="24"/>
        </w:rPr>
        <w:tab/>
      </w:r>
      <w:r>
        <w:rPr>
          <w:szCs w:val="24"/>
          <w:lang w:val="es-ES_tradnl"/>
        </w:rPr>
        <w:t>El Consejo para la Transmisión de Televisión por Cable y por Satélite ha concedido licencias de canales designadas para un canal de habla rusa y un canal de música israelí.</w:t>
      </w:r>
      <w:r>
        <w:rPr>
          <w:szCs w:val="24"/>
        </w:rPr>
        <w:t xml:space="preserve"> </w:t>
      </w:r>
      <w:r>
        <w:rPr>
          <w:szCs w:val="24"/>
          <w:lang w:val="es-ES_tradnl"/>
        </w:rPr>
        <w:t>Estos canales se financian mediante publicidad (al contrario que los canales de televisión multicanal, que se financian mediante las cuotas de los abonados).</w:t>
      </w:r>
      <w:r>
        <w:rPr>
          <w:szCs w:val="24"/>
        </w:rPr>
        <w:t xml:space="preserve"> </w:t>
      </w:r>
      <w:r>
        <w:rPr>
          <w:szCs w:val="24"/>
          <w:lang w:val="es-ES_tradnl"/>
        </w:rPr>
        <w:t>Cada canal es único y tiene unas determinadas características propias, concebidas para permitir la expresión de un conjunto de individualidades culturales específicas de la sociedad israelí.</w:t>
      </w:r>
      <w:r>
        <w:rPr>
          <w:szCs w:val="24"/>
        </w:rPr>
        <w:t xml:space="preserve"> </w:t>
      </w:r>
      <w:r>
        <w:rPr>
          <w:szCs w:val="24"/>
          <w:lang w:val="es-ES_tradnl"/>
        </w:rPr>
        <w:t>Por tanto, la producción y emisión de estos canales guarda un importante significado nacional y democrático. En 2008 el Consejo decidió volver a publicar las licitaciones anteriores que aún no se habían materializado, para un canal israelí de habla árabe y un canal sobre tradición judía.</w:t>
      </w:r>
    </w:p>
    <w:p w:rsidR="00F92819" w:rsidRDefault="00F92819">
      <w:pPr>
        <w:pStyle w:val="H4G"/>
        <w:rPr>
          <w:szCs w:val="24"/>
        </w:rPr>
      </w:pPr>
      <w:r>
        <w:rPr>
          <w:szCs w:val="24"/>
        </w:rPr>
        <w:tab/>
      </w:r>
      <w:r>
        <w:rPr>
          <w:szCs w:val="24"/>
        </w:rPr>
        <w:tab/>
      </w:r>
      <w:r>
        <w:rPr>
          <w:szCs w:val="24"/>
          <w:lang w:val="es-ES_tradnl"/>
        </w:rPr>
        <w:t>Emisiones de televisión comunitaria</w:t>
      </w:r>
    </w:p>
    <w:p w:rsidR="00F92819" w:rsidRDefault="00F92819">
      <w:pPr>
        <w:pStyle w:val="SingleTxtG"/>
        <w:rPr>
          <w:szCs w:val="24"/>
        </w:rPr>
      </w:pPr>
      <w:r>
        <w:rPr>
          <w:szCs w:val="24"/>
        </w:rPr>
        <w:t>642.</w:t>
      </w:r>
      <w:r>
        <w:rPr>
          <w:szCs w:val="24"/>
        </w:rPr>
        <w:tab/>
      </w:r>
      <w:r>
        <w:rPr>
          <w:szCs w:val="24"/>
          <w:lang w:val="es-ES_tradnl"/>
        </w:rPr>
        <w:t>El Consejo para la Transmisión de Televisión por Cable y por Satélite promueve, regula y apoya la emisión de programación comunitaria, producida principalmente por voluntarios de varias comunidades locales, entre otras, centros comunitarios, personas de edad, nuevos inmigrantes, varios grupos religiosos, grupos independientes, etc.</w:t>
      </w:r>
    </w:p>
    <w:p w:rsidR="00F92819" w:rsidRDefault="00F92819">
      <w:pPr>
        <w:pStyle w:val="SingleTxtG"/>
        <w:rPr>
          <w:szCs w:val="24"/>
        </w:rPr>
      </w:pPr>
      <w:r>
        <w:rPr>
          <w:szCs w:val="24"/>
        </w:rPr>
        <w:t>643.</w:t>
      </w:r>
      <w:r>
        <w:rPr>
          <w:szCs w:val="24"/>
        </w:rPr>
        <w:tab/>
      </w:r>
      <w:r>
        <w:rPr>
          <w:szCs w:val="24"/>
          <w:lang w:val="es-ES_tradnl"/>
        </w:rPr>
        <w:t>Las emisiones permiten a los participantes y a las comunidades expresarse en pantalla y mostrar sus intereses, actividades y talentos, y de ese modo participar en la vida cultural. También permiten al público en general familiarizarse con estas comunidades, incluidos sus problemas y éxitos, que de otro modo no tendrían repercusión pública.</w:t>
      </w:r>
    </w:p>
    <w:p w:rsidR="00F92819" w:rsidRDefault="00F92819">
      <w:pPr>
        <w:pStyle w:val="H4G"/>
        <w:rPr>
          <w:szCs w:val="24"/>
        </w:rPr>
      </w:pPr>
      <w:r>
        <w:rPr>
          <w:szCs w:val="24"/>
        </w:rPr>
        <w:tab/>
      </w:r>
      <w:r>
        <w:rPr>
          <w:szCs w:val="24"/>
        </w:rPr>
        <w:tab/>
      </w:r>
      <w:r>
        <w:rPr>
          <w:szCs w:val="24"/>
          <w:lang w:val="es-ES_tradnl"/>
        </w:rPr>
        <w:t>Autorización de emisiones de canales de televisión extranjeros</w:t>
      </w:r>
    </w:p>
    <w:p w:rsidR="00F92819" w:rsidRDefault="00F92819">
      <w:pPr>
        <w:pStyle w:val="SingleTxtG"/>
        <w:rPr>
          <w:szCs w:val="24"/>
        </w:rPr>
      </w:pPr>
      <w:r>
        <w:rPr>
          <w:szCs w:val="24"/>
        </w:rPr>
        <w:t>644.</w:t>
      </w:r>
      <w:r>
        <w:rPr>
          <w:szCs w:val="24"/>
        </w:rPr>
        <w:tab/>
      </w:r>
      <w:r>
        <w:rPr>
          <w:szCs w:val="24"/>
          <w:lang w:val="es-ES_tradnl"/>
        </w:rPr>
        <w:t>La oferta de canales de televisión extranjeros para la audiencia israelí contaba con unos 50 canales en el año 2002. Entre los años 2002 y 2007, se autorizó la difusión de otros 40 canales extranjeros.</w:t>
      </w:r>
    </w:p>
    <w:p w:rsidR="00F92819" w:rsidRDefault="00F92819">
      <w:pPr>
        <w:pStyle w:val="H23G"/>
        <w:rPr>
          <w:szCs w:val="24"/>
        </w:rPr>
      </w:pPr>
      <w:r>
        <w:rPr>
          <w:szCs w:val="24"/>
        </w:rPr>
        <w:tab/>
      </w:r>
      <w:r>
        <w:rPr>
          <w:szCs w:val="24"/>
        </w:rPr>
        <w:tab/>
      </w:r>
      <w:r>
        <w:rPr>
          <w:szCs w:val="24"/>
          <w:lang w:val="es-ES_tradnl"/>
        </w:rPr>
        <w:t>Protección del niño</w:t>
      </w:r>
    </w:p>
    <w:p w:rsidR="00F92819" w:rsidRDefault="00F92819">
      <w:pPr>
        <w:pStyle w:val="SingleTxtG"/>
        <w:rPr>
          <w:szCs w:val="24"/>
        </w:rPr>
      </w:pPr>
      <w:r>
        <w:rPr>
          <w:szCs w:val="24"/>
        </w:rPr>
        <w:t>645.</w:t>
      </w:r>
      <w:r>
        <w:rPr>
          <w:szCs w:val="24"/>
        </w:rPr>
        <w:tab/>
      </w:r>
      <w:r>
        <w:rPr>
          <w:szCs w:val="24"/>
          <w:lang w:val="es-ES_tradnl"/>
        </w:rPr>
        <w:t xml:space="preserve">En 2001 el Knesset aprobó la </w:t>
      </w:r>
      <w:r>
        <w:rPr>
          <w:i/>
          <w:szCs w:val="24"/>
          <w:lang w:val="es-ES_tradnl"/>
        </w:rPr>
        <w:t xml:space="preserve">Ley de Clasificación, Calificación y Prohibición de Emisiones Perjudiciales </w:t>
      </w:r>
      <w:r>
        <w:rPr>
          <w:szCs w:val="24"/>
          <w:lang w:val="es-ES_tradnl"/>
        </w:rPr>
        <w:t>de 5761/2001, que determinaba que las emisiones que incluyen elementos visuales, verbales o explícitos de violencia, actos sexuales o crueldad, o susciten una probable preocupación de que puedan alentar comportamientos ilícitos o el uso de drogas ilegales, se calificarán como emisiones no apropiadas para los niños menores de una edad determinada.</w:t>
      </w:r>
    </w:p>
    <w:p w:rsidR="00F92819" w:rsidRDefault="00F92819">
      <w:pPr>
        <w:pStyle w:val="SingleTxtG"/>
        <w:rPr>
          <w:szCs w:val="24"/>
        </w:rPr>
      </w:pPr>
      <w:r>
        <w:rPr>
          <w:szCs w:val="24"/>
        </w:rPr>
        <w:t>646.</w:t>
      </w:r>
      <w:r>
        <w:rPr>
          <w:szCs w:val="24"/>
        </w:rPr>
        <w:tab/>
      </w:r>
      <w:r>
        <w:rPr>
          <w:szCs w:val="24"/>
          <w:lang w:val="es-ES_tradnl"/>
        </w:rPr>
        <w:t>La Ley hace distinción entre 3 categorías de calificación, según su esencia:</w:t>
      </w:r>
      <w:r>
        <w:rPr>
          <w:szCs w:val="24"/>
        </w:rPr>
        <w:t xml:space="preserve"> </w:t>
      </w:r>
      <w:r>
        <w:rPr>
          <w:szCs w:val="24"/>
          <w:lang w:val="es-ES_tradnl"/>
        </w:rPr>
        <w:t>programas no adecuados para niños de menos de 8 años, 14 años y 18 años, respectivamente. El Ministerio de Comunicaciones estableció estas categorías, previa consulta con los diversos órganos competentes.</w:t>
      </w:r>
    </w:p>
    <w:p w:rsidR="00F92819" w:rsidRDefault="00F92819">
      <w:pPr>
        <w:pStyle w:val="H23G"/>
        <w:rPr>
          <w:szCs w:val="24"/>
        </w:rPr>
      </w:pPr>
      <w:r>
        <w:rPr>
          <w:szCs w:val="24"/>
        </w:rPr>
        <w:tab/>
      </w:r>
      <w:r>
        <w:rPr>
          <w:szCs w:val="24"/>
        </w:rPr>
        <w:tab/>
      </w:r>
      <w:r>
        <w:rPr>
          <w:szCs w:val="24"/>
          <w:lang w:val="es-ES_tradnl"/>
        </w:rPr>
        <w:t>Preservación y exhibición del patrimonio cultural de la humanidad</w:t>
      </w:r>
    </w:p>
    <w:p w:rsidR="00F92819" w:rsidRDefault="00F92819">
      <w:pPr>
        <w:pStyle w:val="SingleTxtG"/>
        <w:rPr>
          <w:szCs w:val="24"/>
        </w:rPr>
      </w:pPr>
      <w:r>
        <w:rPr>
          <w:szCs w:val="24"/>
        </w:rPr>
        <w:t>647.</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Libertad de creación y producción artística</w:t>
      </w:r>
    </w:p>
    <w:p w:rsidR="00F92819" w:rsidRDefault="00F92819">
      <w:pPr>
        <w:pStyle w:val="SingleTxtG"/>
        <w:rPr>
          <w:szCs w:val="24"/>
        </w:rPr>
      </w:pPr>
      <w:r>
        <w:rPr>
          <w:szCs w:val="24"/>
        </w:rPr>
        <w:t>648.</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Situación del idioma árabe</w:t>
      </w:r>
    </w:p>
    <w:p w:rsidR="00F92819" w:rsidRDefault="00F92819">
      <w:pPr>
        <w:pStyle w:val="SingleTxtG"/>
        <w:rPr>
          <w:szCs w:val="24"/>
        </w:rPr>
      </w:pPr>
      <w:r>
        <w:rPr>
          <w:szCs w:val="24"/>
        </w:rPr>
        <w:t>649.</w:t>
      </w:r>
      <w:r>
        <w:rPr>
          <w:szCs w:val="24"/>
        </w:rPr>
        <w:tab/>
      </w:r>
      <w:r>
        <w:rPr>
          <w:szCs w:val="24"/>
          <w:lang w:val="es-ES_tradnl"/>
        </w:rPr>
        <w:t xml:space="preserve">El 21 de marzo de 2007 el Knesset aprobó la </w:t>
      </w:r>
      <w:r>
        <w:rPr>
          <w:i/>
          <w:szCs w:val="24"/>
          <w:lang w:val="es-ES_tradnl"/>
        </w:rPr>
        <w:t xml:space="preserve">Ley del Instituto Superior del Idioma Árabe </w:t>
      </w:r>
      <w:r>
        <w:rPr>
          <w:szCs w:val="24"/>
          <w:lang w:val="es-ES_tradnl"/>
        </w:rPr>
        <w:t>de 5767/2007, en virtud de la cual se estableció la Academia del Idioma Árabe,</w:t>
      </w:r>
      <w:r>
        <w:rPr>
          <w:szCs w:val="24"/>
        </w:rPr>
        <w:t xml:space="preserve"> </w:t>
      </w:r>
      <w:r>
        <w:rPr>
          <w:szCs w:val="24"/>
          <w:lang w:val="es-ES_tradnl"/>
        </w:rPr>
        <w:t>entre sus funciones se encarga de investigar el idioma árabe y sus recursos culturales e históricos, promover el estudio de su terminología, gramática, vocabulario, pronunciación y transcripción.</w:t>
      </w:r>
      <w:r>
        <w:rPr>
          <w:szCs w:val="24"/>
        </w:rPr>
        <w:t xml:space="preserve"> </w:t>
      </w:r>
      <w:r>
        <w:rPr>
          <w:szCs w:val="24"/>
          <w:lang w:val="es-ES_tradnl"/>
        </w:rPr>
        <w:t>La Academia también aborda la innovación lingüística y la adaptación del idioma árabe a la realidad moderna y computadorizada.</w:t>
      </w:r>
      <w:r>
        <w:rPr>
          <w:szCs w:val="24"/>
        </w:rPr>
        <w:t xml:space="preserve"> </w:t>
      </w:r>
      <w:r>
        <w:rPr>
          <w:szCs w:val="24"/>
          <w:lang w:val="es-ES_tradnl"/>
        </w:rPr>
        <w:t>Con arreglo a la Ley, las actividades de las instituciones se financian mediante los presupuestos del Estado.</w:t>
      </w:r>
    </w:p>
    <w:p w:rsidR="00F92819" w:rsidRDefault="00F92819">
      <w:pPr>
        <w:pStyle w:val="SingleTxtG"/>
        <w:rPr>
          <w:szCs w:val="24"/>
        </w:rPr>
      </w:pPr>
      <w:r>
        <w:rPr>
          <w:szCs w:val="24"/>
        </w:rPr>
        <w:t>650.</w:t>
      </w:r>
      <w:r>
        <w:rPr>
          <w:szCs w:val="24"/>
        </w:rPr>
        <w:tab/>
      </w:r>
      <w:r>
        <w:rPr>
          <w:szCs w:val="24"/>
          <w:lang w:val="es-ES_tradnl"/>
        </w:rPr>
        <w:t xml:space="preserve">El caso H.C.J. 4112/99 </w:t>
      </w:r>
      <w:r>
        <w:rPr>
          <w:i/>
          <w:szCs w:val="24"/>
          <w:lang w:val="es-ES_tradnl"/>
        </w:rPr>
        <w:t>Adalah c. la Municipalidad de Tel Aviv et al.</w:t>
      </w:r>
      <w:r>
        <w:rPr>
          <w:szCs w:val="24"/>
        </w:rPr>
        <w:t xml:space="preserve"> </w:t>
      </w:r>
      <w:r>
        <w:rPr>
          <w:szCs w:val="24"/>
          <w:lang w:val="es-ES_tradnl"/>
        </w:rPr>
        <w:t>(25 de julio de 2002) se ocupó de la obligación de las municipalidades donde residen árabes de utilizar el idioma árabe además del hebreo en todas las señales municipales.</w:t>
      </w:r>
      <w:r>
        <w:rPr>
          <w:szCs w:val="24"/>
        </w:rPr>
        <w:t xml:space="preserve"> </w:t>
      </w:r>
      <w:r>
        <w:rPr>
          <w:szCs w:val="24"/>
          <w:lang w:val="es-ES_tradnl"/>
        </w:rPr>
        <w:t>El Tribunal Supremo determinó que en este contexto hay dos principios importantes:</w:t>
      </w:r>
      <w:r>
        <w:rPr>
          <w:szCs w:val="24"/>
        </w:rPr>
        <w:t xml:space="preserve"> </w:t>
      </w:r>
      <w:r>
        <w:rPr>
          <w:szCs w:val="24"/>
          <w:lang w:val="es-ES_tradnl"/>
        </w:rPr>
        <w:t xml:space="preserve">la protección del derecho de la persona a un idioma y el derecho a </w:t>
      </w:r>
      <w:smartTag w:uri="urn:schemas-microsoft-com:office:smarttags" w:element="PersonName">
        <w:smartTagPr>
          <w:attr w:name="ProductID" w:val="la igualdad. Esto"/>
        </w:smartTagPr>
        <w:r>
          <w:rPr>
            <w:szCs w:val="24"/>
            <w:lang w:val="es-ES_tradnl"/>
          </w:rPr>
          <w:t>la igualdad.</w:t>
        </w:r>
        <w:r>
          <w:rPr>
            <w:szCs w:val="24"/>
          </w:rPr>
          <w:t xml:space="preserve"> </w:t>
        </w:r>
        <w:r>
          <w:rPr>
            <w:szCs w:val="24"/>
            <w:lang w:val="es-ES_tradnl"/>
          </w:rPr>
          <w:t>Esto</w:t>
        </w:r>
      </w:smartTag>
      <w:r>
        <w:rPr>
          <w:szCs w:val="24"/>
          <w:lang w:val="es-ES_tradnl"/>
        </w:rPr>
        <w:t xml:space="preserve"> se debe a que el idioma forma parte de la personalidad del individuo y es el instrumento con el que piensa y se comunica con los demás.</w:t>
      </w:r>
      <w:r>
        <w:rPr>
          <w:szCs w:val="24"/>
        </w:rPr>
        <w:t xml:space="preserve"> </w:t>
      </w:r>
      <w:r>
        <w:rPr>
          <w:szCs w:val="24"/>
          <w:lang w:val="es-ES_tradnl"/>
        </w:rPr>
        <w:t>El Tribunal Supremo dispuso que:</w:t>
      </w:r>
      <w:r>
        <w:rPr>
          <w:szCs w:val="24"/>
        </w:rPr>
        <w:t xml:space="preserve"> </w:t>
      </w:r>
      <w:r>
        <w:rPr>
          <w:szCs w:val="24"/>
          <w:lang w:val="es-ES_tradnl"/>
        </w:rPr>
        <w:t xml:space="preserve">“El idioma sin duda desempeña un papel muy importante en la existencia humana, tanto para el individuo como para </w:t>
      </w:r>
      <w:smartTag w:uri="urn:schemas-microsoft-com:office:smarttags" w:element="PersonName">
        <w:smartTagPr>
          <w:attr w:name="ProductID" w:val="la sociedad. Mediante"/>
        </w:smartTagPr>
        <w:r>
          <w:rPr>
            <w:szCs w:val="24"/>
            <w:lang w:val="es-ES_tradnl"/>
          </w:rPr>
          <w:t>la sociedad.</w:t>
        </w:r>
        <w:r>
          <w:rPr>
            <w:szCs w:val="24"/>
          </w:rPr>
          <w:t xml:space="preserve"> </w:t>
        </w:r>
        <w:r>
          <w:rPr>
            <w:szCs w:val="24"/>
            <w:lang w:val="es-ES_tradnl"/>
          </w:rPr>
          <w:t>Mediante</w:t>
        </w:r>
      </w:smartTag>
      <w:r>
        <w:rPr>
          <w:szCs w:val="24"/>
          <w:lang w:val="es-ES_tradnl"/>
        </w:rPr>
        <w:t xml:space="preserve"> el idioma nos expresamos y expresamos nuestra individualidad y nuestra identidad social.</w:t>
      </w:r>
      <w:r>
        <w:rPr>
          <w:szCs w:val="24"/>
        </w:rPr>
        <w:t xml:space="preserve"> </w:t>
      </w:r>
      <w:r>
        <w:rPr>
          <w:szCs w:val="24"/>
          <w:lang w:val="es-ES_tradnl"/>
        </w:rPr>
        <w:t>Si se quita el idioma a una persona se le quita su esencia.”</w:t>
      </w:r>
      <w:r>
        <w:rPr>
          <w:szCs w:val="24"/>
        </w:rPr>
        <w:t xml:space="preserve"> </w:t>
      </w:r>
      <w:r>
        <w:rPr>
          <w:szCs w:val="24"/>
          <w:lang w:val="es-ES_tradnl"/>
        </w:rPr>
        <w:t xml:space="preserve">El Tribunal afirmó además que el idioma recibe una especial importancia cuando es el idioma de </w:t>
      </w:r>
      <w:smartTag w:uri="urn:schemas-microsoft-com:office:smarttags" w:element="PersonName">
        <w:smartTagPr>
          <w:attr w:name="ProductID" w:val="la minor￭a. El Tribunal"/>
        </w:smartTagPr>
        <w:r>
          <w:rPr>
            <w:szCs w:val="24"/>
            <w:lang w:val="es-ES_tradnl"/>
          </w:rPr>
          <w:t>la minoría.</w:t>
        </w:r>
        <w:r>
          <w:rPr>
            <w:szCs w:val="24"/>
          </w:rPr>
          <w:t xml:space="preserve"> </w:t>
        </w:r>
        <w:r>
          <w:rPr>
            <w:szCs w:val="24"/>
            <w:lang w:val="es-ES_tradnl"/>
          </w:rPr>
          <w:t>El Tribunal</w:t>
        </w:r>
      </w:smartTag>
      <w:r>
        <w:rPr>
          <w:szCs w:val="24"/>
          <w:lang w:val="es-ES_tradnl"/>
        </w:rPr>
        <w:t xml:space="preserve"> Supremo subrayó la situación de igualdad como uno de los valores fundamentales de Israel, según la cual se deben asegurar los derechos al idioma y al uso equitativo en los servicios municipales, debido a la obligación de mantener la igualdad entre los residentes del Estado.</w:t>
      </w:r>
    </w:p>
    <w:p w:rsidR="00F92819" w:rsidRDefault="00F92819">
      <w:pPr>
        <w:pStyle w:val="SingleTxtG"/>
        <w:rPr>
          <w:szCs w:val="24"/>
        </w:rPr>
      </w:pPr>
      <w:r>
        <w:rPr>
          <w:szCs w:val="24"/>
          <w:lang w:val="es-ES_tradnl"/>
        </w:rPr>
        <w:t>El Tribunal ordenó el uso inmediato del árabe en todas las señales nuevas o en el caso de sustitución de las antiguas. En las vías principales o en instituciones públicas, y en calles secundarias de distritos con una población importante de habla árabe, las señales debían cambiarse dentro de los dos años.</w:t>
      </w:r>
      <w:r>
        <w:rPr>
          <w:szCs w:val="24"/>
        </w:rPr>
        <w:t xml:space="preserve"> </w:t>
      </w:r>
      <w:r>
        <w:rPr>
          <w:szCs w:val="24"/>
          <w:lang w:val="es-ES_tradnl"/>
        </w:rPr>
        <w:t>Finalmente, con respecto a las señales restantes, el Tribunal exigió el cambio dentro de los cuatro años desde la fecha del fallo.</w:t>
      </w:r>
    </w:p>
    <w:p w:rsidR="00F92819" w:rsidRDefault="00F92819">
      <w:pPr>
        <w:pStyle w:val="H23G"/>
        <w:rPr>
          <w:szCs w:val="24"/>
        </w:rPr>
      </w:pPr>
      <w:r>
        <w:rPr>
          <w:szCs w:val="24"/>
        </w:rPr>
        <w:tab/>
      </w:r>
      <w:r>
        <w:rPr>
          <w:szCs w:val="24"/>
        </w:rPr>
        <w:tab/>
      </w:r>
      <w:r>
        <w:rPr>
          <w:szCs w:val="24"/>
          <w:lang w:val="es-ES_tradnl"/>
        </w:rPr>
        <w:t>Información adicional</w:t>
      </w:r>
    </w:p>
    <w:p w:rsidR="00F92819" w:rsidRDefault="00F92819">
      <w:pPr>
        <w:pStyle w:val="SingleTxtG"/>
        <w:rPr>
          <w:szCs w:val="24"/>
        </w:rPr>
      </w:pPr>
      <w:r>
        <w:rPr>
          <w:szCs w:val="24"/>
        </w:rPr>
        <w:t>651.</w:t>
      </w:r>
      <w:r>
        <w:rPr>
          <w:szCs w:val="24"/>
        </w:rPr>
        <w:tab/>
      </w:r>
      <w:r>
        <w:rPr>
          <w:szCs w:val="24"/>
          <w:lang w:val="es-ES_tradnl"/>
        </w:rPr>
        <w:t xml:space="preserve">Para más información sobre el derecho a participar en condiciones de igualdad en las actividades culturales, véanse los informes periódicos combinados 10º a 13º del Estado de </w:t>
      </w:r>
      <w:smartTag w:uri="urn:schemas-microsoft-com:office:smarttags" w:element="country-region">
        <w:smartTag w:uri="urn:schemas-microsoft-com:office:smarttags" w:element="place">
          <w:r>
            <w:rPr>
              <w:szCs w:val="24"/>
              <w:lang w:val="es-ES_tradnl"/>
            </w:rPr>
            <w:t>Israel</w:t>
          </w:r>
        </w:smartTag>
      </w:smartTag>
      <w:r>
        <w:rPr>
          <w:szCs w:val="24"/>
          <w:lang w:val="es-ES_tradnl"/>
        </w:rPr>
        <w:t xml:space="preserve"> sobre la aplicación de </w:t>
      </w:r>
      <w:smartTag w:uri="urn:schemas-microsoft-com:office:smarttags" w:element="PersonName">
        <w:smartTagPr>
          <w:attr w:name="ProductID" w:val="la Convenci￳n Internacional"/>
        </w:smartTagPr>
        <w:r>
          <w:rPr>
            <w:szCs w:val="24"/>
            <w:lang w:val="es-ES_tradnl"/>
          </w:rPr>
          <w:t>la Convención Internacional</w:t>
        </w:r>
      </w:smartTag>
      <w:r>
        <w:rPr>
          <w:szCs w:val="24"/>
          <w:lang w:val="es-ES_tradnl"/>
        </w:rPr>
        <w:t xml:space="preserve"> sobre la Eliminación de todas las Formas de Discriminación Racial, presentado en mayo de 2005.</w:t>
      </w:r>
    </w:p>
    <w:p w:rsidR="00F92819" w:rsidRDefault="00F92819">
      <w:pPr>
        <w:pStyle w:val="H23G"/>
        <w:rPr>
          <w:szCs w:val="24"/>
        </w:rPr>
      </w:pPr>
      <w:r>
        <w:rPr>
          <w:szCs w:val="24"/>
        </w:rPr>
        <w:tab/>
      </w:r>
      <w:r>
        <w:rPr>
          <w:szCs w:val="24"/>
        </w:rPr>
        <w:tab/>
      </w:r>
      <w:r>
        <w:rPr>
          <w:szCs w:val="24"/>
          <w:lang w:val="es-ES_tradnl"/>
        </w:rPr>
        <w:t>Actividades deportivas</w:t>
      </w:r>
    </w:p>
    <w:p w:rsidR="00F92819" w:rsidRDefault="00F92819">
      <w:pPr>
        <w:pStyle w:val="H4G"/>
        <w:rPr>
          <w:szCs w:val="24"/>
        </w:rPr>
      </w:pPr>
      <w:r>
        <w:rPr>
          <w:szCs w:val="24"/>
        </w:rPr>
        <w:tab/>
      </w:r>
      <w:r>
        <w:rPr>
          <w:szCs w:val="24"/>
        </w:rPr>
        <w:tab/>
      </w:r>
      <w:r>
        <w:rPr>
          <w:szCs w:val="24"/>
          <w:lang w:val="es-ES_tradnl"/>
        </w:rPr>
        <w:t>Prevención de la hostilidad en los acontecimientos deportivos</w:t>
      </w:r>
    </w:p>
    <w:p w:rsidR="00F92819" w:rsidRDefault="00F92819">
      <w:pPr>
        <w:pStyle w:val="SingleTxtG"/>
        <w:rPr>
          <w:szCs w:val="24"/>
        </w:rPr>
      </w:pPr>
      <w:r>
        <w:rPr>
          <w:szCs w:val="24"/>
        </w:rPr>
        <w:t>652.</w:t>
      </w:r>
      <w:r>
        <w:rPr>
          <w:szCs w:val="24"/>
        </w:rPr>
        <w:tab/>
      </w:r>
      <w:r>
        <w:rPr>
          <w:szCs w:val="24"/>
          <w:lang w:val="es-ES_tradnl"/>
        </w:rPr>
        <w:t xml:space="preserve">La </w:t>
      </w:r>
      <w:r>
        <w:rPr>
          <w:i/>
          <w:szCs w:val="24"/>
          <w:lang w:val="es-ES_tradnl"/>
        </w:rPr>
        <w:t>Ley de la seguridad en lugares públicos</w:t>
      </w:r>
      <w:r>
        <w:rPr>
          <w:szCs w:val="24"/>
          <w:lang w:val="es-ES_tradnl"/>
        </w:rPr>
        <w:t xml:space="preserve"> de 5722/1962 se enmendó (Enmienda </w:t>
      </w:r>
      <w:r w:rsidR="00713E0E">
        <w:rPr>
          <w:szCs w:val="24"/>
          <w:lang w:val="es-ES_tradnl"/>
        </w:rPr>
        <w:t>Nº</w:t>
      </w:r>
      <w:r>
        <w:rPr>
          <w:szCs w:val="24"/>
          <w:lang w:val="es-ES_tradnl"/>
        </w:rPr>
        <w:t xml:space="preserve"> 3) en julio de 2005 para prohibir específicamente los insultos de motivación racial en los espectáculos deportivos.</w:t>
      </w:r>
      <w:r>
        <w:rPr>
          <w:szCs w:val="24"/>
        </w:rPr>
        <w:t xml:space="preserve"> </w:t>
      </w:r>
      <w:r>
        <w:rPr>
          <w:szCs w:val="24"/>
          <w:lang w:val="es-ES_tradnl"/>
        </w:rPr>
        <w:t>Por consiguiente, se presentaron acusaciones contra individuos acusados de gritar insultos racistas en partidos de fútbol.</w:t>
      </w:r>
    </w:p>
    <w:p w:rsidR="00F92819" w:rsidRDefault="00F92819">
      <w:pPr>
        <w:pStyle w:val="SingleTxtG"/>
        <w:rPr>
          <w:szCs w:val="24"/>
        </w:rPr>
      </w:pPr>
      <w:r>
        <w:rPr>
          <w:szCs w:val="24"/>
        </w:rPr>
        <w:t>653.</w:t>
      </w:r>
      <w:r>
        <w:rPr>
          <w:szCs w:val="24"/>
        </w:rPr>
        <w:tab/>
      </w:r>
      <w:r>
        <w:rPr>
          <w:szCs w:val="24"/>
          <w:lang w:val="es-ES_tradnl"/>
        </w:rPr>
        <w:t xml:space="preserve">Incluso antes de </w:t>
      </w:r>
      <w:smartTag w:uri="urn:schemas-microsoft-com:office:smarttags" w:element="PersonName">
        <w:smartTagPr>
          <w:attr w:name="ProductID" w:val="la mencionada Enmienda"/>
        </w:smartTagPr>
        <w:r>
          <w:rPr>
            <w:szCs w:val="24"/>
            <w:lang w:val="es-ES_tradnl"/>
          </w:rPr>
          <w:t>la mencionada Enmienda</w:t>
        </w:r>
      </w:smartTag>
      <w:r>
        <w:rPr>
          <w:szCs w:val="24"/>
          <w:lang w:val="es-ES_tradnl"/>
        </w:rPr>
        <w:t xml:space="preserve">, la Oficina del Fiscal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Estado emprendió acciones en la consideración de que los insultos contra la población árabe constituyen incitación al racismo y tomó medidas por iniciativa propia.</w:t>
      </w:r>
      <w:r>
        <w:rPr>
          <w:szCs w:val="24"/>
        </w:rPr>
        <w:t xml:space="preserve"> </w:t>
      </w:r>
      <w:r>
        <w:rPr>
          <w:szCs w:val="24"/>
          <w:lang w:val="es-ES_tradnl"/>
        </w:rPr>
        <w:t>Se iniciaron investigaciones penales en una serie de casos de incitación al racismo contra la población árabe en partidos de fútbol y se presentaron acusaciones.</w:t>
      </w:r>
      <w:r>
        <w:rPr>
          <w:szCs w:val="24"/>
        </w:rPr>
        <w:t xml:space="preserve"> </w:t>
      </w:r>
      <w:r>
        <w:rPr>
          <w:szCs w:val="24"/>
          <w:lang w:val="es-ES_tradnl"/>
        </w:rPr>
        <w:t xml:space="preserve">Se concluyeron varias causas y los acusados fueron declarados culpables. </w:t>
      </w:r>
    </w:p>
    <w:p w:rsidR="00F92819" w:rsidRDefault="00F92819">
      <w:pPr>
        <w:pStyle w:val="SingleTxtG"/>
        <w:rPr>
          <w:szCs w:val="24"/>
        </w:rPr>
      </w:pPr>
      <w:r>
        <w:rPr>
          <w:szCs w:val="24"/>
        </w:rPr>
        <w:t>654.</w:t>
      </w:r>
      <w:r>
        <w:rPr>
          <w:szCs w:val="24"/>
        </w:rPr>
        <w:tab/>
      </w:r>
      <w:r>
        <w:rPr>
          <w:szCs w:val="24"/>
          <w:lang w:val="es-ES_tradnl"/>
        </w:rPr>
        <w:t xml:space="preserve">En julio de 2008 se aprobó la </w:t>
      </w:r>
      <w:r>
        <w:rPr>
          <w:i/>
          <w:szCs w:val="24"/>
          <w:lang w:val="es-ES_tradnl"/>
        </w:rPr>
        <w:t>Ley de Prohibición de la Violencia en Acontecimientos Deportivos</w:t>
      </w:r>
      <w:r>
        <w:rPr>
          <w:szCs w:val="24"/>
          <w:lang w:val="es-ES_tradnl"/>
        </w:rPr>
        <w:t xml:space="preserve"> de 5768/2008 para facilitar el comportamiento seguro y pacífico en los acontecimientos deportivos mediante la ampliación de la definición de exhibición racista y facilitando formación para el personal de seguridad, así como ampliando sus responsabilidades y potestades.</w:t>
      </w:r>
      <w:r>
        <w:rPr>
          <w:szCs w:val="24"/>
        </w:rPr>
        <w:t xml:space="preserve"> </w:t>
      </w:r>
      <w:r>
        <w:rPr>
          <w:szCs w:val="24"/>
          <w:lang w:val="es-ES_tradnl"/>
        </w:rPr>
        <w:t>La Ley establece además un Comité para la Prevención de la Violencia en los Deportes encaminado a la eliminación del fenómeno.</w:t>
      </w:r>
    </w:p>
    <w:p w:rsidR="00F92819" w:rsidRDefault="00F92819">
      <w:pPr>
        <w:pStyle w:val="H4G"/>
        <w:rPr>
          <w:szCs w:val="24"/>
        </w:rPr>
      </w:pPr>
      <w:r>
        <w:rPr>
          <w:szCs w:val="24"/>
        </w:rPr>
        <w:tab/>
      </w:r>
      <w:r>
        <w:rPr>
          <w:szCs w:val="24"/>
        </w:rPr>
        <w:tab/>
      </w:r>
      <w:r>
        <w:rPr>
          <w:szCs w:val="24"/>
          <w:lang w:val="es-ES_tradnl"/>
        </w:rPr>
        <w:t>La mujer en el deporte</w:t>
      </w:r>
    </w:p>
    <w:p w:rsidR="00F92819" w:rsidRDefault="00F92819">
      <w:pPr>
        <w:pStyle w:val="SingleTxtG"/>
        <w:rPr>
          <w:szCs w:val="24"/>
        </w:rPr>
      </w:pPr>
      <w:r>
        <w:rPr>
          <w:szCs w:val="24"/>
        </w:rPr>
        <w:t>655.</w:t>
      </w:r>
      <w:r>
        <w:rPr>
          <w:szCs w:val="24"/>
        </w:rPr>
        <w:tab/>
      </w:r>
      <w:r>
        <w:rPr>
          <w:szCs w:val="24"/>
          <w:lang w:val="es-ES_tradnl"/>
        </w:rPr>
        <w:t>La Dirección para el Adelanto de la Mujer, en colaboración con el Ministerio de Ciencia, Cultura y Deportes, ha diseñado un curso de capacitación especial dirigido a mujeres, para que lleguen a ser miembros activos y dedicados de los consejos locales y nacionales para la promoción y la administración de los deportes en Israel.</w:t>
      </w:r>
    </w:p>
    <w:p w:rsidR="00F92819" w:rsidRDefault="00F92819">
      <w:pPr>
        <w:pStyle w:val="SingleTxtG"/>
        <w:rPr>
          <w:szCs w:val="24"/>
        </w:rPr>
      </w:pPr>
      <w:r>
        <w:rPr>
          <w:szCs w:val="24"/>
        </w:rPr>
        <w:t>656.</w:t>
      </w:r>
      <w:r>
        <w:rPr>
          <w:szCs w:val="24"/>
        </w:rPr>
        <w:tab/>
      </w:r>
      <w:r>
        <w:rPr>
          <w:szCs w:val="24"/>
          <w:lang w:val="es-ES_tradnl"/>
        </w:rPr>
        <w:t xml:space="preserve">El artículo 9A de la </w:t>
      </w:r>
      <w:r>
        <w:rPr>
          <w:i/>
          <w:szCs w:val="24"/>
          <w:lang w:val="es-ES_tradnl"/>
        </w:rPr>
        <w:t>Ley del deporte</w:t>
      </w:r>
      <w:r>
        <w:rPr>
          <w:szCs w:val="24"/>
          <w:lang w:val="es-ES_tradnl"/>
        </w:rPr>
        <w:t xml:space="preserve"> de 5748/1988 se aprobó a finales de 2003 y establecía que todas las organizaciones deportivas apoyadas por el Estado, con inclusión de las asociaciones, los órganos, los sindicatos y las federaciones de deportes, deberán ofrecer una representación adecuada de las mujeres.</w:t>
      </w:r>
      <w:r>
        <w:rPr>
          <w:szCs w:val="24"/>
        </w:rPr>
        <w:t xml:space="preserve"> </w:t>
      </w:r>
      <w:r>
        <w:rPr>
          <w:szCs w:val="24"/>
          <w:lang w:val="es-ES_tradnl"/>
        </w:rPr>
        <w:t>Se aplica tanto al personal como a la dirección e incluirá a todas las categorías de puestos.</w:t>
      </w:r>
      <w:r>
        <w:rPr>
          <w:szCs w:val="24"/>
        </w:rPr>
        <w:t xml:space="preserve"> </w:t>
      </w:r>
      <w:r>
        <w:rPr>
          <w:szCs w:val="24"/>
          <w:lang w:val="es-ES_tradnl"/>
        </w:rPr>
        <w:t>Con arreglo al artículo 9B. las organizaciones deportivas presentarán informes anuales al Comité del Knesset sobre la aplicación de este artículo.</w:t>
      </w:r>
      <w:r>
        <w:rPr>
          <w:szCs w:val="24"/>
        </w:rPr>
        <w:t xml:space="preserve"> </w:t>
      </w:r>
      <w:r>
        <w:rPr>
          <w:szCs w:val="24"/>
          <w:lang w:val="es-ES_tradnl"/>
        </w:rPr>
        <w:t>Esta modificación tiene su origen en la comprensión de que, como en muchas otras esferas de la vida, la promoción de la función de las mujeres en los deportes exige su plena participación, no sólo en las propias actividades deportivas, sino también en funciones de decisión y de dirección.</w:t>
      </w:r>
    </w:p>
    <w:p w:rsidR="00F92819" w:rsidRDefault="00F92819">
      <w:pPr>
        <w:pStyle w:val="SingleTxtG"/>
        <w:rPr>
          <w:szCs w:val="24"/>
        </w:rPr>
      </w:pPr>
      <w:r>
        <w:rPr>
          <w:szCs w:val="24"/>
        </w:rPr>
        <w:t>657.</w:t>
      </w:r>
      <w:r>
        <w:rPr>
          <w:szCs w:val="24"/>
        </w:rPr>
        <w:tab/>
      </w:r>
      <w:r>
        <w:rPr>
          <w:szCs w:val="24"/>
          <w:lang w:val="es-ES_tradnl"/>
        </w:rPr>
        <w:t xml:space="preserve">En una sentencia innovadora, el Tribunal Superior de Justicia examinó la cuestión de la asignación de fondos a las instituciones deportivas y decidió que, a fin de corregir cuestiones de desigualdad que perduran, los consejos locales asignaran fondos para los deportes femeninos a razón de 150% de los fondos asignados para los deportes masculinos (HCJ 5325/01 </w:t>
      </w:r>
      <w:r>
        <w:rPr>
          <w:i/>
          <w:szCs w:val="24"/>
          <w:lang w:val="es-ES_tradnl"/>
        </w:rPr>
        <w:t>Asociación L.C.N</w:t>
      </w:r>
      <w:r>
        <w:rPr>
          <w:szCs w:val="24"/>
          <w:lang w:val="es-ES_tradnl"/>
        </w:rPr>
        <w:t xml:space="preserve"> </w:t>
      </w:r>
      <w:r>
        <w:rPr>
          <w:i/>
          <w:szCs w:val="24"/>
          <w:lang w:val="es-ES_tradnl"/>
        </w:rPr>
        <w:t>para la Promoción del Baloncesto Femenino c. el Consejo Local de Ramat-Hasharon</w:t>
      </w:r>
      <w:r>
        <w:rPr>
          <w:szCs w:val="24"/>
          <w:lang w:val="es-ES_tradnl"/>
        </w:rPr>
        <w:t>).</w:t>
      </w:r>
      <w:r>
        <w:rPr>
          <w:szCs w:val="24"/>
        </w:rPr>
        <w:t xml:space="preserve"> </w:t>
      </w:r>
      <w:r>
        <w:rPr>
          <w:szCs w:val="24"/>
          <w:lang w:val="es-ES_tradnl"/>
        </w:rPr>
        <w:t>Análogamente, la comisión pública que determina los criterios de asignación de fondos públicos para los deportes ha recomendado el uso de planes de discriminación positiva para aumentar la asignación para los deportes femeninos, y ha establecido programas para ejecutarlos.</w:t>
      </w:r>
    </w:p>
    <w:p w:rsidR="00F92819" w:rsidRDefault="00F92819">
      <w:pPr>
        <w:pStyle w:val="SingleTxtG"/>
        <w:rPr>
          <w:szCs w:val="24"/>
        </w:rPr>
      </w:pPr>
      <w:r>
        <w:rPr>
          <w:szCs w:val="24"/>
        </w:rPr>
        <w:t>658.</w:t>
      </w:r>
      <w:r>
        <w:rPr>
          <w:szCs w:val="24"/>
        </w:rPr>
        <w:tab/>
      </w:r>
      <w:r>
        <w:rPr>
          <w:szCs w:val="24"/>
          <w:lang w:val="es-ES_tradnl"/>
        </w:rPr>
        <w:t xml:space="preserve">El 21 de marzo de 2005 el Gobierno decidió establecer el Consejo Público de Deportes Femeninos (resolución </w:t>
      </w:r>
      <w:r w:rsidR="00713E0E">
        <w:rPr>
          <w:szCs w:val="24"/>
          <w:lang w:val="es-ES_tradnl"/>
        </w:rPr>
        <w:t>Nº</w:t>
      </w:r>
      <w:r>
        <w:rPr>
          <w:szCs w:val="24"/>
          <w:lang w:val="es-ES_tradnl"/>
        </w:rPr>
        <w:t xml:space="preserve"> 3416).</w:t>
      </w:r>
      <w:r>
        <w:rPr>
          <w:szCs w:val="24"/>
        </w:rPr>
        <w:t xml:space="preserve"> </w:t>
      </w:r>
      <w:r>
        <w:rPr>
          <w:szCs w:val="24"/>
          <w:lang w:val="es-ES_tradnl"/>
        </w:rPr>
        <w:t>También en ese año, la Dirección de Deportes presentó un programa nacional de deportes femeninos, que fue aprobado por el Ministerio de Educación.</w:t>
      </w:r>
      <w:r>
        <w:rPr>
          <w:szCs w:val="24"/>
        </w:rPr>
        <w:t xml:space="preserve"> </w:t>
      </w:r>
      <w:r>
        <w:rPr>
          <w:szCs w:val="24"/>
          <w:lang w:val="es-ES_tradnl"/>
        </w:rPr>
        <w:t>El Consejo relativo a las disposiciones para las apuestas en los deportes asignó un presupuesto de 80 millones de nuevos sheqalim (21.052.631 dólares de los EE.UU.) para el funcionamiento del programa por un período de ocho años, y el Ministerio de Ciencia, Cultura y Deportes asignó otros 1,8 millones de nuevos sheqalim (473.684 dólares de los EE.UU.) anuales, también por un período de ocho años.</w:t>
      </w:r>
    </w:p>
    <w:p w:rsidR="00F92819" w:rsidRDefault="00F92819">
      <w:pPr>
        <w:pStyle w:val="SingleTxtG"/>
        <w:rPr>
          <w:szCs w:val="24"/>
        </w:rPr>
      </w:pPr>
      <w:r>
        <w:rPr>
          <w:szCs w:val="24"/>
        </w:rPr>
        <w:t>659.</w:t>
      </w:r>
      <w:r>
        <w:rPr>
          <w:szCs w:val="24"/>
        </w:rPr>
        <w:tab/>
      </w:r>
      <w:r>
        <w:rPr>
          <w:szCs w:val="24"/>
          <w:lang w:val="es-ES_tradnl"/>
        </w:rPr>
        <w:t>En 2007 se estableció el Departamento para el Deporte Femenino en el Instituto Wingate.</w:t>
      </w:r>
      <w:r>
        <w:rPr>
          <w:szCs w:val="24"/>
        </w:rPr>
        <w:t xml:space="preserve"> </w:t>
      </w:r>
      <w:r>
        <w:rPr>
          <w:szCs w:val="24"/>
          <w:lang w:val="es-ES_tradnl"/>
        </w:rPr>
        <w:t>El Departamento es responsable del funcionamiento y la ejecución del programa nacional, incluidos sus objetivos y metas, tales como:</w:t>
      </w:r>
      <w:r>
        <w:rPr>
          <w:szCs w:val="24"/>
        </w:rPr>
        <w:t xml:space="preserve"> </w:t>
      </w:r>
      <w:r>
        <w:rPr>
          <w:szCs w:val="24"/>
          <w:lang w:val="es-ES_tradnl"/>
        </w:rPr>
        <w:t>aumentar el número de mujeres atletas en Israel, desarrollar la excelencia y el liderazgo de las mujeres en los diferentes deportes, así como en los ámbitos de dirección, entrenamiento y arbitraje.</w:t>
      </w:r>
    </w:p>
    <w:p w:rsidR="00F92819" w:rsidRDefault="00F92819">
      <w:pPr>
        <w:pStyle w:val="H4G"/>
        <w:rPr>
          <w:szCs w:val="24"/>
        </w:rPr>
      </w:pPr>
      <w:r>
        <w:rPr>
          <w:szCs w:val="24"/>
        </w:rPr>
        <w:tab/>
      </w:r>
      <w:r>
        <w:rPr>
          <w:szCs w:val="24"/>
        </w:rPr>
        <w:tab/>
      </w:r>
      <w:r>
        <w:rPr>
          <w:szCs w:val="24"/>
          <w:lang w:val="es-ES_tradnl"/>
        </w:rPr>
        <w:t>Promoción de nuevos ámbitos deportivos</w:t>
      </w:r>
    </w:p>
    <w:p w:rsidR="00F92819" w:rsidRDefault="00F92819">
      <w:pPr>
        <w:pStyle w:val="SingleTxtG"/>
        <w:rPr>
          <w:szCs w:val="24"/>
        </w:rPr>
      </w:pPr>
      <w:r>
        <w:rPr>
          <w:szCs w:val="24"/>
        </w:rPr>
        <w:t>660.</w:t>
      </w:r>
      <w:r>
        <w:rPr>
          <w:szCs w:val="24"/>
        </w:rPr>
        <w:tab/>
      </w:r>
      <w:r>
        <w:rPr>
          <w:szCs w:val="24"/>
          <w:lang w:val="es-ES_tradnl"/>
        </w:rPr>
        <w:t xml:space="preserve">En 2005 se legisló la </w:t>
      </w:r>
      <w:r>
        <w:rPr>
          <w:i/>
          <w:szCs w:val="24"/>
          <w:lang w:val="es-ES_tradnl"/>
        </w:rPr>
        <w:t xml:space="preserve">Ley de la conducción deportiva </w:t>
      </w:r>
      <w:r>
        <w:rPr>
          <w:szCs w:val="24"/>
          <w:lang w:val="es-ES_tradnl"/>
        </w:rPr>
        <w:t>de 5766/2005 para facilitar y regular la práctica en este ámbito.</w:t>
      </w:r>
      <w:r>
        <w:rPr>
          <w:szCs w:val="24"/>
        </w:rPr>
        <w:t xml:space="preserve"> </w:t>
      </w:r>
      <w:r>
        <w:rPr>
          <w:szCs w:val="24"/>
          <w:lang w:val="es-ES_tradnl"/>
        </w:rPr>
        <w:t xml:space="preserve">De conformidad con la Ley, se creó una Dirección para </w:t>
      </w:r>
      <w:smartTag w:uri="urn:schemas-microsoft-com:office:smarttags" w:element="PersonName">
        <w:smartTagPr>
          <w:attr w:name="ProductID" w:val="la Conducci￳n Deportiva"/>
        </w:smartTagPr>
        <w:r>
          <w:rPr>
            <w:szCs w:val="24"/>
            <w:lang w:val="es-ES_tradnl"/>
          </w:rPr>
          <w:t>la Conducción Deportiva</w:t>
        </w:r>
      </w:smartTag>
      <w:r>
        <w:rPr>
          <w:szCs w:val="24"/>
          <w:lang w:val="es-ES_tradnl"/>
        </w:rPr>
        <w:t xml:space="preserve"> dentro del Ministerio de Ciencia, Cultura y Deportes y en 2007 se promulgaron varios reglamentos en consecuencia.</w:t>
      </w:r>
      <w:r>
        <w:rPr>
          <w:szCs w:val="24"/>
        </w:rPr>
        <w:t xml:space="preserve"> </w:t>
      </w:r>
      <w:r>
        <w:rPr>
          <w:szCs w:val="24"/>
          <w:lang w:val="es-ES_tradnl"/>
        </w:rPr>
        <w:t>La Ley entrará en vigor una vez llevada a cabo la promulgación de la normativa necesaria restante.</w:t>
      </w:r>
    </w:p>
    <w:p w:rsidR="00F92819" w:rsidRDefault="00F92819">
      <w:pPr>
        <w:pStyle w:val="H23G"/>
        <w:rPr>
          <w:szCs w:val="24"/>
        </w:rPr>
      </w:pPr>
      <w:r>
        <w:rPr>
          <w:szCs w:val="24"/>
        </w:rPr>
        <w:tab/>
      </w:r>
      <w:r>
        <w:rPr>
          <w:szCs w:val="24"/>
        </w:rPr>
        <w:tab/>
      </w:r>
      <w:r>
        <w:rPr>
          <w:szCs w:val="24"/>
          <w:lang w:val="es-ES_tradnl"/>
        </w:rPr>
        <w:t>Disfrute del progreso científico</w:t>
      </w:r>
    </w:p>
    <w:p w:rsidR="00F92819" w:rsidRDefault="00F92819">
      <w:pPr>
        <w:pStyle w:val="H23G"/>
        <w:rPr>
          <w:szCs w:val="24"/>
        </w:rPr>
      </w:pPr>
      <w:r>
        <w:rPr>
          <w:szCs w:val="24"/>
        </w:rPr>
        <w:tab/>
      </w:r>
      <w:r>
        <w:rPr>
          <w:szCs w:val="24"/>
        </w:rPr>
        <w:tab/>
      </w:r>
      <w:r>
        <w:rPr>
          <w:szCs w:val="24"/>
          <w:lang w:val="es-ES_tradnl"/>
        </w:rPr>
        <w:t>Promoción institucional de la investigación y el desarrollo</w:t>
      </w:r>
    </w:p>
    <w:p w:rsidR="00F92819" w:rsidRDefault="00F92819">
      <w:pPr>
        <w:pStyle w:val="SingleTxtG"/>
        <w:rPr>
          <w:szCs w:val="24"/>
        </w:rPr>
      </w:pPr>
      <w:r>
        <w:rPr>
          <w:szCs w:val="24"/>
        </w:rPr>
        <w:t>661.</w:t>
      </w:r>
      <w:r>
        <w:rPr>
          <w:szCs w:val="24"/>
        </w:rPr>
        <w:tab/>
      </w:r>
      <w:r>
        <w:rPr>
          <w:szCs w:val="24"/>
          <w:lang w:val="es-ES_tradnl"/>
        </w:rPr>
        <w:t xml:space="preserve">La </w:t>
      </w:r>
      <w:r>
        <w:rPr>
          <w:b/>
          <w:i/>
          <w:szCs w:val="24"/>
          <w:lang w:val="es-ES_tradnl"/>
        </w:rPr>
        <w:t>Ley del Consejo Nacional para la Investigación y Desarrollo Civil</w:t>
      </w:r>
      <w:r>
        <w:rPr>
          <w:b/>
          <w:szCs w:val="24"/>
          <w:lang w:val="es-ES_tradnl"/>
        </w:rPr>
        <w:t xml:space="preserve"> de 5762/2002</w:t>
      </w:r>
      <w:r>
        <w:rPr>
          <w:szCs w:val="24"/>
          <w:lang w:val="es-ES_tradnl"/>
        </w:rPr>
        <w:t xml:space="preserve"> se sancionó el 19 de noviembre de 2002. De conformidad con la Ley, se creará un Consejo Nacional para la Investigación y Desarrollo Civil que actuará como órgano asesor del Gobierno y de los Ministerios sobre cuestiones relacionadas con la investigación y desarrollo en el sector civil.</w:t>
      </w:r>
      <w:r>
        <w:rPr>
          <w:szCs w:val="24"/>
        </w:rPr>
        <w:t xml:space="preserve"> </w:t>
      </w:r>
      <w:r>
        <w:rPr>
          <w:szCs w:val="24"/>
          <w:lang w:val="es-ES_tradnl"/>
        </w:rPr>
        <w:t>Entre las funciones del consejo está la recomendación al Gobierno sobre una política integral nacional, de carácter anual y perenne, en los ámbitos de la investigación y desarrollo civil, establecer prioridades en este contexto, aconsejar sobre el desarrollo de infraestructuras para la investigación y ejecución de proyectos en las esferas de la ciencia y la tecnología, etc.</w:t>
      </w:r>
    </w:p>
    <w:p w:rsidR="00F92819" w:rsidRDefault="00F92819">
      <w:pPr>
        <w:pStyle w:val="SingleTxtG"/>
        <w:rPr>
          <w:szCs w:val="24"/>
        </w:rPr>
      </w:pPr>
      <w:r>
        <w:rPr>
          <w:szCs w:val="24"/>
          <w:lang w:val="es-ES_tradnl"/>
        </w:rPr>
        <w:t>El Consejo se estableció en agosto de 2004 y opera en los ámbitos de la energía, tecnología e ingeniería, medicina y biociencia, y ciencia informática.</w:t>
      </w:r>
      <w:r>
        <w:rPr>
          <w:szCs w:val="24"/>
        </w:rPr>
        <w:t xml:space="preserve"> </w:t>
      </w:r>
      <w:r>
        <w:rPr>
          <w:szCs w:val="24"/>
          <w:lang w:val="es-ES_tradnl"/>
        </w:rPr>
        <w:t>Colabora con universidades, centros de investigación, centros industriales y centros regionales de investigación y desarrollo.</w:t>
      </w:r>
      <w:r>
        <w:rPr>
          <w:szCs w:val="24"/>
        </w:rPr>
        <w:t xml:space="preserve"> </w:t>
      </w:r>
      <w:r>
        <w:rPr>
          <w:szCs w:val="24"/>
          <w:lang w:val="es-ES_tradnl"/>
        </w:rPr>
        <w:t>A raíz de una enmienda a la Ley publicada el 27 de diciembre de 2007, el Consejo Nacional para la Investigación y Desarrollo civil recibirá su presupuesto del Ministerio de Ciencia, Cultura y Deportes.</w:t>
      </w:r>
    </w:p>
    <w:p w:rsidR="00F92819" w:rsidRDefault="00F92819">
      <w:pPr>
        <w:pStyle w:val="H23G"/>
        <w:rPr>
          <w:szCs w:val="24"/>
        </w:rPr>
      </w:pPr>
      <w:r>
        <w:rPr>
          <w:szCs w:val="24"/>
        </w:rPr>
        <w:tab/>
      </w:r>
      <w:r>
        <w:rPr>
          <w:szCs w:val="24"/>
        </w:rPr>
        <w:tab/>
      </w:r>
      <w:r>
        <w:rPr>
          <w:szCs w:val="24"/>
          <w:lang w:val="es-ES_tradnl"/>
        </w:rPr>
        <w:t>Presupuesto nacional de investigación y desarrollo</w:t>
      </w:r>
    </w:p>
    <w:p w:rsidR="00F92819" w:rsidRDefault="00F92819">
      <w:pPr>
        <w:pStyle w:val="SingleTxtG"/>
        <w:rPr>
          <w:szCs w:val="24"/>
        </w:rPr>
      </w:pPr>
      <w:r>
        <w:rPr>
          <w:szCs w:val="24"/>
        </w:rPr>
        <w:t>662.</w:t>
      </w:r>
      <w:r>
        <w:rPr>
          <w:szCs w:val="24"/>
        </w:rPr>
        <w:tab/>
      </w:r>
      <w:r>
        <w:rPr>
          <w:szCs w:val="24"/>
          <w:lang w:val="es-ES_tradnl"/>
        </w:rPr>
        <w:t xml:space="preserve">El cuadro siguiente revela el alcance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gasto del Gobierno en investigación y desarrollo civil entre los años 2002 y 2007.</w:t>
      </w:r>
    </w:p>
    <w:p w:rsidR="00F92819" w:rsidRDefault="00F92819">
      <w:pPr>
        <w:pStyle w:val="Heading1"/>
        <w:keepLines/>
        <w:spacing w:before="240"/>
        <w:rPr>
          <w:szCs w:val="24"/>
        </w:rPr>
      </w:pPr>
      <w:r>
        <w:rPr>
          <w:szCs w:val="24"/>
          <w:lang w:val="es-ES_tradnl"/>
        </w:rPr>
        <w:t>Cuadro 46</w:t>
      </w:r>
    </w:p>
    <w:p w:rsidR="00F92819" w:rsidRDefault="00F92819">
      <w:pPr>
        <w:pStyle w:val="SingleTxtG"/>
        <w:keepNext/>
        <w:keepLines/>
        <w:jc w:val="left"/>
        <w:rPr>
          <w:b/>
          <w:szCs w:val="24"/>
        </w:rPr>
      </w:pPr>
      <w:r>
        <w:rPr>
          <w:b/>
          <w:szCs w:val="24"/>
          <w:lang w:val="es-ES_tradnl"/>
        </w:rPr>
        <w:t>Gasto de los Ministerios en investigación y desarrollo civil, por tipo de gasto, 2002</w:t>
      </w:r>
      <w:r w:rsidR="008C04D7">
        <w:rPr>
          <w:b/>
          <w:szCs w:val="24"/>
          <w:lang w:val="es-ES_tradnl"/>
        </w:rPr>
        <w:t>-</w:t>
      </w:r>
      <w:r>
        <w:rPr>
          <w:b/>
          <w:szCs w:val="24"/>
          <w:lang w:val="es-ES_tradnl"/>
        </w:rPr>
        <w:t>2007</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113" w:type="dxa"/>
        </w:tblCellMar>
        <w:tblLook w:val="01E0" w:firstRow="1" w:lastRow="1" w:firstColumn="1" w:lastColumn="1" w:noHBand="0" w:noVBand="0"/>
      </w:tblPr>
      <w:tblGrid>
        <w:gridCol w:w="709"/>
        <w:gridCol w:w="1299"/>
        <w:gridCol w:w="1299"/>
        <w:gridCol w:w="1300"/>
        <w:gridCol w:w="1299"/>
        <w:gridCol w:w="1299"/>
        <w:gridCol w:w="1300"/>
      </w:tblGrid>
      <w:tr w:rsidR="00F92819">
        <w:tc>
          <w:tcPr>
            <w:tcW w:w="709" w:type="dxa"/>
            <w:vMerge w:val="restart"/>
            <w:tcBorders>
              <w:top w:val="single" w:sz="4" w:space="0" w:color="auto"/>
            </w:tcBorders>
            <w:vAlign w:val="bottom"/>
          </w:tcPr>
          <w:p w:rsidR="00F92819" w:rsidRDefault="00F92819">
            <w:pPr>
              <w:keepNext/>
              <w:keepLines/>
              <w:spacing w:before="80" w:after="80" w:line="200" w:lineRule="exact"/>
              <w:rPr>
                <w:szCs w:val="24"/>
              </w:rPr>
            </w:pPr>
            <w:r>
              <w:rPr>
                <w:i/>
                <w:sz w:val="16"/>
                <w:szCs w:val="24"/>
                <w:lang w:val="es-ES_tradnl"/>
              </w:rPr>
              <w:t>Año</w:t>
            </w:r>
          </w:p>
        </w:tc>
        <w:tc>
          <w:tcPr>
            <w:tcW w:w="1299" w:type="dxa"/>
            <w:vMerge w:val="restart"/>
            <w:tcBorders>
              <w:top w:val="single" w:sz="4" w:space="0" w:color="auto"/>
            </w:tcBorders>
            <w:vAlign w:val="bottom"/>
          </w:tcPr>
          <w:p w:rsidR="00F92819" w:rsidRDefault="00F92819">
            <w:pPr>
              <w:keepNext/>
              <w:keepLines/>
              <w:spacing w:before="80" w:after="80" w:line="200" w:lineRule="exact"/>
              <w:jc w:val="right"/>
              <w:rPr>
                <w:szCs w:val="24"/>
              </w:rPr>
            </w:pPr>
            <w:r>
              <w:rPr>
                <w:i/>
                <w:sz w:val="16"/>
                <w:szCs w:val="24"/>
                <w:lang w:val="es-ES_tradnl"/>
              </w:rPr>
              <w:t>Transferencias</w:t>
            </w:r>
          </w:p>
        </w:tc>
        <w:tc>
          <w:tcPr>
            <w:tcW w:w="1299" w:type="dxa"/>
            <w:vMerge w:val="restart"/>
            <w:tcBorders>
              <w:top w:val="single" w:sz="4" w:space="0" w:color="auto"/>
              <w:right w:val="single" w:sz="24" w:space="0" w:color="FFFFFF"/>
            </w:tcBorders>
            <w:vAlign w:val="bottom"/>
          </w:tcPr>
          <w:p w:rsidR="00F92819" w:rsidRDefault="00F92819">
            <w:pPr>
              <w:keepNext/>
              <w:keepLines/>
              <w:spacing w:before="80" w:after="80" w:line="200" w:lineRule="exact"/>
              <w:jc w:val="right"/>
              <w:rPr>
                <w:szCs w:val="24"/>
                <w:lang w:val="pt-BR"/>
              </w:rPr>
            </w:pPr>
            <w:r>
              <w:rPr>
                <w:i/>
                <w:sz w:val="16"/>
                <w:szCs w:val="24"/>
                <w:lang w:val="pt-BR"/>
              </w:rPr>
              <w:t xml:space="preserve">Compras de </w:t>
            </w:r>
            <w:r>
              <w:rPr>
                <w:i/>
                <w:sz w:val="16"/>
                <w:szCs w:val="24"/>
                <w:lang w:val="pt-BR"/>
              </w:rPr>
              <w:br/>
              <w:t>I+D civil</w:t>
            </w:r>
          </w:p>
        </w:tc>
        <w:tc>
          <w:tcPr>
            <w:tcW w:w="3898" w:type="dxa"/>
            <w:gridSpan w:val="3"/>
            <w:tcBorders>
              <w:top w:val="single" w:sz="4" w:space="0" w:color="auto"/>
              <w:left w:val="single" w:sz="24" w:space="0" w:color="FFFFFF"/>
              <w:bottom w:val="single" w:sz="4" w:space="0" w:color="auto"/>
            </w:tcBorders>
            <w:vAlign w:val="bottom"/>
          </w:tcPr>
          <w:p w:rsidR="00F92819" w:rsidRDefault="00F92819">
            <w:pPr>
              <w:keepNext/>
              <w:keepLines/>
              <w:spacing w:before="80" w:after="80" w:line="200" w:lineRule="exact"/>
              <w:jc w:val="center"/>
              <w:rPr>
                <w:szCs w:val="24"/>
              </w:rPr>
            </w:pPr>
            <w:r>
              <w:rPr>
                <w:i/>
                <w:sz w:val="16"/>
                <w:szCs w:val="24"/>
                <w:lang w:val="es-ES_tradnl"/>
              </w:rPr>
              <w:t>Gastos internos</w:t>
            </w:r>
          </w:p>
        </w:tc>
        <w:tc>
          <w:tcPr>
            <w:tcW w:w="1300" w:type="dxa"/>
            <w:vMerge w:val="restart"/>
            <w:tcBorders>
              <w:top w:val="single" w:sz="4" w:space="0" w:color="auto"/>
            </w:tcBorders>
            <w:vAlign w:val="bottom"/>
          </w:tcPr>
          <w:p w:rsidR="00F92819" w:rsidRDefault="00F92819">
            <w:pPr>
              <w:keepNext/>
              <w:keepLines/>
              <w:spacing w:before="80" w:after="80" w:line="200" w:lineRule="exact"/>
              <w:jc w:val="right"/>
              <w:rPr>
                <w:szCs w:val="24"/>
              </w:rPr>
            </w:pPr>
            <w:r>
              <w:rPr>
                <w:b/>
                <w:i/>
                <w:sz w:val="16"/>
                <w:szCs w:val="24"/>
                <w:lang w:val="es-ES_tradnl"/>
              </w:rPr>
              <w:t>Total</w:t>
            </w:r>
          </w:p>
        </w:tc>
      </w:tr>
      <w:tr w:rsidR="00F92819">
        <w:tc>
          <w:tcPr>
            <w:tcW w:w="709" w:type="dxa"/>
            <w:vMerge/>
            <w:tcBorders>
              <w:bottom w:val="single" w:sz="12" w:space="0" w:color="auto"/>
            </w:tcBorders>
            <w:vAlign w:val="bottom"/>
          </w:tcPr>
          <w:p w:rsidR="00F92819" w:rsidRDefault="00F92819">
            <w:pPr>
              <w:keepNext/>
              <w:keepLines/>
              <w:spacing w:before="80" w:after="80" w:line="200" w:lineRule="exact"/>
              <w:rPr>
                <w:i/>
                <w:sz w:val="16"/>
                <w:szCs w:val="24"/>
              </w:rPr>
            </w:pPr>
          </w:p>
        </w:tc>
        <w:tc>
          <w:tcPr>
            <w:tcW w:w="1299" w:type="dxa"/>
            <w:vMerge/>
            <w:tcBorders>
              <w:bottom w:val="single" w:sz="12" w:space="0" w:color="auto"/>
            </w:tcBorders>
          </w:tcPr>
          <w:p w:rsidR="00F92819" w:rsidRDefault="00F92819">
            <w:pPr>
              <w:keepNext/>
              <w:keepLines/>
              <w:spacing w:before="80" w:after="80" w:line="200" w:lineRule="exact"/>
              <w:jc w:val="right"/>
              <w:rPr>
                <w:i/>
                <w:sz w:val="16"/>
                <w:szCs w:val="24"/>
              </w:rPr>
            </w:pPr>
          </w:p>
        </w:tc>
        <w:tc>
          <w:tcPr>
            <w:tcW w:w="1299" w:type="dxa"/>
            <w:vMerge/>
            <w:tcBorders>
              <w:bottom w:val="single" w:sz="12" w:space="0" w:color="auto"/>
              <w:right w:val="single" w:sz="24" w:space="0" w:color="FFFFFF"/>
            </w:tcBorders>
          </w:tcPr>
          <w:p w:rsidR="00F92819" w:rsidRDefault="00F92819">
            <w:pPr>
              <w:keepNext/>
              <w:keepLines/>
              <w:spacing w:before="80" w:after="80" w:line="200" w:lineRule="exact"/>
              <w:jc w:val="right"/>
              <w:rPr>
                <w:i/>
                <w:sz w:val="16"/>
                <w:szCs w:val="24"/>
              </w:rPr>
            </w:pPr>
          </w:p>
        </w:tc>
        <w:tc>
          <w:tcPr>
            <w:tcW w:w="1300" w:type="dxa"/>
            <w:tcBorders>
              <w:top w:val="single" w:sz="4" w:space="0" w:color="auto"/>
              <w:left w:val="single" w:sz="24" w:space="0" w:color="FFFFFF"/>
              <w:bottom w:val="single" w:sz="12" w:space="0" w:color="auto"/>
            </w:tcBorders>
            <w:vAlign w:val="bottom"/>
          </w:tcPr>
          <w:p w:rsidR="00F92819" w:rsidRDefault="00F92819">
            <w:pPr>
              <w:keepNext/>
              <w:keepLines/>
              <w:spacing w:before="80" w:after="80" w:line="200" w:lineRule="exact"/>
              <w:jc w:val="right"/>
              <w:rPr>
                <w:szCs w:val="24"/>
              </w:rPr>
            </w:pPr>
            <w:r>
              <w:rPr>
                <w:i/>
                <w:sz w:val="16"/>
                <w:szCs w:val="24"/>
                <w:lang w:val="es-ES_tradnl"/>
              </w:rPr>
              <w:t>Consumo intermedio</w:t>
            </w:r>
          </w:p>
        </w:tc>
        <w:tc>
          <w:tcPr>
            <w:tcW w:w="1299" w:type="dxa"/>
            <w:tcBorders>
              <w:top w:val="single" w:sz="4" w:space="0" w:color="auto"/>
              <w:bottom w:val="single" w:sz="12" w:space="0" w:color="auto"/>
            </w:tcBorders>
            <w:vAlign w:val="bottom"/>
          </w:tcPr>
          <w:p w:rsidR="00F92819" w:rsidRDefault="00F92819">
            <w:pPr>
              <w:keepNext/>
              <w:keepLines/>
              <w:spacing w:before="80" w:after="80" w:line="200" w:lineRule="exact"/>
              <w:jc w:val="right"/>
              <w:rPr>
                <w:szCs w:val="24"/>
              </w:rPr>
            </w:pPr>
            <w:r>
              <w:rPr>
                <w:i/>
                <w:sz w:val="16"/>
                <w:szCs w:val="24"/>
                <w:lang w:val="es-ES_tradnl"/>
              </w:rPr>
              <w:t>Costos de mano de obra</w:t>
            </w:r>
          </w:p>
        </w:tc>
        <w:tc>
          <w:tcPr>
            <w:tcW w:w="1299" w:type="dxa"/>
            <w:tcBorders>
              <w:top w:val="single" w:sz="4" w:space="0" w:color="auto"/>
              <w:bottom w:val="single" w:sz="12" w:space="0" w:color="auto"/>
            </w:tcBorders>
            <w:vAlign w:val="bottom"/>
          </w:tcPr>
          <w:p w:rsidR="00F92819" w:rsidRDefault="00F92819">
            <w:pPr>
              <w:keepNext/>
              <w:keepLines/>
              <w:spacing w:before="80" w:after="80" w:line="200" w:lineRule="exact"/>
              <w:jc w:val="right"/>
              <w:rPr>
                <w:szCs w:val="24"/>
              </w:rPr>
            </w:pPr>
            <w:r>
              <w:rPr>
                <w:b/>
                <w:i/>
                <w:sz w:val="16"/>
                <w:szCs w:val="24"/>
                <w:lang w:val="es-ES_tradnl"/>
              </w:rPr>
              <w:t>Total</w:t>
            </w:r>
          </w:p>
        </w:tc>
        <w:tc>
          <w:tcPr>
            <w:tcW w:w="1300" w:type="dxa"/>
            <w:vMerge/>
            <w:tcBorders>
              <w:bottom w:val="single" w:sz="12" w:space="0" w:color="auto"/>
            </w:tcBorders>
            <w:vAlign w:val="bottom"/>
          </w:tcPr>
          <w:p w:rsidR="00F92819" w:rsidRDefault="00F92819">
            <w:pPr>
              <w:keepNext/>
              <w:keepLines/>
              <w:spacing w:before="80" w:after="80" w:line="200" w:lineRule="exact"/>
              <w:jc w:val="right"/>
              <w:rPr>
                <w:b/>
                <w:i/>
                <w:sz w:val="16"/>
                <w:szCs w:val="24"/>
              </w:rPr>
            </w:pPr>
          </w:p>
        </w:tc>
      </w:tr>
      <w:tr w:rsidR="00F92819">
        <w:tc>
          <w:tcPr>
            <w:tcW w:w="709" w:type="dxa"/>
            <w:tcBorders>
              <w:top w:val="single" w:sz="12" w:space="0" w:color="auto"/>
            </w:tcBorders>
            <w:vAlign w:val="bottom"/>
          </w:tcPr>
          <w:p w:rsidR="00F92819" w:rsidRDefault="00F92819">
            <w:pPr>
              <w:spacing w:before="40" w:after="40" w:line="220" w:lineRule="exact"/>
              <w:rPr>
                <w:sz w:val="18"/>
                <w:szCs w:val="24"/>
              </w:rPr>
            </w:pPr>
          </w:p>
        </w:tc>
        <w:tc>
          <w:tcPr>
            <w:tcW w:w="7796" w:type="dxa"/>
            <w:gridSpan w:val="6"/>
            <w:tcBorders>
              <w:top w:val="single" w:sz="12" w:space="0" w:color="auto"/>
            </w:tcBorders>
            <w:vAlign w:val="bottom"/>
          </w:tcPr>
          <w:p w:rsidR="00F92819" w:rsidRDefault="00F92819">
            <w:pPr>
              <w:spacing w:before="40" w:after="40" w:line="220" w:lineRule="exact"/>
              <w:rPr>
                <w:szCs w:val="24"/>
              </w:rPr>
            </w:pPr>
            <w:r>
              <w:rPr>
                <w:sz w:val="18"/>
                <w:szCs w:val="24"/>
                <w:lang w:val="es-ES_tradnl"/>
              </w:rPr>
              <w:t>Millones de nuevos sheqalim, a precios corrientes</w:t>
            </w:r>
          </w:p>
        </w:tc>
      </w:tr>
      <w:tr w:rsidR="00F92819">
        <w:tc>
          <w:tcPr>
            <w:tcW w:w="709" w:type="dxa"/>
          </w:tcPr>
          <w:p w:rsidR="00F92819" w:rsidRDefault="00F92819">
            <w:pPr>
              <w:spacing w:before="40" w:after="40" w:line="220" w:lineRule="exact"/>
              <w:rPr>
                <w:sz w:val="18"/>
                <w:szCs w:val="18"/>
              </w:rPr>
            </w:pPr>
            <w:r>
              <w:rPr>
                <w:sz w:val="18"/>
                <w:szCs w:val="18"/>
                <w:rtl/>
                <w:lang w:bidi="he-IL"/>
              </w:rPr>
              <w:t>2002</w:t>
            </w:r>
          </w:p>
        </w:tc>
        <w:tc>
          <w:tcPr>
            <w:tcW w:w="1299" w:type="dxa"/>
          </w:tcPr>
          <w:p w:rsidR="00F92819" w:rsidRDefault="00F92819">
            <w:pPr>
              <w:spacing w:before="40" w:after="40" w:line="220" w:lineRule="exact"/>
              <w:jc w:val="right"/>
              <w:rPr>
                <w:sz w:val="18"/>
                <w:szCs w:val="24"/>
              </w:rPr>
            </w:pPr>
            <w:r>
              <w:rPr>
                <w:sz w:val="18"/>
                <w:szCs w:val="24"/>
              </w:rPr>
              <w:t>1 886</w:t>
            </w:r>
          </w:p>
        </w:tc>
        <w:tc>
          <w:tcPr>
            <w:tcW w:w="1299" w:type="dxa"/>
          </w:tcPr>
          <w:p w:rsidR="00F92819" w:rsidRDefault="00F92819">
            <w:pPr>
              <w:spacing w:before="40" w:after="40" w:line="220" w:lineRule="exact"/>
              <w:jc w:val="right"/>
              <w:rPr>
                <w:sz w:val="18"/>
                <w:szCs w:val="24"/>
              </w:rPr>
            </w:pPr>
            <w:r>
              <w:rPr>
                <w:sz w:val="18"/>
                <w:szCs w:val="24"/>
              </w:rPr>
              <w:t>88</w:t>
            </w:r>
          </w:p>
        </w:tc>
        <w:tc>
          <w:tcPr>
            <w:tcW w:w="1300" w:type="dxa"/>
          </w:tcPr>
          <w:p w:rsidR="00F92819" w:rsidRDefault="00F92819">
            <w:pPr>
              <w:spacing w:before="40" w:after="40" w:line="220" w:lineRule="exact"/>
              <w:jc w:val="right"/>
              <w:rPr>
                <w:sz w:val="18"/>
                <w:szCs w:val="24"/>
              </w:rPr>
            </w:pPr>
            <w:r>
              <w:rPr>
                <w:sz w:val="18"/>
                <w:szCs w:val="24"/>
              </w:rPr>
              <w:t>150</w:t>
            </w:r>
          </w:p>
        </w:tc>
        <w:tc>
          <w:tcPr>
            <w:tcW w:w="1299" w:type="dxa"/>
          </w:tcPr>
          <w:p w:rsidR="00F92819" w:rsidRDefault="00F92819">
            <w:pPr>
              <w:spacing w:before="40" w:after="40" w:line="220" w:lineRule="exact"/>
              <w:jc w:val="right"/>
              <w:rPr>
                <w:sz w:val="18"/>
                <w:szCs w:val="24"/>
              </w:rPr>
            </w:pPr>
            <w:r>
              <w:rPr>
                <w:sz w:val="18"/>
                <w:szCs w:val="24"/>
              </w:rPr>
              <w:t>193</w:t>
            </w:r>
          </w:p>
        </w:tc>
        <w:tc>
          <w:tcPr>
            <w:tcW w:w="1299" w:type="dxa"/>
          </w:tcPr>
          <w:p w:rsidR="00F92819" w:rsidRDefault="00F92819">
            <w:pPr>
              <w:spacing w:before="40" w:after="40" w:line="220" w:lineRule="exact"/>
              <w:jc w:val="right"/>
              <w:rPr>
                <w:b/>
                <w:sz w:val="18"/>
                <w:szCs w:val="24"/>
              </w:rPr>
            </w:pPr>
            <w:r>
              <w:rPr>
                <w:b/>
                <w:sz w:val="18"/>
                <w:szCs w:val="24"/>
              </w:rPr>
              <w:t>343</w:t>
            </w:r>
          </w:p>
        </w:tc>
        <w:tc>
          <w:tcPr>
            <w:tcW w:w="1300" w:type="dxa"/>
          </w:tcPr>
          <w:p w:rsidR="00F92819" w:rsidRDefault="00F92819">
            <w:pPr>
              <w:spacing w:before="40" w:after="40" w:line="220" w:lineRule="exact"/>
              <w:jc w:val="right"/>
              <w:rPr>
                <w:b/>
                <w:sz w:val="18"/>
                <w:szCs w:val="24"/>
              </w:rPr>
            </w:pPr>
            <w:r>
              <w:rPr>
                <w:b/>
                <w:sz w:val="18"/>
                <w:szCs w:val="24"/>
              </w:rPr>
              <w:t>2 317</w:t>
            </w:r>
          </w:p>
        </w:tc>
      </w:tr>
      <w:tr w:rsidR="00F92819">
        <w:tc>
          <w:tcPr>
            <w:tcW w:w="709" w:type="dxa"/>
          </w:tcPr>
          <w:p w:rsidR="00F92819" w:rsidRDefault="00F92819">
            <w:pPr>
              <w:spacing w:before="40" w:after="40" w:line="220" w:lineRule="exact"/>
              <w:rPr>
                <w:sz w:val="18"/>
                <w:szCs w:val="24"/>
              </w:rPr>
            </w:pPr>
            <w:r>
              <w:rPr>
                <w:sz w:val="18"/>
                <w:szCs w:val="24"/>
              </w:rPr>
              <w:t>2003</w:t>
            </w:r>
          </w:p>
        </w:tc>
        <w:tc>
          <w:tcPr>
            <w:tcW w:w="1299" w:type="dxa"/>
          </w:tcPr>
          <w:p w:rsidR="00F92819" w:rsidRDefault="00F92819">
            <w:pPr>
              <w:spacing w:before="40" w:after="40" w:line="220" w:lineRule="exact"/>
              <w:jc w:val="right"/>
              <w:rPr>
                <w:sz w:val="18"/>
                <w:szCs w:val="24"/>
              </w:rPr>
            </w:pPr>
            <w:r>
              <w:rPr>
                <w:sz w:val="18"/>
                <w:szCs w:val="24"/>
              </w:rPr>
              <w:t>2 126</w:t>
            </w:r>
          </w:p>
        </w:tc>
        <w:tc>
          <w:tcPr>
            <w:tcW w:w="1299" w:type="dxa"/>
          </w:tcPr>
          <w:p w:rsidR="00F92819" w:rsidRDefault="00F92819">
            <w:pPr>
              <w:spacing w:before="40" w:after="40" w:line="220" w:lineRule="exact"/>
              <w:jc w:val="right"/>
              <w:rPr>
                <w:sz w:val="18"/>
                <w:szCs w:val="24"/>
              </w:rPr>
            </w:pPr>
            <w:r>
              <w:rPr>
                <w:sz w:val="18"/>
                <w:szCs w:val="24"/>
              </w:rPr>
              <w:t>101</w:t>
            </w:r>
          </w:p>
        </w:tc>
        <w:tc>
          <w:tcPr>
            <w:tcW w:w="1300" w:type="dxa"/>
          </w:tcPr>
          <w:p w:rsidR="00F92819" w:rsidRDefault="00F92819">
            <w:pPr>
              <w:spacing w:before="40" w:after="40" w:line="220" w:lineRule="exact"/>
              <w:jc w:val="right"/>
              <w:rPr>
                <w:sz w:val="18"/>
                <w:szCs w:val="24"/>
              </w:rPr>
            </w:pPr>
            <w:r>
              <w:rPr>
                <w:sz w:val="18"/>
                <w:szCs w:val="24"/>
              </w:rPr>
              <w:t>179</w:t>
            </w:r>
          </w:p>
        </w:tc>
        <w:tc>
          <w:tcPr>
            <w:tcW w:w="1299" w:type="dxa"/>
          </w:tcPr>
          <w:p w:rsidR="00F92819" w:rsidRDefault="00F92819">
            <w:pPr>
              <w:spacing w:before="40" w:after="40" w:line="220" w:lineRule="exact"/>
              <w:jc w:val="right"/>
              <w:rPr>
                <w:sz w:val="18"/>
                <w:szCs w:val="24"/>
              </w:rPr>
            </w:pPr>
            <w:r>
              <w:rPr>
                <w:sz w:val="18"/>
                <w:szCs w:val="24"/>
              </w:rPr>
              <w:t>177</w:t>
            </w:r>
          </w:p>
        </w:tc>
        <w:tc>
          <w:tcPr>
            <w:tcW w:w="1299" w:type="dxa"/>
          </w:tcPr>
          <w:p w:rsidR="00F92819" w:rsidRDefault="00F92819">
            <w:pPr>
              <w:spacing w:before="40" w:after="40" w:line="220" w:lineRule="exact"/>
              <w:jc w:val="right"/>
              <w:rPr>
                <w:b/>
                <w:sz w:val="18"/>
                <w:szCs w:val="24"/>
              </w:rPr>
            </w:pPr>
            <w:r>
              <w:rPr>
                <w:b/>
                <w:sz w:val="18"/>
                <w:szCs w:val="24"/>
              </w:rPr>
              <w:t>356</w:t>
            </w:r>
          </w:p>
        </w:tc>
        <w:tc>
          <w:tcPr>
            <w:tcW w:w="1300" w:type="dxa"/>
          </w:tcPr>
          <w:p w:rsidR="00F92819" w:rsidRDefault="00F92819">
            <w:pPr>
              <w:spacing w:before="40" w:after="40" w:line="220" w:lineRule="exact"/>
              <w:jc w:val="right"/>
              <w:rPr>
                <w:b/>
                <w:sz w:val="18"/>
                <w:szCs w:val="24"/>
              </w:rPr>
            </w:pPr>
            <w:r>
              <w:rPr>
                <w:b/>
                <w:sz w:val="18"/>
                <w:szCs w:val="24"/>
              </w:rPr>
              <w:t>2 574</w:t>
            </w:r>
          </w:p>
        </w:tc>
      </w:tr>
      <w:tr w:rsidR="00F92819">
        <w:tc>
          <w:tcPr>
            <w:tcW w:w="709" w:type="dxa"/>
          </w:tcPr>
          <w:p w:rsidR="00F92819" w:rsidRDefault="00F92819">
            <w:pPr>
              <w:spacing w:before="40" w:after="40" w:line="220" w:lineRule="exact"/>
              <w:rPr>
                <w:sz w:val="18"/>
                <w:szCs w:val="24"/>
              </w:rPr>
            </w:pPr>
            <w:r>
              <w:rPr>
                <w:sz w:val="18"/>
                <w:szCs w:val="24"/>
              </w:rPr>
              <w:t>2004</w:t>
            </w:r>
          </w:p>
        </w:tc>
        <w:tc>
          <w:tcPr>
            <w:tcW w:w="1299" w:type="dxa"/>
          </w:tcPr>
          <w:p w:rsidR="00F92819" w:rsidRDefault="00F92819">
            <w:pPr>
              <w:spacing w:before="40" w:after="40" w:line="220" w:lineRule="exact"/>
              <w:jc w:val="right"/>
              <w:rPr>
                <w:sz w:val="18"/>
                <w:szCs w:val="24"/>
              </w:rPr>
            </w:pPr>
            <w:r>
              <w:rPr>
                <w:sz w:val="18"/>
                <w:szCs w:val="24"/>
              </w:rPr>
              <w:t>1 690</w:t>
            </w:r>
          </w:p>
        </w:tc>
        <w:tc>
          <w:tcPr>
            <w:tcW w:w="1299" w:type="dxa"/>
          </w:tcPr>
          <w:p w:rsidR="00F92819" w:rsidRDefault="00F92819">
            <w:pPr>
              <w:spacing w:before="40" w:after="40" w:line="220" w:lineRule="exact"/>
              <w:jc w:val="right"/>
              <w:rPr>
                <w:sz w:val="18"/>
                <w:szCs w:val="24"/>
              </w:rPr>
            </w:pPr>
            <w:r>
              <w:rPr>
                <w:sz w:val="18"/>
                <w:szCs w:val="24"/>
              </w:rPr>
              <w:t>156</w:t>
            </w:r>
          </w:p>
        </w:tc>
        <w:tc>
          <w:tcPr>
            <w:tcW w:w="1300" w:type="dxa"/>
          </w:tcPr>
          <w:p w:rsidR="00F92819" w:rsidRDefault="00F92819">
            <w:pPr>
              <w:spacing w:before="40" w:after="40" w:line="220" w:lineRule="exact"/>
              <w:jc w:val="right"/>
              <w:rPr>
                <w:sz w:val="18"/>
                <w:szCs w:val="24"/>
              </w:rPr>
            </w:pPr>
            <w:r>
              <w:rPr>
                <w:sz w:val="18"/>
                <w:szCs w:val="24"/>
              </w:rPr>
              <w:t>152</w:t>
            </w:r>
          </w:p>
        </w:tc>
        <w:tc>
          <w:tcPr>
            <w:tcW w:w="1299" w:type="dxa"/>
          </w:tcPr>
          <w:p w:rsidR="00F92819" w:rsidRDefault="00F92819">
            <w:pPr>
              <w:spacing w:before="40" w:after="40" w:line="220" w:lineRule="exact"/>
              <w:jc w:val="right"/>
              <w:rPr>
                <w:sz w:val="18"/>
                <w:szCs w:val="24"/>
              </w:rPr>
            </w:pPr>
            <w:r>
              <w:rPr>
                <w:sz w:val="18"/>
                <w:szCs w:val="24"/>
              </w:rPr>
              <w:t>198</w:t>
            </w:r>
          </w:p>
        </w:tc>
        <w:tc>
          <w:tcPr>
            <w:tcW w:w="1299" w:type="dxa"/>
          </w:tcPr>
          <w:p w:rsidR="00F92819" w:rsidRDefault="00F92819">
            <w:pPr>
              <w:spacing w:before="40" w:after="40" w:line="220" w:lineRule="exact"/>
              <w:jc w:val="right"/>
              <w:rPr>
                <w:b/>
                <w:sz w:val="18"/>
                <w:szCs w:val="24"/>
              </w:rPr>
            </w:pPr>
            <w:r>
              <w:rPr>
                <w:b/>
                <w:sz w:val="18"/>
                <w:szCs w:val="24"/>
              </w:rPr>
              <w:t>350</w:t>
            </w:r>
          </w:p>
        </w:tc>
        <w:tc>
          <w:tcPr>
            <w:tcW w:w="1300" w:type="dxa"/>
          </w:tcPr>
          <w:p w:rsidR="00F92819" w:rsidRDefault="00F92819">
            <w:pPr>
              <w:spacing w:before="40" w:after="40" w:line="220" w:lineRule="exact"/>
              <w:jc w:val="right"/>
              <w:rPr>
                <w:b/>
                <w:sz w:val="18"/>
                <w:szCs w:val="24"/>
              </w:rPr>
            </w:pPr>
            <w:r>
              <w:rPr>
                <w:b/>
                <w:sz w:val="18"/>
                <w:szCs w:val="24"/>
              </w:rPr>
              <w:t>2 196</w:t>
            </w:r>
          </w:p>
        </w:tc>
      </w:tr>
      <w:tr w:rsidR="00F92819">
        <w:tc>
          <w:tcPr>
            <w:tcW w:w="709" w:type="dxa"/>
          </w:tcPr>
          <w:p w:rsidR="00F92819" w:rsidRDefault="00F92819">
            <w:pPr>
              <w:spacing w:before="40" w:after="40" w:line="220" w:lineRule="exact"/>
              <w:rPr>
                <w:sz w:val="18"/>
                <w:szCs w:val="24"/>
              </w:rPr>
            </w:pPr>
            <w:r>
              <w:rPr>
                <w:sz w:val="18"/>
                <w:szCs w:val="24"/>
              </w:rPr>
              <w:t>2005</w:t>
            </w:r>
          </w:p>
        </w:tc>
        <w:tc>
          <w:tcPr>
            <w:tcW w:w="1299" w:type="dxa"/>
          </w:tcPr>
          <w:p w:rsidR="00F92819" w:rsidRDefault="00F92819">
            <w:pPr>
              <w:spacing w:before="40" w:after="40" w:line="220" w:lineRule="exact"/>
              <w:jc w:val="right"/>
              <w:rPr>
                <w:sz w:val="18"/>
                <w:szCs w:val="24"/>
              </w:rPr>
            </w:pPr>
            <w:r>
              <w:rPr>
                <w:sz w:val="18"/>
                <w:szCs w:val="24"/>
              </w:rPr>
              <w:t>1 562</w:t>
            </w:r>
          </w:p>
        </w:tc>
        <w:tc>
          <w:tcPr>
            <w:tcW w:w="1299" w:type="dxa"/>
          </w:tcPr>
          <w:p w:rsidR="00F92819" w:rsidRDefault="00F92819">
            <w:pPr>
              <w:spacing w:before="40" w:after="40" w:line="220" w:lineRule="exact"/>
              <w:jc w:val="right"/>
              <w:rPr>
                <w:sz w:val="18"/>
                <w:szCs w:val="24"/>
              </w:rPr>
            </w:pPr>
            <w:r>
              <w:rPr>
                <w:sz w:val="18"/>
                <w:szCs w:val="24"/>
              </w:rPr>
              <w:t>128</w:t>
            </w:r>
          </w:p>
        </w:tc>
        <w:tc>
          <w:tcPr>
            <w:tcW w:w="1300" w:type="dxa"/>
          </w:tcPr>
          <w:p w:rsidR="00F92819" w:rsidRDefault="00F92819">
            <w:pPr>
              <w:spacing w:before="40" w:after="40" w:line="220" w:lineRule="exact"/>
              <w:jc w:val="right"/>
              <w:rPr>
                <w:sz w:val="18"/>
                <w:szCs w:val="24"/>
              </w:rPr>
            </w:pPr>
            <w:r>
              <w:rPr>
                <w:sz w:val="18"/>
                <w:szCs w:val="24"/>
              </w:rPr>
              <w:t>155</w:t>
            </w:r>
          </w:p>
        </w:tc>
        <w:tc>
          <w:tcPr>
            <w:tcW w:w="1299" w:type="dxa"/>
          </w:tcPr>
          <w:p w:rsidR="00F92819" w:rsidRDefault="00F92819">
            <w:pPr>
              <w:spacing w:before="40" w:after="40" w:line="220" w:lineRule="exact"/>
              <w:jc w:val="right"/>
              <w:rPr>
                <w:sz w:val="18"/>
                <w:szCs w:val="24"/>
              </w:rPr>
            </w:pPr>
            <w:r>
              <w:rPr>
                <w:sz w:val="18"/>
                <w:szCs w:val="24"/>
              </w:rPr>
              <w:t>191</w:t>
            </w:r>
          </w:p>
        </w:tc>
        <w:tc>
          <w:tcPr>
            <w:tcW w:w="1299" w:type="dxa"/>
          </w:tcPr>
          <w:p w:rsidR="00F92819" w:rsidRDefault="00F92819">
            <w:pPr>
              <w:spacing w:before="40" w:after="40" w:line="220" w:lineRule="exact"/>
              <w:jc w:val="right"/>
              <w:rPr>
                <w:b/>
                <w:sz w:val="18"/>
                <w:szCs w:val="24"/>
              </w:rPr>
            </w:pPr>
            <w:r>
              <w:rPr>
                <w:b/>
                <w:sz w:val="18"/>
                <w:szCs w:val="24"/>
              </w:rPr>
              <w:t>346</w:t>
            </w:r>
          </w:p>
        </w:tc>
        <w:tc>
          <w:tcPr>
            <w:tcW w:w="1300" w:type="dxa"/>
          </w:tcPr>
          <w:p w:rsidR="00F92819" w:rsidRDefault="00F92819">
            <w:pPr>
              <w:spacing w:before="40" w:after="40" w:line="220" w:lineRule="exact"/>
              <w:jc w:val="right"/>
              <w:rPr>
                <w:b/>
                <w:sz w:val="18"/>
                <w:szCs w:val="24"/>
              </w:rPr>
            </w:pPr>
            <w:r>
              <w:rPr>
                <w:b/>
                <w:sz w:val="18"/>
                <w:szCs w:val="24"/>
              </w:rPr>
              <w:t>2 036</w:t>
            </w:r>
          </w:p>
        </w:tc>
      </w:tr>
      <w:tr w:rsidR="00F92819">
        <w:tc>
          <w:tcPr>
            <w:tcW w:w="709" w:type="dxa"/>
          </w:tcPr>
          <w:p w:rsidR="00F92819" w:rsidRDefault="00F92819">
            <w:pPr>
              <w:spacing w:before="40" w:after="40" w:line="220" w:lineRule="exact"/>
              <w:rPr>
                <w:sz w:val="18"/>
                <w:szCs w:val="24"/>
              </w:rPr>
            </w:pPr>
            <w:r>
              <w:rPr>
                <w:sz w:val="18"/>
                <w:szCs w:val="24"/>
              </w:rPr>
              <w:t>2006</w:t>
            </w:r>
          </w:p>
        </w:tc>
        <w:tc>
          <w:tcPr>
            <w:tcW w:w="1299" w:type="dxa"/>
          </w:tcPr>
          <w:p w:rsidR="00F92819" w:rsidRDefault="00F92819">
            <w:pPr>
              <w:spacing w:before="40" w:after="40" w:line="220" w:lineRule="exact"/>
              <w:jc w:val="right"/>
              <w:rPr>
                <w:sz w:val="18"/>
                <w:szCs w:val="24"/>
              </w:rPr>
            </w:pPr>
            <w:r>
              <w:rPr>
                <w:sz w:val="18"/>
                <w:szCs w:val="24"/>
              </w:rPr>
              <w:t>1 614</w:t>
            </w:r>
          </w:p>
        </w:tc>
        <w:tc>
          <w:tcPr>
            <w:tcW w:w="1299" w:type="dxa"/>
          </w:tcPr>
          <w:p w:rsidR="00F92819" w:rsidRDefault="00F92819">
            <w:pPr>
              <w:spacing w:before="40" w:after="40" w:line="220" w:lineRule="exact"/>
              <w:jc w:val="right"/>
              <w:rPr>
                <w:sz w:val="18"/>
                <w:szCs w:val="24"/>
              </w:rPr>
            </w:pPr>
            <w:r>
              <w:rPr>
                <w:sz w:val="18"/>
                <w:szCs w:val="24"/>
              </w:rPr>
              <w:t>129</w:t>
            </w:r>
          </w:p>
        </w:tc>
        <w:tc>
          <w:tcPr>
            <w:tcW w:w="1300" w:type="dxa"/>
          </w:tcPr>
          <w:p w:rsidR="00F92819" w:rsidRDefault="00F92819">
            <w:pPr>
              <w:spacing w:before="40" w:after="40" w:line="220" w:lineRule="exact"/>
              <w:jc w:val="right"/>
              <w:rPr>
                <w:sz w:val="18"/>
                <w:szCs w:val="24"/>
              </w:rPr>
            </w:pPr>
            <w:r>
              <w:rPr>
                <w:sz w:val="18"/>
                <w:szCs w:val="24"/>
              </w:rPr>
              <w:t>136</w:t>
            </w:r>
          </w:p>
        </w:tc>
        <w:tc>
          <w:tcPr>
            <w:tcW w:w="1299" w:type="dxa"/>
          </w:tcPr>
          <w:p w:rsidR="00F92819" w:rsidRDefault="00F92819">
            <w:pPr>
              <w:spacing w:before="40" w:after="40" w:line="220" w:lineRule="exact"/>
              <w:jc w:val="right"/>
              <w:rPr>
                <w:sz w:val="18"/>
                <w:szCs w:val="24"/>
              </w:rPr>
            </w:pPr>
            <w:r>
              <w:rPr>
                <w:sz w:val="18"/>
                <w:szCs w:val="24"/>
              </w:rPr>
              <w:t>199</w:t>
            </w:r>
          </w:p>
        </w:tc>
        <w:tc>
          <w:tcPr>
            <w:tcW w:w="1299" w:type="dxa"/>
          </w:tcPr>
          <w:p w:rsidR="00F92819" w:rsidRDefault="00F92819">
            <w:pPr>
              <w:spacing w:before="40" w:after="40" w:line="220" w:lineRule="exact"/>
              <w:jc w:val="right"/>
              <w:rPr>
                <w:b/>
                <w:sz w:val="18"/>
                <w:szCs w:val="24"/>
              </w:rPr>
            </w:pPr>
            <w:r>
              <w:rPr>
                <w:b/>
                <w:sz w:val="18"/>
                <w:szCs w:val="24"/>
              </w:rPr>
              <w:t>355</w:t>
            </w:r>
          </w:p>
        </w:tc>
        <w:tc>
          <w:tcPr>
            <w:tcW w:w="1300" w:type="dxa"/>
          </w:tcPr>
          <w:p w:rsidR="00F92819" w:rsidRDefault="00F92819">
            <w:pPr>
              <w:spacing w:before="40" w:after="40" w:line="220" w:lineRule="exact"/>
              <w:jc w:val="right"/>
              <w:rPr>
                <w:b/>
                <w:sz w:val="18"/>
                <w:szCs w:val="24"/>
              </w:rPr>
            </w:pPr>
            <w:r>
              <w:rPr>
                <w:b/>
                <w:sz w:val="18"/>
                <w:szCs w:val="24"/>
              </w:rPr>
              <w:t>2 078</w:t>
            </w:r>
          </w:p>
        </w:tc>
      </w:tr>
      <w:tr w:rsidR="00F92819">
        <w:tc>
          <w:tcPr>
            <w:tcW w:w="709" w:type="dxa"/>
            <w:tcBorders>
              <w:bottom w:val="single" w:sz="12" w:space="0" w:color="auto"/>
            </w:tcBorders>
          </w:tcPr>
          <w:p w:rsidR="00F92819" w:rsidRDefault="00F92819">
            <w:pPr>
              <w:spacing w:before="40" w:after="40" w:line="220" w:lineRule="exact"/>
              <w:rPr>
                <w:sz w:val="18"/>
                <w:szCs w:val="24"/>
              </w:rPr>
            </w:pPr>
            <w:r>
              <w:rPr>
                <w:sz w:val="18"/>
                <w:szCs w:val="24"/>
              </w:rPr>
              <w:t>2007</w:t>
            </w:r>
          </w:p>
        </w:tc>
        <w:tc>
          <w:tcPr>
            <w:tcW w:w="1299" w:type="dxa"/>
            <w:tcBorders>
              <w:bottom w:val="single" w:sz="12" w:space="0" w:color="auto"/>
            </w:tcBorders>
          </w:tcPr>
          <w:p w:rsidR="00F92819" w:rsidRDefault="00F92819">
            <w:pPr>
              <w:spacing w:before="40" w:after="40" w:line="220" w:lineRule="exact"/>
              <w:jc w:val="right"/>
              <w:rPr>
                <w:sz w:val="18"/>
                <w:szCs w:val="24"/>
              </w:rPr>
            </w:pPr>
            <w:r>
              <w:rPr>
                <w:sz w:val="18"/>
                <w:szCs w:val="24"/>
              </w:rPr>
              <w:t>1 473</w:t>
            </w:r>
          </w:p>
        </w:tc>
        <w:tc>
          <w:tcPr>
            <w:tcW w:w="1299" w:type="dxa"/>
            <w:tcBorders>
              <w:bottom w:val="single" w:sz="12" w:space="0" w:color="auto"/>
            </w:tcBorders>
          </w:tcPr>
          <w:p w:rsidR="00F92819" w:rsidRDefault="00F92819">
            <w:pPr>
              <w:spacing w:before="40" w:after="40" w:line="220" w:lineRule="exact"/>
              <w:jc w:val="right"/>
              <w:rPr>
                <w:sz w:val="18"/>
                <w:szCs w:val="24"/>
              </w:rPr>
            </w:pPr>
            <w:r>
              <w:rPr>
                <w:sz w:val="18"/>
                <w:szCs w:val="24"/>
              </w:rPr>
              <w:t>117</w:t>
            </w:r>
          </w:p>
        </w:tc>
        <w:tc>
          <w:tcPr>
            <w:tcW w:w="1300" w:type="dxa"/>
            <w:tcBorders>
              <w:bottom w:val="single" w:sz="12" w:space="0" w:color="auto"/>
            </w:tcBorders>
          </w:tcPr>
          <w:p w:rsidR="00F92819" w:rsidRDefault="00F92819">
            <w:pPr>
              <w:spacing w:before="40" w:after="40" w:line="220" w:lineRule="exact"/>
              <w:jc w:val="right"/>
              <w:rPr>
                <w:sz w:val="18"/>
                <w:szCs w:val="24"/>
              </w:rPr>
            </w:pPr>
            <w:r>
              <w:rPr>
                <w:sz w:val="18"/>
                <w:szCs w:val="24"/>
              </w:rPr>
              <w:t>152</w:t>
            </w:r>
          </w:p>
        </w:tc>
        <w:tc>
          <w:tcPr>
            <w:tcW w:w="1299" w:type="dxa"/>
            <w:tcBorders>
              <w:bottom w:val="single" w:sz="12" w:space="0" w:color="auto"/>
            </w:tcBorders>
          </w:tcPr>
          <w:p w:rsidR="00F92819" w:rsidRDefault="00F92819">
            <w:pPr>
              <w:spacing w:before="40" w:after="40" w:line="220" w:lineRule="exact"/>
              <w:jc w:val="right"/>
              <w:rPr>
                <w:sz w:val="18"/>
                <w:szCs w:val="24"/>
              </w:rPr>
            </w:pPr>
            <w:r>
              <w:rPr>
                <w:sz w:val="18"/>
                <w:szCs w:val="24"/>
              </w:rPr>
              <w:t>203</w:t>
            </w:r>
          </w:p>
        </w:tc>
        <w:tc>
          <w:tcPr>
            <w:tcW w:w="1299" w:type="dxa"/>
            <w:tcBorders>
              <w:bottom w:val="single" w:sz="12" w:space="0" w:color="auto"/>
            </w:tcBorders>
          </w:tcPr>
          <w:p w:rsidR="00F92819" w:rsidRDefault="00F92819">
            <w:pPr>
              <w:spacing w:before="40" w:after="40" w:line="220" w:lineRule="exact"/>
              <w:jc w:val="right"/>
              <w:rPr>
                <w:b/>
                <w:sz w:val="18"/>
                <w:szCs w:val="24"/>
              </w:rPr>
            </w:pPr>
            <w:r>
              <w:rPr>
                <w:b/>
                <w:sz w:val="18"/>
                <w:szCs w:val="24"/>
              </w:rPr>
              <w:t>355</w:t>
            </w:r>
          </w:p>
        </w:tc>
        <w:tc>
          <w:tcPr>
            <w:tcW w:w="1300" w:type="dxa"/>
            <w:tcBorders>
              <w:bottom w:val="single" w:sz="12" w:space="0" w:color="auto"/>
            </w:tcBorders>
          </w:tcPr>
          <w:p w:rsidR="00F92819" w:rsidRDefault="00F92819">
            <w:pPr>
              <w:spacing w:before="40" w:after="40" w:line="220" w:lineRule="exact"/>
              <w:jc w:val="right"/>
              <w:rPr>
                <w:b/>
                <w:sz w:val="18"/>
                <w:szCs w:val="24"/>
              </w:rPr>
            </w:pPr>
            <w:r>
              <w:rPr>
                <w:b/>
                <w:sz w:val="18"/>
                <w:szCs w:val="24"/>
              </w:rPr>
              <w:t>1 945</w:t>
            </w:r>
          </w:p>
        </w:tc>
      </w:tr>
    </w:tbl>
    <w:p w:rsidR="00F92819" w:rsidRDefault="00F92819">
      <w:pPr>
        <w:spacing w:before="120"/>
        <w:ind w:left="1134" w:right="1134" w:firstLine="170"/>
        <w:rPr>
          <w:i/>
          <w:szCs w:val="24"/>
        </w:rPr>
      </w:pPr>
      <w:r>
        <w:rPr>
          <w:i/>
          <w:sz w:val="18"/>
          <w:szCs w:val="24"/>
          <w:lang w:val="es-ES_tradnl"/>
        </w:rPr>
        <w:t>Fuente:</w:t>
      </w:r>
      <w:r>
        <w:rPr>
          <w:i/>
          <w:sz w:val="18"/>
          <w:szCs w:val="24"/>
        </w:rPr>
        <w:t xml:space="preserve"> </w:t>
      </w:r>
      <w:r>
        <w:rPr>
          <w:sz w:val="18"/>
          <w:szCs w:val="24"/>
          <w:lang w:val="es-ES_tradnl"/>
        </w:rPr>
        <w:t>Oficina Central de Estadística, Resumen estadístico de Israel, 2008.</w:t>
      </w:r>
    </w:p>
    <w:p w:rsidR="00F92819" w:rsidRDefault="00F92819">
      <w:pPr>
        <w:spacing w:after="240"/>
        <w:ind w:left="1134" w:right="1134" w:firstLine="170"/>
        <w:rPr>
          <w:sz w:val="18"/>
          <w:szCs w:val="24"/>
        </w:rPr>
      </w:pPr>
      <w:r>
        <w:rPr>
          <w:lang w:val="es-ES_tradnl"/>
        </w:rPr>
        <w:t>*</w:t>
      </w:r>
      <w:r>
        <w:rPr>
          <w:sz w:val="18"/>
          <w:szCs w:val="24"/>
          <w:lang w:val="es-ES_tradnl"/>
        </w:rPr>
        <w:t xml:space="preserve"> </w:t>
      </w:r>
      <w:r w:rsidR="00E57FB3">
        <w:rPr>
          <w:sz w:val="18"/>
          <w:szCs w:val="24"/>
          <w:lang w:val="es-ES_tradnl"/>
        </w:rPr>
        <w:t xml:space="preserve"> </w:t>
      </w:r>
      <w:r>
        <w:rPr>
          <w:sz w:val="18"/>
          <w:szCs w:val="24"/>
          <w:lang w:val="es-ES_tradnl"/>
        </w:rPr>
        <w:t>Excluido el Comité de Planificación y Presupuestos del Consejo de Enseñanza Superior.</w:t>
      </w:r>
    </w:p>
    <w:p w:rsidR="00F92819" w:rsidRDefault="00F92819">
      <w:pPr>
        <w:pStyle w:val="H23G"/>
        <w:rPr>
          <w:szCs w:val="24"/>
        </w:rPr>
      </w:pPr>
      <w:r>
        <w:rPr>
          <w:szCs w:val="24"/>
        </w:rPr>
        <w:tab/>
      </w:r>
      <w:r>
        <w:rPr>
          <w:szCs w:val="24"/>
        </w:rPr>
        <w:tab/>
      </w:r>
      <w:r>
        <w:rPr>
          <w:szCs w:val="24"/>
          <w:lang w:val="es-ES_tradnl"/>
        </w:rPr>
        <w:t>Libertad de investigación científica y actividad creativa</w:t>
      </w:r>
    </w:p>
    <w:p w:rsidR="00F92819" w:rsidRDefault="00F92819">
      <w:pPr>
        <w:pStyle w:val="SingleTxtG"/>
        <w:rPr>
          <w:szCs w:val="24"/>
        </w:rPr>
      </w:pPr>
      <w:r>
        <w:rPr>
          <w:szCs w:val="24"/>
        </w:rPr>
        <w:t>663.</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Cooperación internacional</w:t>
      </w:r>
    </w:p>
    <w:p w:rsidR="00F92819" w:rsidRDefault="00F92819">
      <w:pPr>
        <w:pStyle w:val="SingleTxtG"/>
        <w:rPr>
          <w:szCs w:val="24"/>
        </w:rPr>
      </w:pPr>
      <w:r>
        <w:rPr>
          <w:szCs w:val="24"/>
        </w:rPr>
        <w:t>664.</w:t>
      </w:r>
      <w:r>
        <w:rPr>
          <w:szCs w:val="24"/>
        </w:rPr>
        <w:tab/>
      </w:r>
      <w:r>
        <w:rPr>
          <w:szCs w:val="24"/>
          <w:lang w:val="es-ES_tradnl"/>
        </w:rPr>
        <w:t xml:space="preserve">Esta cuestión se ha examinado en los anteriores informes de </w:t>
      </w:r>
      <w:smartTag w:uri="urn:schemas-microsoft-com:office:smarttags" w:element="country-region">
        <w:r>
          <w:rPr>
            <w:szCs w:val="24"/>
            <w:lang w:val="es-ES_tradnl"/>
          </w:rPr>
          <w:t>Israel</w:t>
        </w:r>
      </w:smartTag>
      <w:r>
        <w:rPr>
          <w:szCs w:val="24"/>
        </w:rPr>
        <w:t xml:space="preserve"> </w:t>
      </w:r>
      <w:r>
        <w:rPr>
          <w:szCs w:val="24"/>
          <w:lang w:val="es-ES_tradnl"/>
        </w:rPr>
        <w:t xml:space="preserve">y no ha habido cambios al respecto desde la presentación </w:t>
      </w:r>
      <w:smartTag w:uri="urn:schemas-microsoft-com:office:smarttags" w:element="State">
        <w:smartTag w:uri="urn:schemas-microsoft-com:office:smarttags" w:element="place">
          <w:r>
            <w:rPr>
              <w:szCs w:val="24"/>
              <w:lang w:val="es-ES_tradnl"/>
            </w:rPr>
            <w:t>del</w:t>
          </w:r>
        </w:smartTag>
      </w:smartTag>
      <w:r>
        <w:rPr>
          <w:szCs w:val="24"/>
          <w:lang w:val="es-ES_tradnl"/>
        </w:rPr>
        <w:t xml:space="preserve"> segundo informe periódico.</w:t>
      </w:r>
    </w:p>
    <w:p w:rsidR="00F92819" w:rsidRDefault="00F92819">
      <w:pPr>
        <w:pStyle w:val="H23G"/>
        <w:rPr>
          <w:szCs w:val="24"/>
        </w:rPr>
      </w:pPr>
      <w:r>
        <w:rPr>
          <w:szCs w:val="24"/>
        </w:rPr>
        <w:tab/>
      </w:r>
      <w:r>
        <w:rPr>
          <w:szCs w:val="24"/>
        </w:rPr>
        <w:tab/>
      </w:r>
      <w:r>
        <w:rPr>
          <w:szCs w:val="24"/>
          <w:lang w:val="es-ES_tradnl"/>
        </w:rPr>
        <w:t>Protección jurídica de la propiedad intelectual</w:t>
      </w:r>
    </w:p>
    <w:p w:rsidR="00F92819" w:rsidRDefault="00F92819">
      <w:pPr>
        <w:pStyle w:val="SingleTxtG"/>
        <w:rPr>
          <w:szCs w:val="24"/>
        </w:rPr>
      </w:pPr>
      <w:r>
        <w:rPr>
          <w:szCs w:val="24"/>
        </w:rPr>
        <w:t>665.</w:t>
      </w:r>
      <w:r>
        <w:rPr>
          <w:szCs w:val="24"/>
        </w:rPr>
        <w:tab/>
      </w:r>
      <w:r>
        <w:rPr>
          <w:szCs w:val="24"/>
          <w:lang w:val="es-ES_tradnl"/>
        </w:rPr>
        <w:t>El 25 de noviembre de 2007 el Knesset aprobó la</w:t>
      </w:r>
      <w:r>
        <w:rPr>
          <w:i/>
          <w:szCs w:val="24"/>
          <w:lang w:val="es-ES_tradnl"/>
        </w:rPr>
        <w:t xml:space="preserve"> Ley de derechos de autor</w:t>
      </w:r>
      <w:r>
        <w:rPr>
          <w:szCs w:val="24"/>
          <w:lang w:val="es-ES_tradnl"/>
        </w:rPr>
        <w:t xml:space="preserve"> de 5767/2007. </w:t>
      </w:r>
      <w:smartTag w:uri="urn:schemas-microsoft-com:office:smarttags" w:element="PersonName">
        <w:smartTagPr>
          <w:attr w:name="ProductID" w:val="la nueva Ley"/>
        </w:smartTagPr>
        <w:r>
          <w:rPr>
            <w:szCs w:val="24"/>
            <w:lang w:val="es-ES_tradnl"/>
          </w:rPr>
          <w:t>La nueva Ley</w:t>
        </w:r>
      </w:smartTag>
      <w:r>
        <w:rPr>
          <w:szCs w:val="24"/>
          <w:lang w:val="es-ES_tradnl"/>
        </w:rPr>
        <w:t xml:space="preserve"> entró en vigor en mayo de 2008 y sustituye a </w:t>
      </w:r>
      <w:smartTag w:uri="urn:schemas-microsoft-com:office:smarttags" w:element="PersonName">
        <w:smartTagPr>
          <w:attr w:name="ProductID" w:val="la anterior Ley"/>
        </w:smartTagPr>
        <w:r>
          <w:rPr>
            <w:szCs w:val="24"/>
            <w:lang w:val="es-ES_tradnl"/>
          </w:rPr>
          <w:t>la anterior Ley</w:t>
        </w:r>
      </w:smartTag>
      <w:r>
        <w:rPr>
          <w:szCs w:val="24"/>
          <w:lang w:val="es-ES_tradnl"/>
        </w:rPr>
        <w:t xml:space="preserve"> de derechos de autor de 1911.</w:t>
      </w:r>
    </w:p>
    <w:p w:rsidR="00F92819" w:rsidRDefault="00F92819">
      <w:pPr>
        <w:pStyle w:val="SingleTxtG"/>
        <w:rPr>
          <w:szCs w:val="24"/>
        </w:rPr>
      </w:pPr>
      <w:r>
        <w:rPr>
          <w:szCs w:val="24"/>
        </w:rPr>
        <w:t>666.</w:t>
      </w:r>
      <w:r>
        <w:rPr>
          <w:szCs w:val="24"/>
        </w:rPr>
        <w:tab/>
      </w:r>
      <w:smartTag w:uri="urn:schemas-microsoft-com:office:smarttags" w:element="PersonName">
        <w:smartTagPr>
          <w:attr w:name="ProductID" w:val="la nueva Ley"/>
        </w:smartTagPr>
        <w:r>
          <w:rPr>
            <w:szCs w:val="24"/>
            <w:lang w:val="es-ES_tradnl"/>
          </w:rPr>
          <w:t>La nueva Ley</w:t>
        </w:r>
      </w:smartTag>
      <w:r>
        <w:rPr>
          <w:szCs w:val="24"/>
          <w:lang w:val="es-ES_tradnl"/>
        </w:rPr>
        <w:t xml:space="preserve"> ofrece un marco integral actualizado para la protección de las obras con derechos de autor, representando el equilibrio adecuado entre la necesidad de facilitar incentivos para la creación otorgando derechos económicos sobre la propia creación, y la necesidad de permitir al público el uso de estas creaciones para la promoción del conocimiento y la cultura, preservando al mismo tiempo la libertad de expresión y creación y asegurando una competencia libre y justa.</w:t>
      </w:r>
    </w:p>
    <w:p w:rsidR="00F92819" w:rsidRDefault="00F92819">
      <w:pPr>
        <w:pStyle w:val="SingleTxtG"/>
        <w:rPr>
          <w:szCs w:val="24"/>
        </w:rPr>
      </w:pPr>
      <w:r>
        <w:rPr>
          <w:szCs w:val="24"/>
        </w:rPr>
        <w:t>667.</w:t>
      </w:r>
      <w:r>
        <w:rPr>
          <w:szCs w:val="24"/>
        </w:rPr>
        <w:tab/>
      </w:r>
      <w:r>
        <w:rPr>
          <w:szCs w:val="24"/>
          <w:lang w:val="es-ES_tradnl"/>
        </w:rPr>
        <w:t xml:space="preserve">La Ley recoge las obligaciones internacionales de Israel con respecto a la protección de la propiedad intelectual, incluidas las que se derivan del Convenio de Berna para la Protección de las Obras Literarias y Artísticas, el Acuerdo sobre los Aspectos de los Derechos de Propiedad Intelectual relacionados con el Comercio (ADPIC) y </w:t>
      </w:r>
      <w:smartTag w:uri="urn:schemas-microsoft-com:office:smarttags" w:element="PersonName">
        <w:smartTagPr>
          <w:attr w:name="ProductID" w:val="la Convenci￳n Internacional"/>
        </w:smartTagPr>
        <w:r>
          <w:rPr>
            <w:szCs w:val="24"/>
            <w:lang w:val="es-ES_tradnl"/>
          </w:rPr>
          <w:t>la Convención Internacional</w:t>
        </w:r>
      </w:smartTag>
      <w:r>
        <w:rPr>
          <w:szCs w:val="24"/>
          <w:lang w:val="es-ES_tradnl"/>
        </w:rPr>
        <w:t xml:space="preserve"> sobre la Protección de los Artistas Intérpretes o Ejecutantes, de los Productores de Fonogramas y los Organismos de Radiodifusión.</w:t>
      </w:r>
    </w:p>
    <w:p w:rsidR="00F92819" w:rsidRDefault="00F92819">
      <w:pPr>
        <w:spacing w:before="240"/>
        <w:jc w:val="center"/>
        <w:rPr>
          <w:szCs w:val="24"/>
          <w:u w:val="single"/>
        </w:rPr>
      </w:pPr>
      <w:r>
        <w:rPr>
          <w:szCs w:val="24"/>
          <w:u w:val="single"/>
        </w:rPr>
        <w:tab/>
      </w:r>
      <w:r>
        <w:rPr>
          <w:szCs w:val="24"/>
          <w:u w:val="single"/>
        </w:rPr>
        <w:tab/>
      </w:r>
      <w:r>
        <w:rPr>
          <w:szCs w:val="24"/>
          <w:u w:val="single"/>
        </w:rPr>
        <w:tab/>
      </w:r>
    </w:p>
    <w:p w:rsidR="00F92819" w:rsidRDefault="00F92819">
      <w:pPr>
        <w:pStyle w:val="SingleTxtG"/>
        <w:rPr>
          <w:szCs w:val="24"/>
        </w:rPr>
      </w:pPr>
    </w:p>
    <w:p w:rsidR="00F92819" w:rsidRPr="001075E9" w:rsidRDefault="00F92819">
      <w:pPr>
        <w:pStyle w:val="Bullet1G"/>
        <w:numPr>
          <w:ilvl w:val="0"/>
          <w:numId w:val="0"/>
        </w:numPr>
      </w:pPr>
    </w:p>
    <w:sectPr w:rsidR="00F92819" w:rsidRPr="001075E9">
      <w:headerReference w:type="even" r:id="rId9"/>
      <w:headerReference w:type="default" r:id="rId10"/>
      <w:footerReference w:type="even" r:id="rId11"/>
      <w:footerReference w:type="default" r:id="rId12"/>
      <w:footerReference w:type="first" r:id="rId13"/>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92819" w:rsidRDefault="00F92819">
      <w:r>
        <w:separator/>
      </w:r>
    </w:p>
  </w:endnote>
  <w:endnote w:type="continuationSeparator" w:id="0">
    <w:p w:rsidR="00F92819" w:rsidRDefault="00F928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NewRoman,Italic">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819" w:rsidRDefault="00F92819">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8C04D7">
      <w:rPr>
        <w:b/>
        <w:noProof/>
        <w:sz w:val="18"/>
      </w:rPr>
      <w:t>86</w:t>
    </w:r>
    <w:r>
      <w:rPr>
        <w:b/>
        <w:sz w:val="18"/>
      </w:rPr>
      <w:fldChar w:fldCharType="end"/>
    </w:r>
    <w:r>
      <w:rPr>
        <w:b/>
        <w:sz w:val="18"/>
      </w:rPr>
      <w:tab/>
    </w:r>
    <w:r>
      <w:t>GE.10-43628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819" w:rsidRDefault="00F92819">
    <w:pPr>
      <w:pStyle w:val="Footer"/>
      <w:tabs>
        <w:tab w:val="right" w:pos="9598"/>
      </w:tabs>
      <w:rPr>
        <w:b/>
        <w:sz w:val="18"/>
      </w:rPr>
    </w:pPr>
    <w:r>
      <w:t>GE.10-43628 (EXT)</w:t>
    </w:r>
    <w:r>
      <w:tab/>
    </w:r>
    <w:r>
      <w:rPr>
        <w:b/>
        <w:sz w:val="18"/>
      </w:rPr>
      <w:fldChar w:fldCharType="begin"/>
    </w:r>
    <w:r>
      <w:rPr>
        <w:b/>
        <w:sz w:val="18"/>
      </w:rPr>
      <w:instrText xml:space="preserve"> PAGE  \* MERGEFORMAT </w:instrText>
    </w:r>
    <w:r>
      <w:rPr>
        <w:b/>
        <w:sz w:val="18"/>
      </w:rPr>
      <w:fldChar w:fldCharType="separate"/>
    </w:r>
    <w:r w:rsidR="008C04D7">
      <w:rPr>
        <w:b/>
        <w:noProof/>
        <w:sz w:val="18"/>
      </w:rPr>
      <w:t>87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819" w:rsidRDefault="00F92819">
    <w:pPr>
      <w:pStyle w:val="Footer"/>
    </w:pPr>
    <w:r>
      <w:rPr>
        <w:sz w:val="20"/>
      </w:rPr>
      <w:t>GE.10-43628 (EXT)</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92819" w:rsidRPr="001075E9" w:rsidRDefault="00F92819">
      <w:pPr>
        <w:tabs>
          <w:tab w:val="right" w:pos="2155"/>
        </w:tabs>
        <w:spacing w:after="80" w:line="240" w:lineRule="auto"/>
        <w:ind w:left="680"/>
        <w:rPr>
          <w:u w:val="single"/>
        </w:rPr>
      </w:pPr>
      <w:r>
        <w:rPr>
          <w:u w:val="single"/>
        </w:rPr>
        <w:tab/>
      </w:r>
    </w:p>
  </w:footnote>
  <w:footnote w:type="continuationSeparator" w:id="0">
    <w:p w:rsidR="00F92819" w:rsidRDefault="00F92819">
      <w:r>
        <w:continuationSeparator/>
      </w:r>
    </w:p>
  </w:footnote>
  <w:footnote w:id="1">
    <w:p w:rsidR="00F92819" w:rsidRDefault="00F92819">
      <w:pPr>
        <w:pStyle w:val="FootnoteText"/>
        <w:rPr>
          <w:szCs w:val="24"/>
        </w:rPr>
      </w:pPr>
      <w:r>
        <w:rPr>
          <w:szCs w:val="24"/>
        </w:rPr>
        <w:tab/>
      </w:r>
      <w:r w:rsidRPr="00DE5B4C">
        <w:rPr>
          <w:rStyle w:val="FootnoteReference"/>
          <w:sz w:val="20"/>
          <w:szCs w:val="24"/>
          <w:vertAlign w:val="baseline"/>
        </w:rPr>
        <w:t>*</w:t>
      </w:r>
      <w:r>
        <w:rPr>
          <w:szCs w:val="24"/>
        </w:rPr>
        <w:tab/>
      </w:r>
      <w:r>
        <w:rPr>
          <w:szCs w:val="24"/>
          <w:lang w:val="es-ES_tradnl"/>
        </w:rPr>
        <w:t>Con arreglo a la información transmitida a los Estados partes acerca de la publicación de sus informes, el presente documento no fue objeto de revisión editorial antes de ser enviado a los servicios de traducción de las Naciones Unidas.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819" w:rsidRDefault="00F92819">
    <w:pPr>
      <w:pStyle w:val="Header"/>
    </w:pPr>
    <w:r>
      <w:t>E/C.12/ISR/3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2819" w:rsidRDefault="00F92819">
    <w:pPr>
      <w:pStyle w:val="Header"/>
      <w:jc w:val="right"/>
    </w:pPr>
    <w:r>
      <w:t>E/C.12/ISR/3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lvlText w:val="%1."/>
      <w:lvlJc w:val="left"/>
      <w:pPr>
        <w:tabs>
          <w:tab w:val="num" w:pos="1494"/>
        </w:tabs>
        <w:ind w:left="1134"/>
      </w:pPr>
      <w:rPr>
        <w:rFonts w:ascii="Times New Roman" w:hAnsi="Times New Roman" w:cs="Times New Roman" w:hint="default"/>
        <w:b w:val="0"/>
        <w:i w:val="0"/>
        <w:sz w:val="20"/>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1">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1FB77951"/>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4E4A2EC9"/>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7">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737406E1"/>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7"/>
  </w:num>
  <w:num w:numId="2">
    <w:abstractNumId w:val="14"/>
  </w:num>
  <w:num w:numId="3">
    <w:abstractNumId w:val="20"/>
  </w:num>
  <w:num w:numId="4">
    <w:abstractNumId w:val="18"/>
  </w:num>
  <w:num w:numId="5">
    <w:abstractNumId w:val="16"/>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3"/>
  </w:num>
  <w:num w:numId="17">
    <w:abstractNumId w:val="11"/>
  </w:num>
  <w:num w:numId="18">
    <w:abstractNumId w:val="10"/>
  </w:num>
  <w:num w:numId="19">
    <w:abstractNumId w:val="15"/>
  </w:num>
  <w:num w:numId="20">
    <w:abstractNumId w:val="12"/>
  </w:num>
  <w:num w:numId="21">
    <w:abstractNumId w:val="19"/>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2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E5B4C"/>
    <w:rsid w:val="001D63DF"/>
    <w:rsid w:val="002B478C"/>
    <w:rsid w:val="003B4BD2"/>
    <w:rsid w:val="003F5999"/>
    <w:rsid w:val="00484C55"/>
    <w:rsid w:val="0054081D"/>
    <w:rsid w:val="005B559E"/>
    <w:rsid w:val="005D0AA3"/>
    <w:rsid w:val="0063063E"/>
    <w:rsid w:val="00661928"/>
    <w:rsid w:val="006762F1"/>
    <w:rsid w:val="00713E0E"/>
    <w:rsid w:val="00734563"/>
    <w:rsid w:val="007774AD"/>
    <w:rsid w:val="0078331E"/>
    <w:rsid w:val="0081365B"/>
    <w:rsid w:val="008C04D7"/>
    <w:rsid w:val="009012A2"/>
    <w:rsid w:val="00941BD7"/>
    <w:rsid w:val="00943B28"/>
    <w:rsid w:val="009516FC"/>
    <w:rsid w:val="009864AF"/>
    <w:rsid w:val="009A65F8"/>
    <w:rsid w:val="00A328DC"/>
    <w:rsid w:val="00A467D4"/>
    <w:rsid w:val="00A63340"/>
    <w:rsid w:val="00A80039"/>
    <w:rsid w:val="00BF7677"/>
    <w:rsid w:val="00CE2561"/>
    <w:rsid w:val="00D715FC"/>
    <w:rsid w:val="00D778AD"/>
    <w:rsid w:val="00D856A9"/>
    <w:rsid w:val="00D94ACB"/>
    <w:rsid w:val="00DE3F4D"/>
    <w:rsid w:val="00DE53A9"/>
    <w:rsid w:val="00DE5B4C"/>
    <w:rsid w:val="00E57FB3"/>
    <w:rsid w:val="00F928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martTagType w:namespaceuri="urn:schemas-microsoft-com:office:smarttags" w:name="State"/>
  <w:smartTagType w:namespaceuri="urn:schemas-microsoft-com:office:smarttags" w:name="country-region"/>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apple-style-span">
    <w:name w:val="apple-style-span"/>
    <w:link w:val="H56G"/>
    <w:rPr>
      <w:lang w:val="es-ES" w:eastAsia="es-ES" w:bidi="ar-SA"/>
    </w:rPr>
  </w:style>
  <w:style w:type="paragraph" w:customStyle="1" w:styleId="ParaNoG">
    <w:name w:val="_ParaNo._G"/>
    <w:basedOn w:val="SingleTxtG"/>
    <w:pPr>
      <w:numPr>
        <w:numId w:val="13"/>
      </w:numPr>
      <w:suppressAutoHyphens/>
    </w:pPr>
    <w:rPr>
      <w:snapToGrid w:val="0"/>
      <w:lang w:val="en-GB"/>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link w:val="apple-style-span"/>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 w:type="character" w:styleId="CommentReference">
    <w:name w:val="annotation reference"/>
    <w:semiHidden/>
    <w:rPr>
      <w:rFonts w:cs="Times New Roman"/>
      <w:sz w:val="6"/>
    </w:rPr>
  </w:style>
  <w:style w:type="paragraph" w:styleId="CommentText">
    <w:name w:val="annotation text"/>
    <w:basedOn w:val="Normal"/>
    <w:semiHidden/>
    <w:pPr>
      <w:suppressAutoHyphens/>
    </w:pPr>
    <w:rPr>
      <w:snapToGrid w:val="0"/>
      <w:lang w:val="en-GB"/>
    </w:rPr>
  </w:style>
  <w:style w:type="paragraph" w:customStyle="1" w:styleId="Indent1">
    <w:name w:val="Indent1"/>
    <w:basedOn w:val="Normal"/>
    <w:semiHidden/>
    <w:pPr>
      <w:widowControl w:val="0"/>
      <w:spacing w:line="360" w:lineRule="auto"/>
      <w:ind w:right="471" w:hanging="471"/>
      <w:jc w:val="both"/>
    </w:pPr>
    <w:rPr>
      <w:snapToGrid w:val="0"/>
      <w:sz w:val="24"/>
      <w:szCs w:val="24"/>
      <w:lang w:val="en-US" w:bidi="he-IL"/>
    </w:rPr>
  </w:style>
  <w:style w:type="paragraph" w:styleId="TOC3">
    <w:name w:val="toc 3"/>
    <w:basedOn w:val="Normal"/>
    <w:next w:val="Normal"/>
    <w:autoRedefine/>
    <w:semiHidden/>
    <w:pPr>
      <w:spacing w:line="240" w:lineRule="auto"/>
      <w:ind w:left="480"/>
    </w:pPr>
    <w:rPr>
      <w:snapToGrid w:val="0"/>
      <w:sz w:val="24"/>
      <w:lang w:val="en-GB"/>
    </w:rPr>
  </w:style>
  <w:style w:type="paragraph" w:styleId="CommentSubject">
    <w:name w:val="annotation subject"/>
    <w:basedOn w:val="CommentText"/>
    <w:next w:val="CommentText"/>
    <w:semiHidden/>
    <w:pPr>
      <w:suppressAutoHyphens w:val="0"/>
      <w:spacing w:line="240" w:lineRule="auto"/>
    </w:pPr>
    <w:rPr>
      <w:b/>
      <w:bCs/>
    </w:rPr>
  </w:style>
  <w:style w:type="character" w:customStyle="1" w:styleId="H56GChar">
    <w:name w:val="_ H_5/6_G Char"/>
    <w:locked/>
    <w:rPr>
      <w:rFonts w:cs="Times New Roman"/>
      <w:lang w:val="en-GB" w:bidi="ar-SA"/>
    </w:rPr>
  </w:style>
  <w:style w:type="character" w:customStyle="1" w:styleId="tw4winMark">
    <w:name w:val="tw4winMark"/>
    <w:rPr>
      <w:rFonts w:ascii="Courier New" w:hAnsi="Courier New"/>
      <w:vanish/>
      <w:color w:val="800080"/>
      <w:sz w:val="24"/>
      <w:vertAlign w:val="subscript"/>
    </w:rPr>
  </w:style>
  <w:style w:type="paragraph" w:customStyle="1" w:styleId="CharChar2CharCharCarCarCarCharCharCarCarCharChar">
    <w:name w:val="Char Char2 ?? ?? Char Char Car Car Car Char Char Car Car Char Char"/>
    <w:basedOn w:val="Normal"/>
    <w:pPr>
      <w:keepLines/>
      <w:tabs>
        <w:tab w:val="left" w:pos="397"/>
        <w:tab w:val="left" w:pos="794"/>
        <w:tab w:val="left" w:pos="1191"/>
        <w:tab w:val="left" w:pos="1588"/>
        <w:tab w:val="left" w:pos="1985"/>
        <w:tab w:val="left" w:pos="2381"/>
        <w:tab w:val="left" w:pos="2778"/>
        <w:tab w:val="left" w:pos="3175"/>
        <w:tab w:val="left" w:pos="3572"/>
      </w:tabs>
      <w:spacing w:after="120" w:line="240" w:lineRule="exact"/>
      <w:ind w:left="1267" w:right="1267"/>
      <w:jc w:val="both"/>
    </w:pPr>
    <w:rPr>
      <w:rFonts w:cs="Arial"/>
      <w:noProof/>
      <w:spacing w:val="4"/>
      <w:sz w:val="24"/>
      <w:szCs w:val="24"/>
    </w:rPr>
  </w:style>
  <w:style w:type="character" w:customStyle="1" w:styleId="tw4winError">
    <w:name w:val="tw4winError"/>
    <w:rPr>
      <w:rFonts w:ascii="Courier New" w:hAnsi="Courier New"/>
      <w:color w:val="00FF00"/>
      <w:sz w:val="40"/>
    </w:rPr>
  </w:style>
  <w:style w:type="character" w:customStyle="1" w:styleId="tw4winTerm">
    <w:name w:val="tw4winTerm"/>
    <w:rPr>
      <w:color w:val="0000FF"/>
    </w:rPr>
  </w:style>
  <w:style w:type="character" w:customStyle="1" w:styleId="tw4winPopup">
    <w:name w:val="tw4winPopup"/>
    <w:rPr>
      <w:rFonts w:ascii="Courier New" w:hAnsi="Courier New"/>
      <w:noProof/>
      <w:color w:val="008000"/>
    </w:rPr>
  </w:style>
  <w:style w:type="character" w:customStyle="1" w:styleId="tw4winJump">
    <w:name w:val="tw4winJump"/>
    <w:rPr>
      <w:rFonts w:ascii="Courier New" w:hAnsi="Courier New"/>
      <w:noProof/>
      <w:color w:val="008080"/>
    </w:rPr>
  </w:style>
  <w:style w:type="character" w:customStyle="1" w:styleId="tw4winExternal">
    <w:name w:val="tw4winExternal"/>
    <w:rPr>
      <w:rFonts w:ascii="Courier New" w:hAnsi="Courier New"/>
      <w:noProof/>
      <w:color w:val="808080"/>
    </w:rPr>
  </w:style>
  <w:style w:type="character" w:customStyle="1" w:styleId="tw4winInternal">
    <w:name w:val="tw4winInternal"/>
    <w:rPr>
      <w:rFonts w:ascii="Courier New" w:hAnsi="Courier New"/>
      <w:noProof/>
      <w:color w:val="FF0000"/>
    </w:rPr>
  </w:style>
  <w:style w:type="character" w:customStyle="1" w:styleId="DONOTTRANSLATE">
    <w:name w:val="DO_NOT_TRANSLATE"/>
    <w:rPr>
      <w:rFonts w:ascii="Courier New" w:hAnsi="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sraelhpr.org.il"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126</TotalTime>
  <Pages>1</Pages>
  <Words>68062</Words>
  <Characters>387955</Characters>
  <Application>Microsoft Office Word</Application>
  <DocSecurity>4</DocSecurity>
  <Lines>3232</Lines>
  <Paragraphs>910</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455107</CharactersWithSpaces>
  <SharedDoc>false</SharedDoc>
  <HLinks>
    <vt:vector size="6" baseType="variant">
      <vt:variant>
        <vt:i4>65600</vt:i4>
      </vt:variant>
      <vt:variant>
        <vt:i4>0</vt:i4>
      </vt:variant>
      <vt:variant>
        <vt:i4>0</vt:i4>
      </vt:variant>
      <vt:variant>
        <vt:i4>5</vt:i4>
      </vt:variant>
      <vt:variant>
        <vt:lpwstr>http://www.israelhpr.org.il/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36</cp:revision>
  <cp:lastPrinted>2010-12-14T07:44:00Z</cp:lastPrinted>
  <dcterms:created xsi:type="dcterms:W3CDTF">2010-12-14T07:46:00Z</dcterms:created>
  <dcterms:modified xsi:type="dcterms:W3CDTF">2010-12-14T10:10:00Z</dcterms:modified>
</cp:coreProperties>
</file>