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11EED8" w14:textId="77777777" w:rsidR="008E0C7C" w:rsidRDefault="008E0C7C" w:rsidP="008E0C7C">
      <w:pPr>
        <w:spacing w:line="60" w:lineRule="exact"/>
        <w:rPr>
          <w:sz w:val="6"/>
        </w:rPr>
        <w:sectPr w:rsidR="008E0C7C" w:rsidSect="009C216C">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200" w:bottom="1728" w:left="1200" w:header="432" w:footer="504" w:gutter="0"/>
          <w:cols w:space="425"/>
          <w:titlePg/>
          <w:docGrid w:linePitch="312"/>
        </w:sectPr>
      </w:pPr>
      <w:r>
        <w:rPr>
          <w:rStyle w:val="a9"/>
        </w:rPr>
        <w:commentReference w:id="0"/>
      </w:r>
      <w:bookmarkStart w:id="1" w:name="_GoBack"/>
      <w:bookmarkEnd w:id="1"/>
    </w:p>
    <w:p w14:paraId="4804998D" w14:textId="77777777" w:rsidR="009C216C" w:rsidRDefault="009C216C" w:rsidP="009C216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4" w:right="1259" w:hanging="1264"/>
        <w:jc w:val="left"/>
      </w:pPr>
      <w:r>
        <w:rPr>
          <w:rFonts w:hint="eastAsia"/>
        </w:rPr>
        <w:lastRenderedPageBreak/>
        <w:t>消除对妇女歧视委员会</w:t>
      </w:r>
    </w:p>
    <w:p w14:paraId="7383A231" w14:textId="77777777" w:rsidR="00914917" w:rsidRPr="00914917" w:rsidRDefault="00914917" w:rsidP="00914917">
      <w:pPr>
        <w:framePr w:w="9792" w:h="432" w:hSpace="180" w:wrap="around" w:vAnchor="page" w:hAnchor="page" w:x="1210" w:y="13753"/>
        <w:spacing w:line="100" w:lineRule="exact"/>
        <w:rPr>
          <w:sz w:val="10"/>
        </w:rPr>
      </w:pPr>
    </w:p>
    <w:p w14:paraId="1BF22831" w14:textId="77777777" w:rsidR="00914917" w:rsidRPr="00914917" w:rsidRDefault="00914917" w:rsidP="00914917">
      <w:pPr>
        <w:framePr w:w="9792" w:h="432" w:hSpace="180" w:wrap="around" w:vAnchor="page" w:hAnchor="page" w:x="1210" w:y="13753"/>
        <w:spacing w:line="60" w:lineRule="exact"/>
        <w:rPr>
          <w:sz w:val="6"/>
        </w:rPr>
      </w:pPr>
      <w:r w:rsidRPr="00914917">
        <w:rPr>
          <w:noProof/>
          <w:sz w:val="6"/>
        </w:rPr>
        <mc:AlternateContent>
          <mc:Choice Requires="wps">
            <w:drawing>
              <wp:anchor distT="0" distB="0" distL="114300" distR="114300" simplePos="0" relativeHeight="251659264" behindDoc="0" locked="0" layoutInCell="1" allowOverlap="1" wp14:anchorId="3D8DBD69" wp14:editId="01A83805">
                <wp:simplePos x="0" y="0"/>
                <wp:positionH relativeFrom="page">
                  <wp:posOffset>1371600</wp:posOffset>
                </wp:positionH>
                <wp:positionV relativeFrom="paragraph">
                  <wp:posOffset>-12700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1B4D891" id="直接连接符 4" o:spid="_x0000_s1026" style="position:absolute;left:0;text-align:left;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" strokecolor="#010000" strokeweight=".25pt">
                <w10:wrap anchorx="page"/>
              </v:line>
            </w:pict>
          </mc:Fallback>
        </mc:AlternateContent>
      </w:r>
    </w:p>
    <w:p w14:paraId="33FC92FA" w14:textId="77777777" w:rsidR="00914917" w:rsidRPr="00914917" w:rsidRDefault="00914917" w:rsidP="00914917">
      <w:pPr>
        <w:framePr w:w="9792" w:h="432" w:hSpace="180" w:wrap="around" w:vAnchor="page" w:hAnchor="page" w:x="1210" w:y="13753"/>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vertAlign w:val="superscript"/>
        </w:rPr>
        <w:tab/>
      </w:r>
      <w:r w:rsidRPr="00914917">
        <w:rPr>
          <w:rFonts w:hint="eastAsia"/>
          <w:sz w:val="18"/>
          <w:vertAlign w:val="superscript"/>
        </w:rPr>
        <w:t>*</w:t>
      </w:r>
      <w:r>
        <w:rPr>
          <w:sz w:val="18"/>
        </w:rPr>
        <w:tab/>
      </w:r>
      <w:r w:rsidRPr="00914917">
        <w:rPr>
          <w:rFonts w:hint="eastAsia"/>
          <w:sz w:val="18"/>
        </w:rPr>
        <w:t>委员会第六十八届会议</w:t>
      </w:r>
      <w:r w:rsidRPr="00914917">
        <w:rPr>
          <w:rFonts w:hint="eastAsia"/>
          <w:sz w:val="18"/>
        </w:rPr>
        <w:t>(2017</w:t>
      </w:r>
      <w:r w:rsidRPr="00914917">
        <w:rPr>
          <w:rFonts w:hint="eastAsia"/>
          <w:sz w:val="18"/>
        </w:rPr>
        <w:t>年</w:t>
      </w:r>
      <w:r w:rsidRPr="00914917">
        <w:rPr>
          <w:rFonts w:hint="eastAsia"/>
          <w:sz w:val="18"/>
        </w:rPr>
        <w:t>10</w:t>
      </w:r>
      <w:r w:rsidRPr="00914917">
        <w:rPr>
          <w:rFonts w:hint="eastAsia"/>
          <w:sz w:val="18"/>
        </w:rPr>
        <w:t>月</w:t>
      </w:r>
      <w:r w:rsidRPr="00914917">
        <w:rPr>
          <w:rFonts w:hint="eastAsia"/>
          <w:sz w:val="18"/>
        </w:rPr>
        <w:t>23</w:t>
      </w:r>
      <w:r w:rsidRPr="00914917">
        <w:rPr>
          <w:rFonts w:hint="eastAsia"/>
          <w:sz w:val="18"/>
        </w:rPr>
        <w:t>日至</w:t>
      </w:r>
      <w:r w:rsidRPr="00914917">
        <w:rPr>
          <w:rFonts w:hint="eastAsia"/>
          <w:sz w:val="18"/>
        </w:rPr>
        <w:t>11</w:t>
      </w:r>
      <w:r w:rsidRPr="00914917">
        <w:rPr>
          <w:rFonts w:hint="eastAsia"/>
          <w:sz w:val="18"/>
        </w:rPr>
        <w:t>月</w:t>
      </w:r>
      <w:r w:rsidRPr="00914917">
        <w:rPr>
          <w:rFonts w:hint="eastAsia"/>
          <w:sz w:val="18"/>
        </w:rPr>
        <w:t>17</w:t>
      </w:r>
      <w:r w:rsidRPr="00914917">
        <w:rPr>
          <w:rFonts w:hint="eastAsia"/>
          <w:sz w:val="18"/>
        </w:rPr>
        <w:t>日</w:t>
      </w:r>
      <w:r w:rsidRPr="00914917">
        <w:rPr>
          <w:rFonts w:hint="eastAsia"/>
          <w:sz w:val="18"/>
        </w:rPr>
        <w:t>)</w:t>
      </w:r>
      <w:r w:rsidRPr="00914917">
        <w:rPr>
          <w:rFonts w:hint="eastAsia"/>
          <w:sz w:val="18"/>
        </w:rPr>
        <w:t>通过。</w:t>
      </w:r>
    </w:p>
    <w:p w14:paraId="7B9F5CFB" w14:textId="77777777" w:rsidR="009C216C" w:rsidRDefault="009C216C" w:rsidP="009C216C">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关于以色列第六次定期报告的结论性意见</w:t>
      </w:r>
      <w:r w:rsidRPr="005D5052">
        <w:rPr>
          <w:rFonts w:ascii="Times New Roman" w:hAnsi="Times New Roman" w:hint="eastAsia"/>
          <w:vertAlign w:val="superscript"/>
        </w:rPr>
        <w:t>*</w:t>
      </w:r>
    </w:p>
    <w:p w14:paraId="2BBEF30F" w14:textId="77777777" w:rsidR="009C216C" w:rsidRDefault="009C216C" w:rsidP="009C216C">
      <w:pPr>
        <w:pStyle w:val="SingleTxt"/>
      </w:pPr>
      <w:r>
        <w:rPr>
          <w:rFonts w:hint="eastAsia"/>
        </w:rPr>
        <w:t>1.</w:t>
      </w:r>
      <w:r>
        <w:rPr>
          <w:rFonts w:hint="eastAsia"/>
        </w:rPr>
        <w:tab/>
        <w:t>2017</w:t>
      </w:r>
      <w:r>
        <w:rPr>
          <w:rFonts w:hint="eastAsia"/>
        </w:rPr>
        <w:t>年</w:t>
      </w:r>
      <w:r>
        <w:rPr>
          <w:rFonts w:hint="eastAsia"/>
        </w:rPr>
        <w:t>10</w:t>
      </w:r>
      <w:r>
        <w:rPr>
          <w:rFonts w:hint="eastAsia"/>
        </w:rPr>
        <w:t>月</w:t>
      </w:r>
      <w:r>
        <w:rPr>
          <w:rFonts w:hint="eastAsia"/>
        </w:rPr>
        <w:t>31</w:t>
      </w:r>
      <w:r>
        <w:rPr>
          <w:rFonts w:hint="eastAsia"/>
        </w:rPr>
        <w:t>日，委员会在第</w:t>
      </w:r>
      <w:r>
        <w:rPr>
          <w:rFonts w:hint="eastAsia"/>
        </w:rPr>
        <w:t>1542</w:t>
      </w:r>
      <w:r>
        <w:rPr>
          <w:rFonts w:hint="eastAsia"/>
        </w:rPr>
        <w:t>和</w:t>
      </w:r>
      <w:r>
        <w:rPr>
          <w:rFonts w:hint="eastAsia"/>
        </w:rPr>
        <w:t>1543</w:t>
      </w:r>
      <w:r>
        <w:rPr>
          <w:rFonts w:hint="eastAsia"/>
        </w:rPr>
        <w:t>次会议上</w:t>
      </w:r>
      <w:r>
        <w:rPr>
          <w:rFonts w:hint="eastAsia"/>
        </w:rPr>
        <w:t>(</w:t>
      </w:r>
      <w:r>
        <w:rPr>
          <w:rFonts w:hint="eastAsia"/>
        </w:rPr>
        <w:t>见</w:t>
      </w:r>
      <w:hyperlink r:id="rId16" w:history="1">
        <w:r w:rsidRPr="00A80D6C">
          <w:rPr>
            <w:rStyle w:val="ad"/>
            <w:rFonts w:hint="eastAsia"/>
          </w:rPr>
          <w:t>CEDAW/C/SR.1542</w:t>
        </w:r>
      </w:hyperlink>
      <w:r>
        <w:rPr>
          <w:rFonts w:hint="eastAsia"/>
        </w:rPr>
        <w:t>和</w:t>
      </w:r>
      <w:hyperlink r:id="rId17" w:history="1">
        <w:r w:rsidRPr="00A80D6C">
          <w:rPr>
            <w:rStyle w:val="ad"/>
            <w:rFonts w:hint="eastAsia"/>
          </w:rPr>
          <w:t>CEDAW/C/SR.1543</w:t>
        </w:r>
      </w:hyperlink>
      <w:r>
        <w:rPr>
          <w:rFonts w:hint="eastAsia"/>
        </w:rPr>
        <w:t>)</w:t>
      </w:r>
      <w:r>
        <w:rPr>
          <w:rFonts w:hint="eastAsia"/>
        </w:rPr>
        <w:t>审议了以色列根据简化报告程序提交的第六次定期报告</w:t>
      </w:r>
      <w:r>
        <w:rPr>
          <w:rFonts w:hint="eastAsia"/>
        </w:rPr>
        <w:t>(</w:t>
      </w:r>
      <w:hyperlink r:id="rId18" w:history="1">
        <w:r w:rsidRPr="00A80D6C">
          <w:rPr>
            <w:rStyle w:val="ad"/>
            <w:rFonts w:hint="eastAsia"/>
          </w:rPr>
          <w:t>CEDAW/C/ISR/6</w:t>
        </w:r>
      </w:hyperlink>
      <w:r>
        <w:rPr>
          <w:rFonts w:hint="eastAsia"/>
        </w:rPr>
        <w:t>)</w:t>
      </w:r>
      <w:r>
        <w:rPr>
          <w:rFonts w:hint="eastAsia"/>
        </w:rPr>
        <w:t>。</w:t>
      </w:r>
    </w:p>
    <w:p w14:paraId="577F5340" w14:textId="77777777" w:rsidR="009C216C" w:rsidRDefault="009C216C" w:rsidP="009C216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sidRPr="00CE5472">
        <w:rPr>
          <w:rFonts w:ascii="Times New Roman" w:hint="eastAsia"/>
        </w:rPr>
        <w:t>A</w:t>
      </w:r>
      <w:r>
        <w:rPr>
          <w:rFonts w:hint="eastAsia"/>
        </w:rPr>
        <w:t>.</w:t>
      </w:r>
      <w:r>
        <w:rPr>
          <w:rFonts w:hint="eastAsia"/>
        </w:rPr>
        <w:tab/>
        <w:t>导言</w:t>
      </w:r>
    </w:p>
    <w:p w14:paraId="4AA99F0F" w14:textId="77777777" w:rsidR="009C216C" w:rsidRDefault="009C216C" w:rsidP="009C216C">
      <w:pPr>
        <w:pStyle w:val="SingleTxt"/>
      </w:pPr>
      <w:r>
        <w:rPr>
          <w:rFonts w:hint="eastAsia"/>
        </w:rPr>
        <w:t>2.</w:t>
      </w:r>
      <w:r>
        <w:rPr>
          <w:rFonts w:hint="eastAsia"/>
        </w:rPr>
        <w:tab/>
      </w:r>
      <w:r>
        <w:rPr>
          <w:rFonts w:hint="eastAsia"/>
        </w:rPr>
        <w:t>委员会感谢缔约国提交根据报告前事务和问题清单编写的第六次定期报告</w:t>
      </w:r>
      <w:r>
        <w:rPr>
          <w:rFonts w:hint="eastAsia"/>
        </w:rPr>
        <w:t>(</w:t>
      </w:r>
      <w:hyperlink r:id="rId19" w:history="1">
        <w:r w:rsidRPr="00A80D6C">
          <w:rPr>
            <w:rStyle w:val="ad"/>
            <w:rFonts w:hint="eastAsia"/>
          </w:rPr>
          <w:t>CEDAW/C/ISR/QPR/6</w:t>
        </w:r>
      </w:hyperlink>
      <w:r>
        <w:rPr>
          <w:rFonts w:hint="eastAsia"/>
        </w:rPr>
        <w:t>)</w:t>
      </w:r>
      <w:r>
        <w:rPr>
          <w:rFonts w:hint="eastAsia"/>
        </w:rPr>
        <w:t>和后续报告</w:t>
      </w:r>
      <w:r>
        <w:rPr>
          <w:rFonts w:hint="eastAsia"/>
        </w:rPr>
        <w:t>(</w:t>
      </w:r>
      <w:hyperlink r:id="rId20" w:history="1">
        <w:r w:rsidRPr="00A80D6C">
          <w:rPr>
            <w:rStyle w:val="ad"/>
            <w:rFonts w:hint="eastAsia"/>
          </w:rPr>
          <w:t>CEDAW/C/ISR/CO/5/Add.1</w:t>
        </w:r>
      </w:hyperlink>
      <w:r>
        <w:rPr>
          <w:rFonts w:hint="eastAsia"/>
        </w:rPr>
        <w:t>)</w:t>
      </w:r>
      <w:r>
        <w:rPr>
          <w:rFonts w:hint="eastAsia"/>
        </w:rPr>
        <w:t>。委员会欢迎代表团在对话期间所作的口头介绍以及对委员会口头提出的问题作出进一步澄清。</w:t>
      </w:r>
    </w:p>
    <w:p w14:paraId="6847CFFF" w14:textId="77777777" w:rsidR="009C216C" w:rsidRDefault="009C216C" w:rsidP="009C216C">
      <w:pPr>
        <w:pStyle w:val="SingleTxt"/>
      </w:pPr>
      <w:r>
        <w:rPr>
          <w:rFonts w:hint="eastAsia"/>
        </w:rPr>
        <w:t>3.</w:t>
      </w:r>
      <w:r>
        <w:rPr>
          <w:rFonts w:hint="eastAsia"/>
        </w:rPr>
        <w:tab/>
      </w:r>
      <w:r>
        <w:rPr>
          <w:rFonts w:hint="eastAsia"/>
        </w:rPr>
        <w:t>委员会赞扬由以色列常驻联合国日内瓦办事处代表兼大使</w:t>
      </w:r>
      <w:r>
        <w:rPr>
          <w:rFonts w:hint="eastAsia"/>
        </w:rPr>
        <w:t>Aviva Raz Shechter</w:t>
      </w:r>
      <w:r>
        <w:rPr>
          <w:rFonts w:hint="eastAsia"/>
        </w:rPr>
        <w:t>女士阁下率领的缔约国代表团。代表团成员包括司法部、劳动、社会事务和社会服务部、卫生部、教育部、以色列国防军、警察、以色列监狱管理局和以色列常驻日内瓦联合国办事处及其他国际组织代表团的代表。</w:t>
      </w:r>
    </w:p>
    <w:p w14:paraId="260369C4" w14:textId="77777777" w:rsidR="009C216C" w:rsidRDefault="009C216C" w:rsidP="009C216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sidRPr="00CE5472">
        <w:rPr>
          <w:rFonts w:ascii="Times New Roman" w:hint="eastAsia"/>
        </w:rPr>
        <w:t>B</w:t>
      </w:r>
      <w:r>
        <w:rPr>
          <w:rFonts w:hint="eastAsia"/>
        </w:rPr>
        <w:t>.</w:t>
      </w:r>
      <w:r>
        <w:rPr>
          <w:rFonts w:hint="eastAsia"/>
        </w:rPr>
        <w:tab/>
        <w:t>积极方面</w:t>
      </w:r>
    </w:p>
    <w:p w14:paraId="6BFD4EE7" w14:textId="77777777" w:rsidR="009C216C" w:rsidRDefault="009C216C" w:rsidP="009C216C">
      <w:pPr>
        <w:pStyle w:val="SingleTxt"/>
      </w:pPr>
      <w:r>
        <w:rPr>
          <w:rFonts w:hint="eastAsia"/>
        </w:rPr>
        <w:t>4.</w:t>
      </w:r>
      <w:r>
        <w:rPr>
          <w:rFonts w:hint="eastAsia"/>
        </w:rPr>
        <w:tab/>
      </w:r>
      <w:r>
        <w:rPr>
          <w:rFonts w:hint="eastAsia"/>
        </w:rPr>
        <w:t>委员会欢迎自</w:t>
      </w:r>
      <w:r>
        <w:rPr>
          <w:rFonts w:hint="eastAsia"/>
        </w:rPr>
        <w:t>2011</w:t>
      </w:r>
      <w:r>
        <w:rPr>
          <w:rFonts w:hint="eastAsia"/>
        </w:rPr>
        <w:t>年审议缔约国第五次定期报告</w:t>
      </w:r>
      <w:r>
        <w:rPr>
          <w:rFonts w:hint="eastAsia"/>
        </w:rPr>
        <w:t>(</w:t>
      </w:r>
      <w:hyperlink r:id="rId21" w:history="1">
        <w:r w:rsidRPr="00A80D6C">
          <w:rPr>
            <w:rStyle w:val="ad"/>
            <w:rFonts w:hint="eastAsia"/>
          </w:rPr>
          <w:t>CEDAW/C/ISR/5</w:t>
        </w:r>
      </w:hyperlink>
      <w:r>
        <w:rPr>
          <w:rFonts w:hint="eastAsia"/>
        </w:rPr>
        <w:t>)</w:t>
      </w:r>
      <w:r>
        <w:rPr>
          <w:rFonts w:hint="eastAsia"/>
        </w:rPr>
        <w:t>以来在立法改革方面取得的进展，特别是通过了下列法律：</w:t>
      </w:r>
    </w:p>
    <w:p w14:paraId="6FC8F7CA" w14:textId="77777777" w:rsidR="009C216C" w:rsidRDefault="009C216C" w:rsidP="009C216C">
      <w:pPr>
        <w:pStyle w:val="SingleTxt"/>
      </w:pPr>
      <w:r>
        <w:rPr>
          <w:rFonts w:hint="eastAsia"/>
        </w:rPr>
        <w:tab/>
        <w:t>(a)</w:t>
      </w:r>
      <w:r>
        <w:rPr>
          <w:rFonts w:hint="eastAsia"/>
        </w:rPr>
        <w:tab/>
        <w:t>2013</w:t>
      </w:r>
      <w:r>
        <w:rPr>
          <w:rFonts w:hint="eastAsia"/>
        </w:rPr>
        <w:t>年，《结婚年龄法》第</w:t>
      </w:r>
      <w:r>
        <w:rPr>
          <w:rFonts w:hint="eastAsia"/>
        </w:rPr>
        <w:t>6</w:t>
      </w:r>
      <w:r>
        <w:rPr>
          <w:rFonts w:hint="eastAsia"/>
        </w:rPr>
        <w:t>号修正案，将最低结婚年龄从</w:t>
      </w:r>
      <w:r>
        <w:rPr>
          <w:rFonts w:hint="eastAsia"/>
        </w:rPr>
        <w:t>17</w:t>
      </w:r>
      <w:r>
        <w:rPr>
          <w:rFonts w:hint="eastAsia"/>
        </w:rPr>
        <w:t>岁提高到</w:t>
      </w:r>
      <w:r>
        <w:rPr>
          <w:rFonts w:hint="eastAsia"/>
        </w:rPr>
        <w:t>18</w:t>
      </w:r>
      <w:r>
        <w:rPr>
          <w:rFonts w:hint="eastAsia"/>
        </w:rPr>
        <w:t>岁；</w:t>
      </w:r>
    </w:p>
    <w:p w14:paraId="0BD6F49A" w14:textId="77777777" w:rsidR="009C216C" w:rsidRDefault="009C216C" w:rsidP="009C216C">
      <w:pPr>
        <w:pStyle w:val="SingleTxt"/>
      </w:pPr>
      <w:r>
        <w:rPr>
          <w:rFonts w:hint="eastAsia"/>
        </w:rPr>
        <w:tab/>
        <w:t>(b)</w:t>
      </w:r>
      <w:r>
        <w:rPr>
          <w:rFonts w:hint="eastAsia"/>
        </w:rPr>
        <w:tab/>
        <w:t>2017</w:t>
      </w:r>
      <w:r>
        <w:rPr>
          <w:rFonts w:hint="eastAsia"/>
        </w:rPr>
        <w:t>年，《妇女就业法》第</w:t>
      </w:r>
      <w:r>
        <w:rPr>
          <w:rFonts w:hint="eastAsia"/>
        </w:rPr>
        <w:t>57</w:t>
      </w:r>
      <w:r>
        <w:rPr>
          <w:rFonts w:hint="eastAsia"/>
        </w:rPr>
        <w:t>号修正案，将产假从</w:t>
      </w:r>
      <w:r>
        <w:rPr>
          <w:rFonts w:hint="eastAsia"/>
        </w:rPr>
        <w:t>14</w:t>
      </w:r>
      <w:r>
        <w:rPr>
          <w:rFonts w:hint="eastAsia"/>
        </w:rPr>
        <w:t>周延长至</w:t>
      </w:r>
      <w:r>
        <w:rPr>
          <w:rFonts w:hint="eastAsia"/>
        </w:rPr>
        <w:t>15</w:t>
      </w:r>
      <w:r>
        <w:rPr>
          <w:rFonts w:hint="eastAsia"/>
        </w:rPr>
        <w:t>周；</w:t>
      </w:r>
    </w:p>
    <w:p w14:paraId="507260EE" w14:textId="77777777" w:rsidR="009C216C" w:rsidRDefault="00CE5472" w:rsidP="009C216C">
      <w:pPr>
        <w:pStyle w:val="SingleTxt"/>
      </w:pPr>
      <w:r>
        <w:rPr>
          <w:rFonts w:hint="eastAsia"/>
        </w:rPr>
        <w:tab/>
      </w:r>
      <w:r w:rsidR="009C216C">
        <w:rPr>
          <w:rFonts w:hint="eastAsia"/>
        </w:rPr>
        <w:t>(c)</w:t>
      </w:r>
      <w:r w:rsidR="009C216C">
        <w:rPr>
          <w:rFonts w:hint="eastAsia"/>
        </w:rPr>
        <w:tab/>
        <w:t>2014</w:t>
      </w:r>
      <w:r w:rsidR="009C216C">
        <w:rPr>
          <w:rFonts w:hint="eastAsia"/>
        </w:rPr>
        <w:t>年，《防止性骚扰条例》修正案，规定了打击高等教育机构中性骚扰行为的措施；</w:t>
      </w:r>
    </w:p>
    <w:p w14:paraId="4EFD7203" w14:textId="77777777" w:rsidR="009C216C" w:rsidRDefault="00CE5472" w:rsidP="009C216C">
      <w:pPr>
        <w:pStyle w:val="SingleTxt"/>
      </w:pPr>
      <w:r>
        <w:rPr>
          <w:rFonts w:hint="eastAsia"/>
        </w:rPr>
        <w:tab/>
      </w:r>
      <w:r w:rsidR="009C216C">
        <w:rPr>
          <w:rFonts w:hint="eastAsia"/>
        </w:rPr>
        <w:t>(d)</w:t>
      </w:r>
      <w:r w:rsidR="009C216C">
        <w:rPr>
          <w:rFonts w:hint="eastAsia"/>
        </w:rPr>
        <w:tab/>
        <w:t>2013</w:t>
      </w:r>
      <w:r w:rsidR="009C216C">
        <w:rPr>
          <w:rFonts w:hint="eastAsia"/>
        </w:rPr>
        <w:t>年，《宗教法官法》第</w:t>
      </w:r>
      <w:r w:rsidR="009C216C">
        <w:rPr>
          <w:rFonts w:hint="eastAsia"/>
        </w:rPr>
        <w:t>26</w:t>
      </w:r>
      <w:r w:rsidR="009C216C">
        <w:rPr>
          <w:rFonts w:hint="eastAsia"/>
        </w:rPr>
        <w:t>号修正案，要求每个机构</w:t>
      </w:r>
      <w:r w:rsidR="009C216C">
        <w:rPr>
          <w:rFonts w:hint="eastAsia"/>
        </w:rPr>
        <w:t>(</w:t>
      </w:r>
      <w:r w:rsidR="009C216C">
        <w:rPr>
          <w:rFonts w:hint="eastAsia"/>
        </w:rPr>
        <w:t>政府、议会和以色列律师协会</w:t>
      </w:r>
      <w:r w:rsidR="009C216C">
        <w:rPr>
          <w:rFonts w:hint="eastAsia"/>
        </w:rPr>
        <w:t>)</w:t>
      </w:r>
      <w:r w:rsidR="009C216C">
        <w:rPr>
          <w:rFonts w:hint="eastAsia"/>
        </w:rPr>
        <w:t>为负责任命犹太宗教法庭法官的委员会所指派的两名代表中，</w:t>
      </w:r>
      <w:r w:rsidR="009C216C">
        <w:rPr>
          <w:rFonts w:hint="eastAsia"/>
        </w:rPr>
        <w:lastRenderedPageBreak/>
        <w:t>至少有一名女性；</w:t>
      </w:r>
    </w:p>
    <w:p w14:paraId="6C0BB7FA" w14:textId="77777777" w:rsidR="009C216C" w:rsidRDefault="00CE5472" w:rsidP="009C216C">
      <w:pPr>
        <w:pStyle w:val="SingleTxt"/>
      </w:pPr>
      <w:r>
        <w:rPr>
          <w:rFonts w:hint="eastAsia"/>
        </w:rPr>
        <w:tab/>
      </w:r>
      <w:r w:rsidR="009C216C">
        <w:rPr>
          <w:rFonts w:hint="eastAsia"/>
        </w:rPr>
        <w:t>(e)</w:t>
      </w:r>
      <w:r w:rsidR="009C216C">
        <w:rPr>
          <w:rFonts w:hint="eastAsia"/>
        </w:rPr>
        <w:tab/>
        <w:t>2012</w:t>
      </w:r>
      <w:r w:rsidR="009C216C">
        <w:rPr>
          <w:rFonts w:hint="eastAsia"/>
        </w:rPr>
        <w:t>年，《犹太教法院</w:t>
      </w:r>
      <w:r w:rsidR="009C216C">
        <w:rPr>
          <w:rFonts w:hint="eastAsia"/>
        </w:rPr>
        <w:t>(</w:t>
      </w:r>
      <w:r w:rsidR="009C216C">
        <w:rPr>
          <w:rFonts w:hint="eastAsia"/>
        </w:rPr>
        <w:t>执行离婚判决</w:t>
      </w:r>
      <w:r w:rsidR="009C216C">
        <w:rPr>
          <w:rFonts w:hint="eastAsia"/>
        </w:rPr>
        <w:t>)</w:t>
      </w:r>
      <w:r w:rsidR="009C216C">
        <w:rPr>
          <w:rFonts w:hint="eastAsia"/>
        </w:rPr>
        <w:t>法》修正案；</w:t>
      </w:r>
    </w:p>
    <w:p w14:paraId="189DD853" w14:textId="77777777" w:rsidR="009C216C" w:rsidRDefault="00CE5472" w:rsidP="009C216C">
      <w:pPr>
        <w:pStyle w:val="SingleTxt"/>
      </w:pPr>
      <w:r>
        <w:rPr>
          <w:rFonts w:hint="eastAsia"/>
        </w:rPr>
        <w:tab/>
      </w:r>
      <w:r w:rsidR="009C216C">
        <w:rPr>
          <w:rFonts w:hint="eastAsia"/>
        </w:rPr>
        <w:t>(f)</w:t>
      </w:r>
      <w:r w:rsidR="009C216C">
        <w:rPr>
          <w:rFonts w:hint="eastAsia"/>
        </w:rPr>
        <w:tab/>
        <w:t>2011</w:t>
      </w:r>
      <w:r w:rsidR="009C216C">
        <w:rPr>
          <w:rFonts w:hint="eastAsia"/>
        </w:rPr>
        <w:t>年，《国家健康保险法》修正案，规定为需要接受化疗或放射治疗的妇女和女童提供维护生育力的治疗。</w:t>
      </w:r>
    </w:p>
    <w:p w14:paraId="7A80AE35" w14:textId="77777777" w:rsidR="009C216C" w:rsidRDefault="009C216C" w:rsidP="009C216C">
      <w:pPr>
        <w:pStyle w:val="SingleTxt"/>
      </w:pPr>
      <w:r>
        <w:rPr>
          <w:rFonts w:hint="eastAsia"/>
        </w:rPr>
        <w:t>5.</w:t>
      </w:r>
      <w:r>
        <w:rPr>
          <w:rFonts w:hint="eastAsia"/>
        </w:rPr>
        <w:tab/>
      </w:r>
      <w:r>
        <w:rPr>
          <w:rFonts w:hint="eastAsia"/>
        </w:rPr>
        <w:t>委员会欢迎缔约国努力完善旨在加快消除歧视妇女行为和促进性别平等的政策和体制框架，例如通过或采取了如下措施：</w:t>
      </w:r>
    </w:p>
    <w:p w14:paraId="35A82117" w14:textId="77777777" w:rsidR="009C216C" w:rsidRDefault="009C216C" w:rsidP="009C216C">
      <w:pPr>
        <w:pStyle w:val="SingleTxt"/>
      </w:pPr>
      <w:r>
        <w:rPr>
          <w:rFonts w:hint="eastAsia"/>
        </w:rPr>
        <w:tab/>
        <w:t>(a)</w:t>
      </w:r>
      <w:r>
        <w:rPr>
          <w:rFonts w:hint="eastAsia"/>
        </w:rPr>
        <w:tab/>
        <w:t>2015</w:t>
      </w:r>
      <w:r>
        <w:rPr>
          <w:rFonts w:hint="eastAsia"/>
        </w:rPr>
        <w:t>年，《执行安全理事会第</w:t>
      </w:r>
      <w:hyperlink r:id="rId22" w:history="1">
        <w:r w:rsidRPr="00A80D6C">
          <w:rPr>
            <w:rStyle w:val="ad"/>
            <w:rFonts w:hint="eastAsia"/>
          </w:rPr>
          <w:t>1325(2000)</w:t>
        </w:r>
      </w:hyperlink>
      <w:r>
        <w:rPr>
          <w:rFonts w:hint="eastAsia"/>
        </w:rPr>
        <w:t>号决议的行动计划》；</w:t>
      </w:r>
    </w:p>
    <w:p w14:paraId="0E0A3052" w14:textId="77777777" w:rsidR="009C216C" w:rsidRDefault="00CE5472" w:rsidP="009C216C">
      <w:pPr>
        <w:pStyle w:val="SingleTxt"/>
      </w:pPr>
      <w:r>
        <w:rPr>
          <w:rFonts w:hint="eastAsia"/>
        </w:rPr>
        <w:tab/>
      </w:r>
      <w:r w:rsidR="009C216C">
        <w:rPr>
          <w:rFonts w:hint="eastAsia"/>
        </w:rPr>
        <w:t>(b)</w:t>
      </w:r>
      <w:r w:rsidR="009C216C">
        <w:rPr>
          <w:rFonts w:hint="eastAsia"/>
        </w:rPr>
        <w:tab/>
        <w:t>2014</w:t>
      </w:r>
      <w:r w:rsidR="009C216C">
        <w:rPr>
          <w:rFonts w:hint="eastAsia"/>
        </w:rPr>
        <w:t>年，社区法院开始运作；</w:t>
      </w:r>
    </w:p>
    <w:p w14:paraId="37EC7FC6" w14:textId="77777777" w:rsidR="009C216C" w:rsidRDefault="00CE5472" w:rsidP="009C216C">
      <w:pPr>
        <w:pStyle w:val="SingleTxt"/>
      </w:pPr>
      <w:r>
        <w:rPr>
          <w:rFonts w:hint="eastAsia"/>
        </w:rPr>
        <w:tab/>
      </w:r>
      <w:r w:rsidR="009C216C">
        <w:rPr>
          <w:rFonts w:hint="eastAsia"/>
        </w:rPr>
        <w:t>(c)</w:t>
      </w:r>
      <w:r w:rsidR="009C216C">
        <w:rPr>
          <w:rFonts w:hint="eastAsia"/>
        </w:rPr>
        <w:tab/>
        <w:t>2014</w:t>
      </w:r>
      <w:r w:rsidR="009C216C">
        <w:rPr>
          <w:rFonts w:hint="eastAsia"/>
        </w:rPr>
        <w:t>年，设立预防家庭暴力联合部际委员会；</w:t>
      </w:r>
    </w:p>
    <w:p w14:paraId="06EE9B6F" w14:textId="77777777" w:rsidR="009C216C" w:rsidRDefault="00CE5472" w:rsidP="009C216C">
      <w:pPr>
        <w:pStyle w:val="SingleTxt"/>
      </w:pPr>
      <w:r>
        <w:rPr>
          <w:rFonts w:hint="eastAsia"/>
        </w:rPr>
        <w:tab/>
      </w:r>
      <w:r w:rsidR="009C216C">
        <w:rPr>
          <w:rFonts w:hint="eastAsia"/>
        </w:rPr>
        <w:t>(d)</w:t>
      </w:r>
      <w:r w:rsidR="009C216C">
        <w:rPr>
          <w:rFonts w:hint="eastAsia"/>
        </w:rPr>
        <w:tab/>
        <w:t>2013</w:t>
      </w:r>
      <w:r w:rsidR="009C216C">
        <w:rPr>
          <w:rFonts w:hint="eastAsia"/>
        </w:rPr>
        <w:t>年，在警察部门设立性别平等股；</w:t>
      </w:r>
    </w:p>
    <w:p w14:paraId="0ACDB643" w14:textId="77777777" w:rsidR="009C216C" w:rsidRDefault="009C216C" w:rsidP="009C216C">
      <w:pPr>
        <w:pStyle w:val="SingleTxt"/>
      </w:pPr>
      <w:r>
        <w:rPr>
          <w:rFonts w:hint="eastAsia"/>
        </w:rPr>
        <w:tab/>
        <w:t>(e)</w:t>
      </w:r>
      <w:r>
        <w:rPr>
          <w:rFonts w:hint="eastAsia"/>
        </w:rPr>
        <w:tab/>
        <w:t>2011</w:t>
      </w:r>
      <w:r>
        <w:rPr>
          <w:rFonts w:hint="eastAsia"/>
        </w:rPr>
        <w:t>年，设立由副总检察长领导的联合部际小组，负责审查和执行人权条约机构的结论性意见。</w:t>
      </w:r>
    </w:p>
    <w:p w14:paraId="10D5E004" w14:textId="77777777" w:rsidR="009C216C" w:rsidRDefault="009C216C" w:rsidP="009C216C">
      <w:pPr>
        <w:pStyle w:val="SingleTxt"/>
      </w:pPr>
      <w:r>
        <w:rPr>
          <w:rFonts w:hint="eastAsia"/>
        </w:rPr>
        <w:t>6.</w:t>
      </w:r>
      <w:r>
        <w:rPr>
          <w:rFonts w:hint="eastAsia"/>
        </w:rPr>
        <w:tab/>
      </w:r>
      <w:r>
        <w:rPr>
          <w:rFonts w:hint="eastAsia"/>
        </w:rPr>
        <w:t>委员会欢迎缔约国自审议上次报告以后于</w:t>
      </w:r>
      <w:r>
        <w:rPr>
          <w:rFonts w:hint="eastAsia"/>
        </w:rPr>
        <w:t>2012</w:t>
      </w:r>
      <w:r>
        <w:rPr>
          <w:rFonts w:hint="eastAsia"/>
        </w:rPr>
        <w:t>年批准了以下国际文书：</w:t>
      </w:r>
    </w:p>
    <w:p w14:paraId="77FFAB5A" w14:textId="77777777" w:rsidR="009C216C" w:rsidRDefault="009C216C" w:rsidP="009C216C">
      <w:pPr>
        <w:pStyle w:val="SingleTxt"/>
      </w:pPr>
      <w:r>
        <w:rPr>
          <w:rFonts w:hint="eastAsia"/>
        </w:rPr>
        <w:tab/>
        <w:t>(a)</w:t>
      </w:r>
      <w:r>
        <w:rPr>
          <w:rFonts w:hint="eastAsia"/>
        </w:rPr>
        <w:tab/>
      </w:r>
      <w:r>
        <w:rPr>
          <w:rFonts w:hint="eastAsia"/>
        </w:rPr>
        <w:t>《残疾人权利公约》</w:t>
      </w:r>
    </w:p>
    <w:p w14:paraId="265D9ADA" w14:textId="77777777" w:rsidR="009C216C" w:rsidRDefault="00CE5472" w:rsidP="009C216C">
      <w:pPr>
        <w:pStyle w:val="SingleTxt"/>
      </w:pPr>
      <w:r>
        <w:rPr>
          <w:rFonts w:hint="eastAsia"/>
        </w:rPr>
        <w:tab/>
      </w:r>
      <w:r w:rsidR="009C216C">
        <w:rPr>
          <w:rFonts w:hint="eastAsia"/>
        </w:rPr>
        <w:t>(b)</w:t>
      </w:r>
      <w:r w:rsidR="009C216C">
        <w:rPr>
          <w:rFonts w:hint="eastAsia"/>
        </w:rPr>
        <w:tab/>
      </w:r>
      <w:r w:rsidR="009C216C">
        <w:rPr>
          <w:rFonts w:hint="eastAsia"/>
        </w:rPr>
        <w:t>国际劳工组织《</w:t>
      </w:r>
      <w:r w:rsidR="009C216C">
        <w:rPr>
          <w:rFonts w:hint="eastAsia"/>
        </w:rPr>
        <w:t>1997</w:t>
      </w:r>
      <w:r w:rsidR="009C216C">
        <w:rPr>
          <w:rFonts w:hint="eastAsia"/>
        </w:rPr>
        <w:t>年私营职业介绍所公约》</w:t>
      </w:r>
      <w:r w:rsidR="009C216C">
        <w:rPr>
          <w:rFonts w:hint="eastAsia"/>
        </w:rPr>
        <w:t>(</w:t>
      </w:r>
      <w:r w:rsidR="009C216C">
        <w:rPr>
          <w:rFonts w:hint="eastAsia"/>
        </w:rPr>
        <w:t>第</w:t>
      </w:r>
      <w:r w:rsidR="009C216C">
        <w:rPr>
          <w:rFonts w:hint="eastAsia"/>
        </w:rPr>
        <w:t>181</w:t>
      </w:r>
      <w:r w:rsidR="009C216C">
        <w:rPr>
          <w:rFonts w:hint="eastAsia"/>
        </w:rPr>
        <w:t>号</w:t>
      </w:r>
      <w:r w:rsidR="009C216C">
        <w:rPr>
          <w:rFonts w:hint="eastAsia"/>
        </w:rPr>
        <w:t>)</w:t>
      </w:r>
      <w:r w:rsidR="009C216C">
        <w:rPr>
          <w:rFonts w:hint="eastAsia"/>
        </w:rPr>
        <w:t>。</w:t>
      </w:r>
    </w:p>
    <w:p w14:paraId="700A5A1C" w14:textId="77777777" w:rsidR="009C216C" w:rsidRDefault="009C216C" w:rsidP="009C216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sidRPr="00CE5472">
        <w:rPr>
          <w:rFonts w:ascii="Times New Roman" w:hint="eastAsia"/>
        </w:rPr>
        <w:t>C</w:t>
      </w:r>
      <w:r>
        <w:rPr>
          <w:rFonts w:hint="eastAsia"/>
        </w:rPr>
        <w:t>.</w:t>
      </w:r>
      <w:r>
        <w:rPr>
          <w:rFonts w:hint="eastAsia"/>
        </w:rPr>
        <w:tab/>
        <w:t>议会</w:t>
      </w:r>
    </w:p>
    <w:p w14:paraId="582FD7DC" w14:textId="77777777" w:rsidR="009C216C" w:rsidRDefault="009C216C" w:rsidP="009C216C">
      <w:pPr>
        <w:pStyle w:val="SingleTxt"/>
      </w:pPr>
      <w:r>
        <w:rPr>
          <w:rFonts w:hint="eastAsia"/>
        </w:rPr>
        <w:t>7.</w:t>
      </w:r>
      <w:r>
        <w:rPr>
          <w:rFonts w:hint="eastAsia"/>
        </w:rPr>
        <w:tab/>
      </w:r>
      <w:r w:rsidRPr="009C216C">
        <w:rPr>
          <w:rFonts w:eastAsia="黑体" w:hint="eastAsia"/>
        </w:rPr>
        <w:t>委员会强调立法机构在确保全面执行《公约》方面发挥着关键作用</w:t>
      </w:r>
      <w:r w:rsidRPr="009C216C">
        <w:rPr>
          <w:rFonts w:eastAsia="黑体" w:hint="eastAsia"/>
        </w:rPr>
        <w:t>(</w:t>
      </w:r>
      <w:r w:rsidRPr="009C216C">
        <w:rPr>
          <w:rFonts w:eastAsia="黑体" w:hint="eastAsia"/>
        </w:rPr>
        <w:t>见</w:t>
      </w:r>
      <w:r w:rsidRPr="009C216C">
        <w:rPr>
          <w:rFonts w:eastAsia="黑体" w:hint="eastAsia"/>
        </w:rPr>
        <w:t>2010</w:t>
      </w:r>
      <w:r w:rsidRPr="009C216C">
        <w:rPr>
          <w:rFonts w:eastAsia="黑体" w:hint="eastAsia"/>
        </w:rPr>
        <w:t>年第四十五届会议通过的委员会关于其与议员关系的声明</w:t>
      </w:r>
      <w:r w:rsidRPr="009C216C">
        <w:rPr>
          <w:rFonts w:eastAsia="黑体" w:hint="eastAsia"/>
        </w:rPr>
        <w:t>)</w:t>
      </w:r>
      <w:r w:rsidRPr="009C216C">
        <w:rPr>
          <w:rFonts w:eastAsia="黑体" w:hint="eastAsia"/>
        </w:rPr>
        <w:t>。委员会请议会根据其任务授权，从现在起到《公约》的下一个报告周期，采取必要措施，落实本结论性意见。</w:t>
      </w:r>
    </w:p>
    <w:p w14:paraId="3E78FE25" w14:textId="77777777" w:rsidR="009C216C" w:rsidRDefault="009C216C" w:rsidP="009C216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sidRPr="00CE5472">
        <w:rPr>
          <w:rFonts w:ascii="Times New Roman" w:hint="eastAsia"/>
        </w:rPr>
        <w:t>D</w:t>
      </w:r>
      <w:r>
        <w:rPr>
          <w:rFonts w:hint="eastAsia"/>
        </w:rPr>
        <w:t>.</w:t>
      </w:r>
      <w:r>
        <w:rPr>
          <w:rFonts w:hint="eastAsia"/>
        </w:rPr>
        <w:tab/>
        <w:t>主要关切领域和建议</w:t>
      </w:r>
    </w:p>
    <w:p w14:paraId="42BAA882" w14:textId="77777777" w:rsidR="009C216C" w:rsidRPr="009C216C" w:rsidRDefault="009C216C" w:rsidP="009C216C">
      <w:pPr>
        <w:pStyle w:val="SingleTxt"/>
        <w:rPr>
          <w:rFonts w:ascii="黑体" w:eastAsia="黑体" w:hAnsi="黑体"/>
        </w:rPr>
      </w:pPr>
      <w:r w:rsidRPr="009C216C">
        <w:rPr>
          <w:rFonts w:ascii="黑体" w:eastAsia="黑体" w:hAnsi="黑体" w:hint="eastAsia"/>
        </w:rPr>
        <w:t>保留</w:t>
      </w:r>
    </w:p>
    <w:p w14:paraId="0DDF5F9E" w14:textId="6F50D8E0" w:rsidR="009C216C" w:rsidRDefault="009C216C" w:rsidP="009C216C">
      <w:pPr>
        <w:pStyle w:val="SingleTxt"/>
      </w:pPr>
      <w:r>
        <w:rPr>
          <w:rFonts w:hint="eastAsia"/>
        </w:rPr>
        <w:t>8.</w:t>
      </w:r>
      <w:r>
        <w:rPr>
          <w:rFonts w:hint="eastAsia"/>
        </w:rPr>
        <w:tab/>
      </w:r>
      <w:r>
        <w:rPr>
          <w:rFonts w:hint="eastAsia"/>
        </w:rPr>
        <w:t>虽然缔约国取得了积极进展，包括</w:t>
      </w:r>
      <w:r>
        <w:rPr>
          <w:rFonts w:hint="eastAsia"/>
        </w:rPr>
        <w:t>2012</w:t>
      </w:r>
      <w:r>
        <w:rPr>
          <w:rFonts w:hint="eastAsia"/>
        </w:rPr>
        <w:t>年通过了《犹太教法院</w:t>
      </w:r>
      <w:r>
        <w:rPr>
          <w:rFonts w:hint="eastAsia"/>
        </w:rPr>
        <w:t>(</w:t>
      </w:r>
      <w:r>
        <w:rPr>
          <w:rFonts w:hint="eastAsia"/>
        </w:rPr>
        <w:t>执行离婚判决</w:t>
      </w:r>
      <w:r>
        <w:rPr>
          <w:rFonts w:hint="eastAsia"/>
        </w:rPr>
        <w:t>)</w:t>
      </w:r>
      <w:r>
        <w:rPr>
          <w:rFonts w:hint="eastAsia"/>
        </w:rPr>
        <w:t>法》修正案，但委员会关切地注意到，缔约国仍对《公约》第</w:t>
      </w:r>
      <w:r>
        <w:rPr>
          <w:rFonts w:hint="eastAsia"/>
        </w:rPr>
        <w:t>7(b)</w:t>
      </w:r>
      <w:r>
        <w:rPr>
          <w:rFonts w:hint="eastAsia"/>
        </w:rPr>
        <w:t>和</w:t>
      </w:r>
      <w:r>
        <w:rPr>
          <w:rFonts w:hint="eastAsia"/>
        </w:rPr>
        <w:t>16</w:t>
      </w:r>
      <w:r>
        <w:rPr>
          <w:rFonts w:hint="eastAsia"/>
        </w:rPr>
        <w:t>条作出保留，尽管它已承诺对这些条款进行审查。委员会注意到缔约国在其后续报告</w:t>
      </w:r>
      <w:r>
        <w:rPr>
          <w:rFonts w:hint="eastAsia"/>
        </w:rPr>
        <w:t>(</w:t>
      </w:r>
      <w:hyperlink r:id="rId23" w:history="1">
        <w:r w:rsidRPr="00A80D6C">
          <w:rPr>
            <w:rStyle w:val="ad"/>
            <w:rFonts w:hint="eastAsia"/>
          </w:rPr>
          <w:t>CEDAW/C/ISR/CO/5/Add.1</w:t>
        </w:r>
      </w:hyperlink>
      <w:r>
        <w:rPr>
          <w:rFonts w:hint="eastAsia"/>
        </w:rPr>
        <w:t>)</w:t>
      </w:r>
      <w:r>
        <w:rPr>
          <w:rFonts w:hint="eastAsia"/>
        </w:rPr>
        <w:t>中解释说，这些保留涉及以色列的社会结构，其中包含许多宗教，每个宗教都对某些宗教实践有不同程度的自主权。然而，委员会注意到，缔约国报告附件三指出，国家法院在若干案件中援引了《公约》第</w:t>
      </w:r>
      <w:r>
        <w:rPr>
          <w:rFonts w:hint="eastAsia"/>
        </w:rPr>
        <w:t>16</w:t>
      </w:r>
      <w:r>
        <w:rPr>
          <w:rFonts w:hint="eastAsia"/>
        </w:rPr>
        <w:t>条，而且家庭法院处理了各种关于家庭、婚姻和离婚的事项，这表明可以撤销保留。委员会欢迎代表团表示即将就部分撤销对第</w:t>
      </w:r>
      <w:r>
        <w:rPr>
          <w:rFonts w:hint="eastAsia"/>
        </w:rPr>
        <w:t>16</w:t>
      </w:r>
      <w:r>
        <w:rPr>
          <w:rFonts w:hint="eastAsia"/>
        </w:rPr>
        <w:t>条的保留开始内部讨论。</w:t>
      </w:r>
    </w:p>
    <w:p w14:paraId="4D63E273" w14:textId="77777777" w:rsidR="009C216C" w:rsidRDefault="009C216C" w:rsidP="009C216C">
      <w:pPr>
        <w:pStyle w:val="SingleTxt"/>
      </w:pPr>
      <w:r>
        <w:rPr>
          <w:rFonts w:hint="eastAsia"/>
        </w:rPr>
        <w:t>9.</w:t>
      </w:r>
      <w:r>
        <w:rPr>
          <w:rFonts w:hint="eastAsia"/>
        </w:rPr>
        <w:tab/>
      </w:r>
      <w:r w:rsidRPr="009C216C">
        <w:rPr>
          <w:rFonts w:eastAsia="黑体" w:hint="eastAsia"/>
        </w:rPr>
        <w:t>考虑到婚姻年龄和法律框架内与婚姻财产有关的其他领域的法律都符合《公约》，委员会重申其以往建议</w:t>
      </w:r>
      <w:r w:rsidRPr="009C216C">
        <w:rPr>
          <w:rFonts w:eastAsia="黑体" w:hint="eastAsia"/>
        </w:rPr>
        <w:t>(</w:t>
      </w:r>
      <w:hyperlink r:id="rId24" w:history="1">
        <w:r w:rsidRPr="00A80D6C">
          <w:rPr>
            <w:rStyle w:val="ad"/>
            <w:rFonts w:eastAsia="黑体" w:hint="eastAsia"/>
          </w:rPr>
          <w:t>CEDAW/C/ISR/CO/5</w:t>
        </w:r>
      </w:hyperlink>
      <w:r w:rsidRPr="009C216C">
        <w:rPr>
          <w:rFonts w:eastAsia="黑体" w:hint="eastAsia"/>
        </w:rPr>
        <w:t>，第</w:t>
      </w:r>
      <w:r w:rsidRPr="009C216C">
        <w:rPr>
          <w:rFonts w:eastAsia="黑体" w:hint="eastAsia"/>
        </w:rPr>
        <w:t>9</w:t>
      </w:r>
      <w:r w:rsidRPr="009C216C">
        <w:rPr>
          <w:rFonts w:eastAsia="黑体" w:hint="eastAsia"/>
        </w:rPr>
        <w:t>段</w:t>
      </w:r>
      <w:r w:rsidRPr="009C216C">
        <w:rPr>
          <w:rFonts w:eastAsia="黑体" w:hint="eastAsia"/>
        </w:rPr>
        <w:t>)</w:t>
      </w:r>
      <w:r w:rsidRPr="009C216C">
        <w:rPr>
          <w:rFonts w:eastAsia="黑体" w:hint="eastAsia"/>
        </w:rPr>
        <w:t>，即缔约国应审查对《公约》第</w:t>
      </w:r>
      <w:r w:rsidRPr="009C216C">
        <w:rPr>
          <w:rFonts w:eastAsia="黑体" w:hint="eastAsia"/>
        </w:rPr>
        <w:t>7(b)</w:t>
      </w:r>
      <w:r w:rsidRPr="009C216C">
        <w:rPr>
          <w:rFonts w:eastAsia="黑体" w:hint="eastAsia"/>
        </w:rPr>
        <w:t>和</w:t>
      </w:r>
      <w:r w:rsidRPr="009C216C">
        <w:rPr>
          <w:rFonts w:eastAsia="黑体" w:hint="eastAsia"/>
        </w:rPr>
        <w:t>16</w:t>
      </w:r>
      <w:r w:rsidRPr="009C216C">
        <w:rPr>
          <w:rFonts w:eastAsia="黑体" w:hint="eastAsia"/>
        </w:rPr>
        <w:t>条的保留，以便在规定时限内撤销保留。委员会重申，对</w:t>
      </w:r>
      <w:r w:rsidRPr="009C216C">
        <w:rPr>
          <w:rFonts w:eastAsia="黑体" w:hint="eastAsia"/>
        </w:rPr>
        <w:lastRenderedPageBreak/>
        <w:t>第</w:t>
      </w:r>
      <w:r w:rsidRPr="009C216C">
        <w:rPr>
          <w:rFonts w:eastAsia="黑体" w:hint="eastAsia"/>
        </w:rPr>
        <w:t>16</w:t>
      </w:r>
      <w:r w:rsidRPr="009C216C">
        <w:rPr>
          <w:rFonts w:eastAsia="黑体" w:hint="eastAsia"/>
        </w:rPr>
        <w:t>条的保留违反了《公约》的目的和宗旨，因为这破坏了在所有涉及婚姻和家庭关系问题上男女间实质平等的原则</w:t>
      </w:r>
      <w:r>
        <w:rPr>
          <w:rFonts w:hint="eastAsia"/>
        </w:rPr>
        <w:t>。</w:t>
      </w:r>
    </w:p>
    <w:p w14:paraId="0BF33C82" w14:textId="77777777" w:rsidR="009C216C" w:rsidRPr="009C216C" w:rsidRDefault="009C216C" w:rsidP="009C216C">
      <w:pPr>
        <w:pStyle w:val="SingleTxt"/>
        <w:rPr>
          <w:rFonts w:ascii="黑体" w:eastAsia="黑体" w:hAnsi="黑体"/>
        </w:rPr>
      </w:pPr>
      <w:r w:rsidRPr="009C216C">
        <w:rPr>
          <w:rFonts w:ascii="黑体" w:eastAsia="黑体" w:hAnsi="黑体" w:hint="eastAsia"/>
        </w:rPr>
        <w:t>歧视和非歧视的定义</w:t>
      </w:r>
    </w:p>
    <w:p w14:paraId="0D64FBD4" w14:textId="77777777" w:rsidR="009C216C" w:rsidRDefault="009C216C" w:rsidP="009C216C">
      <w:pPr>
        <w:pStyle w:val="SingleTxt"/>
      </w:pPr>
      <w:r>
        <w:rPr>
          <w:rFonts w:hint="eastAsia"/>
        </w:rPr>
        <w:t>10.</w:t>
      </w:r>
      <w:r>
        <w:rPr>
          <w:rFonts w:hint="eastAsia"/>
        </w:rPr>
        <w:tab/>
      </w:r>
      <w:r>
        <w:rPr>
          <w:rFonts w:hint="eastAsia"/>
        </w:rPr>
        <w:t>委员会注意到，最高法院对《基本法：人的尊严和自由》中的平等原则采取了渐进办法，但委员会感到遗憾的是，缔约国的立法仍然没有关于歧视妇女的全面定义，未能将直接和间接歧视行为都包含在内。委员会对少数民族、尤其是阿拉伯人和贝都因人社区的妇女和女童遭受的系统性歧视表示关切。</w:t>
      </w:r>
    </w:p>
    <w:p w14:paraId="761DBB1F" w14:textId="77777777" w:rsidR="005D5052" w:rsidRDefault="005D5052" w:rsidP="005D5052">
      <w:pPr>
        <w:pStyle w:val="SingleTxt"/>
      </w:pPr>
      <w:r>
        <w:rPr>
          <w:rFonts w:hint="eastAsia"/>
        </w:rPr>
        <w:t>11.</w:t>
      </w:r>
      <w:r>
        <w:rPr>
          <w:rFonts w:hint="eastAsia"/>
        </w:rPr>
        <w:tab/>
      </w:r>
      <w:r w:rsidRPr="009C216C">
        <w:rPr>
          <w:rFonts w:eastAsia="黑体" w:hint="eastAsia"/>
        </w:rPr>
        <w:t>委员会回顾其以往建议</w:t>
      </w:r>
      <w:r w:rsidRPr="009C216C">
        <w:rPr>
          <w:rFonts w:eastAsia="黑体" w:hint="eastAsia"/>
        </w:rPr>
        <w:t>(</w:t>
      </w:r>
      <w:r w:rsidRPr="009C216C">
        <w:rPr>
          <w:rFonts w:eastAsia="黑体" w:hint="eastAsia"/>
        </w:rPr>
        <w:t>同上，第</w:t>
      </w:r>
      <w:r w:rsidRPr="009C216C">
        <w:rPr>
          <w:rFonts w:eastAsia="黑体" w:hint="eastAsia"/>
        </w:rPr>
        <w:t>11</w:t>
      </w:r>
      <w:r w:rsidRPr="009C216C">
        <w:rPr>
          <w:rFonts w:eastAsia="黑体" w:hint="eastAsia"/>
        </w:rPr>
        <w:t>段</w:t>
      </w:r>
      <w:r w:rsidRPr="009C216C">
        <w:rPr>
          <w:rFonts w:eastAsia="黑体" w:hint="eastAsia"/>
        </w:rPr>
        <w:t>)</w:t>
      </w:r>
      <w:r w:rsidRPr="009C216C">
        <w:rPr>
          <w:rFonts w:eastAsia="黑体" w:hint="eastAsia"/>
        </w:rPr>
        <w:t>，并建议缔约国采取立法措施，根据《公约》第</w:t>
      </w:r>
      <w:r w:rsidRPr="009C216C">
        <w:rPr>
          <w:rFonts w:eastAsia="黑体" w:hint="eastAsia"/>
        </w:rPr>
        <w:t>1</w:t>
      </w:r>
      <w:r w:rsidRPr="009C216C">
        <w:rPr>
          <w:rFonts w:eastAsia="黑体" w:hint="eastAsia"/>
        </w:rPr>
        <w:t>条全面界定对妇女的歧视，不仅应涵盖交叉形式的歧视，还应涵盖公共和私人领域所有直接和间接歧视。委员会还建议缔约国采取综合战略，消除少数民族特别是阿拉伯人和贝都因人社区妇女和女童遭受的系统性歧视</w:t>
      </w:r>
      <w:r>
        <w:rPr>
          <w:rFonts w:hint="eastAsia"/>
        </w:rPr>
        <w:t>。</w:t>
      </w:r>
    </w:p>
    <w:p w14:paraId="6DA07C8F" w14:textId="77777777" w:rsidR="005D5052" w:rsidRPr="009C216C" w:rsidRDefault="005D5052" w:rsidP="005D5052">
      <w:pPr>
        <w:pStyle w:val="SingleTxt"/>
        <w:rPr>
          <w:rFonts w:ascii="黑体" w:eastAsia="黑体" w:hAnsi="黑体"/>
        </w:rPr>
      </w:pPr>
      <w:r w:rsidRPr="009C216C">
        <w:rPr>
          <w:rFonts w:ascii="黑体" w:eastAsia="黑体" w:hAnsi="黑体" w:hint="eastAsia"/>
        </w:rPr>
        <w:t>在公共场所、商业和教育领域限制妇女行动自由、隔离和排斥妇女</w:t>
      </w:r>
    </w:p>
    <w:p w14:paraId="40D77428" w14:textId="77777777" w:rsidR="005D5052" w:rsidRDefault="005D5052" w:rsidP="005D5052">
      <w:pPr>
        <w:pStyle w:val="SingleTxt"/>
      </w:pPr>
      <w:r>
        <w:rPr>
          <w:rFonts w:hint="eastAsia"/>
        </w:rPr>
        <w:t>12.</w:t>
      </w:r>
      <w:r>
        <w:rPr>
          <w:rFonts w:hint="eastAsia"/>
        </w:rPr>
        <w:tab/>
      </w:r>
      <w:r>
        <w:rPr>
          <w:rFonts w:hint="eastAsia"/>
        </w:rPr>
        <w:t>委员会关切地注意到，尽管代表团作出了回应而且缔约国已采取措施，但对妇女行动自由的限制继续在公共场所包括在公共交通中对妇女产生影响，而且有时导致某些极端正统运动将妇女排斥在教育、商业和宗教环境之外，以违反妇女和女童基本权利的方式强迫她们遵守教规。委员会感到关切的是，高等教育委员会最近决定扩大校园隔离并在大学内采用完全隔离的教室。</w:t>
      </w:r>
    </w:p>
    <w:p w14:paraId="24900643" w14:textId="77777777" w:rsidR="005D5052" w:rsidRDefault="005D5052" w:rsidP="005D5052">
      <w:pPr>
        <w:pStyle w:val="SingleTxt"/>
      </w:pPr>
      <w:r>
        <w:rPr>
          <w:rFonts w:hint="eastAsia"/>
        </w:rPr>
        <w:t>13.</w:t>
      </w:r>
      <w:r>
        <w:rPr>
          <w:rFonts w:hint="eastAsia"/>
        </w:rPr>
        <w:tab/>
      </w:r>
      <w:r w:rsidRPr="009C216C">
        <w:rPr>
          <w:rFonts w:ascii="黑体" w:eastAsia="黑体" w:hAnsi="黑体" w:hint="eastAsia"/>
        </w:rPr>
        <w:t>委员会建议缔约国</w:t>
      </w:r>
      <w:r>
        <w:rPr>
          <w:rFonts w:hint="eastAsia"/>
        </w:rPr>
        <w:t>：</w:t>
      </w:r>
    </w:p>
    <w:p w14:paraId="444D091D" w14:textId="77777777" w:rsidR="005D5052" w:rsidRDefault="005D5052" w:rsidP="005D5052">
      <w:pPr>
        <w:pStyle w:val="SingleTxt"/>
      </w:pPr>
      <w:r>
        <w:rPr>
          <w:rFonts w:hint="eastAsia"/>
        </w:rPr>
        <w:tab/>
        <w:t>(a)</w:t>
      </w:r>
      <w:r>
        <w:rPr>
          <w:rFonts w:hint="eastAsia"/>
        </w:rPr>
        <w:tab/>
      </w:r>
      <w:r w:rsidRPr="009C216C">
        <w:rPr>
          <w:rFonts w:ascii="黑体" w:eastAsia="黑体" w:hAnsi="黑体" w:hint="eastAsia"/>
        </w:rPr>
        <w:t>加紧努力解决某些宗教运动限制妇女行动自由和实施性别隔离的问题，保证妇女和女童与男子一样，可以平等进入公共场所，包括交通、教育、商业和宗教领域，并对参与歧视行为的个人和机构实施制裁</w:t>
      </w:r>
      <w:r>
        <w:rPr>
          <w:rFonts w:hint="eastAsia"/>
        </w:rPr>
        <w:t>；</w:t>
      </w:r>
    </w:p>
    <w:p w14:paraId="5A637008" w14:textId="77777777" w:rsidR="005D5052" w:rsidRDefault="005D5052" w:rsidP="005D5052">
      <w:pPr>
        <w:pStyle w:val="SingleTxt"/>
      </w:pPr>
      <w:r>
        <w:rPr>
          <w:rFonts w:hint="eastAsia"/>
        </w:rPr>
        <w:tab/>
        <w:t>(b)</w:t>
      </w:r>
      <w:r>
        <w:rPr>
          <w:rFonts w:hint="eastAsia"/>
        </w:rPr>
        <w:tab/>
      </w:r>
      <w:r w:rsidRPr="009C216C">
        <w:rPr>
          <w:rFonts w:ascii="黑体" w:eastAsia="黑体" w:hAnsi="黑体" w:hint="eastAsia"/>
        </w:rPr>
        <w:t>谴责对妇女和女童的隔离是不可接受的做法，是对妇女和女童尊严的侮辱，既不符合《基本法：人的尊严和自由》，也违反了《公约》</w:t>
      </w:r>
      <w:r>
        <w:rPr>
          <w:rFonts w:hint="eastAsia"/>
        </w:rPr>
        <w:t>；</w:t>
      </w:r>
    </w:p>
    <w:p w14:paraId="33CDBC39" w14:textId="77777777" w:rsidR="005D5052" w:rsidRDefault="005D5052" w:rsidP="005D5052">
      <w:pPr>
        <w:pStyle w:val="SingleTxt"/>
      </w:pPr>
      <w:r>
        <w:rPr>
          <w:rFonts w:hint="eastAsia"/>
        </w:rPr>
        <w:tab/>
        <w:t>(c)</w:t>
      </w:r>
      <w:r>
        <w:rPr>
          <w:rFonts w:hint="eastAsia"/>
        </w:rPr>
        <w:tab/>
      </w:r>
      <w:r w:rsidRPr="009C216C">
        <w:rPr>
          <w:rFonts w:ascii="黑体" w:eastAsia="黑体" w:hAnsi="黑体" w:hint="eastAsia"/>
        </w:rPr>
        <w:t>在公共场所和高等教育等所有领域消除隔离</w:t>
      </w:r>
      <w:r>
        <w:rPr>
          <w:rFonts w:hint="eastAsia"/>
        </w:rPr>
        <w:t>。</w:t>
      </w:r>
    </w:p>
    <w:p w14:paraId="76BA9DF6" w14:textId="77777777" w:rsidR="005D5052" w:rsidRPr="009C216C" w:rsidRDefault="005D5052" w:rsidP="005D5052">
      <w:pPr>
        <w:pStyle w:val="SingleTxt"/>
        <w:rPr>
          <w:rFonts w:ascii="黑体" w:eastAsia="黑体" w:hAnsi="黑体"/>
        </w:rPr>
      </w:pPr>
      <w:r w:rsidRPr="009C216C">
        <w:rPr>
          <w:rFonts w:ascii="黑体" w:eastAsia="黑体" w:hAnsi="黑体" w:hint="eastAsia"/>
        </w:rPr>
        <w:t>《公约》的域外适用</w:t>
      </w:r>
    </w:p>
    <w:p w14:paraId="704ADC9A" w14:textId="77777777" w:rsidR="005D5052" w:rsidRDefault="005D5052" w:rsidP="005D5052">
      <w:pPr>
        <w:pStyle w:val="SingleTxt"/>
      </w:pPr>
      <w:r>
        <w:rPr>
          <w:rFonts w:hint="eastAsia"/>
        </w:rPr>
        <w:t>14.</w:t>
      </w:r>
      <w:r>
        <w:rPr>
          <w:rFonts w:hint="eastAsia"/>
        </w:rPr>
        <w:tab/>
      </w:r>
      <w:r>
        <w:rPr>
          <w:rFonts w:hint="eastAsia"/>
        </w:rPr>
        <w:t>委员会感到遗憾的是，缔约国坚持认为《公约》不适用于本国领土之外，因此未提供在缔约国行使管辖权或有效控制的巴勒斯坦被占领土上《公约》执行情况的任何信息。委员会重申，缔约国的立场违背了委员会及其他条约机构的立场，这些机构包括人权委员会、经济、社会及文化权利委员会、禁止酷刑委员会、消除种族歧视委员会和国际法院</w:t>
      </w:r>
      <w:r>
        <w:rPr>
          <w:rFonts w:hint="eastAsia"/>
        </w:rPr>
        <w:t>(</w:t>
      </w:r>
      <w:r>
        <w:rPr>
          <w:rFonts w:hint="eastAsia"/>
        </w:rPr>
        <w:t>同上，第</w:t>
      </w:r>
      <w:r>
        <w:rPr>
          <w:rFonts w:hint="eastAsia"/>
        </w:rPr>
        <w:t>12</w:t>
      </w:r>
      <w:r>
        <w:rPr>
          <w:rFonts w:hint="eastAsia"/>
        </w:rPr>
        <w:t>段</w:t>
      </w:r>
      <w:r>
        <w:rPr>
          <w:rFonts w:hint="eastAsia"/>
        </w:rPr>
        <w:t>)</w:t>
      </w:r>
      <w:r>
        <w:rPr>
          <w:rFonts w:hint="eastAsia"/>
        </w:rPr>
        <w:t>。</w:t>
      </w:r>
    </w:p>
    <w:p w14:paraId="02FDF211" w14:textId="77777777" w:rsidR="005D5052" w:rsidRDefault="005D5052" w:rsidP="005D5052">
      <w:pPr>
        <w:pStyle w:val="SingleTxt"/>
        <w:rPr>
          <w:rFonts w:eastAsia="黑体"/>
        </w:rPr>
      </w:pPr>
      <w:r>
        <w:rPr>
          <w:rFonts w:hint="eastAsia"/>
        </w:rPr>
        <w:t>15.</w:t>
      </w:r>
      <w:r>
        <w:rPr>
          <w:rFonts w:hint="eastAsia"/>
        </w:rPr>
        <w:tab/>
      </w:r>
      <w:r w:rsidRPr="009C216C">
        <w:rPr>
          <w:rFonts w:eastAsia="黑体" w:hint="eastAsia"/>
        </w:rPr>
        <w:t>委员会回顾其以往建议</w:t>
      </w:r>
      <w:r w:rsidRPr="009C216C">
        <w:rPr>
          <w:rFonts w:eastAsia="黑体" w:hint="eastAsia"/>
        </w:rPr>
        <w:t>(</w:t>
      </w:r>
      <w:r w:rsidRPr="009C216C">
        <w:rPr>
          <w:rFonts w:eastAsia="黑体" w:hint="eastAsia"/>
        </w:rPr>
        <w:t>同上，第</w:t>
      </w:r>
      <w:r w:rsidRPr="009C216C">
        <w:rPr>
          <w:rFonts w:eastAsia="黑体" w:hint="eastAsia"/>
        </w:rPr>
        <w:t>13</w:t>
      </w:r>
      <w:r w:rsidRPr="009C216C">
        <w:rPr>
          <w:rFonts w:eastAsia="黑体" w:hint="eastAsia"/>
        </w:rPr>
        <w:t>段</w:t>
      </w:r>
      <w:r w:rsidRPr="009C216C">
        <w:rPr>
          <w:rFonts w:eastAsia="黑体" w:hint="eastAsia"/>
        </w:rPr>
        <w:t>)</w:t>
      </w:r>
      <w:r w:rsidRPr="009C216C">
        <w:rPr>
          <w:rFonts w:eastAsia="黑体" w:hint="eastAsia"/>
        </w:rPr>
        <w:t>，即缔约国应对其管辖或有效控制下的人员充分执行《公约》各项规定并履行国际人道主义法的义务。委员会建议缔约国在第七次定期报告中提供全面资料，说明在缔约国行使管辖权或有效控制的巴勒斯坦被占领土上《公约》的执行情况。</w:t>
      </w:r>
    </w:p>
    <w:p w14:paraId="1405D524" w14:textId="77777777" w:rsidR="005D5052" w:rsidRPr="009C216C" w:rsidRDefault="005D5052" w:rsidP="005D5052">
      <w:pPr>
        <w:pStyle w:val="SingleTxt"/>
        <w:rPr>
          <w:rFonts w:ascii="黑体" w:eastAsia="黑体" w:hAnsi="黑体"/>
        </w:rPr>
      </w:pPr>
      <w:r w:rsidRPr="009C216C">
        <w:rPr>
          <w:rFonts w:ascii="黑体" w:eastAsia="黑体" w:hAnsi="黑体" w:hint="eastAsia"/>
        </w:rPr>
        <w:t>司法救助</w:t>
      </w:r>
    </w:p>
    <w:p w14:paraId="3ECE871E" w14:textId="77777777" w:rsidR="005D5052" w:rsidRDefault="005D5052" w:rsidP="005D5052">
      <w:pPr>
        <w:pStyle w:val="SingleTxt"/>
      </w:pPr>
      <w:r>
        <w:rPr>
          <w:rFonts w:hint="eastAsia"/>
        </w:rPr>
        <w:lastRenderedPageBreak/>
        <w:t>16.</w:t>
      </w:r>
      <w:r>
        <w:rPr>
          <w:rFonts w:hint="eastAsia"/>
        </w:rPr>
        <w:tab/>
      </w:r>
      <w:r>
        <w:rPr>
          <w:rFonts w:hint="eastAsia"/>
        </w:rPr>
        <w:t>委员会注意到缔约国努力向妇女和女童提供法律援助服务，包括</w:t>
      </w:r>
      <w:r>
        <w:rPr>
          <w:rFonts w:hint="eastAsia"/>
        </w:rPr>
        <w:t>2016</w:t>
      </w:r>
      <w:r>
        <w:rPr>
          <w:rFonts w:hint="eastAsia"/>
        </w:rPr>
        <w:t>年</w:t>
      </w:r>
      <w:r>
        <w:rPr>
          <w:rFonts w:hint="eastAsia"/>
        </w:rPr>
        <w:t>6</w:t>
      </w:r>
      <w:r>
        <w:rPr>
          <w:rFonts w:hint="eastAsia"/>
        </w:rPr>
        <w:t>月在</w:t>
      </w:r>
      <w:proofErr w:type="spellStart"/>
      <w:r>
        <w:rPr>
          <w:rFonts w:hint="eastAsia"/>
        </w:rPr>
        <w:t>Rahat</w:t>
      </w:r>
      <w:proofErr w:type="spellEnd"/>
      <w:r>
        <w:rPr>
          <w:rFonts w:hint="eastAsia"/>
        </w:rPr>
        <w:t>设立法律援助处，并加强法律援助部和非政府组织之间的合作。委员会还欢迎最近一项修正案向性犯罪受害者免费提供法律援助，免除了《法律援助法》要求的经济资格测试。委员会还欢迎执行《犹太教法院</w:t>
      </w:r>
      <w:r>
        <w:rPr>
          <w:rFonts w:hint="eastAsia"/>
        </w:rPr>
        <w:t>(</w:t>
      </w:r>
      <w:r>
        <w:rPr>
          <w:rFonts w:hint="eastAsia"/>
        </w:rPr>
        <w:t>执行离婚判决</w:t>
      </w:r>
      <w:r>
        <w:rPr>
          <w:rFonts w:hint="eastAsia"/>
        </w:rPr>
        <w:t>)</w:t>
      </w:r>
      <w:r>
        <w:rPr>
          <w:rFonts w:hint="eastAsia"/>
        </w:rPr>
        <w:t>法》修正案，并加强家庭法院系统，以加快处理有关婚姻和离婚的案件。然而，委员会感到关切的是：</w:t>
      </w:r>
    </w:p>
    <w:p w14:paraId="142256DA" w14:textId="77777777" w:rsidR="005D5052" w:rsidRDefault="005D5052" w:rsidP="005D5052">
      <w:pPr>
        <w:pStyle w:val="SingleTxt"/>
      </w:pPr>
      <w:r>
        <w:rPr>
          <w:rFonts w:hint="eastAsia"/>
        </w:rPr>
        <w:tab/>
        <w:t>(a)</w:t>
      </w:r>
      <w:r>
        <w:rPr>
          <w:rFonts w:hint="eastAsia"/>
        </w:rPr>
        <w:tab/>
      </w:r>
      <w:r>
        <w:rPr>
          <w:rFonts w:hint="eastAsia"/>
        </w:rPr>
        <w:t>妇女包括少数群体的妇女不了解《公约》赋予她们的权利，而且缺乏必要信息来主张这些权利；</w:t>
      </w:r>
    </w:p>
    <w:p w14:paraId="046AB194" w14:textId="77777777" w:rsidR="005D5052" w:rsidRDefault="005D5052" w:rsidP="005D5052">
      <w:pPr>
        <w:pStyle w:val="SingleTxt"/>
      </w:pPr>
      <w:r>
        <w:rPr>
          <w:rFonts w:hint="eastAsia"/>
        </w:rPr>
        <w:tab/>
        <w:t>(b)</w:t>
      </w:r>
      <w:r>
        <w:rPr>
          <w:rFonts w:hint="eastAsia"/>
        </w:rPr>
        <w:tab/>
      </w:r>
      <w:r>
        <w:rPr>
          <w:rFonts w:hint="eastAsia"/>
        </w:rPr>
        <w:t>由于在提出歧视申诉方面面临有形障碍和经济障碍，妇女和女童、特别是阿拉伯人和贝都因人社区、寻求庇护者和移民中的妇女和女童不能平等获得司法救助；</w:t>
      </w:r>
    </w:p>
    <w:p w14:paraId="0C2B4014" w14:textId="77777777" w:rsidR="005D5052" w:rsidRDefault="005D5052" w:rsidP="005D5052">
      <w:pPr>
        <w:pStyle w:val="SingleTxt"/>
      </w:pPr>
      <w:r>
        <w:rPr>
          <w:rFonts w:hint="eastAsia"/>
        </w:rPr>
        <w:tab/>
        <w:t>(c)</w:t>
      </w:r>
      <w:r>
        <w:rPr>
          <w:rFonts w:hint="eastAsia"/>
        </w:rPr>
        <w:tab/>
        <w:t>2016</w:t>
      </w:r>
      <w:r>
        <w:rPr>
          <w:rFonts w:hint="eastAsia"/>
        </w:rPr>
        <w:t>年</w:t>
      </w:r>
      <w:r>
        <w:rPr>
          <w:rFonts w:hint="eastAsia"/>
        </w:rPr>
        <w:t>4</w:t>
      </w:r>
      <w:r>
        <w:rPr>
          <w:rFonts w:hint="eastAsia"/>
        </w:rPr>
        <w:t>月法律援助部通过准则后，由法律援助资助的有关子女抚养及照管等家庭法律事务方面的上诉数量减少。</w:t>
      </w:r>
    </w:p>
    <w:p w14:paraId="7245F36A" w14:textId="77777777" w:rsidR="005D5052" w:rsidRDefault="005D5052" w:rsidP="005D5052">
      <w:pPr>
        <w:pStyle w:val="SingleTxt"/>
      </w:pPr>
      <w:r>
        <w:rPr>
          <w:rFonts w:hint="eastAsia"/>
        </w:rPr>
        <w:t>17.</w:t>
      </w:r>
      <w:r>
        <w:rPr>
          <w:rFonts w:hint="eastAsia"/>
        </w:rPr>
        <w:tab/>
      </w:r>
      <w:r w:rsidRPr="009C216C">
        <w:rPr>
          <w:rFonts w:eastAsia="黑体" w:hint="eastAsia"/>
        </w:rPr>
        <w:t>委员会回顾其关于妇女获得司法救助的第</w:t>
      </w:r>
      <w:r w:rsidRPr="009C216C">
        <w:rPr>
          <w:rFonts w:eastAsia="黑体" w:hint="eastAsia"/>
        </w:rPr>
        <w:t>33(2015)</w:t>
      </w:r>
      <w:r w:rsidRPr="009C216C">
        <w:rPr>
          <w:rFonts w:eastAsia="黑体" w:hint="eastAsia"/>
        </w:rPr>
        <w:t>号一般性建议，并建议缔约国消除妨碍妇女获得司法救助的一切有形障碍和经济障碍，尤其是阿拉伯人和贝都因人社区、寻求庇护者和移民中的妇女所面临的障碍。委员会还建议缔约国</w:t>
      </w:r>
      <w:r>
        <w:rPr>
          <w:rFonts w:hint="eastAsia"/>
        </w:rPr>
        <w:t>：</w:t>
      </w:r>
    </w:p>
    <w:p w14:paraId="00981389" w14:textId="77777777" w:rsidR="005D5052" w:rsidRDefault="005D5052" w:rsidP="005D5052">
      <w:pPr>
        <w:pStyle w:val="SingleTxt"/>
      </w:pPr>
      <w:r>
        <w:rPr>
          <w:rFonts w:hint="eastAsia"/>
        </w:rPr>
        <w:tab/>
        <w:t>(a)</w:t>
      </w:r>
      <w:r>
        <w:rPr>
          <w:rFonts w:hint="eastAsia"/>
        </w:rPr>
        <w:tab/>
      </w:r>
      <w:r w:rsidRPr="009C216C">
        <w:rPr>
          <w:rFonts w:ascii="黑体" w:eastAsia="黑体" w:hAnsi="黑体" w:hint="eastAsia"/>
        </w:rPr>
        <w:t>提高所有妇女包括少数群体妇女对《公约》赋予权利的认识，消除妨碍她们获得司法救助的障碍</w:t>
      </w:r>
      <w:r>
        <w:rPr>
          <w:rFonts w:hint="eastAsia"/>
        </w:rPr>
        <w:t>；</w:t>
      </w:r>
    </w:p>
    <w:p w14:paraId="65322324" w14:textId="77777777" w:rsidR="005D5052" w:rsidRDefault="005D5052" w:rsidP="005D5052">
      <w:pPr>
        <w:pStyle w:val="SingleTxt"/>
      </w:pPr>
      <w:r>
        <w:rPr>
          <w:rFonts w:hint="eastAsia"/>
        </w:rPr>
        <w:tab/>
        <w:t>(b)</w:t>
      </w:r>
      <w:r>
        <w:rPr>
          <w:rFonts w:hint="eastAsia"/>
        </w:rPr>
        <w:tab/>
      </w:r>
      <w:r w:rsidRPr="009C216C">
        <w:rPr>
          <w:rFonts w:ascii="黑体" w:eastAsia="黑体" w:hAnsi="黑体" w:hint="eastAsia"/>
        </w:rPr>
        <w:t>确保《公约》和相关国家立法成为对司法机构和司法系统所有行为体不断进行法律教育的有机组成部分，以培养一种支持妇女权利的文化</w:t>
      </w:r>
      <w:r>
        <w:rPr>
          <w:rFonts w:hint="eastAsia"/>
        </w:rPr>
        <w:t>；</w:t>
      </w:r>
    </w:p>
    <w:p w14:paraId="4F7B1B02" w14:textId="77777777" w:rsidR="005D5052" w:rsidRDefault="005D5052" w:rsidP="005D5052">
      <w:pPr>
        <w:pStyle w:val="SingleTxt"/>
      </w:pPr>
      <w:r>
        <w:rPr>
          <w:rFonts w:hint="eastAsia"/>
        </w:rPr>
        <w:tab/>
        <w:t>(c)</w:t>
      </w:r>
      <w:r>
        <w:rPr>
          <w:rFonts w:hint="eastAsia"/>
        </w:rPr>
        <w:tab/>
      </w:r>
      <w:r w:rsidRPr="009C216C">
        <w:rPr>
          <w:rFonts w:eastAsia="黑体" w:hint="eastAsia"/>
        </w:rPr>
        <w:t>评估法律援助部</w:t>
      </w:r>
      <w:r w:rsidRPr="009C216C">
        <w:rPr>
          <w:rFonts w:eastAsia="黑体" w:hint="eastAsia"/>
        </w:rPr>
        <w:t>2016</w:t>
      </w:r>
      <w:r w:rsidRPr="009C216C">
        <w:rPr>
          <w:rFonts w:eastAsia="黑体" w:hint="eastAsia"/>
        </w:rPr>
        <w:t>年通过的准则对妇女获得法律援助的影响，特别是在子女抚养和监护案件等家庭法律事务方面的影响</w:t>
      </w:r>
      <w:r>
        <w:rPr>
          <w:rFonts w:hint="eastAsia"/>
        </w:rPr>
        <w:t>。</w:t>
      </w:r>
    </w:p>
    <w:p w14:paraId="40C7F57E" w14:textId="77777777" w:rsidR="005D5052" w:rsidRPr="009C216C" w:rsidRDefault="005D5052" w:rsidP="005D5052">
      <w:pPr>
        <w:pStyle w:val="SingleTxt"/>
        <w:rPr>
          <w:rFonts w:ascii="黑体" w:eastAsia="黑体" w:hAnsi="黑体"/>
        </w:rPr>
      </w:pPr>
      <w:r w:rsidRPr="009C216C">
        <w:rPr>
          <w:rFonts w:ascii="黑体" w:eastAsia="黑体" w:hAnsi="黑体" w:hint="eastAsia"/>
        </w:rPr>
        <w:t>妇女、和平与安全</w:t>
      </w:r>
    </w:p>
    <w:p w14:paraId="5221AD7A" w14:textId="77777777" w:rsidR="005D5052" w:rsidRDefault="005D5052" w:rsidP="005D5052">
      <w:pPr>
        <w:pStyle w:val="SingleTxt"/>
      </w:pPr>
      <w:r>
        <w:rPr>
          <w:rFonts w:hint="eastAsia"/>
        </w:rPr>
        <w:t>18.</w:t>
      </w:r>
      <w:r>
        <w:rPr>
          <w:rFonts w:hint="eastAsia"/>
        </w:rPr>
        <w:tab/>
      </w:r>
      <w:r>
        <w:rPr>
          <w:rFonts w:hint="eastAsia"/>
        </w:rPr>
        <w:t>委员会欢迎第</w:t>
      </w:r>
      <w:r>
        <w:rPr>
          <w:rFonts w:hint="eastAsia"/>
        </w:rPr>
        <w:t>2331</w:t>
      </w:r>
      <w:r>
        <w:rPr>
          <w:rFonts w:hint="eastAsia"/>
        </w:rPr>
        <w:t>号政府决议，该决议旨在执行安全理事会关于妇女、和平与安全的第</w:t>
      </w:r>
      <w:r>
        <w:fldChar w:fldCharType="begin"/>
      </w:r>
      <w:r>
        <w:instrText xml:space="preserve"> HYPERLINK "https://undocs.org/ch/S/RES/1325(2000)" </w:instrText>
      </w:r>
      <w:r>
        <w:fldChar w:fldCharType="separate"/>
      </w:r>
      <w:r w:rsidRPr="00A80D6C">
        <w:rPr>
          <w:rStyle w:val="ad"/>
          <w:rFonts w:hint="eastAsia"/>
        </w:rPr>
        <w:t>1325(2000)</w:t>
      </w:r>
      <w:r>
        <w:rPr>
          <w:rStyle w:val="ad"/>
        </w:rPr>
        <w:fldChar w:fldCharType="end"/>
      </w:r>
      <w:r>
        <w:rPr>
          <w:rFonts w:hint="eastAsia"/>
        </w:rPr>
        <w:t>号决议。委员会注意到缔约国通过了一项相关行动计划和一项促进性别平等的综合政策计划。委员会还注意到，以色列国防部队中有妇女代表。但委员会感到关切的是：</w:t>
      </w:r>
    </w:p>
    <w:p w14:paraId="7108FED4" w14:textId="77777777" w:rsidR="005D5052" w:rsidRDefault="005D5052" w:rsidP="005D5052">
      <w:pPr>
        <w:pStyle w:val="SingleTxt"/>
      </w:pPr>
      <w:r>
        <w:rPr>
          <w:rFonts w:hint="eastAsia"/>
        </w:rPr>
        <w:tab/>
        <w:t>(a)</w:t>
      </w:r>
      <w:r>
        <w:rPr>
          <w:rFonts w:hint="eastAsia"/>
        </w:rPr>
        <w:tab/>
      </w:r>
      <w:r>
        <w:rPr>
          <w:rFonts w:hint="eastAsia"/>
        </w:rPr>
        <w:t>执行政策计划时没有把巴勒斯坦被占领土上妇女和女童的状况作为缔约国域外义务的一部分加以处理；</w:t>
      </w:r>
    </w:p>
    <w:p w14:paraId="0124FF3C" w14:textId="77777777" w:rsidR="005D5052" w:rsidRDefault="005D5052" w:rsidP="005D5052">
      <w:pPr>
        <w:pStyle w:val="SingleTxt"/>
      </w:pPr>
      <w:r>
        <w:rPr>
          <w:rFonts w:hint="eastAsia"/>
        </w:rPr>
        <w:tab/>
        <w:t>(b)</w:t>
      </w:r>
      <w:r>
        <w:rPr>
          <w:rFonts w:hint="eastAsia"/>
        </w:rPr>
        <w:tab/>
      </w:r>
      <w:r>
        <w:rPr>
          <w:rFonts w:hint="eastAsia"/>
        </w:rPr>
        <w:t>尽管缔约国努力加强妇女对和平进程的参与，但妇女、特别是阿裔以色列妇女和民间社会组织的代表人数仍然不足；</w:t>
      </w:r>
    </w:p>
    <w:p w14:paraId="036049C9" w14:textId="77777777" w:rsidR="005D5052" w:rsidRDefault="005D5052" w:rsidP="005D5052">
      <w:pPr>
        <w:pStyle w:val="SingleTxt"/>
      </w:pPr>
      <w:r>
        <w:rPr>
          <w:rFonts w:hint="eastAsia"/>
        </w:rPr>
        <w:tab/>
        <w:t>(c)</w:t>
      </w:r>
      <w:r>
        <w:rPr>
          <w:rFonts w:hint="eastAsia"/>
        </w:rPr>
        <w:tab/>
      </w:r>
      <w:r>
        <w:rPr>
          <w:rFonts w:hint="eastAsia"/>
        </w:rPr>
        <w:t>尽管通过了消除性骚扰的战略计划，包括设立受害者支助科，但以色列国防军中的性暴力行为却有所增加；</w:t>
      </w:r>
    </w:p>
    <w:p w14:paraId="1FFB6536" w14:textId="4895B8B4" w:rsidR="005D5052" w:rsidRDefault="005D5052" w:rsidP="005D5052">
      <w:pPr>
        <w:pStyle w:val="SingleTxt"/>
      </w:pPr>
      <w:r>
        <w:rPr>
          <w:rFonts w:hint="eastAsia"/>
        </w:rPr>
        <w:tab/>
        <w:t>(d)</w:t>
      </w:r>
      <w:r>
        <w:rPr>
          <w:rFonts w:hint="eastAsia"/>
        </w:rPr>
        <w:tab/>
      </w:r>
      <w:r>
        <w:rPr>
          <w:rFonts w:hint="eastAsia"/>
        </w:rPr>
        <w:t>以色列安全部队在应对暴力行为、示威抗议以及在采取反恐怖主义措施的执法行动中继续过度使用武力，这对妇女和女童的影响尤为严重。</w:t>
      </w:r>
    </w:p>
    <w:p w14:paraId="0A6688A4" w14:textId="77777777" w:rsidR="005D5052" w:rsidRDefault="005D5052" w:rsidP="005D5052">
      <w:pPr>
        <w:pStyle w:val="SingleTxt"/>
      </w:pPr>
      <w:r>
        <w:rPr>
          <w:rFonts w:hint="eastAsia"/>
        </w:rPr>
        <w:lastRenderedPageBreak/>
        <w:t>19.</w:t>
      </w:r>
      <w:r>
        <w:rPr>
          <w:rFonts w:hint="eastAsia"/>
        </w:rPr>
        <w:tab/>
      </w:r>
      <w:r w:rsidRPr="009C216C">
        <w:rPr>
          <w:rFonts w:eastAsia="黑体" w:hint="eastAsia"/>
        </w:rPr>
        <w:t>委员会建议缔约国适当考虑委员会关于妇女在预防冲突、冲突及冲突后局势中的作用的第</w:t>
      </w:r>
      <w:r w:rsidRPr="009C216C">
        <w:rPr>
          <w:rFonts w:eastAsia="黑体" w:hint="eastAsia"/>
        </w:rPr>
        <w:t>30(2013)</w:t>
      </w:r>
      <w:r w:rsidRPr="009C216C">
        <w:rPr>
          <w:rFonts w:eastAsia="黑体" w:hint="eastAsia"/>
        </w:rPr>
        <w:t>号一般性建议，确保旨在执行安全理事会第</w:t>
      </w:r>
      <w:r>
        <w:fldChar w:fldCharType="begin"/>
      </w:r>
      <w:r>
        <w:instrText xml:space="preserve"> HYPERLINK "https://undocs.org/ch/S/RES/1325(2000)" </w:instrText>
      </w:r>
      <w:r>
        <w:fldChar w:fldCharType="separate"/>
      </w:r>
      <w:r w:rsidRPr="00A80D6C">
        <w:rPr>
          <w:rStyle w:val="ad"/>
          <w:rFonts w:eastAsia="黑体" w:hint="eastAsia"/>
        </w:rPr>
        <w:t>1325(2000)</w:t>
      </w:r>
      <w:r>
        <w:rPr>
          <w:rStyle w:val="ad"/>
          <w:rFonts w:eastAsia="黑体"/>
        </w:rPr>
        <w:fldChar w:fldCharType="end"/>
      </w:r>
      <w:r w:rsidRPr="009C216C">
        <w:rPr>
          <w:rFonts w:eastAsia="黑体" w:hint="eastAsia"/>
        </w:rPr>
        <w:t>号决议的政策计划得到充分实施，包括为此分配适当人力、技术和财政资源，并与代表各方观点的民间社会组织的妇女加强协调。委员会还建议缔约国</w:t>
      </w:r>
      <w:r>
        <w:rPr>
          <w:rFonts w:hint="eastAsia"/>
        </w:rPr>
        <w:t>：</w:t>
      </w:r>
    </w:p>
    <w:p w14:paraId="1A94C2BA" w14:textId="77777777" w:rsidR="005D5052" w:rsidRDefault="005D5052" w:rsidP="005D5052">
      <w:pPr>
        <w:pStyle w:val="SingleTxt"/>
      </w:pPr>
      <w:r>
        <w:rPr>
          <w:rFonts w:hint="eastAsia"/>
        </w:rPr>
        <w:tab/>
        <w:t>(a)</w:t>
      </w:r>
      <w:r>
        <w:rPr>
          <w:rFonts w:hint="eastAsia"/>
        </w:rPr>
        <w:tab/>
      </w:r>
      <w:r w:rsidRPr="009C216C">
        <w:rPr>
          <w:rFonts w:ascii="黑体" w:eastAsia="黑体" w:hAnsi="黑体" w:hint="eastAsia"/>
        </w:rPr>
        <w:t>将政策计划的适用范围扩大到缔约国行使管辖权或有效控制的巴勒斯坦被占领土</w:t>
      </w:r>
      <w:r>
        <w:rPr>
          <w:rFonts w:hint="eastAsia"/>
        </w:rPr>
        <w:t>；</w:t>
      </w:r>
    </w:p>
    <w:p w14:paraId="57FF0BCF" w14:textId="77777777" w:rsidR="005D5052" w:rsidRDefault="005D5052" w:rsidP="005D5052">
      <w:pPr>
        <w:pStyle w:val="SingleTxt"/>
      </w:pPr>
      <w:r>
        <w:rPr>
          <w:rFonts w:hint="eastAsia"/>
        </w:rPr>
        <w:tab/>
        <w:t>(b)</w:t>
      </w:r>
      <w:r>
        <w:rPr>
          <w:rFonts w:hint="eastAsia"/>
        </w:rPr>
        <w:tab/>
      </w:r>
      <w:r w:rsidRPr="009C216C">
        <w:rPr>
          <w:rFonts w:eastAsia="黑体" w:hint="eastAsia"/>
        </w:rPr>
        <w:t>按照安全理事会第</w:t>
      </w:r>
      <w:r>
        <w:fldChar w:fldCharType="begin"/>
      </w:r>
      <w:r>
        <w:instrText xml:space="preserve"> HYPERLINK "https://undocs.org/ch/S/RES/1325(2000)" </w:instrText>
      </w:r>
      <w:r>
        <w:fldChar w:fldCharType="separate"/>
      </w:r>
      <w:r w:rsidRPr="00A80D6C">
        <w:rPr>
          <w:rStyle w:val="ad"/>
          <w:rFonts w:eastAsia="黑体" w:hint="eastAsia"/>
        </w:rPr>
        <w:t>1325(2000)</w:t>
      </w:r>
      <w:r>
        <w:rPr>
          <w:rStyle w:val="ad"/>
          <w:rFonts w:eastAsia="黑体"/>
        </w:rPr>
        <w:fldChar w:fldCharType="end"/>
      </w:r>
      <w:r w:rsidRPr="009C216C">
        <w:rPr>
          <w:rFonts w:eastAsia="黑体" w:hint="eastAsia"/>
        </w:rPr>
        <w:t>号决议，建立一个具有既定目标的机制，承认和利用妇女在寻求持久和平解决办法中的战略作用，推动预防冲突和冲突后重建工作，包括为此让妇女直接参与决策，并考虑到安全理事会第</w:t>
      </w:r>
      <w:r>
        <w:fldChar w:fldCharType="begin"/>
      </w:r>
      <w:r>
        <w:instrText xml:space="preserve"> HYPERLINK "https://undocs.org/ch/S/RES/1820(2008)" </w:instrText>
      </w:r>
      <w:r>
        <w:fldChar w:fldCharType="separate"/>
      </w:r>
      <w:r w:rsidRPr="00A80D6C">
        <w:rPr>
          <w:rStyle w:val="ad"/>
          <w:rFonts w:eastAsia="黑体" w:hint="eastAsia"/>
        </w:rPr>
        <w:t>1820(2008)</w:t>
      </w:r>
      <w:r>
        <w:rPr>
          <w:rStyle w:val="ad"/>
          <w:rFonts w:eastAsia="黑体"/>
        </w:rPr>
        <w:fldChar w:fldCharType="end"/>
      </w:r>
      <w:r w:rsidRPr="009C216C">
        <w:rPr>
          <w:rFonts w:eastAsia="黑体" w:hint="eastAsia"/>
        </w:rPr>
        <w:t>、</w:t>
      </w:r>
      <w:r>
        <w:fldChar w:fldCharType="begin"/>
      </w:r>
      <w:r>
        <w:instrText xml:space="preserve"> HYPERLINK "https://undocs.org/ch/S/RES/1888(2009)" </w:instrText>
      </w:r>
      <w:r>
        <w:fldChar w:fldCharType="separate"/>
      </w:r>
      <w:r w:rsidRPr="00A80D6C">
        <w:rPr>
          <w:rStyle w:val="ad"/>
          <w:rFonts w:eastAsia="黑体" w:hint="eastAsia"/>
        </w:rPr>
        <w:t>1888(2009)</w:t>
      </w:r>
      <w:r>
        <w:rPr>
          <w:rStyle w:val="ad"/>
          <w:rFonts w:eastAsia="黑体"/>
        </w:rPr>
        <w:fldChar w:fldCharType="end"/>
      </w:r>
      <w:r w:rsidRPr="009C216C">
        <w:rPr>
          <w:rFonts w:eastAsia="黑体" w:hint="eastAsia"/>
        </w:rPr>
        <w:t>、</w:t>
      </w:r>
      <w:r>
        <w:fldChar w:fldCharType="begin"/>
      </w:r>
      <w:r>
        <w:instrText xml:space="preserve"> HYPERLINK "https://undocs.org/ch/S/RES/1889(2009)" </w:instrText>
      </w:r>
      <w:r>
        <w:fldChar w:fldCharType="separate"/>
      </w:r>
      <w:r w:rsidRPr="00A80D6C">
        <w:rPr>
          <w:rStyle w:val="ad"/>
          <w:rFonts w:eastAsia="黑体" w:hint="eastAsia"/>
        </w:rPr>
        <w:t>1889(2009)</w:t>
      </w:r>
      <w:r>
        <w:rPr>
          <w:rStyle w:val="ad"/>
          <w:rFonts w:eastAsia="黑体"/>
        </w:rPr>
        <w:fldChar w:fldCharType="end"/>
      </w:r>
      <w:r w:rsidRPr="009C216C">
        <w:rPr>
          <w:rFonts w:eastAsia="黑体" w:hint="eastAsia"/>
        </w:rPr>
        <w:t>、</w:t>
      </w:r>
      <w:r>
        <w:fldChar w:fldCharType="begin"/>
      </w:r>
      <w:r>
        <w:instrText xml:space="preserve"> HYPERLINK "https://undocs.org/ch/S/RES/1960(2010)" </w:instrText>
      </w:r>
      <w:r>
        <w:fldChar w:fldCharType="separate"/>
      </w:r>
      <w:r w:rsidRPr="00A80D6C">
        <w:rPr>
          <w:rStyle w:val="ad"/>
          <w:rFonts w:eastAsia="黑体" w:hint="eastAsia"/>
        </w:rPr>
        <w:t>1960(2010)</w:t>
      </w:r>
      <w:r>
        <w:rPr>
          <w:rStyle w:val="ad"/>
          <w:rFonts w:eastAsia="黑体"/>
        </w:rPr>
        <w:fldChar w:fldCharType="end"/>
      </w:r>
      <w:r w:rsidRPr="009C216C">
        <w:rPr>
          <w:rFonts w:eastAsia="黑体" w:hint="eastAsia"/>
        </w:rPr>
        <w:t>、</w:t>
      </w:r>
      <w:r>
        <w:fldChar w:fldCharType="begin"/>
      </w:r>
      <w:r>
        <w:instrText xml:space="preserve"> HYPERLINK "https://undocs.org/ch/S/RES/2106(2013)" </w:instrText>
      </w:r>
      <w:r>
        <w:fldChar w:fldCharType="separate"/>
      </w:r>
      <w:r w:rsidRPr="00A80D6C">
        <w:rPr>
          <w:rStyle w:val="ad"/>
          <w:rFonts w:eastAsia="黑体" w:hint="eastAsia"/>
        </w:rPr>
        <w:t>2106(2013)</w:t>
      </w:r>
      <w:r>
        <w:rPr>
          <w:rStyle w:val="ad"/>
          <w:rFonts w:eastAsia="黑体"/>
        </w:rPr>
        <w:fldChar w:fldCharType="end"/>
      </w:r>
      <w:r w:rsidRPr="009C216C">
        <w:rPr>
          <w:rFonts w:eastAsia="黑体" w:hint="eastAsia"/>
        </w:rPr>
        <w:t>、</w:t>
      </w:r>
      <w:r>
        <w:fldChar w:fldCharType="begin"/>
      </w:r>
      <w:r>
        <w:instrText xml:space="preserve"> HYPERLINK "https://undocs.org/ch/S/RES/2122(2013)" </w:instrText>
      </w:r>
      <w:r>
        <w:fldChar w:fldCharType="separate"/>
      </w:r>
      <w:r w:rsidRPr="00A80D6C">
        <w:rPr>
          <w:rStyle w:val="ad"/>
          <w:rFonts w:eastAsia="黑体" w:hint="eastAsia"/>
        </w:rPr>
        <w:t>2122(2013)</w:t>
      </w:r>
      <w:r>
        <w:rPr>
          <w:rStyle w:val="ad"/>
          <w:rFonts w:eastAsia="黑体"/>
        </w:rPr>
        <w:fldChar w:fldCharType="end"/>
      </w:r>
      <w:r w:rsidRPr="009C216C">
        <w:rPr>
          <w:rFonts w:eastAsia="黑体" w:hint="eastAsia"/>
        </w:rPr>
        <w:t>和</w:t>
      </w:r>
      <w:r>
        <w:fldChar w:fldCharType="begin"/>
      </w:r>
      <w:r>
        <w:instrText xml:space="preserve"> HYPERLINK "https://undocs.org/ch/S/RES/2242(2015)" </w:instrText>
      </w:r>
      <w:r>
        <w:fldChar w:fldCharType="separate"/>
      </w:r>
      <w:r w:rsidRPr="00A80D6C">
        <w:rPr>
          <w:rStyle w:val="ad"/>
          <w:rFonts w:eastAsia="黑体" w:hint="eastAsia"/>
        </w:rPr>
        <w:t>2242(2015)</w:t>
      </w:r>
      <w:r>
        <w:rPr>
          <w:rStyle w:val="ad"/>
          <w:rFonts w:eastAsia="黑体"/>
        </w:rPr>
        <w:fldChar w:fldCharType="end"/>
      </w:r>
      <w:r w:rsidRPr="009C216C">
        <w:rPr>
          <w:rFonts w:eastAsia="黑体" w:hint="eastAsia"/>
        </w:rPr>
        <w:t>号决议所反映的妇女、和平与安全议程的所有方面</w:t>
      </w:r>
      <w:r>
        <w:rPr>
          <w:rFonts w:hint="eastAsia"/>
        </w:rPr>
        <w:t>。</w:t>
      </w:r>
    </w:p>
    <w:p w14:paraId="6E74E92A" w14:textId="77777777" w:rsidR="005D5052" w:rsidRDefault="005D5052" w:rsidP="005D5052">
      <w:pPr>
        <w:pStyle w:val="SingleTxt"/>
      </w:pPr>
      <w:r>
        <w:rPr>
          <w:rFonts w:hint="eastAsia"/>
        </w:rPr>
        <w:tab/>
        <w:t>(c)</w:t>
      </w:r>
      <w:r>
        <w:rPr>
          <w:rFonts w:hint="eastAsia"/>
        </w:rPr>
        <w:tab/>
      </w:r>
      <w:r w:rsidRPr="009C216C">
        <w:rPr>
          <w:rFonts w:ascii="黑体" w:eastAsia="黑体" w:hAnsi="黑体" w:hint="eastAsia"/>
        </w:rPr>
        <w:t>继续调查、起诉和惩处以色列国防军中性暴力行为的实施者，并确保严格执行对安全官员性虐待和性剥削行为的零容忍政策</w:t>
      </w:r>
      <w:r>
        <w:rPr>
          <w:rFonts w:hint="eastAsia"/>
        </w:rPr>
        <w:t>；</w:t>
      </w:r>
    </w:p>
    <w:p w14:paraId="1621D411" w14:textId="77777777" w:rsidR="005D5052" w:rsidRDefault="005D5052" w:rsidP="005D5052">
      <w:pPr>
        <w:pStyle w:val="SingleTxt"/>
      </w:pPr>
      <w:r>
        <w:rPr>
          <w:rFonts w:hint="eastAsia"/>
        </w:rPr>
        <w:tab/>
        <w:t>(d)</w:t>
      </w:r>
      <w:r>
        <w:rPr>
          <w:rFonts w:hint="eastAsia"/>
        </w:rPr>
        <w:tab/>
      </w:r>
      <w:r w:rsidRPr="009C216C">
        <w:rPr>
          <w:rFonts w:ascii="黑体" w:eastAsia="黑体" w:hAnsi="黑体" w:hint="eastAsia"/>
        </w:rPr>
        <w:t>确保在应对暴力行为、示威抗议以及在采取反恐怖主义措施的执法行动中不对妇女和女童过度使用武力，并遵守《执法人员使用武力和火器的基本原则》</w:t>
      </w:r>
      <w:r>
        <w:rPr>
          <w:rFonts w:hint="eastAsia"/>
        </w:rPr>
        <w:t>。</w:t>
      </w:r>
      <w:r>
        <w:rPr>
          <w:rFonts w:hint="eastAsia"/>
        </w:rPr>
        <w:t xml:space="preserve"> </w:t>
      </w:r>
    </w:p>
    <w:p w14:paraId="2AD1418E" w14:textId="77777777" w:rsidR="005D5052" w:rsidRPr="009C216C" w:rsidRDefault="005D5052" w:rsidP="005D5052">
      <w:pPr>
        <w:pStyle w:val="SingleTxt"/>
        <w:rPr>
          <w:rFonts w:ascii="黑体" w:eastAsia="黑体" w:hAnsi="黑体"/>
        </w:rPr>
      </w:pPr>
      <w:r w:rsidRPr="009C216C">
        <w:rPr>
          <w:rFonts w:ascii="黑体" w:eastAsia="黑体" w:hAnsi="黑体" w:hint="eastAsia"/>
        </w:rPr>
        <w:t>国家人权机构</w:t>
      </w:r>
    </w:p>
    <w:p w14:paraId="38CCB2F6" w14:textId="77777777" w:rsidR="005D5052" w:rsidRDefault="005D5052" w:rsidP="005D5052">
      <w:pPr>
        <w:pStyle w:val="SingleTxt"/>
      </w:pPr>
      <w:r>
        <w:rPr>
          <w:rFonts w:hint="eastAsia"/>
        </w:rPr>
        <w:t>20.</w:t>
      </w:r>
      <w:r>
        <w:rPr>
          <w:rFonts w:hint="eastAsia"/>
        </w:rPr>
        <w:tab/>
      </w:r>
      <w:r>
        <w:rPr>
          <w:rFonts w:hint="eastAsia"/>
        </w:rPr>
        <w:t>虽然委员会欢迎缔约国接受在普遍定期审议程序下提出的建议，即根据关于促进和保护人权的国家机构的地位的原则</w:t>
      </w:r>
      <w:r>
        <w:rPr>
          <w:rFonts w:hint="eastAsia"/>
        </w:rPr>
        <w:t>(</w:t>
      </w:r>
      <w:r>
        <w:rPr>
          <w:rFonts w:hint="eastAsia"/>
        </w:rPr>
        <w:t>巴黎原则</w:t>
      </w:r>
      <w:r>
        <w:rPr>
          <w:rFonts w:hint="eastAsia"/>
        </w:rPr>
        <w:t>)(</w:t>
      </w:r>
      <w:hyperlink r:id="rId25" w:history="1">
        <w:r w:rsidRPr="00A80D6C">
          <w:rPr>
            <w:rStyle w:val="ad"/>
            <w:rFonts w:hint="eastAsia"/>
          </w:rPr>
          <w:t>A/HRC/25/15</w:t>
        </w:r>
      </w:hyperlink>
      <w:r>
        <w:rPr>
          <w:rFonts w:hint="eastAsia"/>
        </w:rPr>
        <w:t>，第</w:t>
      </w:r>
      <w:r>
        <w:rPr>
          <w:rFonts w:hint="eastAsia"/>
        </w:rPr>
        <w:t>136.25</w:t>
      </w:r>
      <w:r>
        <w:rPr>
          <w:rFonts w:hint="eastAsia"/>
        </w:rPr>
        <w:t>段和</w:t>
      </w:r>
      <w:r>
        <w:fldChar w:fldCharType="begin"/>
      </w:r>
      <w:r>
        <w:instrText xml:space="preserve"> HYPERLINK "https://undocs.org/ch/A/HRC/25/15/Add.1" </w:instrText>
      </w:r>
      <w:r>
        <w:fldChar w:fldCharType="separate"/>
      </w:r>
      <w:r w:rsidRPr="00A80D6C">
        <w:rPr>
          <w:rStyle w:val="ad"/>
          <w:rFonts w:hint="eastAsia"/>
        </w:rPr>
        <w:t>A/HRC/25/15/Add.1</w:t>
      </w:r>
      <w:r>
        <w:rPr>
          <w:rStyle w:val="ad"/>
        </w:rPr>
        <w:fldChar w:fldCharType="end"/>
      </w:r>
      <w:r>
        <w:rPr>
          <w:rFonts w:hint="eastAsia"/>
        </w:rPr>
        <w:t>，第</w:t>
      </w:r>
      <w:r>
        <w:rPr>
          <w:rFonts w:hint="eastAsia"/>
        </w:rPr>
        <w:t>9</w:t>
      </w:r>
      <w:r>
        <w:rPr>
          <w:rFonts w:hint="eastAsia"/>
        </w:rPr>
        <w:t>段</w:t>
      </w:r>
      <w:r>
        <w:rPr>
          <w:rFonts w:hint="eastAsia"/>
        </w:rPr>
        <w:t>)</w:t>
      </w:r>
      <w:r>
        <w:rPr>
          <w:rFonts w:hint="eastAsia"/>
        </w:rPr>
        <w:t>建立国家人权机构，但委员会感到关切的是迄今尚未建立这样的机构。</w:t>
      </w:r>
    </w:p>
    <w:p w14:paraId="1FFA610F" w14:textId="77777777" w:rsidR="005D5052" w:rsidRDefault="005D5052" w:rsidP="005D5052">
      <w:pPr>
        <w:pStyle w:val="SingleTxt"/>
      </w:pPr>
      <w:r>
        <w:rPr>
          <w:rFonts w:hint="eastAsia"/>
        </w:rPr>
        <w:t>21.</w:t>
      </w:r>
      <w:r>
        <w:rPr>
          <w:rFonts w:hint="eastAsia"/>
        </w:rPr>
        <w:tab/>
      </w:r>
      <w:r w:rsidRPr="009C216C">
        <w:rPr>
          <w:rFonts w:ascii="黑体" w:eastAsia="黑体" w:hAnsi="黑体" w:hint="eastAsia"/>
        </w:rPr>
        <w:t>委员会建议缔约国充分遵守巴黎原则，设立促进和保护人权的独立国家人权机构，负责保护和促进妇女权利，确保妇女和男子在该机构中享有平等代表权，包括平等担任领导职务</w:t>
      </w:r>
      <w:r>
        <w:rPr>
          <w:rFonts w:hint="eastAsia"/>
        </w:rPr>
        <w:t>。</w:t>
      </w:r>
    </w:p>
    <w:p w14:paraId="636A402F" w14:textId="77777777" w:rsidR="005D5052" w:rsidRPr="009C216C" w:rsidRDefault="005D5052" w:rsidP="005D5052">
      <w:pPr>
        <w:pStyle w:val="SingleTxt"/>
        <w:rPr>
          <w:rFonts w:ascii="黑体" w:eastAsia="黑体" w:hAnsi="黑体"/>
        </w:rPr>
      </w:pPr>
      <w:r w:rsidRPr="009C216C">
        <w:rPr>
          <w:rFonts w:ascii="黑体" w:eastAsia="黑体" w:hAnsi="黑体" w:hint="eastAsia"/>
        </w:rPr>
        <w:t>提高妇女地位和性别平等主流化的国家机构</w:t>
      </w:r>
    </w:p>
    <w:p w14:paraId="7E2D2CB4" w14:textId="77777777" w:rsidR="005D5052" w:rsidRDefault="005D5052" w:rsidP="005D5052">
      <w:pPr>
        <w:pStyle w:val="SingleTxt"/>
      </w:pPr>
      <w:r>
        <w:rPr>
          <w:rFonts w:hint="eastAsia"/>
        </w:rPr>
        <w:t>22.</w:t>
      </w:r>
      <w:r>
        <w:rPr>
          <w:rFonts w:hint="eastAsia"/>
        </w:rPr>
        <w:tab/>
      </w:r>
      <w:r>
        <w:rPr>
          <w:rFonts w:hint="eastAsia"/>
        </w:rPr>
        <w:t>委员会赞扬缔约国大幅度增加了提高妇女地位管理局的财政资源，还制定了性别平等主流化总体政策和行动计划，其中纳入了为实现可持续发展目标所采取的行动，并涉及国家和地方各级的治理结构。委员会还欢迎缔约国于</w:t>
      </w:r>
      <w:r>
        <w:rPr>
          <w:rFonts w:hint="eastAsia"/>
        </w:rPr>
        <w:t>2015</w:t>
      </w:r>
      <w:r>
        <w:rPr>
          <w:rFonts w:hint="eastAsia"/>
        </w:rPr>
        <w:t>年</w:t>
      </w:r>
      <w:r>
        <w:rPr>
          <w:rFonts w:hint="eastAsia"/>
        </w:rPr>
        <w:t>5</w:t>
      </w:r>
      <w:r>
        <w:rPr>
          <w:rFonts w:hint="eastAsia"/>
        </w:rPr>
        <w:t>月通过了第</w:t>
      </w:r>
      <w:r>
        <w:rPr>
          <w:rFonts w:hint="eastAsia"/>
        </w:rPr>
        <w:t>36</w:t>
      </w:r>
      <w:r>
        <w:rPr>
          <w:rFonts w:hint="eastAsia"/>
        </w:rPr>
        <w:t>号政府决议，决定设立社会平等问题部长级委员会，负责在《公约》所涵盖的各个领域促进两性平等。委员会注意到缔约国对国家预算进行“性别平等逐步分析”，努力界定派驻各部委的两性平等监督员的责任，并制定了促进阿拉伯人和贝都因人社区妇女平等的政策。但委员会注意到，监督员在开展性别平等主流化活动方面缺乏充分协调，而且所有对于加强计划和战略必不可少的行为体</w:t>
      </w:r>
      <w:r>
        <w:rPr>
          <w:rFonts w:hint="eastAsia"/>
        </w:rPr>
        <w:t>(</w:t>
      </w:r>
      <w:r>
        <w:rPr>
          <w:rFonts w:hint="eastAsia"/>
        </w:rPr>
        <w:t>包括法官和执法人员</w:t>
      </w:r>
      <w:r>
        <w:rPr>
          <w:rFonts w:hint="eastAsia"/>
        </w:rPr>
        <w:t>)</w:t>
      </w:r>
      <w:r>
        <w:rPr>
          <w:rFonts w:hint="eastAsia"/>
        </w:rPr>
        <w:t>也没有充分参与。</w:t>
      </w:r>
    </w:p>
    <w:p w14:paraId="24B84F62" w14:textId="77777777" w:rsidR="005D5052" w:rsidRDefault="005D5052" w:rsidP="005D5052">
      <w:pPr>
        <w:pStyle w:val="SingleTxt"/>
      </w:pPr>
      <w:r>
        <w:rPr>
          <w:rFonts w:hint="eastAsia"/>
        </w:rPr>
        <w:t>23.</w:t>
      </w:r>
      <w:r>
        <w:rPr>
          <w:rFonts w:hint="eastAsia"/>
        </w:rPr>
        <w:tab/>
      </w:r>
      <w:r w:rsidRPr="009C216C">
        <w:rPr>
          <w:rFonts w:ascii="黑体" w:eastAsia="黑体" w:hAnsi="黑体" w:hint="eastAsia"/>
        </w:rPr>
        <w:t>委员会建议缔约国</w:t>
      </w:r>
      <w:r>
        <w:rPr>
          <w:rFonts w:hint="eastAsia"/>
        </w:rPr>
        <w:t>：</w:t>
      </w:r>
    </w:p>
    <w:p w14:paraId="4DCA1900" w14:textId="77777777" w:rsidR="005D5052" w:rsidRDefault="005D5052" w:rsidP="005D5052">
      <w:pPr>
        <w:pStyle w:val="SingleTxt"/>
      </w:pPr>
      <w:r>
        <w:rPr>
          <w:rFonts w:hint="eastAsia"/>
        </w:rPr>
        <w:tab/>
        <w:t>(a)</w:t>
      </w:r>
      <w:r>
        <w:rPr>
          <w:rFonts w:hint="eastAsia"/>
        </w:rPr>
        <w:tab/>
      </w:r>
      <w:r w:rsidRPr="009C216C">
        <w:rPr>
          <w:rFonts w:ascii="黑体" w:eastAsia="黑体" w:hAnsi="黑体" w:hint="eastAsia"/>
        </w:rPr>
        <w:t>继续加强协调，向提高妇女地位管理局提供充足资源，使其能够有效开展活动，包括监测在实现可持续发展目标方面的工作进展情况</w:t>
      </w:r>
      <w:r>
        <w:rPr>
          <w:rFonts w:hint="eastAsia"/>
        </w:rPr>
        <w:t>；</w:t>
      </w:r>
    </w:p>
    <w:p w14:paraId="5D2DE9E4" w14:textId="77777777" w:rsidR="005D5052" w:rsidRDefault="005D5052" w:rsidP="005D5052">
      <w:pPr>
        <w:pStyle w:val="SingleTxt"/>
      </w:pPr>
      <w:r>
        <w:rPr>
          <w:rFonts w:hint="eastAsia"/>
        </w:rPr>
        <w:lastRenderedPageBreak/>
        <w:tab/>
        <w:t>(b)</w:t>
      </w:r>
      <w:r>
        <w:rPr>
          <w:rFonts w:hint="eastAsia"/>
        </w:rPr>
        <w:tab/>
      </w:r>
      <w:r w:rsidRPr="009C216C">
        <w:rPr>
          <w:rFonts w:ascii="黑体" w:eastAsia="黑体" w:hAnsi="黑体" w:hint="eastAsia"/>
        </w:rPr>
        <w:t>在第七次定期报告中评估各部委在正式确定性别平等监督员职责后所开展的性别平等主流化活动的执行和协调情况，其中应包括跟踪每个部门取得的进展，以确保由国家预算供资的活动遵守既定的性别平等预算评估标准，并确保对不遵守规定的部委进行制裁</w:t>
      </w:r>
      <w:r>
        <w:rPr>
          <w:rFonts w:hint="eastAsia"/>
        </w:rPr>
        <w:t>；</w:t>
      </w:r>
    </w:p>
    <w:p w14:paraId="4572C850" w14:textId="77777777" w:rsidR="005D5052" w:rsidRDefault="005D5052" w:rsidP="005D5052">
      <w:pPr>
        <w:pStyle w:val="SingleTxt"/>
      </w:pPr>
      <w:r>
        <w:rPr>
          <w:rFonts w:hint="eastAsia"/>
        </w:rPr>
        <w:tab/>
        <w:t>(c)</w:t>
      </w:r>
      <w:r>
        <w:rPr>
          <w:rFonts w:hint="eastAsia"/>
        </w:rPr>
        <w:tab/>
      </w:r>
      <w:r w:rsidRPr="009C216C">
        <w:rPr>
          <w:rFonts w:ascii="黑体" w:eastAsia="黑体" w:hAnsi="黑体" w:hint="eastAsia"/>
        </w:rPr>
        <w:t>加强旨在与代表妇女利益(特别是代表少数民族社区和处境不利群体妇女包括阿拉伯妇女和贝都因妇女利益)的民间社会组织增进合作的项目</w:t>
      </w:r>
      <w:r>
        <w:rPr>
          <w:rFonts w:hint="eastAsia"/>
        </w:rPr>
        <w:t>。</w:t>
      </w:r>
    </w:p>
    <w:p w14:paraId="5F7B81E6" w14:textId="77777777" w:rsidR="005D5052" w:rsidRPr="009C216C" w:rsidRDefault="005D5052" w:rsidP="005D5052">
      <w:pPr>
        <w:pStyle w:val="SingleTxt"/>
        <w:tabs>
          <w:tab w:val="left" w:pos="2085"/>
        </w:tabs>
        <w:rPr>
          <w:rFonts w:ascii="黑体" w:eastAsia="黑体" w:hAnsi="黑体"/>
        </w:rPr>
      </w:pPr>
      <w:r w:rsidRPr="009C216C">
        <w:rPr>
          <w:rFonts w:ascii="黑体" w:eastAsia="黑体" w:hAnsi="黑体" w:hint="eastAsia"/>
        </w:rPr>
        <w:t>暂行特别措施</w:t>
      </w:r>
    </w:p>
    <w:p w14:paraId="2033306B" w14:textId="77777777" w:rsidR="005D5052" w:rsidRDefault="005D5052" w:rsidP="005D5052">
      <w:pPr>
        <w:pStyle w:val="SingleTxt"/>
      </w:pPr>
      <w:r>
        <w:rPr>
          <w:rFonts w:hint="eastAsia"/>
        </w:rPr>
        <w:t>24.</w:t>
      </w:r>
      <w:r>
        <w:rPr>
          <w:rFonts w:hint="eastAsia"/>
        </w:rPr>
        <w:tab/>
      </w:r>
      <w:r>
        <w:rPr>
          <w:rFonts w:hint="eastAsia"/>
        </w:rPr>
        <w:t>委员会赞扬缔约国为加速实现男女实质平等而作出的努力，例如采取</w:t>
      </w:r>
      <w:r>
        <w:rPr>
          <w:rFonts w:hint="eastAsia"/>
        </w:rPr>
        <w:t xml:space="preserve"> </w:t>
      </w:r>
      <w:r>
        <w:rPr>
          <w:rFonts w:hint="eastAsia"/>
        </w:rPr>
        <w:t>“主管团队”公共措施，为阿裔以色列妇女担任政府公司主管设定配额。委员会还赞扬缔约国通过《市议会</w:t>
      </w:r>
      <w:r>
        <w:rPr>
          <w:rFonts w:hint="eastAsia"/>
        </w:rPr>
        <w:t>(</w:t>
      </w:r>
      <w:r>
        <w:rPr>
          <w:rFonts w:hint="eastAsia"/>
        </w:rPr>
        <w:t>选举供资</w:t>
      </w:r>
      <w:r>
        <w:rPr>
          <w:rFonts w:hint="eastAsia"/>
        </w:rPr>
        <w:t>)</w:t>
      </w:r>
      <w:r>
        <w:rPr>
          <w:rFonts w:hint="eastAsia"/>
        </w:rPr>
        <w:t>法》第</w:t>
      </w:r>
      <w:r>
        <w:rPr>
          <w:rFonts w:hint="eastAsia"/>
        </w:rPr>
        <w:t>12</w:t>
      </w:r>
      <w:r>
        <w:rPr>
          <w:rFonts w:hint="eastAsia"/>
        </w:rPr>
        <w:t>号修正案，为至少有三分之一女性成员当选和任职的政党提供</w:t>
      </w:r>
      <w:r>
        <w:rPr>
          <w:rFonts w:hint="eastAsia"/>
        </w:rPr>
        <w:t>15%</w:t>
      </w:r>
      <w:r>
        <w:rPr>
          <w:rFonts w:hint="eastAsia"/>
        </w:rPr>
        <w:t>的额外资金。不过，委员会感到关切的是，这一修正案只适用于市议会和地方议会的选举，而不适用于地区议会选举。委员会还感到关切的是，在《公约》规定的某些领域如高等教育领域没有采取临时特别措施。</w:t>
      </w:r>
    </w:p>
    <w:p w14:paraId="66D546DF" w14:textId="77777777" w:rsidR="005D5052" w:rsidRDefault="005D5052" w:rsidP="005D5052">
      <w:pPr>
        <w:pStyle w:val="SingleTxt"/>
      </w:pPr>
      <w:r>
        <w:rPr>
          <w:rFonts w:hint="eastAsia"/>
        </w:rPr>
        <w:t>25.</w:t>
      </w:r>
      <w:r>
        <w:rPr>
          <w:rFonts w:hint="eastAsia"/>
        </w:rPr>
        <w:tab/>
      </w:r>
      <w:r w:rsidRPr="001A17AB">
        <w:rPr>
          <w:rFonts w:eastAsia="黑体" w:hint="eastAsia"/>
        </w:rPr>
        <w:t>委员会建议缔约国在妇女任职人数不足或处于不利地位的《公约》涵盖的所有领域内</w:t>
      </w:r>
      <w:r w:rsidRPr="001A17AB">
        <w:rPr>
          <w:rFonts w:eastAsia="黑体" w:hint="eastAsia"/>
        </w:rPr>
        <w:t>(</w:t>
      </w:r>
      <w:r w:rsidRPr="001A17AB">
        <w:rPr>
          <w:rFonts w:eastAsia="黑体" w:hint="eastAsia"/>
        </w:rPr>
        <w:t>包括地区议会和高等教育决策职位</w:t>
      </w:r>
      <w:r w:rsidRPr="001A17AB">
        <w:rPr>
          <w:rFonts w:eastAsia="黑体" w:hint="eastAsia"/>
        </w:rPr>
        <w:t>)</w:t>
      </w:r>
      <w:r w:rsidRPr="001A17AB">
        <w:rPr>
          <w:rFonts w:eastAsia="黑体" w:hint="eastAsia"/>
        </w:rPr>
        <w:t>采取更多暂行特别措施，包括法定配额措施。根据《公约》第</w:t>
      </w:r>
      <w:r w:rsidRPr="001A17AB">
        <w:rPr>
          <w:rFonts w:eastAsia="黑体" w:hint="eastAsia"/>
        </w:rPr>
        <w:t>4(1)</w:t>
      </w:r>
      <w:r w:rsidRPr="001A17AB">
        <w:rPr>
          <w:rFonts w:eastAsia="黑体" w:hint="eastAsia"/>
        </w:rPr>
        <w:t>条和委员会关于暂行特别措施的第</w:t>
      </w:r>
      <w:r w:rsidRPr="001A17AB">
        <w:rPr>
          <w:rFonts w:eastAsia="黑体" w:hint="eastAsia"/>
        </w:rPr>
        <w:t>25(2004)</w:t>
      </w:r>
      <w:r w:rsidRPr="001A17AB">
        <w:rPr>
          <w:rFonts w:eastAsia="黑体" w:hint="eastAsia"/>
        </w:rPr>
        <w:t>号一般性建议，此类措施应包括具体目标和时限，以确保在妇女、特别是阿裔以色列妇女处于不利地位或人数不足的《公约》涵盖的所有领域内实现男女实质平等</w:t>
      </w:r>
      <w:r>
        <w:rPr>
          <w:rFonts w:hint="eastAsia"/>
        </w:rPr>
        <w:t>。</w:t>
      </w:r>
    </w:p>
    <w:p w14:paraId="1F0CB63A" w14:textId="77777777" w:rsidR="005D5052" w:rsidRPr="001A17AB" w:rsidRDefault="005D5052" w:rsidP="005D5052">
      <w:pPr>
        <w:pStyle w:val="SingleTxt"/>
        <w:rPr>
          <w:rFonts w:ascii="黑体" w:eastAsia="黑体" w:hAnsi="黑体"/>
        </w:rPr>
      </w:pPr>
      <w:r w:rsidRPr="001A17AB">
        <w:rPr>
          <w:rFonts w:ascii="黑体" w:eastAsia="黑体" w:hAnsi="黑体" w:hint="eastAsia"/>
        </w:rPr>
        <w:t>陈规定型观念和有害习俗</w:t>
      </w:r>
    </w:p>
    <w:p w14:paraId="45B7810C" w14:textId="77777777" w:rsidR="005D5052" w:rsidRDefault="005D5052" w:rsidP="005D5052">
      <w:pPr>
        <w:pStyle w:val="SingleTxt"/>
      </w:pPr>
      <w:r>
        <w:rPr>
          <w:rFonts w:hint="eastAsia"/>
        </w:rPr>
        <w:t>26.</w:t>
      </w:r>
      <w:r>
        <w:rPr>
          <w:rFonts w:hint="eastAsia"/>
        </w:rPr>
        <w:tab/>
      </w:r>
      <w:r>
        <w:rPr>
          <w:rFonts w:hint="eastAsia"/>
        </w:rPr>
        <w:t>委员会欢迎缔约国为消除陈规定型观念和有害习俗作出的努力，包括通过了《婚姻年龄法》第</w:t>
      </w:r>
      <w:r>
        <w:rPr>
          <w:rFonts w:hint="eastAsia"/>
        </w:rPr>
        <w:t>6</w:t>
      </w:r>
      <w:r>
        <w:rPr>
          <w:rFonts w:hint="eastAsia"/>
        </w:rPr>
        <w:t>号修正案，将最低结婚年龄从</w:t>
      </w:r>
      <w:r>
        <w:rPr>
          <w:rFonts w:hint="eastAsia"/>
        </w:rPr>
        <w:t>17</w:t>
      </w:r>
      <w:r>
        <w:rPr>
          <w:rFonts w:hint="eastAsia"/>
        </w:rPr>
        <w:t>岁提高到</w:t>
      </w:r>
      <w:r>
        <w:rPr>
          <w:rFonts w:hint="eastAsia"/>
        </w:rPr>
        <w:t>18</w:t>
      </w:r>
      <w:r>
        <w:rPr>
          <w:rFonts w:hint="eastAsia"/>
        </w:rPr>
        <w:t>岁。委员会还欢迎第</w:t>
      </w:r>
      <w:r>
        <w:rPr>
          <w:rFonts w:hint="eastAsia"/>
        </w:rPr>
        <w:t>2345</w:t>
      </w:r>
      <w:r>
        <w:rPr>
          <w:rFonts w:hint="eastAsia"/>
        </w:rPr>
        <w:t>号政府决议获得通过，其中规定设立部际委员会，负责制定取消多配偶婚姻的战略计划。然而，委员会感到关切的是：</w:t>
      </w:r>
    </w:p>
    <w:p w14:paraId="2BDE891F" w14:textId="77777777" w:rsidR="005D5052" w:rsidRDefault="005D5052" w:rsidP="005D5052">
      <w:pPr>
        <w:pStyle w:val="SingleTxt"/>
      </w:pPr>
      <w:r>
        <w:rPr>
          <w:rFonts w:hint="eastAsia"/>
        </w:rPr>
        <w:tab/>
        <w:t>(a)</w:t>
      </w:r>
      <w:r>
        <w:rPr>
          <w:rFonts w:hint="eastAsia"/>
        </w:rPr>
        <w:tab/>
      </w:r>
      <w:r>
        <w:rPr>
          <w:rFonts w:hint="eastAsia"/>
        </w:rPr>
        <w:t>关于男女在家庭和社会中的作用与责任问题，基于限制性宗教解释的歧视性陈规定型观念仍然存在，特别是在极端正统的以色列人中间；</w:t>
      </w:r>
    </w:p>
    <w:p w14:paraId="133F22FC" w14:textId="77777777" w:rsidR="005D5052" w:rsidRDefault="005D5052" w:rsidP="005D5052">
      <w:pPr>
        <w:pStyle w:val="SingleTxt"/>
      </w:pPr>
      <w:r>
        <w:rPr>
          <w:rFonts w:hint="eastAsia"/>
        </w:rPr>
        <w:tab/>
        <w:t>(b)</w:t>
      </w:r>
      <w:r>
        <w:rPr>
          <w:rFonts w:hint="eastAsia"/>
        </w:rPr>
        <w:tab/>
      </w:r>
      <w:r>
        <w:rPr>
          <w:rFonts w:hint="eastAsia"/>
        </w:rPr>
        <w:t>由于无法获得“离婚同意”而不能离婚的已婚妇女，当与不是丈夫的男子生育子女时仍然遭到污名化与歧视</w:t>
      </w:r>
      <w:r>
        <w:rPr>
          <w:rFonts w:hint="eastAsia"/>
        </w:rPr>
        <w:t xml:space="preserve"> </w:t>
      </w:r>
      <w:r>
        <w:rPr>
          <w:rFonts w:hint="eastAsia"/>
        </w:rPr>
        <w:t>；</w:t>
      </w:r>
    </w:p>
    <w:p w14:paraId="782DE447" w14:textId="77777777" w:rsidR="005D5052" w:rsidRDefault="005D5052" w:rsidP="005D5052">
      <w:pPr>
        <w:pStyle w:val="SingleTxt"/>
      </w:pPr>
      <w:r>
        <w:rPr>
          <w:rFonts w:hint="eastAsia"/>
        </w:rPr>
        <w:tab/>
        <w:t>(c)</w:t>
      </w:r>
      <w:r>
        <w:rPr>
          <w:rFonts w:hint="eastAsia"/>
        </w:rPr>
        <w:tab/>
      </w:r>
      <w:r>
        <w:rPr>
          <w:rFonts w:hint="eastAsia"/>
        </w:rPr>
        <w:t>尽管缔约国努力消除有害习俗，但多配偶婚姻和强迫婚姻仍继续存在，特别是在阿拉伯人和贝都因人社区。</w:t>
      </w:r>
    </w:p>
    <w:p w14:paraId="139B639E" w14:textId="77777777" w:rsidR="005D5052" w:rsidRDefault="005D5052" w:rsidP="005D5052">
      <w:pPr>
        <w:pStyle w:val="SingleTxt"/>
      </w:pPr>
      <w:r>
        <w:rPr>
          <w:rFonts w:hint="eastAsia"/>
        </w:rPr>
        <w:t>27.</w:t>
      </w:r>
      <w:r>
        <w:rPr>
          <w:rFonts w:hint="eastAsia"/>
        </w:rPr>
        <w:tab/>
      </w:r>
      <w:r w:rsidRPr="001A17AB">
        <w:rPr>
          <w:rFonts w:eastAsia="黑体" w:hint="eastAsia"/>
        </w:rPr>
        <w:t>委员会回顾消除对妇女歧视委员会第</w:t>
      </w:r>
      <w:r w:rsidRPr="001A17AB">
        <w:rPr>
          <w:rFonts w:eastAsia="黑体" w:hint="eastAsia"/>
        </w:rPr>
        <w:t>31</w:t>
      </w:r>
      <w:r w:rsidRPr="001A17AB">
        <w:rPr>
          <w:rFonts w:eastAsia="黑体" w:hint="eastAsia"/>
        </w:rPr>
        <w:t>号以及儿童权利委员会有关有害做法的第</w:t>
      </w:r>
      <w:r w:rsidRPr="001A17AB">
        <w:rPr>
          <w:rFonts w:eastAsia="黑体" w:hint="eastAsia"/>
        </w:rPr>
        <w:t>18</w:t>
      </w:r>
      <w:r w:rsidRPr="001A17AB">
        <w:rPr>
          <w:rFonts w:eastAsia="黑体" w:hint="eastAsia"/>
        </w:rPr>
        <w:t>号联合一般性建议</w:t>
      </w:r>
      <w:r w:rsidRPr="001A17AB">
        <w:rPr>
          <w:rFonts w:eastAsia="黑体" w:hint="eastAsia"/>
        </w:rPr>
        <w:t>/</w:t>
      </w:r>
      <w:r w:rsidRPr="001A17AB">
        <w:rPr>
          <w:rFonts w:eastAsia="黑体" w:hint="eastAsia"/>
        </w:rPr>
        <w:t>意见</w:t>
      </w:r>
      <w:r w:rsidRPr="001A17AB">
        <w:rPr>
          <w:rFonts w:eastAsia="黑体" w:hint="eastAsia"/>
        </w:rPr>
        <w:t>(2014)</w:t>
      </w:r>
      <w:r w:rsidRPr="001A17AB">
        <w:rPr>
          <w:rFonts w:eastAsia="黑体" w:hint="eastAsia"/>
        </w:rPr>
        <w:t>，并根据消除童婚、早婚和逼婚及残割女性生殖器等一切伤害行为的可持续发展目标具体目标</w:t>
      </w:r>
      <w:r w:rsidRPr="001A17AB">
        <w:rPr>
          <w:rFonts w:eastAsia="黑体" w:hint="eastAsia"/>
        </w:rPr>
        <w:t>5.3</w:t>
      </w:r>
      <w:r w:rsidRPr="001A17AB">
        <w:rPr>
          <w:rFonts w:eastAsia="黑体" w:hint="eastAsia"/>
        </w:rPr>
        <w:t>，建议缔约国</w:t>
      </w:r>
      <w:r>
        <w:rPr>
          <w:rFonts w:hint="eastAsia"/>
        </w:rPr>
        <w:t>：</w:t>
      </w:r>
    </w:p>
    <w:p w14:paraId="4B49668F" w14:textId="77777777" w:rsidR="005D5052" w:rsidRDefault="005D5052" w:rsidP="005D5052">
      <w:pPr>
        <w:pStyle w:val="SingleTxt"/>
      </w:pPr>
      <w:r>
        <w:rPr>
          <w:rFonts w:hint="eastAsia"/>
        </w:rPr>
        <w:tab/>
        <w:t>(a)</w:t>
      </w:r>
      <w:r>
        <w:rPr>
          <w:rFonts w:hint="eastAsia"/>
        </w:rPr>
        <w:tab/>
      </w:r>
      <w:r w:rsidRPr="001A17AB">
        <w:rPr>
          <w:rFonts w:eastAsia="黑体" w:hint="eastAsia"/>
        </w:rPr>
        <w:t>通过一项综合战略，消除关于妇女和男子在家庭和社会中角色与责任的歧视性陈规定型观念，其中应包含一项监测机制，用于评估所采取措施的影响并设计补救行动</w:t>
      </w:r>
      <w:r>
        <w:rPr>
          <w:rFonts w:hint="eastAsia"/>
        </w:rPr>
        <w:t>；</w:t>
      </w:r>
    </w:p>
    <w:p w14:paraId="59F064B3" w14:textId="77777777" w:rsidR="005D5052" w:rsidRDefault="005D5052" w:rsidP="005D5052">
      <w:pPr>
        <w:pStyle w:val="SingleTxt"/>
      </w:pPr>
      <w:r>
        <w:rPr>
          <w:rFonts w:hint="eastAsia"/>
        </w:rPr>
        <w:lastRenderedPageBreak/>
        <w:tab/>
        <w:t>(b)</w:t>
      </w:r>
      <w:r>
        <w:rPr>
          <w:rFonts w:hint="eastAsia"/>
        </w:rPr>
        <w:tab/>
      </w:r>
      <w:r w:rsidRPr="001A17AB">
        <w:rPr>
          <w:rFonts w:ascii="黑体" w:eastAsia="黑体" w:hAnsi="黑体" w:hint="eastAsia"/>
        </w:rPr>
        <w:t>扩大公共教育和其他方案，消除对非婚生育妇女的陈规定型观念和污名化</w:t>
      </w:r>
      <w:r>
        <w:rPr>
          <w:rFonts w:hint="eastAsia"/>
        </w:rPr>
        <w:t>；</w:t>
      </w:r>
    </w:p>
    <w:p w14:paraId="7653FE51" w14:textId="77777777" w:rsidR="005D5052" w:rsidRDefault="005D5052" w:rsidP="005D5052">
      <w:pPr>
        <w:pStyle w:val="SingleTxt"/>
      </w:pPr>
      <w:r>
        <w:rPr>
          <w:rFonts w:hint="eastAsia"/>
        </w:rPr>
        <w:tab/>
        <w:t>(c)</w:t>
      </w:r>
      <w:r>
        <w:rPr>
          <w:rFonts w:hint="eastAsia"/>
        </w:rPr>
        <w:tab/>
      </w:r>
      <w:r w:rsidRPr="001A17AB">
        <w:rPr>
          <w:rFonts w:ascii="黑体" w:eastAsia="黑体" w:hAnsi="黑体" w:hint="eastAsia"/>
        </w:rPr>
        <w:t>采取更多的立法和教育措施，消除多配偶婚姻和强迫婚姻，特别是在阿拉伯人和贝都因人社区中消除这类婚姻</w:t>
      </w:r>
      <w:r>
        <w:rPr>
          <w:rFonts w:hint="eastAsia"/>
        </w:rPr>
        <w:t>。</w:t>
      </w:r>
    </w:p>
    <w:p w14:paraId="0F505AB8" w14:textId="77777777" w:rsidR="005D5052" w:rsidRPr="001A17AB" w:rsidRDefault="005D5052" w:rsidP="005D5052">
      <w:pPr>
        <w:pStyle w:val="SingleTxt"/>
        <w:rPr>
          <w:rFonts w:ascii="黑体" w:eastAsia="黑体" w:hAnsi="黑体"/>
        </w:rPr>
      </w:pPr>
      <w:r w:rsidRPr="001A17AB">
        <w:rPr>
          <w:rFonts w:ascii="黑体" w:eastAsia="黑体" w:hAnsi="黑体" w:hint="eastAsia"/>
        </w:rPr>
        <w:t>针对妇女的性别暴力</w:t>
      </w:r>
    </w:p>
    <w:p w14:paraId="18B510E6" w14:textId="77777777" w:rsidR="005D5052" w:rsidRDefault="005D5052" w:rsidP="005D5052">
      <w:pPr>
        <w:pStyle w:val="SingleTxt"/>
      </w:pPr>
      <w:r>
        <w:rPr>
          <w:rFonts w:hint="eastAsia"/>
        </w:rPr>
        <w:t>28.</w:t>
      </w:r>
      <w:r>
        <w:rPr>
          <w:rFonts w:hint="eastAsia"/>
        </w:rPr>
        <w:tab/>
      </w:r>
      <w:r>
        <w:rPr>
          <w:rFonts w:hint="eastAsia"/>
        </w:rPr>
        <w:t>委员会赞扬缔约国为解决针对妇女的性别暴力问题所作努力，如《犯罪受害者权利法》第</w:t>
      </w:r>
      <w:r>
        <w:rPr>
          <w:rFonts w:hint="eastAsia"/>
        </w:rPr>
        <w:t>11</w:t>
      </w:r>
      <w:r>
        <w:rPr>
          <w:rFonts w:hint="eastAsia"/>
        </w:rPr>
        <w:t>号修正案即将于</w:t>
      </w:r>
      <w:r>
        <w:rPr>
          <w:rFonts w:hint="eastAsia"/>
        </w:rPr>
        <w:t>2018</w:t>
      </w:r>
      <w:r>
        <w:rPr>
          <w:rFonts w:hint="eastAsia"/>
        </w:rPr>
        <w:t>年</w:t>
      </w:r>
      <w:r>
        <w:rPr>
          <w:rFonts w:hint="eastAsia"/>
        </w:rPr>
        <w:t>1</w:t>
      </w:r>
      <w:r>
        <w:rPr>
          <w:rFonts w:hint="eastAsia"/>
        </w:rPr>
        <w:t>月生效，其中规定性暴力的受害者有权选择调查人员的性别。委员会注意到，缔约国正在采取步骤准备批准《欧洲委员会预防和打击暴力侵害妇女行为及家庭暴力公约》。然而，委员会仍然感到关切的是：</w:t>
      </w:r>
    </w:p>
    <w:p w14:paraId="7556090A" w14:textId="77777777" w:rsidR="005D5052" w:rsidRDefault="005D5052" w:rsidP="005D5052">
      <w:pPr>
        <w:pStyle w:val="SingleTxt"/>
      </w:pPr>
      <w:r>
        <w:rPr>
          <w:rFonts w:hint="eastAsia"/>
        </w:rPr>
        <w:tab/>
        <w:t>(a)</w:t>
      </w:r>
      <w:r>
        <w:rPr>
          <w:rFonts w:hint="eastAsia"/>
        </w:rPr>
        <w:tab/>
      </w:r>
      <w:r>
        <w:rPr>
          <w:rFonts w:hint="eastAsia"/>
        </w:rPr>
        <w:t>有报告指出存在亲密伴侣的暴力行为，包括杀害妇女和以所谓“荣誉”的名义犯罪；</w:t>
      </w:r>
    </w:p>
    <w:p w14:paraId="00A5BB66" w14:textId="6CA5D036" w:rsidR="005D5052" w:rsidRDefault="005D5052" w:rsidP="005D5052">
      <w:pPr>
        <w:pStyle w:val="SingleTxt"/>
      </w:pPr>
      <w:r>
        <w:rPr>
          <w:rFonts w:hint="eastAsia"/>
        </w:rPr>
        <w:tab/>
        <w:t>(b)</w:t>
      </w:r>
      <w:r>
        <w:rPr>
          <w:rFonts w:hint="eastAsia"/>
        </w:rPr>
        <w:tab/>
      </w:r>
      <w:r>
        <w:rPr>
          <w:rFonts w:hint="eastAsia"/>
        </w:rPr>
        <w:t>性暴力和家庭暴力问题普遍存在，暴力侵害妇女及其原因和后果问题特别报告员也指出了这一问题</w:t>
      </w:r>
      <w:r>
        <w:rPr>
          <w:rFonts w:hint="eastAsia"/>
        </w:rPr>
        <w:t>(</w:t>
      </w:r>
      <w:hyperlink r:id="rId26" w:history="1">
        <w:r w:rsidRPr="00A80D6C">
          <w:rPr>
            <w:rStyle w:val="ad"/>
            <w:rFonts w:hint="eastAsia"/>
          </w:rPr>
          <w:t>A/HRC/35/30/Add.1</w:t>
        </w:r>
      </w:hyperlink>
      <w:r>
        <w:rPr>
          <w:rFonts w:hint="eastAsia"/>
        </w:rPr>
        <w:t>，第</w:t>
      </w:r>
      <w:r>
        <w:rPr>
          <w:rFonts w:hint="eastAsia"/>
        </w:rPr>
        <w:t>29</w:t>
      </w:r>
      <w:r>
        <w:rPr>
          <w:rFonts w:hint="eastAsia"/>
        </w:rPr>
        <w:t>至</w:t>
      </w:r>
      <w:r>
        <w:rPr>
          <w:rFonts w:hint="eastAsia"/>
        </w:rPr>
        <w:t>32</w:t>
      </w:r>
      <w:r>
        <w:rPr>
          <w:rFonts w:hint="eastAsia"/>
        </w:rPr>
        <w:t>段</w:t>
      </w:r>
      <w:r>
        <w:rPr>
          <w:rFonts w:hint="eastAsia"/>
        </w:rPr>
        <w:t>)</w:t>
      </w:r>
      <w:r>
        <w:rPr>
          <w:rFonts w:hint="eastAsia"/>
        </w:rPr>
        <w:t>；</w:t>
      </w:r>
    </w:p>
    <w:p w14:paraId="7112E7C8" w14:textId="77777777" w:rsidR="005D5052" w:rsidRDefault="005D5052" w:rsidP="005D5052">
      <w:pPr>
        <w:pStyle w:val="SingleTxt"/>
      </w:pPr>
      <w:r>
        <w:rPr>
          <w:rFonts w:hint="eastAsia"/>
        </w:rPr>
        <w:tab/>
        <w:t>(c)</w:t>
      </w:r>
      <w:r>
        <w:rPr>
          <w:rFonts w:hint="eastAsia"/>
        </w:rPr>
        <w:tab/>
      </w:r>
      <w:r>
        <w:rPr>
          <w:rFonts w:hint="eastAsia"/>
        </w:rPr>
        <w:t>丈夫在离婚诉讼中通过拒不同意离婚对妻子施加心理暴力和心理虐待</w:t>
      </w:r>
      <w:r>
        <w:rPr>
          <w:rFonts w:hint="eastAsia"/>
        </w:rPr>
        <w:t>(</w:t>
      </w:r>
      <w:r>
        <w:rPr>
          <w:rFonts w:hint="eastAsia"/>
        </w:rPr>
        <w:t>又称“离婚同意”虐待</w:t>
      </w:r>
      <w:r>
        <w:rPr>
          <w:rFonts w:hint="eastAsia"/>
        </w:rPr>
        <w:t>)</w:t>
      </w:r>
      <w:r>
        <w:rPr>
          <w:rFonts w:hint="eastAsia"/>
        </w:rPr>
        <w:t>；</w:t>
      </w:r>
    </w:p>
    <w:p w14:paraId="7D52D88B" w14:textId="77777777" w:rsidR="005D5052" w:rsidRDefault="005D5052" w:rsidP="005D5052">
      <w:pPr>
        <w:pStyle w:val="SingleTxt"/>
      </w:pPr>
      <w:r>
        <w:rPr>
          <w:rFonts w:hint="eastAsia"/>
        </w:rPr>
        <w:tab/>
        <w:t>(d)</w:t>
      </w:r>
      <w:r>
        <w:rPr>
          <w:rFonts w:hint="eastAsia"/>
        </w:rPr>
        <w:tab/>
      </w:r>
      <w:r>
        <w:rPr>
          <w:rFonts w:hint="eastAsia"/>
        </w:rPr>
        <w:t>妇女和女童在所有场所遭受性骚扰的比率较高。</w:t>
      </w:r>
    </w:p>
    <w:p w14:paraId="6E4A3FA9" w14:textId="6E3E3F09" w:rsidR="005D5052" w:rsidRDefault="005D5052" w:rsidP="005D5052">
      <w:pPr>
        <w:pStyle w:val="SingleTxt"/>
      </w:pPr>
      <w:r>
        <w:rPr>
          <w:rFonts w:hint="eastAsia"/>
        </w:rPr>
        <w:t>29.</w:t>
      </w:r>
      <w:r>
        <w:rPr>
          <w:rFonts w:hint="eastAsia"/>
        </w:rPr>
        <w:tab/>
      </w:r>
      <w:r w:rsidRPr="001A17AB">
        <w:rPr>
          <w:rFonts w:eastAsia="黑体" w:hint="eastAsia"/>
        </w:rPr>
        <w:t>委员会回顾其关于暴力侵害妇女行为的第</w:t>
      </w:r>
      <w:r w:rsidRPr="001A17AB">
        <w:rPr>
          <w:rFonts w:eastAsia="黑体" w:hint="eastAsia"/>
        </w:rPr>
        <w:t>19(1992)</w:t>
      </w:r>
      <w:r w:rsidRPr="001A17AB">
        <w:rPr>
          <w:rFonts w:eastAsia="黑体" w:hint="eastAsia"/>
        </w:rPr>
        <w:t>号一般性建议和关于针对妇女的性别暴力的第</w:t>
      </w:r>
      <w:r w:rsidRPr="001A17AB">
        <w:rPr>
          <w:rFonts w:eastAsia="黑体" w:hint="eastAsia"/>
        </w:rPr>
        <w:t>35(2017)</w:t>
      </w:r>
      <w:r w:rsidRPr="001A17AB">
        <w:rPr>
          <w:rFonts w:eastAsia="黑体" w:hint="eastAsia"/>
        </w:rPr>
        <w:t>号一般性建议，更新了第</w:t>
      </w:r>
      <w:r w:rsidRPr="001A17AB">
        <w:rPr>
          <w:rFonts w:eastAsia="黑体" w:hint="eastAsia"/>
        </w:rPr>
        <w:t>19</w:t>
      </w:r>
      <w:r w:rsidRPr="001A17AB">
        <w:rPr>
          <w:rFonts w:eastAsia="黑体" w:hint="eastAsia"/>
        </w:rPr>
        <w:t>号一般性建议，并根据消除公共和私人领域针对妇女和女童一切形式的暴力行为包括贩卖、性剥削及其他形式剥削的可持续发展目标具体目标</w:t>
      </w:r>
      <w:r w:rsidRPr="001A17AB">
        <w:rPr>
          <w:rFonts w:eastAsia="黑体" w:hint="eastAsia"/>
        </w:rPr>
        <w:t>5.2</w:t>
      </w:r>
      <w:r w:rsidRPr="001A17AB">
        <w:rPr>
          <w:rFonts w:eastAsia="黑体" w:hint="eastAsia"/>
        </w:rPr>
        <w:t>，建议缔约国</w:t>
      </w:r>
      <w:r>
        <w:rPr>
          <w:rFonts w:hint="eastAsia"/>
        </w:rPr>
        <w:t>：</w:t>
      </w:r>
    </w:p>
    <w:p w14:paraId="31791747" w14:textId="77777777" w:rsidR="005D5052" w:rsidRDefault="005D5052" w:rsidP="005D5052">
      <w:pPr>
        <w:pStyle w:val="SingleTxt"/>
      </w:pPr>
      <w:r>
        <w:rPr>
          <w:rFonts w:hint="eastAsia"/>
        </w:rPr>
        <w:tab/>
        <w:t>(a)</w:t>
      </w:r>
      <w:r>
        <w:rPr>
          <w:rFonts w:hint="eastAsia"/>
        </w:rPr>
        <w:tab/>
      </w:r>
      <w:r w:rsidRPr="001A17AB">
        <w:rPr>
          <w:rFonts w:ascii="黑体" w:eastAsia="黑体" w:hAnsi="黑体" w:hint="eastAsia"/>
        </w:rPr>
        <w:t>加紧努力打击针对妇女的性别暴力，包括杀害妇女和家庭暴力，确保对这些暴力行为进行有效调查和起诉，并对施暴者作出量刑判决</w:t>
      </w:r>
      <w:r>
        <w:rPr>
          <w:rFonts w:hint="eastAsia"/>
        </w:rPr>
        <w:t>；</w:t>
      </w:r>
    </w:p>
    <w:p w14:paraId="0D7ED364" w14:textId="77777777" w:rsidR="005D5052" w:rsidRDefault="005D5052" w:rsidP="005D5052">
      <w:pPr>
        <w:pStyle w:val="SingleTxt"/>
      </w:pPr>
      <w:r>
        <w:rPr>
          <w:rFonts w:hint="eastAsia"/>
        </w:rPr>
        <w:tab/>
        <w:t>(b)</w:t>
      </w:r>
      <w:r>
        <w:rPr>
          <w:rFonts w:hint="eastAsia"/>
        </w:rPr>
        <w:tab/>
      </w:r>
      <w:r w:rsidRPr="001A17AB">
        <w:rPr>
          <w:rFonts w:ascii="黑体" w:eastAsia="黑体" w:hAnsi="黑体" w:hint="eastAsia"/>
        </w:rPr>
        <w:t>确保妇女在离婚诉讼过程中免遭丈夫施加的心理暴力和心理虐待，包括为此由法院实施适当制裁</w:t>
      </w:r>
      <w:r>
        <w:rPr>
          <w:rFonts w:hint="eastAsia"/>
        </w:rPr>
        <w:t>；</w:t>
      </w:r>
    </w:p>
    <w:p w14:paraId="55805993" w14:textId="77777777" w:rsidR="005D5052" w:rsidRDefault="005D5052" w:rsidP="005D5052">
      <w:pPr>
        <w:pStyle w:val="SingleTxt"/>
      </w:pPr>
      <w:r>
        <w:rPr>
          <w:rFonts w:hint="eastAsia"/>
        </w:rPr>
        <w:tab/>
        <w:t>(c)</w:t>
      </w:r>
      <w:r w:rsidRPr="001A17AB">
        <w:rPr>
          <w:rFonts w:ascii="黑体" w:eastAsia="黑体" w:hAnsi="黑体" w:hint="eastAsia"/>
        </w:rPr>
        <w:tab/>
        <w:t>执行对性骚扰的零容忍政策，确保全面起诉和惩处对妇女和女童实施的所有此类行为</w:t>
      </w:r>
      <w:r>
        <w:rPr>
          <w:rFonts w:hint="eastAsia"/>
        </w:rPr>
        <w:t>；</w:t>
      </w:r>
    </w:p>
    <w:p w14:paraId="37F949B9" w14:textId="77777777" w:rsidR="005D5052" w:rsidRDefault="005D5052" w:rsidP="005D5052">
      <w:pPr>
        <w:pStyle w:val="SingleTxt"/>
      </w:pPr>
      <w:r>
        <w:rPr>
          <w:rFonts w:hint="eastAsia"/>
        </w:rPr>
        <w:tab/>
        <w:t>(d)</w:t>
      </w:r>
      <w:r>
        <w:rPr>
          <w:rFonts w:hint="eastAsia"/>
        </w:rPr>
        <w:tab/>
      </w:r>
      <w:r w:rsidRPr="001A17AB">
        <w:rPr>
          <w:rFonts w:ascii="黑体" w:eastAsia="黑体" w:hAnsi="黑体" w:hint="eastAsia"/>
        </w:rPr>
        <w:t>加快批准《欧洲委员会预防和打击暴力侵害妇女行为及家庭暴力公约》</w:t>
      </w:r>
      <w:r>
        <w:rPr>
          <w:rFonts w:hint="eastAsia"/>
        </w:rPr>
        <w:t>。</w:t>
      </w:r>
    </w:p>
    <w:p w14:paraId="718E1891" w14:textId="77777777" w:rsidR="005D5052" w:rsidRPr="001A17AB" w:rsidRDefault="005D5052" w:rsidP="005D5052">
      <w:pPr>
        <w:pStyle w:val="SingleTxt"/>
        <w:rPr>
          <w:rFonts w:ascii="黑体" w:eastAsia="黑体" w:hAnsi="黑体"/>
        </w:rPr>
      </w:pPr>
      <w:r w:rsidRPr="001A17AB">
        <w:rPr>
          <w:rFonts w:ascii="黑体" w:eastAsia="黑体" w:hAnsi="黑体" w:hint="eastAsia"/>
        </w:rPr>
        <w:t>暴力侵害和骚扰巴勒斯坦被占领土上的妇女</w:t>
      </w:r>
    </w:p>
    <w:p w14:paraId="73517520" w14:textId="77777777" w:rsidR="005D5052" w:rsidRDefault="005D5052" w:rsidP="005D5052">
      <w:pPr>
        <w:pStyle w:val="SingleTxt"/>
      </w:pPr>
      <w:r>
        <w:rPr>
          <w:rFonts w:hint="eastAsia"/>
        </w:rPr>
        <w:t>30.</w:t>
      </w:r>
      <w:r>
        <w:rPr>
          <w:rFonts w:hint="eastAsia"/>
        </w:rPr>
        <w:tab/>
      </w:r>
      <w:r>
        <w:rPr>
          <w:rFonts w:hint="eastAsia"/>
        </w:rPr>
        <w:t>虽然注意到情况的复杂性，特别是在地方行政方面，但委员会表示关切的是，缔约国安全部队和以色列定居者继续对巴勒斯坦妇女和女童过度使用武力并虐待她们，包括身体、心理、口头虐待、性骚扰以及侵犯她们的生命权。委员会还感到关切的是：</w:t>
      </w:r>
    </w:p>
    <w:p w14:paraId="17072F9C" w14:textId="77777777" w:rsidR="005D5052" w:rsidRDefault="005D5052" w:rsidP="005D5052">
      <w:pPr>
        <w:pStyle w:val="SingleTxt"/>
      </w:pPr>
      <w:r>
        <w:rPr>
          <w:rFonts w:hint="eastAsia"/>
        </w:rPr>
        <w:lastRenderedPageBreak/>
        <w:tab/>
        <w:t>(a)</w:t>
      </w:r>
      <w:r>
        <w:rPr>
          <w:rFonts w:hint="eastAsia"/>
        </w:rPr>
        <w:tab/>
      </w:r>
      <w:r>
        <w:rPr>
          <w:rFonts w:hint="eastAsia"/>
        </w:rPr>
        <w:t>由于在巴勒斯坦被占领土上的行动自由受到限制，巴勒斯坦妇女和女童不仅在检查站不断遭到骚扰，而且也在往返学校和工作途中遭到定居者骚扰；</w:t>
      </w:r>
    </w:p>
    <w:p w14:paraId="09BA2534" w14:textId="77777777" w:rsidR="005D5052" w:rsidRDefault="005D5052" w:rsidP="005D5052">
      <w:pPr>
        <w:pStyle w:val="SingleTxt"/>
      </w:pPr>
      <w:r>
        <w:rPr>
          <w:rFonts w:hint="eastAsia"/>
        </w:rPr>
        <w:tab/>
        <w:t>(b)</w:t>
      </w:r>
      <w:r>
        <w:rPr>
          <w:rFonts w:hint="eastAsia"/>
        </w:rPr>
        <w:tab/>
      </w:r>
      <w:r>
        <w:rPr>
          <w:rFonts w:hint="eastAsia"/>
        </w:rPr>
        <w:t>以色列安全部队夜袭的做法对妇女和女童的影响尤为严重。</w:t>
      </w:r>
    </w:p>
    <w:p w14:paraId="4531F1D7" w14:textId="77777777" w:rsidR="005D5052" w:rsidRDefault="005D5052" w:rsidP="005D5052">
      <w:pPr>
        <w:pStyle w:val="SingleTxt"/>
      </w:pPr>
      <w:r>
        <w:rPr>
          <w:rFonts w:hint="eastAsia"/>
        </w:rPr>
        <w:t>31.</w:t>
      </w:r>
      <w:r>
        <w:rPr>
          <w:rFonts w:hint="eastAsia"/>
        </w:rPr>
        <w:tab/>
      </w:r>
      <w:r w:rsidRPr="001A17AB">
        <w:rPr>
          <w:rFonts w:eastAsia="黑体" w:hint="eastAsia"/>
        </w:rPr>
        <w:t>委员会重申其先前的结论性意见</w:t>
      </w:r>
      <w:r w:rsidRPr="001A17AB">
        <w:rPr>
          <w:rFonts w:eastAsia="黑体" w:hint="eastAsia"/>
        </w:rPr>
        <w:t>(</w:t>
      </w:r>
      <w:hyperlink r:id="rId27" w:history="1">
        <w:r w:rsidRPr="00A80D6C">
          <w:rPr>
            <w:rStyle w:val="ad"/>
            <w:rFonts w:eastAsia="黑体" w:hint="eastAsia"/>
          </w:rPr>
          <w:t>CEDAW/C/ISR/CO/5</w:t>
        </w:r>
      </w:hyperlink>
      <w:r w:rsidRPr="001A17AB">
        <w:rPr>
          <w:rFonts w:eastAsia="黑体" w:hint="eastAsia"/>
        </w:rPr>
        <w:t>，第</w:t>
      </w:r>
      <w:r w:rsidRPr="001A17AB">
        <w:rPr>
          <w:rFonts w:eastAsia="黑体" w:hint="eastAsia"/>
        </w:rPr>
        <w:t>23</w:t>
      </w:r>
      <w:r w:rsidRPr="001A17AB">
        <w:rPr>
          <w:rFonts w:eastAsia="黑体" w:hint="eastAsia"/>
        </w:rPr>
        <w:t>段</w:t>
      </w:r>
      <w:r w:rsidRPr="001A17AB">
        <w:rPr>
          <w:rFonts w:eastAsia="黑体" w:hint="eastAsia"/>
        </w:rPr>
        <w:t>)</w:t>
      </w:r>
      <w:r w:rsidRPr="001A17AB">
        <w:rPr>
          <w:rFonts w:eastAsia="黑体" w:hint="eastAsia"/>
        </w:rPr>
        <w:t>，并建议缔约国</w:t>
      </w:r>
      <w:r>
        <w:rPr>
          <w:rFonts w:hint="eastAsia"/>
        </w:rPr>
        <w:t>：</w:t>
      </w:r>
    </w:p>
    <w:p w14:paraId="2817968E" w14:textId="77777777" w:rsidR="005D5052" w:rsidRDefault="005D5052" w:rsidP="005D5052">
      <w:pPr>
        <w:pStyle w:val="SingleTxt"/>
      </w:pPr>
      <w:r>
        <w:rPr>
          <w:rFonts w:hint="eastAsia"/>
        </w:rPr>
        <w:tab/>
        <w:t>(a)</w:t>
      </w:r>
      <w:r>
        <w:rPr>
          <w:rFonts w:hint="eastAsia"/>
        </w:rPr>
        <w:tab/>
      </w:r>
      <w:r w:rsidRPr="001A17AB">
        <w:rPr>
          <w:rFonts w:ascii="黑体" w:eastAsia="黑体" w:hAnsi="黑体" w:hint="eastAsia"/>
        </w:rPr>
        <w:t>立即在巴勒斯坦被占领土结束一切针对妇女和女童的践踏和侵犯人权行为，取消对行动自由的任何限制</w:t>
      </w:r>
      <w:r>
        <w:rPr>
          <w:rFonts w:hint="eastAsia"/>
        </w:rPr>
        <w:t>；</w:t>
      </w:r>
    </w:p>
    <w:p w14:paraId="2BF78A12" w14:textId="77777777" w:rsidR="005D5052" w:rsidRDefault="005D5052" w:rsidP="005D5052">
      <w:pPr>
        <w:pStyle w:val="SingleTxt"/>
      </w:pPr>
      <w:r>
        <w:rPr>
          <w:rFonts w:hint="eastAsia"/>
        </w:rPr>
        <w:tab/>
        <w:t>(b)</w:t>
      </w:r>
      <w:r>
        <w:rPr>
          <w:rFonts w:hint="eastAsia"/>
        </w:rPr>
        <w:tab/>
      </w:r>
      <w:r w:rsidRPr="001A17AB">
        <w:rPr>
          <w:rFonts w:ascii="黑体" w:eastAsia="黑体" w:hAnsi="黑体" w:hint="eastAsia"/>
        </w:rPr>
        <w:t>打击对侵犯人权行为有罪不罚的现象，确保为受害者提供补救办法</w:t>
      </w:r>
      <w:r>
        <w:rPr>
          <w:rFonts w:hint="eastAsia"/>
        </w:rPr>
        <w:t>；</w:t>
      </w:r>
    </w:p>
    <w:p w14:paraId="5278AF20" w14:textId="77777777" w:rsidR="005D5052" w:rsidRDefault="005D5052" w:rsidP="005D5052">
      <w:pPr>
        <w:pStyle w:val="SingleTxt"/>
      </w:pPr>
      <w:r>
        <w:rPr>
          <w:rFonts w:hint="eastAsia"/>
        </w:rPr>
        <w:tab/>
        <w:t>(c)</w:t>
      </w:r>
      <w:r>
        <w:rPr>
          <w:rFonts w:hint="eastAsia"/>
        </w:rPr>
        <w:tab/>
      </w:r>
      <w:r w:rsidRPr="001A17AB">
        <w:rPr>
          <w:rFonts w:ascii="黑体" w:eastAsia="黑体" w:hAnsi="黑体" w:hint="eastAsia"/>
        </w:rPr>
        <w:t>确保夜袭的做法符合正当程序保障并尊重《公约》规定的权利</w:t>
      </w:r>
      <w:r>
        <w:rPr>
          <w:rFonts w:hint="eastAsia"/>
        </w:rPr>
        <w:t>。</w:t>
      </w:r>
    </w:p>
    <w:p w14:paraId="7AE34F9D" w14:textId="77777777" w:rsidR="005D5052" w:rsidRPr="001A17AB" w:rsidRDefault="005D5052" w:rsidP="005D5052">
      <w:pPr>
        <w:pStyle w:val="SingleTxt"/>
        <w:rPr>
          <w:rFonts w:ascii="黑体" w:eastAsia="黑体" w:hAnsi="黑体"/>
        </w:rPr>
      </w:pPr>
      <w:r w:rsidRPr="001A17AB">
        <w:rPr>
          <w:rFonts w:ascii="黑体" w:eastAsia="黑体" w:hAnsi="黑体" w:hint="eastAsia"/>
        </w:rPr>
        <w:t>驱逐和拆毁房屋</w:t>
      </w:r>
    </w:p>
    <w:p w14:paraId="7D7236F0" w14:textId="77777777" w:rsidR="005D5052" w:rsidRDefault="005D5052" w:rsidP="005D5052">
      <w:pPr>
        <w:pStyle w:val="SingleTxt"/>
      </w:pPr>
      <w:r>
        <w:rPr>
          <w:rFonts w:hint="eastAsia"/>
        </w:rPr>
        <w:t>32.</w:t>
      </w:r>
      <w:r>
        <w:rPr>
          <w:rFonts w:hint="eastAsia"/>
        </w:rPr>
        <w:tab/>
      </w:r>
      <w:r>
        <w:rPr>
          <w:rFonts w:hint="eastAsia"/>
        </w:rPr>
        <w:t>委员会回顾其先前的结论性意见</w:t>
      </w:r>
      <w:r>
        <w:rPr>
          <w:rFonts w:hint="eastAsia"/>
        </w:rPr>
        <w:t>(</w:t>
      </w:r>
      <w:r>
        <w:rPr>
          <w:rFonts w:hint="eastAsia"/>
        </w:rPr>
        <w:t>同上，第</w:t>
      </w:r>
      <w:r>
        <w:rPr>
          <w:rFonts w:hint="eastAsia"/>
        </w:rPr>
        <w:t>28</w:t>
      </w:r>
      <w:r>
        <w:rPr>
          <w:rFonts w:hint="eastAsia"/>
        </w:rPr>
        <w:t>段</w:t>
      </w:r>
      <w:r>
        <w:rPr>
          <w:rFonts w:hint="eastAsia"/>
        </w:rPr>
        <w:t>)</w:t>
      </w:r>
      <w:r>
        <w:rPr>
          <w:rFonts w:hint="eastAsia"/>
        </w:rPr>
        <w:t>，并关切地注意到，缔约国继续破坏财产、房屋和学校并实施强行驱逐，尤其是在受其管辖或有效控制的包括东耶路撒冷在内的巴勒斯坦被占领土上。委员会注意到，惩罚性拆除行为无区别地影响到整个家庭，构成集体惩罚并违反了国际人道主义法。委员会感到关切的是：</w:t>
      </w:r>
    </w:p>
    <w:p w14:paraId="21B28D99" w14:textId="77777777" w:rsidR="005D5052" w:rsidRDefault="005D5052" w:rsidP="005D5052">
      <w:pPr>
        <w:pStyle w:val="SingleTxt"/>
      </w:pPr>
      <w:r>
        <w:rPr>
          <w:rFonts w:hint="eastAsia"/>
        </w:rPr>
        <w:tab/>
        <w:t>(a)</w:t>
      </w:r>
      <w:r>
        <w:rPr>
          <w:rFonts w:hint="eastAsia"/>
        </w:rPr>
        <w:tab/>
      </w:r>
      <w:r>
        <w:rPr>
          <w:rFonts w:hint="eastAsia"/>
        </w:rPr>
        <w:t>缔约国当局于</w:t>
      </w:r>
      <w:r>
        <w:rPr>
          <w:rFonts w:hint="eastAsia"/>
        </w:rPr>
        <w:t>2005</w:t>
      </w:r>
      <w:r>
        <w:rPr>
          <w:rFonts w:hint="eastAsia"/>
        </w:rPr>
        <w:t>年暂停惩罚性拆房行为，后来又再次恢复这种做法，对家庭进行惩罚，并对妇女和女童、特别是女性为户主的家庭造成严重影响；</w:t>
      </w:r>
    </w:p>
    <w:p w14:paraId="59EEFC86" w14:textId="77777777" w:rsidR="005D5052" w:rsidRDefault="005D5052" w:rsidP="005D5052">
      <w:pPr>
        <w:pStyle w:val="SingleTxt"/>
      </w:pPr>
      <w:r>
        <w:rPr>
          <w:rFonts w:hint="eastAsia"/>
        </w:rPr>
        <w:tab/>
        <w:t>(b)</w:t>
      </w:r>
      <w:r>
        <w:rPr>
          <w:rFonts w:hint="eastAsia"/>
        </w:rPr>
        <w:tab/>
      </w:r>
      <w:r>
        <w:rPr>
          <w:rFonts w:hint="eastAsia"/>
        </w:rPr>
        <w:t>在包括东耶路撒冷在内的西岸</w:t>
      </w:r>
      <w:r>
        <w:rPr>
          <w:rFonts w:hint="eastAsia"/>
        </w:rPr>
        <w:t>C</w:t>
      </w:r>
      <w:r>
        <w:rPr>
          <w:rFonts w:hint="eastAsia"/>
        </w:rPr>
        <w:t>区采取歧视性的规划和分区政策，导致巴勒斯坦人无法获得住房许可，并发布驱逐令和拆迁令。</w:t>
      </w:r>
    </w:p>
    <w:p w14:paraId="405A87A2" w14:textId="77777777" w:rsidR="005D5052" w:rsidRDefault="005D5052" w:rsidP="005D5052">
      <w:pPr>
        <w:pStyle w:val="SingleTxt"/>
      </w:pPr>
      <w:r>
        <w:rPr>
          <w:rFonts w:hint="eastAsia"/>
        </w:rPr>
        <w:t>33.</w:t>
      </w:r>
      <w:r>
        <w:rPr>
          <w:rFonts w:hint="eastAsia"/>
        </w:rPr>
        <w:tab/>
      </w:r>
      <w:r w:rsidRPr="001A17AB">
        <w:rPr>
          <w:rFonts w:eastAsia="黑体" w:hint="eastAsia"/>
        </w:rPr>
        <w:t>委员会重申其以往建议</w:t>
      </w:r>
      <w:r w:rsidRPr="001A17AB">
        <w:rPr>
          <w:rFonts w:eastAsia="黑体" w:hint="eastAsia"/>
        </w:rPr>
        <w:t>(</w:t>
      </w:r>
      <w:r w:rsidRPr="001A17AB">
        <w:rPr>
          <w:rFonts w:eastAsia="黑体" w:hint="eastAsia"/>
        </w:rPr>
        <w:t>同上，第</w:t>
      </w:r>
      <w:r w:rsidRPr="001A17AB">
        <w:rPr>
          <w:rFonts w:eastAsia="黑体" w:hint="eastAsia"/>
        </w:rPr>
        <w:t>29</w:t>
      </w:r>
      <w:r w:rsidRPr="001A17AB">
        <w:rPr>
          <w:rFonts w:eastAsia="黑体" w:hint="eastAsia"/>
        </w:rPr>
        <w:t>段</w:t>
      </w:r>
      <w:r w:rsidRPr="001A17AB">
        <w:rPr>
          <w:rFonts w:eastAsia="黑体" w:hint="eastAsia"/>
        </w:rPr>
        <w:t>)</w:t>
      </w:r>
      <w:r w:rsidRPr="001A17AB">
        <w:rPr>
          <w:rFonts w:eastAsia="黑体" w:hint="eastAsia"/>
        </w:rPr>
        <w:t>，即缔约国应</w:t>
      </w:r>
      <w:r>
        <w:rPr>
          <w:rFonts w:hint="eastAsia"/>
        </w:rPr>
        <w:t>：</w:t>
      </w:r>
    </w:p>
    <w:p w14:paraId="6C121B5B" w14:textId="77777777" w:rsidR="005D5052" w:rsidRDefault="005D5052" w:rsidP="005D5052">
      <w:pPr>
        <w:pStyle w:val="SingleTxt"/>
      </w:pPr>
      <w:r>
        <w:rPr>
          <w:rFonts w:hint="eastAsia"/>
        </w:rPr>
        <w:tab/>
        <w:t>(a)</w:t>
      </w:r>
      <w:r>
        <w:rPr>
          <w:rFonts w:hint="eastAsia"/>
        </w:rPr>
        <w:tab/>
      </w:r>
      <w:r w:rsidRPr="001A17AB">
        <w:rPr>
          <w:rFonts w:ascii="黑体" w:eastAsia="黑体" w:hAnsi="黑体" w:hint="eastAsia"/>
        </w:rPr>
        <w:t>废除所有涉及惩罚性拆除和强行驱逐行为的政策，这些做法使阿裔以色列妇女和女童及巴勒斯坦被占领土的巴勒斯坦妇女和女童的身心健康受到损害</w:t>
      </w:r>
      <w:r>
        <w:rPr>
          <w:rFonts w:hint="eastAsia"/>
        </w:rPr>
        <w:t>；</w:t>
      </w:r>
    </w:p>
    <w:p w14:paraId="0DB0532B" w14:textId="77777777" w:rsidR="005D5052" w:rsidRDefault="005D5052" w:rsidP="005D5052">
      <w:pPr>
        <w:pStyle w:val="SingleTxt"/>
      </w:pPr>
      <w:r>
        <w:rPr>
          <w:rFonts w:hint="eastAsia"/>
        </w:rPr>
        <w:tab/>
        <w:t>(b)</w:t>
      </w:r>
      <w:r>
        <w:rPr>
          <w:rFonts w:hint="eastAsia"/>
        </w:rPr>
        <w:tab/>
      </w:r>
      <w:r w:rsidRPr="001A17AB">
        <w:rPr>
          <w:rFonts w:ascii="黑体" w:eastAsia="黑体" w:hAnsi="黑体" w:hint="eastAsia"/>
        </w:rPr>
        <w:t>立即停止执行基于歧视性规划和分区政策的驱逐令和拆迁令</w:t>
      </w:r>
      <w:r>
        <w:rPr>
          <w:rFonts w:hint="eastAsia"/>
        </w:rPr>
        <w:t>；</w:t>
      </w:r>
    </w:p>
    <w:p w14:paraId="40735BAF" w14:textId="77777777" w:rsidR="005D5052" w:rsidRDefault="005D5052" w:rsidP="005D5052">
      <w:pPr>
        <w:pStyle w:val="SingleTxt"/>
      </w:pPr>
      <w:r>
        <w:rPr>
          <w:rFonts w:hint="eastAsia"/>
        </w:rPr>
        <w:tab/>
        <w:t>(c)</w:t>
      </w:r>
      <w:r>
        <w:rPr>
          <w:rFonts w:hint="eastAsia"/>
        </w:rPr>
        <w:tab/>
      </w:r>
      <w:r w:rsidRPr="001A17AB">
        <w:rPr>
          <w:rFonts w:ascii="黑体" w:eastAsia="黑体" w:hAnsi="黑体" w:hint="eastAsia"/>
        </w:rPr>
        <w:t>修改对巴勒斯坦人的歧视性住房许可证政策</w:t>
      </w:r>
      <w:r>
        <w:rPr>
          <w:rFonts w:hint="eastAsia"/>
        </w:rPr>
        <w:t>。</w:t>
      </w:r>
    </w:p>
    <w:p w14:paraId="249111DB" w14:textId="77777777" w:rsidR="005D5052" w:rsidRPr="001A17AB" w:rsidRDefault="005D5052" w:rsidP="005D5052">
      <w:pPr>
        <w:pStyle w:val="SingleTxt"/>
        <w:rPr>
          <w:rFonts w:ascii="黑体" w:eastAsia="黑体" w:hAnsi="黑体"/>
        </w:rPr>
      </w:pPr>
      <w:r w:rsidRPr="001A17AB">
        <w:rPr>
          <w:rFonts w:ascii="黑体" w:eastAsia="黑体" w:hAnsi="黑体" w:hint="eastAsia"/>
        </w:rPr>
        <w:t>贩运人口和利用卖淫营利</w:t>
      </w:r>
    </w:p>
    <w:p w14:paraId="6C66CAC2" w14:textId="77777777" w:rsidR="005D5052" w:rsidRDefault="005D5052" w:rsidP="005D5052">
      <w:pPr>
        <w:pStyle w:val="SingleTxt"/>
      </w:pPr>
      <w:r>
        <w:rPr>
          <w:rFonts w:hint="eastAsia"/>
        </w:rPr>
        <w:t>34.</w:t>
      </w:r>
      <w:r>
        <w:rPr>
          <w:rFonts w:hint="eastAsia"/>
        </w:rPr>
        <w:tab/>
      </w:r>
      <w:r>
        <w:rPr>
          <w:rFonts w:hint="eastAsia"/>
        </w:rPr>
        <w:t>委员会注意到缔约国为惩罚购买性服务和打击人口贩运行为所作的努力，包括定期为政府官员举办培训班，向人口贩运受害者提供免费法律援助。然而，委员会感到关切的是，缔约国仍然是以性剥削和劳动剥削为目的贩运妇女和女童的目的地国。委员会尤其感到关切的是：</w:t>
      </w:r>
      <w:r>
        <w:rPr>
          <w:rFonts w:hint="eastAsia"/>
        </w:rPr>
        <w:t xml:space="preserve"> </w:t>
      </w:r>
    </w:p>
    <w:p w14:paraId="3E7D6A44" w14:textId="77777777" w:rsidR="005D5052" w:rsidRDefault="005D5052" w:rsidP="005D5052">
      <w:pPr>
        <w:pStyle w:val="SingleTxt"/>
      </w:pPr>
      <w:r>
        <w:rPr>
          <w:rFonts w:hint="eastAsia"/>
        </w:rPr>
        <w:tab/>
        <w:t>(a)</w:t>
      </w:r>
      <w:r>
        <w:rPr>
          <w:rFonts w:hint="eastAsia"/>
        </w:rPr>
        <w:tab/>
      </w:r>
      <w:r>
        <w:rPr>
          <w:rFonts w:hint="eastAsia"/>
        </w:rPr>
        <w:t>难以早期识别通常以劳工身份抵达缔约国但却成为以性剥削为目的贩运活动受害者的妇女和女童，而且在识别受害者方面效率低下；</w:t>
      </w:r>
    </w:p>
    <w:p w14:paraId="6C627ADB" w14:textId="77777777" w:rsidR="005D5052" w:rsidRDefault="005D5052" w:rsidP="005D5052">
      <w:pPr>
        <w:pStyle w:val="SingleTxt"/>
      </w:pPr>
      <w:r>
        <w:rPr>
          <w:rFonts w:hint="eastAsia"/>
        </w:rPr>
        <w:tab/>
        <w:t>(b)</w:t>
      </w:r>
      <w:r>
        <w:rPr>
          <w:rFonts w:hint="eastAsia"/>
        </w:rPr>
        <w:tab/>
      </w:r>
      <w:r>
        <w:rPr>
          <w:rFonts w:hint="eastAsia"/>
        </w:rPr>
        <w:t>没有充分信息说明建立了哪些机制来检查农业部门以识别贩运行为的受害者；</w:t>
      </w:r>
    </w:p>
    <w:p w14:paraId="191020B1" w14:textId="77777777" w:rsidR="005D5052" w:rsidRDefault="005D5052" w:rsidP="005D5052">
      <w:pPr>
        <w:pStyle w:val="SingleTxt"/>
      </w:pPr>
      <w:r>
        <w:rPr>
          <w:rFonts w:hint="eastAsia"/>
        </w:rPr>
        <w:lastRenderedPageBreak/>
        <w:tab/>
        <w:t>(c)</w:t>
      </w:r>
      <w:r>
        <w:rPr>
          <w:rFonts w:hint="eastAsia"/>
        </w:rPr>
        <w:tab/>
      </w:r>
      <w:r>
        <w:rPr>
          <w:rFonts w:hint="eastAsia"/>
        </w:rPr>
        <w:t>由于警察和移民部门间缺乏协调，贩运者受到起诉的比例很低；</w:t>
      </w:r>
    </w:p>
    <w:p w14:paraId="1AC2E6F7" w14:textId="77777777" w:rsidR="005D5052" w:rsidRDefault="005D5052" w:rsidP="005D5052">
      <w:pPr>
        <w:pStyle w:val="SingleTxt"/>
      </w:pPr>
      <w:r>
        <w:rPr>
          <w:rFonts w:hint="eastAsia"/>
        </w:rPr>
        <w:tab/>
        <w:t>(d)</w:t>
      </w:r>
      <w:r>
        <w:rPr>
          <w:rFonts w:hint="eastAsia"/>
        </w:rPr>
        <w:tab/>
      </w:r>
      <w:r>
        <w:rPr>
          <w:rFonts w:hint="eastAsia"/>
        </w:rPr>
        <w:t>缺乏关于卖淫妇女遭受性剥削的信息，也缺乏如何为希望脱离卖淫业的妇女提供退出方案的信息。</w:t>
      </w:r>
    </w:p>
    <w:p w14:paraId="42236234" w14:textId="77777777" w:rsidR="005D5052" w:rsidRDefault="005D5052" w:rsidP="005D5052">
      <w:pPr>
        <w:pStyle w:val="SingleTxt"/>
      </w:pPr>
      <w:r>
        <w:rPr>
          <w:rFonts w:hint="eastAsia"/>
        </w:rPr>
        <w:t>35.</w:t>
      </w:r>
      <w:r>
        <w:rPr>
          <w:rFonts w:hint="eastAsia"/>
        </w:rPr>
        <w:tab/>
      </w:r>
      <w:r w:rsidRPr="001A17AB">
        <w:rPr>
          <w:rFonts w:ascii="黑体" w:eastAsia="黑体" w:hAnsi="黑体" w:hint="eastAsia"/>
        </w:rPr>
        <w:t>委员会建议缔约国</w:t>
      </w:r>
      <w:r>
        <w:rPr>
          <w:rFonts w:hint="eastAsia"/>
        </w:rPr>
        <w:t>：</w:t>
      </w:r>
    </w:p>
    <w:p w14:paraId="627B41E0" w14:textId="77777777" w:rsidR="005D5052" w:rsidRDefault="005D5052" w:rsidP="005D5052">
      <w:pPr>
        <w:pStyle w:val="SingleTxt"/>
      </w:pPr>
      <w:r>
        <w:rPr>
          <w:rFonts w:hint="eastAsia"/>
        </w:rPr>
        <w:tab/>
        <w:t>(a)</w:t>
      </w:r>
      <w:r>
        <w:rPr>
          <w:rFonts w:hint="eastAsia"/>
        </w:rPr>
        <w:tab/>
      </w:r>
      <w:r w:rsidRPr="001A17AB">
        <w:rPr>
          <w:rFonts w:ascii="黑体" w:eastAsia="黑体" w:hAnsi="黑体" w:hint="eastAsia"/>
        </w:rPr>
        <w:t>确保全国打击人口贩运协调员办公室加强早期识别机制，尽早识别成为贩运活动受害者的妇女和女童</w:t>
      </w:r>
      <w:r>
        <w:rPr>
          <w:rFonts w:hint="eastAsia"/>
        </w:rPr>
        <w:t>；</w:t>
      </w:r>
    </w:p>
    <w:p w14:paraId="2D9B182D" w14:textId="77777777" w:rsidR="005D5052" w:rsidRDefault="005D5052" w:rsidP="005D5052">
      <w:pPr>
        <w:pStyle w:val="SingleTxt"/>
      </w:pPr>
      <w:r>
        <w:rPr>
          <w:rFonts w:hint="eastAsia"/>
        </w:rPr>
        <w:tab/>
        <w:t>(b)</w:t>
      </w:r>
      <w:r>
        <w:rPr>
          <w:rFonts w:hint="eastAsia"/>
        </w:rPr>
        <w:tab/>
      </w:r>
      <w:r w:rsidRPr="001A17AB">
        <w:rPr>
          <w:rFonts w:ascii="黑体" w:eastAsia="黑体" w:hAnsi="黑体" w:hint="eastAsia"/>
        </w:rPr>
        <w:t>在负责监测打击贩运人口和利用卖淫营利的法律执行情况的各实体之间加强协调</w:t>
      </w:r>
      <w:r>
        <w:rPr>
          <w:rFonts w:hint="eastAsia"/>
        </w:rPr>
        <w:t>；</w:t>
      </w:r>
    </w:p>
    <w:p w14:paraId="31FB3C1B" w14:textId="77777777" w:rsidR="005D5052" w:rsidRDefault="005D5052" w:rsidP="005D5052">
      <w:pPr>
        <w:pStyle w:val="SingleTxt"/>
      </w:pPr>
      <w:r>
        <w:rPr>
          <w:rFonts w:hint="eastAsia"/>
        </w:rPr>
        <w:tab/>
        <w:t>(c)</w:t>
      </w:r>
      <w:r>
        <w:rPr>
          <w:rFonts w:hint="eastAsia"/>
        </w:rPr>
        <w:tab/>
      </w:r>
      <w:r w:rsidRPr="001A17AB">
        <w:rPr>
          <w:rFonts w:ascii="黑体" w:eastAsia="黑体" w:hAnsi="黑体" w:hint="eastAsia"/>
        </w:rPr>
        <w:t>在第七次定期报告中提供资料，说明缔约国内利用卖淫营利的程度，并说明建立了哪些机制，用于查明以性剥削为目的的贩运受害者和农业部门中以劳动剥削为目的的受害者</w:t>
      </w:r>
      <w:r>
        <w:rPr>
          <w:rFonts w:hint="eastAsia"/>
        </w:rPr>
        <w:t>；</w:t>
      </w:r>
    </w:p>
    <w:p w14:paraId="0E3DB5C6" w14:textId="77777777" w:rsidR="005D5052" w:rsidRDefault="005D5052" w:rsidP="005D5052">
      <w:pPr>
        <w:pStyle w:val="SingleTxt"/>
      </w:pPr>
      <w:r>
        <w:rPr>
          <w:rFonts w:hint="eastAsia"/>
        </w:rPr>
        <w:tab/>
        <w:t>(d)</w:t>
      </w:r>
      <w:r>
        <w:rPr>
          <w:rFonts w:hint="eastAsia"/>
        </w:rPr>
        <w:tab/>
      </w:r>
      <w:r w:rsidRPr="001A17AB">
        <w:rPr>
          <w:rFonts w:ascii="黑体" w:eastAsia="黑体" w:hAnsi="黑体" w:hint="eastAsia"/>
        </w:rPr>
        <w:t>加强开展双边、区域和国际合作，预防贩运行为，包括为此交流情报，统一起诉贩运者的法律程序</w:t>
      </w:r>
      <w:r>
        <w:rPr>
          <w:rFonts w:hint="eastAsia"/>
        </w:rPr>
        <w:t>；</w:t>
      </w:r>
    </w:p>
    <w:p w14:paraId="707317DC" w14:textId="77777777" w:rsidR="005D5052" w:rsidRDefault="005D5052" w:rsidP="005D5052">
      <w:pPr>
        <w:pStyle w:val="SingleTxt"/>
      </w:pPr>
      <w:r>
        <w:rPr>
          <w:rFonts w:hint="eastAsia"/>
        </w:rPr>
        <w:tab/>
        <w:t>(e)</w:t>
      </w:r>
      <w:r>
        <w:rPr>
          <w:rFonts w:hint="eastAsia"/>
        </w:rPr>
        <w:tab/>
      </w:r>
      <w:r w:rsidRPr="001A17AB">
        <w:rPr>
          <w:rFonts w:ascii="黑体" w:eastAsia="黑体" w:hAnsi="黑体" w:hint="eastAsia"/>
        </w:rPr>
        <w:t>为希望脱离卖淫业的妇女提供退出方案</w:t>
      </w:r>
      <w:r>
        <w:rPr>
          <w:rFonts w:hint="eastAsia"/>
        </w:rPr>
        <w:t>。</w:t>
      </w:r>
    </w:p>
    <w:p w14:paraId="0A675633" w14:textId="77777777" w:rsidR="005D5052" w:rsidRPr="001A17AB" w:rsidRDefault="005D5052" w:rsidP="005D5052">
      <w:pPr>
        <w:pStyle w:val="SingleTxt"/>
        <w:rPr>
          <w:rFonts w:ascii="黑体" w:eastAsia="黑体" w:hAnsi="黑体"/>
        </w:rPr>
      </w:pPr>
      <w:r w:rsidRPr="001A17AB">
        <w:rPr>
          <w:rFonts w:ascii="黑体" w:eastAsia="黑体" w:hAnsi="黑体" w:hint="eastAsia"/>
        </w:rPr>
        <w:t>参与政治和公共生活</w:t>
      </w:r>
    </w:p>
    <w:p w14:paraId="39629EFF" w14:textId="77777777" w:rsidR="005D5052" w:rsidRDefault="005D5052" w:rsidP="005D5052">
      <w:pPr>
        <w:pStyle w:val="SingleTxt"/>
      </w:pPr>
      <w:r>
        <w:rPr>
          <w:rFonts w:hint="eastAsia"/>
        </w:rPr>
        <w:t>36.</w:t>
      </w:r>
      <w:r>
        <w:rPr>
          <w:rFonts w:hint="eastAsia"/>
        </w:rPr>
        <w:tab/>
      </w:r>
      <w:r>
        <w:rPr>
          <w:rFonts w:hint="eastAsia"/>
        </w:rPr>
        <w:t>委员会注意到，缔约国在促进妇女参与司法机构、公务员队伍和国家委员会方面取得了令人称道的进展。委员会欢迎任命一名妇女担任犹太教法院行政当局人力资源主管，并任命另一名妇女担任穆斯林宗教法庭法官。然而，委员会仍然感到关切的是：</w:t>
      </w:r>
    </w:p>
    <w:p w14:paraId="177A6685" w14:textId="77777777" w:rsidR="005D5052" w:rsidRDefault="005D5052" w:rsidP="005D5052">
      <w:pPr>
        <w:pStyle w:val="SingleTxt"/>
      </w:pPr>
      <w:r>
        <w:rPr>
          <w:rFonts w:hint="eastAsia"/>
        </w:rPr>
        <w:tab/>
        <w:t>(a)</w:t>
      </w:r>
      <w:r>
        <w:rPr>
          <w:rFonts w:hint="eastAsia"/>
        </w:rPr>
        <w:tab/>
      </w:r>
      <w:r>
        <w:rPr>
          <w:rFonts w:hint="eastAsia"/>
        </w:rPr>
        <w:t>担任议会议员、部长级职务、高级学术和外交职务的妇女人数很少，而且妇女不能担任犹太教法院的法官；</w:t>
      </w:r>
    </w:p>
    <w:p w14:paraId="4DBBB38A" w14:textId="77777777" w:rsidR="005D5052" w:rsidRDefault="005D5052" w:rsidP="005D5052">
      <w:pPr>
        <w:pStyle w:val="SingleTxt"/>
      </w:pPr>
      <w:r>
        <w:rPr>
          <w:rFonts w:hint="eastAsia"/>
        </w:rPr>
        <w:tab/>
        <w:t>(b)</w:t>
      </w:r>
      <w:r>
        <w:rPr>
          <w:rFonts w:hint="eastAsia"/>
        </w:rPr>
        <w:tab/>
      </w:r>
      <w:r>
        <w:rPr>
          <w:rFonts w:hint="eastAsia"/>
        </w:rPr>
        <w:t>阿裔以色列妇女和贝都因妇女很少参与政治和公共生活；</w:t>
      </w:r>
    </w:p>
    <w:p w14:paraId="34E389F4" w14:textId="77777777" w:rsidR="005D5052" w:rsidRDefault="005D5052" w:rsidP="005D5052">
      <w:pPr>
        <w:pStyle w:val="SingleTxt"/>
      </w:pPr>
      <w:r>
        <w:rPr>
          <w:rFonts w:hint="eastAsia"/>
        </w:rPr>
        <w:tab/>
        <w:t>(c)</w:t>
      </w:r>
      <w:r>
        <w:rPr>
          <w:rFonts w:hint="eastAsia"/>
        </w:rPr>
        <w:tab/>
      </w:r>
      <w:r>
        <w:rPr>
          <w:rFonts w:hint="eastAsia"/>
        </w:rPr>
        <w:t>缺乏应对极端正统派政党</w:t>
      </w:r>
      <w:r>
        <w:rPr>
          <w:rFonts w:hint="eastAsia"/>
        </w:rPr>
        <w:t>(</w:t>
      </w:r>
      <w:r>
        <w:rPr>
          <w:rFonts w:hint="eastAsia"/>
        </w:rPr>
        <w:t>即圣经犹太教联盟和沙斯党</w:t>
      </w:r>
      <w:r>
        <w:rPr>
          <w:rFonts w:hint="eastAsia"/>
        </w:rPr>
        <w:t>)</w:t>
      </w:r>
      <w:r>
        <w:rPr>
          <w:rFonts w:hint="eastAsia"/>
        </w:rPr>
        <w:t>歧视的措施，这些政党的规章禁止妇女成为政党成员或候选人，从而不得入选国家议会、市议会和区议会，而且根据国家检察官的意见，尽管党章不应背离《基本法：人的尊严和自由》和《基本法：议会》，但没有法律依据可以判定这些规章无效，或禁止这些政党参加选举。</w:t>
      </w:r>
    </w:p>
    <w:p w14:paraId="4B495722" w14:textId="77777777" w:rsidR="003E3165" w:rsidRDefault="003E3165">
      <w:pPr>
        <w:spacing w:line="240" w:lineRule="auto"/>
        <w:jc w:val="left"/>
      </w:pPr>
      <w:r>
        <w:br w:type="page"/>
      </w:r>
    </w:p>
    <w:p w14:paraId="183020CC" w14:textId="4AD43D88" w:rsidR="005D5052" w:rsidRDefault="005D5052" w:rsidP="005D5052">
      <w:pPr>
        <w:pStyle w:val="SingleTxt"/>
      </w:pPr>
      <w:r>
        <w:rPr>
          <w:rFonts w:hint="eastAsia"/>
        </w:rPr>
        <w:lastRenderedPageBreak/>
        <w:t>37.</w:t>
      </w:r>
      <w:r>
        <w:rPr>
          <w:rFonts w:hint="eastAsia"/>
        </w:rPr>
        <w:tab/>
      </w:r>
      <w:r w:rsidRPr="001A17AB">
        <w:rPr>
          <w:rFonts w:ascii="黑体" w:eastAsia="黑体" w:hAnsi="黑体" w:hint="eastAsia"/>
        </w:rPr>
        <w:t>委员会建议缔约国</w:t>
      </w:r>
      <w:r>
        <w:rPr>
          <w:rFonts w:hint="eastAsia"/>
        </w:rPr>
        <w:t>：</w:t>
      </w:r>
    </w:p>
    <w:p w14:paraId="0966ECB5" w14:textId="77777777" w:rsidR="005D5052" w:rsidRDefault="005D5052" w:rsidP="005D5052">
      <w:pPr>
        <w:pStyle w:val="SingleTxt"/>
      </w:pPr>
      <w:r>
        <w:rPr>
          <w:rFonts w:hint="eastAsia"/>
        </w:rPr>
        <w:tab/>
        <w:t>(a)</w:t>
      </w:r>
      <w:r>
        <w:rPr>
          <w:rFonts w:hint="eastAsia"/>
        </w:rPr>
        <w:tab/>
      </w:r>
      <w:r w:rsidRPr="001A17AB">
        <w:rPr>
          <w:rFonts w:ascii="黑体" w:eastAsia="黑体" w:hAnsi="黑体" w:hint="eastAsia"/>
        </w:rPr>
        <w:t>继续采取有针对性的措施，进一步提高妇女在政治和公共生活中的代表性，特别是增加担任议会议员、部长级职务、高级学术和外交职务的妇女人数。与相关利益攸关方初步协商，讨论让妇女作为犹太教法官参与政治的改革措施</w:t>
      </w:r>
      <w:r>
        <w:rPr>
          <w:rFonts w:hint="eastAsia"/>
        </w:rPr>
        <w:t>；</w:t>
      </w:r>
    </w:p>
    <w:p w14:paraId="4C9390E1" w14:textId="77777777" w:rsidR="005D5052" w:rsidRDefault="005D5052" w:rsidP="005D5052">
      <w:pPr>
        <w:pStyle w:val="SingleTxt"/>
      </w:pPr>
      <w:r>
        <w:rPr>
          <w:rFonts w:hint="eastAsia"/>
        </w:rPr>
        <w:tab/>
        <w:t>(b)</w:t>
      </w:r>
      <w:r>
        <w:rPr>
          <w:rFonts w:hint="eastAsia"/>
        </w:rPr>
        <w:tab/>
      </w:r>
      <w:r w:rsidRPr="001A17AB">
        <w:rPr>
          <w:rFonts w:ascii="黑体" w:eastAsia="黑体" w:hAnsi="黑体" w:hint="eastAsia"/>
        </w:rPr>
        <w:t>采取暂行特别措施，例如配额制度，加强阿裔以色列妇女和贝都因妇女对政治和公共生活的参与</w:t>
      </w:r>
      <w:r>
        <w:rPr>
          <w:rFonts w:hint="eastAsia"/>
        </w:rPr>
        <w:t>；</w:t>
      </w:r>
    </w:p>
    <w:p w14:paraId="5429D942" w14:textId="77777777" w:rsidR="005D5052" w:rsidRDefault="005D5052" w:rsidP="005D5052">
      <w:pPr>
        <w:pStyle w:val="SingleTxt"/>
      </w:pPr>
      <w:r>
        <w:rPr>
          <w:rFonts w:hint="eastAsia"/>
        </w:rPr>
        <w:tab/>
        <w:t>(c)</w:t>
      </w:r>
      <w:r>
        <w:rPr>
          <w:rFonts w:hint="eastAsia"/>
        </w:rPr>
        <w:tab/>
      </w:r>
      <w:r w:rsidRPr="001A17AB">
        <w:rPr>
          <w:rFonts w:ascii="黑体" w:eastAsia="黑体" w:hAnsi="黑体" w:hint="eastAsia"/>
        </w:rPr>
        <w:t>针对违反《公约》第7条和相关基本法、特别是《基本法：人的尊严和自由》，以歧视性规章禁止妇女成为政党成员或候选人从而不得入选国家议会、区域议会和市议会的任何政党，应颁布立法，禁止其参与任何选举</w:t>
      </w:r>
      <w:r>
        <w:rPr>
          <w:rFonts w:hint="eastAsia"/>
        </w:rPr>
        <w:t>。</w:t>
      </w:r>
    </w:p>
    <w:p w14:paraId="6480AACA" w14:textId="77777777" w:rsidR="005D5052" w:rsidRPr="001A17AB" w:rsidRDefault="005D5052" w:rsidP="005D5052">
      <w:pPr>
        <w:pStyle w:val="SingleTxt"/>
        <w:rPr>
          <w:rFonts w:ascii="黑体" w:eastAsia="黑体" w:hAnsi="黑体"/>
        </w:rPr>
      </w:pPr>
      <w:r w:rsidRPr="001A17AB">
        <w:rPr>
          <w:rFonts w:ascii="黑体" w:eastAsia="黑体" w:hAnsi="黑体" w:hint="eastAsia"/>
        </w:rPr>
        <w:t>人权维护者和非政府组织</w:t>
      </w:r>
    </w:p>
    <w:p w14:paraId="37250437" w14:textId="77777777" w:rsidR="005D5052" w:rsidRDefault="005D5052" w:rsidP="005D5052">
      <w:pPr>
        <w:pStyle w:val="SingleTxt"/>
      </w:pPr>
      <w:r>
        <w:rPr>
          <w:rFonts w:hint="eastAsia"/>
        </w:rPr>
        <w:t>38.</w:t>
      </w:r>
      <w:r>
        <w:rPr>
          <w:rFonts w:hint="eastAsia"/>
        </w:rPr>
        <w:tab/>
      </w:r>
      <w:r>
        <w:rPr>
          <w:rFonts w:hint="eastAsia"/>
        </w:rPr>
        <w:t>委员会感到关切的是，</w:t>
      </w:r>
      <w:r>
        <w:rPr>
          <w:rFonts w:hint="eastAsia"/>
        </w:rPr>
        <w:t>2011</w:t>
      </w:r>
      <w:r>
        <w:rPr>
          <w:rFonts w:hint="eastAsia"/>
        </w:rPr>
        <w:t>年通过所谓的“抵制和浩劫法”后，包括以色列和巴勒斯坦妇女在内的人权维护者的活动受到严格限制，包括限制他们获得资金。</w:t>
      </w:r>
    </w:p>
    <w:p w14:paraId="221F7CFC" w14:textId="77777777" w:rsidR="005D5052" w:rsidRDefault="005D5052" w:rsidP="005D5052">
      <w:pPr>
        <w:pStyle w:val="SingleTxt"/>
      </w:pPr>
      <w:r>
        <w:rPr>
          <w:rFonts w:hint="eastAsia"/>
        </w:rPr>
        <w:t>39.</w:t>
      </w:r>
      <w:r>
        <w:rPr>
          <w:rFonts w:hint="eastAsia"/>
        </w:rPr>
        <w:tab/>
      </w:r>
      <w:r w:rsidRPr="001A17AB">
        <w:rPr>
          <w:rFonts w:ascii="黑体" w:eastAsia="黑体" w:hAnsi="黑体" w:hint="eastAsia"/>
        </w:rPr>
        <w:t>委员会建议缔约国采取具体步骤，包括通过法律修正案创造有利环境，使以色列和巴勒斯坦妇女人权维护者以及从事性别平等和增强妇女权能工作的非政府组织能够自由开展活动而免受不当限制，包括对外国来源资助的限制</w:t>
      </w:r>
      <w:r>
        <w:rPr>
          <w:rFonts w:hint="eastAsia"/>
        </w:rPr>
        <w:t>。</w:t>
      </w:r>
    </w:p>
    <w:p w14:paraId="2D0AA292" w14:textId="77777777" w:rsidR="005D5052" w:rsidRPr="001A17AB" w:rsidRDefault="005D5052" w:rsidP="005D5052">
      <w:pPr>
        <w:pStyle w:val="SingleTxt"/>
        <w:rPr>
          <w:rFonts w:ascii="黑体" w:eastAsia="黑体" w:hAnsi="黑体"/>
        </w:rPr>
      </w:pPr>
      <w:r w:rsidRPr="001A17AB">
        <w:rPr>
          <w:rFonts w:ascii="黑体" w:eastAsia="黑体" w:hAnsi="黑体" w:hint="eastAsia"/>
        </w:rPr>
        <w:t>国籍和家庭团聚</w:t>
      </w:r>
    </w:p>
    <w:p w14:paraId="0C0B7869" w14:textId="77777777" w:rsidR="005D5052" w:rsidRDefault="005D5052" w:rsidP="005D5052">
      <w:pPr>
        <w:pStyle w:val="SingleTxt"/>
      </w:pPr>
      <w:r>
        <w:rPr>
          <w:rFonts w:hint="eastAsia"/>
        </w:rPr>
        <w:t>40.</w:t>
      </w:r>
      <w:r>
        <w:rPr>
          <w:rFonts w:hint="eastAsia"/>
        </w:rPr>
        <w:tab/>
      </w:r>
      <w:r>
        <w:rPr>
          <w:rFonts w:hint="eastAsia"/>
        </w:rPr>
        <w:t>委员会关切地注意到，</w:t>
      </w:r>
      <w:r>
        <w:rPr>
          <w:rFonts w:hint="eastAsia"/>
        </w:rPr>
        <w:t>2003</w:t>
      </w:r>
      <w:r>
        <w:rPr>
          <w:rFonts w:hint="eastAsia"/>
        </w:rPr>
        <w:t>年颁布的《公民资格与以色列入境法</w:t>
      </w:r>
      <w:r>
        <w:rPr>
          <w:rFonts w:hint="eastAsia"/>
        </w:rPr>
        <w:t>(</w:t>
      </w:r>
      <w:r>
        <w:rPr>
          <w:rFonts w:hint="eastAsia"/>
        </w:rPr>
        <w:t>暂行令</w:t>
      </w:r>
      <w:r>
        <w:rPr>
          <w:rFonts w:hint="eastAsia"/>
        </w:rPr>
        <w:t>)</w:t>
      </w:r>
      <w:r>
        <w:rPr>
          <w:rFonts w:hint="eastAsia"/>
        </w:rPr>
        <w:t>》，其意图虽然是暂时性的，但仍在不断延期，该法令禁止给予巴勒斯坦裔以色列人或巴勒斯坦裔以色列永久居民的配偶任何地位。委员会注意到，禁令对于来自加沙地带的居民是绝对的，而自</w:t>
      </w:r>
      <w:r>
        <w:rPr>
          <w:rFonts w:hint="eastAsia"/>
        </w:rPr>
        <w:t>2005</w:t>
      </w:r>
      <w:r>
        <w:rPr>
          <w:rFonts w:hint="eastAsia"/>
        </w:rPr>
        <w:t>年以来，来自西岸的巴勒斯坦人可以获得有限的临时居住许可证。委员会特别感到关切的是：</w:t>
      </w:r>
    </w:p>
    <w:p w14:paraId="2F16FE8E" w14:textId="77777777" w:rsidR="005D5052" w:rsidRDefault="005D5052" w:rsidP="005D5052">
      <w:pPr>
        <w:pStyle w:val="SingleTxt"/>
      </w:pPr>
      <w:r>
        <w:rPr>
          <w:rFonts w:hint="eastAsia"/>
        </w:rPr>
        <w:tab/>
        <w:t>(a)</w:t>
      </w:r>
      <w:r>
        <w:rPr>
          <w:rFonts w:hint="eastAsia"/>
        </w:rPr>
        <w:tab/>
      </w:r>
      <w:r>
        <w:rPr>
          <w:rFonts w:hint="eastAsia"/>
        </w:rPr>
        <w:t>对于同以色列公民和东耶路撒冷居民结婚的来自巴勒斯坦被占领土的巴勒斯坦人，这项立法仅仅根据他们的国籍而禁止给予他们任何地位</w:t>
      </w:r>
      <w:r>
        <w:rPr>
          <w:rFonts w:hint="eastAsia"/>
        </w:rPr>
        <w:t>(</w:t>
      </w:r>
      <w:r>
        <w:rPr>
          <w:rFonts w:hint="eastAsia"/>
        </w:rPr>
        <w:t>居民身份或公民身份</w:t>
      </w:r>
      <w:r>
        <w:rPr>
          <w:rFonts w:hint="eastAsia"/>
        </w:rPr>
        <w:t>)</w:t>
      </w:r>
      <w:r>
        <w:rPr>
          <w:rFonts w:hint="eastAsia"/>
        </w:rPr>
        <w:t>，而其他国籍的外籍配偶却可以获得这种许可；</w:t>
      </w:r>
    </w:p>
    <w:p w14:paraId="20306016" w14:textId="77777777" w:rsidR="005D5052" w:rsidRDefault="005D5052" w:rsidP="005D5052">
      <w:pPr>
        <w:pStyle w:val="SingleTxt"/>
      </w:pPr>
      <w:r>
        <w:rPr>
          <w:rFonts w:hint="eastAsia"/>
        </w:rPr>
        <w:tab/>
        <w:t>(b)</w:t>
      </w:r>
      <w:r>
        <w:rPr>
          <w:rFonts w:hint="eastAsia"/>
        </w:rPr>
        <w:tab/>
      </w:r>
      <w:r>
        <w:rPr>
          <w:rFonts w:hint="eastAsia"/>
        </w:rPr>
        <w:t>根据这项立法，夫妻双方必须作出如下选择：分居，其中一方被剥夺子女抚养权；与来自巴勒斯坦被占领土的配偶共同生活，但被视为非法，如果被发现在东耶路撒冷居住，将被剥夺基本权利并递解出境；或在西岸居住，在这种情况下以色列配偶可能失去以色列公民身份，而永久居民可能失去居民身份；</w:t>
      </w:r>
    </w:p>
    <w:p w14:paraId="7AE2DEF1" w14:textId="77777777" w:rsidR="005D5052" w:rsidRDefault="005D5052" w:rsidP="005D5052">
      <w:pPr>
        <w:pStyle w:val="SingleTxt"/>
      </w:pPr>
      <w:r>
        <w:rPr>
          <w:rFonts w:hint="eastAsia"/>
        </w:rPr>
        <w:tab/>
        <w:t>(c)</w:t>
      </w:r>
      <w:r>
        <w:rPr>
          <w:rFonts w:hint="eastAsia"/>
        </w:rPr>
        <w:tab/>
      </w:r>
      <w:r>
        <w:rPr>
          <w:rFonts w:hint="eastAsia"/>
        </w:rPr>
        <w:t>虽然这项立法目前允许出于人道主义理由给予临时居留许可证，或在特殊情况下给予拘留许可证，但颁发临时居留许可证需要满足严格的安全和年龄条件，而且可任意撤消这种许可证；</w:t>
      </w:r>
    </w:p>
    <w:p w14:paraId="6C8FB12B" w14:textId="77777777" w:rsidR="005D5052" w:rsidRDefault="005D5052" w:rsidP="005D5052">
      <w:pPr>
        <w:pStyle w:val="SingleTxt"/>
      </w:pPr>
      <w:r>
        <w:rPr>
          <w:rFonts w:hint="eastAsia"/>
        </w:rPr>
        <w:tab/>
        <w:t>(d)</w:t>
      </w:r>
      <w:r>
        <w:rPr>
          <w:rFonts w:hint="eastAsia"/>
        </w:rPr>
        <w:tab/>
      </w:r>
      <w:r>
        <w:rPr>
          <w:rFonts w:hint="eastAsia"/>
        </w:rPr>
        <w:t>根据</w:t>
      </w:r>
      <w:r>
        <w:rPr>
          <w:rFonts w:hint="eastAsia"/>
        </w:rPr>
        <w:t>2008</w:t>
      </w:r>
      <w:r>
        <w:rPr>
          <w:rFonts w:hint="eastAsia"/>
        </w:rPr>
        <w:t>年</w:t>
      </w:r>
      <w:r>
        <w:rPr>
          <w:rFonts w:hint="eastAsia"/>
        </w:rPr>
        <w:t>6</w:t>
      </w:r>
      <w:r>
        <w:rPr>
          <w:rFonts w:hint="eastAsia"/>
        </w:rPr>
        <w:t>月第</w:t>
      </w:r>
      <w:r>
        <w:rPr>
          <w:rFonts w:hint="eastAsia"/>
        </w:rPr>
        <w:t>3598</w:t>
      </w:r>
      <w:r>
        <w:rPr>
          <w:rFonts w:hint="eastAsia"/>
        </w:rPr>
        <w:t>号政府决议，绝对禁止拥有以色列居民或公民身份的巴勒斯坦人与来自加沙地带的个人实现家庭团聚。</w:t>
      </w:r>
    </w:p>
    <w:p w14:paraId="5F8CB4EE" w14:textId="77777777" w:rsidR="005D5052" w:rsidRDefault="005D5052" w:rsidP="005D5052">
      <w:pPr>
        <w:pStyle w:val="SingleTxt"/>
      </w:pPr>
      <w:r>
        <w:rPr>
          <w:rFonts w:hint="eastAsia"/>
        </w:rPr>
        <w:t>41.</w:t>
      </w:r>
      <w:r>
        <w:rPr>
          <w:rFonts w:hint="eastAsia"/>
        </w:rPr>
        <w:tab/>
      </w:r>
      <w:r w:rsidRPr="001A17AB">
        <w:rPr>
          <w:rFonts w:eastAsia="黑体" w:hint="eastAsia"/>
        </w:rPr>
        <w:t>委员会回顾其以往建议</w:t>
      </w:r>
      <w:r w:rsidRPr="001A17AB">
        <w:rPr>
          <w:rFonts w:eastAsia="黑体" w:hint="eastAsia"/>
        </w:rPr>
        <w:t>(</w:t>
      </w:r>
      <w:hyperlink r:id="rId28" w:history="1">
        <w:r w:rsidRPr="00A80D6C">
          <w:rPr>
            <w:rStyle w:val="ad"/>
            <w:rFonts w:eastAsia="黑体" w:hint="eastAsia"/>
          </w:rPr>
          <w:t>CEDAW/C/ISR/CO/5</w:t>
        </w:r>
      </w:hyperlink>
      <w:r w:rsidRPr="001A17AB">
        <w:rPr>
          <w:rFonts w:eastAsia="黑体" w:hint="eastAsia"/>
        </w:rPr>
        <w:t>，第</w:t>
      </w:r>
      <w:r w:rsidRPr="001A17AB">
        <w:rPr>
          <w:rFonts w:eastAsia="黑体" w:hint="eastAsia"/>
        </w:rPr>
        <w:t>25</w:t>
      </w:r>
      <w:r w:rsidRPr="001A17AB">
        <w:rPr>
          <w:rFonts w:eastAsia="黑体" w:hint="eastAsia"/>
        </w:rPr>
        <w:t>段</w:t>
      </w:r>
      <w:r w:rsidRPr="001A17AB">
        <w:rPr>
          <w:rFonts w:eastAsia="黑体" w:hint="eastAsia"/>
        </w:rPr>
        <w:t>)</w:t>
      </w:r>
      <w:r w:rsidRPr="001A17AB">
        <w:rPr>
          <w:rFonts w:eastAsia="黑体" w:hint="eastAsia"/>
        </w:rPr>
        <w:t>，即缔约国应该客观地平衡其安全关切与受其法律和政策影响的人的人权，并审查这些法律和政策，</w:t>
      </w:r>
      <w:r w:rsidRPr="001A17AB">
        <w:rPr>
          <w:rFonts w:eastAsia="黑体" w:hint="eastAsia"/>
        </w:rPr>
        <w:lastRenderedPageBreak/>
        <w:t>为缔约国所有公民和永久居民的家庭团聚提供便利。在这方面，缔约国应审查《公民资格与以色列入境法</w:t>
      </w:r>
      <w:r w:rsidRPr="001A17AB">
        <w:rPr>
          <w:rFonts w:eastAsia="黑体" w:hint="eastAsia"/>
        </w:rPr>
        <w:t>(</w:t>
      </w:r>
      <w:r w:rsidRPr="001A17AB">
        <w:rPr>
          <w:rFonts w:eastAsia="黑体" w:hint="eastAsia"/>
        </w:rPr>
        <w:t>暂行令</w:t>
      </w:r>
      <w:r w:rsidRPr="001A17AB">
        <w:rPr>
          <w:rFonts w:eastAsia="黑体" w:hint="eastAsia"/>
        </w:rPr>
        <w:t>)</w:t>
      </w:r>
      <w:r w:rsidRPr="001A17AB">
        <w:rPr>
          <w:rFonts w:eastAsia="黑体" w:hint="eastAsia"/>
        </w:rPr>
        <w:t>》和</w:t>
      </w:r>
      <w:r w:rsidRPr="001A17AB">
        <w:rPr>
          <w:rFonts w:eastAsia="黑体" w:hint="eastAsia"/>
        </w:rPr>
        <w:t>2008</w:t>
      </w:r>
      <w:r w:rsidRPr="001A17AB">
        <w:rPr>
          <w:rFonts w:eastAsia="黑体" w:hint="eastAsia"/>
        </w:rPr>
        <w:t>年</w:t>
      </w:r>
      <w:r w:rsidRPr="001A17AB">
        <w:rPr>
          <w:rFonts w:eastAsia="黑体" w:hint="eastAsia"/>
        </w:rPr>
        <w:t>6</w:t>
      </w:r>
      <w:r w:rsidRPr="001A17AB">
        <w:rPr>
          <w:rFonts w:eastAsia="黑体" w:hint="eastAsia"/>
        </w:rPr>
        <w:t>月第</w:t>
      </w:r>
      <w:r w:rsidRPr="001A17AB">
        <w:rPr>
          <w:rFonts w:eastAsia="黑体" w:hint="eastAsia"/>
        </w:rPr>
        <w:t>3598</w:t>
      </w:r>
      <w:r w:rsidRPr="001A17AB">
        <w:rPr>
          <w:rFonts w:eastAsia="黑体" w:hint="eastAsia"/>
        </w:rPr>
        <w:t>号政府决议，确保它们符合《公约》第</w:t>
      </w:r>
      <w:r w:rsidRPr="001A17AB">
        <w:rPr>
          <w:rFonts w:eastAsia="黑体" w:hint="eastAsia"/>
        </w:rPr>
        <w:t>9</w:t>
      </w:r>
      <w:r w:rsidRPr="001A17AB">
        <w:rPr>
          <w:rFonts w:eastAsia="黑体" w:hint="eastAsia"/>
        </w:rPr>
        <w:t>和</w:t>
      </w:r>
      <w:r w:rsidRPr="001A17AB">
        <w:rPr>
          <w:rFonts w:eastAsia="黑体" w:hint="eastAsia"/>
        </w:rPr>
        <w:t>16</w:t>
      </w:r>
      <w:r w:rsidRPr="001A17AB">
        <w:rPr>
          <w:rFonts w:eastAsia="黑体" w:hint="eastAsia"/>
        </w:rPr>
        <w:t>条，例如在逐案适用的基础上，采取有针对性的措施，同时尊重平等原则和相称原则</w:t>
      </w:r>
      <w:r>
        <w:rPr>
          <w:rFonts w:hint="eastAsia"/>
        </w:rPr>
        <w:t>。</w:t>
      </w:r>
    </w:p>
    <w:p w14:paraId="34060779" w14:textId="77777777" w:rsidR="005D5052" w:rsidRPr="001A17AB" w:rsidRDefault="005D5052" w:rsidP="005D5052">
      <w:pPr>
        <w:pStyle w:val="SingleTxt"/>
        <w:rPr>
          <w:rFonts w:ascii="黑体" w:eastAsia="黑体" w:hAnsi="黑体"/>
        </w:rPr>
      </w:pPr>
      <w:r w:rsidRPr="001A17AB">
        <w:rPr>
          <w:rFonts w:ascii="黑体" w:eastAsia="黑体" w:hAnsi="黑体" w:hint="eastAsia"/>
        </w:rPr>
        <w:t>教育</w:t>
      </w:r>
    </w:p>
    <w:p w14:paraId="66596DD8" w14:textId="77777777" w:rsidR="005D5052" w:rsidRDefault="005D5052" w:rsidP="005D5052">
      <w:pPr>
        <w:pStyle w:val="SingleTxt"/>
      </w:pPr>
      <w:r>
        <w:rPr>
          <w:rFonts w:hint="eastAsia"/>
        </w:rPr>
        <w:t>42.</w:t>
      </w:r>
      <w:r>
        <w:rPr>
          <w:rFonts w:hint="eastAsia"/>
        </w:rPr>
        <w:tab/>
      </w:r>
      <w:r>
        <w:rPr>
          <w:rFonts w:hint="eastAsia"/>
        </w:rPr>
        <w:t>委员会欢迎缔约国达到较高的识字率和教育水平，还欢迎其采取措施进一步改善妇女和女童、特别是极端正统宗教社区的妇女和女童接受优质教育的机会，包括旨在让她们融入教育体系的五年方案。委员会还欢迎</w:t>
      </w:r>
      <w:r>
        <w:rPr>
          <w:rFonts w:hint="eastAsia"/>
        </w:rPr>
        <w:t>2014</w:t>
      </w:r>
      <w:r>
        <w:rPr>
          <w:rFonts w:hint="eastAsia"/>
        </w:rPr>
        <w:t>年通过《学生权利法》修正案，其中禁止以性取向和性别认同为理由歧视学生。但委员会感到关切的是：</w:t>
      </w:r>
    </w:p>
    <w:p w14:paraId="0FD7DCDA" w14:textId="77777777" w:rsidR="005D5052" w:rsidRDefault="005D5052" w:rsidP="005D5052">
      <w:pPr>
        <w:pStyle w:val="SingleTxt"/>
      </w:pPr>
      <w:r>
        <w:rPr>
          <w:rFonts w:hint="eastAsia"/>
        </w:rPr>
        <w:tab/>
        <w:t>(a)</w:t>
      </w:r>
      <w:r>
        <w:rPr>
          <w:rFonts w:hint="eastAsia"/>
        </w:rPr>
        <w:tab/>
      </w:r>
      <w:r>
        <w:rPr>
          <w:rFonts w:hint="eastAsia"/>
        </w:rPr>
        <w:t>阿裔以色列人、贝都因人和极端正统派妇女和女童在平等接受教育方面存在差距，因此她们的辍学率仍然较高，接受高等教育的结果仍然较差；</w:t>
      </w:r>
      <w:r>
        <w:rPr>
          <w:rFonts w:hint="eastAsia"/>
        </w:rPr>
        <w:t xml:space="preserve"> </w:t>
      </w:r>
    </w:p>
    <w:p w14:paraId="67404174" w14:textId="77777777" w:rsidR="005D5052" w:rsidRDefault="005D5052" w:rsidP="005D5052">
      <w:pPr>
        <w:pStyle w:val="SingleTxt"/>
      </w:pPr>
      <w:r>
        <w:rPr>
          <w:rFonts w:hint="eastAsia"/>
        </w:rPr>
        <w:tab/>
        <w:t>(b)</w:t>
      </w:r>
      <w:r>
        <w:rPr>
          <w:rFonts w:hint="eastAsia"/>
        </w:rPr>
        <w:tab/>
      </w:r>
      <w:r>
        <w:rPr>
          <w:rFonts w:hint="eastAsia"/>
        </w:rPr>
        <w:t>妇女担任高级学术职务和从事科学领域工作的人数不足；</w:t>
      </w:r>
    </w:p>
    <w:p w14:paraId="271BEA11" w14:textId="77777777" w:rsidR="005D5052" w:rsidRDefault="005D5052" w:rsidP="005D5052">
      <w:pPr>
        <w:pStyle w:val="SingleTxt"/>
      </w:pPr>
      <w:r>
        <w:rPr>
          <w:rFonts w:hint="eastAsia"/>
        </w:rPr>
        <w:tab/>
        <w:t>(c)</w:t>
      </w:r>
      <w:r>
        <w:rPr>
          <w:rFonts w:hint="eastAsia"/>
        </w:rPr>
        <w:tab/>
      </w:r>
      <w:r>
        <w:rPr>
          <w:rFonts w:hint="eastAsia"/>
        </w:rPr>
        <w:t>虽然</w:t>
      </w:r>
      <w:r>
        <w:rPr>
          <w:rFonts w:hint="eastAsia"/>
        </w:rPr>
        <w:t>2015</w:t>
      </w:r>
      <w:r>
        <w:rPr>
          <w:rFonts w:hint="eastAsia"/>
        </w:rPr>
        <w:t>年通过了教学方法准则，要求所有教科书在经教育部批准前都要“以性别平等为重点进行编辑”，但有资料显示，用于阿拉伯教育系统的教科书仍含有关于男女角色和责任的消极定型观念。</w:t>
      </w:r>
    </w:p>
    <w:p w14:paraId="74EF495E" w14:textId="71B8FC15" w:rsidR="005D5052" w:rsidRDefault="005D5052" w:rsidP="005D5052">
      <w:pPr>
        <w:pStyle w:val="SingleTxt"/>
      </w:pPr>
      <w:r>
        <w:rPr>
          <w:rFonts w:hint="eastAsia"/>
        </w:rPr>
        <w:t>43.</w:t>
      </w:r>
      <w:r>
        <w:rPr>
          <w:rFonts w:hint="eastAsia"/>
        </w:rPr>
        <w:tab/>
      </w:r>
      <w:r w:rsidRPr="001A17AB">
        <w:rPr>
          <w:rFonts w:ascii="黑体" w:eastAsia="黑体" w:hAnsi="黑体" w:hint="eastAsia"/>
        </w:rPr>
        <w:t>委员会建议缔约国</w:t>
      </w:r>
      <w:r>
        <w:rPr>
          <w:rFonts w:hint="eastAsia"/>
        </w:rPr>
        <w:t>：</w:t>
      </w:r>
    </w:p>
    <w:p w14:paraId="1ADE8806" w14:textId="77777777" w:rsidR="005D5052" w:rsidRDefault="005D5052" w:rsidP="005D5052">
      <w:pPr>
        <w:pStyle w:val="SingleTxt"/>
      </w:pPr>
      <w:r>
        <w:rPr>
          <w:rFonts w:hint="eastAsia"/>
        </w:rPr>
        <w:tab/>
        <w:t>(a)</w:t>
      </w:r>
      <w:r>
        <w:rPr>
          <w:rFonts w:hint="eastAsia"/>
        </w:rPr>
        <w:tab/>
      </w:r>
      <w:r w:rsidRPr="001A17AB">
        <w:rPr>
          <w:rFonts w:ascii="黑体" w:eastAsia="黑体" w:hAnsi="黑体" w:hint="eastAsia"/>
        </w:rPr>
        <w:t>加强其战略，包括采取有针对性的奖学金等暂行特别措施，改善阿裔以色列人、贝都因人和极端正统派妇女和女童的教育成果，并通过教育部负责出勤的官员防止她们辍学</w:t>
      </w:r>
      <w:r>
        <w:rPr>
          <w:rFonts w:hint="eastAsia"/>
        </w:rPr>
        <w:t>；</w:t>
      </w:r>
    </w:p>
    <w:p w14:paraId="6614FECE" w14:textId="77777777" w:rsidR="005D5052" w:rsidRDefault="005D5052" w:rsidP="005D5052">
      <w:pPr>
        <w:pStyle w:val="SingleTxt"/>
      </w:pPr>
      <w:r>
        <w:rPr>
          <w:rFonts w:hint="eastAsia"/>
        </w:rPr>
        <w:tab/>
        <w:t>(b)</w:t>
      </w:r>
      <w:r>
        <w:rPr>
          <w:rFonts w:hint="eastAsia"/>
        </w:rPr>
        <w:tab/>
      </w:r>
      <w:r w:rsidRPr="001A17AB">
        <w:rPr>
          <w:rFonts w:ascii="黑体" w:eastAsia="黑体" w:hAnsi="黑体" w:hint="eastAsia"/>
        </w:rPr>
        <w:t>加紧采取措施、包括暂行特别措施，解决妇女担任高级学术职务人数不足的问题</w:t>
      </w:r>
      <w:r>
        <w:rPr>
          <w:rFonts w:hint="eastAsia"/>
        </w:rPr>
        <w:t>；</w:t>
      </w:r>
    </w:p>
    <w:p w14:paraId="4E80209E" w14:textId="77777777" w:rsidR="005D5052" w:rsidRDefault="005D5052" w:rsidP="005D5052">
      <w:pPr>
        <w:pStyle w:val="SingleTxt"/>
      </w:pPr>
      <w:r>
        <w:rPr>
          <w:rFonts w:hint="eastAsia"/>
        </w:rPr>
        <w:tab/>
        <w:t>(c)</w:t>
      </w:r>
      <w:r>
        <w:rPr>
          <w:rFonts w:hint="eastAsia"/>
        </w:rPr>
        <w:tab/>
      </w:r>
      <w:r w:rsidRPr="001A17AB">
        <w:rPr>
          <w:rFonts w:ascii="黑体" w:eastAsia="黑体" w:hAnsi="黑体" w:hint="eastAsia"/>
        </w:rPr>
        <w:t>审查阿拉伯教育系统中的教科书，查明并消除歧视性的陈规定型观念</w:t>
      </w:r>
      <w:r>
        <w:rPr>
          <w:rFonts w:hint="eastAsia"/>
        </w:rPr>
        <w:t>。</w:t>
      </w:r>
    </w:p>
    <w:p w14:paraId="247029F0" w14:textId="77777777" w:rsidR="005D5052" w:rsidRPr="001A17AB" w:rsidRDefault="005D5052" w:rsidP="005D5052">
      <w:pPr>
        <w:pStyle w:val="SingleTxt"/>
        <w:rPr>
          <w:rFonts w:ascii="黑体" w:eastAsia="黑体" w:hAnsi="黑体"/>
        </w:rPr>
      </w:pPr>
      <w:r w:rsidRPr="001A17AB">
        <w:rPr>
          <w:rFonts w:ascii="黑体" w:eastAsia="黑体" w:hAnsi="黑体" w:hint="eastAsia"/>
        </w:rPr>
        <w:t>就业</w:t>
      </w:r>
    </w:p>
    <w:p w14:paraId="7E059C2C" w14:textId="77777777" w:rsidR="005D5052" w:rsidRDefault="005D5052" w:rsidP="005D5052">
      <w:pPr>
        <w:pStyle w:val="SingleTxt"/>
      </w:pPr>
      <w:r>
        <w:rPr>
          <w:rFonts w:hint="eastAsia"/>
        </w:rPr>
        <w:t>44.</w:t>
      </w:r>
      <w:r>
        <w:rPr>
          <w:rFonts w:hint="eastAsia"/>
        </w:rPr>
        <w:tab/>
      </w:r>
      <w:r>
        <w:rPr>
          <w:rFonts w:hint="eastAsia"/>
        </w:rPr>
        <w:t>委员会欢迎缔约国</w:t>
      </w:r>
      <w:r>
        <w:rPr>
          <w:rFonts w:hint="eastAsia"/>
        </w:rPr>
        <w:t>2014</w:t>
      </w:r>
      <w:r>
        <w:rPr>
          <w:rFonts w:hint="eastAsia"/>
        </w:rPr>
        <w:t>年通过《男女工人</w:t>
      </w:r>
      <w:r>
        <w:rPr>
          <w:rFonts w:hint="eastAsia"/>
        </w:rPr>
        <w:t>(</w:t>
      </w:r>
      <w:r>
        <w:rPr>
          <w:rFonts w:hint="eastAsia"/>
        </w:rPr>
        <w:t>同工同酬</w:t>
      </w:r>
      <w:r>
        <w:rPr>
          <w:rFonts w:hint="eastAsia"/>
        </w:rPr>
        <w:t>)</w:t>
      </w:r>
      <w:r>
        <w:rPr>
          <w:rFonts w:hint="eastAsia"/>
        </w:rPr>
        <w:t>法》第</w:t>
      </w:r>
      <w:r>
        <w:rPr>
          <w:rFonts w:hint="eastAsia"/>
        </w:rPr>
        <w:t>5</w:t>
      </w:r>
      <w:r>
        <w:rPr>
          <w:rFonts w:hint="eastAsia"/>
        </w:rPr>
        <w:t>号修正案，其中规定有义务提交雇员薪金报告的公共机构应在报告中纳入“性别帐户”。委员会还欢迎缔约国</w:t>
      </w:r>
      <w:r>
        <w:rPr>
          <w:rFonts w:hint="eastAsia"/>
        </w:rPr>
        <w:t>2013</w:t>
      </w:r>
      <w:r>
        <w:rPr>
          <w:rFonts w:hint="eastAsia"/>
        </w:rPr>
        <w:t>年通过旨在鼓励增加和促进妇女就业和调整妇女就业岗位的条例，其中规定为促进性别平等的雇主颁发奖金和成就奖的甄选过程。然而，委员会感到关切的是：</w:t>
      </w:r>
    </w:p>
    <w:p w14:paraId="384548D5" w14:textId="77777777" w:rsidR="005D5052" w:rsidRDefault="005D5052" w:rsidP="005D5052">
      <w:pPr>
        <w:pStyle w:val="SingleTxt"/>
      </w:pPr>
      <w:r>
        <w:rPr>
          <w:rFonts w:hint="eastAsia"/>
        </w:rPr>
        <w:tab/>
        <w:t>(a)</w:t>
      </w:r>
      <w:r>
        <w:rPr>
          <w:rFonts w:hint="eastAsia"/>
        </w:rPr>
        <w:tab/>
      </w:r>
      <w:r>
        <w:rPr>
          <w:rFonts w:hint="eastAsia"/>
        </w:rPr>
        <w:t>劳动力市场隔离、妇女集中于传统职业，以及性别工资差异长期存在，在公务员制度中，可变的工资组成部分，如车辆津贴和超时工作津贴，是造成性别工资差异的部分原因；</w:t>
      </w:r>
    </w:p>
    <w:p w14:paraId="5507EF2A" w14:textId="77777777" w:rsidR="005D5052" w:rsidRDefault="005D5052" w:rsidP="005D5052">
      <w:pPr>
        <w:pStyle w:val="SingleTxt"/>
      </w:pPr>
      <w:r>
        <w:rPr>
          <w:rFonts w:hint="eastAsia"/>
        </w:rPr>
        <w:tab/>
        <w:t>(b)</w:t>
      </w:r>
      <w:r>
        <w:rPr>
          <w:rFonts w:hint="eastAsia"/>
        </w:rPr>
        <w:tab/>
      </w:r>
      <w:r>
        <w:rPr>
          <w:rFonts w:hint="eastAsia"/>
        </w:rPr>
        <w:t>贝都因人和极端正统派妇女进入劳动力市场的人数有限；</w:t>
      </w:r>
    </w:p>
    <w:p w14:paraId="2C6F0BA8" w14:textId="77777777" w:rsidR="005D5052" w:rsidRDefault="005D5052" w:rsidP="005D5052">
      <w:pPr>
        <w:pStyle w:val="SingleTxt"/>
      </w:pPr>
      <w:r>
        <w:rPr>
          <w:rFonts w:hint="eastAsia"/>
        </w:rPr>
        <w:tab/>
        <w:t>(c)</w:t>
      </w:r>
      <w:r>
        <w:rPr>
          <w:rFonts w:hint="eastAsia"/>
        </w:rPr>
        <w:tab/>
      </w:r>
      <w:r>
        <w:rPr>
          <w:rFonts w:hint="eastAsia"/>
        </w:rPr>
        <w:t>有资料显示，阿裔以色列妇女继续面临就业障碍；</w:t>
      </w:r>
    </w:p>
    <w:p w14:paraId="3B1EE700" w14:textId="77777777" w:rsidR="005D5052" w:rsidRDefault="005D5052" w:rsidP="005D5052">
      <w:pPr>
        <w:pStyle w:val="SingleTxt"/>
      </w:pPr>
      <w:r>
        <w:rPr>
          <w:rFonts w:hint="eastAsia"/>
        </w:rPr>
        <w:lastRenderedPageBreak/>
        <w:tab/>
        <w:t>(d)</w:t>
      </w:r>
      <w:r>
        <w:rPr>
          <w:rFonts w:hint="eastAsia"/>
        </w:rPr>
        <w:tab/>
      </w:r>
      <w:r>
        <w:rPr>
          <w:rFonts w:hint="eastAsia"/>
        </w:rPr>
        <w:t>关于以色列国防军的性骚扰案件和制裁不足的报告数量有所增加，缔约国认为这是由于报告的增多导致的，而且没有足够资料说明以色列国防军在吸收极端正统派男子后对妇女职业进步有何影响。</w:t>
      </w:r>
    </w:p>
    <w:p w14:paraId="2B90C2F8" w14:textId="44A6692B" w:rsidR="005D5052" w:rsidRDefault="005D5052" w:rsidP="005D5052">
      <w:pPr>
        <w:pStyle w:val="SingleTxt"/>
      </w:pPr>
      <w:r>
        <w:rPr>
          <w:rFonts w:hint="eastAsia"/>
        </w:rPr>
        <w:t>45.</w:t>
      </w:r>
      <w:r>
        <w:rPr>
          <w:rFonts w:hint="eastAsia"/>
        </w:rPr>
        <w:tab/>
      </w:r>
      <w:r w:rsidRPr="001A17AB">
        <w:rPr>
          <w:rFonts w:eastAsia="黑体" w:hint="eastAsia"/>
        </w:rPr>
        <w:t>委员会回顾其以往建议</w:t>
      </w:r>
      <w:r w:rsidRPr="001A17AB">
        <w:rPr>
          <w:rFonts w:eastAsia="黑体" w:hint="eastAsia"/>
        </w:rPr>
        <w:t>(</w:t>
      </w:r>
      <w:hyperlink r:id="rId29" w:history="1">
        <w:r w:rsidRPr="00A80D6C">
          <w:rPr>
            <w:rStyle w:val="ad"/>
            <w:rFonts w:eastAsia="黑体" w:hint="eastAsia"/>
          </w:rPr>
          <w:t>CEDAW/C/ISR/CO/5</w:t>
        </w:r>
      </w:hyperlink>
      <w:r w:rsidRPr="001A17AB">
        <w:rPr>
          <w:rFonts w:eastAsia="黑体" w:hint="eastAsia"/>
        </w:rPr>
        <w:t>，第</w:t>
      </w:r>
      <w:r w:rsidRPr="001A17AB">
        <w:rPr>
          <w:rFonts w:eastAsia="黑体" w:hint="eastAsia"/>
        </w:rPr>
        <w:t>37</w:t>
      </w:r>
      <w:r w:rsidRPr="001A17AB">
        <w:rPr>
          <w:rFonts w:eastAsia="黑体" w:hint="eastAsia"/>
        </w:rPr>
        <w:t>段</w:t>
      </w:r>
      <w:r w:rsidR="00543B47">
        <w:rPr>
          <w:rFonts w:eastAsia="黑体" w:hint="eastAsia"/>
        </w:rPr>
        <w:t>)</w:t>
      </w:r>
      <w:r w:rsidRPr="001A17AB">
        <w:rPr>
          <w:rFonts w:eastAsia="黑体" w:hint="eastAsia"/>
        </w:rPr>
        <w:t>，并重申缔约国应</w:t>
      </w:r>
      <w:r>
        <w:rPr>
          <w:rFonts w:hint="eastAsia"/>
        </w:rPr>
        <w:t>：</w:t>
      </w:r>
    </w:p>
    <w:p w14:paraId="6B946102" w14:textId="77777777" w:rsidR="005D5052" w:rsidRDefault="005D5052" w:rsidP="005D5052">
      <w:pPr>
        <w:pStyle w:val="SingleTxt"/>
      </w:pPr>
      <w:r>
        <w:rPr>
          <w:rFonts w:hint="eastAsia"/>
        </w:rPr>
        <w:tab/>
        <w:t>(a)</w:t>
      </w:r>
      <w:r>
        <w:rPr>
          <w:rFonts w:hint="eastAsia"/>
        </w:rPr>
        <w:tab/>
      </w:r>
      <w:r w:rsidRPr="001A17AB">
        <w:rPr>
          <w:rFonts w:ascii="黑体" w:eastAsia="黑体" w:hAnsi="黑体" w:hint="eastAsia"/>
        </w:rPr>
        <w:t>加紧努力，保证妇女在劳动力市场上享有平等机会，打击隔离现象；采取具体措施，通过执行同工同酬原则和加强工资调查，减少性别工资差异</w:t>
      </w:r>
      <w:r>
        <w:rPr>
          <w:rFonts w:hint="eastAsia"/>
        </w:rPr>
        <w:t>；</w:t>
      </w:r>
    </w:p>
    <w:p w14:paraId="365A7D6B" w14:textId="77777777" w:rsidR="005D5052" w:rsidRDefault="005D5052" w:rsidP="005D5052">
      <w:pPr>
        <w:pStyle w:val="SingleTxt"/>
      </w:pPr>
      <w:r>
        <w:rPr>
          <w:rFonts w:hint="eastAsia"/>
        </w:rPr>
        <w:tab/>
        <w:t>(b)</w:t>
      </w:r>
      <w:r>
        <w:rPr>
          <w:rFonts w:hint="eastAsia"/>
        </w:rPr>
        <w:tab/>
      </w:r>
      <w:r w:rsidRPr="001A17AB">
        <w:rPr>
          <w:rFonts w:ascii="黑体" w:eastAsia="黑体" w:hAnsi="黑体" w:hint="eastAsia"/>
        </w:rPr>
        <w:t>开设培训和职业课程，确保妇女平等参与数字技术的发展</w:t>
      </w:r>
      <w:r>
        <w:rPr>
          <w:rFonts w:hint="eastAsia"/>
        </w:rPr>
        <w:t>；</w:t>
      </w:r>
    </w:p>
    <w:p w14:paraId="488A36BB" w14:textId="77777777" w:rsidR="005D5052" w:rsidRDefault="005D5052" w:rsidP="005D5052">
      <w:pPr>
        <w:pStyle w:val="SingleTxt"/>
      </w:pPr>
      <w:r>
        <w:rPr>
          <w:rFonts w:hint="eastAsia"/>
        </w:rPr>
        <w:tab/>
        <w:t>(c)</w:t>
      </w:r>
      <w:r>
        <w:rPr>
          <w:rFonts w:hint="eastAsia"/>
        </w:rPr>
        <w:tab/>
      </w:r>
      <w:r w:rsidRPr="001A17AB">
        <w:rPr>
          <w:rFonts w:ascii="黑体" w:eastAsia="黑体" w:hAnsi="黑体" w:hint="eastAsia"/>
        </w:rPr>
        <w:t>采取具体措施，包括暂行特别措施，增加贝都因人和极端正统派妇女参与劳动力市场的机会，消除阿裔以色列妇女遇到的就业障碍</w:t>
      </w:r>
      <w:r>
        <w:rPr>
          <w:rFonts w:hint="eastAsia"/>
        </w:rPr>
        <w:t>；</w:t>
      </w:r>
    </w:p>
    <w:p w14:paraId="79627AFF" w14:textId="77777777" w:rsidR="005D5052" w:rsidRDefault="005D5052" w:rsidP="005D5052">
      <w:pPr>
        <w:pStyle w:val="SingleTxt"/>
      </w:pPr>
      <w:r>
        <w:rPr>
          <w:rFonts w:hint="eastAsia"/>
        </w:rPr>
        <w:tab/>
        <w:t>(d)</w:t>
      </w:r>
      <w:r>
        <w:rPr>
          <w:rFonts w:hint="eastAsia"/>
        </w:rPr>
        <w:tab/>
      </w:r>
      <w:r w:rsidRPr="001A17AB">
        <w:rPr>
          <w:rFonts w:ascii="黑体" w:eastAsia="黑体" w:hAnsi="黑体" w:hint="eastAsia"/>
        </w:rPr>
        <w:t>加紧努力，通过执行《预防性骚扰法》，打击性骚扰行为，特别是以色列国防军内部的性骚扰行为，并评估以色列国防军吸收极端正统派男子后对妇女在军中职业发展的影响</w:t>
      </w:r>
      <w:r>
        <w:rPr>
          <w:rFonts w:hint="eastAsia"/>
        </w:rPr>
        <w:t>。</w:t>
      </w:r>
    </w:p>
    <w:p w14:paraId="52158B63" w14:textId="77777777" w:rsidR="005D5052" w:rsidRPr="001A17AB" w:rsidRDefault="005D5052" w:rsidP="005D5052">
      <w:pPr>
        <w:pStyle w:val="SingleTxt"/>
        <w:rPr>
          <w:rFonts w:ascii="黑体" w:eastAsia="黑体" w:hAnsi="黑体"/>
        </w:rPr>
      </w:pPr>
      <w:r w:rsidRPr="001A17AB">
        <w:rPr>
          <w:rFonts w:ascii="黑体" w:eastAsia="黑体" w:hAnsi="黑体" w:hint="eastAsia"/>
        </w:rPr>
        <w:t>卫生</w:t>
      </w:r>
    </w:p>
    <w:p w14:paraId="1F912D75" w14:textId="77777777" w:rsidR="005D5052" w:rsidRDefault="005D5052" w:rsidP="005D5052">
      <w:pPr>
        <w:pStyle w:val="SingleTxt"/>
      </w:pPr>
      <w:r>
        <w:rPr>
          <w:rFonts w:hint="eastAsia"/>
        </w:rPr>
        <w:t>46.</w:t>
      </w:r>
      <w:r>
        <w:rPr>
          <w:rFonts w:hint="eastAsia"/>
        </w:rPr>
        <w:tab/>
      </w:r>
      <w:r>
        <w:rPr>
          <w:rFonts w:hint="eastAsia"/>
        </w:rPr>
        <w:t>委员会赞赏缔约国为确保提供高标准的医疗保健服务和促进医学研究工作所作的努力，但同时注意到在获取医疗方面仍存在歧视。委员会欢迎为改善妇女和女童的医疗保健所采取的步骤，注意到缔约国制定了旨在消除卫生部门歧视的干预方案和行动计划，其中特别注重解决针对埃塞俄比亚裔的种族主义问题，并加强农村地区的保健基础设施和人员队伍。然而，委员会感到关切的是：</w:t>
      </w:r>
    </w:p>
    <w:p w14:paraId="1F89A8D7" w14:textId="77777777" w:rsidR="005D5052" w:rsidRDefault="005D5052" w:rsidP="005D5052">
      <w:pPr>
        <w:pStyle w:val="SingleTxt"/>
      </w:pPr>
      <w:r>
        <w:rPr>
          <w:rFonts w:hint="eastAsia"/>
        </w:rPr>
        <w:tab/>
        <w:t>(a)</w:t>
      </w:r>
      <w:r>
        <w:rPr>
          <w:rFonts w:hint="eastAsia"/>
        </w:rPr>
        <w:tab/>
      </w:r>
      <w:r>
        <w:rPr>
          <w:rFonts w:hint="eastAsia"/>
        </w:rPr>
        <w:t>埃塞俄比亚裔妇女和女童在寻求获得医疗保健服务时继续面临歧视；</w:t>
      </w:r>
    </w:p>
    <w:p w14:paraId="7F1EF095" w14:textId="77777777" w:rsidR="005D5052" w:rsidRDefault="005D5052" w:rsidP="005D5052">
      <w:pPr>
        <w:pStyle w:val="SingleTxt"/>
      </w:pPr>
      <w:r>
        <w:rPr>
          <w:rFonts w:hint="eastAsia"/>
        </w:rPr>
        <w:tab/>
        <w:t>(b)</w:t>
      </w:r>
      <w:r>
        <w:rPr>
          <w:rFonts w:hint="eastAsia"/>
        </w:rPr>
        <w:tab/>
      </w:r>
      <w:r>
        <w:rPr>
          <w:rFonts w:hint="eastAsia"/>
        </w:rPr>
        <w:t>由于检查站对行动自由的限制，巴勒斯坦被占领土上的巴勒斯坦妇女和女童在使用医院、诊所、紧急护理和专业治疗等医疗保健设施方面遇到困难；</w:t>
      </w:r>
    </w:p>
    <w:p w14:paraId="610071F9" w14:textId="77777777" w:rsidR="005D5052" w:rsidRDefault="005D5052" w:rsidP="005D5052">
      <w:pPr>
        <w:pStyle w:val="SingleTxt"/>
      </w:pPr>
      <w:r>
        <w:rPr>
          <w:rFonts w:hint="eastAsia"/>
        </w:rPr>
        <w:tab/>
        <w:t>(c)</w:t>
      </w:r>
      <w:r>
        <w:rPr>
          <w:rFonts w:hint="eastAsia"/>
        </w:rPr>
        <w:tab/>
      </w:r>
      <w:r>
        <w:rPr>
          <w:rFonts w:hint="eastAsia"/>
        </w:rPr>
        <w:t>阿裔以色列和贝都因妇女和女童的健康状况仍然不佳，尤其存在婴儿和孕产妇死亡问题，而且肥胖症和肺癌患者占以色列总人口的比率最高；</w:t>
      </w:r>
    </w:p>
    <w:p w14:paraId="69214262" w14:textId="77777777" w:rsidR="005D5052" w:rsidRDefault="005D5052" w:rsidP="005D5052">
      <w:pPr>
        <w:pStyle w:val="SingleTxt"/>
      </w:pPr>
      <w:r>
        <w:rPr>
          <w:rFonts w:hint="eastAsia"/>
        </w:rPr>
        <w:tab/>
        <w:t>(d)</w:t>
      </w:r>
      <w:r>
        <w:rPr>
          <w:rFonts w:hint="eastAsia"/>
        </w:rPr>
        <w:tab/>
      </w:r>
      <w:r>
        <w:rPr>
          <w:rFonts w:hint="eastAsia"/>
        </w:rPr>
        <w:t>虽然根据</w:t>
      </w:r>
      <w:r>
        <w:rPr>
          <w:rFonts w:hint="eastAsia"/>
        </w:rPr>
        <w:t>1977</w:t>
      </w:r>
      <w:r>
        <w:rPr>
          <w:rFonts w:hint="eastAsia"/>
        </w:rPr>
        <w:t>年《刑法典》，在某些情况下，如遭到强奸、乱伦、孕妇身心健康受到威胁及胎儿有严重精神或生理缺陷时，可以允许堕胎，但妇女仍需经历复杂繁琐的行政程序才能得到终止妊娠委员会关于堕胎的批准。</w:t>
      </w:r>
    </w:p>
    <w:p w14:paraId="3BFC9D24" w14:textId="77777777" w:rsidR="005D5052" w:rsidRDefault="005D5052" w:rsidP="005D5052">
      <w:pPr>
        <w:pStyle w:val="SingleTxt"/>
      </w:pPr>
      <w:r>
        <w:rPr>
          <w:rFonts w:hint="eastAsia"/>
        </w:rPr>
        <w:t>47.</w:t>
      </w:r>
      <w:r>
        <w:rPr>
          <w:rFonts w:hint="eastAsia"/>
        </w:rPr>
        <w:tab/>
      </w:r>
      <w:r w:rsidRPr="001A17AB">
        <w:rPr>
          <w:rFonts w:ascii="黑体" w:eastAsia="黑体" w:hAnsi="黑体" w:hint="eastAsia"/>
        </w:rPr>
        <w:t>委员会建议缔约国</w:t>
      </w:r>
      <w:r>
        <w:rPr>
          <w:rFonts w:hint="eastAsia"/>
        </w:rPr>
        <w:t>：</w:t>
      </w:r>
    </w:p>
    <w:p w14:paraId="65254B5D" w14:textId="77777777" w:rsidR="005D5052" w:rsidRDefault="005D5052" w:rsidP="005D5052">
      <w:pPr>
        <w:pStyle w:val="SingleTxt"/>
      </w:pPr>
      <w:r>
        <w:rPr>
          <w:rFonts w:hint="eastAsia"/>
        </w:rPr>
        <w:tab/>
        <w:t>(a)</w:t>
      </w:r>
      <w:r>
        <w:rPr>
          <w:rFonts w:hint="eastAsia"/>
        </w:rPr>
        <w:tab/>
      </w:r>
      <w:r w:rsidRPr="001A17AB">
        <w:rPr>
          <w:rFonts w:ascii="黑体" w:eastAsia="黑体" w:hAnsi="黑体" w:hint="eastAsia"/>
        </w:rPr>
        <w:t>采取适当的干预方案和行动计划，包括严格适用相关刑法条款，解决卫生部门的歧视问题，尤其是针对埃塞俄比亚裔妇女和女童的歧视</w:t>
      </w:r>
      <w:r>
        <w:rPr>
          <w:rFonts w:hint="eastAsia"/>
        </w:rPr>
        <w:t>；</w:t>
      </w:r>
    </w:p>
    <w:p w14:paraId="62C90E18" w14:textId="77777777" w:rsidR="005D5052" w:rsidRDefault="005D5052" w:rsidP="005D5052">
      <w:pPr>
        <w:pStyle w:val="SingleTxt"/>
      </w:pPr>
      <w:r>
        <w:rPr>
          <w:rFonts w:hint="eastAsia"/>
        </w:rPr>
        <w:tab/>
        <w:t>(b)</w:t>
      </w:r>
      <w:r>
        <w:rPr>
          <w:rFonts w:hint="eastAsia"/>
        </w:rPr>
        <w:tab/>
      </w:r>
      <w:r w:rsidRPr="001A17AB">
        <w:rPr>
          <w:rFonts w:ascii="黑体" w:eastAsia="黑体" w:hAnsi="黑体" w:hint="eastAsia"/>
        </w:rPr>
        <w:t>继续加强努力，如实施国家乳腺癌筛查计划并治疗卵巢癌和肺癌，以改善阿裔以色列妇女和贝都因妇女的健康状况，尤其是解决肥胖、肺癌、婴儿和孕产妇死亡等问题</w:t>
      </w:r>
      <w:r>
        <w:rPr>
          <w:rFonts w:hint="eastAsia"/>
        </w:rPr>
        <w:t>；</w:t>
      </w:r>
    </w:p>
    <w:p w14:paraId="562E8A5B" w14:textId="77777777" w:rsidR="005D5052" w:rsidRDefault="005D5052" w:rsidP="005D5052">
      <w:pPr>
        <w:pStyle w:val="SingleTxt"/>
      </w:pPr>
      <w:r>
        <w:rPr>
          <w:rFonts w:hint="eastAsia"/>
        </w:rPr>
        <w:tab/>
        <w:t>(c)</w:t>
      </w:r>
      <w:r>
        <w:rPr>
          <w:rFonts w:hint="eastAsia"/>
        </w:rPr>
        <w:tab/>
      </w:r>
      <w:r w:rsidRPr="001A17AB">
        <w:rPr>
          <w:rFonts w:ascii="黑体" w:eastAsia="黑体" w:hAnsi="黑体" w:hint="eastAsia"/>
        </w:rPr>
        <w:t>开展影响评估研究，确保获得终止妊娠委员会批准堕胎的行政程序不妨碍妇女和女童获得安全堕胎服务</w:t>
      </w:r>
      <w:r>
        <w:rPr>
          <w:rFonts w:hint="eastAsia"/>
        </w:rPr>
        <w:t>。</w:t>
      </w:r>
    </w:p>
    <w:p w14:paraId="527EA484" w14:textId="77777777" w:rsidR="005D5052" w:rsidRPr="001A17AB" w:rsidRDefault="005D5052" w:rsidP="005D5052">
      <w:pPr>
        <w:pStyle w:val="SingleTxt"/>
        <w:rPr>
          <w:rFonts w:ascii="黑体" w:eastAsia="黑体" w:hAnsi="黑体"/>
        </w:rPr>
      </w:pPr>
      <w:r w:rsidRPr="001A17AB">
        <w:rPr>
          <w:rFonts w:ascii="黑体" w:eastAsia="黑体" w:hAnsi="黑体" w:hint="eastAsia"/>
        </w:rPr>
        <w:lastRenderedPageBreak/>
        <w:t>加强妇女经济地位</w:t>
      </w:r>
    </w:p>
    <w:p w14:paraId="5F7A4587" w14:textId="77777777" w:rsidR="005D5052" w:rsidRDefault="005D5052" w:rsidP="005D5052">
      <w:pPr>
        <w:pStyle w:val="SingleTxt"/>
      </w:pPr>
      <w:r>
        <w:rPr>
          <w:rFonts w:hint="eastAsia"/>
        </w:rPr>
        <w:t>48.</w:t>
      </w:r>
      <w:r>
        <w:rPr>
          <w:rFonts w:hint="eastAsia"/>
        </w:rPr>
        <w:tab/>
      </w:r>
      <w:r>
        <w:rPr>
          <w:rFonts w:hint="eastAsia"/>
        </w:rPr>
        <w:t>委员会注意到缔约国为加强妇女经济地位和社会福利所作的努力，欢迎</w:t>
      </w:r>
      <w:r>
        <w:rPr>
          <w:rFonts w:hint="eastAsia"/>
        </w:rPr>
        <w:t>2015</w:t>
      </w:r>
      <w:r>
        <w:rPr>
          <w:rFonts w:hint="eastAsia"/>
        </w:rPr>
        <w:t>年通过从千年发展目标向可持续发展目标过渡的转型战略。然而，委员会感到关切的是：</w:t>
      </w:r>
    </w:p>
    <w:p w14:paraId="70CA2342" w14:textId="77777777" w:rsidR="005D5052" w:rsidRDefault="005D5052" w:rsidP="005D5052">
      <w:pPr>
        <w:pStyle w:val="SingleTxt"/>
      </w:pPr>
      <w:r>
        <w:rPr>
          <w:rFonts w:hint="eastAsia"/>
        </w:rPr>
        <w:tab/>
        <w:t>(a)</w:t>
      </w:r>
      <w:r>
        <w:rPr>
          <w:rFonts w:hint="eastAsia"/>
        </w:rPr>
        <w:tab/>
      </w:r>
      <w:r>
        <w:rPr>
          <w:rFonts w:hint="eastAsia"/>
        </w:rPr>
        <w:t>没有充分信息说明妇女和女童获得贷款和信贷服务的情况，以及如何努力加强她们的创业能力和使用数字技术的能力；</w:t>
      </w:r>
    </w:p>
    <w:p w14:paraId="15B7854D" w14:textId="77777777" w:rsidR="005D5052" w:rsidRDefault="005D5052" w:rsidP="005D5052">
      <w:pPr>
        <w:pStyle w:val="SingleTxt"/>
      </w:pPr>
      <w:r>
        <w:rPr>
          <w:rFonts w:hint="eastAsia"/>
        </w:rPr>
        <w:tab/>
        <w:t>(b)</w:t>
      </w:r>
      <w:r>
        <w:rPr>
          <w:rFonts w:hint="eastAsia"/>
        </w:rPr>
        <w:tab/>
      </w:r>
      <w:r>
        <w:rPr>
          <w:rFonts w:hint="eastAsia"/>
        </w:rPr>
        <w:t>没有充分信息说明缔约国采取了哪些措施执行可持续发展目标并确保妇女参与这些进程。</w:t>
      </w:r>
    </w:p>
    <w:p w14:paraId="3C81AB39" w14:textId="77777777" w:rsidR="005D5052" w:rsidRDefault="005D5052" w:rsidP="005D5052">
      <w:pPr>
        <w:pStyle w:val="SingleTxt"/>
      </w:pPr>
      <w:r>
        <w:rPr>
          <w:rFonts w:hint="eastAsia"/>
        </w:rPr>
        <w:t>49.</w:t>
      </w:r>
      <w:r>
        <w:rPr>
          <w:rFonts w:hint="eastAsia"/>
        </w:rPr>
        <w:tab/>
      </w:r>
      <w:r w:rsidRPr="001A17AB">
        <w:rPr>
          <w:rFonts w:ascii="黑体" w:eastAsia="黑体" w:hAnsi="黑体" w:hint="eastAsia"/>
        </w:rPr>
        <w:t>委员会建议缔约国</w:t>
      </w:r>
      <w:r>
        <w:rPr>
          <w:rFonts w:hint="eastAsia"/>
        </w:rPr>
        <w:t>：</w:t>
      </w:r>
    </w:p>
    <w:p w14:paraId="559271C9" w14:textId="77777777" w:rsidR="005D5052" w:rsidRDefault="005D5052" w:rsidP="005D5052">
      <w:pPr>
        <w:pStyle w:val="SingleTxt"/>
      </w:pPr>
      <w:r>
        <w:rPr>
          <w:rFonts w:hint="eastAsia"/>
        </w:rPr>
        <w:tab/>
        <w:t>(a)</w:t>
      </w:r>
      <w:r>
        <w:rPr>
          <w:rFonts w:hint="eastAsia"/>
        </w:rPr>
        <w:tab/>
      </w:r>
      <w:r w:rsidRPr="001A17AB">
        <w:rPr>
          <w:rFonts w:ascii="黑体" w:eastAsia="黑体" w:hAnsi="黑体" w:hint="eastAsia"/>
        </w:rPr>
        <w:t>在第七次定期报告中提供详细信息，说明妇女获得贷款和其他形式金融信贷的情况，并说明如何努力提高妇女和女童的创业能力和使用数字技术的能力</w:t>
      </w:r>
      <w:r>
        <w:rPr>
          <w:rFonts w:hint="eastAsia"/>
        </w:rPr>
        <w:t>；</w:t>
      </w:r>
    </w:p>
    <w:p w14:paraId="6E24222E" w14:textId="77777777" w:rsidR="005D5052" w:rsidRDefault="005D5052" w:rsidP="005D5052">
      <w:pPr>
        <w:pStyle w:val="SingleTxt"/>
      </w:pPr>
      <w:r>
        <w:rPr>
          <w:rFonts w:hint="eastAsia"/>
        </w:rPr>
        <w:tab/>
        <w:t>(b)</w:t>
      </w:r>
      <w:r>
        <w:rPr>
          <w:rFonts w:hint="eastAsia"/>
        </w:rPr>
        <w:tab/>
      </w:r>
      <w:r w:rsidRPr="001A17AB">
        <w:rPr>
          <w:rFonts w:ascii="黑体" w:eastAsia="黑体" w:hAnsi="黑体" w:hint="eastAsia"/>
        </w:rPr>
        <w:t>确保妇女参与为实现可持续发展目标而开展的工作</w:t>
      </w:r>
      <w:r>
        <w:rPr>
          <w:rFonts w:hint="eastAsia"/>
        </w:rPr>
        <w:t>。</w:t>
      </w:r>
    </w:p>
    <w:p w14:paraId="7B4029B5" w14:textId="77777777" w:rsidR="005D5052" w:rsidRPr="001A17AB" w:rsidRDefault="005D5052" w:rsidP="005D5052">
      <w:pPr>
        <w:pStyle w:val="SingleTxt"/>
        <w:rPr>
          <w:rFonts w:ascii="黑体" w:eastAsia="黑体" w:hAnsi="黑体"/>
        </w:rPr>
      </w:pPr>
      <w:r w:rsidRPr="001A17AB">
        <w:rPr>
          <w:rFonts w:ascii="黑体" w:eastAsia="黑体" w:hAnsi="黑体" w:hint="eastAsia"/>
        </w:rPr>
        <w:t>女性弱势群体</w:t>
      </w:r>
    </w:p>
    <w:p w14:paraId="678CED47" w14:textId="77777777" w:rsidR="005D5052" w:rsidRPr="001A17AB" w:rsidRDefault="005D5052" w:rsidP="005D5052">
      <w:pPr>
        <w:pStyle w:val="SingleTxt"/>
        <w:rPr>
          <w:rFonts w:ascii="楷体_GB2312" w:eastAsia="楷体_GB2312" w:hAnsi="楷体_GB2312"/>
        </w:rPr>
      </w:pPr>
      <w:r w:rsidRPr="001A17AB">
        <w:rPr>
          <w:rFonts w:ascii="楷体_GB2312" w:eastAsia="楷体_GB2312" w:hAnsi="楷体_GB2312" w:hint="eastAsia"/>
        </w:rPr>
        <w:t>难民和寻求庇护的妇女和女童</w:t>
      </w:r>
    </w:p>
    <w:p w14:paraId="2477A59F" w14:textId="77777777" w:rsidR="005D5052" w:rsidRDefault="005D5052" w:rsidP="005D5052">
      <w:pPr>
        <w:pStyle w:val="SingleTxt"/>
      </w:pPr>
      <w:r>
        <w:rPr>
          <w:rFonts w:hint="eastAsia"/>
        </w:rPr>
        <w:t>50.</w:t>
      </w:r>
      <w:r>
        <w:rPr>
          <w:rFonts w:hint="eastAsia"/>
        </w:rPr>
        <w:tab/>
      </w:r>
      <w:r>
        <w:rPr>
          <w:rFonts w:hint="eastAsia"/>
        </w:rPr>
        <w:t>委员会欢迎卫生部于</w:t>
      </w:r>
      <w:r>
        <w:rPr>
          <w:rFonts w:hint="eastAsia"/>
        </w:rPr>
        <w:t>2013</w:t>
      </w:r>
      <w:r>
        <w:rPr>
          <w:rFonts w:hint="eastAsia"/>
        </w:rPr>
        <w:t>年</w:t>
      </w:r>
      <w:r>
        <w:rPr>
          <w:rFonts w:hint="eastAsia"/>
        </w:rPr>
        <w:t>1</w:t>
      </w:r>
      <w:r>
        <w:rPr>
          <w:rFonts w:hint="eastAsia"/>
        </w:rPr>
        <w:t>月在特拉维夫</w:t>
      </w:r>
      <w:r>
        <w:rPr>
          <w:rFonts w:hint="eastAsia"/>
        </w:rPr>
        <w:t>-</w:t>
      </w:r>
      <w:r>
        <w:rPr>
          <w:rFonts w:hint="eastAsia"/>
        </w:rPr>
        <w:t>雅法南部为没有加入国家健康保险的外国居民开设了一家诊所。然而，委员会仍然感到关切的是，由于缔约国接受难民申请的数量较少，寻求庇护的妇女继续处于不确定状态，从而严重阻碍她们充分获得教育、就业、保健和诉诸司法系统的机会。</w:t>
      </w:r>
    </w:p>
    <w:p w14:paraId="1D197CA9" w14:textId="77777777" w:rsidR="005D5052" w:rsidRDefault="005D5052" w:rsidP="005D5052">
      <w:pPr>
        <w:pStyle w:val="SingleTxt"/>
      </w:pPr>
      <w:r>
        <w:rPr>
          <w:rFonts w:hint="eastAsia"/>
        </w:rPr>
        <w:t>51.</w:t>
      </w:r>
      <w:r>
        <w:rPr>
          <w:rFonts w:hint="eastAsia"/>
        </w:rPr>
        <w:tab/>
      </w:r>
      <w:r w:rsidRPr="001A17AB">
        <w:rPr>
          <w:rFonts w:eastAsia="黑体" w:hint="eastAsia"/>
        </w:rPr>
        <w:t>委员会回顾其以往建议</w:t>
      </w:r>
      <w:r w:rsidRPr="001A17AB">
        <w:rPr>
          <w:rFonts w:eastAsia="黑体" w:hint="eastAsia"/>
        </w:rPr>
        <w:t>(</w:t>
      </w:r>
      <w:hyperlink r:id="rId30" w:history="1">
        <w:r w:rsidRPr="00A80D6C">
          <w:rPr>
            <w:rStyle w:val="ad"/>
            <w:rFonts w:eastAsia="黑体" w:hint="eastAsia"/>
          </w:rPr>
          <w:t>CEDAW/C/ISR/CO/5</w:t>
        </w:r>
      </w:hyperlink>
      <w:r w:rsidRPr="001A17AB">
        <w:rPr>
          <w:rFonts w:eastAsia="黑体" w:hint="eastAsia"/>
        </w:rPr>
        <w:t>，第</w:t>
      </w:r>
      <w:r w:rsidRPr="001A17AB">
        <w:rPr>
          <w:rFonts w:eastAsia="黑体" w:hint="eastAsia"/>
        </w:rPr>
        <w:t>47</w:t>
      </w:r>
      <w:r w:rsidRPr="001A17AB">
        <w:rPr>
          <w:rFonts w:eastAsia="黑体" w:hint="eastAsia"/>
        </w:rPr>
        <w:t>段</w:t>
      </w:r>
      <w:r w:rsidRPr="001A17AB">
        <w:rPr>
          <w:rFonts w:eastAsia="黑体" w:hint="eastAsia"/>
        </w:rPr>
        <w:t>)</w:t>
      </w:r>
      <w:r w:rsidRPr="001A17AB">
        <w:rPr>
          <w:rFonts w:eastAsia="黑体" w:hint="eastAsia"/>
        </w:rPr>
        <w:t>，并建议约国废除《预防渗透</w:t>
      </w:r>
      <w:r w:rsidRPr="001A17AB">
        <w:rPr>
          <w:rFonts w:eastAsia="黑体" w:hint="eastAsia"/>
        </w:rPr>
        <w:t>(</w:t>
      </w:r>
      <w:r w:rsidRPr="001A17AB">
        <w:rPr>
          <w:rFonts w:eastAsia="黑体" w:hint="eastAsia"/>
        </w:rPr>
        <w:t>罪行和管辖权</w:t>
      </w:r>
      <w:r w:rsidRPr="001A17AB">
        <w:rPr>
          <w:rFonts w:eastAsia="黑体" w:hint="eastAsia"/>
        </w:rPr>
        <w:t>)</w:t>
      </w:r>
      <w:r w:rsidRPr="001A17AB">
        <w:rPr>
          <w:rFonts w:eastAsia="黑体" w:hint="eastAsia"/>
        </w:rPr>
        <w:t>法》的有关规定，为处理寻求庇护妇女的申请和确保他们获得基本服务提供便利</w:t>
      </w:r>
      <w:r>
        <w:rPr>
          <w:rFonts w:hint="eastAsia"/>
        </w:rPr>
        <w:t>。</w:t>
      </w:r>
    </w:p>
    <w:p w14:paraId="75D02633" w14:textId="77777777" w:rsidR="005D5052" w:rsidRPr="001A17AB" w:rsidRDefault="005D5052" w:rsidP="005D5052">
      <w:pPr>
        <w:pStyle w:val="SingleTxt"/>
        <w:rPr>
          <w:rFonts w:ascii="楷体_GB2312" w:eastAsia="楷体_GB2312" w:hAnsi="楷体_GB2312"/>
        </w:rPr>
      </w:pPr>
      <w:r w:rsidRPr="001A17AB">
        <w:rPr>
          <w:rFonts w:ascii="楷体_GB2312" w:eastAsia="楷体_GB2312" w:hAnsi="楷体_GB2312" w:hint="eastAsia"/>
        </w:rPr>
        <w:t>被拘留妇女</w:t>
      </w:r>
    </w:p>
    <w:p w14:paraId="4D566551" w14:textId="77777777" w:rsidR="005D5052" w:rsidRDefault="005D5052" w:rsidP="005D5052">
      <w:pPr>
        <w:pStyle w:val="SingleTxt"/>
      </w:pPr>
      <w:r>
        <w:rPr>
          <w:rFonts w:hint="eastAsia"/>
        </w:rPr>
        <w:t>52.</w:t>
      </w:r>
      <w:r>
        <w:rPr>
          <w:rFonts w:hint="eastAsia"/>
        </w:rPr>
        <w:tab/>
      </w:r>
      <w:r>
        <w:rPr>
          <w:rFonts w:hint="eastAsia"/>
        </w:rPr>
        <w:t>委员会重申其感到关切的是，越来越多的巴勒斯坦妇女和女童长期遭受行政拘留，从巴勒斯坦被占领土被强迫转移到以色列的拘留场所，而且有报告显示，她们获得司法救助和保健服务的机会有限。</w:t>
      </w:r>
    </w:p>
    <w:p w14:paraId="0679B8C2" w14:textId="77777777" w:rsidR="005D5052" w:rsidRDefault="005D5052" w:rsidP="005D5052">
      <w:pPr>
        <w:pStyle w:val="SingleTxt"/>
      </w:pPr>
      <w:r>
        <w:rPr>
          <w:rFonts w:hint="eastAsia"/>
        </w:rPr>
        <w:t>53.</w:t>
      </w:r>
      <w:r>
        <w:rPr>
          <w:rFonts w:hint="eastAsia"/>
        </w:rPr>
        <w:tab/>
      </w:r>
      <w:r w:rsidRPr="001A17AB">
        <w:rPr>
          <w:rFonts w:ascii="黑体" w:eastAsia="黑体" w:hAnsi="黑体" w:hint="eastAsia"/>
        </w:rPr>
        <w:t>根据联合国女性囚犯待遇和女性罪犯非拘禁措施规则(曼谷规则)，委员会建议缔约国处理长期行政拘留问题，确保被拘留的巴勒斯坦妇女和女童迅速见到法官。委员会还建议缔约国改善拘留条件，确保妇女获得司法救助和保健服务</w:t>
      </w:r>
      <w:r>
        <w:rPr>
          <w:rFonts w:hint="eastAsia"/>
        </w:rPr>
        <w:t>。</w:t>
      </w:r>
    </w:p>
    <w:p w14:paraId="06B1A646" w14:textId="77777777" w:rsidR="005D5052" w:rsidRPr="001A17AB" w:rsidRDefault="005D5052" w:rsidP="005D5052">
      <w:pPr>
        <w:pStyle w:val="SingleTxt"/>
        <w:rPr>
          <w:rFonts w:ascii="黑体" w:eastAsia="黑体" w:hAnsi="黑体"/>
        </w:rPr>
      </w:pPr>
      <w:r w:rsidRPr="001A17AB">
        <w:rPr>
          <w:rFonts w:ascii="黑体" w:eastAsia="黑体" w:hAnsi="黑体" w:hint="eastAsia"/>
        </w:rPr>
        <w:t>农村妇女</w:t>
      </w:r>
    </w:p>
    <w:p w14:paraId="68447CF5" w14:textId="77777777" w:rsidR="005D5052" w:rsidRPr="001A17AB" w:rsidRDefault="005D5052" w:rsidP="005D5052">
      <w:pPr>
        <w:pStyle w:val="SingleTxt"/>
        <w:rPr>
          <w:rFonts w:ascii="楷体_GB2312" w:eastAsia="楷体_GB2312" w:hAnsi="楷体_GB2312"/>
        </w:rPr>
      </w:pPr>
      <w:r w:rsidRPr="001A17AB">
        <w:rPr>
          <w:rFonts w:ascii="楷体_GB2312" w:eastAsia="楷体_GB2312" w:hAnsi="楷体_GB2312" w:hint="eastAsia"/>
        </w:rPr>
        <w:t>贝都因妇女</w:t>
      </w:r>
    </w:p>
    <w:p w14:paraId="267A9F51" w14:textId="77777777" w:rsidR="005D5052" w:rsidRDefault="005D5052" w:rsidP="005D5052">
      <w:pPr>
        <w:pStyle w:val="SingleTxt"/>
      </w:pPr>
      <w:r>
        <w:rPr>
          <w:rFonts w:hint="eastAsia"/>
        </w:rPr>
        <w:t>54.</w:t>
      </w:r>
      <w:r>
        <w:rPr>
          <w:rFonts w:hint="eastAsia"/>
        </w:rPr>
        <w:tab/>
      </w:r>
      <w:r>
        <w:rPr>
          <w:rFonts w:hint="eastAsia"/>
        </w:rPr>
        <w:t>委员会注意到，缔约国为处于困境的贝都因女性青少年实施“安全空间”项目，防止她们辍学并加强她们经济地位。委员会还注意到，缔约国于</w:t>
      </w:r>
      <w:r>
        <w:rPr>
          <w:rFonts w:hint="eastAsia"/>
        </w:rPr>
        <w:t>2017</w:t>
      </w:r>
      <w:r>
        <w:rPr>
          <w:rFonts w:hint="eastAsia"/>
        </w:rPr>
        <w:t>年</w:t>
      </w:r>
      <w:r>
        <w:rPr>
          <w:rFonts w:hint="eastAsia"/>
        </w:rPr>
        <w:t>2</w:t>
      </w:r>
      <w:r>
        <w:rPr>
          <w:rFonts w:hint="eastAsia"/>
        </w:rPr>
        <w:t>月批准了在内盖夫开发贝都因地区的五年计划，包括改善教育和保健基础设施。然而，委员会关切地注意到：</w:t>
      </w:r>
    </w:p>
    <w:p w14:paraId="493EB7DF" w14:textId="77777777" w:rsidR="005D5052" w:rsidRDefault="005D5052" w:rsidP="005D5052">
      <w:pPr>
        <w:pStyle w:val="SingleTxt"/>
      </w:pPr>
      <w:r>
        <w:rPr>
          <w:rFonts w:hint="eastAsia"/>
        </w:rPr>
        <w:lastRenderedPageBreak/>
        <w:tab/>
        <w:t>(a)</w:t>
      </w:r>
      <w:r>
        <w:rPr>
          <w:rFonts w:hint="eastAsia"/>
        </w:rPr>
        <w:tab/>
      </w:r>
      <w:r>
        <w:rPr>
          <w:rFonts w:hint="eastAsia"/>
        </w:rPr>
        <w:t>五年计划伴随着强迫城市化、驱逐和流离失所，缔约国继续拆毁贝都因社区的房屋和学校，使贝都因人被迫搬迁；</w:t>
      </w:r>
    </w:p>
    <w:p w14:paraId="0620D0DD" w14:textId="77777777" w:rsidR="005D5052" w:rsidRDefault="005D5052" w:rsidP="005D5052">
      <w:pPr>
        <w:pStyle w:val="SingleTxt"/>
      </w:pPr>
      <w:r>
        <w:rPr>
          <w:rFonts w:hint="eastAsia"/>
        </w:rPr>
        <w:tab/>
        <w:t>(b)</w:t>
      </w:r>
      <w:r>
        <w:rPr>
          <w:rFonts w:hint="eastAsia"/>
        </w:rPr>
        <w:tab/>
      </w:r>
      <w:r>
        <w:rPr>
          <w:rFonts w:hint="eastAsia"/>
        </w:rPr>
        <w:t>缺乏关于贝都因妇女获得社会服务、信贷服务和使用现代技术的信息。</w:t>
      </w:r>
    </w:p>
    <w:p w14:paraId="33F96283" w14:textId="77777777" w:rsidR="005D5052" w:rsidRDefault="005D5052" w:rsidP="005D5052">
      <w:pPr>
        <w:pStyle w:val="SingleTxt"/>
      </w:pPr>
      <w:r>
        <w:rPr>
          <w:rFonts w:hint="eastAsia"/>
        </w:rPr>
        <w:t>55.</w:t>
      </w:r>
      <w:r>
        <w:rPr>
          <w:rFonts w:hint="eastAsia"/>
        </w:rPr>
        <w:tab/>
      </w:r>
      <w:r w:rsidRPr="001A17AB">
        <w:rPr>
          <w:rFonts w:eastAsia="黑体" w:hint="eastAsia"/>
        </w:rPr>
        <w:t>委员会回顾其以往建议</w:t>
      </w:r>
      <w:r w:rsidRPr="001A17AB">
        <w:rPr>
          <w:rFonts w:eastAsia="黑体" w:hint="eastAsia"/>
        </w:rPr>
        <w:t>(</w:t>
      </w:r>
      <w:r w:rsidRPr="001A17AB">
        <w:rPr>
          <w:rFonts w:eastAsia="黑体" w:hint="eastAsia"/>
        </w:rPr>
        <w:t>同上，第</w:t>
      </w:r>
      <w:r w:rsidRPr="001A17AB">
        <w:rPr>
          <w:rFonts w:eastAsia="黑体" w:hint="eastAsia"/>
        </w:rPr>
        <w:t>45</w:t>
      </w:r>
      <w:r w:rsidRPr="001A17AB">
        <w:rPr>
          <w:rFonts w:eastAsia="黑体" w:hint="eastAsia"/>
        </w:rPr>
        <w:t>段</w:t>
      </w:r>
      <w:r>
        <w:rPr>
          <w:rFonts w:eastAsia="黑体" w:hint="eastAsia"/>
        </w:rPr>
        <w:t>)</w:t>
      </w:r>
      <w:r w:rsidRPr="001A17AB">
        <w:rPr>
          <w:rFonts w:eastAsia="黑体" w:hint="eastAsia"/>
        </w:rPr>
        <w:t>，并建议缔约国</w:t>
      </w:r>
      <w:r>
        <w:rPr>
          <w:rFonts w:hint="eastAsia"/>
        </w:rPr>
        <w:t>：</w:t>
      </w:r>
    </w:p>
    <w:p w14:paraId="01450639" w14:textId="77777777" w:rsidR="005D5052" w:rsidRDefault="005D5052" w:rsidP="005D5052">
      <w:pPr>
        <w:pStyle w:val="SingleTxt"/>
      </w:pPr>
      <w:r>
        <w:rPr>
          <w:rFonts w:hint="eastAsia"/>
        </w:rPr>
        <w:tab/>
        <w:t>(a)</w:t>
      </w:r>
      <w:r>
        <w:rPr>
          <w:rFonts w:hint="eastAsia"/>
        </w:rPr>
        <w:tab/>
      </w:r>
      <w:r w:rsidRPr="001A17AB">
        <w:rPr>
          <w:rFonts w:ascii="黑体" w:eastAsia="黑体" w:hAnsi="黑体" w:hint="eastAsia"/>
        </w:rPr>
        <w:t>采取具体措施，改善贝都因妇女和女童的教育、就业、保健和住房状况，包括确保旨在增强她们权能的行动计划有明确的指标和基准，并监测和定期评估其执行情况</w:t>
      </w:r>
      <w:r>
        <w:rPr>
          <w:rFonts w:hint="eastAsia"/>
        </w:rPr>
        <w:t>；</w:t>
      </w:r>
    </w:p>
    <w:p w14:paraId="500C68E3" w14:textId="77777777" w:rsidR="005D5052" w:rsidRDefault="005D5052" w:rsidP="005D5052">
      <w:pPr>
        <w:pStyle w:val="SingleTxt"/>
      </w:pPr>
      <w:r>
        <w:rPr>
          <w:rFonts w:hint="eastAsia"/>
        </w:rPr>
        <w:tab/>
        <w:t>(b)</w:t>
      </w:r>
      <w:r>
        <w:rPr>
          <w:rFonts w:hint="eastAsia"/>
        </w:rPr>
        <w:tab/>
      </w:r>
      <w:r w:rsidRPr="001A17AB">
        <w:rPr>
          <w:rFonts w:ascii="黑体" w:eastAsia="黑体" w:hAnsi="黑体" w:hint="eastAsia"/>
        </w:rPr>
        <w:t>在第七次定期报告中提供关于关于贝都因妇女获得社会服务、信贷服务和使用现代技术的信息</w:t>
      </w:r>
      <w:r>
        <w:rPr>
          <w:rFonts w:hint="eastAsia"/>
        </w:rPr>
        <w:t>；</w:t>
      </w:r>
    </w:p>
    <w:p w14:paraId="07209E71" w14:textId="77777777" w:rsidR="005D5052" w:rsidRPr="001A17AB" w:rsidRDefault="005D5052" w:rsidP="005D5052">
      <w:pPr>
        <w:pStyle w:val="SingleTxt"/>
        <w:rPr>
          <w:rFonts w:ascii="黑体" w:eastAsia="黑体" w:hAnsi="黑体"/>
        </w:rPr>
      </w:pPr>
      <w:r w:rsidRPr="001A17AB">
        <w:rPr>
          <w:rFonts w:ascii="黑体" w:eastAsia="黑体" w:hAnsi="黑体" w:hint="eastAsia"/>
        </w:rPr>
        <w:t>婚姻和家庭关系</w:t>
      </w:r>
    </w:p>
    <w:p w14:paraId="096B090E" w14:textId="77777777" w:rsidR="005D5052" w:rsidRDefault="005D5052" w:rsidP="005D5052">
      <w:pPr>
        <w:pStyle w:val="SingleTxt"/>
      </w:pPr>
      <w:r>
        <w:rPr>
          <w:rFonts w:hint="eastAsia"/>
        </w:rPr>
        <w:t>56.</w:t>
      </w:r>
      <w:r>
        <w:rPr>
          <w:rFonts w:hint="eastAsia"/>
        </w:rPr>
        <w:tab/>
      </w:r>
      <w:r>
        <w:rPr>
          <w:rFonts w:hint="eastAsia"/>
        </w:rPr>
        <w:t>委员会欢迎婚姻和家庭关系方面的立法发展，包括</w:t>
      </w:r>
      <w:r>
        <w:rPr>
          <w:rFonts w:hint="eastAsia"/>
        </w:rPr>
        <w:t>2012</w:t>
      </w:r>
      <w:r>
        <w:rPr>
          <w:rFonts w:hint="eastAsia"/>
        </w:rPr>
        <w:t>年通过了《犹太教法院</w:t>
      </w:r>
      <w:r>
        <w:rPr>
          <w:rFonts w:hint="eastAsia"/>
        </w:rPr>
        <w:t>(</w:t>
      </w:r>
      <w:r>
        <w:rPr>
          <w:rFonts w:hint="eastAsia"/>
        </w:rPr>
        <w:t>执行离婚判决</w:t>
      </w:r>
      <w:r>
        <w:rPr>
          <w:rFonts w:hint="eastAsia"/>
        </w:rPr>
        <w:t>)</w:t>
      </w:r>
      <w:r>
        <w:rPr>
          <w:rFonts w:hint="eastAsia"/>
        </w:rPr>
        <w:t>法》修正案，其中要求犹太教法院监督离婚判决的执行情况。委员会还注意到，</w:t>
      </w:r>
      <w:r>
        <w:rPr>
          <w:rFonts w:hint="eastAsia"/>
        </w:rPr>
        <w:t>2017</w:t>
      </w:r>
      <w:r>
        <w:rPr>
          <w:rFonts w:hint="eastAsia"/>
        </w:rPr>
        <w:t>年进一步修订了这一法律，允许对拒绝同意离婚的男性配偶实施制裁。委员会还注意到，</w:t>
      </w:r>
      <w:r>
        <w:rPr>
          <w:rFonts w:hint="eastAsia"/>
        </w:rPr>
        <w:t>2016</w:t>
      </w:r>
      <w:r>
        <w:rPr>
          <w:rFonts w:hint="eastAsia"/>
        </w:rPr>
        <w:t>年，国家检察官发布了一项准则，规定了对不遵守犹太教法院关于给予或接受“离婚同意”的司法命令进行起诉和惩罚的政策，以减少丈夫不能或拒绝给予“离婚同意”的妇女人数。委员会注意到在民事和宗教法庭设立了有关家庭规则管辖权的程序，还注意到需要采取措施解决“管辖权之争”。委员会感到关切的是：</w:t>
      </w:r>
    </w:p>
    <w:p w14:paraId="6A4713CF" w14:textId="77777777" w:rsidR="005D5052" w:rsidRDefault="005D5052" w:rsidP="005D5052">
      <w:pPr>
        <w:pStyle w:val="SingleTxt"/>
      </w:pPr>
      <w:r>
        <w:rPr>
          <w:rFonts w:hint="eastAsia"/>
        </w:rPr>
        <w:tab/>
        <w:t>(a)</w:t>
      </w:r>
      <w:r>
        <w:rPr>
          <w:rFonts w:hint="eastAsia"/>
        </w:rPr>
        <w:tab/>
      </w:r>
      <w:r>
        <w:rPr>
          <w:rFonts w:hint="eastAsia"/>
        </w:rPr>
        <w:t>由于受到歧视性宗教法律的影响，妇女在离婚方面受到歧视。由于犹太法律规定只有男子可以同意离婚，妇女容易受到丈夫的勒索，并为换取“离婚同意”而接受某些婚姻条件，而穆斯林妇女则担心如果她们开始一种新的关系就将丧失对子女的监护权；</w:t>
      </w:r>
    </w:p>
    <w:p w14:paraId="43CFCF1B" w14:textId="77777777" w:rsidR="005D5052" w:rsidRDefault="005D5052" w:rsidP="005D5052">
      <w:pPr>
        <w:pStyle w:val="SingleTxt"/>
      </w:pPr>
      <w:r>
        <w:rPr>
          <w:rFonts w:hint="eastAsia"/>
        </w:rPr>
        <w:tab/>
        <w:t>(b)</w:t>
      </w:r>
      <w:r>
        <w:rPr>
          <w:rFonts w:hint="eastAsia"/>
        </w:rPr>
        <w:tab/>
      </w:r>
      <w:r>
        <w:rPr>
          <w:rFonts w:hint="eastAsia"/>
        </w:rPr>
        <w:t>法律没有规定民事婚姻，即使是在缔约国以外缔结民事婚姻的配偶，在离婚案件中仍然受到宗教法庭的管辖；</w:t>
      </w:r>
    </w:p>
    <w:p w14:paraId="16490FA9" w14:textId="77777777" w:rsidR="005D5052" w:rsidRDefault="005D5052" w:rsidP="005D5052">
      <w:pPr>
        <w:pStyle w:val="SingleTxt"/>
      </w:pPr>
      <w:r>
        <w:rPr>
          <w:rFonts w:hint="eastAsia"/>
        </w:rPr>
        <w:tab/>
        <w:t>(c)</w:t>
      </w:r>
      <w:r>
        <w:rPr>
          <w:rFonts w:hint="eastAsia"/>
        </w:rPr>
        <w:tab/>
      </w:r>
      <w:proofErr w:type="spellStart"/>
      <w:r>
        <w:rPr>
          <w:rFonts w:hint="eastAsia"/>
        </w:rPr>
        <w:t>Schnitt</w:t>
      </w:r>
      <w:proofErr w:type="spellEnd"/>
      <w:r>
        <w:rPr>
          <w:rFonts w:hint="eastAsia"/>
        </w:rPr>
        <w:t>委员会建议取消</w:t>
      </w:r>
      <w:r>
        <w:rPr>
          <w:rFonts w:hint="eastAsia"/>
        </w:rPr>
        <w:t>1962</w:t>
      </w:r>
      <w:r>
        <w:rPr>
          <w:rFonts w:hint="eastAsia"/>
        </w:rPr>
        <w:t>年《法律能力与监护法》中的“幼年”条款，该条款规定</w:t>
      </w:r>
      <w:r>
        <w:rPr>
          <w:rFonts w:hint="eastAsia"/>
        </w:rPr>
        <w:t>6</w:t>
      </w:r>
      <w:r>
        <w:rPr>
          <w:rFonts w:hint="eastAsia"/>
        </w:rPr>
        <w:t>岁以下儿童应由其母亲监护，此后，越来越多的男子申请共同监护权，以减少支付子女抚养费，而这种对立法解释的变化也被用作迫使妇女让步的工具，导致提交法庭的家庭纠纷数量增加；</w:t>
      </w:r>
    </w:p>
    <w:p w14:paraId="0BEA7980" w14:textId="77777777" w:rsidR="005D5052" w:rsidRDefault="005D5052" w:rsidP="005D5052">
      <w:pPr>
        <w:pStyle w:val="SingleTxt"/>
      </w:pPr>
      <w:r>
        <w:rPr>
          <w:rFonts w:hint="eastAsia"/>
        </w:rPr>
        <w:tab/>
        <w:t>(d)</w:t>
      </w:r>
      <w:r>
        <w:rPr>
          <w:rFonts w:hint="eastAsia"/>
        </w:rPr>
        <w:tab/>
      </w:r>
      <w:r>
        <w:rPr>
          <w:rFonts w:hint="eastAsia"/>
        </w:rPr>
        <w:t>多配偶婚姻和重婚仍然存在，这些婚姻在管辖个人状况的宗教法下属于合法行为，即使前配偶再婚也可能追溯既往使离婚无效，对妇女产生消极影响。</w:t>
      </w:r>
    </w:p>
    <w:p w14:paraId="3D43D255" w14:textId="77777777" w:rsidR="005D5052" w:rsidRDefault="005D5052" w:rsidP="005D5052">
      <w:pPr>
        <w:pStyle w:val="SingleTxt"/>
      </w:pPr>
      <w:r>
        <w:rPr>
          <w:rFonts w:hint="eastAsia"/>
        </w:rPr>
        <w:t>57.</w:t>
      </w:r>
      <w:r>
        <w:rPr>
          <w:rFonts w:hint="eastAsia"/>
        </w:rPr>
        <w:tab/>
      </w:r>
      <w:r w:rsidRPr="001A17AB">
        <w:rPr>
          <w:rFonts w:eastAsia="黑体" w:hint="eastAsia"/>
        </w:rPr>
        <w:t>委员会回顾其以往建议</w:t>
      </w:r>
      <w:r w:rsidRPr="001A17AB">
        <w:rPr>
          <w:rFonts w:eastAsia="黑体" w:hint="eastAsia"/>
        </w:rPr>
        <w:t>(</w:t>
      </w:r>
      <w:r w:rsidRPr="001A17AB">
        <w:rPr>
          <w:rFonts w:eastAsia="黑体" w:hint="eastAsia"/>
        </w:rPr>
        <w:t>同上，第</w:t>
      </w:r>
      <w:r w:rsidRPr="001A17AB">
        <w:rPr>
          <w:rFonts w:eastAsia="黑体" w:hint="eastAsia"/>
        </w:rPr>
        <w:t>49</w:t>
      </w:r>
      <w:r w:rsidRPr="001A17AB">
        <w:rPr>
          <w:rFonts w:eastAsia="黑体" w:hint="eastAsia"/>
        </w:rPr>
        <w:t>段</w:t>
      </w:r>
      <w:r w:rsidRPr="001A17AB">
        <w:rPr>
          <w:rFonts w:eastAsia="黑体" w:hint="eastAsia"/>
        </w:rPr>
        <w:t>)</w:t>
      </w:r>
      <w:r w:rsidRPr="001A17AB">
        <w:rPr>
          <w:rFonts w:eastAsia="黑体" w:hint="eastAsia"/>
        </w:rPr>
        <w:t>，并根据委员会关于婚姻和家庭关系中的平等的第</w:t>
      </w:r>
      <w:r w:rsidRPr="001A17AB">
        <w:rPr>
          <w:rFonts w:eastAsia="黑体" w:hint="eastAsia"/>
        </w:rPr>
        <w:t>21(1998)</w:t>
      </w:r>
      <w:r w:rsidRPr="001A17AB">
        <w:rPr>
          <w:rFonts w:eastAsia="黑体" w:hint="eastAsia"/>
        </w:rPr>
        <w:t>号一般性建议及关于婚姻、家庭关系及其解体的经济后果的第</w:t>
      </w:r>
      <w:r w:rsidRPr="001A17AB">
        <w:rPr>
          <w:rFonts w:eastAsia="黑体" w:hint="eastAsia"/>
        </w:rPr>
        <w:t>29(2013)</w:t>
      </w:r>
      <w:r w:rsidRPr="001A17AB">
        <w:rPr>
          <w:rFonts w:eastAsia="黑体" w:hint="eastAsia"/>
        </w:rPr>
        <w:t>号一般性建议，建议缔约国</w:t>
      </w:r>
      <w:r>
        <w:rPr>
          <w:rFonts w:hint="eastAsia"/>
        </w:rPr>
        <w:t>：</w:t>
      </w:r>
    </w:p>
    <w:p w14:paraId="6DE8CE82" w14:textId="77777777" w:rsidR="005D5052" w:rsidRDefault="005D5052" w:rsidP="005D5052">
      <w:pPr>
        <w:pStyle w:val="SingleTxt"/>
      </w:pPr>
      <w:r>
        <w:rPr>
          <w:rFonts w:hint="eastAsia"/>
        </w:rPr>
        <w:lastRenderedPageBreak/>
        <w:tab/>
        <w:t>(a)</w:t>
      </w:r>
      <w:r>
        <w:rPr>
          <w:rFonts w:hint="eastAsia"/>
        </w:rPr>
        <w:tab/>
      </w:r>
      <w:r w:rsidRPr="001A17AB">
        <w:rPr>
          <w:rFonts w:ascii="黑体" w:eastAsia="黑体" w:hAnsi="黑体" w:hint="eastAsia"/>
        </w:rPr>
        <w:t>废除赋予男子单方面同意离婚权力的歧视性离婚规定，在过渡期间对故意不给予离婚同意的丈夫加大刑事制裁力度，并扩大犹太教法院的监督权力，确保法院在这方面的命令得到遵守</w:t>
      </w:r>
      <w:r>
        <w:rPr>
          <w:rFonts w:hint="eastAsia"/>
        </w:rPr>
        <w:t>；</w:t>
      </w:r>
    </w:p>
    <w:p w14:paraId="174743F2" w14:textId="77777777" w:rsidR="005D5052" w:rsidRDefault="005D5052" w:rsidP="005D5052">
      <w:pPr>
        <w:pStyle w:val="SingleTxt"/>
      </w:pPr>
      <w:r>
        <w:rPr>
          <w:rFonts w:hint="eastAsia"/>
        </w:rPr>
        <w:tab/>
        <w:t>(b)</w:t>
      </w:r>
      <w:r>
        <w:rPr>
          <w:rFonts w:hint="eastAsia"/>
        </w:rPr>
        <w:tab/>
      </w:r>
      <w:r w:rsidRPr="001A17AB">
        <w:rPr>
          <w:rFonts w:ascii="黑体" w:eastAsia="黑体" w:hAnsi="黑体" w:hint="eastAsia"/>
        </w:rPr>
        <w:t>为个人缔结民事婚姻和在民事法庭离婚提供选择，至少为在缔约国以外缔结民事婚姻的个人提供这种选择</w:t>
      </w:r>
      <w:r>
        <w:rPr>
          <w:rFonts w:hint="eastAsia"/>
        </w:rPr>
        <w:t>；</w:t>
      </w:r>
    </w:p>
    <w:p w14:paraId="240651FD" w14:textId="77777777" w:rsidR="005D5052" w:rsidRDefault="005D5052" w:rsidP="005D5052">
      <w:pPr>
        <w:pStyle w:val="SingleTxt"/>
      </w:pPr>
      <w:r>
        <w:rPr>
          <w:rFonts w:hint="eastAsia"/>
        </w:rPr>
        <w:tab/>
        <w:t>(c)</w:t>
      </w:r>
      <w:r>
        <w:rPr>
          <w:rFonts w:hint="eastAsia"/>
        </w:rPr>
        <w:tab/>
      </w:r>
      <w:r w:rsidRPr="001A17AB">
        <w:rPr>
          <w:rFonts w:ascii="黑体" w:eastAsia="黑体" w:hAnsi="黑体" w:hint="eastAsia"/>
        </w:rPr>
        <w:t>使管辖婚姻与离婚的宗教法律与《公约》保持一致</w:t>
      </w:r>
      <w:r>
        <w:rPr>
          <w:rFonts w:hint="eastAsia"/>
        </w:rPr>
        <w:t>；</w:t>
      </w:r>
    </w:p>
    <w:p w14:paraId="21841DCB" w14:textId="77777777" w:rsidR="005D5052" w:rsidRDefault="005D5052" w:rsidP="005D5052">
      <w:pPr>
        <w:pStyle w:val="SingleTxt"/>
      </w:pPr>
      <w:r>
        <w:rPr>
          <w:rFonts w:hint="eastAsia"/>
        </w:rPr>
        <w:tab/>
        <w:t>(d)</w:t>
      </w:r>
      <w:r>
        <w:rPr>
          <w:rFonts w:hint="eastAsia"/>
        </w:rPr>
        <w:tab/>
      </w:r>
      <w:r w:rsidRPr="001A17AB">
        <w:rPr>
          <w:rFonts w:ascii="黑体" w:eastAsia="黑体" w:hAnsi="黑体" w:hint="eastAsia"/>
        </w:rPr>
        <w:t>进行一项研究，评估“幼年”条款和实施子女联合监护如何影响日益增多的监护权争议，女户主家庭内日益加剧的贫困，以及如何影响男人使用或威胁使用共同监护手段迫使妇女让步</w:t>
      </w:r>
      <w:r>
        <w:rPr>
          <w:rFonts w:hint="eastAsia"/>
        </w:rPr>
        <w:t>；</w:t>
      </w:r>
    </w:p>
    <w:p w14:paraId="6477C824" w14:textId="77777777" w:rsidR="005D5052" w:rsidRDefault="005D5052" w:rsidP="005D5052">
      <w:pPr>
        <w:pStyle w:val="SingleTxt"/>
      </w:pPr>
      <w:r>
        <w:rPr>
          <w:rFonts w:hint="eastAsia"/>
        </w:rPr>
        <w:tab/>
        <w:t>(e)</w:t>
      </w:r>
      <w:r>
        <w:rPr>
          <w:rFonts w:hint="eastAsia"/>
        </w:rPr>
        <w:tab/>
      </w:r>
      <w:r w:rsidRPr="001A17AB">
        <w:rPr>
          <w:rFonts w:ascii="黑体" w:eastAsia="黑体" w:hAnsi="黑体" w:hint="eastAsia"/>
        </w:rPr>
        <w:t>通过严格执行已在公务员制度中推行的制裁措施，并通过教育和提高认识方案，加紧努力，禁止重婚和多配偶婚姻的行为，并禁止追溯既往取消离婚</w:t>
      </w:r>
      <w:r>
        <w:rPr>
          <w:rFonts w:hint="eastAsia"/>
        </w:rPr>
        <w:t>。</w:t>
      </w:r>
    </w:p>
    <w:p w14:paraId="6245ED49" w14:textId="77777777" w:rsidR="005D5052" w:rsidRPr="001A17AB" w:rsidRDefault="005D5052" w:rsidP="005D5052">
      <w:pPr>
        <w:pStyle w:val="SingleTxt"/>
        <w:rPr>
          <w:rFonts w:eastAsia="黑体"/>
        </w:rPr>
      </w:pPr>
      <w:r w:rsidRPr="001A17AB">
        <w:rPr>
          <w:rFonts w:eastAsia="黑体" w:hint="eastAsia"/>
        </w:rPr>
        <w:t>《公约任择议定书》和《公约》第</w:t>
      </w:r>
      <w:r w:rsidRPr="001A17AB">
        <w:rPr>
          <w:rFonts w:eastAsia="黑体" w:hint="eastAsia"/>
        </w:rPr>
        <w:t>20</w:t>
      </w:r>
      <w:r w:rsidRPr="001A17AB">
        <w:rPr>
          <w:rFonts w:eastAsia="黑体" w:hint="eastAsia"/>
        </w:rPr>
        <w:t>条第</w:t>
      </w:r>
      <w:r w:rsidRPr="001A17AB">
        <w:rPr>
          <w:rFonts w:eastAsia="黑体" w:hint="eastAsia"/>
        </w:rPr>
        <w:t>1</w:t>
      </w:r>
      <w:r w:rsidRPr="001A17AB">
        <w:rPr>
          <w:rFonts w:eastAsia="黑体" w:hint="eastAsia"/>
        </w:rPr>
        <w:t>款的修正案</w:t>
      </w:r>
    </w:p>
    <w:p w14:paraId="2FACEC0D" w14:textId="77777777" w:rsidR="005D5052" w:rsidRDefault="005D5052" w:rsidP="005D5052">
      <w:pPr>
        <w:pStyle w:val="SingleTxt"/>
      </w:pPr>
      <w:r>
        <w:rPr>
          <w:rFonts w:hint="eastAsia"/>
        </w:rPr>
        <w:t>58.</w:t>
      </w:r>
      <w:r>
        <w:rPr>
          <w:rFonts w:hint="eastAsia"/>
        </w:rPr>
        <w:tab/>
      </w:r>
      <w:r w:rsidRPr="001A17AB">
        <w:rPr>
          <w:rFonts w:eastAsia="黑体" w:hint="eastAsia"/>
        </w:rPr>
        <w:t>委员会鼓励缔约国批准《公约任择议定书》，并尽快接受关于委员会会期问题的《公约》第</w:t>
      </w:r>
      <w:r w:rsidRPr="001A17AB">
        <w:rPr>
          <w:rFonts w:eastAsia="黑体" w:hint="eastAsia"/>
        </w:rPr>
        <w:t>20</w:t>
      </w:r>
      <w:r w:rsidRPr="001A17AB">
        <w:rPr>
          <w:rFonts w:eastAsia="黑体" w:hint="eastAsia"/>
        </w:rPr>
        <w:t>条第</w:t>
      </w:r>
      <w:r w:rsidRPr="001A17AB">
        <w:rPr>
          <w:rFonts w:eastAsia="黑体" w:hint="eastAsia"/>
        </w:rPr>
        <w:t>1</w:t>
      </w:r>
      <w:r w:rsidRPr="001A17AB">
        <w:rPr>
          <w:rFonts w:eastAsia="黑体" w:hint="eastAsia"/>
        </w:rPr>
        <w:t>款的修正案</w:t>
      </w:r>
      <w:r>
        <w:rPr>
          <w:rFonts w:hint="eastAsia"/>
        </w:rPr>
        <w:t>。</w:t>
      </w:r>
    </w:p>
    <w:p w14:paraId="17E88318" w14:textId="77777777" w:rsidR="005D5052" w:rsidRPr="001A17AB" w:rsidRDefault="005D5052" w:rsidP="005D5052">
      <w:pPr>
        <w:pStyle w:val="SingleTxt"/>
        <w:rPr>
          <w:rFonts w:ascii="黑体" w:eastAsia="黑体" w:hAnsi="黑体"/>
        </w:rPr>
      </w:pPr>
      <w:r w:rsidRPr="001A17AB">
        <w:rPr>
          <w:rFonts w:ascii="黑体" w:eastAsia="黑体" w:hAnsi="黑体" w:hint="eastAsia"/>
        </w:rPr>
        <w:t>《北京宣言》和《行动纲要》</w:t>
      </w:r>
    </w:p>
    <w:p w14:paraId="4DF9F76D" w14:textId="77777777" w:rsidR="005D5052" w:rsidRDefault="005D5052" w:rsidP="005D5052">
      <w:pPr>
        <w:pStyle w:val="SingleTxt"/>
      </w:pPr>
      <w:r>
        <w:rPr>
          <w:rFonts w:hint="eastAsia"/>
        </w:rPr>
        <w:t>59.</w:t>
      </w:r>
      <w:r>
        <w:rPr>
          <w:rFonts w:hint="eastAsia"/>
        </w:rPr>
        <w:tab/>
      </w:r>
      <w:r w:rsidRPr="001A17AB">
        <w:rPr>
          <w:rFonts w:ascii="黑体" w:eastAsia="黑体" w:hAnsi="黑体" w:hint="eastAsia"/>
        </w:rPr>
        <w:t>委员会促请缔约国在执行《公约》各项规定的工作中利用《北京宣言》和《行动纲要》</w:t>
      </w:r>
      <w:r>
        <w:rPr>
          <w:rFonts w:hint="eastAsia"/>
        </w:rPr>
        <w:t>。</w:t>
      </w:r>
    </w:p>
    <w:p w14:paraId="0995E3EC" w14:textId="77777777" w:rsidR="005D5052" w:rsidRPr="001A17AB" w:rsidRDefault="005D5052" w:rsidP="005D5052">
      <w:pPr>
        <w:pStyle w:val="SingleTxt"/>
        <w:rPr>
          <w:rFonts w:ascii="黑体" w:eastAsia="黑体" w:hAnsi="黑体"/>
        </w:rPr>
      </w:pPr>
      <w:r w:rsidRPr="001A17AB">
        <w:rPr>
          <w:rFonts w:ascii="黑体" w:eastAsia="黑体" w:hAnsi="黑体" w:hint="eastAsia"/>
        </w:rPr>
        <w:t>《</w:t>
      </w:r>
      <w:r w:rsidRPr="005240BA">
        <w:rPr>
          <w:rFonts w:eastAsia="黑体" w:hint="eastAsia"/>
        </w:rPr>
        <w:t>2030</w:t>
      </w:r>
      <w:r w:rsidRPr="001A17AB">
        <w:rPr>
          <w:rFonts w:ascii="黑体" w:eastAsia="黑体" w:hAnsi="黑体" w:hint="eastAsia"/>
        </w:rPr>
        <w:t>年可持续发展议程》</w:t>
      </w:r>
    </w:p>
    <w:p w14:paraId="5655879C" w14:textId="77777777" w:rsidR="005D5052" w:rsidRDefault="005D5052" w:rsidP="005D5052">
      <w:pPr>
        <w:pStyle w:val="SingleTxt"/>
      </w:pPr>
      <w:r>
        <w:rPr>
          <w:rFonts w:hint="eastAsia"/>
        </w:rPr>
        <w:t>60.</w:t>
      </w:r>
      <w:r>
        <w:rPr>
          <w:rFonts w:hint="eastAsia"/>
        </w:rPr>
        <w:tab/>
      </w:r>
      <w:r w:rsidRPr="001A17AB">
        <w:rPr>
          <w:rFonts w:ascii="黑体" w:eastAsia="黑体" w:hAnsi="黑体" w:hint="eastAsia"/>
        </w:rPr>
        <w:t>委员会呼吁在执行《</w:t>
      </w:r>
      <w:r w:rsidRPr="005240BA">
        <w:rPr>
          <w:rFonts w:eastAsia="黑体" w:hint="eastAsia"/>
        </w:rPr>
        <w:t>2030</w:t>
      </w:r>
      <w:r w:rsidRPr="001A17AB">
        <w:rPr>
          <w:rFonts w:ascii="黑体" w:eastAsia="黑体" w:hAnsi="黑体" w:hint="eastAsia"/>
        </w:rPr>
        <w:t>年可持续发展议程》的整个过程中，根据《公约》条款实现实质性性别平等。</w:t>
      </w:r>
    </w:p>
    <w:p w14:paraId="2A405253" w14:textId="77777777" w:rsidR="005D5052" w:rsidRPr="001A17AB" w:rsidRDefault="005D5052" w:rsidP="005D5052">
      <w:pPr>
        <w:pStyle w:val="SingleTxt"/>
        <w:rPr>
          <w:rFonts w:ascii="黑体" w:eastAsia="黑体" w:hAnsi="黑体"/>
        </w:rPr>
      </w:pPr>
      <w:r w:rsidRPr="001A17AB">
        <w:rPr>
          <w:rFonts w:ascii="黑体" w:eastAsia="黑体" w:hAnsi="黑体" w:hint="eastAsia"/>
        </w:rPr>
        <w:t>传播</w:t>
      </w:r>
    </w:p>
    <w:p w14:paraId="00A30E27" w14:textId="77777777" w:rsidR="005D5052" w:rsidRDefault="005D5052" w:rsidP="005D5052">
      <w:pPr>
        <w:pStyle w:val="SingleTxt"/>
      </w:pPr>
      <w:r>
        <w:rPr>
          <w:rFonts w:hint="eastAsia"/>
        </w:rPr>
        <w:t>61.</w:t>
      </w:r>
      <w:r>
        <w:rPr>
          <w:rFonts w:hint="eastAsia"/>
        </w:rPr>
        <w:tab/>
      </w:r>
      <w:r w:rsidRPr="001A17AB">
        <w:rPr>
          <w:rFonts w:ascii="黑体" w:eastAsia="黑体" w:hAnsi="黑体" w:hint="eastAsia"/>
        </w:rPr>
        <w:t>委员会请缔约国确保使用其官方语文向各级(国家、地区和地方)相关国家机构，特别是向政府、各部委、议会和司法机构及时传播本结论性意见，使这些意见得到充分执行</w:t>
      </w:r>
      <w:r>
        <w:rPr>
          <w:rFonts w:hint="eastAsia"/>
        </w:rPr>
        <w:t>。</w:t>
      </w:r>
    </w:p>
    <w:p w14:paraId="0A629309" w14:textId="77777777" w:rsidR="005D5052" w:rsidRPr="001A17AB" w:rsidRDefault="005D5052" w:rsidP="005D5052">
      <w:pPr>
        <w:pStyle w:val="SingleTxt"/>
        <w:rPr>
          <w:rFonts w:ascii="黑体" w:eastAsia="黑体" w:hAnsi="黑体"/>
        </w:rPr>
      </w:pPr>
      <w:r w:rsidRPr="001A17AB">
        <w:rPr>
          <w:rFonts w:ascii="黑体" w:eastAsia="黑体" w:hAnsi="黑体" w:hint="eastAsia"/>
        </w:rPr>
        <w:t>批准其他条约</w:t>
      </w:r>
    </w:p>
    <w:p w14:paraId="02AF81D6" w14:textId="77777777" w:rsidR="005D5052" w:rsidRDefault="005D5052" w:rsidP="005D5052">
      <w:pPr>
        <w:pStyle w:val="SingleTxt"/>
      </w:pPr>
      <w:r>
        <w:rPr>
          <w:rFonts w:hint="eastAsia"/>
        </w:rPr>
        <w:t>62.</w:t>
      </w:r>
      <w:r>
        <w:rPr>
          <w:rFonts w:hint="eastAsia"/>
        </w:rPr>
        <w:tab/>
      </w:r>
      <w:r w:rsidRPr="001A17AB">
        <w:rPr>
          <w:rFonts w:ascii="黑体" w:eastAsia="黑体" w:hAnsi="黑体" w:hint="eastAsia"/>
        </w:rPr>
        <w:t>委员会指出，缔约国如能遵守九项主要国际人权文书，</w:t>
      </w:r>
      <w:r>
        <w:rPr>
          <w:rStyle w:val="a3"/>
          <w:rFonts w:ascii="黑体" w:eastAsia="黑体" w:hAnsi="黑体"/>
        </w:rPr>
        <w:footnoteReference w:id="1"/>
      </w:r>
      <w:r w:rsidRPr="001A17AB">
        <w:rPr>
          <w:rFonts w:ascii="黑体" w:eastAsia="黑体" w:hAnsi="黑体" w:hint="eastAsia"/>
        </w:rPr>
        <w:t xml:space="preserve"> 将有助于妇女在生活各方面享有人权和基本自由。因此，委员会鼓励缔约国批准其尚未加入的《保护所有移徙工人及其家庭成员权利国际公约》和《保护所有人免遭强迫失踪国际公约》。</w:t>
      </w:r>
    </w:p>
    <w:p w14:paraId="2214AB40" w14:textId="77777777" w:rsidR="005D5052" w:rsidRPr="001A17AB" w:rsidRDefault="005D5052" w:rsidP="005D5052">
      <w:pPr>
        <w:pStyle w:val="SingleTxt"/>
        <w:rPr>
          <w:rFonts w:ascii="黑体" w:eastAsia="黑体" w:hAnsi="黑体"/>
        </w:rPr>
      </w:pPr>
      <w:r w:rsidRPr="001A17AB">
        <w:rPr>
          <w:rFonts w:ascii="黑体" w:eastAsia="黑体" w:hAnsi="黑体" w:hint="eastAsia"/>
        </w:rPr>
        <w:t>结论性意见的后续行动</w:t>
      </w:r>
    </w:p>
    <w:p w14:paraId="0DFA7070" w14:textId="77777777" w:rsidR="005D5052" w:rsidRDefault="005D5052" w:rsidP="005D5052">
      <w:pPr>
        <w:pStyle w:val="SingleTxt"/>
      </w:pPr>
      <w:r>
        <w:rPr>
          <w:rFonts w:hint="eastAsia"/>
        </w:rPr>
        <w:lastRenderedPageBreak/>
        <w:t>63.</w:t>
      </w:r>
      <w:r>
        <w:rPr>
          <w:rFonts w:hint="eastAsia"/>
        </w:rPr>
        <w:tab/>
      </w:r>
      <w:r w:rsidRPr="001A17AB">
        <w:rPr>
          <w:rFonts w:eastAsia="黑体" w:hint="eastAsia"/>
        </w:rPr>
        <w:t>委员会请缔约国在两年内提供书面资料，说明为落实上文第</w:t>
      </w:r>
      <w:r w:rsidRPr="001A17AB">
        <w:rPr>
          <w:rFonts w:eastAsia="黑体" w:hint="eastAsia"/>
        </w:rPr>
        <w:t>13(a)</w:t>
      </w:r>
      <w:r w:rsidRPr="001A17AB">
        <w:rPr>
          <w:rFonts w:eastAsia="黑体" w:hint="eastAsia"/>
        </w:rPr>
        <w:t>段、第</w:t>
      </w:r>
      <w:r w:rsidRPr="001A17AB">
        <w:rPr>
          <w:rFonts w:eastAsia="黑体" w:hint="eastAsia"/>
        </w:rPr>
        <w:t>53</w:t>
      </w:r>
      <w:r w:rsidRPr="001A17AB">
        <w:rPr>
          <w:rFonts w:eastAsia="黑体" w:hint="eastAsia"/>
        </w:rPr>
        <w:t>段及第</w:t>
      </w:r>
      <w:r w:rsidRPr="001A17AB">
        <w:rPr>
          <w:rFonts w:eastAsia="黑体" w:hint="eastAsia"/>
        </w:rPr>
        <w:t>57(a)</w:t>
      </w:r>
      <w:r w:rsidRPr="001A17AB">
        <w:rPr>
          <w:rFonts w:eastAsia="黑体" w:hint="eastAsia"/>
        </w:rPr>
        <w:t>和</w:t>
      </w:r>
      <w:r w:rsidRPr="001A17AB">
        <w:rPr>
          <w:rFonts w:eastAsia="黑体" w:hint="eastAsia"/>
        </w:rPr>
        <w:t>(b)</w:t>
      </w:r>
      <w:r w:rsidRPr="001A17AB">
        <w:rPr>
          <w:rFonts w:eastAsia="黑体" w:hint="eastAsia"/>
        </w:rPr>
        <w:t>段所载各项建议而采取的步骤</w:t>
      </w:r>
      <w:r>
        <w:rPr>
          <w:rFonts w:hint="eastAsia"/>
        </w:rPr>
        <w:t>。</w:t>
      </w:r>
    </w:p>
    <w:p w14:paraId="44565F6D" w14:textId="77777777" w:rsidR="005D5052" w:rsidRPr="001A17AB" w:rsidRDefault="005D5052" w:rsidP="005D5052">
      <w:pPr>
        <w:pStyle w:val="SingleTxt"/>
        <w:rPr>
          <w:rFonts w:ascii="黑体" w:eastAsia="黑体" w:hAnsi="黑体"/>
        </w:rPr>
      </w:pPr>
      <w:r w:rsidRPr="001A17AB">
        <w:rPr>
          <w:rFonts w:ascii="黑体" w:eastAsia="黑体" w:hAnsi="黑体" w:hint="eastAsia"/>
        </w:rPr>
        <w:t>编写下次报告</w:t>
      </w:r>
    </w:p>
    <w:p w14:paraId="4097A2C7" w14:textId="77777777" w:rsidR="005D5052" w:rsidRDefault="005D5052" w:rsidP="005D5052">
      <w:pPr>
        <w:pStyle w:val="SingleTxt"/>
      </w:pPr>
      <w:r>
        <w:rPr>
          <w:rFonts w:hint="eastAsia"/>
        </w:rPr>
        <w:t>64.</w:t>
      </w:r>
      <w:r>
        <w:rPr>
          <w:rFonts w:hint="eastAsia"/>
        </w:rPr>
        <w:tab/>
      </w:r>
      <w:r w:rsidRPr="001A17AB">
        <w:rPr>
          <w:rFonts w:ascii="黑体" w:eastAsia="黑体" w:hAnsi="黑体" w:hint="eastAsia"/>
        </w:rPr>
        <w:t>委员会请缔约国于2021年11月提交其第七次定期报告。该报告应按时提交，如有延迟，则应涵盖截至提交之时的整个期间</w:t>
      </w:r>
      <w:r>
        <w:rPr>
          <w:rFonts w:hint="eastAsia"/>
        </w:rPr>
        <w:t>。</w:t>
      </w:r>
    </w:p>
    <w:p w14:paraId="144C7F64" w14:textId="77777777" w:rsidR="005240BA" w:rsidRDefault="005D5052" w:rsidP="005D5052">
      <w:pPr>
        <w:pStyle w:val="SingleTxt"/>
        <w:spacing w:after="0" w:line="240" w:lineRule="auto"/>
      </w:pPr>
      <w:r>
        <w:rPr>
          <w:rFonts w:hint="eastAsia"/>
        </w:rPr>
        <w:t>65.</w:t>
      </w:r>
      <w:r>
        <w:rPr>
          <w:rFonts w:hint="eastAsia"/>
        </w:rPr>
        <w:tab/>
      </w:r>
      <w:r w:rsidRPr="001A17AB">
        <w:rPr>
          <w:rFonts w:eastAsia="黑体" w:hint="eastAsia"/>
        </w:rPr>
        <w:t>委员会请缔约国遵守包括共同核心文件和条约专要文件准则在内的根据国际人权条约统一提交报告准则</w:t>
      </w:r>
      <w:r w:rsidRPr="001A17AB">
        <w:rPr>
          <w:rFonts w:eastAsia="黑体" w:hint="eastAsia"/>
        </w:rPr>
        <w:t>(</w:t>
      </w:r>
      <w:r w:rsidRPr="001A17AB">
        <w:rPr>
          <w:rFonts w:eastAsia="黑体" w:hint="eastAsia"/>
        </w:rPr>
        <w:t>见</w:t>
      </w:r>
      <w:hyperlink r:id="rId31" w:history="1">
        <w:r w:rsidRPr="00A80D6C">
          <w:rPr>
            <w:rStyle w:val="ad"/>
            <w:rFonts w:eastAsia="黑体" w:hint="eastAsia"/>
          </w:rPr>
          <w:t>HRI/GEN/2/Rev.6</w:t>
        </w:r>
      </w:hyperlink>
      <w:r w:rsidRPr="001A17AB">
        <w:rPr>
          <w:rFonts w:eastAsia="黑体" w:hint="eastAsia"/>
        </w:rPr>
        <w:t>，第一章</w:t>
      </w:r>
      <w:r w:rsidRPr="001A17AB">
        <w:rPr>
          <w:rFonts w:eastAsia="黑体" w:hint="eastAsia"/>
        </w:rPr>
        <w:t>)</w:t>
      </w:r>
      <w:r>
        <w:rPr>
          <w:rFonts w:hint="eastAsia"/>
        </w:rPr>
        <w:t>。</w:t>
      </w:r>
    </w:p>
    <w:p w14:paraId="55BFE3A9" w14:textId="77777777" w:rsidR="005D5052" w:rsidRPr="005D5052" w:rsidRDefault="005D5052" w:rsidP="009F65FE">
      <w:pPr>
        <w:pStyle w:val="SingleTxt"/>
      </w:pPr>
      <w:r>
        <w:rPr>
          <w:rFonts w:hint="eastAsia"/>
          <w:noProof/>
        </w:rPr>
        <mc:AlternateContent>
          <mc:Choice Requires="wps">
            <w:drawing>
              <wp:anchor distT="0" distB="0" distL="114300" distR="114300" simplePos="0" relativeHeight="251660288" behindDoc="0" locked="0" layoutInCell="1" allowOverlap="1" wp14:anchorId="2D79C73F" wp14:editId="33DD94E7">
                <wp:simplePos x="0" y="0"/>
                <wp:positionH relativeFrom="column">
                  <wp:align>center</wp:align>
                </wp:positionH>
                <wp:positionV relativeFrom="paragraph">
                  <wp:posOffset>381000</wp:posOffset>
                </wp:positionV>
                <wp:extent cx="914400"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0726363" id="直接连接符 6"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o2A/e6QEAAAkEAAAOAAAAAAAAAAAAAAAAAC4CAABkcnMvZTJvRG9jLnhtbFBL&#10;AQItABQABgAIAAAAIQDVtq9a2wAAAAYBAAAPAAAAAAAAAAAAAAAAAEMEAABkcnMvZG93bnJldi54&#10;bWxQSwUGAAAAAAQABADzAAAASwUAAAAA&#10;" strokecolor="#010000" strokeweight=".25pt"/>
            </w:pict>
          </mc:Fallback>
        </mc:AlternateContent>
      </w:r>
    </w:p>
    <w:sectPr w:rsidR="005D5052" w:rsidRPr="005D5052" w:rsidSect="009C216C">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15T21:50:00Z" w:initials="Start">
    <w:p w14:paraId="660CBAB0" w14:textId="77777777" w:rsidR="008E0C7C" w:rsidRDefault="008E0C7C">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NO&gt;&gt;N1739443C&lt;&lt;ODS JOB NO&gt;&gt;</w:t>
      </w:r>
    </w:p>
    <w:p w14:paraId="1162D7C5" w14:textId="77777777" w:rsidR="008E0C7C" w:rsidRDefault="008E0C7C">
      <w:pPr>
        <w:pStyle w:val="a7"/>
      </w:pPr>
      <w:r>
        <w:t>&lt;&lt;ODS DOC SYMBOL1&gt;&gt;CEDAW/C/ISR/CO/6&lt;&lt;ODS DOC SYMBOL1&gt;&gt;</w:t>
      </w:r>
    </w:p>
    <w:p w14:paraId="17FC4E47" w14:textId="77777777" w:rsidR="008E0C7C" w:rsidRDefault="008E0C7C">
      <w:pPr>
        <w:pStyle w:val="a7"/>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7FC4E4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39616D" w14:textId="77777777" w:rsidR="00F966FD" w:rsidRDefault="00F966FD">
      <w:r>
        <w:separator/>
      </w:r>
    </w:p>
  </w:endnote>
  <w:endnote w:type="continuationSeparator" w:id="0">
    <w:p w14:paraId="2386C8FD" w14:textId="77777777" w:rsidR="00F966FD" w:rsidRDefault="00F96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E0C7C" w14:paraId="01488744" w14:textId="77777777" w:rsidTr="008E0C7C">
      <w:tc>
        <w:tcPr>
          <w:tcW w:w="5028" w:type="dxa"/>
          <w:shd w:val="clear" w:color="auto" w:fill="auto"/>
        </w:tcPr>
        <w:p w14:paraId="1615A164" w14:textId="77777777" w:rsidR="008E0C7C" w:rsidRPr="008E0C7C" w:rsidRDefault="008E0C7C" w:rsidP="008E0C7C">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17-20374 (C)</w:t>
          </w:r>
          <w:r>
            <w:rPr>
              <w:b w:val="0"/>
              <w:w w:val="103"/>
              <w:sz w:val="14"/>
            </w:rPr>
            <w:fldChar w:fldCharType="end"/>
          </w:r>
        </w:p>
      </w:tc>
      <w:tc>
        <w:tcPr>
          <w:tcW w:w="5028" w:type="dxa"/>
          <w:shd w:val="clear" w:color="auto" w:fill="auto"/>
        </w:tcPr>
        <w:p w14:paraId="56DD4262" w14:textId="71007041" w:rsidR="008E0C7C" w:rsidRPr="008E0C7C" w:rsidRDefault="008E0C7C" w:rsidP="008E0C7C">
          <w:pPr>
            <w:pStyle w:val="ac"/>
            <w:jc w:val="left"/>
            <w:rPr>
              <w:w w:val="103"/>
            </w:rPr>
          </w:pPr>
          <w:r>
            <w:rPr>
              <w:w w:val="103"/>
            </w:rPr>
            <w:fldChar w:fldCharType="begin"/>
          </w:r>
          <w:r>
            <w:rPr>
              <w:w w:val="103"/>
            </w:rPr>
            <w:instrText xml:space="preserve"> PAGE  \* Arabic  \* MERGEFORMAT </w:instrText>
          </w:r>
          <w:r>
            <w:rPr>
              <w:w w:val="103"/>
            </w:rPr>
            <w:fldChar w:fldCharType="separate"/>
          </w:r>
          <w:r w:rsidR="00615BB5">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15BB5">
            <w:rPr>
              <w:w w:val="103"/>
            </w:rPr>
            <w:t>16</w:t>
          </w:r>
          <w:r>
            <w:rPr>
              <w:w w:val="103"/>
            </w:rPr>
            <w:fldChar w:fldCharType="end"/>
          </w:r>
        </w:p>
      </w:tc>
    </w:tr>
  </w:tbl>
  <w:p w14:paraId="5679F120" w14:textId="77777777" w:rsidR="008E0C7C" w:rsidRPr="008E0C7C" w:rsidRDefault="008E0C7C" w:rsidP="008E0C7C">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E0C7C" w14:paraId="2A473E1F" w14:textId="77777777" w:rsidTr="008E0C7C">
      <w:tc>
        <w:tcPr>
          <w:tcW w:w="5028" w:type="dxa"/>
          <w:shd w:val="clear" w:color="auto" w:fill="auto"/>
        </w:tcPr>
        <w:p w14:paraId="4D9F1A9D" w14:textId="5DF4F0DC" w:rsidR="008E0C7C" w:rsidRPr="008E0C7C" w:rsidRDefault="008E0C7C" w:rsidP="008E0C7C">
          <w:pPr>
            <w:pStyle w:val="ac"/>
            <w:jc w:val="right"/>
          </w:pPr>
          <w:r>
            <w:fldChar w:fldCharType="begin"/>
          </w:r>
          <w:r>
            <w:instrText xml:space="preserve"> PAGE  \* Arabic  \* MERGEFORMAT </w:instrText>
          </w:r>
          <w:r>
            <w:fldChar w:fldCharType="separate"/>
          </w:r>
          <w:r w:rsidR="00615BB5">
            <w:t>15</w:t>
          </w:r>
          <w:r>
            <w:fldChar w:fldCharType="end"/>
          </w:r>
          <w:r>
            <w:t>/</w:t>
          </w:r>
          <w:fldSimple w:instr=" NUMPAGES  \* Arabic  \* MERGEFORMAT ">
            <w:r w:rsidR="00615BB5">
              <w:t>15</w:t>
            </w:r>
          </w:fldSimple>
        </w:p>
      </w:tc>
      <w:tc>
        <w:tcPr>
          <w:tcW w:w="5028" w:type="dxa"/>
          <w:shd w:val="clear" w:color="auto" w:fill="auto"/>
        </w:tcPr>
        <w:p w14:paraId="6BCCC8FB" w14:textId="77777777" w:rsidR="008E0C7C" w:rsidRPr="008E0C7C" w:rsidRDefault="008E0C7C" w:rsidP="008E0C7C">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17-20374 (C)</w:t>
          </w:r>
          <w:r>
            <w:rPr>
              <w:b w:val="0"/>
              <w:w w:val="103"/>
              <w:sz w:val="14"/>
            </w:rPr>
            <w:fldChar w:fldCharType="end"/>
          </w:r>
        </w:p>
      </w:tc>
    </w:tr>
  </w:tbl>
  <w:p w14:paraId="0A26E556" w14:textId="77777777" w:rsidR="008E0C7C" w:rsidRPr="008E0C7C" w:rsidRDefault="008E0C7C" w:rsidP="008E0C7C">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8E0C7C" w14:paraId="7FFAE6A3" w14:textId="77777777" w:rsidTr="008E0C7C">
      <w:tc>
        <w:tcPr>
          <w:tcW w:w="3744" w:type="dxa"/>
        </w:tcPr>
        <w:p w14:paraId="24267CD3" w14:textId="77777777" w:rsidR="008E0C7C" w:rsidRDefault="008E0C7C" w:rsidP="008E0C7C">
          <w:pPr>
            <w:pStyle w:val="Release"/>
          </w:pPr>
          <w:r>
            <w:rPr>
              <w:noProof/>
            </w:rPr>
            <w:drawing>
              <wp:anchor distT="0" distB="0" distL="114300" distR="114300" simplePos="0" relativeHeight="251658240" behindDoc="0" locked="0" layoutInCell="1" allowOverlap="1" wp14:anchorId="6A44D989" wp14:editId="6E5A5ACC">
                <wp:simplePos x="0" y="0"/>
                <wp:positionH relativeFrom="column">
                  <wp:posOffset>5526404</wp:posOffset>
                </wp:positionH>
                <wp:positionV relativeFrom="paragraph">
                  <wp:posOffset>-351156</wp:posOffset>
                </wp:positionV>
                <wp:extent cx="694690" cy="694690"/>
                <wp:effectExtent l="0" t="0" r="0" b="0"/>
                <wp:wrapNone/>
                <wp:docPr id="3" name="图片 3" descr="https://undocs.org/m2/QRCode2.ashx?DS=CEDAW/C/ISR/CO/6&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SR/CO/6&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t>17-20374 (C)</w:t>
            </w:r>
          </w:fldSimple>
          <w:r>
            <w:t xml:space="preserve">    150118    1</w:t>
          </w:r>
          <w:r w:rsidR="00EF06AB">
            <w:rPr>
              <w:rFonts w:hint="eastAsia"/>
            </w:rPr>
            <w:t>7</w:t>
          </w:r>
          <w:r>
            <w:t>0118</w:t>
          </w:r>
        </w:p>
        <w:p w14:paraId="738F78F3" w14:textId="77777777" w:rsidR="008E0C7C" w:rsidRPr="008E0C7C" w:rsidRDefault="008E0C7C" w:rsidP="008E0C7C">
          <w:pPr>
            <w:spacing w:before="80" w:line="210" w:lineRule="exact"/>
            <w:rPr>
              <w:rFonts w:ascii="Barcode 3 of 9 by request" w:hAnsi="Barcode 3 of 9 by request"/>
              <w:sz w:val="24"/>
            </w:rPr>
          </w:pPr>
          <w:r>
            <w:rPr>
              <w:rFonts w:ascii="Barcode 3 of 9 by request" w:hAnsi="Barcode 3 of 9 by request"/>
              <w:sz w:val="24"/>
            </w:rPr>
            <w:t>*1720374*</w:t>
          </w:r>
        </w:p>
      </w:tc>
      <w:tc>
        <w:tcPr>
          <w:tcW w:w="5028" w:type="dxa"/>
        </w:tcPr>
        <w:p w14:paraId="621FFB5C" w14:textId="77777777" w:rsidR="008E0C7C" w:rsidRDefault="008E0C7C" w:rsidP="008E0C7C">
          <w:pPr>
            <w:pStyle w:val="ac"/>
            <w:jc w:val="right"/>
            <w:rPr>
              <w:b w:val="0"/>
              <w:sz w:val="21"/>
            </w:rPr>
          </w:pPr>
          <w:r>
            <w:rPr>
              <w:b w:val="0"/>
              <w:sz w:val="21"/>
            </w:rPr>
            <w:drawing>
              <wp:inline distT="0" distB="0" distL="0" distR="0" wp14:anchorId="1B5A31E2" wp14:editId="6E38629F">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14:paraId="576F02D5" w14:textId="77777777" w:rsidR="008E0C7C" w:rsidRPr="008E0C7C" w:rsidRDefault="008E0C7C" w:rsidP="008E0C7C">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05CEEE" w14:textId="77777777" w:rsidR="00F966FD" w:rsidRPr="00914917" w:rsidRDefault="00914917" w:rsidP="00914917">
      <w:pPr>
        <w:pStyle w:val="ac"/>
        <w:spacing w:after="80"/>
        <w:ind w:left="792"/>
        <w:rPr>
          <w:sz w:val="16"/>
        </w:rPr>
      </w:pPr>
      <w:r w:rsidRPr="00914917">
        <w:rPr>
          <w:sz w:val="16"/>
        </w:rPr>
        <w:t>__________________</w:t>
      </w:r>
    </w:p>
  </w:footnote>
  <w:footnote w:type="continuationSeparator" w:id="0">
    <w:p w14:paraId="4BA49144" w14:textId="77777777" w:rsidR="00F966FD" w:rsidRPr="00914917" w:rsidRDefault="00914917" w:rsidP="00914917">
      <w:pPr>
        <w:pStyle w:val="ac"/>
        <w:spacing w:after="80"/>
        <w:ind w:left="792"/>
        <w:rPr>
          <w:sz w:val="16"/>
        </w:rPr>
      </w:pPr>
      <w:r w:rsidRPr="00914917">
        <w:rPr>
          <w:sz w:val="16"/>
        </w:rPr>
        <w:t>__________________</w:t>
      </w:r>
    </w:p>
  </w:footnote>
  <w:footnote w:id="1">
    <w:p w14:paraId="042C5E75" w14:textId="77777777" w:rsidR="005D5052" w:rsidRDefault="005D5052" w:rsidP="005D5052">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914917">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8E0C7C" w14:paraId="7DED9E54" w14:textId="77777777" w:rsidTr="008E0C7C">
      <w:trPr>
        <w:trHeight w:hRule="exact" w:val="864"/>
      </w:trPr>
      <w:tc>
        <w:tcPr>
          <w:tcW w:w="4838" w:type="dxa"/>
          <w:shd w:val="clear" w:color="auto" w:fill="auto"/>
          <w:vAlign w:val="bottom"/>
        </w:tcPr>
        <w:p w14:paraId="1E44D8C5" w14:textId="77777777" w:rsidR="008E0C7C" w:rsidRPr="008E0C7C" w:rsidRDefault="008E0C7C" w:rsidP="008E0C7C">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CEDAW/C/ISR/CO/6</w:t>
          </w:r>
          <w:r>
            <w:rPr>
              <w:b/>
              <w:sz w:val="17"/>
            </w:rPr>
            <w:fldChar w:fldCharType="end"/>
          </w:r>
        </w:p>
      </w:tc>
      <w:tc>
        <w:tcPr>
          <w:tcW w:w="5028" w:type="dxa"/>
          <w:shd w:val="clear" w:color="auto" w:fill="auto"/>
          <w:vAlign w:val="bottom"/>
        </w:tcPr>
        <w:p w14:paraId="523CB4B6" w14:textId="77777777" w:rsidR="008E0C7C" w:rsidRDefault="008E0C7C" w:rsidP="008E0C7C">
          <w:pPr>
            <w:pStyle w:val="ab"/>
          </w:pPr>
        </w:p>
      </w:tc>
    </w:tr>
  </w:tbl>
  <w:p w14:paraId="1FDFF228" w14:textId="77777777" w:rsidR="008E0C7C" w:rsidRPr="008E0C7C" w:rsidRDefault="008E0C7C" w:rsidP="008E0C7C">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8E0C7C" w14:paraId="57E76A09" w14:textId="77777777" w:rsidTr="008E0C7C">
      <w:trPr>
        <w:trHeight w:hRule="exact" w:val="864"/>
      </w:trPr>
      <w:tc>
        <w:tcPr>
          <w:tcW w:w="4838" w:type="dxa"/>
          <w:shd w:val="clear" w:color="auto" w:fill="auto"/>
          <w:vAlign w:val="bottom"/>
        </w:tcPr>
        <w:p w14:paraId="22CB3E81" w14:textId="77777777" w:rsidR="008E0C7C" w:rsidRDefault="008E0C7C" w:rsidP="008E0C7C">
          <w:pPr>
            <w:pStyle w:val="ab"/>
          </w:pPr>
        </w:p>
      </w:tc>
      <w:tc>
        <w:tcPr>
          <w:tcW w:w="5028" w:type="dxa"/>
          <w:shd w:val="clear" w:color="auto" w:fill="auto"/>
          <w:vAlign w:val="bottom"/>
        </w:tcPr>
        <w:p w14:paraId="6A299288" w14:textId="77777777" w:rsidR="008E0C7C" w:rsidRPr="008E0C7C" w:rsidRDefault="008E0C7C" w:rsidP="008E0C7C">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CEDAW/C/ISR/CO/6</w:t>
          </w:r>
          <w:r>
            <w:rPr>
              <w:b/>
              <w:sz w:val="17"/>
            </w:rPr>
            <w:fldChar w:fldCharType="end"/>
          </w:r>
        </w:p>
      </w:tc>
    </w:tr>
  </w:tbl>
  <w:p w14:paraId="63DBB40F" w14:textId="77777777" w:rsidR="008E0C7C" w:rsidRPr="008E0C7C" w:rsidRDefault="008E0C7C" w:rsidP="008E0C7C">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E0C7C" w14:paraId="61EE462A" w14:textId="77777777" w:rsidTr="008E0C7C">
      <w:trPr>
        <w:gridAfter w:val="1"/>
        <w:wAfter w:w="12" w:type="dxa"/>
        <w:trHeight w:hRule="exact" w:val="864"/>
      </w:trPr>
      <w:tc>
        <w:tcPr>
          <w:tcW w:w="1267" w:type="dxa"/>
          <w:tcBorders>
            <w:bottom w:val="single" w:sz="4" w:space="0" w:color="auto"/>
          </w:tcBorders>
          <w:shd w:val="clear" w:color="auto" w:fill="auto"/>
          <w:vAlign w:val="bottom"/>
        </w:tcPr>
        <w:p w14:paraId="49025EA6" w14:textId="77777777" w:rsidR="008E0C7C" w:rsidRDefault="008E0C7C" w:rsidP="008E0C7C">
          <w:pPr>
            <w:pStyle w:val="ab"/>
            <w:spacing w:after="120"/>
          </w:pPr>
        </w:p>
      </w:tc>
      <w:tc>
        <w:tcPr>
          <w:tcW w:w="1872" w:type="dxa"/>
          <w:tcBorders>
            <w:bottom w:val="single" w:sz="4" w:space="0" w:color="auto"/>
          </w:tcBorders>
          <w:shd w:val="clear" w:color="auto" w:fill="auto"/>
          <w:vAlign w:val="bottom"/>
        </w:tcPr>
        <w:p w14:paraId="7AF5CF22" w14:textId="77777777" w:rsidR="008E0C7C" w:rsidRPr="008E0C7C" w:rsidRDefault="008E0C7C" w:rsidP="008E0C7C">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43183A78" w14:textId="77777777" w:rsidR="008E0C7C" w:rsidRDefault="008E0C7C" w:rsidP="008E0C7C">
          <w:pPr>
            <w:pStyle w:val="ab"/>
            <w:spacing w:after="120"/>
          </w:pPr>
        </w:p>
      </w:tc>
      <w:tc>
        <w:tcPr>
          <w:tcW w:w="6523" w:type="dxa"/>
          <w:gridSpan w:val="3"/>
          <w:tcBorders>
            <w:bottom w:val="single" w:sz="4" w:space="0" w:color="auto"/>
          </w:tcBorders>
          <w:shd w:val="clear" w:color="auto" w:fill="auto"/>
          <w:vAlign w:val="bottom"/>
        </w:tcPr>
        <w:p w14:paraId="1387F5D2" w14:textId="77777777" w:rsidR="008E0C7C" w:rsidRPr="008E0C7C" w:rsidRDefault="008E0C7C" w:rsidP="008E0C7C">
          <w:pPr>
            <w:spacing w:after="80" w:line="240" w:lineRule="auto"/>
            <w:jc w:val="right"/>
            <w:rPr>
              <w:position w:val="-4"/>
            </w:rPr>
          </w:pPr>
          <w:r>
            <w:rPr>
              <w:position w:val="-4"/>
              <w:sz w:val="40"/>
            </w:rPr>
            <w:t>CEDAW</w:t>
          </w:r>
          <w:r>
            <w:rPr>
              <w:position w:val="-4"/>
            </w:rPr>
            <w:t>/C/ISR/CO/6</w:t>
          </w:r>
        </w:p>
      </w:tc>
    </w:tr>
    <w:tr w:rsidR="008E0C7C" w:rsidRPr="008E0C7C" w14:paraId="0BA23CB7" w14:textId="77777777" w:rsidTr="008E0C7C">
      <w:trPr>
        <w:trHeight w:hRule="exact" w:val="2880"/>
      </w:trPr>
      <w:tc>
        <w:tcPr>
          <w:tcW w:w="1267" w:type="dxa"/>
          <w:tcBorders>
            <w:top w:val="single" w:sz="4" w:space="0" w:color="auto"/>
            <w:bottom w:val="single" w:sz="12" w:space="0" w:color="auto"/>
          </w:tcBorders>
          <w:shd w:val="clear" w:color="auto" w:fill="auto"/>
        </w:tcPr>
        <w:p w14:paraId="0D06A109" w14:textId="77777777" w:rsidR="008E0C7C" w:rsidRPr="008E0C7C" w:rsidRDefault="008E0C7C" w:rsidP="008E0C7C">
          <w:pPr>
            <w:pStyle w:val="ab"/>
            <w:spacing w:before="109"/>
            <w:ind w:left="-72"/>
          </w:pPr>
          <w:r>
            <w:t xml:space="preserve"> </w:t>
          </w:r>
          <w:r>
            <w:drawing>
              <wp:inline distT="0" distB="0" distL="0" distR="0" wp14:anchorId="2004948C" wp14:editId="6AC387FD">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25C9FB3" w14:textId="77777777" w:rsidR="008E0C7C" w:rsidRPr="008E0C7C" w:rsidRDefault="008E0C7C" w:rsidP="008E0C7C">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667702A" w14:textId="77777777" w:rsidR="008E0C7C" w:rsidRPr="008E0C7C" w:rsidRDefault="008E0C7C" w:rsidP="008E0C7C">
          <w:pPr>
            <w:pStyle w:val="ab"/>
            <w:spacing w:before="109"/>
          </w:pPr>
        </w:p>
      </w:tc>
      <w:tc>
        <w:tcPr>
          <w:tcW w:w="3180" w:type="dxa"/>
          <w:gridSpan w:val="2"/>
          <w:tcBorders>
            <w:top w:val="single" w:sz="4" w:space="0" w:color="auto"/>
            <w:bottom w:val="single" w:sz="12" w:space="0" w:color="auto"/>
          </w:tcBorders>
          <w:shd w:val="clear" w:color="auto" w:fill="auto"/>
        </w:tcPr>
        <w:p w14:paraId="0946E8CE" w14:textId="77777777" w:rsidR="008E0C7C" w:rsidRDefault="008E0C7C" w:rsidP="008E0C7C">
          <w:pPr>
            <w:pStyle w:val="Distr"/>
          </w:pPr>
          <w:r>
            <w:t>Distr.: General</w:t>
          </w:r>
        </w:p>
        <w:p w14:paraId="005DEFBF" w14:textId="77777777" w:rsidR="008E0C7C" w:rsidRDefault="008E0C7C" w:rsidP="008E0C7C">
          <w:pPr>
            <w:pStyle w:val="Publication"/>
          </w:pPr>
          <w:r>
            <w:t>17 November 2017</w:t>
          </w:r>
        </w:p>
        <w:p w14:paraId="2EC31BC0" w14:textId="77777777" w:rsidR="008E0C7C" w:rsidRDefault="008E0C7C" w:rsidP="008E0C7C">
          <w:pPr>
            <w:spacing w:line="240" w:lineRule="exact"/>
          </w:pPr>
          <w:r>
            <w:t>Chinese</w:t>
          </w:r>
        </w:p>
        <w:p w14:paraId="0E0C526C" w14:textId="77777777" w:rsidR="008E0C7C" w:rsidRDefault="008E0C7C" w:rsidP="008E0C7C">
          <w:pPr>
            <w:pStyle w:val="Original"/>
          </w:pPr>
          <w:r>
            <w:t>Original: English</w:t>
          </w:r>
        </w:p>
        <w:p w14:paraId="09C2A78B" w14:textId="77777777" w:rsidR="008E0C7C" w:rsidRPr="008E0C7C" w:rsidRDefault="008E0C7C" w:rsidP="008E0C7C"/>
      </w:tc>
    </w:tr>
  </w:tbl>
  <w:p w14:paraId="69FFFB50" w14:textId="77777777" w:rsidR="008E0C7C" w:rsidRPr="008E0C7C" w:rsidRDefault="008E0C7C" w:rsidP="008E0C7C">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0374*"/>
    <w:docVar w:name="CreationDt" w:val="15/01/2018 21:50:03"/>
    <w:docVar w:name="DocCategory" w:val="Doc"/>
    <w:docVar w:name="DocType" w:val="Final"/>
    <w:docVar w:name="DutyStation" w:val="New York"/>
    <w:docVar w:name="FooterJN" w:val="17-20374 (C)"/>
    <w:docVar w:name="jobn" w:val="17-20374 (C)"/>
    <w:docVar w:name="jobnDT" w:val="17-20374 (C)   150118"/>
    <w:docVar w:name="jobnDTDT" w:val="17-20374 (C)   150118   150118"/>
    <w:docVar w:name="JobNo" w:val="1720374C"/>
    <w:docVar w:name="LocalDrive" w:val="0"/>
    <w:docVar w:name="OandT" w:val="Keya"/>
    <w:docVar w:name="sss1" w:val="CEDAW/C/ISR/CO/6"/>
    <w:docVar w:name="sss2" w:val="-"/>
    <w:docVar w:name="Symbol1" w:val="CEDAW/C/ISR/CO/6"/>
    <w:docVar w:name="Symbol2" w:val="-"/>
  </w:docVars>
  <w:rsids>
    <w:rsidRoot w:val="00F966FD"/>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EB8"/>
    <w:rsid w:val="000777FC"/>
    <w:rsid w:val="00077AEE"/>
    <w:rsid w:val="000824AD"/>
    <w:rsid w:val="00082CCB"/>
    <w:rsid w:val="00083CAB"/>
    <w:rsid w:val="00084D46"/>
    <w:rsid w:val="000863AD"/>
    <w:rsid w:val="00086972"/>
    <w:rsid w:val="000946C5"/>
    <w:rsid w:val="00095C67"/>
    <w:rsid w:val="000A31F9"/>
    <w:rsid w:val="000B04CB"/>
    <w:rsid w:val="000B5243"/>
    <w:rsid w:val="000C1786"/>
    <w:rsid w:val="000C4C08"/>
    <w:rsid w:val="000C4DDE"/>
    <w:rsid w:val="000C5208"/>
    <w:rsid w:val="000D32BA"/>
    <w:rsid w:val="000D6C56"/>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17AB"/>
    <w:rsid w:val="001A4A37"/>
    <w:rsid w:val="001B0DFD"/>
    <w:rsid w:val="001B2814"/>
    <w:rsid w:val="001B4F95"/>
    <w:rsid w:val="001B79D0"/>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0FF5"/>
    <w:rsid w:val="002D4ACE"/>
    <w:rsid w:val="002D5503"/>
    <w:rsid w:val="002D62B2"/>
    <w:rsid w:val="002D65A8"/>
    <w:rsid w:val="002D76B6"/>
    <w:rsid w:val="002E230A"/>
    <w:rsid w:val="002E66D5"/>
    <w:rsid w:val="002F41E2"/>
    <w:rsid w:val="002F746E"/>
    <w:rsid w:val="00301C97"/>
    <w:rsid w:val="003063F6"/>
    <w:rsid w:val="00313030"/>
    <w:rsid w:val="003166CF"/>
    <w:rsid w:val="00320C99"/>
    <w:rsid w:val="00321DE3"/>
    <w:rsid w:val="003274A9"/>
    <w:rsid w:val="00327D8B"/>
    <w:rsid w:val="003305F1"/>
    <w:rsid w:val="0033122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4A02"/>
    <w:rsid w:val="003966E8"/>
    <w:rsid w:val="003A1C26"/>
    <w:rsid w:val="003A2BC6"/>
    <w:rsid w:val="003A59B6"/>
    <w:rsid w:val="003A7B88"/>
    <w:rsid w:val="003C4125"/>
    <w:rsid w:val="003C448D"/>
    <w:rsid w:val="003C7B20"/>
    <w:rsid w:val="003D075F"/>
    <w:rsid w:val="003D5B4D"/>
    <w:rsid w:val="003E3165"/>
    <w:rsid w:val="003E4565"/>
    <w:rsid w:val="003E5999"/>
    <w:rsid w:val="003E748F"/>
    <w:rsid w:val="003E7612"/>
    <w:rsid w:val="003F4BD2"/>
    <w:rsid w:val="003F7BF8"/>
    <w:rsid w:val="004044EF"/>
    <w:rsid w:val="00405CAD"/>
    <w:rsid w:val="0041023B"/>
    <w:rsid w:val="00413FBC"/>
    <w:rsid w:val="00414423"/>
    <w:rsid w:val="0041733F"/>
    <w:rsid w:val="00420761"/>
    <w:rsid w:val="004320FA"/>
    <w:rsid w:val="0043377F"/>
    <w:rsid w:val="00433853"/>
    <w:rsid w:val="00440B0D"/>
    <w:rsid w:val="004411AD"/>
    <w:rsid w:val="004424EF"/>
    <w:rsid w:val="00443516"/>
    <w:rsid w:val="00453BB0"/>
    <w:rsid w:val="00460162"/>
    <w:rsid w:val="004620A8"/>
    <w:rsid w:val="004626F3"/>
    <w:rsid w:val="00463C4F"/>
    <w:rsid w:val="0046458E"/>
    <w:rsid w:val="00466BB5"/>
    <w:rsid w:val="004700CF"/>
    <w:rsid w:val="004715DF"/>
    <w:rsid w:val="00474C34"/>
    <w:rsid w:val="00475EC1"/>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5B65"/>
    <w:rsid w:val="004D07E1"/>
    <w:rsid w:val="004D1C19"/>
    <w:rsid w:val="004D54A8"/>
    <w:rsid w:val="004D60D1"/>
    <w:rsid w:val="004E4081"/>
    <w:rsid w:val="004E641B"/>
    <w:rsid w:val="004E739A"/>
    <w:rsid w:val="004F29B8"/>
    <w:rsid w:val="004F3649"/>
    <w:rsid w:val="004F4BBB"/>
    <w:rsid w:val="004F4EFB"/>
    <w:rsid w:val="004F5333"/>
    <w:rsid w:val="004F5E26"/>
    <w:rsid w:val="0050413E"/>
    <w:rsid w:val="00512841"/>
    <w:rsid w:val="00515657"/>
    <w:rsid w:val="00515859"/>
    <w:rsid w:val="0051592B"/>
    <w:rsid w:val="00521144"/>
    <w:rsid w:val="00521275"/>
    <w:rsid w:val="0052216F"/>
    <w:rsid w:val="00523247"/>
    <w:rsid w:val="005232CA"/>
    <w:rsid w:val="00523636"/>
    <w:rsid w:val="005240BA"/>
    <w:rsid w:val="00530CBB"/>
    <w:rsid w:val="0053111B"/>
    <w:rsid w:val="00532314"/>
    <w:rsid w:val="005335B9"/>
    <w:rsid w:val="00536CCE"/>
    <w:rsid w:val="00537F92"/>
    <w:rsid w:val="00542636"/>
    <w:rsid w:val="00543B47"/>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74A2F"/>
    <w:rsid w:val="0058302A"/>
    <w:rsid w:val="00583305"/>
    <w:rsid w:val="00585A6B"/>
    <w:rsid w:val="0058792C"/>
    <w:rsid w:val="0059033C"/>
    <w:rsid w:val="0059457A"/>
    <w:rsid w:val="005A175A"/>
    <w:rsid w:val="005A7200"/>
    <w:rsid w:val="005B04F3"/>
    <w:rsid w:val="005B1476"/>
    <w:rsid w:val="005B1D3C"/>
    <w:rsid w:val="005B2A1D"/>
    <w:rsid w:val="005B3B9A"/>
    <w:rsid w:val="005B4497"/>
    <w:rsid w:val="005B6C71"/>
    <w:rsid w:val="005B7338"/>
    <w:rsid w:val="005C02AB"/>
    <w:rsid w:val="005C55E1"/>
    <w:rsid w:val="005C5FC3"/>
    <w:rsid w:val="005D0D2E"/>
    <w:rsid w:val="005D0F04"/>
    <w:rsid w:val="005D2204"/>
    <w:rsid w:val="005D5052"/>
    <w:rsid w:val="005D680F"/>
    <w:rsid w:val="005F12F0"/>
    <w:rsid w:val="005F1AAD"/>
    <w:rsid w:val="005F3273"/>
    <w:rsid w:val="005F34A3"/>
    <w:rsid w:val="005F3FB1"/>
    <w:rsid w:val="0060128A"/>
    <w:rsid w:val="00601DF9"/>
    <w:rsid w:val="00602C6C"/>
    <w:rsid w:val="006101D0"/>
    <w:rsid w:val="006107DE"/>
    <w:rsid w:val="00610CF2"/>
    <w:rsid w:val="00615A9C"/>
    <w:rsid w:val="00615BB5"/>
    <w:rsid w:val="00616A67"/>
    <w:rsid w:val="00617802"/>
    <w:rsid w:val="006201CE"/>
    <w:rsid w:val="006328DE"/>
    <w:rsid w:val="006353DE"/>
    <w:rsid w:val="00637657"/>
    <w:rsid w:val="00640671"/>
    <w:rsid w:val="006432CB"/>
    <w:rsid w:val="00646B55"/>
    <w:rsid w:val="006479F1"/>
    <w:rsid w:val="00647A37"/>
    <w:rsid w:val="0065055D"/>
    <w:rsid w:val="00650BEE"/>
    <w:rsid w:val="00651B0B"/>
    <w:rsid w:val="006520FA"/>
    <w:rsid w:val="0065377D"/>
    <w:rsid w:val="00661120"/>
    <w:rsid w:val="006652C2"/>
    <w:rsid w:val="00666F57"/>
    <w:rsid w:val="006740A7"/>
    <w:rsid w:val="006767D5"/>
    <w:rsid w:val="00691524"/>
    <w:rsid w:val="00691C3C"/>
    <w:rsid w:val="006926DF"/>
    <w:rsid w:val="00697E61"/>
    <w:rsid w:val="006A2730"/>
    <w:rsid w:val="006A5CFB"/>
    <w:rsid w:val="006A654B"/>
    <w:rsid w:val="006B769C"/>
    <w:rsid w:val="006C2998"/>
    <w:rsid w:val="006C4BB3"/>
    <w:rsid w:val="006C7138"/>
    <w:rsid w:val="006D4068"/>
    <w:rsid w:val="006E0E32"/>
    <w:rsid w:val="006E2924"/>
    <w:rsid w:val="006E2A93"/>
    <w:rsid w:val="006E45BF"/>
    <w:rsid w:val="006E4E7C"/>
    <w:rsid w:val="006E7A26"/>
    <w:rsid w:val="006F04EF"/>
    <w:rsid w:val="006F2B3D"/>
    <w:rsid w:val="006F2CCC"/>
    <w:rsid w:val="006F4372"/>
    <w:rsid w:val="006F6A4F"/>
    <w:rsid w:val="006F761A"/>
    <w:rsid w:val="006F7749"/>
    <w:rsid w:val="007016DF"/>
    <w:rsid w:val="007038D4"/>
    <w:rsid w:val="00704287"/>
    <w:rsid w:val="00704ECB"/>
    <w:rsid w:val="007052CC"/>
    <w:rsid w:val="00715C4B"/>
    <w:rsid w:val="00721BC6"/>
    <w:rsid w:val="00722965"/>
    <w:rsid w:val="00724400"/>
    <w:rsid w:val="007271E1"/>
    <w:rsid w:val="007319E0"/>
    <w:rsid w:val="00731FBF"/>
    <w:rsid w:val="007328A2"/>
    <w:rsid w:val="00732A10"/>
    <w:rsid w:val="007345AA"/>
    <w:rsid w:val="00735C21"/>
    <w:rsid w:val="00737B00"/>
    <w:rsid w:val="007435A3"/>
    <w:rsid w:val="00744E75"/>
    <w:rsid w:val="00746EBB"/>
    <w:rsid w:val="00747DB4"/>
    <w:rsid w:val="00751342"/>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1414"/>
    <w:rsid w:val="007C5623"/>
    <w:rsid w:val="007C6FC5"/>
    <w:rsid w:val="007C74B9"/>
    <w:rsid w:val="007D441A"/>
    <w:rsid w:val="007D518C"/>
    <w:rsid w:val="007E0D70"/>
    <w:rsid w:val="007E1B5E"/>
    <w:rsid w:val="007E48B1"/>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23B8"/>
    <w:rsid w:val="008343E5"/>
    <w:rsid w:val="00836BC3"/>
    <w:rsid w:val="008378D1"/>
    <w:rsid w:val="00843C13"/>
    <w:rsid w:val="00846462"/>
    <w:rsid w:val="00847383"/>
    <w:rsid w:val="00860742"/>
    <w:rsid w:val="00862B69"/>
    <w:rsid w:val="00862B6B"/>
    <w:rsid w:val="00863910"/>
    <w:rsid w:val="0086691F"/>
    <w:rsid w:val="00867929"/>
    <w:rsid w:val="00871CE8"/>
    <w:rsid w:val="008722B1"/>
    <w:rsid w:val="00872730"/>
    <w:rsid w:val="00883DB0"/>
    <w:rsid w:val="008843BC"/>
    <w:rsid w:val="00884C8F"/>
    <w:rsid w:val="00891E28"/>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35E4"/>
    <w:rsid w:val="008D6C74"/>
    <w:rsid w:val="008E0C7C"/>
    <w:rsid w:val="008E2913"/>
    <w:rsid w:val="008E2C22"/>
    <w:rsid w:val="008E2D03"/>
    <w:rsid w:val="008E7BDF"/>
    <w:rsid w:val="008F2BB5"/>
    <w:rsid w:val="008F425D"/>
    <w:rsid w:val="008F43E4"/>
    <w:rsid w:val="008F5472"/>
    <w:rsid w:val="008F5D0F"/>
    <w:rsid w:val="00907874"/>
    <w:rsid w:val="00911686"/>
    <w:rsid w:val="009122E0"/>
    <w:rsid w:val="00913351"/>
    <w:rsid w:val="00914917"/>
    <w:rsid w:val="00917344"/>
    <w:rsid w:val="00922CCB"/>
    <w:rsid w:val="00923D95"/>
    <w:rsid w:val="009248ED"/>
    <w:rsid w:val="009264B1"/>
    <w:rsid w:val="009331FA"/>
    <w:rsid w:val="00941874"/>
    <w:rsid w:val="0094294B"/>
    <w:rsid w:val="00945CD6"/>
    <w:rsid w:val="00946C87"/>
    <w:rsid w:val="0095023C"/>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216C"/>
    <w:rsid w:val="009C600E"/>
    <w:rsid w:val="009C7B18"/>
    <w:rsid w:val="009D00AA"/>
    <w:rsid w:val="009D0B10"/>
    <w:rsid w:val="009D2AC2"/>
    <w:rsid w:val="009E1774"/>
    <w:rsid w:val="009E2668"/>
    <w:rsid w:val="009E40A3"/>
    <w:rsid w:val="009E5C8C"/>
    <w:rsid w:val="009F10B1"/>
    <w:rsid w:val="009F1BD1"/>
    <w:rsid w:val="009F2F21"/>
    <w:rsid w:val="009F3D89"/>
    <w:rsid w:val="009F47E3"/>
    <w:rsid w:val="009F65FE"/>
    <w:rsid w:val="009F6938"/>
    <w:rsid w:val="00A0537D"/>
    <w:rsid w:val="00A055AB"/>
    <w:rsid w:val="00A05AE9"/>
    <w:rsid w:val="00A069AD"/>
    <w:rsid w:val="00A07CEC"/>
    <w:rsid w:val="00A1297E"/>
    <w:rsid w:val="00A158E7"/>
    <w:rsid w:val="00A171EB"/>
    <w:rsid w:val="00A17A85"/>
    <w:rsid w:val="00A20856"/>
    <w:rsid w:val="00A23418"/>
    <w:rsid w:val="00A24399"/>
    <w:rsid w:val="00A24CA5"/>
    <w:rsid w:val="00A252DF"/>
    <w:rsid w:val="00A27E35"/>
    <w:rsid w:val="00A31815"/>
    <w:rsid w:val="00A33D4D"/>
    <w:rsid w:val="00A33D6D"/>
    <w:rsid w:val="00A343D8"/>
    <w:rsid w:val="00A36AEC"/>
    <w:rsid w:val="00A37345"/>
    <w:rsid w:val="00A374A5"/>
    <w:rsid w:val="00A40AAE"/>
    <w:rsid w:val="00A40EA9"/>
    <w:rsid w:val="00A44A96"/>
    <w:rsid w:val="00A4532A"/>
    <w:rsid w:val="00A46BEE"/>
    <w:rsid w:val="00A46E28"/>
    <w:rsid w:val="00A5206D"/>
    <w:rsid w:val="00A55E9E"/>
    <w:rsid w:val="00A635A7"/>
    <w:rsid w:val="00A652D9"/>
    <w:rsid w:val="00A67E9B"/>
    <w:rsid w:val="00A72E47"/>
    <w:rsid w:val="00A74DBA"/>
    <w:rsid w:val="00A750A5"/>
    <w:rsid w:val="00A778F1"/>
    <w:rsid w:val="00A800EC"/>
    <w:rsid w:val="00A80D6C"/>
    <w:rsid w:val="00A90956"/>
    <w:rsid w:val="00A95404"/>
    <w:rsid w:val="00A954C6"/>
    <w:rsid w:val="00A968C5"/>
    <w:rsid w:val="00AA3C28"/>
    <w:rsid w:val="00AA65E5"/>
    <w:rsid w:val="00AA759D"/>
    <w:rsid w:val="00AB1592"/>
    <w:rsid w:val="00AB2786"/>
    <w:rsid w:val="00AB5BEE"/>
    <w:rsid w:val="00AC2EAA"/>
    <w:rsid w:val="00AC373F"/>
    <w:rsid w:val="00AC550F"/>
    <w:rsid w:val="00AD10ED"/>
    <w:rsid w:val="00AD4308"/>
    <w:rsid w:val="00AD6611"/>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04FCE"/>
    <w:rsid w:val="00B16C8C"/>
    <w:rsid w:val="00B171E7"/>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BC7"/>
    <w:rsid w:val="00B55E1D"/>
    <w:rsid w:val="00B56194"/>
    <w:rsid w:val="00B60F41"/>
    <w:rsid w:val="00B616F6"/>
    <w:rsid w:val="00B61A34"/>
    <w:rsid w:val="00B622C6"/>
    <w:rsid w:val="00B62FDC"/>
    <w:rsid w:val="00B64E8E"/>
    <w:rsid w:val="00B65E8B"/>
    <w:rsid w:val="00B677A0"/>
    <w:rsid w:val="00B7141E"/>
    <w:rsid w:val="00B75C92"/>
    <w:rsid w:val="00B8025A"/>
    <w:rsid w:val="00B827B1"/>
    <w:rsid w:val="00B9116F"/>
    <w:rsid w:val="00B9408D"/>
    <w:rsid w:val="00B94698"/>
    <w:rsid w:val="00B95BF6"/>
    <w:rsid w:val="00B978B1"/>
    <w:rsid w:val="00BA026B"/>
    <w:rsid w:val="00BA51C0"/>
    <w:rsid w:val="00BA64A9"/>
    <w:rsid w:val="00BB23A4"/>
    <w:rsid w:val="00BB6332"/>
    <w:rsid w:val="00BC0F5C"/>
    <w:rsid w:val="00BC2276"/>
    <w:rsid w:val="00BD1B08"/>
    <w:rsid w:val="00BD1BFF"/>
    <w:rsid w:val="00BD2150"/>
    <w:rsid w:val="00BD2D65"/>
    <w:rsid w:val="00BE1CC3"/>
    <w:rsid w:val="00BE1CDE"/>
    <w:rsid w:val="00BE365A"/>
    <w:rsid w:val="00BE47C4"/>
    <w:rsid w:val="00BE4CDC"/>
    <w:rsid w:val="00BE50EF"/>
    <w:rsid w:val="00C01B1E"/>
    <w:rsid w:val="00C052A2"/>
    <w:rsid w:val="00C06A4A"/>
    <w:rsid w:val="00C07F0F"/>
    <w:rsid w:val="00C131AA"/>
    <w:rsid w:val="00C1391A"/>
    <w:rsid w:val="00C14CE6"/>
    <w:rsid w:val="00C15218"/>
    <w:rsid w:val="00C17E92"/>
    <w:rsid w:val="00C21D51"/>
    <w:rsid w:val="00C22BB2"/>
    <w:rsid w:val="00C22F76"/>
    <w:rsid w:val="00C2725D"/>
    <w:rsid w:val="00C31771"/>
    <w:rsid w:val="00C31E79"/>
    <w:rsid w:val="00C35D84"/>
    <w:rsid w:val="00C403C9"/>
    <w:rsid w:val="00C42033"/>
    <w:rsid w:val="00C45AE9"/>
    <w:rsid w:val="00C464DD"/>
    <w:rsid w:val="00C519F4"/>
    <w:rsid w:val="00C52423"/>
    <w:rsid w:val="00C52DB6"/>
    <w:rsid w:val="00C53A40"/>
    <w:rsid w:val="00C53B91"/>
    <w:rsid w:val="00C60D8E"/>
    <w:rsid w:val="00C62EF9"/>
    <w:rsid w:val="00C650F5"/>
    <w:rsid w:val="00C672B6"/>
    <w:rsid w:val="00C75600"/>
    <w:rsid w:val="00C76854"/>
    <w:rsid w:val="00C847BD"/>
    <w:rsid w:val="00C869A6"/>
    <w:rsid w:val="00C900C5"/>
    <w:rsid w:val="00C92AE0"/>
    <w:rsid w:val="00C92C12"/>
    <w:rsid w:val="00C932F6"/>
    <w:rsid w:val="00C93BC6"/>
    <w:rsid w:val="00C943B4"/>
    <w:rsid w:val="00C97C0D"/>
    <w:rsid w:val="00CA0B47"/>
    <w:rsid w:val="00CA2BB0"/>
    <w:rsid w:val="00CA450F"/>
    <w:rsid w:val="00CA4894"/>
    <w:rsid w:val="00CA4BBC"/>
    <w:rsid w:val="00CA7E8C"/>
    <w:rsid w:val="00CB298A"/>
    <w:rsid w:val="00CB2B1E"/>
    <w:rsid w:val="00CB73B9"/>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5472"/>
    <w:rsid w:val="00CE64AC"/>
    <w:rsid w:val="00CE6CE3"/>
    <w:rsid w:val="00CE7DFC"/>
    <w:rsid w:val="00CF02D3"/>
    <w:rsid w:val="00CF060B"/>
    <w:rsid w:val="00CF0912"/>
    <w:rsid w:val="00CF1F31"/>
    <w:rsid w:val="00CF1FCA"/>
    <w:rsid w:val="00CF49BA"/>
    <w:rsid w:val="00CF6A57"/>
    <w:rsid w:val="00CF7718"/>
    <w:rsid w:val="00D0025B"/>
    <w:rsid w:val="00D039C5"/>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36951"/>
    <w:rsid w:val="00D42ACC"/>
    <w:rsid w:val="00D4338C"/>
    <w:rsid w:val="00D46BC5"/>
    <w:rsid w:val="00D474BF"/>
    <w:rsid w:val="00D5028E"/>
    <w:rsid w:val="00D51DC5"/>
    <w:rsid w:val="00D53449"/>
    <w:rsid w:val="00D542B8"/>
    <w:rsid w:val="00D5525A"/>
    <w:rsid w:val="00D613E0"/>
    <w:rsid w:val="00D66509"/>
    <w:rsid w:val="00D669AD"/>
    <w:rsid w:val="00D676D7"/>
    <w:rsid w:val="00D6794E"/>
    <w:rsid w:val="00D7007A"/>
    <w:rsid w:val="00D71517"/>
    <w:rsid w:val="00D7168D"/>
    <w:rsid w:val="00D71A15"/>
    <w:rsid w:val="00D74745"/>
    <w:rsid w:val="00D74BC3"/>
    <w:rsid w:val="00D82311"/>
    <w:rsid w:val="00D83D1B"/>
    <w:rsid w:val="00D86A32"/>
    <w:rsid w:val="00D874E1"/>
    <w:rsid w:val="00D92356"/>
    <w:rsid w:val="00D925C7"/>
    <w:rsid w:val="00D92B5D"/>
    <w:rsid w:val="00D935C0"/>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022"/>
    <w:rsid w:val="00DE2A3B"/>
    <w:rsid w:val="00DF2A07"/>
    <w:rsid w:val="00DF5B53"/>
    <w:rsid w:val="00DF742A"/>
    <w:rsid w:val="00E01E16"/>
    <w:rsid w:val="00E030F5"/>
    <w:rsid w:val="00E041F4"/>
    <w:rsid w:val="00E050BA"/>
    <w:rsid w:val="00E06CBE"/>
    <w:rsid w:val="00E076AC"/>
    <w:rsid w:val="00E10752"/>
    <w:rsid w:val="00E13BDB"/>
    <w:rsid w:val="00E16655"/>
    <w:rsid w:val="00E16A6B"/>
    <w:rsid w:val="00E21275"/>
    <w:rsid w:val="00E25442"/>
    <w:rsid w:val="00E25A1F"/>
    <w:rsid w:val="00E25D27"/>
    <w:rsid w:val="00E3288B"/>
    <w:rsid w:val="00E34E6A"/>
    <w:rsid w:val="00E35B72"/>
    <w:rsid w:val="00E37608"/>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237A"/>
    <w:rsid w:val="00E94224"/>
    <w:rsid w:val="00E94E5A"/>
    <w:rsid w:val="00E95594"/>
    <w:rsid w:val="00E95A55"/>
    <w:rsid w:val="00EA0B27"/>
    <w:rsid w:val="00EA2525"/>
    <w:rsid w:val="00EA31C3"/>
    <w:rsid w:val="00EA4947"/>
    <w:rsid w:val="00EA4B1B"/>
    <w:rsid w:val="00EB2ABC"/>
    <w:rsid w:val="00EB33AC"/>
    <w:rsid w:val="00EC25DE"/>
    <w:rsid w:val="00EC669D"/>
    <w:rsid w:val="00EC6F21"/>
    <w:rsid w:val="00EC7887"/>
    <w:rsid w:val="00ED2708"/>
    <w:rsid w:val="00ED2D39"/>
    <w:rsid w:val="00ED3A3A"/>
    <w:rsid w:val="00EE0913"/>
    <w:rsid w:val="00EE2DE1"/>
    <w:rsid w:val="00EE3F92"/>
    <w:rsid w:val="00EF06AB"/>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6FD"/>
    <w:rsid w:val="00FA2B7A"/>
    <w:rsid w:val="00FA7A95"/>
    <w:rsid w:val="00FB089D"/>
    <w:rsid w:val="00FB1A6E"/>
    <w:rsid w:val="00FB282B"/>
    <w:rsid w:val="00FB4F96"/>
    <w:rsid w:val="00FC1CE4"/>
    <w:rsid w:val="00FD4C0F"/>
    <w:rsid w:val="00FD594E"/>
    <w:rsid w:val="00FD75B9"/>
    <w:rsid w:val="00FE0315"/>
    <w:rsid w:val="00FE1E08"/>
    <w:rsid w:val="00FE2F07"/>
    <w:rsid w:val="00FE31B8"/>
    <w:rsid w:val="00FE5FE8"/>
    <w:rsid w:val="00FE6AEC"/>
    <w:rsid w:val="00FF0C55"/>
    <w:rsid w:val="00FF15D0"/>
    <w:rsid w:val="00FF2082"/>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0D8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FollowedHyperlink" w:qFormat="1"/>
    <w:lsdException w:name="Strong" w:semiHidden="0" w:unhideWhenUsed="0" w:qFormat="1"/>
    <w:lsdException w:name="Emphasis" w:semiHidden="0" w:unhideWhenUsed="0" w:qFormat="1"/>
    <w:lsdException w:name="Balloon Text"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w:basedOn w:val="H23"/>
    <w:qFormat/>
    <w:rsid w:val="00922CCB"/>
    <w:pPr>
      <w:spacing w:after="60"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
    <w:qFormat/>
    <w:rsid w:val="00AF51A0"/>
    <w:pPr>
      <w:spacing w:after="60"/>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
    <w:link w:val="TitleHCHChar"/>
    <w:qFormat/>
    <w:rsid w:val="0004231D"/>
    <w:pPr>
      <w:spacing w:line="400" w:lineRule="exact"/>
    </w:pPr>
    <w:rPr>
      <w:rFonts w:hAnsi="黑体"/>
      <w:sz w:val="28"/>
    </w:rPr>
  </w:style>
  <w:style w:type="character" w:customStyle="1" w:styleId="TitleHCHChar">
    <w:name w:val="Title_H_CH Char"/>
    <w:basedOn w:val="a0"/>
    <w:link w:val="TitleHCH"/>
    <w:rsid w:val="0004231D"/>
    <w:rPr>
      <w:rFonts w:ascii="黑体" w:eastAsia="黑体" w:hAnsi="黑体"/>
      <w:kern w:val="14"/>
      <w:sz w:val="28"/>
      <w:lang w:val="en-US"/>
    </w:rPr>
  </w:style>
  <w:style w:type="paragraph" w:customStyle="1" w:styleId="TitleH1">
    <w:name w:val="Title_H1"/>
    <w:basedOn w:val="a"/>
    <w:next w:val="a"/>
    <w:link w:val="TitleH1Char"/>
    <w:qFormat/>
    <w:rsid w:val="0004231D"/>
    <w:pPr>
      <w:keepNext/>
      <w:keepLines/>
      <w:outlineLvl w:val="0"/>
    </w:pPr>
    <w:rPr>
      <w:rFonts w:ascii="黑体" w:eastAsia="黑体" w:hAnsi="黑体"/>
      <w:sz w:val="24"/>
    </w:rPr>
  </w:style>
  <w:style w:type="paragraph" w:customStyle="1" w:styleId="TitleH2">
    <w:name w:val="Title_H2"/>
    <w:basedOn w:val="a"/>
    <w:next w:val="a"/>
    <w:link w:val="TitleH2Char"/>
    <w:qFormat/>
    <w:rsid w:val="0004231D"/>
    <w:pPr>
      <w:outlineLvl w:val="1"/>
    </w:pPr>
    <w:rPr>
      <w:rFonts w:ascii="黑体" w:eastAsia="黑体" w:hAnsi="黑体"/>
      <w:spacing w:val="2"/>
    </w:rPr>
  </w:style>
  <w:style w:type="character" w:customStyle="1" w:styleId="TitleH1Char">
    <w:name w:val="Title_H1 Char"/>
    <w:basedOn w:val="a0"/>
    <w:link w:val="TitleH1"/>
    <w:rsid w:val="0004231D"/>
    <w:rPr>
      <w:rFonts w:ascii="黑体" w:eastAsia="黑体" w:hAnsi="黑体"/>
      <w:kern w:val="14"/>
      <w:sz w:val="24"/>
      <w:lang w:val="en-US"/>
    </w:rPr>
  </w:style>
  <w:style w:type="character" w:customStyle="1" w:styleId="TitleH2Char">
    <w:name w:val="Title_H2 Char"/>
    <w:basedOn w:val="a0"/>
    <w:link w:val="TitleH2"/>
    <w:rsid w:val="0004231D"/>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styleId="af0">
    <w:name w:val="Revision"/>
    <w:hidden/>
    <w:uiPriority w:val="99"/>
    <w:semiHidden/>
    <w:rsid w:val="00616A67"/>
    <w:rPr>
      <w:rFonts w:eastAsia="宋体"/>
      <w:kern w:val="14"/>
      <w:sz w:val="21"/>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FollowedHyperlink" w:qFormat="1"/>
    <w:lsdException w:name="Strong" w:semiHidden="0" w:unhideWhenUsed="0" w:qFormat="1"/>
    <w:lsdException w:name="Emphasis" w:semiHidden="0" w:unhideWhenUsed="0" w:qFormat="1"/>
    <w:lsdException w:name="Balloon Text"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w:basedOn w:val="H23"/>
    <w:qFormat/>
    <w:rsid w:val="00922CCB"/>
    <w:pPr>
      <w:spacing w:after="60"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
    <w:qFormat/>
    <w:rsid w:val="00AF51A0"/>
    <w:pPr>
      <w:spacing w:after="60"/>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
    <w:link w:val="TitleHCHChar"/>
    <w:qFormat/>
    <w:rsid w:val="0004231D"/>
    <w:pPr>
      <w:spacing w:line="400" w:lineRule="exact"/>
    </w:pPr>
    <w:rPr>
      <w:rFonts w:hAnsi="黑体"/>
      <w:sz w:val="28"/>
    </w:rPr>
  </w:style>
  <w:style w:type="character" w:customStyle="1" w:styleId="TitleHCHChar">
    <w:name w:val="Title_H_CH Char"/>
    <w:basedOn w:val="a0"/>
    <w:link w:val="TitleHCH"/>
    <w:rsid w:val="0004231D"/>
    <w:rPr>
      <w:rFonts w:ascii="黑体" w:eastAsia="黑体" w:hAnsi="黑体"/>
      <w:kern w:val="14"/>
      <w:sz w:val="28"/>
      <w:lang w:val="en-US"/>
    </w:rPr>
  </w:style>
  <w:style w:type="paragraph" w:customStyle="1" w:styleId="TitleH1">
    <w:name w:val="Title_H1"/>
    <w:basedOn w:val="a"/>
    <w:next w:val="a"/>
    <w:link w:val="TitleH1Char"/>
    <w:qFormat/>
    <w:rsid w:val="0004231D"/>
    <w:pPr>
      <w:keepNext/>
      <w:keepLines/>
      <w:outlineLvl w:val="0"/>
    </w:pPr>
    <w:rPr>
      <w:rFonts w:ascii="黑体" w:eastAsia="黑体" w:hAnsi="黑体"/>
      <w:sz w:val="24"/>
    </w:rPr>
  </w:style>
  <w:style w:type="paragraph" w:customStyle="1" w:styleId="TitleH2">
    <w:name w:val="Title_H2"/>
    <w:basedOn w:val="a"/>
    <w:next w:val="a"/>
    <w:link w:val="TitleH2Char"/>
    <w:qFormat/>
    <w:rsid w:val="0004231D"/>
    <w:pPr>
      <w:outlineLvl w:val="1"/>
    </w:pPr>
    <w:rPr>
      <w:rFonts w:ascii="黑体" w:eastAsia="黑体" w:hAnsi="黑体"/>
      <w:spacing w:val="2"/>
    </w:rPr>
  </w:style>
  <w:style w:type="character" w:customStyle="1" w:styleId="TitleH1Char">
    <w:name w:val="Title_H1 Char"/>
    <w:basedOn w:val="a0"/>
    <w:link w:val="TitleH1"/>
    <w:rsid w:val="0004231D"/>
    <w:rPr>
      <w:rFonts w:ascii="黑体" w:eastAsia="黑体" w:hAnsi="黑体"/>
      <w:kern w:val="14"/>
      <w:sz w:val="24"/>
      <w:lang w:val="en-US"/>
    </w:rPr>
  </w:style>
  <w:style w:type="character" w:customStyle="1" w:styleId="TitleH2Char">
    <w:name w:val="Title_H2 Char"/>
    <w:basedOn w:val="a0"/>
    <w:link w:val="TitleH2"/>
    <w:rsid w:val="0004231D"/>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styleId="af0">
    <w:name w:val="Revision"/>
    <w:hidden/>
    <w:uiPriority w:val="99"/>
    <w:semiHidden/>
    <w:rsid w:val="00616A67"/>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ch/CEDAW/C/ISR/6" TargetMode="External"/><Relationship Id="rId26" Type="http://schemas.openxmlformats.org/officeDocument/2006/relationships/hyperlink" Target="https://undocs.org/ch/A/HRC/35/30/Add.1" TargetMode="External"/><Relationship Id="rId3" Type="http://schemas.openxmlformats.org/officeDocument/2006/relationships/styles" Target="styles.xml"/><Relationship Id="rId21" Type="http://schemas.openxmlformats.org/officeDocument/2006/relationships/hyperlink" Target="https://undocs.org/ch/CEDAW/C/ISR/5"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ch/CEDAW/C/SR.1543" TargetMode="External"/><Relationship Id="rId25" Type="http://schemas.openxmlformats.org/officeDocument/2006/relationships/hyperlink" Target="https://undocs.org/ch/A/HRC/25/15"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ch/CEDAW/C/SR.1542" TargetMode="External"/><Relationship Id="rId20" Type="http://schemas.openxmlformats.org/officeDocument/2006/relationships/hyperlink" Target="https://undocs.org/ch/CEDAW/C/ISR/CO/5/Add.1" TargetMode="External"/><Relationship Id="rId29" Type="http://schemas.openxmlformats.org/officeDocument/2006/relationships/hyperlink" Target="https://undocs.org/ch/CEDAW/C/ISR/CO/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ch/CEDAW/C/ISR/CO/5"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ch/CEDAW/C/ISR/CO/5/Add.1" TargetMode="External"/><Relationship Id="rId28" Type="http://schemas.openxmlformats.org/officeDocument/2006/relationships/hyperlink" Target="https://undocs.org/ch/CEDAW/C/ISR/CO/5" TargetMode="External"/><Relationship Id="rId10" Type="http://schemas.openxmlformats.org/officeDocument/2006/relationships/header" Target="header2.xml"/><Relationship Id="rId19" Type="http://schemas.openxmlformats.org/officeDocument/2006/relationships/hyperlink" Target="https://undocs.org/ch/CEDAW/C/ISR/QPR/6" TargetMode="External"/><Relationship Id="rId31" Type="http://schemas.openxmlformats.org/officeDocument/2006/relationships/hyperlink" Target="https://undocs.org/ch/HRI/GEN/2/Rev.6"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ch/S/RES/1325(2000)" TargetMode="External"/><Relationship Id="rId27" Type="http://schemas.openxmlformats.org/officeDocument/2006/relationships/hyperlink" Target="https://undocs.org/ch/CEDAW/C/ISR/CO/5" TargetMode="External"/><Relationship Id="rId30" Type="http://schemas.openxmlformats.org/officeDocument/2006/relationships/hyperlink" Target="https://undocs.org/ch/CEDAW/C/ISR/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EDF46-CDB5-4788-8D8E-E4F0EC28D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7608</Words>
  <Characters>8521</Characters>
  <Application>Microsoft Office Word</Application>
  <DocSecurity>0</DocSecurity>
  <Lines>327</Lines>
  <Paragraphs>187</Paragraphs>
  <ScaleCrop>false</ScaleCrop>
  <Company>United Nations</Company>
  <LinksUpToDate>false</LinksUpToDate>
  <CharactersWithSpaces>15942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creator>Ctpu1</dc:creator>
  <cp:lastModifiedBy>Ctpu1</cp:lastModifiedBy>
  <cp:revision>2</cp:revision>
  <dcterms:created xsi:type="dcterms:W3CDTF">2018-01-17T15:22:00Z</dcterms:created>
  <dcterms:modified xsi:type="dcterms:W3CDTF">2018-01-17T15:22:00Z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1720374</vt:lpwstr>
  </property>
  <property fmtid="{D5CDD505-2E9C-101B-9397-08002B2CF9AE}" pid="3" name="ODSRefJobNo">
    <vt:lpwstr>1739443C</vt:lpwstr>
  </property>
  <property fmtid="{D5CDD505-2E9C-101B-9397-08002B2CF9AE}" pid="4" name="Symbol1">
    <vt:lpwstr>CEDAW/C/ISR/CO/6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17 November 2017</vt:lpwstr>
  </property>
  <property fmtid="{D5CDD505-2E9C-101B-9397-08002B2CF9AE}" pid="11" name="Original">
    <vt:lpwstr>English</vt:lpwstr>
  </property>
  <property fmtid="{D5CDD505-2E9C-101B-9397-08002B2CF9AE}" pid="12" name="Release Date">
    <vt:lpwstr>150118</vt:lpwstr>
  </property>
  <property fmtid="{D5CDD505-2E9C-101B-9397-08002B2CF9AE}" pid="13" name="Title1">
    <vt:lpwstr>		关于以色列第六次定期报告的结论性意见*</vt:lpwstr>
  </property>
  <property fmtid="{D5CDD505-2E9C-101B-9397-08002B2CF9AE}" pid="14" name="Comment">
    <vt:lpwstr/>
  </property>
  <property fmtid="{D5CDD505-2E9C-101B-9397-08002B2CF9AE}" pid="15" name="DraftPages">
    <vt:lpwstr> </vt:lpwstr>
  </property>
  <property fmtid="{D5CDD505-2E9C-101B-9397-08002B2CF9AE}" pid="16" name="Operator">
    <vt:lpwstr>Keya</vt:lpwstr>
  </property>
</Properties>
</file>