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0FC23529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CABC4D1" w14:textId="722E2A2C" w:rsidR="002D5AAC" w:rsidRDefault="002D5AAC" w:rsidP="007258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4AA7E56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5BBD7F1C" w14:textId="620ABCF1" w:rsidR="002D5AAC" w:rsidRDefault="007258E2" w:rsidP="007258E2">
            <w:pPr>
              <w:jc w:val="right"/>
            </w:pPr>
            <w:r w:rsidRPr="007258E2">
              <w:rPr>
                <w:sz w:val="40"/>
              </w:rPr>
              <w:t>CERD</w:t>
            </w:r>
            <w:r>
              <w:t>/C/HRV/Q/9-14</w:t>
            </w:r>
          </w:p>
        </w:tc>
      </w:tr>
      <w:tr w:rsidR="002D5AAC" w14:paraId="682BE167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87E0D29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39309C34" wp14:editId="18E5596D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CB9844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91E78CB" w14:textId="77777777" w:rsidR="002D5AAC" w:rsidRDefault="007258E2" w:rsidP="00213632">
            <w:pPr>
              <w:spacing w:before="240"/>
            </w:pPr>
            <w:r>
              <w:t>Distr. general</w:t>
            </w:r>
          </w:p>
          <w:p w14:paraId="78E5A05F" w14:textId="77777777" w:rsidR="007258E2" w:rsidRDefault="007258E2" w:rsidP="007258E2">
            <w:pPr>
              <w:spacing w:line="240" w:lineRule="exact"/>
            </w:pPr>
            <w:r>
              <w:t>3 de julio de 2023</w:t>
            </w:r>
          </w:p>
          <w:p w14:paraId="1228B53C" w14:textId="77777777" w:rsidR="007258E2" w:rsidRDefault="007258E2" w:rsidP="007258E2">
            <w:pPr>
              <w:spacing w:line="240" w:lineRule="exact"/>
            </w:pPr>
            <w:r>
              <w:t>Español</w:t>
            </w:r>
          </w:p>
          <w:p w14:paraId="286FEA53" w14:textId="77777777" w:rsidR="007258E2" w:rsidRDefault="007258E2" w:rsidP="007258E2">
            <w:pPr>
              <w:spacing w:line="240" w:lineRule="exact"/>
            </w:pPr>
            <w:r>
              <w:t>Original: inglés</w:t>
            </w:r>
          </w:p>
          <w:p w14:paraId="4B9D2F49" w14:textId="4E6133CF" w:rsidR="007258E2" w:rsidRDefault="007258E2" w:rsidP="007258E2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49659C6B" w14:textId="77777777" w:rsidR="00FB6E9E" w:rsidRPr="00FB6E9E" w:rsidRDefault="00FB6E9E" w:rsidP="00FB6E9E">
      <w:pPr>
        <w:spacing w:before="120"/>
        <w:rPr>
          <w:b/>
          <w:bCs/>
          <w:sz w:val="24"/>
          <w:szCs w:val="24"/>
        </w:rPr>
      </w:pPr>
      <w:r w:rsidRPr="00FB6E9E">
        <w:rPr>
          <w:b/>
          <w:bCs/>
          <w:sz w:val="24"/>
          <w:szCs w:val="24"/>
        </w:rPr>
        <w:t>Comité para la Eliminación de la Discriminación Racial</w:t>
      </w:r>
    </w:p>
    <w:p w14:paraId="5A2E80FF" w14:textId="77777777" w:rsidR="00FB6E9E" w:rsidRPr="00FB6E9E" w:rsidRDefault="00FB6E9E" w:rsidP="00FB6E9E">
      <w:pPr>
        <w:rPr>
          <w:b/>
          <w:bCs/>
        </w:rPr>
      </w:pPr>
      <w:r w:rsidRPr="00FB6E9E">
        <w:rPr>
          <w:b/>
          <w:bCs/>
        </w:rPr>
        <w:t>110º período de sesiones</w:t>
      </w:r>
    </w:p>
    <w:p w14:paraId="4517A575" w14:textId="77777777" w:rsidR="00FB6E9E" w:rsidRPr="0075196B" w:rsidRDefault="00FB6E9E" w:rsidP="00FB6E9E">
      <w:r w:rsidRPr="0075196B">
        <w:t>7 a 31 de agosto de 2023</w:t>
      </w:r>
    </w:p>
    <w:p w14:paraId="373345C8" w14:textId="77777777" w:rsidR="00FB6E9E" w:rsidRPr="0075196B" w:rsidRDefault="00FB6E9E" w:rsidP="00FB6E9E">
      <w:r w:rsidRPr="0075196B">
        <w:t>Tema 4 del programa provisional</w:t>
      </w:r>
    </w:p>
    <w:p w14:paraId="4508E00C" w14:textId="1F0584F1" w:rsidR="00FB6E9E" w:rsidRPr="00FB6E9E" w:rsidRDefault="00FB6E9E" w:rsidP="00FB6E9E">
      <w:pPr>
        <w:rPr>
          <w:b/>
          <w:bCs/>
        </w:rPr>
      </w:pPr>
      <w:r w:rsidRPr="00FB6E9E">
        <w:rPr>
          <w:b/>
          <w:bCs/>
        </w:rPr>
        <w:t xml:space="preserve">Examen de los informes, las observaciones y la información </w:t>
      </w:r>
      <w:r>
        <w:rPr>
          <w:b/>
          <w:bCs/>
        </w:rPr>
        <w:br/>
      </w:r>
      <w:r w:rsidRPr="00FB6E9E">
        <w:rPr>
          <w:b/>
          <w:bCs/>
        </w:rPr>
        <w:t xml:space="preserve">presentados por los Estados partes en virtud </w:t>
      </w:r>
      <w:r>
        <w:rPr>
          <w:b/>
          <w:bCs/>
        </w:rPr>
        <w:br/>
      </w:r>
      <w:r w:rsidRPr="00FB6E9E">
        <w:rPr>
          <w:b/>
          <w:bCs/>
        </w:rPr>
        <w:t>del artículo 9 de la Convención</w:t>
      </w:r>
    </w:p>
    <w:p w14:paraId="008816C3" w14:textId="7EF06365" w:rsidR="00FB6E9E" w:rsidRPr="0075196B" w:rsidRDefault="00FB6E9E" w:rsidP="00FB6E9E">
      <w:pPr>
        <w:pStyle w:val="HChG"/>
      </w:pPr>
      <w:r>
        <w:tab/>
      </w:r>
      <w:r>
        <w:tab/>
      </w:r>
      <w:r w:rsidRPr="0075196B">
        <w:t xml:space="preserve">Lista de temas relativa a los informes periódicos </w:t>
      </w:r>
      <w:r w:rsidR="002E58CC">
        <w:t xml:space="preserve">9º </w:t>
      </w:r>
      <w:r w:rsidRPr="0075196B">
        <w:t>a</w:t>
      </w:r>
      <w:r w:rsidR="002E58CC">
        <w:t xml:space="preserve"> 14º</w:t>
      </w:r>
      <w:r w:rsidRPr="0075196B">
        <w:t xml:space="preserve"> combinados de Croacia</w:t>
      </w:r>
    </w:p>
    <w:p w14:paraId="7FDDE79D" w14:textId="58686E64" w:rsidR="00FB6E9E" w:rsidRPr="0075196B" w:rsidRDefault="00FB6E9E" w:rsidP="00FB6E9E">
      <w:pPr>
        <w:pStyle w:val="H1G"/>
      </w:pPr>
      <w:r>
        <w:tab/>
      </w:r>
      <w:r>
        <w:tab/>
      </w:r>
      <w:r w:rsidRPr="0075196B">
        <w:t>Nota del Relator para el país</w:t>
      </w:r>
      <w:r w:rsidRPr="00FB6E9E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7F0B7BC0" w14:textId="77777777" w:rsidR="00FB6E9E" w:rsidRPr="0075196B" w:rsidRDefault="00FB6E9E" w:rsidP="00FB6E9E">
      <w:pPr>
        <w:pStyle w:val="SingleTxtG"/>
      </w:pPr>
      <w:r w:rsidRPr="0075196B">
        <w:t>1.</w:t>
      </w:r>
      <w:r w:rsidRPr="0075196B">
        <w:tab/>
        <w:t>El Comité para la Eliminación de la Discriminación Racial decidió en su 76º período de sesiones</w:t>
      </w:r>
      <w:r w:rsidRPr="0075196B">
        <w:rPr>
          <w:rStyle w:val="Refdenotaalpie"/>
        </w:rPr>
        <w:footnoteReference w:id="2"/>
      </w:r>
      <w:r w:rsidRPr="0075196B">
        <w:t xml:space="preserve">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76977AF2" w14:textId="395FD6BC" w:rsidR="00FB6E9E" w:rsidRPr="0075196B" w:rsidRDefault="00FB6E9E" w:rsidP="00FB6E9E">
      <w:pPr>
        <w:pStyle w:val="H23G"/>
      </w:pPr>
      <w:r>
        <w:tab/>
      </w:r>
      <w:r>
        <w:tab/>
      </w:r>
      <w:r w:rsidRPr="0075196B">
        <w:t>Datos estadísticos</w:t>
      </w:r>
    </w:p>
    <w:p w14:paraId="2C547C0B" w14:textId="77777777" w:rsidR="00FB6E9E" w:rsidRPr="0075196B" w:rsidRDefault="00FB6E9E" w:rsidP="00FB6E9E">
      <w:pPr>
        <w:pStyle w:val="SingleTxtG"/>
      </w:pPr>
      <w:r w:rsidRPr="0075196B">
        <w:t>2.</w:t>
      </w:r>
      <w:r w:rsidRPr="0075196B">
        <w:tab/>
        <w:t>Estadísticas actualizadas sobre la composición demográfica de la población, desglosadas por origen étnico, incluidos los romaníes, así como sobre los migrantes, los refugiados, los solicitantes de asilo y los apátridas</w:t>
      </w:r>
      <w:r w:rsidRPr="0075196B">
        <w:rPr>
          <w:rStyle w:val="Refdenotaalpie"/>
        </w:rPr>
        <w:footnoteReference w:id="3"/>
      </w:r>
      <w:r w:rsidRPr="0075196B">
        <w:t>. Indicadores económicos y sociales sobre diversos grupos que viven en su territorio, desglosados por origen nacional o étnico, género y edad, especialmente en lo que respecta a grupos minoritarios.</w:t>
      </w:r>
    </w:p>
    <w:p w14:paraId="40277BA7" w14:textId="6588669F" w:rsidR="00FB6E9E" w:rsidRPr="0075196B" w:rsidRDefault="00FB6E9E" w:rsidP="00FB6E9E">
      <w:pPr>
        <w:pStyle w:val="H23G"/>
      </w:pPr>
      <w:r>
        <w:tab/>
      </w:r>
      <w:r>
        <w:tab/>
      </w:r>
      <w:r w:rsidRPr="0075196B">
        <w:t>La Convención en el derecho interno y el marco institucional y normativo para</w:t>
      </w:r>
      <w:r>
        <w:t> </w:t>
      </w:r>
      <w:r w:rsidRPr="0075196B">
        <w:t>su</w:t>
      </w:r>
      <w:r>
        <w:t> </w:t>
      </w:r>
      <w:r w:rsidRPr="0075196B">
        <w:t>aplicación (arts. 1, 2, 4 y 6)</w:t>
      </w:r>
    </w:p>
    <w:p w14:paraId="45BF7E59" w14:textId="77777777" w:rsidR="00FB6E9E" w:rsidRPr="0075196B" w:rsidRDefault="00FB6E9E" w:rsidP="00FB6E9E">
      <w:pPr>
        <w:pStyle w:val="SingleTxtG"/>
      </w:pPr>
      <w:r w:rsidRPr="0075196B">
        <w:t>3.</w:t>
      </w:r>
      <w:r w:rsidRPr="0075196B">
        <w:tab/>
        <w:t>Información sobre los resultados obtenidos y la evaluación de la aplicación del Plan Nacional contra la Discriminación (2017-2022) y su Plan de Acción (2019), y sobre las medidas para elaborar un nuevo plan nacional integral y un plan de acción para combatir el racismo, la discriminación racial y la intolerancia</w:t>
      </w:r>
      <w:r w:rsidRPr="0075196B">
        <w:rPr>
          <w:rStyle w:val="Refdenotaalpie"/>
        </w:rPr>
        <w:footnoteReference w:id="4"/>
      </w:r>
      <w:r w:rsidRPr="0075196B">
        <w:t>.</w:t>
      </w:r>
    </w:p>
    <w:p w14:paraId="5E5EFD83" w14:textId="2B580E31" w:rsidR="00FB6E9E" w:rsidRPr="0075196B" w:rsidRDefault="00FB6E9E" w:rsidP="00FB6E9E">
      <w:pPr>
        <w:pStyle w:val="SingleTxtG"/>
      </w:pPr>
      <w:r w:rsidRPr="0075196B">
        <w:t>4.</w:t>
      </w:r>
      <w:r w:rsidRPr="0075196B">
        <w:tab/>
        <w:t>Medidas para garantizar que las disposiciones del Código Penal y otra legislación pertinente sobre el discurso de odio racista, la incitación al odio racial y los delitos de odio racista se ajusten plenamente al artículo 4 de la Convención. En relación con los artículos</w:t>
      </w:r>
      <w:r w:rsidR="002E58CC">
        <w:t> </w:t>
      </w:r>
      <w:r w:rsidRPr="0075196B">
        <w:t xml:space="preserve">125 (violación de la igualdad) y 325 (incitación pública a la violencia y al odio) del Código Penal, estadísticas actualizadas e información detallada sobre las denuncias presentadas ante los tribunales o cualquier institución nacional por actos de discriminación racial, discursos </w:t>
      </w:r>
      <w:r w:rsidRPr="0075196B">
        <w:lastRenderedPageBreak/>
        <w:t>de odio racista y delitos de odio racista, entre ellos, los que tengan lugar en Internet y en los medios de comunicación, y sobre el número de investigaciones, enjuiciamientos y condenas de los autores, si los hubiera</w:t>
      </w:r>
      <w:r w:rsidRPr="0075196B">
        <w:rPr>
          <w:rStyle w:val="Refdenotaalpie"/>
        </w:rPr>
        <w:footnoteReference w:id="5"/>
      </w:r>
      <w:r w:rsidRPr="0075196B">
        <w:t>. Información relativa a la aplicación del Código Penal en casos en los que concurran motivaciones racistas o xenófobas o delitos de odio como circunstancias agravantes.</w:t>
      </w:r>
    </w:p>
    <w:p w14:paraId="7D307AFB" w14:textId="77777777" w:rsidR="00FB6E9E" w:rsidRPr="0075196B" w:rsidRDefault="00FB6E9E" w:rsidP="00FB6E9E">
      <w:pPr>
        <w:pStyle w:val="SingleTxtG"/>
      </w:pPr>
      <w:r w:rsidRPr="0075196B">
        <w:t>5.</w:t>
      </w:r>
      <w:r w:rsidRPr="0075196B">
        <w:tab/>
        <w:t>Medidas concretas adoptadas o previstas para combatir el discurso de odio racista, en particular en el discurso político, en los medios de comunicación y en Internet. Información sobre el protocolo de procedimientos en casos de delitos de odio, aprobado en 2011, y sobre el Grupo de Trabajo para el Seguimiento de los Delitos de Odio, incluido su mandato, actividades y composición</w:t>
      </w:r>
      <w:r w:rsidRPr="0075196B">
        <w:rPr>
          <w:rStyle w:val="Refdenotaalpie"/>
        </w:rPr>
        <w:footnoteReference w:id="6"/>
      </w:r>
      <w:r w:rsidRPr="0075196B">
        <w:t xml:space="preserve">. </w:t>
      </w:r>
    </w:p>
    <w:p w14:paraId="47EADAB5" w14:textId="77777777" w:rsidR="00FB6E9E" w:rsidRPr="0075196B" w:rsidRDefault="00FB6E9E" w:rsidP="00FB6E9E">
      <w:pPr>
        <w:pStyle w:val="SingleTxtG"/>
      </w:pPr>
      <w:r w:rsidRPr="0075196B">
        <w:t>6.</w:t>
      </w:r>
      <w:r w:rsidRPr="0075196B">
        <w:tab/>
        <w:t xml:space="preserve">Información sobre las medidas adoptadas o previstas para que los policías y otros agentes del orden no incurran en actos de discriminación racial, incluidos actos de violencia por motivos raciales y prácticas constitutivas de perfilamiento racial. </w:t>
      </w:r>
    </w:p>
    <w:p w14:paraId="17D51E69" w14:textId="77777777" w:rsidR="00FB6E9E" w:rsidRPr="0075196B" w:rsidRDefault="00FB6E9E" w:rsidP="00FB6E9E">
      <w:pPr>
        <w:pStyle w:val="SingleTxtG"/>
      </w:pPr>
      <w:r w:rsidRPr="0075196B">
        <w:t>7.</w:t>
      </w:r>
      <w:r w:rsidRPr="0075196B">
        <w:tab/>
        <w:t>Medidas adoptadas para reforzar los servicios de asistencia jurídica y garantizar su disponibilidad, así como para proporcionar asistencia letrada a fin de facilitar la interposición de una acción judicial en casos de discriminación racial, de conformidad con la Ley de Asistencia Jurídica Gratuita</w:t>
      </w:r>
      <w:r w:rsidRPr="0075196B">
        <w:rPr>
          <w:rStyle w:val="Refdenotaalpie"/>
        </w:rPr>
        <w:footnoteReference w:id="7"/>
      </w:r>
      <w:r w:rsidRPr="0075196B">
        <w:t xml:space="preserve">. </w:t>
      </w:r>
    </w:p>
    <w:p w14:paraId="65FC4EA6" w14:textId="3CD5BE39" w:rsidR="00FB6E9E" w:rsidRPr="0075196B" w:rsidRDefault="00FB6E9E" w:rsidP="00FB6E9E">
      <w:pPr>
        <w:pStyle w:val="H23G"/>
      </w:pPr>
      <w:r>
        <w:tab/>
      </w:r>
      <w:r>
        <w:tab/>
      </w:r>
      <w:r w:rsidRPr="0075196B">
        <w:t>Situación de los grupos étnicos minoritarios (arts. 2, 5 y 6)</w:t>
      </w:r>
    </w:p>
    <w:p w14:paraId="1B623277" w14:textId="231A0E6D" w:rsidR="00FB6E9E" w:rsidRPr="0075196B" w:rsidRDefault="00FB6E9E" w:rsidP="00FB6E9E">
      <w:pPr>
        <w:pStyle w:val="SingleTxtG"/>
      </w:pPr>
      <w:r w:rsidRPr="0075196B">
        <w:t>8.</w:t>
      </w:r>
      <w:r w:rsidRPr="0075196B">
        <w:tab/>
        <w:t>Información sobre el Plan Nacional de Inclusión Romaní (2021</w:t>
      </w:r>
      <w:r w:rsidR="002E58CC">
        <w:t>-</w:t>
      </w:r>
      <w:r w:rsidRPr="0075196B">
        <w:t>2027) y sobre otras medidas que se hayan adoptado para combatir los estereotipos y la discriminación estructural contra los romaníes y para garantizar su disfrute pleno y en condiciones de igualdad de los derechos económicos, sociales y culturales, en particular el acceso a la educación y a una vivienda adecuada, al tiempo que se garantiza la celebración de consultas y la participación de los romaníes en la elaboración y la aplicación de dichas medidas</w:t>
      </w:r>
      <w:r w:rsidRPr="0075196B">
        <w:rPr>
          <w:rStyle w:val="Refdenotaalpie"/>
        </w:rPr>
        <w:footnoteReference w:id="8"/>
      </w:r>
      <w:r w:rsidRPr="0075196B">
        <w:t xml:space="preserve">. </w:t>
      </w:r>
    </w:p>
    <w:p w14:paraId="2136B1E2" w14:textId="77777777" w:rsidR="00FB6E9E" w:rsidRPr="0075196B" w:rsidRDefault="00FB6E9E" w:rsidP="00FB6E9E">
      <w:pPr>
        <w:pStyle w:val="SingleTxtG"/>
      </w:pPr>
      <w:r w:rsidRPr="0075196B">
        <w:t>9.</w:t>
      </w:r>
      <w:r w:rsidRPr="0075196B">
        <w:tab/>
        <w:t xml:space="preserve">Medidas adoptadas para garantizar que los niños romaníes tengan igualdad de acceso a una educación de calidad, incluida la enseñanza en lengua romaní, y para evitar la segregación </w:t>
      </w:r>
      <w:r w:rsidRPr="002E58CC">
        <w:rPr>
          <w:i/>
        </w:rPr>
        <w:t>de facto</w:t>
      </w:r>
      <w:r w:rsidRPr="0075196B">
        <w:t xml:space="preserve"> de los alumnos romaníes</w:t>
      </w:r>
      <w:r w:rsidRPr="0075196B">
        <w:rPr>
          <w:rStyle w:val="Refdenotaalpie"/>
        </w:rPr>
        <w:footnoteReference w:id="9"/>
      </w:r>
      <w:r w:rsidRPr="0075196B">
        <w:t>. Información sobre medidas para combatir el matrimonio precoz y forzado entre el grupo minoritario romaní</w:t>
      </w:r>
      <w:r w:rsidRPr="0075196B">
        <w:rPr>
          <w:rStyle w:val="Refdenotaalpie"/>
        </w:rPr>
        <w:footnoteReference w:id="10"/>
      </w:r>
      <w:r w:rsidRPr="0075196B">
        <w:t xml:space="preserve">. </w:t>
      </w:r>
    </w:p>
    <w:p w14:paraId="4A52FCD9" w14:textId="77777777" w:rsidR="00FB6E9E" w:rsidRPr="0075196B" w:rsidRDefault="00FB6E9E" w:rsidP="00FB6E9E">
      <w:pPr>
        <w:pStyle w:val="SingleTxtG"/>
      </w:pPr>
      <w:r w:rsidRPr="0075196B">
        <w:t>10.</w:t>
      </w:r>
      <w:r w:rsidRPr="0075196B">
        <w:tab/>
        <w:t>Medidas para garantizar la participación y la representación efectivas de los miembros de las minorías étnicas, en particular las minorías serbia y romaní, en la vida pública y política, sobre todo en las instituciones del Estado, las fuerzas del orden y el poder judicial, y para garantizarles el disfrute de los derechos económicos, sociales y culturales, entre otras cosas mediante la adopción y aplicación de medidas especiales</w:t>
      </w:r>
      <w:r w:rsidRPr="0075196B">
        <w:rPr>
          <w:rStyle w:val="Refdenotaalpie"/>
        </w:rPr>
        <w:footnoteReference w:id="11"/>
      </w:r>
      <w:r w:rsidRPr="0075196B">
        <w:t xml:space="preserve">. </w:t>
      </w:r>
    </w:p>
    <w:p w14:paraId="6CBAF130" w14:textId="77777777" w:rsidR="00FB6E9E" w:rsidRPr="0075196B" w:rsidRDefault="00FB6E9E" w:rsidP="00FB6E9E">
      <w:pPr>
        <w:pStyle w:val="SingleTxtG"/>
      </w:pPr>
      <w:r w:rsidRPr="0075196B">
        <w:t>11.</w:t>
      </w:r>
      <w:r w:rsidRPr="0075196B">
        <w:tab/>
        <w:t>Información sobre el Consejo para las Minorías Nacionales, la Oficina de Derechos Humanos y Derechos de las Minorías Nacionales y otros instrumentos nacionales de consulta y diálogo con los grupos étnicos minoritarios para garantizar que sus opiniones y preocupaciones se tengan en cuenta en los debates sobre las cuestiones que les afectan</w:t>
      </w:r>
      <w:r w:rsidRPr="0075196B">
        <w:rPr>
          <w:rStyle w:val="Refdenotaalpie"/>
        </w:rPr>
        <w:footnoteReference w:id="12"/>
      </w:r>
      <w:r w:rsidRPr="0075196B">
        <w:t>.</w:t>
      </w:r>
    </w:p>
    <w:p w14:paraId="5AC3AEE7" w14:textId="44C07D12" w:rsidR="00FB6E9E" w:rsidRPr="0075196B" w:rsidRDefault="00FB6E9E" w:rsidP="00FB6E9E">
      <w:pPr>
        <w:pStyle w:val="SingleTxtG"/>
      </w:pPr>
      <w:r w:rsidRPr="0075196B">
        <w:t>12.</w:t>
      </w:r>
      <w:r w:rsidRPr="0075196B">
        <w:tab/>
        <w:t xml:space="preserve">Información sobre las medidas adoptadas para garantizar el desarrollo sostenible de las </w:t>
      </w:r>
      <w:r>
        <w:t>“</w:t>
      </w:r>
      <w:r w:rsidRPr="0075196B">
        <w:t>zonas de especial interés para el Estado</w:t>
      </w:r>
      <w:r>
        <w:t>”</w:t>
      </w:r>
      <w:r w:rsidRPr="0075196B">
        <w:t>, habitadas principalmente por las minorías serbia y romaní, y para eliminar las disparidades sociales y económicas entre las regiones</w:t>
      </w:r>
      <w:r w:rsidRPr="0075196B">
        <w:rPr>
          <w:rStyle w:val="Refdenotaalpie"/>
        </w:rPr>
        <w:footnoteReference w:id="13"/>
      </w:r>
      <w:r w:rsidRPr="0075196B">
        <w:t xml:space="preserve">. </w:t>
      </w:r>
    </w:p>
    <w:p w14:paraId="2019C67C" w14:textId="77777777" w:rsidR="00FB6E9E" w:rsidRPr="0075196B" w:rsidRDefault="00FB6E9E" w:rsidP="00FB6E9E">
      <w:pPr>
        <w:pStyle w:val="SingleTxtG"/>
      </w:pPr>
      <w:r w:rsidRPr="0075196B">
        <w:t>13.</w:t>
      </w:r>
      <w:r w:rsidRPr="0075196B">
        <w:tab/>
        <w:t xml:space="preserve">Información sobre los juicios por crímenes de guerra y sobre las medidas para garantizar que dichos juicios se lleven a cabo de forma no discriminatoria y que todos los </w:t>
      </w:r>
      <w:r w:rsidRPr="0075196B">
        <w:lastRenderedPageBreak/>
        <w:t>casos de crímenes de guerra se investiguen y enjuicien de forma efectiva, independientemente del origen étnico de las víctimas y de los autores implicados</w:t>
      </w:r>
      <w:r w:rsidRPr="0075196B">
        <w:rPr>
          <w:rStyle w:val="Refdenotaalpie"/>
        </w:rPr>
        <w:footnoteReference w:id="14"/>
      </w:r>
      <w:r w:rsidRPr="0075196B">
        <w:t xml:space="preserve">. </w:t>
      </w:r>
    </w:p>
    <w:p w14:paraId="17E05279" w14:textId="77777777" w:rsidR="00FB6E9E" w:rsidRPr="0075196B" w:rsidRDefault="00FB6E9E" w:rsidP="00FB6E9E">
      <w:pPr>
        <w:pStyle w:val="SingleTxtG"/>
      </w:pPr>
      <w:r w:rsidRPr="0075196B">
        <w:t>14.</w:t>
      </w:r>
      <w:r w:rsidRPr="0075196B">
        <w:tab/>
        <w:t>Información sobre las medidas para facilitar el retorno y la reintegración de los refugiados de guerra, especialmente en relación con los problemas de vivienda a los que se enfrentan los propietarios y los antiguos titulares de derechos de arrendamiento</w:t>
      </w:r>
      <w:r w:rsidRPr="0075196B">
        <w:rPr>
          <w:rStyle w:val="Refdenotaalpie"/>
        </w:rPr>
        <w:footnoteReference w:id="15"/>
      </w:r>
      <w:r w:rsidRPr="0075196B">
        <w:t xml:space="preserve">. </w:t>
      </w:r>
    </w:p>
    <w:p w14:paraId="13C8B41E" w14:textId="4C472CB4" w:rsidR="00FB6E9E" w:rsidRPr="0075196B" w:rsidRDefault="00FB6E9E" w:rsidP="00FB6E9E">
      <w:pPr>
        <w:pStyle w:val="H23G"/>
      </w:pPr>
      <w:r>
        <w:tab/>
      </w:r>
      <w:r>
        <w:tab/>
      </w:r>
      <w:r w:rsidRPr="0075196B">
        <w:t>Situación de los migrantes, los solicitantes de asilo, los refugiados y los apátridas (arts.</w:t>
      </w:r>
      <w:r>
        <w:t> </w:t>
      </w:r>
      <w:r w:rsidRPr="0075196B">
        <w:t>2 y 5)</w:t>
      </w:r>
    </w:p>
    <w:p w14:paraId="15B2934E" w14:textId="77777777" w:rsidR="00FB6E9E" w:rsidRPr="0075196B" w:rsidRDefault="00FB6E9E" w:rsidP="00FB6E9E">
      <w:pPr>
        <w:pStyle w:val="SingleTxtG"/>
      </w:pPr>
      <w:r w:rsidRPr="0075196B">
        <w:t>15.</w:t>
      </w:r>
      <w:r w:rsidRPr="0075196B">
        <w:tab/>
        <w:t>Información sobre los marcos legislativos y de políticas relativos a los solicitantes de asilo y los refugiados y sobre las medidas para garantizar el acceso a la educación, el empleo y los servicios de atención sanitaria sin discriminación a todas las personas bajo la jurisdicción del Estado parte</w:t>
      </w:r>
      <w:r w:rsidRPr="0075196B">
        <w:rPr>
          <w:rStyle w:val="Refdenotaalpie"/>
        </w:rPr>
        <w:footnoteReference w:id="16"/>
      </w:r>
      <w:r w:rsidRPr="0075196B">
        <w:t>. Medidas para combatir los actos de discriminación racial contra migrantes, refugiados, solicitantes de asilo y apátridas.</w:t>
      </w:r>
    </w:p>
    <w:p w14:paraId="7EC9D7D8" w14:textId="77777777" w:rsidR="00FB6E9E" w:rsidRPr="0075196B" w:rsidRDefault="00FB6E9E" w:rsidP="00FB6E9E">
      <w:pPr>
        <w:pStyle w:val="SingleTxtG"/>
      </w:pPr>
      <w:r w:rsidRPr="0075196B">
        <w:t>16.</w:t>
      </w:r>
      <w:r w:rsidRPr="0075196B">
        <w:tab/>
        <w:t>Información sobre las medidas para prevenir y proteger a las personas contra la apatridia, así como estadísticas actualizadas sobre los apátridas y las personas en riesgo de apatridia.</w:t>
      </w:r>
    </w:p>
    <w:p w14:paraId="206A88BC" w14:textId="409DF292" w:rsidR="00FB6E9E" w:rsidRPr="0075196B" w:rsidRDefault="00FB6E9E" w:rsidP="00FB6E9E">
      <w:pPr>
        <w:pStyle w:val="H23G"/>
      </w:pPr>
      <w:r>
        <w:tab/>
      </w:r>
      <w:r>
        <w:tab/>
      </w:r>
      <w:r w:rsidRPr="0075196B">
        <w:t>Educación en materia de derechos humanos para combatir los prejuicios y</w:t>
      </w:r>
      <w:r>
        <w:t> </w:t>
      </w:r>
      <w:r w:rsidRPr="0075196B">
        <w:t>la</w:t>
      </w:r>
      <w:r>
        <w:t> </w:t>
      </w:r>
      <w:r w:rsidRPr="0075196B">
        <w:t>intolerancia (art. 7)</w:t>
      </w:r>
    </w:p>
    <w:p w14:paraId="320C532A" w14:textId="77777777" w:rsidR="00FB6E9E" w:rsidRPr="0075196B" w:rsidRDefault="00FB6E9E" w:rsidP="00FB6E9E">
      <w:pPr>
        <w:pStyle w:val="SingleTxtG"/>
      </w:pPr>
      <w:r w:rsidRPr="0075196B">
        <w:t>17.</w:t>
      </w:r>
      <w:r w:rsidRPr="0075196B">
        <w:tab/>
        <w:t>Información sobre el programa de educación cívica y otras medidas para promover la educación en derechos humanos, en particular en materia de discriminación racial, en todos los planes de estudios escolares, los programas universitarios y los programas de formación para docentes</w:t>
      </w:r>
      <w:r w:rsidRPr="0075196B">
        <w:rPr>
          <w:rStyle w:val="Refdenotaalpie"/>
        </w:rPr>
        <w:footnoteReference w:id="17"/>
      </w:r>
      <w:r w:rsidRPr="0075196B">
        <w:t>. Medidas adoptadas para sensibilizar a la población en general, a los funcionarios públicos, a los miembros de las fuerzas del orden y a las autoridades judiciales sobre la importancia de la diversidad cultural, la tolerancia y la comprensión interétnica</w:t>
      </w:r>
      <w:r w:rsidRPr="0075196B">
        <w:rPr>
          <w:rStyle w:val="Refdenotaalpie"/>
        </w:rPr>
        <w:footnoteReference w:id="18"/>
      </w:r>
      <w:r w:rsidRPr="0075196B">
        <w:t>.</w:t>
      </w:r>
    </w:p>
    <w:p w14:paraId="7166161A" w14:textId="2FAAB49D" w:rsidR="00381C24" w:rsidRPr="00FB6E9E" w:rsidRDefault="00FB6E9E" w:rsidP="00FB6E9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B6E9E" w:rsidSect="007258E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15745" w14:textId="77777777" w:rsidR="00B5155E" w:rsidRPr="00D43FF0" w:rsidRDefault="00B5155E" w:rsidP="00D43FF0">
      <w:pPr>
        <w:pStyle w:val="Piedepgina"/>
      </w:pPr>
    </w:p>
  </w:endnote>
  <w:endnote w:type="continuationSeparator" w:id="0">
    <w:p w14:paraId="7C43DCE6" w14:textId="77777777" w:rsidR="00B5155E" w:rsidRPr="00D43FF0" w:rsidRDefault="00B5155E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A65A1" w14:textId="536727C2" w:rsidR="007258E2" w:rsidRPr="007258E2" w:rsidRDefault="007258E2" w:rsidP="007258E2">
    <w:pPr>
      <w:pStyle w:val="Piedepgina"/>
      <w:tabs>
        <w:tab w:val="right" w:pos="9638"/>
      </w:tabs>
    </w:pPr>
    <w:r w:rsidRPr="007258E2">
      <w:rPr>
        <w:b/>
        <w:sz w:val="18"/>
      </w:rPr>
      <w:fldChar w:fldCharType="begin"/>
    </w:r>
    <w:r w:rsidRPr="007258E2">
      <w:rPr>
        <w:b/>
        <w:sz w:val="18"/>
      </w:rPr>
      <w:instrText xml:space="preserve"> PAGE  \* MERGEFORMAT </w:instrText>
    </w:r>
    <w:r w:rsidRPr="007258E2">
      <w:rPr>
        <w:b/>
        <w:sz w:val="18"/>
      </w:rPr>
      <w:fldChar w:fldCharType="separate"/>
    </w:r>
    <w:r w:rsidRPr="007258E2">
      <w:rPr>
        <w:b/>
        <w:noProof/>
        <w:sz w:val="18"/>
      </w:rPr>
      <w:t>2</w:t>
    </w:r>
    <w:r w:rsidRPr="007258E2">
      <w:rPr>
        <w:b/>
        <w:sz w:val="18"/>
      </w:rPr>
      <w:fldChar w:fldCharType="end"/>
    </w:r>
    <w:r>
      <w:rPr>
        <w:b/>
        <w:sz w:val="18"/>
      </w:rPr>
      <w:tab/>
    </w:r>
    <w:r>
      <w:t>GE.23-12007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7AC06" w14:textId="6A688E0E" w:rsidR="007258E2" w:rsidRPr="007258E2" w:rsidRDefault="007258E2" w:rsidP="007258E2">
    <w:pPr>
      <w:pStyle w:val="Piedepgina"/>
      <w:tabs>
        <w:tab w:val="right" w:pos="9638"/>
      </w:tabs>
      <w:rPr>
        <w:b/>
        <w:sz w:val="18"/>
      </w:rPr>
    </w:pPr>
    <w:r>
      <w:t>GE.23-12007</w:t>
    </w:r>
    <w:r>
      <w:tab/>
    </w:r>
    <w:r w:rsidRPr="007258E2">
      <w:rPr>
        <w:b/>
        <w:sz w:val="18"/>
      </w:rPr>
      <w:fldChar w:fldCharType="begin"/>
    </w:r>
    <w:r w:rsidRPr="007258E2">
      <w:rPr>
        <w:b/>
        <w:sz w:val="18"/>
      </w:rPr>
      <w:instrText xml:space="preserve"> PAGE  \* MERGEFORMAT </w:instrText>
    </w:r>
    <w:r w:rsidRPr="007258E2">
      <w:rPr>
        <w:b/>
        <w:sz w:val="18"/>
      </w:rPr>
      <w:fldChar w:fldCharType="separate"/>
    </w:r>
    <w:r w:rsidRPr="007258E2">
      <w:rPr>
        <w:b/>
        <w:noProof/>
        <w:sz w:val="18"/>
      </w:rPr>
      <w:t>3</w:t>
    </w:r>
    <w:r w:rsidRPr="007258E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DD906" w14:textId="67ED8EEA" w:rsidR="00C63C2A" w:rsidRPr="007258E2" w:rsidRDefault="007258E2" w:rsidP="007258E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61C477D7" wp14:editId="1057F35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23-12007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82362BD" wp14:editId="6B07818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040723    040723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4589B" w14:textId="77777777" w:rsidR="00B5155E" w:rsidRPr="001075E9" w:rsidRDefault="00B5155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6F3EC6" w14:textId="77777777" w:rsidR="00B5155E" w:rsidRDefault="00B5155E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0A472E1" w14:textId="3A793EBB" w:rsidR="00FB6E9E" w:rsidRPr="00002415" w:rsidRDefault="00FB6E9E">
      <w:pPr>
        <w:pStyle w:val="Textonotapie"/>
        <w:rPr>
          <w:sz w:val="20"/>
        </w:rPr>
      </w:pPr>
      <w:r w:rsidRPr="00002415">
        <w:tab/>
      </w:r>
      <w:r w:rsidRPr="00002415">
        <w:rPr>
          <w:rStyle w:val="Refdenotaalpie"/>
          <w:sz w:val="20"/>
          <w:vertAlign w:val="baseline"/>
        </w:rPr>
        <w:t>*</w:t>
      </w:r>
      <w:r w:rsidRPr="00002415">
        <w:rPr>
          <w:rStyle w:val="Refdenotaalpie"/>
          <w:vertAlign w:val="baseline"/>
        </w:rPr>
        <w:tab/>
      </w:r>
      <w:r w:rsidRPr="00002415">
        <w:t>Se acordó publicar este documento tras la fecha prevista debido a circunstancias que escapan al control de quien lo presenta.</w:t>
      </w:r>
    </w:p>
  </w:footnote>
  <w:footnote w:id="2">
    <w:p w14:paraId="16FEF4B8" w14:textId="3F074815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1" w:history="1">
        <w:r w:rsidRPr="00002415">
          <w:rPr>
            <w:rStyle w:val="Hipervnculo"/>
          </w:rPr>
          <w:t>A/65/18</w:t>
        </w:r>
      </w:hyperlink>
      <w:r w:rsidRPr="00002415">
        <w:t>, párr. 85.</w:t>
      </w:r>
    </w:p>
  </w:footnote>
  <w:footnote w:id="3">
    <w:p w14:paraId="4DFEF14A" w14:textId="3DA1403B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2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10; y </w:t>
      </w:r>
      <w:hyperlink r:id="rId3" w:history="1">
        <w:r w:rsidRPr="00002415">
          <w:rPr>
            <w:rStyle w:val="Hipervnculo"/>
          </w:rPr>
          <w:t>CERD/C/HRV/9</w:t>
        </w:r>
      </w:hyperlink>
      <w:r w:rsidRPr="00002415">
        <w:t xml:space="preserve">–14, párrs. 6 a 8. </w:t>
      </w:r>
    </w:p>
  </w:footnote>
  <w:footnote w:id="4">
    <w:p w14:paraId="487B716F" w14:textId="4465DD0F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4" w:history="1">
        <w:r w:rsidRPr="00002415">
          <w:rPr>
            <w:rStyle w:val="Hipervnculo"/>
          </w:rPr>
          <w:t>CERD/C/HRV/9</w:t>
        </w:r>
      </w:hyperlink>
      <w:r w:rsidRPr="00002415">
        <w:t>–14, párrs. 9 a 11 y 109 a 114.</w:t>
      </w:r>
    </w:p>
  </w:footnote>
  <w:footnote w:id="5">
    <w:p w14:paraId="42BB8917" w14:textId="7EE2F12B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5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12; y </w:t>
      </w:r>
      <w:hyperlink r:id="rId6" w:history="1">
        <w:r w:rsidRPr="00002415">
          <w:rPr>
            <w:rStyle w:val="Hipervnculo"/>
          </w:rPr>
          <w:t>CERD/C/HRV/9-14</w:t>
        </w:r>
      </w:hyperlink>
      <w:r w:rsidRPr="00002415">
        <w:t>, párrs. 15 a 21 y párrs. 122 a 125.</w:t>
      </w:r>
    </w:p>
  </w:footnote>
  <w:footnote w:id="6">
    <w:p w14:paraId="2F87020F" w14:textId="1166EE31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7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12; y </w:t>
      </w:r>
      <w:hyperlink r:id="rId8" w:history="1">
        <w:r w:rsidRPr="00002415">
          <w:rPr>
            <w:rStyle w:val="Hipervnculo"/>
          </w:rPr>
          <w:t>CERD/C/HRV/9-14</w:t>
        </w:r>
      </w:hyperlink>
      <w:r w:rsidRPr="00002415">
        <w:t>, párrs. 20 a 125.</w:t>
      </w:r>
    </w:p>
  </w:footnote>
  <w:footnote w:id="7">
    <w:p w14:paraId="6966D6F5" w14:textId="68C5FFB9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9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13; y </w:t>
      </w:r>
      <w:hyperlink r:id="rId10" w:history="1">
        <w:r w:rsidRPr="00002415">
          <w:rPr>
            <w:rStyle w:val="Hipervnculo"/>
          </w:rPr>
          <w:t>CERD/C/HRV/9-14</w:t>
        </w:r>
      </w:hyperlink>
      <w:r w:rsidRPr="00002415">
        <w:t>, párrs. 29 y 30.</w:t>
      </w:r>
    </w:p>
  </w:footnote>
  <w:footnote w:id="8">
    <w:p w14:paraId="29516938" w14:textId="1676DEB4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bookmarkStart w:id="0" w:name="_Hlk137562667"/>
      <w:r w:rsidRPr="00002415">
        <w:tab/>
      </w:r>
      <w:hyperlink r:id="rId11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14; y </w:t>
      </w:r>
      <w:hyperlink r:id="rId12" w:history="1">
        <w:r w:rsidRPr="00002415">
          <w:rPr>
            <w:rStyle w:val="Hipervnculo"/>
          </w:rPr>
          <w:t>CERD/C/HRV/9-14</w:t>
        </w:r>
      </w:hyperlink>
      <w:r w:rsidRPr="00002415">
        <w:t>, párrs. 31 a 57.</w:t>
      </w:r>
      <w:bookmarkEnd w:id="0"/>
    </w:p>
  </w:footnote>
  <w:footnote w:id="9">
    <w:p w14:paraId="333E589E" w14:textId="14D96FC5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13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14; y </w:t>
      </w:r>
      <w:hyperlink r:id="rId14" w:history="1">
        <w:r w:rsidRPr="00002415">
          <w:rPr>
            <w:rStyle w:val="Hipervnculo"/>
          </w:rPr>
          <w:t>CERD/C/HRV/9-14</w:t>
        </w:r>
      </w:hyperlink>
      <w:r w:rsidRPr="00002415">
        <w:t>, párrs. 37 a 40.</w:t>
      </w:r>
    </w:p>
  </w:footnote>
  <w:footnote w:id="10">
    <w:p w14:paraId="79DA85FA" w14:textId="6C9505A2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15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18; y </w:t>
      </w:r>
      <w:hyperlink r:id="rId16" w:history="1">
        <w:r w:rsidRPr="00002415">
          <w:rPr>
            <w:rStyle w:val="Hipervnculo"/>
          </w:rPr>
          <w:t>CERD/C/HRV/9-14</w:t>
        </w:r>
      </w:hyperlink>
      <w:r w:rsidRPr="00002415">
        <w:t>, párrs. 85 a 89.</w:t>
      </w:r>
    </w:p>
  </w:footnote>
  <w:footnote w:id="11">
    <w:p w14:paraId="4F52CD31" w14:textId="1DA41723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bookmarkStart w:id="1" w:name="_Hlk137638174"/>
      <w:r w:rsidRPr="00002415">
        <w:tab/>
      </w:r>
      <w:hyperlink r:id="rId17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16; y </w:t>
      </w:r>
      <w:hyperlink r:id="rId18" w:history="1">
        <w:r w:rsidRPr="00002415">
          <w:rPr>
            <w:rStyle w:val="Hipervnculo"/>
          </w:rPr>
          <w:t>CERD/C/HRV/9-14</w:t>
        </w:r>
      </w:hyperlink>
      <w:r w:rsidRPr="00002415">
        <w:t>, párrs. 31 a 57 y 126 a 173.</w:t>
      </w:r>
      <w:bookmarkEnd w:id="1"/>
    </w:p>
  </w:footnote>
  <w:footnote w:id="12">
    <w:p w14:paraId="3696B6EE" w14:textId="089E95BC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19" w:history="1">
        <w:r w:rsidRPr="00002415">
          <w:rPr>
            <w:rStyle w:val="Hipervnculo"/>
          </w:rPr>
          <w:t>CERD/C/HRV/9-14</w:t>
        </w:r>
      </w:hyperlink>
      <w:r w:rsidRPr="00002415">
        <w:t xml:space="preserve">, párrs. 3, 23, 54, 74, 104 y 172. </w:t>
      </w:r>
    </w:p>
  </w:footnote>
  <w:footnote w:id="13">
    <w:p w14:paraId="4EF4920A" w14:textId="08808FEC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20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20; y </w:t>
      </w:r>
      <w:hyperlink r:id="rId21" w:history="1">
        <w:r w:rsidRPr="00002415">
          <w:rPr>
            <w:rStyle w:val="Hipervnculo"/>
          </w:rPr>
          <w:t>CERD/C/HRV/9-14</w:t>
        </w:r>
      </w:hyperlink>
      <w:r w:rsidRPr="00002415">
        <w:t xml:space="preserve">, párrs. 95 a 102. </w:t>
      </w:r>
    </w:p>
  </w:footnote>
  <w:footnote w:id="14">
    <w:p w14:paraId="179371B6" w14:textId="1F4C6380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22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15; y </w:t>
      </w:r>
      <w:hyperlink r:id="rId23" w:history="1">
        <w:r w:rsidRPr="00002415">
          <w:rPr>
            <w:rStyle w:val="Hipervnculo"/>
          </w:rPr>
          <w:t>CERD/C/HRV/9-14</w:t>
        </w:r>
      </w:hyperlink>
      <w:r w:rsidRPr="00002415">
        <w:t>, párrs. 58 a 70.</w:t>
      </w:r>
    </w:p>
  </w:footnote>
  <w:footnote w:id="15">
    <w:p w14:paraId="0E7E120F" w14:textId="57187744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24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19; y </w:t>
      </w:r>
      <w:hyperlink r:id="rId25" w:history="1">
        <w:r w:rsidRPr="00002415">
          <w:rPr>
            <w:rStyle w:val="Hipervnculo"/>
          </w:rPr>
          <w:t>CERD/C/HRV/9-14</w:t>
        </w:r>
      </w:hyperlink>
      <w:r w:rsidRPr="00002415">
        <w:t>, párrs. 90 a 94.</w:t>
      </w:r>
    </w:p>
  </w:footnote>
  <w:footnote w:id="16">
    <w:p w14:paraId="1587931B" w14:textId="610A703E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26" w:history="1">
        <w:r w:rsidRPr="00002415">
          <w:rPr>
            <w:rStyle w:val="Hipervnculo"/>
          </w:rPr>
          <w:t>CERD/C/HRV/9-14</w:t>
        </w:r>
      </w:hyperlink>
      <w:r w:rsidRPr="00002415">
        <w:t>, párrs. 126 a 173.</w:t>
      </w:r>
    </w:p>
  </w:footnote>
  <w:footnote w:id="17">
    <w:p w14:paraId="0D233B7E" w14:textId="77777777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r w:rsidRPr="002E58CC">
        <w:rPr>
          <w:i/>
        </w:rPr>
        <w:t>Ibid</w:t>
      </w:r>
      <w:r w:rsidRPr="00002415">
        <w:t>., párrs. 184 a 189.</w:t>
      </w:r>
    </w:p>
  </w:footnote>
  <w:footnote w:id="18">
    <w:p w14:paraId="1BAE0B98" w14:textId="029483E1" w:rsidR="00FB6E9E" w:rsidRPr="00002415" w:rsidRDefault="00FB6E9E" w:rsidP="00FB6E9E">
      <w:pPr>
        <w:pStyle w:val="Textonotapie"/>
      </w:pPr>
      <w:r w:rsidRPr="00002415">
        <w:tab/>
      </w:r>
      <w:r w:rsidRPr="00002415">
        <w:rPr>
          <w:rStyle w:val="Refdenotaalpie"/>
        </w:rPr>
        <w:footnoteRef/>
      </w:r>
      <w:r w:rsidRPr="00002415">
        <w:tab/>
      </w:r>
      <w:hyperlink r:id="rId27" w:history="1">
        <w:r w:rsidRPr="00002415">
          <w:rPr>
            <w:rStyle w:val="Hipervnculo"/>
          </w:rPr>
          <w:t>CERD/C/HRV/CO/8</w:t>
        </w:r>
      </w:hyperlink>
      <w:r w:rsidRPr="00002415">
        <w:t xml:space="preserve">, párr. 21; y </w:t>
      </w:r>
      <w:hyperlink r:id="rId28" w:history="1">
        <w:r w:rsidRPr="00002415">
          <w:rPr>
            <w:rStyle w:val="Hipervnculo"/>
          </w:rPr>
          <w:t>CERD/C/HRV/9-14</w:t>
        </w:r>
      </w:hyperlink>
      <w:r w:rsidRPr="00002415">
        <w:t xml:space="preserve">, párrs. 103 </w:t>
      </w:r>
      <w:r w:rsidR="002E58CC">
        <w:t>y</w:t>
      </w:r>
      <w:r w:rsidRPr="00002415">
        <w:t xml:space="preserve"> 104.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FE10" w14:textId="54BC0084" w:rsidR="007258E2" w:rsidRPr="007258E2" w:rsidRDefault="007258E2">
    <w:pPr>
      <w:pStyle w:val="Encabezado"/>
    </w:pPr>
    <w:fldSimple w:instr=" TITLE  \* MERGEFORMAT ">
      <w:r w:rsidR="00AC16FD">
        <w:t>CERD/C/HRV/Q/9-14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3F117" w14:textId="23174872" w:rsidR="007258E2" w:rsidRPr="007258E2" w:rsidRDefault="007258E2" w:rsidP="007258E2">
    <w:pPr>
      <w:pStyle w:val="Encabezado"/>
      <w:jc w:val="right"/>
    </w:pPr>
    <w:fldSimple w:instr=" TITLE  \* MERGEFORMAT ">
      <w:r w:rsidR="00AC16FD">
        <w:t>CERD/C/HRV/Q/9-14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448235433">
    <w:abstractNumId w:val="14"/>
  </w:num>
  <w:num w:numId="2" w16cid:durableId="1526406549">
    <w:abstractNumId w:val="11"/>
  </w:num>
  <w:num w:numId="3" w16cid:durableId="1940600502">
    <w:abstractNumId w:val="16"/>
  </w:num>
  <w:num w:numId="4" w16cid:durableId="2113092147">
    <w:abstractNumId w:val="15"/>
  </w:num>
  <w:num w:numId="5" w16cid:durableId="1091778006">
    <w:abstractNumId w:val="13"/>
  </w:num>
  <w:num w:numId="6" w16cid:durableId="1435594284">
    <w:abstractNumId w:val="8"/>
  </w:num>
  <w:num w:numId="7" w16cid:durableId="86464016">
    <w:abstractNumId w:val="3"/>
  </w:num>
  <w:num w:numId="8" w16cid:durableId="1964730174">
    <w:abstractNumId w:val="2"/>
  </w:num>
  <w:num w:numId="9" w16cid:durableId="380253756">
    <w:abstractNumId w:val="1"/>
  </w:num>
  <w:num w:numId="10" w16cid:durableId="1777628132">
    <w:abstractNumId w:val="0"/>
  </w:num>
  <w:num w:numId="11" w16cid:durableId="202984725">
    <w:abstractNumId w:val="9"/>
  </w:num>
  <w:num w:numId="12" w16cid:durableId="1671911973">
    <w:abstractNumId w:val="7"/>
  </w:num>
  <w:num w:numId="13" w16cid:durableId="1200971916">
    <w:abstractNumId w:val="6"/>
  </w:num>
  <w:num w:numId="14" w16cid:durableId="1042436002">
    <w:abstractNumId w:val="5"/>
  </w:num>
  <w:num w:numId="15" w16cid:durableId="1112093790">
    <w:abstractNumId w:val="4"/>
  </w:num>
  <w:num w:numId="16" w16cid:durableId="1300309396">
    <w:abstractNumId w:val="10"/>
  </w:num>
  <w:num w:numId="17" w16cid:durableId="1981574177">
    <w:abstractNumId w:val="14"/>
  </w:num>
  <w:num w:numId="18" w16cid:durableId="1019505831">
    <w:abstractNumId w:val="11"/>
  </w:num>
  <w:num w:numId="19" w16cid:durableId="607662847">
    <w:abstractNumId w:val="10"/>
  </w:num>
  <w:num w:numId="20" w16cid:durableId="702831068">
    <w:abstractNumId w:val="16"/>
  </w:num>
  <w:num w:numId="21" w16cid:durableId="222757951">
    <w:abstractNumId w:val="15"/>
  </w:num>
  <w:num w:numId="22" w16cid:durableId="1591498644">
    <w:abstractNumId w:val="12"/>
  </w:num>
  <w:num w:numId="23" w16cid:durableId="1700930757">
    <w:abstractNumId w:val="12"/>
  </w:num>
  <w:num w:numId="24" w16cid:durableId="32849620">
    <w:abstractNumId w:val="13"/>
  </w:num>
  <w:num w:numId="25" w16cid:durableId="596138169">
    <w:abstractNumId w:val="9"/>
  </w:num>
  <w:num w:numId="26" w16cid:durableId="1582326515">
    <w:abstractNumId w:val="7"/>
  </w:num>
  <w:num w:numId="27" w16cid:durableId="1212033652">
    <w:abstractNumId w:val="6"/>
  </w:num>
  <w:num w:numId="28" w16cid:durableId="475220352">
    <w:abstractNumId w:val="5"/>
  </w:num>
  <w:num w:numId="29" w16cid:durableId="2078430462">
    <w:abstractNumId w:val="4"/>
  </w:num>
  <w:num w:numId="30" w16cid:durableId="1486043411">
    <w:abstractNumId w:val="8"/>
  </w:num>
  <w:num w:numId="31" w16cid:durableId="161043498">
    <w:abstractNumId w:val="3"/>
  </w:num>
  <w:num w:numId="32" w16cid:durableId="38021671">
    <w:abstractNumId w:val="2"/>
  </w:num>
  <w:num w:numId="33" w16cid:durableId="485439432">
    <w:abstractNumId w:val="1"/>
  </w:num>
  <w:num w:numId="34" w16cid:durableId="49626438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55E"/>
    <w:rsid w:val="00002415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2E58CC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258E2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AC16FD"/>
    <w:rsid w:val="00B066FC"/>
    <w:rsid w:val="00B10CC7"/>
    <w:rsid w:val="00B5155E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B6E9E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23115"/>
  <w15:docId w15:val="{A36A4DB2-5570-483C-B523-7CECE84B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0024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sp/CERD/C/HRV/9-14" TargetMode="External"/><Relationship Id="rId13" Type="http://schemas.openxmlformats.org/officeDocument/2006/relationships/hyperlink" Target="http://undocs.org/sp/CERD/C/HRV/CO/8" TargetMode="External"/><Relationship Id="rId18" Type="http://schemas.openxmlformats.org/officeDocument/2006/relationships/hyperlink" Target="http://undocs.org/sp/CERD/C/HRV/9-14" TargetMode="External"/><Relationship Id="rId26" Type="http://schemas.openxmlformats.org/officeDocument/2006/relationships/hyperlink" Target="http://undocs.org/sp/CERD/C/HRV/9-14" TargetMode="External"/><Relationship Id="rId3" Type="http://schemas.openxmlformats.org/officeDocument/2006/relationships/hyperlink" Target="http://undocs.org/sp/CERD/C/HRV/9" TargetMode="External"/><Relationship Id="rId21" Type="http://schemas.openxmlformats.org/officeDocument/2006/relationships/hyperlink" Target="http://undocs.org/sp/CERD/C/HRV/9-14" TargetMode="External"/><Relationship Id="rId7" Type="http://schemas.openxmlformats.org/officeDocument/2006/relationships/hyperlink" Target="http://undocs.org/sp/CERD/C/HRV/CO/8" TargetMode="External"/><Relationship Id="rId12" Type="http://schemas.openxmlformats.org/officeDocument/2006/relationships/hyperlink" Target="http://undocs.org/sp/CERD/C/HRV/9-14" TargetMode="External"/><Relationship Id="rId17" Type="http://schemas.openxmlformats.org/officeDocument/2006/relationships/hyperlink" Target="http://undocs.org/sp/CERD/C/HRV/CO/8" TargetMode="External"/><Relationship Id="rId25" Type="http://schemas.openxmlformats.org/officeDocument/2006/relationships/hyperlink" Target="http://undocs.org/sp/CERD/C/HRV/9-14" TargetMode="External"/><Relationship Id="rId2" Type="http://schemas.openxmlformats.org/officeDocument/2006/relationships/hyperlink" Target="http://undocs.org/sp/CERD/C/HRV/CO/8" TargetMode="External"/><Relationship Id="rId16" Type="http://schemas.openxmlformats.org/officeDocument/2006/relationships/hyperlink" Target="http://undocs.org/sp/CERD/C/HRV/9-14" TargetMode="External"/><Relationship Id="rId20" Type="http://schemas.openxmlformats.org/officeDocument/2006/relationships/hyperlink" Target="http://undocs.org/sp/CERD/C/HRV/CO/8" TargetMode="External"/><Relationship Id="rId1" Type="http://schemas.openxmlformats.org/officeDocument/2006/relationships/hyperlink" Target="http://undocs.org/sp/A/65/18" TargetMode="External"/><Relationship Id="rId6" Type="http://schemas.openxmlformats.org/officeDocument/2006/relationships/hyperlink" Target="http://undocs.org/sp/CERD/C/HRV/9-14" TargetMode="External"/><Relationship Id="rId11" Type="http://schemas.openxmlformats.org/officeDocument/2006/relationships/hyperlink" Target="http://undocs.org/sp/CERD/C/HRV/CO/8" TargetMode="External"/><Relationship Id="rId24" Type="http://schemas.openxmlformats.org/officeDocument/2006/relationships/hyperlink" Target="http://undocs.org/sp/CERD/C/HRV/CO/8" TargetMode="External"/><Relationship Id="rId5" Type="http://schemas.openxmlformats.org/officeDocument/2006/relationships/hyperlink" Target="http://undocs.org/sp/CERD/C/HRV/CO/8" TargetMode="External"/><Relationship Id="rId15" Type="http://schemas.openxmlformats.org/officeDocument/2006/relationships/hyperlink" Target="http://undocs.org/sp/CERD/C/HRV/CO/8" TargetMode="External"/><Relationship Id="rId23" Type="http://schemas.openxmlformats.org/officeDocument/2006/relationships/hyperlink" Target="http://undocs.org/sp/CERD/C/HRV/9-14" TargetMode="External"/><Relationship Id="rId28" Type="http://schemas.openxmlformats.org/officeDocument/2006/relationships/hyperlink" Target="http://undocs.org/sp/CERD/C/HRV/9-14" TargetMode="External"/><Relationship Id="rId10" Type="http://schemas.openxmlformats.org/officeDocument/2006/relationships/hyperlink" Target="http://undocs.org/sp/CERD/C/HRV/9-14" TargetMode="External"/><Relationship Id="rId19" Type="http://schemas.openxmlformats.org/officeDocument/2006/relationships/hyperlink" Target="http://undocs.org/sp/CERD/C/HRV/9-14" TargetMode="External"/><Relationship Id="rId4" Type="http://schemas.openxmlformats.org/officeDocument/2006/relationships/hyperlink" Target="http://undocs.org/sp/CERD/C/HRV/9" TargetMode="External"/><Relationship Id="rId9" Type="http://schemas.openxmlformats.org/officeDocument/2006/relationships/hyperlink" Target="http://undocs.org/sp/CERD/C/HRV/CO/8" TargetMode="External"/><Relationship Id="rId14" Type="http://schemas.openxmlformats.org/officeDocument/2006/relationships/hyperlink" Target="http://undocs.org/sp/CERD/C/HRV/9-14" TargetMode="External"/><Relationship Id="rId22" Type="http://schemas.openxmlformats.org/officeDocument/2006/relationships/hyperlink" Target="http://undocs.org/sp/CERD/C/HRV/CO/8" TargetMode="External"/><Relationship Id="rId27" Type="http://schemas.openxmlformats.org/officeDocument/2006/relationships/hyperlink" Target="http://undocs.org/sp/CERD/C/HRV/CO/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27</TotalTime>
  <Pages>3</Pages>
  <Words>1233</Words>
  <Characters>6594</Characters>
  <Application>Microsoft Office Word</Application>
  <DocSecurity>0</DocSecurity>
  <Lines>113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CERD/C/HRV/Q/9-14</dc:title>
  <dc:subject/>
  <dc:creator>Juan-Carlos KOROL</dc:creator>
  <cp:keywords/>
  <cp:lastModifiedBy>Juan Korol</cp:lastModifiedBy>
  <cp:revision>3</cp:revision>
  <cp:lastPrinted>2023-07-04T14:49:00Z</cp:lastPrinted>
  <dcterms:created xsi:type="dcterms:W3CDTF">2023-07-04T14:49:00Z</dcterms:created>
  <dcterms:modified xsi:type="dcterms:W3CDTF">2023-07-04T14:50:00Z</dcterms:modified>
</cp:coreProperties>
</file>