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A3AE7" w14:textId="77777777" w:rsidR="00452985" w:rsidRDefault="00452985" w:rsidP="00452985">
      <w:pPr>
        <w:spacing w:line="60" w:lineRule="exact"/>
        <w:rPr>
          <w:color w:val="010000"/>
          <w:sz w:val="2"/>
        </w:rPr>
        <w:sectPr w:rsidR="00452985" w:rsidSect="00DD53D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14:paraId="21783DDC" w14:textId="60C9AE0A" w:rsidR="00DD53DD" w:rsidRDefault="00DD53DD" w:rsidP="00DD53DD">
      <w:pPr>
        <w:pStyle w:val="H1"/>
        <w:ind w:right="4080"/>
      </w:pPr>
      <w:r>
        <w:t>Комите</w:t>
      </w:r>
      <w:r>
        <w:t>т по ликвидации дискриминации в </w:t>
      </w:r>
      <w:r>
        <w:t>отношении женщин</w:t>
      </w:r>
    </w:p>
    <w:p w14:paraId="1CE9D560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51AB7D0B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AE8FF8A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17A0243B" w14:textId="6318916A" w:rsidR="00DD53DD" w:rsidRDefault="00DD53DD" w:rsidP="00DD53DD">
      <w:pPr>
        <w:framePr w:w="9792" w:h="432" w:hSpace="180" w:wrap="notBeside" w:hAnchor="page" w:x="1210" w:yAlign="bottom"/>
        <w:spacing w:line="240" w:lineRule="auto"/>
        <w:rPr>
          <w:sz w:val="2"/>
        </w:rPr>
      </w:pPr>
      <w:r>
        <w:rPr>
          <w:noProof/>
          <w:lang w:val="en-GB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F9EFDB7" wp14:editId="033D55FE">
                <wp:simplePos x="0" y="0"/>
                <wp:positionH relativeFrom="page">
                  <wp:posOffset>639445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8378DD"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50.35pt,-1pt" to="122.3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" strokecolor="#010000" strokeweight=".25pt">
                <o:lock v:ext="edit" shapetype="f"/>
                <w10:wrap anchorx="page"/>
              </v:line>
            </w:pict>
          </mc:Fallback>
        </mc:AlternateContent>
      </w:r>
    </w:p>
    <w:p w14:paraId="759AAFC4" w14:textId="77777777" w:rsidR="00DD53DD" w:rsidRDefault="00DD53DD" w:rsidP="00DD53DD">
      <w:pPr>
        <w:framePr w:w="9792" w:h="432" w:hSpace="180" w:wrap="notBeside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80" w:line="240" w:lineRule="auto"/>
        <w:ind w:left="1267" w:right="1260" w:hanging="576"/>
        <w:rPr>
          <w:spacing w:val="5"/>
          <w:w w:val="104"/>
          <w:sz w:val="17"/>
        </w:rPr>
      </w:pPr>
      <w:r>
        <w:rPr>
          <w:spacing w:val="5"/>
          <w:w w:val="104"/>
          <w:sz w:val="17"/>
        </w:rPr>
        <w:tab/>
        <w:t>*</w:t>
      </w:r>
      <w:r>
        <w:rPr>
          <w:spacing w:val="5"/>
          <w:w w:val="104"/>
          <w:sz w:val="17"/>
        </w:rPr>
        <w:tab/>
        <w:t>Приняты Комитетом на его шестьдесят девятой сессии (19 февраля — 9 марта 2018 года).</w:t>
      </w:r>
    </w:p>
    <w:p w14:paraId="4A55E538" w14:textId="22B20B96" w:rsidR="00DD53DD" w:rsidRDefault="00DD53DD" w:rsidP="00DD53DD">
      <w:pPr>
        <w:pStyle w:val="TitleH1"/>
        <w:rPr>
          <w:bCs/>
          <w:sz w:val="20"/>
        </w:rPr>
      </w:pPr>
      <w:r>
        <w:tab/>
      </w:r>
      <w:r>
        <w:tab/>
      </w:r>
      <w:r>
        <w:t>Заключительные замеч</w:t>
      </w:r>
      <w:r>
        <w:t>ания по объединенным третьему и </w:t>
      </w:r>
      <w:r>
        <w:t>четвертому периодическим докладам Саудовской Аравии</w:t>
      </w:r>
      <w:r>
        <w:rPr>
          <w:sz w:val="20"/>
        </w:rPr>
        <w:t>*</w:t>
      </w:r>
    </w:p>
    <w:p w14:paraId="5C47684A" w14:textId="77777777" w:rsidR="00DD53DD" w:rsidRDefault="00DD53DD" w:rsidP="00DD53DD">
      <w:pPr>
        <w:pStyle w:val="SingleTxt"/>
        <w:spacing w:after="0" w:line="120" w:lineRule="exact"/>
        <w:rPr>
          <w:b/>
          <w:sz w:val="10"/>
        </w:rPr>
      </w:pPr>
    </w:p>
    <w:p w14:paraId="3A78BBA5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44C37DD6" w14:textId="6684E9E9" w:rsidR="00DD53DD" w:rsidRDefault="00DD53DD" w:rsidP="00DD53DD">
      <w:pPr>
        <w:pStyle w:val="SingleTxt"/>
      </w:pPr>
      <w:r>
        <w:t>1.</w:t>
      </w:r>
      <w:r>
        <w:tab/>
        <w:t>Комитет рассмотрел объединенные третий и четвертый периодические доклады Саудовской Аравии (</w:t>
      </w:r>
      <w:hyperlink r:id="rId15" w:history="1">
        <w:r w:rsidRPr="00DD53DD">
          <w:rPr>
            <w:rStyle w:val="Hyperlink"/>
          </w:rPr>
          <w:t>CEDAW/C/SAU/3-4</w:t>
        </w:r>
      </w:hyperlink>
      <w:r>
        <w:t xml:space="preserve">) на своих 1582-м и 1583-м заседаниях (см. </w:t>
      </w:r>
      <w:hyperlink r:id="rId16" w:history="1">
        <w:r w:rsidRPr="00DD53DD">
          <w:rPr>
            <w:rStyle w:val="Hyperlink"/>
          </w:rPr>
          <w:t>CEDAW/C/SR.1582</w:t>
        </w:r>
      </w:hyperlink>
      <w:r>
        <w:t xml:space="preserve"> и </w:t>
      </w:r>
      <w:hyperlink r:id="rId17" w:history="1">
        <w:r w:rsidRPr="00DD53DD">
          <w:rPr>
            <w:rStyle w:val="Hyperlink"/>
          </w:rPr>
          <w:t>CEDAW/C/SR.1583</w:t>
        </w:r>
      </w:hyperlink>
      <w:r>
        <w:t xml:space="preserve">), проведенных 27 февраля 2018 года. Перечень тем и вопросов Комитета содержится в документе </w:t>
      </w:r>
      <w:hyperlink r:id="rId18" w:history="1">
        <w:r w:rsidRPr="00DD53DD">
          <w:rPr>
            <w:rStyle w:val="Hyperlink"/>
          </w:rPr>
          <w:t>CEDAW/C/SAU/Q/3-4</w:t>
        </w:r>
      </w:hyperlink>
      <w:r>
        <w:t>, а ответы Саудовской Аравии — в документе</w:t>
      </w:r>
      <w:hyperlink r:id="rId19" w:history="1">
        <w:r w:rsidRPr="00DD53DD">
          <w:rPr>
            <w:rStyle w:val="Hyperlink"/>
          </w:rPr>
          <w:t xml:space="preserve"> CEDAW/C/SAU/Q/3-4/Add.1</w:t>
        </w:r>
      </w:hyperlink>
      <w:r>
        <w:t>.</w:t>
      </w:r>
    </w:p>
    <w:p w14:paraId="1ABF4CDE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7F4971F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D565C20" w14:textId="77777777" w:rsidR="00DD53DD" w:rsidRDefault="00DD53DD" w:rsidP="00DD53D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A.</w:t>
      </w:r>
      <w:r>
        <w:tab/>
        <w:t>Введение</w:t>
      </w:r>
    </w:p>
    <w:p w14:paraId="351905A0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1BF9A857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53BBC395" w14:textId="77777777" w:rsidR="00DD53DD" w:rsidRDefault="00DD53DD" w:rsidP="00DD53DD">
      <w:pPr>
        <w:pStyle w:val="SingleTxt"/>
      </w:pPr>
      <w:r>
        <w:t>2.</w:t>
      </w:r>
      <w:r>
        <w:tab/>
      </w:r>
      <w:r>
        <w:rPr>
          <w:color w:val="000000"/>
        </w:rPr>
        <w:t>Комитет с признательностью отмечает представление государством-участником своих объединенных третьего и четвертого периодических докладов. Он также выражает удовлетворение по поводу письменных ответов государства-участника на перечень тем и вопросов, сформулированных предсессионной рабочей группой, а также по поводу устного заявления делегации и дополнительных пояснений, данных в ответ на устно поставленные Комитетом в ходе диалога вопросы.</w:t>
      </w:r>
    </w:p>
    <w:p w14:paraId="654B0AE3" w14:textId="77777777" w:rsidR="00DD53DD" w:rsidRDefault="00DD53DD" w:rsidP="00DD53DD">
      <w:pPr>
        <w:pStyle w:val="SingleTxt"/>
      </w:pPr>
      <w:r>
        <w:t>3.</w:t>
      </w:r>
      <w:r>
        <w:tab/>
      </w:r>
      <w:r>
        <w:rPr>
          <w:color w:val="000000"/>
        </w:rPr>
        <w:t>Комитет выражает признательность государству-участнику за направление им делегации высокого уровня, возглавляемой</w:t>
      </w:r>
      <w:r>
        <w:t xml:space="preserve"> председателем комиссии по правам человека в Саудовской Аравии Бандаром аль-Айбаном и включавшей представителей министерства иностранных дел, министерства юстиции, министерства здравоохранения, министерства образования, министерства внутренних дел, министерства труда и социального развития, министерства экономики и планирования, министерства по делам ислама, пропаганды и религиозного воспитания, министерства культуры и информации, прокуратуры, консультативной группы экспертов при Совете министров, Высшего судебного совета, главного департамента статистики, национальной программы по обеспечению безопасности в семьях, главного департамента спорта, </w:t>
      </w:r>
      <w:r>
        <w:rPr>
          <w:color w:val="000000"/>
        </w:rPr>
        <w:t>Центра гуманитарной и чрезвычайной помощи короля Сальмана, комиссии по правам человека в Саудовской Аравии и постоянного представительства Саудовской Аравии при Отделении Организации Объединенных Наций и других международных организациях в Женеве.</w:t>
      </w:r>
    </w:p>
    <w:p w14:paraId="0AED858D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552938F4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297AD477" w14:textId="77777777" w:rsidR="00DD53DD" w:rsidRDefault="00DD53DD" w:rsidP="00DD53D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B.</w:t>
      </w:r>
      <w:r>
        <w:tab/>
        <w:t xml:space="preserve">Позитивные аспекты </w:t>
      </w:r>
    </w:p>
    <w:p w14:paraId="68359B51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B945434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46F50AB" w14:textId="44E2D5B1" w:rsidR="00DD53DD" w:rsidRDefault="00DD53DD" w:rsidP="00DD53DD">
      <w:pPr>
        <w:pStyle w:val="SingleTxt"/>
      </w:pPr>
      <w:r>
        <w:t>4.</w:t>
      </w:r>
      <w:r>
        <w:tab/>
      </w:r>
      <w:r>
        <w:rPr>
          <w:color w:val="000000"/>
        </w:rPr>
        <w:t xml:space="preserve">Комитет приветствует прогресс </w:t>
      </w:r>
      <w:r>
        <w:t>в проведении законодательных реформ</w:t>
      </w:r>
      <w:r>
        <w:rPr>
          <w:color w:val="000000"/>
        </w:rPr>
        <w:t>, достигнутый за период после рассмотрения им в 2008 году объединенных первоначального и второго периодических докладов государства-участника</w:t>
      </w:r>
      <w:r>
        <w:t xml:space="preserve"> (</w:t>
      </w:r>
      <w:hyperlink r:id="rId20" w:history="1">
        <w:r w:rsidRPr="00DD53DD">
          <w:rPr>
            <w:rStyle w:val="Hyperlink"/>
          </w:rPr>
          <w:t>CEDAW/C/SAU/2</w:t>
        </w:r>
      </w:hyperlink>
      <w:r>
        <w:t>), в частности принятие:</w:t>
      </w:r>
    </w:p>
    <w:p w14:paraId="2D767AAD" w14:textId="77777777" w:rsidR="00DD53DD" w:rsidRDefault="00DD53DD" w:rsidP="00DD53DD">
      <w:pPr>
        <w:pStyle w:val="SingleTxt"/>
        <w:ind w:firstLine="9"/>
      </w:pPr>
      <w:r>
        <w:tab/>
      </w:r>
      <w:r>
        <w:rPr>
          <w:lang w:val="en-US"/>
        </w:rPr>
        <w:t>a</w:t>
      </w:r>
      <w:r>
        <w:t>)</w:t>
      </w:r>
      <w:r>
        <w:tab/>
        <w:t>Указа Короля от 26 сентября 2017 года, разрешающего выдачу водительских удостоверений на равных условиях женщинам и мужчинам;</w:t>
      </w:r>
    </w:p>
    <w:p w14:paraId="354D0E6C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Указа Короля № 33322 (2017 год), которым, помимо прочего, всем государственным учреждениям было дано указание воздержаться от того, чтобы требовать от женщин получения от опекуна-мужчины разрешения на доступ к услугам и процедурам, за исключением случаев, когда это допускается законом;</w:t>
      </w:r>
    </w:p>
    <w:p w14:paraId="682F1B53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  <w:t>Закона о защите от жестокого обращения (2013 год), которым установлена уголовная ответственность за бытовое насилие, включая физическое, психологическое и сексуальное насилие;</w:t>
      </w:r>
    </w:p>
    <w:p w14:paraId="7238340A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  <w:t xml:space="preserve">Указа Короля № </w:t>
      </w:r>
      <w:r>
        <w:rPr>
          <w:lang w:val="en-US"/>
        </w:rPr>
        <w:t>M</w:t>
      </w:r>
      <w:r>
        <w:t>/28 (2013 год) о внесении в статью 67 Закона о гражданском состоянии поправок, обязывающих женщин получить национальное удостоверение личности.</w:t>
      </w:r>
    </w:p>
    <w:p w14:paraId="71314B42" w14:textId="77777777" w:rsidR="00DD53DD" w:rsidRDefault="00DD53DD" w:rsidP="00DD53DD">
      <w:pPr>
        <w:pStyle w:val="SingleTxt"/>
      </w:pPr>
      <w:r>
        <w:t>5.</w:t>
      </w:r>
      <w:r>
        <w:tab/>
      </w:r>
      <w:r>
        <w:rPr>
          <w:color w:val="000000"/>
        </w:rPr>
        <w:t>Комитет приветствует усилия государства-участника по совершенствованию его институциональной и нормативной базы с целью активизации работы по ликвидации дискриминации в отношении женщин и поощрению гендерного равенства, включая принятие:</w:t>
      </w:r>
    </w:p>
    <w:p w14:paraId="0B2104E9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плана «Перспективы развития — 2030» (2016 год);</w:t>
      </w:r>
    </w:p>
    <w:p w14:paraId="0CC621B5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десятого плана развития на период 2015—2019 годов, направленного, помимо прочего, на расширение прав и возможностей женщин и повышение их вклада в экономическое и социальное развитие государства-участника.</w:t>
      </w:r>
    </w:p>
    <w:p w14:paraId="2807E609" w14:textId="77777777" w:rsidR="00DD53DD" w:rsidRDefault="00DD53DD" w:rsidP="00DD53DD">
      <w:pPr>
        <w:pStyle w:val="SingleTxt"/>
      </w:pPr>
      <w:r>
        <w:t>6.</w:t>
      </w:r>
      <w:r>
        <w:tab/>
      </w:r>
      <w:r>
        <w:rPr>
          <w:color w:val="000000"/>
        </w:rPr>
        <w:t>Комитет приветствует тот факт, что после рассмотрения предыдущего доклада государство-участник ратифицировало или присоединилось к следующим международным и региональным документам: </w:t>
      </w:r>
    </w:p>
    <w:p w14:paraId="5210B379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Конвенция 1973 года о минимальном возрасте (№ 138) Международной организации труда (в 2014 году);</w:t>
      </w:r>
    </w:p>
    <w:p w14:paraId="65C1F861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Факультативный протокол к Конвенции о правах ребенка, касающийся участия детей в вооруженных конфликтах (в 2011 году);</w:t>
      </w:r>
    </w:p>
    <w:p w14:paraId="5D628FC2" w14:textId="483E84CD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  <w:t>Факультативный протокол к Конвенции о правах ребенка, касающийся торговли детьми, детской проституци</w:t>
      </w:r>
      <w:r>
        <w:t>и и детской порнографии (в</w:t>
      </w:r>
      <w:r>
        <w:rPr>
          <w:lang w:val="en-US"/>
        </w:rPr>
        <w:t> </w:t>
      </w:r>
      <w:r>
        <w:t>2010</w:t>
      </w:r>
      <w:r>
        <w:rPr>
          <w:lang w:val="en-US"/>
        </w:rPr>
        <w:t> </w:t>
      </w:r>
      <w:r>
        <w:t>году);</w:t>
      </w:r>
    </w:p>
    <w:p w14:paraId="2931DC3F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  <w:t>Арабская хартия прав человека (в 2009 году);</w:t>
      </w:r>
    </w:p>
    <w:p w14:paraId="78DB1D66" w14:textId="1CEF8694" w:rsidR="00DD53DD" w:rsidRDefault="00DD53DD" w:rsidP="00DD53DD">
      <w:pPr>
        <w:pStyle w:val="SingleTxt"/>
      </w:pPr>
      <w:r>
        <w:tab/>
      </w:r>
      <w:r>
        <w:rPr>
          <w:lang w:val="en-US"/>
        </w:rPr>
        <w:t>e</w:t>
      </w:r>
      <w:r>
        <w:t>)</w:t>
      </w:r>
      <w:r>
        <w:tab/>
        <w:t>Конвенция о правах инвалидов и Факультативный протокол к н</w:t>
      </w:r>
      <w:r>
        <w:t>ей (в</w:t>
      </w:r>
      <w:r>
        <w:rPr>
          <w:lang w:val="en-US"/>
        </w:rPr>
        <w:t> </w:t>
      </w:r>
      <w:r>
        <w:t>2008 году).</w:t>
      </w:r>
    </w:p>
    <w:p w14:paraId="0903BAF5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F2807DE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устойчивого развития</w:t>
      </w:r>
    </w:p>
    <w:p w14:paraId="6DC2B8B2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23477FA" w14:textId="77777777" w:rsidR="00DD53DD" w:rsidRDefault="00DD53DD" w:rsidP="00DD53DD">
      <w:pPr>
        <w:pStyle w:val="SingleTxt"/>
      </w:pPr>
      <w:r>
        <w:t>7.</w:t>
      </w:r>
      <w:r>
        <w:tab/>
        <w:t>Комитет с удовлетворением отмечает приверженность государства-участника реализации целей в области устойчивого развития и созданию нового механизма для их достижения. Комитет напоминает о важности показателя 5.1.1 и высоко оценивает конструктивные усилия государства-участника по осуществлению стратегий устойчивого развития.</w:t>
      </w:r>
    </w:p>
    <w:p w14:paraId="11EBA0A4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177E7FDC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AFBCAF3" w14:textId="77777777" w:rsidR="00DD53DD" w:rsidRDefault="00DD53DD" w:rsidP="00DD53DD">
      <w:pPr>
        <w:pStyle w:val="H1"/>
        <w:ind w:right="1260"/>
      </w:pPr>
      <w:r>
        <w:tab/>
        <w:t>C.</w:t>
      </w:r>
      <w:r>
        <w:tab/>
        <w:t xml:space="preserve">Парламент </w:t>
      </w:r>
    </w:p>
    <w:p w14:paraId="58A5B6AD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85DE1FD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74B38A43" w14:textId="77777777" w:rsidR="00DD53DD" w:rsidRDefault="00DD53DD" w:rsidP="00DD53DD">
      <w:pPr>
        <w:pStyle w:val="SingleTxt"/>
      </w:pPr>
      <w:r>
        <w:t>8.</w:t>
      </w:r>
      <w:r>
        <w:tab/>
      </w:r>
      <w:r>
        <w:rPr>
          <w:b/>
          <w:color w:val="000000"/>
        </w:rPr>
        <w:t>Комитет подчеркивает важнейшую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сессии в 2010 году).</w:t>
      </w:r>
      <w:r>
        <w:rPr>
          <w:color w:val="000000"/>
        </w:rPr>
        <w:t> </w:t>
      </w:r>
      <w:r>
        <w:rPr>
          <w:b/>
          <w:color w:val="000000"/>
        </w:rPr>
        <w:t>Он предлагает Совету Шуры в соответствии с его мандатом принять необходимые меры для выполнения настоящих заключительных замечаний в срок до представления следующего периодического доклада.</w:t>
      </w:r>
    </w:p>
    <w:p w14:paraId="26CC2700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0100EBD1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1B6368FA" w14:textId="77777777" w:rsidR="00DD53DD" w:rsidRDefault="00DD53DD" w:rsidP="00DD53DD">
      <w:pPr>
        <w:pStyle w:val="H1"/>
        <w:ind w:right="1260"/>
        <w:jc w:val="both"/>
      </w:pPr>
      <w:r>
        <w:tab/>
        <w:t>D.</w:t>
      </w:r>
      <w:r>
        <w:tab/>
      </w:r>
      <w:r>
        <w:rPr>
          <w:bCs/>
        </w:rPr>
        <w:t>Основные проблемные области и рекомендации</w:t>
      </w:r>
    </w:p>
    <w:p w14:paraId="4FBEED34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A9EB393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55C0217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Снятие оговорок</w:t>
      </w:r>
    </w:p>
    <w:p w14:paraId="15C91795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5E9A5FD5" w14:textId="77777777" w:rsidR="00DD53DD" w:rsidRDefault="00DD53DD" w:rsidP="00DD53DD">
      <w:pPr>
        <w:pStyle w:val="SingleTxt"/>
      </w:pPr>
      <w:r>
        <w:t>9.</w:t>
      </w:r>
      <w:r>
        <w:tab/>
        <w:t>Несмотря на данные делегацией пояснения, Комитет по-прежнему обеспокоен тем, что государство-участник не желает снять свою общую оговорку, в соответствии с которой в случае любых противоречий между положениями Конвенции и нормами шариата шариат имеет преимущественную силу, а также свою оговорку к статье 9 2) Конвенции, что является препятствием для осуществления Конвенции в целом.</w:t>
      </w:r>
    </w:p>
    <w:p w14:paraId="635B4AC3" w14:textId="77777777" w:rsidR="00DD53DD" w:rsidRDefault="00DD53DD" w:rsidP="00DD53DD">
      <w:pPr>
        <w:pStyle w:val="SingleTxt"/>
        <w:rPr>
          <w:b/>
          <w:bCs/>
        </w:rPr>
      </w:pPr>
      <w:r>
        <w:t>10.</w:t>
      </w:r>
      <w:r>
        <w:rPr>
          <w:b/>
          <w:bCs/>
        </w:rPr>
        <w:tab/>
        <w:t>Комитет напоминает государству-участнику, что сделанная им общая оговорка несовместима с целями и задачами Конвенции и, соответственно, согласно статье 28 Конвенции не допускается (см. заявление Комитета об оговорках, принятое на девятнадцатой сессии в 1998 году). Комитет рекомендует государству-участнику пересмотреть свою общую оговорку и оговорку к статье 9 2) Конвенции, проведя консультации с лидерами религиозных общин, теологами и женщинами-руководителями, в целях снятия этих оговорок в установленный срок с учетом передовой практики стран, которые являются членами Организации исламского сотрудничества и имеют схожие культурные и религиозные особенности и правовые системы.</w:t>
      </w:r>
    </w:p>
    <w:p w14:paraId="4050199E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5BF3A920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Поправка к статье 20 1) Конвенции</w:t>
      </w:r>
    </w:p>
    <w:p w14:paraId="2DAC0B97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C4566F7" w14:textId="77777777" w:rsidR="00DD53DD" w:rsidRDefault="00DD53DD" w:rsidP="00DD53DD">
      <w:pPr>
        <w:pStyle w:val="SingleTxt"/>
      </w:pPr>
      <w:r>
        <w:t>11.</w:t>
      </w:r>
      <w:r>
        <w:tab/>
        <w:t>Комитет отмечает, что государство-участник намеревается принять поправку к статье 20 1) Конвенции о сроках проведения заседаний Комитета, но еще не предприняло необходимые для этого официальные шаги.</w:t>
      </w:r>
    </w:p>
    <w:p w14:paraId="4D8BD3AB" w14:textId="77777777" w:rsidR="00DD53DD" w:rsidRDefault="00DD53DD" w:rsidP="00DD53DD">
      <w:pPr>
        <w:pStyle w:val="SingleTxt"/>
        <w:rPr>
          <w:b/>
          <w:bCs/>
        </w:rPr>
      </w:pPr>
      <w:r>
        <w:t>12.</w:t>
      </w:r>
      <w:r>
        <w:rPr>
          <w:b/>
          <w:bCs/>
        </w:rPr>
        <w:tab/>
        <w:t>Комитет рекомендует государству-участнику принять поправку к статье 20 1) Конвенции о сроках проведения заседаний Комитета.</w:t>
      </w:r>
    </w:p>
    <w:p w14:paraId="08441AF8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7CB5963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Законодательная база</w:t>
      </w:r>
    </w:p>
    <w:p w14:paraId="0F30F4C6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42B002E" w14:textId="77777777" w:rsidR="00DD53DD" w:rsidRDefault="00DD53DD" w:rsidP="00DD53DD">
      <w:pPr>
        <w:pStyle w:val="SingleTxt"/>
      </w:pPr>
      <w:r>
        <w:t>13.</w:t>
      </w:r>
      <w:r>
        <w:tab/>
        <w:t xml:space="preserve">Комитет с обеспокоенностью отмечает то, каким образом государство-участник понимает принцип равенства, подразумевая под ним </w:t>
      </w:r>
      <w:r>
        <w:rPr>
          <w:color w:val="000000"/>
        </w:rPr>
        <w:t>взаимодополняемость и гармонию, а не равенство прав женщин и мужчин. Он также обеспокоен отсутствием всеобъемлющего законодательства о запрещении дискриминации и отсутствием в гарантии равенства, предусмотренной статьей 8 Основного низама о власти, таких признаков, как пол и гендер.</w:t>
      </w:r>
    </w:p>
    <w:p w14:paraId="60B2E403" w14:textId="77777777" w:rsidR="00DD53DD" w:rsidRDefault="00DD53DD" w:rsidP="00DD53DD">
      <w:pPr>
        <w:pStyle w:val="SingleTxt"/>
        <w:rPr>
          <w:b/>
          <w:bCs/>
        </w:rPr>
      </w:pPr>
      <w:r>
        <w:t>14.</w:t>
      </w:r>
      <w:r>
        <w:rPr>
          <w:b/>
          <w:bCs/>
        </w:rPr>
        <w:tab/>
        <w:t xml:space="preserve">Комитет рекомендует государству-участнику внести поправки в свой Основной низам о власти и принять и эффективно осуществлять всеобъемлющее законодательство о запрещении дискриминации, содержащее определение дискриминации в отношении женщин и охватывающее как прямую, так и косвенную дискриминацию в публичной и частной сферах и во всех областях, охватываемых Конвенцией, в соответствии со статьей 1 Конвенции. </w:t>
      </w:r>
    </w:p>
    <w:p w14:paraId="49E2383B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069413EB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Дискриминационные законы </w:t>
      </w:r>
    </w:p>
    <w:p w14:paraId="79CCC1BC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F313F4F" w14:textId="77777777" w:rsidR="00DD53DD" w:rsidRDefault="00DD53DD" w:rsidP="00DD53DD">
      <w:pPr>
        <w:pStyle w:val="SingleTxt"/>
      </w:pPr>
      <w:r>
        <w:t>15.</w:t>
      </w:r>
      <w:r>
        <w:tab/>
        <w:t>Комитет с признательностью отмечает, что в последнее время были введены в действие или изменены ряд нормативных актов, постановлений Кабинета и королевских указов о правах женщин. Вместе с тем он по-прежнему обеспокоен сохранением в государстве-участнике дискриминационных законов, в частности положений законодательства, касающихся личного статуса, Кодекса законов о гражданском статусе, Трудового кодекса, Закона о гражданстве и системы мужского опекунства, в соответствии с которой пользование женщинами большинством своих прав, предусмотренных Конвенцией, зависит от разрешения опекуна-мужчины. Отмечая, что законодательство государства-участника вытекает из норм шариата, Комитет, тем не менее, считает, что в мусульманской юрисдикции существует разнообразие мнений и юридические концепции, которые позволяют провести реформу законодательства и отменить дискриминационные нормы.</w:t>
      </w:r>
    </w:p>
    <w:p w14:paraId="5F5696D5" w14:textId="77777777" w:rsidR="00DD53DD" w:rsidRDefault="00DD53DD" w:rsidP="00DD53DD">
      <w:pPr>
        <w:pStyle w:val="SingleTxt"/>
        <w:rPr>
          <w:b/>
          <w:bCs/>
        </w:rPr>
      </w:pPr>
      <w:r>
        <w:t>16.</w:t>
      </w:r>
      <w:r>
        <w:tab/>
      </w:r>
      <w:r>
        <w:rPr>
          <w:b/>
        </w:rPr>
        <w:t>Комитет обращает внимание государства-участника на его обязательство обеспечить, чтобы традиции, религия и культура не использовались для оправдания дискриминации в отношении женщин и нарушения закрепленных в Конвенции прав. Он рекомендует государству-участнику:</w:t>
      </w:r>
    </w:p>
    <w:p w14:paraId="17E5611E" w14:textId="77777777" w:rsidR="00DD53DD" w:rsidRDefault="00DD53DD" w:rsidP="00DD53DD">
      <w:pPr>
        <w:pStyle w:val="SingleTxt"/>
        <w:rPr>
          <w:b/>
          <w:bCs/>
        </w:rPr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начать, с привлечением женщин, всеобщий национальный диалог о правах человека женщин в исламе в целях анализа действующего законодательства и подзаконных актов, для того чтобы отделить нормы, вытекающие из религии, от норм, относящихся к традициям и обычаям, и разработать теорию права, позволяющую адаптировать исламское законодательство к текущему контексту, связанному с правами женщин;</w:t>
      </w:r>
    </w:p>
    <w:p w14:paraId="55CB796A" w14:textId="77777777" w:rsidR="00DD53DD" w:rsidRDefault="00DD53DD" w:rsidP="00DD53DD">
      <w:pPr>
        <w:pStyle w:val="SingleTxt"/>
        <w:rPr>
          <w:b/>
          <w:bCs/>
        </w:rPr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ускорить проведение всеобъемлющего обзора своего законодательства в целях обеспечения его совместимости с Конвенцией;</w:t>
      </w:r>
    </w:p>
    <w:p w14:paraId="79FDB637" w14:textId="77777777" w:rsidR="00DD53DD" w:rsidRDefault="00DD53DD" w:rsidP="00DD53DD">
      <w:pPr>
        <w:pStyle w:val="SingleTxt"/>
        <w:rPr>
          <w:b/>
          <w:bCs/>
        </w:rPr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активизировать свои усилия по отмене всех остающихся в его законодательстве дискриминационных норм, в частности норм, которые для осуществления женщиной своих прав требуют получения разрешения от опекуна-мужчины, в соответствии со статьями 1 и 2 Конвенции и задачей 5.1 целей в области устойчивого развития по повсеместной ликвидации всех форм дискриминации в отношении всех женщин и девочек.</w:t>
      </w:r>
    </w:p>
    <w:p w14:paraId="15444C9A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783B63B8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 мир и безопасность</w:t>
      </w:r>
    </w:p>
    <w:p w14:paraId="196D7764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178A0063" w14:textId="77777777" w:rsidR="00DD53DD" w:rsidRDefault="00DD53DD" w:rsidP="00DD53DD">
      <w:pPr>
        <w:pStyle w:val="SingleTxt"/>
      </w:pPr>
      <w:r>
        <w:t>17.</w:t>
      </w:r>
      <w:r>
        <w:tab/>
        <w:t>Комитет обеспокоен заслуживающей доверия и непротиворечивой информацией о том, что государство-участник, проводя военные операции в Йемене, несет ответственность за нарушения прав йеменских женщин и девочек. В частности, Комитет выражает свою глубокую обеспокоенность информацией о том, что:</w:t>
      </w:r>
    </w:p>
    <w:p w14:paraId="243D8D44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в результате неизбирательных воздушных ударов коалиции, возглавляемой государством-участником, по жилым районам и лагерям для внутренне перемещенных лиц было убито и ранено большое число женщин и девочек;</w:t>
      </w:r>
    </w:p>
    <w:p w14:paraId="68611F20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многие женщины и девочки в Йемене сталкиваются с угрожающим жизни недостаточным питанием, а тысячам из них в настоящее время угрожает смерть от болезней из-за ужасающего гуманитарного кризиса и создания всеми воюющими сторонами препятствий для доставки гуманитарной помощи.</w:t>
      </w:r>
    </w:p>
    <w:p w14:paraId="70F3FC05" w14:textId="77777777" w:rsidR="00DD53DD" w:rsidRDefault="00DD53DD" w:rsidP="00DD53DD">
      <w:pPr>
        <w:pStyle w:val="SingleTxt"/>
        <w:rPr>
          <w:b/>
          <w:bCs/>
        </w:rPr>
      </w:pPr>
      <w:r>
        <w:tab/>
        <w:t>18.</w:t>
      </w:r>
      <w:r>
        <w:tab/>
      </w:r>
      <w:r>
        <w:rPr>
          <w:b/>
        </w:rPr>
        <w:t>Комитет настоятельно призывает государство-участника:</w:t>
      </w:r>
    </w:p>
    <w:p w14:paraId="5B182D26" w14:textId="77777777" w:rsidR="00DD53DD" w:rsidRDefault="00DD53DD" w:rsidP="00DD53DD">
      <w:pPr>
        <w:pStyle w:val="SingleTxt"/>
        <w:rPr>
          <w:b/>
          <w:bCs/>
        </w:rPr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прекратить свои военные операции в Йемене и использовать мирные средства разрешения конфликта;</w:t>
      </w:r>
    </w:p>
    <w:p w14:paraId="4988E2D8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обеспечить соблюдение норм международного гуманитарного права, применимых к женщинам в условиях вооруженного конфликта;</w:t>
      </w:r>
    </w:p>
    <w:p w14:paraId="237362B8" w14:textId="0B035B01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 xml:space="preserve">обеспечить запрет ударов по гражданскому населению и гражданским объектам и способствовать быстрой и беспрепятственной доставке гуманитарной помощи для нуждающегося в </w:t>
      </w:r>
      <w:r>
        <w:rPr>
          <w:b/>
        </w:rPr>
        <w:t>ней гражданского населения (см.</w:t>
      </w:r>
      <w:r>
        <w:rPr>
          <w:b/>
          <w:lang w:val="en-US"/>
        </w:rPr>
        <w:t> </w:t>
      </w:r>
      <w:r>
        <w:rPr>
          <w:b/>
        </w:rPr>
        <w:t xml:space="preserve">документ </w:t>
      </w:r>
      <w:hyperlink r:id="rId21" w:history="1">
        <w:r w:rsidRPr="00DD53DD">
          <w:rPr>
            <w:rStyle w:val="Hyperlink"/>
          </w:rPr>
          <w:t>A/HRC/33/38</w:t>
        </w:r>
      </w:hyperlink>
      <w:r>
        <w:rPr>
          <w:b/>
          <w:bCs/>
        </w:rPr>
        <w:t xml:space="preserve">, пункты 71 </w:t>
      </w:r>
      <w:r>
        <w:rPr>
          <w:b/>
          <w:bCs/>
          <w:lang w:val="en-US"/>
        </w:rPr>
        <w:t>b</w:t>
      </w:r>
      <w:r>
        <w:rPr>
          <w:b/>
          <w:bCs/>
        </w:rPr>
        <w:t xml:space="preserve">) и </w:t>
      </w:r>
      <w:r>
        <w:rPr>
          <w:b/>
          <w:bCs/>
          <w:lang w:val="en-US"/>
        </w:rPr>
        <w:t>d</w:t>
      </w:r>
      <w:r>
        <w:rPr>
          <w:b/>
          <w:bCs/>
        </w:rPr>
        <w:t>));</w:t>
      </w:r>
    </w:p>
    <w:p w14:paraId="1C9EF60D" w14:textId="2792066E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d</w:t>
      </w:r>
      <w:r>
        <w:t>)</w:t>
      </w:r>
      <w:r>
        <w:tab/>
      </w:r>
      <w:r>
        <w:rPr>
          <w:b/>
        </w:rPr>
        <w:t xml:space="preserve">отреагировать на призыв Верховного комиссара Организации Объединенных Наций по правам человека об учреждении международного независимого следственного органа для проведения всеобъемлющих расследований обвинений в нарушениях международного гуманитарного права и международных норм и стандартов в области прав человека </w:t>
      </w:r>
      <w:r>
        <w:rPr>
          <w:b/>
        </w:rPr>
        <w:t xml:space="preserve">в Йемене (см. там же, пункт 74 </w:t>
      </w:r>
      <w:r>
        <w:rPr>
          <w:b/>
          <w:lang w:val="en-US"/>
        </w:rPr>
        <w:t>a</w:t>
      </w:r>
      <w:r>
        <w:rPr>
          <w:b/>
        </w:rPr>
        <w:t>));</w:t>
      </w:r>
    </w:p>
    <w:p w14:paraId="195215F6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e</w:t>
      </w:r>
      <w:r>
        <w:t>)</w:t>
      </w:r>
      <w:r>
        <w:tab/>
      </w:r>
      <w:r>
        <w:rPr>
          <w:b/>
        </w:rPr>
        <w:t>обеспечить затронутым конфликтом женщинам реальный доступ к правосудию, средствам правовой защиты и помощи, включая психологическую помощь;</w:t>
      </w:r>
    </w:p>
    <w:p w14:paraId="7D212B8C" w14:textId="407B06CC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f</w:t>
      </w:r>
      <w:r>
        <w:t>)</w:t>
      </w:r>
      <w:r>
        <w:tab/>
      </w:r>
      <w:r>
        <w:rPr>
          <w:b/>
          <w:color w:val="000000"/>
        </w:rPr>
        <w:t xml:space="preserve">содействовать конструктивному включению и участию женщин в официальных и неофициальных мирных переговорах и деятельности по предупреждению, урегулированию и разрешению конфликтов в соответствии с резолюцией </w:t>
      </w:r>
      <w:hyperlink r:id="rId22" w:history="1">
        <w:r w:rsidRPr="00DD53DD">
          <w:rPr>
            <w:rStyle w:val="Hyperlink"/>
          </w:rPr>
          <w:t>1325 (2000)</w:t>
        </w:r>
      </w:hyperlink>
      <w:r>
        <w:rPr>
          <w:b/>
          <w:color w:val="000000"/>
        </w:rPr>
        <w:t xml:space="preserve"> Совета Безопасности по вопросам положения женщин, мира и безопасности и последующими резолюциями по этим вопросам, а также общей рекомендацией Комитета № 30 (2013) о положении женщин в условиях предотвращения конфликтов, в конфликтных и постконфликтных ситуациях, в особенности в том, что касается экстерриториальных обязательств государств-участников.</w:t>
      </w:r>
    </w:p>
    <w:p w14:paraId="7C908800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4FBE68CD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к правосудию</w:t>
      </w:r>
    </w:p>
    <w:p w14:paraId="56C7639A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A44F0B3" w14:textId="77777777" w:rsidR="00DD53DD" w:rsidRDefault="00DD53DD" w:rsidP="00DD53DD">
      <w:pPr>
        <w:pStyle w:val="SingleTxt"/>
      </w:pPr>
      <w:r>
        <w:t>19.</w:t>
      </w:r>
      <w:r>
        <w:tab/>
        <w:t xml:space="preserve">Комитет отмечает меры, принятые в целях уменьшения количества препятствий для доступа женщин к правосудию, и различные механизмы обжалования, доступные женщинам, являющимся жертвами дискриминации или гендерного насилия. Вместе с тем он обеспокоен сохраняющимися барьерами, препятствующими доступу женщин к правосудию, в частности: </w:t>
      </w:r>
    </w:p>
    <w:p w14:paraId="01D2D022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медленной реализацией мер, принятых в целях облегчения доступа;</w:t>
      </w:r>
    </w:p>
    <w:p w14:paraId="0F87584F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отсутствием координации между механизмами обжалования;</w:t>
      </w:r>
    </w:p>
    <w:p w14:paraId="56538BC4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  <w:t>ограниченным знанием женщинами своих прав и существующих механизмов обжалования и их страхом перед возмездием и стигматизацией;</w:t>
      </w:r>
    </w:p>
    <w:p w14:paraId="5E25D078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  <w:t>отсутствием надлежащих служб юридической помощи;</w:t>
      </w:r>
    </w:p>
    <w:p w14:paraId="6BBB6581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e</w:t>
      </w:r>
      <w:r>
        <w:t>)</w:t>
      </w:r>
      <w:r>
        <w:tab/>
      </w:r>
      <w:r>
        <w:rPr>
          <w:color w:val="000000"/>
        </w:rPr>
        <w:t>недостаточными знаниями сотрудников правоохранительных органов и практикующих юристов о правах женщин и недостаточным вниманием к этим вопросам</w:t>
      </w:r>
      <w:r>
        <w:t>;</w:t>
      </w:r>
    </w:p>
    <w:p w14:paraId="0F3204DF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f</w:t>
      </w:r>
      <w:r>
        <w:t>)</w:t>
      </w:r>
      <w:r>
        <w:tab/>
        <w:t>необходимостью получения женщинами и девочками разрешения от опекуна-мужчины для подачи жалоб.</w:t>
      </w:r>
    </w:p>
    <w:p w14:paraId="0CF18DFF" w14:textId="77777777" w:rsidR="00DD53DD" w:rsidRDefault="00DD53DD" w:rsidP="00DD53DD">
      <w:pPr>
        <w:pStyle w:val="SingleTxt"/>
      </w:pPr>
      <w:r>
        <w:t>20.</w:t>
      </w:r>
      <w:r>
        <w:tab/>
      </w:r>
      <w:r>
        <w:rPr>
          <w:b/>
        </w:rPr>
        <w:t xml:space="preserve">Комитет </w:t>
      </w:r>
      <w:r>
        <w:rPr>
          <w:b/>
          <w:color w:val="000000"/>
        </w:rPr>
        <w:t>в соответствии со своей общей рекомендацией № 33 (2015) о доступе женщин к правосудию рекомендует государству-участнику:</w:t>
      </w:r>
    </w:p>
    <w:p w14:paraId="29E11ED8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ускорить реализацию мер, принятых в целях облегчения доступа женщин к правосудию;</w:t>
      </w:r>
    </w:p>
    <w:p w14:paraId="3C690894" w14:textId="77777777" w:rsidR="00DD53DD" w:rsidRDefault="00DD53DD" w:rsidP="00DD53DD">
      <w:pPr>
        <w:pStyle w:val="SingleTxt"/>
        <w:rPr>
          <w:b/>
          <w:bCs/>
        </w:rPr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повысить степень координации между механизмами обжалования;</w:t>
      </w:r>
    </w:p>
    <w:p w14:paraId="247AF3E1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повысить уровень осведомленность женщин о своих правах и средствах обеспечения их соблюдения;</w:t>
      </w:r>
    </w:p>
    <w:p w14:paraId="1BEAB79D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</w:r>
      <w:r>
        <w:rPr>
          <w:b/>
        </w:rPr>
        <w:t>поощрять женщин, являющихся жертвами гендерной дискриминации, сообщать о таких случаях, в том числе путем предоставления им защиты от любых форм возмездия и путем их дестигматизации;</w:t>
      </w:r>
    </w:p>
    <w:p w14:paraId="1692B058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e</w:t>
      </w:r>
      <w:r>
        <w:t>)</w:t>
      </w:r>
      <w:r>
        <w:tab/>
      </w:r>
      <w:r>
        <w:rPr>
          <w:b/>
        </w:rPr>
        <w:t>создать систему юридической помощи, являющуюся доступной, устойчивой и отвечающей потребностям женщин;</w:t>
      </w:r>
      <w:r>
        <w:t xml:space="preserve"> </w:t>
      </w:r>
    </w:p>
    <w:p w14:paraId="1483DD30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f</w:t>
      </w:r>
      <w:r>
        <w:t>)</w:t>
      </w:r>
      <w:r>
        <w:tab/>
      </w:r>
      <w:r>
        <w:rPr>
          <w:b/>
          <w:color w:val="000000"/>
        </w:rPr>
        <w:t>принять незамедлительные меры, включая разработку программ повышения квалификации и обучения по вопросам применения Конвенции и соблюдения прав женщин для сотрудников систем правосудия, и привести нормы, процедуры и практику шариатских судов в соответствие с Конвенцией и другими международными стандартами в области прав человека;</w:t>
      </w:r>
    </w:p>
    <w:p w14:paraId="21C93D47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g</w:t>
      </w:r>
      <w:r>
        <w:t>)</w:t>
      </w:r>
      <w:r>
        <w:tab/>
      </w:r>
      <w:r>
        <w:rPr>
          <w:b/>
        </w:rPr>
        <w:t>обеспечить возможность подачи женщинами и девочками жалоб без разрешения опекуна-мужчины.</w:t>
      </w:r>
    </w:p>
    <w:p w14:paraId="4040812B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05A82731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Национальный механизм по улучшению положения женщин </w:t>
      </w:r>
    </w:p>
    <w:p w14:paraId="1EF42ABD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18186762" w14:textId="77777777" w:rsidR="00DD53DD" w:rsidRDefault="00DD53DD" w:rsidP="00DD53DD">
      <w:pPr>
        <w:pStyle w:val="SingleTxt"/>
      </w:pPr>
      <w:r>
        <w:t>21.</w:t>
      </w:r>
      <w:r>
        <w:tab/>
        <w:t>Комитет с признательностью отмечает амбициозный проект «Перспективы развития — 2030» и считает его уникальной возможностью для расширения прав человека женщин. Он также отмечает создание в 2016 году Совета по делам семьи, который является органом по надзору и координации, ответственным за разработку политики по вопросам, связанным с семьей, женщинами, детьми и пожилыми людьми. Вместе с тем он обеспокоен отсутствием информации о нормативно-правовой базе, определяющей мандат и полномочия Совета и регулирующей его взаимоотношения с соответствующими министерствами и организациями, включая отделы по делам женщин; отсутствием кадровых, технических и финансовых ресурсов, выделенных на его функционирование из бюджета страны; а также отсутствием представленности Совета на уровне мухафаз и местном уровне. Комитет также обеспокоен тем, что государство-участник так и не разработало и не приняло национальную стратегию по поддержке гендерного равенства и расширению прав и возможностей женщин.</w:t>
      </w:r>
    </w:p>
    <w:p w14:paraId="7B42E274" w14:textId="77777777" w:rsidR="00DD53DD" w:rsidRDefault="00DD53DD" w:rsidP="00DD53DD">
      <w:pPr>
        <w:pStyle w:val="SingleTxt"/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4FF683C3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обеспечить согласованность между проектом «Перспективы развития — 2030» и целями в области устойчивого развития для ускорения реализации прав женщин и расширения их прав и возможностей;</w:t>
      </w:r>
    </w:p>
    <w:p w14:paraId="3F29A0FD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предоставить подробную информацию о мандате, статусе и полномочиях Совета по делам семьи и его взаимоотношениях с соответствующими министерствами и женскими неправительственными организациями, о кадровых, технических и финансовых ресурсах, выделенных Совету из бюджета страны, и о представленности Совета на уровне мухафаз и местном уровне;</w:t>
      </w:r>
    </w:p>
    <w:p w14:paraId="3B11D8E3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в оперативном порядке разработать и принять национальную стратегию по поддержке гендерного равенства и расширению прав и возможностей женщин, а также план действий, четко определяющий компетенцию национальных и местных органов власти по ее реализации и подкрепленный комплексной системой сбора и контроля данных.</w:t>
      </w:r>
    </w:p>
    <w:p w14:paraId="36BA412D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2263247B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Национальное учреждение по поощрению и защите прав человека</w:t>
      </w:r>
    </w:p>
    <w:p w14:paraId="507B40F3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237781F2" w14:textId="77777777" w:rsidR="00DD53DD" w:rsidRDefault="00DD53DD" w:rsidP="00DD53DD">
      <w:pPr>
        <w:pStyle w:val="SingleTxt"/>
      </w:pPr>
      <w:r>
        <w:t>23.</w:t>
      </w:r>
      <w:r>
        <w:tab/>
        <w:t>Комитет отмечает, что национальная комиссия по правам человека осуществляет мониторинг и принимает от женщин жалобы на нарушения их прав человека. Вместе с тем он обеспокоен тем, что государство-участник так и не создало независимое национальное учреждение по поощрению и защите прав человека в соответствии с Принципами, касающимися статуса национальных учреждений по поощрению и защите прав человека (Парижские принципы).</w:t>
      </w:r>
    </w:p>
    <w:p w14:paraId="3AC0E852" w14:textId="77777777" w:rsidR="00DD53DD" w:rsidRDefault="00DD53DD" w:rsidP="00DD53DD">
      <w:pPr>
        <w:pStyle w:val="SingleTxt"/>
      </w:pPr>
      <w:r>
        <w:t>24.</w:t>
      </w:r>
      <w:r>
        <w:tab/>
      </w:r>
      <w:r>
        <w:rPr>
          <w:b/>
        </w:rPr>
        <w:t>Комитет рекомендует государству-участнику в оперативном порядке создать независимое национальное учреждение по поощрению и защите прав человека в соответствии с Парижскими принципами и обеспечить наличие у такого учреждения специальных полномочий по поощрению и защите прав женщин и обеспечению гендерного равенства и достаточных кадровых, технических и финансовых ресурсов.</w:t>
      </w:r>
    </w:p>
    <w:p w14:paraId="159D6F9A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53CF2A4E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Гражданское общество и неправительственные организации</w:t>
      </w:r>
    </w:p>
    <w:p w14:paraId="4D96D77D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2ED5B87E" w14:textId="77777777" w:rsidR="00DD53DD" w:rsidRDefault="00DD53DD" w:rsidP="00DD53DD">
      <w:pPr>
        <w:pStyle w:val="SingleTxt"/>
      </w:pPr>
      <w:r>
        <w:t>25.</w:t>
      </w:r>
      <w:r>
        <w:tab/>
        <w:t>Комитет отмечает принятие Закона об ассоциациях и фондах (2015 год) и увеличение в государстве-участнике количества организаций гражданского общества. Вместе с тем он по-прежнему обеспокоен:</w:t>
      </w:r>
    </w:p>
    <w:p w14:paraId="58138AB2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отсутствием активного, самостоятельного и диверсифицированного гражданского общества, что находит свое отражение в отсутствии альтернативных докладов об осуществлении Конвенции в государстве-участнике, получаемых Комитетом от национальных неправительственных организаций;</w:t>
      </w:r>
    </w:p>
    <w:p w14:paraId="00BCAF1A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тем, что свобода ассоциаций женщин сдерживается длительными регистрационными процедурами и зависит от одобрения со стороны министерства труда и социального развития, а также избыточным надзором и тем, что ассоциациям, в том числе женским организациям, запрещено работать в области политических прав и прав человека.</w:t>
      </w:r>
    </w:p>
    <w:p w14:paraId="61962327" w14:textId="77777777" w:rsidR="00DD53DD" w:rsidRDefault="00DD53DD" w:rsidP="00DD53DD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 xml:space="preserve">Комитет рекомендует государству-участнику внести в Закон об ассоциациях и фондах поправки в целях обеспечения благоприятных условий для свободного создания организаций гражданского общества, в частности женских неправительственных организаций и ассоциаций, и их участия в политической и общественной жизни страны в соответствии со статьей 7 </w:t>
      </w:r>
      <w:r>
        <w:rPr>
          <w:b/>
          <w:lang w:val="en-US"/>
        </w:rPr>
        <w:t>c</w:t>
      </w:r>
      <w:r>
        <w:rPr>
          <w:b/>
        </w:rPr>
        <w:t>) Конвенции.</w:t>
      </w:r>
    </w:p>
    <w:p w14:paraId="57CF7D8A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4E0FEB6D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вредная практика</w:t>
      </w:r>
    </w:p>
    <w:p w14:paraId="53C79BB3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2BACF978" w14:textId="77777777" w:rsidR="00DD53DD" w:rsidRDefault="00DD53DD" w:rsidP="00DD53DD">
      <w:pPr>
        <w:pStyle w:val="SingleTxt"/>
      </w:pPr>
      <w:r>
        <w:t>27.</w:t>
      </w:r>
      <w:r>
        <w:tab/>
        <w:t>Комитет отмечает усилия государства-участника по искоренению дискриминационных стереотипных представлений о ролях и обязанностях женщин и мужчин в обществе и семье. Вместе с тем он по-прежнему обеспокоен сохранением дискриминационных стереотипов, которые касаются в основном роли женщин как матерей и домохозяек.</w:t>
      </w:r>
    </w:p>
    <w:p w14:paraId="25EB4976" w14:textId="77777777" w:rsidR="00DD53DD" w:rsidRDefault="00DD53DD" w:rsidP="00DD53DD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рекомендует государству-участнику незамедлительно принять всеобъемлющую стратегию и план действий в целях изменения или искоренения патриархальных устоев и стереотипов, являющихся дискриминационными по отношению к женщинам, в сотрудничестве с гражданским обществом, средствами массовой информации, лидерами общин и религиозными лидерами и в целях просвещения и повышения осведомленности о равных ролях и обязанностях женщин и мужчин в семье и обществе.</w:t>
      </w:r>
    </w:p>
    <w:p w14:paraId="4E6DF7AD" w14:textId="77777777" w:rsidR="00DD53DD" w:rsidRDefault="00DD53DD" w:rsidP="00DD53DD">
      <w:pPr>
        <w:pStyle w:val="SingleTxt"/>
      </w:pPr>
      <w:r>
        <w:t>29.</w:t>
      </w:r>
      <w:r>
        <w:tab/>
        <w:t>Комитет обеспокоен сохранением ряда вредных практик, включая детские и/или принудительные браки и обязательные для соблюдения требования к внешнему виду и одежде женщин.</w:t>
      </w:r>
    </w:p>
    <w:p w14:paraId="6BC39072" w14:textId="240A21DE" w:rsidR="00DD53DD" w:rsidRDefault="00DD53DD" w:rsidP="00DD53DD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 xml:space="preserve">В свете совместной общей рекомендации № 31 </w:t>
      </w:r>
      <w:r>
        <w:rPr>
          <w:b/>
          <w:color w:val="000000"/>
        </w:rPr>
        <w:t>Комитета по ликвидации д</w:t>
      </w:r>
      <w:r>
        <w:rPr>
          <w:b/>
          <w:color w:val="000000"/>
        </w:rPr>
        <w:t>искриминации в отношении женщин</w:t>
      </w:r>
      <w:r>
        <w:rPr>
          <w:b/>
          <w:color w:val="000000"/>
        </w:rPr>
        <w:t>/замечания общего порядка №</w:t>
      </w:r>
      <w:r>
        <w:rPr>
          <w:b/>
          <w:color w:val="000000"/>
          <w:lang w:val="en-US"/>
        </w:rPr>
        <w:t> </w:t>
      </w:r>
      <w:r>
        <w:rPr>
          <w:b/>
          <w:color w:val="000000"/>
        </w:rPr>
        <w:t>18 Комитета по правам ребенка (2014 год) в отношении вредной практики</w:t>
      </w:r>
      <w:r>
        <w:rPr>
          <w:b/>
        </w:rPr>
        <w:t xml:space="preserve"> Комитет рекомендует государству-участнику:</w:t>
      </w:r>
    </w:p>
    <w:p w14:paraId="48895522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провести национальное обследование распространенных видов вредной практики, включая детские и/или принудительные браки, и продолжить принимать меры по их искоренению, в особенности в сельских и удаленных районах;</w:t>
      </w:r>
    </w:p>
    <w:p w14:paraId="5793CC99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гарантировать право женщин на выбор своей одежды, в том числе путем принятия эффективных мер по защите их от насилия, угроз и принуждения со стороны религиозной полиций и опекунов-мужчин;</w:t>
      </w:r>
    </w:p>
    <w:p w14:paraId="5C1CDBDA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активизировать меры по поддержке жертв вредной практики, такие как предоставление приютов и оказание услуг консультирования и реабилитации, и повысить степень осведомленности о многочисленных негативных последствиях такой практики, в особенности среди родителей, преподавателей, религиозных лидеров, лидеров общин и специалистов в области здравоохранения и образования.</w:t>
      </w:r>
    </w:p>
    <w:p w14:paraId="5A2B24F8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443611B7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Гендерное насилие в отношении женщин</w:t>
      </w:r>
    </w:p>
    <w:p w14:paraId="6952683A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1975759B" w14:textId="77777777" w:rsidR="00DD53DD" w:rsidRDefault="00DD53DD" w:rsidP="00DD53DD">
      <w:pPr>
        <w:pStyle w:val="SingleTxt"/>
      </w:pPr>
      <w:r>
        <w:t>31.</w:t>
      </w:r>
      <w:r>
        <w:tab/>
        <w:t>Комитет отмечает вступление в силу Закона о защите от жестокого обращения (2013 год), которым установлена уголовная ответственность за бытовое насилие, а также отмечает создание приютов на всей территории страны. Вместе с тем он обеспокоен следующим:</w:t>
      </w:r>
    </w:p>
    <w:p w14:paraId="4A2D6A70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распространенность гендерного насилия в отношении женщин, в особенности бытового и сексуального насилия, случаи которого по-прежнему в существенной степени не регистрируются и не документируются должным образом;</w:t>
      </w:r>
    </w:p>
    <w:p w14:paraId="4B592E31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отсутствие в Законе о защите от жестокого обращения норм об уголовной ответственности за изнасилование, включая изнасилование в браке, сексуальные домогательства и экономическое насилие;</w:t>
      </w:r>
    </w:p>
    <w:p w14:paraId="374DF008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  <w:t>отсутствие всеобъемлющего законодательства об установлении уголовной ответственности за гендерное насилие всех форм в отношении женщин;</w:t>
      </w:r>
    </w:p>
    <w:p w14:paraId="43FE41C4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  <w:t>то, что родственники-мужчины могут подавать судебные иски к находящимся на их иждивении «непокорным» женщинам, спасающимся от бытового насилия;</w:t>
      </w:r>
    </w:p>
    <w:p w14:paraId="0C2DD466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e</w:t>
      </w:r>
      <w:r>
        <w:t>)</w:t>
      </w:r>
      <w:r>
        <w:tab/>
        <w:t>сохраняющееся применение опекунами-мужчинами физического насилия для приучения к дисциплине находящихся под их опекой женщин и детей;</w:t>
      </w:r>
    </w:p>
    <w:p w14:paraId="5539F883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f</w:t>
      </w:r>
      <w:r>
        <w:t>)</w:t>
      </w:r>
      <w:r>
        <w:tab/>
        <w:t>то, что сотрудники полиции иногда требуют от женщин подавать жалобы в присутствии опекуна-мужчины или другого родственника-мужчины или через них;</w:t>
      </w:r>
    </w:p>
    <w:p w14:paraId="2BFFA0EB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g</w:t>
      </w:r>
      <w:r>
        <w:t>)</w:t>
      </w:r>
      <w:r>
        <w:tab/>
        <w:t>низкие показатели судебного преследования и осуждения лиц, виновных в гендерном насилии в отношении женщин, и мягкие меры наказания, применяемые в отношении этих лиц;</w:t>
      </w:r>
    </w:p>
    <w:p w14:paraId="08CD1D5C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h</w:t>
      </w:r>
      <w:r>
        <w:t>)</w:t>
      </w:r>
      <w:r>
        <w:tab/>
        <w:t>частое обращение к процедурам примирения в случаях бытового насилия, что влечет повторную виктимизацию, и частое принудительное возвращение сотрудниками правоохранительных органов спасающихся бегством женщин к жестоко обращающимся с ними лицам;</w:t>
      </w:r>
    </w:p>
    <w:p w14:paraId="3FEBF890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i</w:t>
      </w:r>
      <w:r>
        <w:t>)</w:t>
      </w:r>
      <w:r>
        <w:tab/>
        <w:t>отсутствие служб поддержки женщин, являющихся жертвами гендерного насилия, и тот факт, что им не позволено покидать государственные приюты без согласия их опекуна-мужчины.</w:t>
      </w:r>
    </w:p>
    <w:p w14:paraId="5AAB713F" w14:textId="77777777" w:rsidR="00DD53DD" w:rsidRDefault="00DD53DD" w:rsidP="00DD53DD">
      <w:pPr>
        <w:pStyle w:val="SingleTxt"/>
      </w:pPr>
      <w:r>
        <w:t>32.</w:t>
      </w:r>
      <w:r>
        <w:tab/>
      </w:r>
      <w:r>
        <w:rPr>
          <w:b/>
        </w:rPr>
        <w:t>Ссылаясь на свою общую рекомендацию № 35 (2017) о гендерном насилии в отношении женщин, уточняющую общую рекомендацию № 19, Комитет рекомендует государству-участнику:</w:t>
      </w:r>
    </w:p>
    <w:p w14:paraId="7E245BEB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обеспечить соблюдение Закона о защите от жестокого обращения и активизировать свои усилия по борьбе со всеми формами гендерного насилия в отношении женщин, включая бытовое и сексуальное насилие;</w:t>
      </w:r>
    </w:p>
    <w:p w14:paraId="53E74500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принять всеобъемлющее законодательство в целях четкого определения всех форм гендерного насилия в отношении женщин, в частности экономического насилия, изнасилования, включая изнасилование в браке, форм сексуальных посягательств и домогательств без проникновения, и установления уголовной ответственности за них и ускорить принятие законопроекта о домогательствах;</w:t>
      </w:r>
    </w:p>
    <w:p w14:paraId="6A4EE9F0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пересмотреть и отменить все нормы законодательства, снимающие вину с лиц, совершивших бытовое насилие, включая опекунов-мужчин;</w:t>
      </w:r>
    </w:p>
    <w:p w14:paraId="70718D54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d</w:t>
      </w:r>
      <w:r>
        <w:t>)</w:t>
      </w:r>
      <w:r>
        <w:tab/>
      </w:r>
      <w:r>
        <w:rPr>
          <w:b/>
        </w:rPr>
        <w:t>внести в свое законодательство поправки, гарантирующие то, что бегущие из своего дома женщины, являющиеся жертвами бытового насилия, не будут признаны виновными в неповиновении;</w:t>
      </w:r>
    </w:p>
    <w:p w14:paraId="4F47B3FE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e</w:t>
      </w:r>
      <w:r>
        <w:t>)</w:t>
      </w:r>
      <w:r>
        <w:tab/>
      </w:r>
      <w:r>
        <w:rPr>
          <w:b/>
        </w:rPr>
        <w:t>устранить все существующие юридические препятствия для доступа женщин и девочек, являющихся жертвами гендерного насилия, к правосудию, средствам правовой защиты и получению возмещения, включая требование о получении от опекуна-мужчины разрешения на подачу жалоб, и выделить достаточные кадровые, технические и финансовые ресурсы центру, созданному для принятия и расследования жалоб на бытовое насилие, в целях обеспечения его полноценной работы;</w:t>
      </w:r>
    </w:p>
    <w:p w14:paraId="0CD10772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f</w:t>
      </w:r>
      <w:r>
        <w:t>)</w:t>
      </w:r>
      <w:r>
        <w:tab/>
      </w:r>
      <w:r>
        <w:rPr>
          <w:b/>
        </w:rPr>
        <w:t>поощрять жертв гендерного насилия в отношении женщин сообщать о таких случаях, в том числе путем дестигматизации таких жертв, и организовать программы повышения квалификации для судей, прокуроров, сотрудников полиции и сотрудников других правоохранительных органов в целях их обучения строгому применению соответствующих норм уголовного права и методам расследования таких случаев с учетом гендерных факторов;</w:t>
      </w:r>
    </w:p>
    <w:p w14:paraId="4A1750AB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g</w:t>
      </w:r>
      <w:r>
        <w:t>)</w:t>
      </w:r>
      <w:r>
        <w:tab/>
      </w:r>
      <w:r>
        <w:rPr>
          <w:b/>
        </w:rPr>
        <w:t>обеспечить надлежащее проведение расследований и судебное преследование в связи с сообщениями о гендерном насилии в отношении женщин, включая бытовое насилие, надлежащее наказание виновных лиц и доступ жертв к надлежащим средствам правовой защиты, включая получение компенсации;</w:t>
      </w:r>
    </w:p>
    <w:p w14:paraId="7B7E890F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h</w:t>
      </w:r>
      <w:r>
        <w:t>)</w:t>
      </w:r>
      <w:r>
        <w:tab/>
      </w:r>
      <w:r>
        <w:rPr>
          <w:b/>
        </w:rPr>
        <w:t>усилить службы поддержки женщин, являющихся жертвами гендерного насилия, в том числе путем создания дополнительных приютов на всей территории государства-участника и обеспечения наличия программ психологической реабилитации и реинтеграции, и принять понятные и четкие правила, согласно которым женщины могут покинуть такие приюты без их выдачи опекуну-мужчине.</w:t>
      </w:r>
    </w:p>
    <w:p w14:paraId="405CF597" w14:textId="77777777" w:rsidR="00DD53DD" w:rsidRDefault="00DD53DD" w:rsidP="00DD53DD">
      <w:pPr>
        <w:pStyle w:val="SingleTxt"/>
      </w:pPr>
      <w:r>
        <w:t>33.</w:t>
      </w:r>
      <w:r>
        <w:tab/>
        <w:t>Комитет обеспокоен тем, что женщинам и девочкам, являющимся жертвами сексуальных надругательств, угрожает уголовное преследование в случае выдвижения ими обвинений, поскольку сообщение об изнасиловании или сексуальном посягательстве, если оно не будет доказано, может быть сочтено признанием в сексуальных отношениях вне брака («зина») или супружеской неверности, за что в государстве-участнике установлено наказание в виде порки или забивания камнями, а в некоторых случаях в виде смертной казни.</w:t>
      </w:r>
    </w:p>
    <w:p w14:paraId="4946867C" w14:textId="77777777" w:rsidR="00DD53DD" w:rsidRDefault="00DD53DD" w:rsidP="00DD53DD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рекомендует государству-участнику внести в свое законодательство поправки в целях недопущения наказания жертв сексуальных надругательств в случае выдвижения ими обвинений, которые впоследствии не могут быть доказаны, и незамедлительно освободить, с выплатой им компенсаций, женщин и девочек, которые были признаны судом виновными в совершении «зины» или супружеской неверности и отбывают наказание за них, в особенности женщин-мигрантов, являющихся жертвами сексуального насилия и сексуальных надругательств.</w:t>
      </w:r>
    </w:p>
    <w:p w14:paraId="31A21AB7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2E7A5E3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14:paraId="7BD3D346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085D0E28" w14:textId="30E379A1" w:rsidR="00DD53DD" w:rsidRDefault="00DD53DD" w:rsidP="00DD53DD">
      <w:pPr>
        <w:pStyle w:val="SingleTxt"/>
      </w:pPr>
      <w:r>
        <w:t>35.</w:t>
      </w:r>
      <w:r>
        <w:tab/>
        <w:t>Комитет отмечает принятие Закона о борьбе с преступлениями, связанными с торговлей людьми (в 2009 году), и национального плана борьбы с торговлей людьми на период 2017</w:t>
      </w:r>
      <w:r w:rsidRPr="00DD53DD">
        <w:t>–</w:t>
      </w:r>
      <w:r>
        <w:t>2020 годов и учреждение Постоянного комитета по борьбе с торговлей людьми. Вместе с тем Комитет обеспокоен:</w:t>
      </w:r>
    </w:p>
    <w:p w14:paraId="74F4D365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ограниченным обеспечением соблюдения Закона о борьбе с торговлей людьми, что находит свое отражение в низких показателях судебного преследования и осуждения по делам о торговле женщинами и девочками;</w:t>
      </w:r>
    </w:p>
    <w:p w14:paraId="6F5EB2BD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отсутствием информации о выделенных Постоянному комитету ресурсах и его возможностях координировать и контролировать действия правительства по борьбе с торговлей людьми;</w:t>
      </w:r>
    </w:p>
    <w:p w14:paraId="1EFBEFFA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  <w:t>отсутствием адекватных механизмов выявления и направления в надлежащие социальные службы жертв торговли людьми или эксплуатации проституции, которые, как сообщается, иногда арестовываются, задерживаются и депортируются за деяния, совершенные после того, как они стали объектами торговли;</w:t>
      </w:r>
    </w:p>
    <w:p w14:paraId="42321247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</w:r>
      <w:r>
        <w:rPr>
          <w:color w:val="000000"/>
        </w:rPr>
        <w:t>отсутствием систематических мер по реабилитации и реинтеграции жертв торговли людьми, включая доступ к услугам консультирования, лечения и психологической помощи и к получению возмещения, включая компенсацию.</w:t>
      </w:r>
    </w:p>
    <w:p w14:paraId="15F3FA13" w14:textId="77777777" w:rsidR="00DD53DD" w:rsidRDefault="00DD53DD" w:rsidP="00DD53DD">
      <w:pPr>
        <w:pStyle w:val="SingleTxt"/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BCD5AEE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обеспечить реальное соблюдение Закона о борьбе с преступлениями, связанными с торговлей людьми, путем организации для судей, прокуроров, сотрудников пограничной полиции, иммиграционных органов и других правоохранительных органов обязательного обучения его применению с учетом гендерных факторов;</w:t>
      </w:r>
    </w:p>
    <w:p w14:paraId="202646DD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  <w:color w:val="000000"/>
        </w:rPr>
        <w:t>проводить расследования, привлекать к ответственности и наказывать виновных лиц по всем делам, связанным с торговлей людьми, в частности женщинами и девочками, и обеспечить соразмерность выносимых виновным лицам приговоров тяжести преступления;</w:t>
      </w:r>
    </w:p>
    <w:p w14:paraId="77793D0F" w14:textId="5C04810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обеспечить предоставление Постоянному комитету по борьбе с торговлей людьми достаточных кадровых, технических и финансовых ресурсов для осуществления национального плана по борьбе с торговлей людьми на период 2017</w:t>
      </w:r>
      <w:r w:rsidRPr="00DD53DD">
        <w:rPr>
          <w:b/>
        </w:rPr>
        <w:t>–</w:t>
      </w:r>
      <w:r>
        <w:rPr>
          <w:b/>
        </w:rPr>
        <w:t xml:space="preserve">2020 годов, обеспечить межучрежденческую координацию </w:t>
      </w:r>
      <w:r>
        <w:rPr>
          <w:b/>
          <w:color w:val="000000"/>
        </w:rPr>
        <w:t>действий государственных сил безопасности, судебных и социальных учреждений в целях борьбы с торговлей людьми и активизировать их сотрудничество с гражданским обществом;</w:t>
      </w:r>
    </w:p>
    <w:p w14:paraId="0128722C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</w:r>
      <w:r>
        <w:rPr>
          <w:b/>
        </w:rPr>
        <w:t>внедрить адекватные механизмы раннего выявления жертв торговли людьми и оказания им помощи;</w:t>
      </w:r>
    </w:p>
    <w:p w14:paraId="07B0B012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e</w:t>
      </w:r>
      <w:r>
        <w:t>)</w:t>
      </w:r>
      <w:r>
        <w:tab/>
      </w:r>
      <w:r>
        <w:rPr>
          <w:b/>
        </w:rPr>
        <w:t>обеспечить освобождение женщин, являющихся жертвами торговли людьми и эксплуатации проституции, независимо от их этнического, национального или социального происхождения и правового статуса, от любой ответственности и предоставить им достаточную защиту и возможность получения возмещения, включая реабилитацию и компенсацию, а также временные виды на жительство;</w:t>
      </w:r>
    </w:p>
    <w:p w14:paraId="205F4ADB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f</w:t>
      </w:r>
      <w:r>
        <w:t>)</w:t>
      </w:r>
      <w:r>
        <w:tab/>
      </w:r>
      <w:r>
        <w:rPr>
          <w:b/>
        </w:rPr>
        <w:t>приложить усилия, направленные на международное, региональное и двустороннее сотрудничество со странами происхождения, транзита и назначения, в том числе с помощью обмена информацией и унификации процедур, в целях предупреждения торговли людьми и привлечения виновных к ответственности.</w:t>
      </w:r>
    </w:p>
    <w:p w14:paraId="02C767E6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6E9A474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Женщины-мигранты, работающие в качестве домашней прислуги </w:t>
      </w:r>
    </w:p>
    <w:p w14:paraId="3C56D9B0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AE9F812" w14:textId="77777777" w:rsidR="00DD53DD" w:rsidRDefault="00DD53DD" w:rsidP="00DD53DD">
      <w:pPr>
        <w:pStyle w:val="SingleTxt"/>
      </w:pPr>
      <w:r>
        <w:t>37.</w:t>
      </w:r>
      <w:r>
        <w:tab/>
        <w:t>Комитет с признательностью отмечает принятые государством-участником меры по защите прав женщин-мигрантов, работающих в качестве домашней прислуги, в частности принятие Положения о домашней прислуге и аналогичных работниках (2013 год). Вместе с тем он с обеспокоенностью отмечает:</w:t>
      </w:r>
    </w:p>
    <w:p w14:paraId="2CDEC127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что женщины-мигранты, работающие в качестве домашней прислуги, по-прежнему подвергаются экономическому и физическому насилию и эксплуатации, конфискации паспортов работодателями и де-факто сохраняющемуся действию системы спонсорства «кафала», которая еще более повышает риск эксплуатации и затрудняет смену женщинами работодателей даже в случаях жестокого обращения;</w:t>
      </w:r>
    </w:p>
    <w:p w14:paraId="78A4BD52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ограниченную защиту, предоставляемую Положением о домашней прислуге и аналогичных работниках, выведение домашних работников из-под сферы действия Трудового кодекса и исключение их доступа к судам по трудовым вопросам и тот факт, что домашние работники по-прежнему не могут сменить своего работодателя, не будучи обвиненными в «покушении на побег»;</w:t>
      </w:r>
    </w:p>
    <w:p w14:paraId="62FFEFEB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  <w:t>препятствия, затрудняющие доступ женщин-мигрантов, работающих в качестве домашней прислуги, к правосудию, включая наличие у них опасений относительно задержания и депортации во время судебного процесса;</w:t>
      </w:r>
    </w:p>
    <w:p w14:paraId="0FA3F167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  <w:t>отсутствие регулярных проверок условий труда женщин-мигрантов, работающих в качестве домашней прислуги, на их рабочих местах;</w:t>
      </w:r>
    </w:p>
    <w:p w14:paraId="1F70A688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e</w:t>
      </w:r>
      <w:r>
        <w:t>)</w:t>
      </w:r>
      <w:r>
        <w:tab/>
        <w:t>отсутствие механизма обеспечения выполнения трудовых договоров женщин-мигрантов, работающих в качестве домашней прислуги;</w:t>
      </w:r>
    </w:p>
    <w:p w14:paraId="3FB16608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f</w:t>
      </w:r>
      <w:r>
        <w:t>)</w:t>
      </w:r>
      <w:r>
        <w:tab/>
        <w:t>ненадлежащие условия в государственных приютах для женщин-мигрантов, работающих в качестве домашней прислуги и являющихся жертвами жестокого обращения и эксплуатации, поскольку эти приюты зачастую оказываются переполненными, предоставляют недостаточные услуги по поддержке и ограничивают свободу передвижения.</w:t>
      </w:r>
    </w:p>
    <w:p w14:paraId="13A40458" w14:textId="77777777" w:rsidR="00DD53DD" w:rsidRDefault="00DD53DD" w:rsidP="00DD53DD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в соответствии со своей общей рекомендацией № 26 (2008) о трудящихся женщинах-мигрантах рекомендует государству-участнику:</w:t>
      </w:r>
    </w:p>
    <w:p w14:paraId="164769BB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обеспечить строгое соблюдение Положения о домашней прислуге и аналогичных работниках;</w:t>
      </w:r>
    </w:p>
    <w:p w14:paraId="4CAFE288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распространить применение Трудового кодекса на домашних работников и принять специальный закон, регулирующий домашний труд и устанавливающий надлежащее наказание для работодателей, допускающих злоупотребления;</w:t>
      </w:r>
    </w:p>
    <w:p w14:paraId="12924CB5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 xml:space="preserve">продолжать </w:t>
      </w:r>
      <w:r>
        <w:rPr>
          <w:b/>
          <w:color w:val="000000"/>
        </w:rPr>
        <w:t>повышать уровень осведомленности женщин-мигрантов, работающих в качестве домашней прислуги, об их правах, предусмотренных Конвенцией, и существующих средствах правовой защиты для подачи жалоб на нарушения этих прав, в том числе на языке, который они понимают, и осуществлять контроль за деятельностью агентств по трудоустройству, в том числе путем создания механизма обеспечения соблюдения правил в целях использования в государстве-участнике контрактов, единообразных с контрактами, применяемыми в странах происхождения работников;</w:t>
      </w:r>
    </w:p>
    <w:p w14:paraId="1195724E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</w:r>
      <w:r>
        <w:rPr>
          <w:b/>
        </w:rPr>
        <w:t xml:space="preserve">обеспечить соблюдение права домашних работников менять работодателей на законной основе, не будучи обвиненными в покушении на побег, и </w:t>
      </w:r>
      <w:r>
        <w:rPr>
          <w:b/>
          <w:color w:val="000000"/>
        </w:rPr>
        <w:t>обеспечить реальный доступ к правосудию для женщин-мигрантов, работающих в качестве домашней прислуги, в том числе гарантируя им безопасность и предоставляя им временные виды на жительство на время судебного процесса;</w:t>
      </w:r>
    </w:p>
    <w:p w14:paraId="2D4ED6CE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e</w:t>
      </w:r>
      <w:r>
        <w:t>)</w:t>
      </w:r>
      <w:r>
        <w:tab/>
      </w:r>
      <w:r>
        <w:rPr>
          <w:b/>
        </w:rPr>
        <w:t>обеспечить строгое соблюдение запрета на конфискацию паспортов и обеспечить проведение регулярных проверок условий труда на рабочих местах и в общежитиях трудящихся женщин-мигрантов, в том числе в частных домах;</w:t>
      </w:r>
    </w:p>
    <w:p w14:paraId="449366B7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f</w:t>
      </w:r>
      <w:r>
        <w:t>)</w:t>
      </w:r>
      <w:r>
        <w:tab/>
      </w:r>
      <w:r>
        <w:rPr>
          <w:b/>
        </w:rPr>
        <w:t xml:space="preserve">укрепить службы социального обеспечения и помощи, предоставляемых </w:t>
      </w:r>
      <w:r>
        <w:rPr>
          <w:b/>
          <w:color w:val="000000"/>
        </w:rPr>
        <w:t>женщинам-мигрантам, работающим в качестве домашней прислуги и являющимся жертвами жестокого обращения и эксплуатации, включая юридическую, медицинскую и психологическую помощь и надлежащие приюты, и обеспечить при оказании таких услуг и помощи учет гендерных факторов и их доступность для всех женщин-мигрантов, работающих в качестве домашней прислуги, в том числе тех, у кого отсутствуют документы;</w:t>
      </w:r>
    </w:p>
    <w:p w14:paraId="65D85810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g</w:t>
      </w:r>
      <w:r>
        <w:t>)</w:t>
      </w:r>
      <w:r>
        <w:tab/>
      </w:r>
      <w:r>
        <w:rPr>
          <w:b/>
        </w:rPr>
        <w:t xml:space="preserve">в ходе административных и судебных процессов, в том числе в ходе процедур задержания и высылки, обеспечить </w:t>
      </w:r>
      <w:r>
        <w:rPr>
          <w:b/>
          <w:color w:val="000000"/>
        </w:rPr>
        <w:t>женщинам-мигрантам, работающим в качестве домашней прислуги, в частности имеющим неурегулированный статус, предоставление гарантии соблюдения надлежащей законной процедуры в судах;</w:t>
      </w:r>
    </w:p>
    <w:p w14:paraId="37B758FF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h</w:t>
      </w:r>
      <w:r>
        <w:t>)</w:t>
      </w:r>
      <w:r>
        <w:tab/>
      </w:r>
      <w:r>
        <w:rPr>
          <w:b/>
        </w:rPr>
        <w:t xml:space="preserve">ратифицировать Международную конвенцию </w:t>
      </w:r>
      <w:r>
        <w:rPr>
          <w:rStyle w:val="preferred"/>
          <w:b/>
        </w:rPr>
        <w:t>о защите прав всех трудящихся-мигрантов и членов их семей и Конвенцию Международной организации труда № 189 о достойном труде домашних работников 2011 года.</w:t>
      </w:r>
    </w:p>
    <w:p w14:paraId="0FDDF9CB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51C49B57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14:paraId="7E883417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4A434E3E" w14:textId="77777777" w:rsidR="00DD53DD" w:rsidRDefault="00DD53DD" w:rsidP="00DD53DD">
      <w:pPr>
        <w:pStyle w:val="SingleTxt"/>
      </w:pPr>
      <w:r>
        <w:t>39.</w:t>
      </w:r>
      <w:r>
        <w:tab/>
        <w:t>Комитет приветствует назначение женщин в Совет Шуры в соответствии с 20-процентной квотой и принятие Закона о муниципальных советах (2014 год), предоставляющего женщинам право голоса на выборах в муниципальные советы и право быть избранными в советы. Вместе с тем он обеспокоен очень низкой степенью участия женщин в принятии решений на всех уровнях, включая правительство, Совет Шуры, муниципальные советы, судебные органы и дипломатическую службу, и принятием недостаточных мер для устранения причин такой ситуации, включая существующие социальные и культурные установки.</w:t>
      </w:r>
    </w:p>
    <w:p w14:paraId="131D6BFB" w14:textId="77777777" w:rsidR="00DD53DD" w:rsidRDefault="00DD53DD" w:rsidP="00DD53DD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В соответствии со своей общей рекомендацией № 23 (1997), касающейся роли женщин в политической и общественной жизни, Комитет рекомендует государству-участнику:</w:t>
      </w:r>
    </w:p>
    <w:p w14:paraId="6AC42C49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 xml:space="preserve">принять меры, включая временные специальные меры, в соответствии со статьей 4 1) Конвенции и общей рекомендацией Комитета № 25 (2004) о временных специальных мерах, такие как увеличение </w:t>
      </w:r>
      <w:r>
        <w:rPr>
          <w:b/>
          <w:color w:val="000000"/>
        </w:rPr>
        <w:t xml:space="preserve">квот и определение ориентировочных показателей с конкретными сроками, с целью стимулирования равноправного и полного участия женщин в политической и общественной жизни и в принятии решений на национальном и местном уровнях, включая правительство, </w:t>
      </w:r>
      <w:r>
        <w:rPr>
          <w:b/>
        </w:rPr>
        <w:t>Совет Шуры, муниципальные советы, судебные органы и дипломатическую службу;</w:t>
      </w:r>
    </w:p>
    <w:p w14:paraId="02E3DDE4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 xml:space="preserve">устранить культурные и практические барьеры, препятствующие полноценному участию женщин в муниципальных выборах в качестве кандидатов и избирателей, включая такие барьеры, как требование о получении согласия опекуна-мужчины, отсутствие документов, удостоверяющих личность, недостаточное знание процедур голосования и отсутствие финансовой поддержки и программ подготовки и наставничества по развитию навыков руководства и проведению политических кампаний для </w:t>
      </w:r>
      <w:r>
        <w:rPr>
          <w:b/>
          <w:color w:val="000000"/>
        </w:rPr>
        <w:t>нынешних и будущих лидеров-женщин.</w:t>
      </w:r>
    </w:p>
    <w:p w14:paraId="7AC4208F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5121F8A6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14:paraId="1F4CDC09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2A2160A" w14:textId="77777777" w:rsidR="00DD53DD" w:rsidRDefault="00DD53DD" w:rsidP="00DD53DD">
      <w:pPr>
        <w:pStyle w:val="SingleTxt"/>
      </w:pPr>
      <w:r>
        <w:t>41.</w:t>
      </w:r>
      <w:r>
        <w:tab/>
        <w:t>Комитет отмечает постановление Кабинета № 406 (2012 год) о специальном порядке предоставления детям саудовских женщин, состоящих в браке с иностранцами, некоторых «привилегий». Вместе с тем Комитет по-прежнему обеспокоен:</w:t>
      </w:r>
    </w:p>
    <w:p w14:paraId="7F34767D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предусмотренными статьей 8 Закона о гражданстве строгими условиями, которые должны быть соблюдены состоящей в браке с иностранцем саудовской матерью, желающей передать свое гражданство своим детям, что может привести к ситуации безгражданства, а также дискриминационными нормами, касающимися натурализации иностранных супругов саудовских женщин;</w:t>
      </w:r>
    </w:p>
    <w:p w14:paraId="1AB29917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отсутствием прогресса в разрешении ситуации, в которой находятся тысячи женщин без гражданства («бидуны»), по-прежнему лишенные своего основного права на получение саудовского гражданства и сопутствующих прав.</w:t>
      </w:r>
    </w:p>
    <w:p w14:paraId="50A7CE9D" w14:textId="77777777" w:rsidR="00DD53DD" w:rsidRDefault="00DD53DD" w:rsidP="00DD53DD">
      <w:pPr>
        <w:pStyle w:val="SingleTxt"/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</w:t>
      </w:r>
      <w:r>
        <w:t>:</w:t>
      </w:r>
    </w:p>
    <w:p w14:paraId="50AE2CE8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внести в Закон о гражданстве поправки, дающие саудовским женщинам возможность передавать свое гражданство своим иностранным супругам и своим детям на равноправной с саудовскими мужчинами основе;</w:t>
      </w:r>
    </w:p>
    <w:p w14:paraId="44FDB23F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урегулировать положение не имеющих гражданства женщин и обеспечить их право на получение гражданства без проявления дискриминации;</w:t>
      </w:r>
    </w:p>
    <w:p w14:paraId="53ABFF4A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присоединиться к Конвенции о статусе апатридов 1954 года и Конвенции о сокращении безгражданства 1961 года.</w:t>
      </w:r>
    </w:p>
    <w:p w14:paraId="278C1F4C" w14:textId="77777777" w:rsidR="00DD53DD" w:rsidRDefault="00DD53DD">
      <w:pPr>
        <w:spacing w:after="200" w:line="276" w:lineRule="auto"/>
        <w:rPr>
          <w:b/>
          <w:spacing w:val="2"/>
        </w:rPr>
      </w:pPr>
      <w:r>
        <w:br w:type="page"/>
      </w:r>
    </w:p>
    <w:p w14:paraId="7113577E" w14:textId="26EB2F8E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14:paraId="0EF7B130" w14:textId="050485E5" w:rsidR="00DD53DD" w:rsidRP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2A048FA8" w14:textId="77777777" w:rsidR="00DD53DD" w:rsidRDefault="00DD53DD" w:rsidP="00DD53DD">
      <w:pPr>
        <w:pStyle w:val="SingleTxt"/>
      </w:pPr>
      <w:r>
        <w:t>43.</w:t>
      </w:r>
      <w:r>
        <w:tab/>
        <w:t>Комитет с признательностью отмечает высокие показатели охвата девочек образованием на всех уровнях образования, а также меры, принятые в целях сокращения уровня неграмотности среди девочек и мальчиков и показателей их ухода из учебных заведений. Вместе с тем Комитет с обеспокоенностью отмечает, что:</w:t>
      </w:r>
    </w:p>
    <w:p w14:paraId="0C07D6E2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доступ к образованию среди уязвимых групп девочек, в особенности девочек-мигрантов, девочек с ограниченными физическими возможностями и девочек, проживающих в сельских и удаленных районах и в нищете, остается ограниченным, и что уровень неграмотности среди этих девочек и показатели их ухода из учебных заведений остаются высокими;</w:t>
      </w:r>
    </w:p>
    <w:p w14:paraId="23CB4E15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соответствующее возрасту </w:t>
      </w:r>
      <w:r>
        <w:rPr>
          <w:color w:val="000000"/>
        </w:rPr>
        <w:t>просвещение по вопросам сексуального и репродуктивного здоровья и прав не включено в учебные программы;</w:t>
      </w:r>
    </w:p>
    <w:p w14:paraId="497F3506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  <w:t>преподаватели не обладают профессиональной подготовкой в области прав женщин и гендерного равенства, а традиционные изображения ролей и обязанностей женщин в учебниках закрепляют ущемленное положение девочек и женщин;</w:t>
      </w:r>
    </w:p>
    <w:p w14:paraId="30220644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  <w:t>поощрение женщин и девочек в рамках профессиональной ориентации выбирать нетрадиционные профессии, в особенности в области науки и технологий, остается ограниченным;</w:t>
      </w:r>
    </w:p>
    <w:p w14:paraId="24572570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e</w:t>
      </w:r>
      <w:r>
        <w:t>)</w:t>
      </w:r>
      <w:r>
        <w:tab/>
        <w:t>число женщин и девочек, занимающихся спортом и физической активностью и проходящих профессиональное обучение, остается ограниченным.</w:t>
      </w:r>
    </w:p>
    <w:p w14:paraId="3E43FF25" w14:textId="77777777" w:rsidR="00DD53DD" w:rsidRDefault="00DD53DD" w:rsidP="00DD53DD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>В соответствии со своей общей рекомендацией № 36 (2017) о правах девочек и женщин на образование Комитет обращает внимание на задачу 4.1 целей в области устойчивого развития и рекомендует государству-участнику обеспечить получение всеми девочками и мальчиками бесплатного, предоставляемого на равноправной основе и высококачественного начального и среднего образования. Он также рекомендует государству-участнику:</w:t>
      </w:r>
    </w:p>
    <w:p w14:paraId="51A016E4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продолжать повышать доступность и качество образования для всех детей, в частности для уязвимых групп девочек, и снизить непропорционально высокие уровни неграмотности среди девочек-мигрантов, девочек с ограниченными физическими возможностями и девочек, проживающих в сельских и удаленных районах и в нищете, и показатели их ухода из учебных заведений;</w:t>
      </w:r>
    </w:p>
    <w:p w14:paraId="059B0A9D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 xml:space="preserve">обеспечить включение обязательного, соответствующего возрасту </w:t>
      </w:r>
      <w:r>
        <w:rPr>
          <w:b/>
          <w:color w:val="000000"/>
        </w:rPr>
        <w:t>просвещения по вопросам сексуального и репродуктивного здоровья, включая просвещение по вопросам ответственного сексуального поведения, в учебные программы в качестве отдельного предмета;</w:t>
      </w:r>
    </w:p>
    <w:p w14:paraId="27F2DE16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обеспечить возвращение беременных девочек и девушек и матерей к получению образования и оказывать им поддержку при продолжении получения ими образования;</w:t>
      </w:r>
    </w:p>
    <w:p w14:paraId="2B3EBC8C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d</w:t>
      </w:r>
      <w:r>
        <w:t>)</w:t>
      </w:r>
      <w:r>
        <w:tab/>
      </w:r>
      <w:r>
        <w:rPr>
          <w:b/>
        </w:rPr>
        <w:t>продолжить пересмотр учебных программ и учебников на всех уровнях образования в целях искоренения дискриминационных стереотипных представлений о ролях женщин и повысить эффективность профессиональной подготовки преподавателей в области прав женщин и гендерного равенства в целях изменения существующих стереотипных представлений о ролях женщин и мужчин в семье и обществе;</w:t>
      </w:r>
    </w:p>
    <w:p w14:paraId="20D4166F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e</w:t>
      </w:r>
      <w:r>
        <w:t>)</w:t>
      </w:r>
      <w:r>
        <w:tab/>
      </w:r>
      <w:r>
        <w:rPr>
          <w:b/>
        </w:rPr>
        <w:t>активизировать усилия по предоставлению девочкам консультационных услуг по вопросам выбора нетрадиционных профессий и нестереотипных областей изучения, востребованных на рынке;</w:t>
      </w:r>
    </w:p>
    <w:p w14:paraId="036D766C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f</w:t>
      </w:r>
      <w:r>
        <w:t>)</w:t>
      </w:r>
      <w:r>
        <w:tab/>
      </w:r>
      <w:r>
        <w:rPr>
          <w:b/>
        </w:rPr>
        <w:t>продолжать стимулировать женщин и девочек заниматься спортом и физической активностью, а также проходить профессиональное обучение.</w:t>
      </w:r>
    </w:p>
    <w:p w14:paraId="1964B566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478FCB51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14:paraId="7277C448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77B1E089" w14:textId="77777777" w:rsidR="00DD53DD" w:rsidRDefault="00DD53DD" w:rsidP="00DD53DD">
      <w:pPr>
        <w:pStyle w:val="SingleTxt"/>
      </w:pPr>
      <w:r>
        <w:t>45.</w:t>
      </w:r>
      <w:r>
        <w:tab/>
        <w:t>Комитет приветствует меры, принятые для стимулирования занятости среди женщин, в частности принятие в 2012 году распоряжения министерства, согласно которому, для того чтобы работать, женщинам больше не нужно разрешение опекуна-мужчины. Вместе с тем Комитет обеспокоен:</w:t>
      </w:r>
    </w:p>
    <w:p w14:paraId="7DFFD4A3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 xml:space="preserve">недостаточными мерами, </w:t>
      </w:r>
      <w:r>
        <w:rPr>
          <w:color w:val="000000"/>
        </w:rPr>
        <w:t>направленными на содействие развитию концепции совместного выполнения семейных обязанностей и борьбу с трудностями, с которыми сталкиваются женщины при попытке совместить работу и семейные обязанности;</w:t>
      </w:r>
    </w:p>
    <w:p w14:paraId="5A8D6E92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отсутствием ясности относительно доступа к оплачиваемому отпуску по беременности и родам в частном секторе;</w:t>
      </w:r>
    </w:p>
    <w:p w14:paraId="7ED7AC87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  <w:t>низкой степенью участия женщин (по сравнению со степенью участия мужчин) в рынке труда, в особенности в частном секторе, и существенной разницей между уровнями безработицы среди женщин и мужчин;</w:t>
      </w:r>
    </w:p>
    <w:p w14:paraId="3302C0EA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  <w:t>недостаточным обеспечением соблюдения распоряжения министерства 2012 года, поскольку многие работодатели по-прежнему требуют разрешения опекуна-мужчины, позволяющего женщине работать;</w:t>
      </w:r>
    </w:p>
    <w:p w14:paraId="0BAF8CE1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e</w:t>
      </w:r>
      <w:r>
        <w:t>)</w:t>
      </w:r>
      <w:r>
        <w:tab/>
        <w:t>сохраняющейся горизонтальной и вертикальной профессиональной сегрегацией и сегрегацией по признаку пола на рынке труда, а также преимущественной занятостью женщин на низкооплачиваемой работе;</w:t>
      </w:r>
    </w:p>
    <w:p w14:paraId="68BC4C3B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f</w:t>
      </w:r>
      <w:r>
        <w:t>)</w:t>
      </w:r>
      <w:r>
        <w:tab/>
        <w:t>сохраняющимся разрывом в уровнях оплаты труда между мужчинами и женщинами в государственном и частном секторах.</w:t>
      </w:r>
    </w:p>
    <w:p w14:paraId="1AC571FD" w14:textId="77777777" w:rsidR="00DD53DD" w:rsidRDefault="00DD53DD" w:rsidP="00DD53DD">
      <w:pPr>
        <w:pStyle w:val="SingleTxt"/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</w:t>
      </w:r>
      <w:r>
        <w:t>:</w:t>
      </w:r>
    </w:p>
    <w:p w14:paraId="23B2C8BC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  <w:color w:val="000000"/>
        </w:rPr>
        <w:t>поощрять равное распределение семейных и бытовых обязанностей между женщинами и мужчинами, в том числе путем введения обязательного отпуска в связи с рождением ребенка, предоставляемого отцу или обоим родителям</w:t>
      </w:r>
      <w:r>
        <w:rPr>
          <w:b/>
        </w:rPr>
        <w:t xml:space="preserve">, и </w:t>
      </w:r>
      <w:r>
        <w:rPr>
          <w:b/>
          <w:color w:val="000000"/>
        </w:rPr>
        <w:t>расширения сети и повышения качества работы детских учреждений;</w:t>
      </w:r>
    </w:p>
    <w:p w14:paraId="1CCB9543" w14:textId="77777777" w:rsidR="00DD53DD" w:rsidRDefault="00DD53DD" w:rsidP="00DD53DD">
      <w:pPr>
        <w:pStyle w:val="SingleTxt"/>
        <w:rPr>
          <w:b/>
          <w:bCs/>
        </w:rPr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обеспечить доступ к оплачиваемому отпуску по беременности и родам в государственном и частном секторах;</w:t>
      </w:r>
    </w:p>
    <w:p w14:paraId="4929F153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принять меры, включая временные специальные меры, по расширению доступа женщин к официальному рынку труда;</w:t>
      </w:r>
    </w:p>
    <w:p w14:paraId="691BC9A7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</w:r>
      <w:r>
        <w:rPr>
          <w:b/>
        </w:rPr>
        <w:t>обеспечить соблюдение распоряжения министерства 2012 года, согласно которому, для того чтобы работать, женщинам больше не нужно разрешение опекуна-мужчины, в том числе путем дачи четких указаний всем работодателям и судебного преследования или наложения штрафов на работодателей, продолжающих требовать такое разрешение;</w:t>
      </w:r>
    </w:p>
    <w:p w14:paraId="6A13F6F7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e</w:t>
      </w:r>
      <w:r>
        <w:t>)</w:t>
      </w:r>
      <w:r>
        <w:tab/>
      </w:r>
      <w:r>
        <w:rPr>
          <w:b/>
        </w:rPr>
        <w:t>принять эффективные меры, включая организацию профессионального обучения и принятие мер поощрения, в целях стимулирования выбора женщинами нетрадиционных профессий и устранения горизонтальной и вертикальной профессиональной сегрегации в государственном и частном секторах и принять законодательные меры в целях запрещения сегрегации на рабочем месте по признаку пола;</w:t>
      </w:r>
    </w:p>
    <w:p w14:paraId="1AF63FC5" w14:textId="46693AD1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f</w:t>
      </w:r>
      <w:r>
        <w:t>)</w:t>
      </w:r>
      <w:r>
        <w:tab/>
      </w:r>
      <w:r>
        <w:rPr>
          <w:b/>
        </w:rPr>
        <w:t xml:space="preserve">эффективно осуществлять решение № </w:t>
      </w:r>
      <w:r w:rsidRPr="00DD53DD">
        <w:t>2370/1</w:t>
      </w:r>
      <w:r>
        <w:rPr>
          <w:b/>
        </w:rPr>
        <w:t xml:space="preserve"> министерства труда и социального развития в целях сокращения и, в конечном счете, преодоления разрыва в уровнях оплаты труда между мужчинами и женщинами.</w:t>
      </w:r>
    </w:p>
    <w:p w14:paraId="73F91A77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14:paraId="36794662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58E00E1" w14:textId="77777777" w:rsidR="00DD53DD" w:rsidRDefault="00DD53DD" w:rsidP="00DD53DD">
      <w:pPr>
        <w:pStyle w:val="SingleTxt"/>
      </w:pPr>
      <w:r>
        <w:t>47.</w:t>
      </w:r>
      <w:r>
        <w:tab/>
        <w:t>Комитет с удовлетворением отмечает, что в последние годы произошло существенное улучшение показателей состояния здоровья женщин, однако он обеспокоен:</w:t>
      </w:r>
    </w:p>
    <w:p w14:paraId="13C4AB6E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ограниченным доступом женщин и девочек-подростков, в частности женщин-кочевниц, к услугам в области сексуального и репродуктивного здоровья;</w:t>
      </w:r>
    </w:p>
    <w:p w14:paraId="7AF15FD1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установлением уголовной ответственности за проведение аборта, кроме случаев, когда жизнь беременной женщины или девочки находится под угрозой, и тем фактом, что это вынуждает женщин прибегать к небезопасным абортам;</w:t>
      </w:r>
    </w:p>
    <w:p w14:paraId="18F5D25C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  <w:t>ограниченным доступом к противозачаточным средствам, в частности к современным противозачаточным средствам, в особенности в сельских и удаленных районах, и повышенным риском инфекционных заболеваний, передающихся половым путем, с которым сталкиваются женщины.</w:t>
      </w:r>
    </w:p>
    <w:p w14:paraId="2993C999" w14:textId="77777777" w:rsidR="00DD53DD" w:rsidRDefault="00DD53DD" w:rsidP="00DD53DD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в соответствии со своей общей рекомендацией № 24 (1999) о женщинах и здравоохранении рекомендует государству-участнику:</w:t>
      </w:r>
    </w:p>
    <w:p w14:paraId="25A9B293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 xml:space="preserve">обеспечить во всех мухафазах комплексное медицинское обслуживание, в частности оказание услуг в области сексуального и репродуктивного здоровья, включая </w:t>
      </w:r>
      <w:r>
        <w:rPr>
          <w:b/>
          <w:color w:val="000000"/>
        </w:rPr>
        <w:t>услуги, связанные с дородовым уходом, родами и послеродовым уходом, с учетом особых потребностей женщин-кочевниц;</w:t>
      </w:r>
    </w:p>
    <w:p w14:paraId="7A346985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внести в соответствующее законодательство поправки, легализующие аборт в случае наличия угрозы для здоровья беременной женщины, изнасилования, инцеста и серьезных пороков развития плода, а во всех других случаях отменить уголовную ответственность за проведение аборта и расширить доступ женщин к проведению безопасных абортов и услугам по уходу в период после аборта;</w:t>
      </w:r>
    </w:p>
    <w:p w14:paraId="47C11564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обеспечить наличие и доступность современных форм противозачаточных средств и услуг в области репродуктивного здоровья по приемлемой цене и активизировать меры профилактики инфекционных заболеваний, передающихся половым путем, включая ВИЧ, в частности путем поощрения защищенных сексуальных контактов.</w:t>
      </w:r>
    </w:p>
    <w:p w14:paraId="555E83C1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25F16891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Экономические и социальные пособия</w:t>
      </w:r>
    </w:p>
    <w:p w14:paraId="39455A45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4A4C981" w14:textId="77777777" w:rsidR="00DD53DD" w:rsidRDefault="00DD53DD" w:rsidP="00DD53DD">
      <w:pPr>
        <w:pStyle w:val="SingleTxt"/>
      </w:pPr>
      <w:r>
        <w:t>49.</w:t>
      </w:r>
      <w:r>
        <w:tab/>
        <w:t>Комитет отмечает недавно принятое решение разрешить женщинам без согласия опекуна-мужчины начать свой собственный бизнес и приветствует принятие конкретных мер по поощрению женщин в частно-предпринимательском секторе. Он также приветствует участие саудовских женщин, впервые в истории, в Олимпийских играх в 2012 году. Вместе с тем он обеспокоен:</w:t>
      </w:r>
    </w:p>
    <w:p w14:paraId="30D33BCC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тем фактом, что в 2014 году лишь 21 процент займов на социальное развитие и 15 процентов банковских кредитов были получены женщинами;</w:t>
      </w:r>
    </w:p>
    <w:p w14:paraId="32A9C419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отсутствием информации об охвате системами пенсионного и социального обеспечения женщин, живущих в нищете, женщин-мигрантов, женщин, проживающих в сельских и удаленных районах, и женщин с ограниченными физическими возможностями;</w:t>
      </w:r>
    </w:p>
    <w:p w14:paraId="35D4B565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  <w:t>отсутствием информации о том, участвуют ли женские организации в разработке и осуществлении национальных стратегий, направленных на достижение целей в области устойчивого развития.</w:t>
      </w:r>
    </w:p>
    <w:p w14:paraId="3C3FB404" w14:textId="77777777" w:rsidR="00DD53DD" w:rsidRDefault="00DD53DD" w:rsidP="00DD53DD">
      <w:pPr>
        <w:pStyle w:val="SingleTxt"/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</w:t>
      </w:r>
      <w:r>
        <w:t>:</w:t>
      </w:r>
    </w:p>
    <w:p w14:paraId="72E9CC80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выделить дополнительные целевые финансовые ресурсы на повышение доступа всех женщин к микрокредитам, займам и другим формам финансовых кредитов и обеспечить наращивание потенциала, направленное на расширение экономических возможностей женщин;</w:t>
      </w:r>
    </w:p>
    <w:p w14:paraId="0E573C8B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принять меры, включая временные специальные меры, в целях расширения охвата системами пенсионного и социального обеспечения женщин, в частности женщин, живущих в нищете, женщин-мигрантов, женщин, проживающих в сельских и удаленных районах, и женщин с ограниченными физическими возможностями;</w:t>
      </w:r>
    </w:p>
    <w:p w14:paraId="43BA65A8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обеспечить участие женских организаций в разработке и осуществлении национальных стратегий, направленных на достижение целей в области устойчивого развития.</w:t>
      </w:r>
    </w:p>
    <w:p w14:paraId="60DAAA9B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FCFEE93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проживающие в сельских и удаленных районах</w:t>
      </w:r>
    </w:p>
    <w:p w14:paraId="27005751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53229711" w14:textId="77777777" w:rsidR="00DD53DD" w:rsidRDefault="00DD53DD" w:rsidP="00DD53DD">
      <w:pPr>
        <w:pStyle w:val="SingleTxt"/>
      </w:pPr>
      <w:r>
        <w:t>51.</w:t>
      </w:r>
      <w:r>
        <w:tab/>
        <w:t>Комитет с признательностью отмечает инициативы, реализованные в поддержку женщин, проживающих в сельских и удаленных районах. Вместе с тем он по-прежнему обеспокоен неблагоприятным положением этих женщин, которые сталкиваются с нищетой и трудностями в получении доступа к здравоохранению, образованию, приносящей доход деятельности, земле и другому имуществу и принимают ограниченное участие в процессах принятия решений на уровне общин.</w:t>
      </w:r>
    </w:p>
    <w:p w14:paraId="710A3C71" w14:textId="77777777" w:rsidR="00DD53DD" w:rsidRDefault="00DD53DD" w:rsidP="00DD53DD">
      <w:pPr>
        <w:pStyle w:val="SingleTxt"/>
        <w:rPr>
          <w:b/>
        </w:rPr>
      </w:pPr>
      <w:r>
        <w:t>52.</w:t>
      </w:r>
      <w:r>
        <w:tab/>
      </w:r>
      <w:r>
        <w:rPr>
          <w:b/>
        </w:rPr>
        <w:t xml:space="preserve">Комитет в соответствии со своей общей рекомендацией № 34 (2016) о правах сельских женщин рекомендует государству-участнику разработать и осуществить стратегии, направленные на ускорение обеспечения фактического равенства для женщин, проживающих в сельских и удаленных районах, во всех областях, в которых они недостаточно представлены или находятся в неблагоприятном положении. </w:t>
      </w:r>
    </w:p>
    <w:p w14:paraId="30BDB004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781651C1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Гендерная проблема и изменение климата</w:t>
      </w:r>
    </w:p>
    <w:p w14:paraId="0B4B642F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64F1758" w14:textId="77777777" w:rsidR="00DD53DD" w:rsidRDefault="00DD53DD" w:rsidP="00DD53DD">
      <w:pPr>
        <w:pStyle w:val="SingleTxt"/>
      </w:pPr>
      <w:r>
        <w:t>53.</w:t>
      </w:r>
      <w:r>
        <w:tab/>
        <w:t>Комитет отмечает, что, хотя государство-участник приняло план действий в связи с изменением климата, информация о том, каким образом женщины участвовали в разработке этого плана и каким образом при определении мер по адаптации и смягчению последствий была учтена гендерная проблематика, отсутствует. Он также обеспокоен ущербом, наносимым окружающей среде в Йемене военными операциями.</w:t>
      </w:r>
    </w:p>
    <w:p w14:paraId="033F749F" w14:textId="77777777" w:rsidR="00DD53DD" w:rsidRDefault="00DD53DD" w:rsidP="00DD53DD">
      <w:pPr>
        <w:pStyle w:val="SingleTxt"/>
        <w:rPr>
          <w:b/>
        </w:rPr>
      </w:pPr>
      <w:r>
        <w:t>54.</w:t>
      </w:r>
      <w:r>
        <w:tab/>
      </w:r>
      <w:r>
        <w:rPr>
          <w:b/>
        </w:rPr>
        <w:t>Комитет обращает внимание на свою общую рекомендацию № 37 (2018) о гендерных аспектах деятельности в целях уменьшения опасности бедствий в контексте изменения климата и рекомендует государству-участнику в рамках его экстерриториальных обязательств оценить влияние военных операций на окружающую среду в Йемене. Он также рекомендует государству-участнику предоставить в своем следующем периодическом докладе информацию об:</w:t>
      </w:r>
    </w:p>
    <w:p w14:paraId="3469AF96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участии женщин в разработке и осуществлении плана действий в связи с изменением климата;</w:t>
      </w:r>
    </w:p>
    <w:p w14:paraId="5581CD55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мерах, принятых в целях учета гендерной проблематики при определении усилий по адаптации и смягчению последствий.</w:t>
      </w:r>
    </w:p>
    <w:p w14:paraId="6FAF1D6D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2C08DFDA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Женщины-правозащитники</w:t>
      </w:r>
    </w:p>
    <w:p w14:paraId="6B806E68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9187F2C" w14:textId="77777777" w:rsidR="00DD53DD" w:rsidRDefault="00DD53DD" w:rsidP="00DD53DD">
      <w:pPr>
        <w:pStyle w:val="SingleTxt"/>
      </w:pPr>
      <w:r>
        <w:t>55.</w:t>
      </w:r>
      <w:r>
        <w:tab/>
        <w:t>Комитет особенно обеспокоен тем, что женщины-правозащитники, как сообщается, подвергаются преследованиям, насилию и запугиванию со стороны сотрудников правоохранительных органов, а также задержанию и жестокому обращению за их активную гражданскую позицию.</w:t>
      </w:r>
    </w:p>
    <w:p w14:paraId="7BD38A55" w14:textId="77777777" w:rsidR="00DD53DD" w:rsidRDefault="00DD53DD" w:rsidP="00DD53DD">
      <w:pPr>
        <w:pStyle w:val="SingleTxt"/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</w:t>
      </w:r>
      <w:r>
        <w:t>:</w:t>
      </w:r>
    </w:p>
    <w:p w14:paraId="7D6EC66D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воздержаться от репрессий в отношении женщин-правозащитников и их родственников;</w:t>
      </w:r>
    </w:p>
    <w:p w14:paraId="1DBF4500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обеспечить незамедлительную отмену любых наказаний, наложенных на женщин, мирно осуществляющих свое право на свободу выражения мнений и свободу ассоциаций, выплату им компенсаций и их реабилитацию;</w:t>
      </w:r>
    </w:p>
    <w:p w14:paraId="4DC6DF26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обеспечить возможность осуществления женщинами-активистами своего права на свободу выражения мнений и свободу ассоциаций и не допускать злоупотребления нормами Закона о борьбе с терроризмом (2014 года), Закона о борьбе с киберпреступностью (2007 года) и исполнительного распоряжения об электронной издательской деятельности (2011 года) в целях привлечения женщин-правозащитников к уголовной ответственности.</w:t>
      </w:r>
    </w:p>
    <w:p w14:paraId="616B9FF3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78E423BC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Женщины-беженцы и женщины, ищущие убежище</w:t>
      </w:r>
    </w:p>
    <w:p w14:paraId="633BEA2A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0C934BAA" w14:textId="77777777" w:rsidR="00DD53DD" w:rsidRDefault="00DD53DD" w:rsidP="00DD53DD">
      <w:pPr>
        <w:pStyle w:val="SingleTxt"/>
      </w:pPr>
      <w:r>
        <w:t>57.</w:t>
      </w:r>
      <w:r>
        <w:tab/>
        <w:t>Комитет обеспокоен:</w:t>
      </w:r>
    </w:p>
    <w:p w14:paraId="09CA7CA5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отсутствием надлежащей правовой и нормативной базы для разрешения ситуации с плачевными и опасными условиями жизни женщин-беженцев и женщин, ищущих убежище;</w:t>
      </w:r>
    </w:p>
    <w:p w14:paraId="381C8F26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тем фактом, что женщины-беженцы и женщины, ищущие убежище, зачастую лишены основных услуг и подвергаются повышенной опасности стать жертвами гендерного насилия, эксплуатации труда и сексуальной эксплуатации, а также произвольного ареста, задержания и выдворения.</w:t>
      </w:r>
    </w:p>
    <w:p w14:paraId="3AAC6A0A" w14:textId="77777777" w:rsidR="00DD53DD" w:rsidRDefault="00DD53DD" w:rsidP="00DD53DD">
      <w:pPr>
        <w:pStyle w:val="SingleTxt"/>
      </w:pPr>
      <w:r>
        <w:t>58.</w:t>
      </w:r>
      <w:r>
        <w:tab/>
      </w:r>
      <w:r>
        <w:rPr>
          <w:b/>
        </w:rPr>
        <w:t xml:space="preserve">В соответствии со своей общей рекомендацией № 32 (2014) </w:t>
      </w:r>
      <w:r>
        <w:rPr>
          <w:b/>
          <w:color w:val="000000"/>
        </w:rPr>
        <w:t>по гендерным аспектам статуса беженца, убежища, гражданства и безгражданства женщин Комитет рекомендует государству-участнику:</w:t>
      </w:r>
    </w:p>
    <w:p w14:paraId="036CD52F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ускорить принятие учитывающей гендерные факторы политики в области предоставления убежища и законодательной базы в целях обеспечения безопасности и защиты женщин-беженцев и женщин, ищущих убежище;</w:t>
      </w:r>
    </w:p>
    <w:p w14:paraId="013B0D7F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обеспечить соблюдение принципа невыдворения применительно ко всем женщинам и девочкам, нуждающимся в международной защите;</w:t>
      </w:r>
    </w:p>
    <w:p w14:paraId="51817510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расширить доступ</w:t>
      </w:r>
      <w:r>
        <w:t xml:space="preserve"> </w:t>
      </w:r>
      <w:r>
        <w:rPr>
          <w:b/>
        </w:rPr>
        <w:t>женщин и девочек, являющихся беженцами и ищущих убежище, к основным услугам и не допускать того, чтобы они подвергались гендерному насилию, сексуальной эксплуатации и эксплуатации их труда;</w:t>
      </w:r>
    </w:p>
    <w:p w14:paraId="6E74BBEE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d</w:t>
      </w:r>
      <w:r>
        <w:t>)</w:t>
      </w:r>
      <w:r>
        <w:tab/>
      </w:r>
      <w:r>
        <w:rPr>
          <w:b/>
        </w:rPr>
        <w:t>присоединиться к Конвенции о статусе беженцев 1951 года и Протоколу 1967 года к ней.</w:t>
      </w:r>
    </w:p>
    <w:p w14:paraId="0F5A8BF4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1FB7D819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принадлежащие к религиозным меньшинствам</w:t>
      </w:r>
    </w:p>
    <w:p w14:paraId="6AEA035B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2E8FB6D1" w14:textId="77777777" w:rsidR="00DD53DD" w:rsidRDefault="00DD53DD" w:rsidP="00DD53DD">
      <w:pPr>
        <w:pStyle w:val="SingleTxt"/>
      </w:pPr>
      <w:r>
        <w:t>59.</w:t>
      </w:r>
      <w:r>
        <w:tab/>
        <w:t>Комитет обеспокоен отсутствием законодательства, запрещающего дискриминацию и проявление ненависти по религиозному признаку. Вместе с тем он отмечает существование законопроекта о борьбе с дискриминацией и ненавистью. В частности, Комитет обеспокоен сохраняющимся неблагоприятным положением шиитских женщин во многих областях, включая образование, занятость, здравоохранение и средства массовой информации.</w:t>
      </w:r>
    </w:p>
    <w:p w14:paraId="5A653409" w14:textId="77777777" w:rsidR="00DD53DD" w:rsidRDefault="00DD53DD" w:rsidP="00DD53DD">
      <w:pPr>
        <w:pStyle w:val="SingleTxt"/>
        <w:rPr>
          <w:b/>
        </w:rPr>
      </w:pPr>
      <w:r>
        <w:t>60.</w:t>
      </w:r>
      <w:r>
        <w:tab/>
      </w:r>
      <w:r>
        <w:rPr>
          <w:b/>
        </w:rPr>
        <w:t>Комитет призывает государство-участника ускорить принятие законопроекта о борьбе с дискриминацией и ненавистью и принять в его исполнение подзаконные акты в целях, помимо прочего, разрешения проблемы неравенства, с которой сталкиваются шиитские женщины и которая усугубляется перекрестными формами дискриминации, которым они подвергаются.</w:t>
      </w:r>
    </w:p>
    <w:p w14:paraId="778A1B60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0849377A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Равенство перед законом и гражданские вопросы</w:t>
      </w:r>
    </w:p>
    <w:p w14:paraId="7BE1F1B3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26024A94" w14:textId="77777777" w:rsidR="00DD53DD" w:rsidRDefault="00DD53DD" w:rsidP="00DD53DD">
      <w:pPr>
        <w:pStyle w:val="SingleTxt"/>
      </w:pPr>
      <w:r>
        <w:t>61.</w:t>
      </w:r>
      <w:r>
        <w:tab/>
        <w:t>Комитет приветствует принятые меры по ограничению сферы действия системы мужского опекунства над женщинами, включая отмену фактического запрета на управление женщинами автомобилем. Вместе с тем он обеспокоен сохранением системы мужского опекунства над женщинами, в частности предусмотренным ею требованием о получении женщинами разрешения опекуна-мужчины для получения паспорта, совершения поездок за границу, обучения за границей с получением государственных стипендий, выбора места жительства, получения доступа к медицинскому обслуживанию и покидания центров временного содержания и государственных приютов. Сохранение системы опекунства подчеркивает подчиненность женщин опекуну-мужчине и подрывает права и возможности женщин и девочек по развитию своих индивидуальных способностей и свободному принятию решений относительно своей жизни и жизненных планов.</w:t>
      </w:r>
    </w:p>
    <w:p w14:paraId="40F3CEA1" w14:textId="77777777" w:rsidR="00DD53DD" w:rsidRDefault="00DD53DD" w:rsidP="00DD53DD">
      <w:pPr>
        <w:pStyle w:val="SingleTxt"/>
        <w:rPr>
          <w:b/>
        </w:rPr>
      </w:pPr>
      <w:r>
        <w:t>62.</w:t>
      </w:r>
      <w:r>
        <w:tab/>
      </w:r>
      <w:r>
        <w:rPr>
          <w:b/>
        </w:rPr>
        <w:t>Комитет рекомендует государству-участнику принять все меры, необходимые для:</w:t>
      </w:r>
    </w:p>
    <w:p w14:paraId="644ADF89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упразднения практики мужского опекунства над женщинами и принятия подзаконных актов в целях обеспечения соблюдения Указа Короля № 33322 и обеспечения наделения им всех женщин правом на получение паспорта и совершение поездок за пределы страны, обучение за границей с получением государственных стипендий, выбор места жительства, получение доступа к медицинскому обслуживанию и покидание центров временного содержания и государственных приютов без необходимости получения согласия опекуна-мужчины;</w:t>
      </w:r>
    </w:p>
    <w:p w14:paraId="276E7DF0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обеспечения строгого соблюдения Указа Короля от 26 сентября 2017 года, отменяющего фактический запрет на управление женщинами автомобилем с момента вступления указа в силу в июне 2018 года;</w:t>
      </w:r>
    </w:p>
    <w:p w14:paraId="54E21AA1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недопущения использования заявлений опекунов-мужчин о неповиновении для произвольного задержания женщин.</w:t>
      </w:r>
    </w:p>
    <w:p w14:paraId="01248668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7144F72E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14:paraId="7DCB90C7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057E0B6C" w14:textId="77777777" w:rsidR="00DD53DD" w:rsidRDefault="00DD53DD" w:rsidP="00DD53DD">
      <w:pPr>
        <w:pStyle w:val="SingleTxt"/>
      </w:pPr>
      <w:r>
        <w:t>63.</w:t>
      </w:r>
      <w:r>
        <w:tab/>
        <w:t>Комитет по-прежнему обеспокоен:</w:t>
      </w:r>
    </w:p>
    <w:p w14:paraId="4F88DBB7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a</w:t>
      </w:r>
      <w:r>
        <w:t>)</w:t>
      </w:r>
      <w:r>
        <w:tab/>
        <w:t>использованием шариата в качестве объяснения по поводу отсутствия прогресса в проведении реформы семейного права и сохраняющимся применением дискриминационных норм законодательства, касающихся личного статуса, в частности требования о получении женщиной от своего опекуна-мужчины разрешения на заключение брака, сохраняющейся полигамией и наличием ограниченного количества оснований, на которых женщина может потребовать развода, в то время как мужчина может развестись со своей женой в одностороннем порядке по любой причине;</w:t>
      </w:r>
    </w:p>
    <w:p w14:paraId="5061DF22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тем фактом, что законом по-прежнему не установлен минимальный возраст вступления в брак и что большое количество девочек по-прежнему вступают в брак до достижения ими 18 лет;</w:t>
      </w:r>
    </w:p>
    <w:p w14:paraId="55BA0B85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  <w:t>сохраняющейся дискриминацией в отношении женщин и девочек в наследственном праве, вопросах опеки, брака и развода;</w:t>
      </w:r>
    </w:p>
    <w:p w14:paraId="5D58C3EF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  <w:t>отсутствием писаного единого закона о личном статусе.</w:t>
      </w:r>
    </w:p>
    <w:p w14:paraId="316180C4" w14:textId="77777777" w:rsidR="00DD53DD" w:rsidRDefault="00DD53DD" w:rsidP="00DD53DD">
      <w:pPr>
        <w:pStyle w:val="SingleTxt"/>
        <w:rPr>
          <w:b/>
        </w:rPr>
      </w:pPr>
      <w:r>
        <w:t>64.</w:t>
      </w:r>
      <w:r>
        <w:tab/>
      </w:r>
      <w:r>
        <w:rPr>
          <w:b/>
        </w:rPr>
        <w:t>Комитет рекомендует государству-участнику в соответствии с общими рекомендациями № 21 (1994) о равноправии в браке и семейных отношениях и № 29 (2013) об экономических последствиях вступления в брак, семейных отношений и их расторжения пересмотреть все дискриминационные нормы, касающиеся личного статуса, в конкретные сроки с целью:</w:t>
      </w:r>
    </w:p>
    <w:p w14:paraId="0495A9FC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a</w:t>
      </w:r>
      <w:r>
        <w:t>)</w:t>
      </w:r>
      <w:r>
        <w:tab/>
      </w:r>
      <w:r>
        <w:rPr>
          <w:b/>
        </w:rPr>
        <w:t>исключения дискриминационных норм, регулирующих вопросы правоспособности, полигамии, брака, системы опекунства и наследования;</w:t>
      </w:r>
    </w:p>
    <w:p w14:paraId="7CA6E6A9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b/>
        </w:rPr>
        <w:t>воспрепятствования заключению полигамных браков — в соответствии с общей рекомендацией № 21 и совместной общей рекомендацией № 31 / замечанием общего порядка № 18;</w:t>
      </w:r>
    </w:p>
    <w:p w14:paraId="29EBD17D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c</w:t>
      </w:r>
      <w:r>
        <w:t>)</w:t>
      </w:r>
      <w:r>
        <w:tab/>
      </w:r>
      <w:r>
        <w:rPr>
          <w:b/>
        </w:rPr>
        <w:t>установления в законе и обеспечения соблюдения минимального возраста вступления в брак, составляющего 18 лет как для женщин, так и для мужчин;</w:t>
      </w:r>
    </w:p>
    <w:p w14:paraId="56D0780F" w14:textId="77777777" w:rsidR="00DD53DD" w:rsidRDefault="00DD53DD" w:rsidP="00DD53DD">
      <w:pPr>
        <w:pStyle w:val="SingleTxt"/>
        <w:rPr>
          <w:b/>
        </w:rPr>
      </w:pPr>
      <w:r>
        <w:tab/>
      </w:r>
      <w:r>
        <w:rPr>
          <w:lang w:val="en-US"/>
        </w:rPr>
        <w:t>d</w:t>
      </w:r>
      <w:r>
        <w:t>)</w:t>
      </w:r>
      <w:r>
        <w:tab/>
      </w:r>
      <w:r>
        <w:rPr>
          <w:b/>
        </w:rPr>
        <w:t>активизации своих усилий в целях предоставления женщинам и девочкам возможности для осуществления своего права наследования на равноправной с мужчинами и мальчиками основе и принятия законодательства, гарантирующего наличие у женщин в случае расторжения брака равных прав на нажитое в браке имущество;</w:t>
      </w:r>
    </w:p>
    <w:p w14:paraId="169AB483" w14:textId="77777777" w:rsidR="00DD53DD" w:rsidRDefault="00DD53DD" w:rsidP="00DD53DD">
      <w:pPr>
        <w:pStyle w:val="SingleTxt"/>
      </w:pPr>
      <w:r>
        <w:tab/>
      </w:r>
      <w:r>
        <w:rPr>
          <w:lang w:val="en-US"/>
        </w:rPr>
        <w:t>e</w:t>
      </w:r>
      <w:r>
        <w:t>)</w:t>
      </w:r>
      <w:r>
        <w:tab/>
      </w:r>
      <w:r>
        <w:rPr>
          <w:b/>
        </w:rPr>
        <w:t>принятия писаного единого семейного кодекса на основе принципов равенства и недискриминации и обеспечения эффективного функционирования судов по вопросам личного статуса в целях защиты женщин и уменьшения их правовой, экономической и социальной маргинализации.</w:t>
      </w:r>
    </w:p>
    <w:p w14:paraId="480BCFFE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08372B47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14:paraId="4783FAC4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2D37FEFB" w14:textId="77777777" w:rsidR="00DD53DD" w:rsidRDefault="00DD53DD" w:rsidP="00DD53DD">
      <w:pPr>
        <w:pStyle w:val="SingleTxt"/>
      </w:pPr>
      <w:r>
        <w:t>65.</w:t>
      </w:r>
      <w:r>
        <w:tab/>
        <w:t>Комитет принимает к сведению предоставленную государством-участником информацию</w:t>
      </w:r>
      <w:r>
        <w:rPr>
          <w:color w:val="000000"/>
        </w:rPr>
        <w:t xml:space="preserve"> о текущей работе по созданию базы данных о женщинах, однако сожалеет о том, что данные в разбивке по полу по-прежнему являются недостаточно полными для обеспечения полноценного контроля всех сфер, подпадающих под действие Конвенции.</w:t>
      </w:r>
    </w:p>
    <w:p w14:paraId="583DAB7D" w14:textId="77777777" w:rsidR="00DD53DD" w:rsidRDefault="00DD53DD" w:rsidP="00DD53DD">
      <w:pPr>
        <w:pStyle w:val="SingleTxt"/>
      </w:pPr>
      <w:r>
        <w:t>66.</w:t>
      </w:r>
      <w:r>
        <w:tab/>
      </w:r>
      <w:r>
        <w:rPr>
          <w:b/>
          <w:color w:val="000000"/>
        </w:rPr>
        <w:t>Комитет рекомендует государству-участнику активизировать сбор, анализ и распространение всеобъемлющих данных в разбивке по полу, возрасту, инвалидности, этнической принадлежности, географическому местоположению и социально-экономическому статусу, а также использовать измеряемые показатели для оценки тенденций, касающихся положения женщин и прогресса в реализации принципа фактического равенства женщин во всех сферах, охватываемых Конвенцией, в частности по таким вопросам, как гендерное насилие в отношении женщин, торговля женщинами и девочками и женщины-мигранты, работающие в качестве домашней прислуги.</w:t>
      </w:r>
    </w:p>
    <w:p w14:paraId="50E8BF1D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0BF89A2C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к Конвенции</w:t>
      </w:r>
    </w:p>
    <w:p w14:paraId="5B3F4D45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26842E41" w14:textId="77777777" w:rsidR="00DD53DD" w:rsidRDefault="00DD53DD" w:rsidP="00DD53DD">
      <w:pPr>
        <w:pStyle w:val="SingleTxt"/>
        <w:rPr>
          <w:b/>
        </w:rPr>
      </w:pPr>
      <w:r>
        <w:t>67.</w:t>
      </w:r>
      <w:r>
        <w:tab/>
      </w:r>
      <w:r>
        <w:rPr>
          <w:b/>
        </w:rPr>
        <w:t>Комитет призывает государство-участника ратифицировать Факультативный протокол к Конвенции.</w:t>
      </w:r>
    </w:p>
    <w:p w14:paraId="37EF3374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E95B9B0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14:paraId="010178E5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087A8A8" w14:textId="77777777" w:rsidR="00DD53DD" w:rsidRDefault="00DD53DD" w:rsidP="00DD53DD">
      <w:pPr>
        <w:pStyle w:val="SingleTxt"/>
      </w:pPr>
      <w:r>
        <w:t>68.</w:t>
      </w:r>
      <w:r>
        <w:tab/>
      </w:r>
      <w:r>
        <w:rPr>
          <w:b/>
          <w:color w:val="000000"/>
        </w:rPr>
        <w:t>Комитет призывает государство-участника учитывать Пекинскую декларацию и Платформу действий в принимаемых им мерах по осуществлению положений Конвенции.</w:t>
      </w:r>
    </w:p>
    <w:p w14:paraId="5F5E091A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5900825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Повестка дня в области устойчивого развития на период до 2030 года </w:t>
      </w:r>
    </w:p>
    <w:p w14:paraId="71953F91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05B48C80" w14:textId="77777777" w:rsidR="00DD53DD" w:rsidRDefault="00DD53DD" w:rsidP="00DD53DD">
      <w:pPr>
        <w:pStyle w:val="SingleTxt"/>
      </w:pPr>
      <w:r>
        <w:t>69.</w:t>
      </w:r>
      <w:r>
        <w:tab/>
      </w:r>
      <w:r>
        <w:rPr>
          <w:b/>
          <w:color w:val="000000"/>
        </w:rPr>
        <w:t>Комитет призывает к обеспечению реального гендерного равенства в соответствии с положениями Конвенции на всем протяжении процесса осуществления Повестки дня в области устойчивого развития на период до 2030 года.</w:t>
      </w:r>
    </w:p>
    <w:p w14:paraId="7A7EB07C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94588C5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информации</w:t>
      </w:r>
    </w:p>
    <w:p w14:paraId="2B9CD3FF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3A7D9CBA" w14:textId="77777777" w:rsidR="00DD53DD" w:rsidRDefault="00DD53DD" w:rsidP="00DD53DD">
      <w:pPr>
        <w:pStyle w:val="SingleTxt"/>
      </w:pPr>
      <w:r>
        <w:t>70.</w:t>
      </w:r>
      <w:r>
        <w:tab/>
      </w:r>
      <w:r>
        <w:rPr>
          <w:b/>
          <w:color w:val="000000"/>
        </w:rPr>
        <w:t>Комитет просит государство-участника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учреждениям на всех уровнях (национальном, региональном и местном), в частности правительству, министерствам, парламенту и органам судебной системы, в целях обеспечения их полного осуществления.</w:t>
      </w:r>
    </w:p>
    <w:p w14:paraId="7FF26328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10D302B3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Техническая помощь</w:t>
      </w:r>
    </w:p>
    <w:p w14:paraId="0A1B4899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53BCD891" w14:textId="77777777" w:rsidR="00DD53DD" w:rsidRDefault="00DD53DD" w:rsidP="00DD53DD">
      <w:pPr>
        <w:pStyle w:val="SingleTxt"/>
      </w:pPr>
      <w:r>
        <w:t>71.</w:t>
      </w:r>
      <w:r>
        <w:tab/>
      </w:r>
      <w:r>
        <w:rPr>
          <w:b/>
          <w:color w:val="000000"/>
        </w:rPr>
        <w:t>Комитет рекомендует государству-участнику увязать осуществление Конвенции с его усилиями в области развития и использовать для этого техническую помощь, оказываемую в связи с этим на региональном или международном уровне.</w:t>
      </w:r>
    </w:p>
    <w:p w14:paraId="0ECD1B5B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6D9F1C04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14:paraId="0C02BADF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5FC7A266" w14:textId="77777777" w:rsidR="00DD53DD" w:rsidRDefault="00DD53DD" w:rsidP="00DD53DD">
      <w:pPr>
        <w:pStyle w:val="SingleTxt"/>
      </w:pPr>
      <w:r>
        <w:t>72.</w:t>
      </w:r>
      <w:r>
        <w:tab/>
      </w:r>
      <w:r>
        <w:rPr>
          <w:b/>
          <w:color w:val="000000"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DD53DD">
        <w:rPr>
          <w:rStyle w:val="FootnoteReference"/>
        </w:rPr>
        <w:footnoteReference w:id="1"/>
      </w:r>
      <w:r>
        <w:rPr>
          <w:b/>
          <w:color w:val="000000"/>
        </w:rPr>
        <w:t xml:space="preserve"> будет способствовать более активному осуществлению женщинами своих прав человека и основных свобод во всех сферах жизни. В связи с этим Комитет призывает государство-участника ратифицировать Международный пакт об экономических, социальных и культурных правах, Международный пакт о гражданских и политических правах, </w:t>
      </w:r>
      <w:r>
        <w:rPr>
          <w:rStyle w:val="preferred"/>
          <w:b/>
        </w:rPr>
        <w:t xml:space="preserve">Международную конвенцию о защите прав всех трудящихся-мигрантов и членов их семей и </w:t>
      </w:r>
      <w:r>
        <w:rPr>
          <w:b/>
          <w:color w:val="000000"/>
        </w:rPr>
        <w:t>Международную конвенцию для защиты всех лиц от насильственных исчезновений, участником которых оно еще не является.</w:t>
      </w:r>
    </w:p>
    <w:p w14:paraId="08AE1566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1977A494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 по выполнению заключительных замечаний</w:t>
      </w:r>
    </w:p>
    <w:p w14:paraId="1DF16FED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525F8660" w14:textId="77777777" w:rsidR="00DD53DD" w:rsidRDefault="00DD53DD" w:rsidP="00DD53DD">
      <w:pPr>
        <w:pStyle w:val="SingleTxt"/>
      </w:pPr>
      <w:r>
        <w:t>73.</w:t>
      </w:r>
      <w:r>
        <w:tab/>
      </w:r>
      <w:r>
        <w:rPr>
          <w:b/>
          <w:color w:val="000000"/>
        </w:rPr>
        <w:t>Комитет просит государство-участника предоставить в течение двух лет в письменном виде информацию о мерах, принятых для осуществления рекомендаций, содержащихся в подпункте a) пункта 16, пункте 26, подпункте b) пункта 32 и подпункте a) пункта 62 выше.</w:t>
      </w:r>
    </w:p>
    <w:p w14:paraId="35B30251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2F6CB76A" w14:textId="77777777" w:rsidR="00DD53DD" w:rsidRDefault="00DD53DD" w:rsidP="00DD53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следующего доклада</w:t>
      </w:r>
    </w:p>
    <w:p w14:paraId="78C53D1D" w14:textId="77777777" w:rsidR="00DD53DD" w:rsidRDefault="00DD53DD" w:rsidP="00DD53DD">
      <w:pPr>
        <w:pStyle w:val="SingleTxt"/>
        <w:spacing w:after="0" w:line="120" w:lineRule="exact"/>
        <w:rPr>
          <w:sz w:val="10"/>
        </w:rPr>
      </w:pPr>
    </w:p>
    <w:p w14:paraId="41C6790C" w14:textId="77777777" w:rsidR="00DD53DD" w:rsidRDefault="00DD53DD" w:rsidP="00DD53DD">
      <w:pPr>
        <w:pStyle w:val="SingleTxt"/>
      </w:pPr>
      <w:r>
        <w:t>74.</w:t>
      </w:r>
      <w:r>
        <w:tab/>
      </w:r>
      <w:r>
        <w:rPr>
          <w:b/>
          <w:color w:val="000000"/>
        </w:rPr>
        <w:t>Комитет предлагает государству-участнику представить свой пятый периодический доклад в марте 2022 года. Доклад должен быть представлен своевременно, а в случае задержки он должен охватывать весь период времени вплоть до момента его представления.</w:t>
      </w:r>
    </w:p>
    <w:p w14:paraId="761E9068" w14:textId="09557B3A" w:rsidR="00DD53DD" w:rsidRPr="00DD53DD" w:rsidRDefault="00DD53DD" w:rsidP="00DD53DD">
      <w:pPr>
        <w:pStyle w:val="SingleTxt"/>
        <w:rPr>
          <w:rFonts w:eastAsiaTheme="minorEastAsia"/>
          <w:spacing w:val="0"/>
          <w:w w:val="100"/>
          <w:kern w:val="0"/>
          <w:sz w:val="24"/>
          <w:szCs w:val="24"/>
          <w:lang w:eastAsia="zh-CN"/>
        </w:rPr>
      </w:pPr>
      <w:r>
        <w:t>75.</w:t>
      </w:r>
      <w:r>
        <w:tab/>
        <w:t>Комитет просит государство-участника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</w:t>
      </w:r>
      <w:r w:rsidRPr="00DD53DD">
        <w:t xml:space="preserve"> </w:t>
      </w:r>
      <w:r>
        <w:rPr>
          <w:bCs/>
        </w:rPr>
        <w:t>(см.</w:t>
      </w:r>
      <w:r>
        <w:rPr>
          <w:bCs/>
        </w:rPr>
        <w:t> </w:t>
      </w:r>
      <w:hyperlink r:id="rId23" w:history="1">
        <w:r w:rsidRPr="00DD53DD">
          <w:rPr>
            <w:rStyle w:val="Hyperlink"/>
          </w:rPr>
          <w:t>HRI/GEN/2/Rev.6</w:t>
        </w:r>
      </w:hyperlink>
      <w:r>
        <w:rPr>
          <w:bCs/>
        </w:rPr>
        <w:t>, глава I).</w:t>
      </w:r>
      <w:r w:rsidRPr="00DD53DD">
        <w:rPr>
          <w:rFonts w:eastAsiaTheme="minorEastAsia"/>
          <w:spacing w:val="0"/>
          <w:w w:val="100"/>
          <w:kern w:val="0"/>
          <w:sz w:val="24"/>
          <w:szCs w:val="24"/>
          <w:lang w:eastAsia="zh-CN"/>
        </w:rPr>
        <w:t xml:space="preserve"> </w:t>
      </w:r>
    </w:p>
    <w:p w14:paraId="0CE66A99" w14:textId="3F678C59" w:rsidR="00452985" w:rsidRPr="00DD53DD" w:rsidRDefault="00DD53DD" w:rsidP="00DD53DD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7FFCE4" wp14:editId="2AD4B1D6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AE15C3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452985" w:rsidRPr="00DD53DD" w:rsidSect="00DD53DD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8-05-23T08:20:00Z" w:initials="Start">
    <w:p w14:paraId="7AF8F872" w14:textId="77777777" w:rsidR="00452985" w:rsidRPr="00DD53DD" w:rsidRDefault="00452985">
      <w:pPr>
        <w:pStyle w:val="CommentText"/>
        <w:rPr>
          <w:lang w:val="en-US"/>
        </w:rPr>
      </w:pPr>
      <w:r>
        <w:fldChar w:fldCharType="begin"/>
      </w:r>
      <w:r w:rsidRPr="00DD53DD">
        <w:rPr>
          <w:rStyle w:val="CommentReference"/>
          <w:lang w:val="en-US"/>
        </w:rPr>
        <w:instrText xml:space="preserve"> </w:instrText>
      </w:r>
      <w:r w:rsidRPr="00DD53DD">
        <w:rPr>
          <w:lang w:val="en-US"/>
        </w:rPr>
        <w:instrText>PAGE \# "'Page: '#'</w:instrText>
      </w:r>
      <w:r w:rsidRPr="00DD53DD">
        <w:rPr>
          <w:lang w:val="en-US"/>
        </w:rPr>
        <w:br/>
        <w:instrText>'"</w:instrText>
      </w:r>
      <w:r w:rsidRPr="00DD53D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D53DD">
        <w:rPr>
          <w:lang w:val="en-US"/>
        </w:rPr>
        <w:t>&lt;&lt;ODS JOB NO&gt;&gt;N1807064R&lt;&lt;ODS JOB NO&gt;&gt;</w:t>
      </w:r>
    </w:p>
    <w:p w14:paraId="3C6021DA" w14:textId="77777777" w:rsidR="00452985" w:rsidRDefault="00452985">
      <w:pPr>
        <w:pStyle w:val="CommentText"/>
      </w:pPr>
      <w:r>
        <w:t>&lt;&lt;ODS DOC SYMBOL1&gt;&gt;CEDAW/C/SAU/CO/3-4&lt;&lt;ODS DOC SYMBOL1&gt;&gt;</w:t>
      </w:r>
    </w:p>
    <w:p w14:paraId="4EFF8C86" w14:textId="77777777" w:rsidR="00452985" w:rsidRDefault="00452985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EFF8C86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7420C1" w14:textId="77777777" w:rsidR="008F1B23" w:rsidRDefault="008F1B23" w:rsidP="001824A1">
      <w:pPr>
        <w:spacing w:line="240" w:lineRule="auto"/>
      </w:pPr>
      <w:r>
        <w:separator/>
      </w:r>
    </w:p>
  </w:endnote>
  <w:endnote w:type="continuationSeparator" w:id="0">
    <w:p w14:paraId="5161CFC8" w14:textId="77777777" w:rsidR="008F1B23" w:rsidRDefault="008F1B23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52985" w14:paraId="4F12C297" w14:textId="77777777" w:rsidTr="00452985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1BBA8165" w14:textId="29D2164D" w:rsidR="00452985" w:rsidRPr="00452985" w:rsidRDefault="00452985" w:rsidP="00452985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0607B">
            <w:rPr>
              <w:noProof/>
            </w:rPr>
            <w:t>22</w:t>
          </w:r>
          <w:r>
            <w:fldChar w:fldCharType="end"/>
          </w:r>
          <w:r>
            <w:t>/</w:t>
          </w:r>
          <w:fldSimple w:instr=" NUMPAGES  \* Arabic  \* MERGEFORMAT ">
            <w:r w:rsidR="0090607B">
              <w:rPr>
                <w:noProof/>
              </w:rPr>
              <w:t>22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D02CA2B" w14:textId="00286601" w:rsidR="00452985" w:rsidRPr="00DD53DD" w:rsidRDefault="00452985" w:rsidP="00452985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0607B">
            <w:rPr>
              <w:b w:val="0"/>
              <w:color w:val="000000"/>
              <w:sz w:val="14"/>
            </w:rPr>
            <w:t>18-03925</w:t>
          </w:r>
          <w:r>
            <w:rPr>
              <w:b w:val="0"/>
              <w:color w:val="000000"/>
              <w:sz w:val="14"/>
            </w:rPr>
            <w:fldChar w:fldCharType="end"/>
          </w:r>
          <w:r w:rsidR="00DD53DD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1DBFF512" w14:textId="77777777" w:rsidR="00452985" w:rsidRPr="00452985" w:rsidRDefault="00452985" w:rsidP="004529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52985" w14:paraId="65E2E6DC" w14:textId="77777777" w:rsidTr="00452985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1B612816" w14:textId="6669D9E1" w:rsidR="00452985" w:rsidRPr="00DD53DD" w:rsidRDefault="00452985" w:rsidP="00452985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0607B">
            <w:rPr>
              <w:b w:val="0"/>
              <w:color w:val="000000"/>
              <w:sz w:val="14"/>
            </w:rPr>
            <w:t>18-03925</w:t>
          </w:r>
          <w:r>
            <w:rPr>
              <w:b w:val="0"/>
              <w:color w:val="000000"/>
              <w:sz w:val="14"/>
            </w:rPr>
            <w:fldChar w:fldCharType="end"/>
          </w:r>
          <w:r w:rsidR="00DD53DD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4920" w:type="dxa"/>
          <w:shd w:val="clear" w:color="auto" w:fill="auto"/>
          <w:vAlign w:val="bottom"/>
        </w:tcPr>
        <w:p w14:paraId="794BA416" w14:textId="074266DA" w:rsidR="00452985" w:rsidRPr="00452985" w:rsidRDefault="00452985" w:rsidP="00452985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0607B">
            <w:rPr>
              <w:noProof/>
            </w:rPr>
            <w:t>21</w:t>
          </w:r>
          <w:r>
            <w:fldChar w:fldCharType="end"/>
          </w:r>
          <w:r>
            <w:t>/</w:t>
          </w:r>
          <w:fldSimple w:instr=" NUMPAGES  \* Arabic  \* MERGEFORMAT ">
            <w:r w:rsidR="0090607B">
              <w:rPr>
                <w:noProof/>
              </w:rPr>
              <w:t>22</w:t>
            </w:r>
          </w:fldSimple>
        </w:p>
      </w:tc>
    </w:tr>
  </w:tbl>
  <w:p w14:paraId="4CBF8453" w14:textId="77777777" w:rsidR="00452985" w:rsidRPr="00452985" w:rsidRDefault="00452985" w:rsidP="004529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452985" w14:paraId="1503D082" w14:textId="77777777" w:rsidTr="00452985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5A8C1C43" w14:textId="49D6EF92" w:rsidR="00452985" w:rsidRDefault="00452985" w:rsidP="00452985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551D61A" wp14:editId="2F8F54E6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SAU/CO/3-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SAU/CO/3-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 xml:space="preserve">18-03925 </w:t>
          </w:r>
          <w:r w:rsidR="00DD53DD">
            <w:rPr>
              <w:lang w:val="en-US"/>
            </w:rPr>
            <w:t xml:space="preserve">X </w:t>
          </w:r>
          <w:r>
            <w:t>(R)</w:t>
          </w:r>
          <w:r w:rsidR="00DD53DD">
            <w:rPr>
              <w:color w:val="010000"/>
            </w:rPr>
            <w:t xml:space="preserve">    </w:t>
          </w:r>
          <w:r w:rsidR="00DD53DD">
            <w:rPr>
              <w:color w:val="010000"/>
              <w:lang w:val="en-US"/>
            </w:rPr>
            <w:t>18</w:t>
          </w:r>
          <w:r>
            <w:rPr>
              <w:color w:val="010000"/>
            </w:rPr>
            <w:t>0518    230518</w:t>
          </w:r>
        </w:p>
        <w:p w14:paraId="4C252A8E" w14:textId="77777777" w:rsidR="00452985" w:rsidRPr="00452985" w:rsidRDefault="00452985" w:rsidP="00452985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*1803925*</w:t>
          </w:r>
        </w:p>
      </w:tc>
      <w:tc>
        <w:tcPr>
          <w:tcW w:w="4920" w:type="dxa"/>
        </w:tcPr>
        <w:p w14:paraId="48DE58DC" w14:textId="77777777" w:rsidR="00452985" w:rsidRDefault="00452985" w:rsidP="00452985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8B8D0E6" wp14:editId="5532DD1F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E62C3DF" w14:textId="77777777" w:rsidR="00452985" w:rsidRPr="00452985" w:rsidRDefault="00452985" w:rsidP="0045298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AB33A1" w14:textId="1384DEC5" w:rsidR="008F1B23" w:rsidRPr="00DD53DD" w:rsidRDefault="00DD53DD" w:rsidP="00DD53DD">
      <w:pPr>
        <w:pStyle w:val="Footer"/>
        <w:spacing w:after="80"/>
        <w:ind w:left="792"/>
      </w:pPr>
      <w:r w:rsidRPr="00DD53DD">
        <w:t>__________________</w:t>
      </w:r>
    </w:p>
  </w:footnote>
  <w:footnote w:type="continuationSeparator" w:id="0">
    <w:p w14:paraId="29D4DEB5" w14:textId="286B7D94" w:rsidR="008F1B23" w:rsidRPr="00DD53DD" w:rsidRDefault="00DD53DD" w:rsidP="00DD53DD">
      <w:pPr>
        <w:pStyle w:val="Footer"/>
        <w:spacing w:after="80"/>
        <w:ind w:left="792"/>
      </w:pPr>
      <w:r w:rsidRPr="00DD53DD">
        <w:t>__________________</w:t>
      </w:r>
    </w:p>
  </w:footnote>
  <w:footnote w:id="1">
    <w:p w14:paraId="0D96D7D3" w14:textId="0450A18A" w:rsidR="00DD53DD" w:rsidRDefault="00DD53DD" w:rsidP="00DD53D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w w:val="103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color w:val="000000"/>
          <w:szCs w:val="17"/>
        </w:rPr>
        <w:t>Международный пакт об экономических, социальных и культурных правах; Международный пакт о гражданских и политических правах; Международная конвенция о ликвидации всех форм расовой дискриминации; 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52985" w14:paraId="15F9A9CB" w14:textId="77777777" w:rsidTr="0045298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04AD863" w14:textId="654AF62B" w:rsidR="00452985" w:rsidRPr="00452985" w:rsidRDefault="00452985" w:rsidP="0045298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0607B">
            <w:rPr>
              <w:b/>
            </w:rPr>
            <w:t>CEDAW/C/SAU/CO/3-4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25C3212" w14:textId="77777777" w:rsidR="00452985" w:rsidRDefault="00452985" w:rsidP="00452985">
          <w:pPr>
            <w:pStyle w:val="Header"/>
          </w:pPr>
        </w:p>
      </w:tc>
    </w:tr>
  </w:tbl>
  <w:p w14:paraId="25F38EA4" w14:textId="77777777" w:rsidR="00452985" w:rsidRPr="00452985" w:rsidRDefault="00452985" w:rsidP="004529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52985" w14:paraId="2B4B2086" w14:textId="77777777" w:rsidTr="0045298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E67F16F" w14:textId="77777777" w:rsidR="00452985" w:rsidRDefault="00452985" w:rsidP="00452985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44A5E4E6" w14:textId="37E423BB" w:rsidR="00452985" w:rsidRPr="00452985" w:rsidRDefault="00452985" w:rsidP="0045298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0607B">
            <w:rPr>
              <w:b/>
            </w:rPr>
            <w:t>CEDAW/C/SAU/CO/3-4</w:t>
          </w:r>
          <w:r>
            <w:rPr>
              <w:b/>
            </w:rPr>
            <w:fldChar w:fldCharType="end"/>
          </w:r>
        </w:p>
      </w:tc>
    </w:tr>
  </w:tbl>
  <w:p w14:paraId="7C2B8DC4" w14:textId="77777777" w:rsidR="00452985" w:rsidRPr="00452985" w:rsidRDefault="00452985" w:rsidP="0045298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452985" w14:paraId="11545AE1" w14:textId="77777777" w:rsidTr="0045298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9808E9F" w14:textId="5B7D4B21" w:rsidR="00452985" w:rsidRPr="00DD53DD" w:rsidRDefault="00DD53DD" w:rsidP="00452985">
          <w:pPr>
            <w:pStyle w:val="HCh"/>
            <w:spacing w:after="80"/>
            <w:rPr>
              <w:spacing w:val="0"/>
              <w:w w:val="100"/>
              <w:kern w:val="0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  <w:r>
            <w:rPr>
              <w:spacing w:val="0"/>
              <w:w w:val="100"/>
              <w:kern w:val="0"/>
            </w:rPr>
            <w:t xml:space="preserve"> 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3EC555C" w14:textId="77777777" w:rsidR="00452985" w:rsidRDefault="00452985" w:rsidP="00452985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C937DF8" w14:textId="77777777" w:rsidR="00452985" w:rsidRPr="00452985" w:rsidRDefault="00452985" w:rsidP="0045298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/C/SAU/CO/3-4</w:t>
          </w:r>
        </w:p>
      </w:tc>
    </w:tr>
    <w:tr w:rsidR="00452985" w:rsidRPr="00DD53DD" w14:paraId="0D31A8E6" w14:textId="77777777" w:rsidTr="00452985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C2F1DA9" w14:textId="77777777" w:rsidR="00452985" w:rsidRPr="00452985" w:rsidRDefault="00452985" w:rsidP="00452985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6248E30F" wp14:editId="213B91B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691D7E0" w14:textId="2CC7D92B" w:rsidR="00452985" w:rsidRPr="00452985" w:rsidRDefault="00DD53DD" w:rsidP="00452985">
          <w:pPr>
            <w:pStyle w:val="XLarge"/>
            <w:spacing w:before="109" w:line="330" w:lineRule="exact"/>
            <w:rPr>
              <w:sz w:val="34"/>
            </w:rPr>
          </w:pPr>
          <w:r>
            <w:t>Конвенция о ликви</w:t>
          </w:r>
          <w:r>
            <w:t>дации всех форм дискриминации в </w:t>
          </w:r>
          <w: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4139368" w14:textId="77777777" w:rsidR="00452985" w:rsidRPr="00452985" w:rsidRDefault="00452985" w:rsidP="00452985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E0AA6E3" w14:textId="77777777" w:rsidR="00452985" w:rsidRPr="00DD53DD" w:rsidRDefault="00452985" w:rsidP="00452985">
          <w:pPr>
            <w:pStyle w:val="Distribution"/>
            <w:rPr>
              <w:color w:val="000000"/>
              <w:lang w:val="en-US"/>
            </w:rPr>
          </w:pPr>
          <w:r w:rsidRPr="00DD53DD">
            <w:rPr>
              <w:color w:val="000000"/>
              <w:lang w:val="en-US"/>
            </w:rPr>
            <w:t>Distr.: General</w:t>
          </w:r>
        </w:p>
        <w:p w14:paraId="79B155D0" w14:textId="77777777" w:rsidR="00452985" w:rsidRPr="00DD53DD" w:rsidRDefault="00452985" w:rsidP="00452985">
          <w:pPr>
            <w:pStyle w:val="Publication"/>
            <w:rPr>
              <w:color w:val="000000"/>
              <w:lang w:val="en-US"/>
            </w:rPr>
          </w:pPr>
          <w:r w:rsidRPr="00DD53DD">
            <w:rPr>
              <w:color w:val="000000"/>
              <w:lang w:val="en-US"/>
            </w:rPr>
            <w:t>14 March 2018</w:t>
          </w:r>
        </w:p>
        <w:p w14:paraId="2335F670" w14:textId="77777777" w:rsidR="00452985" w:rsidRPr="00DD53DD" w:rsidRDefault="00452985" w:rsidP="00452985">
          <w:pPr>
            <w:rPr>
              <w:color w:val="000000"/>
              <w:lang w:val="en-US"/>
            </w:rPr>
          </w:pPr>
          <w:r w:rsidRPr="00DD53DD">
            <w:rPr>
              <w:color w:val="000000"/>
              <w:lang w:val="en-US"/>
            </w:rPr>
            <w:t>Russian</w:t>
          </w:r>
        </w:p>
        <w:p w14:paraId="683BF37D" w14:textId="77777777" w:rsidR="00452985" w:rsidRPr="00DD53DD" w:rsidRDefault="00452985" w:rsidP="00452985">
          <w:pPr>
            <w:pStyle w:val="Original"/>
            <w:rPr>
              <w:color w:val="000000"/>
              <w:lang w:val="en-US"/>
            </w:rPr>
          </w:pPr>
          <w:r w:rsidRPr="00DD53DD">
            <w:rPr>
              <w:color w:val="000000"/>
              <w:lang w:val="en-US"/>
            </w:rPr>
            <w:t>Original: English</w:t>
          </w:r>
        </w:p>
        <w:p w14:paraId="5EF8E337" w14:textId="77777777" w:rsidR="00452985" w:rsidRPr="00DD53DD" w:rsidRDefault="00452985" w:rsidP="00452985">
          <w:pPr>
            <w:rPr>
              <w:lang w:val="en-US"/>
            </w:rPr>
          </w:pPr>
        </w:p>
      </w:tc>
    </w:tr>
  </w:tbl>
  <w:p w14:paraId="452932F5" w14:textId="77777777" w:rsidR="00452985" w:rsidRPr="00DD53DD" w:rsidRDefault="00452985" w:rsidP="00452985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281C006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B78879DE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7F8C911E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C628735E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arcode" w:val="*1803925*"/>
    <w:docVar w:name="CreationDt" w:val="23/05/2018 8:20: AM"/>
    <w:docVar w:name="DocCategory" w:val="Doc"/>
    <w:docVar w:name="DocType" w:val="Final"/>
    <w:docVar w:name="DutyStation" w:val="New York"/>
    <w:docVar w:name="FooterJN" w:val="18-03925"/>
    <w:docVar w:name="jobn" w:val="18-03925 (R)"/>
    <w:docVar w:name="jobnDT" w:val="18-03925 (R)   230518"/>
    <w:docVar w:name="jobnDTDT" w:val="18-03925 (R)   230518   230518"/>
    <w:docVar w:name="JobNo" w:val="1803925R"/>
    <w:docVar w:name="JobNo2" w:val="1807064R"/>
    <w:docVar w:name="LocalDrive" w:val="0"/>
    <w:docVar w:name="OandT" w:val=" "/>
    <w:docVar w:name="sss1" w:val="CEDAW/C/SAU/CO/3-4"/>
    <w:docVar w:name="sss2" w:val="-"/>
    <w:docVar w:name="Symbol1" w:val="CEDAW/C/SAU/CO/3-4"/>
    <w:docVar w:name="Symbol2" w:val="-"/>
  </w:docVars>
  <w:rsids>
    <w:rsidRoot w:val="008F1B23"/>
    <w:rsid w:val="00057473"/>
    <w:rsid w:val="000A1A1B"/>
    <w:rsid w:val="00144833"/>
    <w:rsid w:val="001824A1"/>
    <w:rsid w:val="001B0786"/>
    <w:rsid w:val="001F427A"/>
    <w:rsid w:val="00210AF4"/>
    <w:rsid w:val="00215A7D"/>
    <w:rsid w:val="003218EF"/>
    <w:rsid w:val="003807EF"/>
    <w:rsid w:val="0038495D"/>
    <w:rsid w:val="003F7347"/>
    <w:rsid w:val="004275D7"/>
    <w:rsid w:val="004279A5"/>
    <w:rsid w:val="00431502"/>
    <w:rsid w:val="00452985"/>
    <w:rsid w:val="004731F9"/>
    <w:rsid w:val="00522240"/>
    <w:rsid w:val="00542D6F"/>
    <w:rsid w:val="005644C2"/>
    <w:rsid w:val="00571999"/>
    <w:rsid w:val="005A2266"/>
    <w:rsid w:val="005B58D8"/>
    <w:rsid w:val="00643F79"/>
    <w:rsid w:val="006B0972"/>
    <w:rsid w:val="006D4969"/>
    <w:rsid w:val="006E5CA5"/>
    <w:rsid w:val="00705A84"/>
    <w:rsid w:val="007A6496"/>
    <w:rsid w:val="007D2E54"/>
    <w:rsid w:val="007F260F"/>
    <w:rsid w:val="00840363"/>
    <w:rsid w:val="00843551"/>
    <w:rsid w:val="008E0493"/>
    <w:rsid w:val="008E3D70"/>
    <w:rsid w:val="008F1B23"/>
    <w:rsid w:val="0090607B"/>
    <w:rsid w:val="0096420F"/>
    <w:rsid w:val="009A6B82"/>
    <w:rsid w:val="009F077A"/>
    <w:rsid w:val="00A57ABA"/>
    <w:rsid w:val="00A72FF5"/>
    <w:rsid w:val="00B535EE"/>
    <w:rsid w:val="00B745E4"/>
    <w:rsid w:val="00C41769"/>
    <w:rsid w:val="00C45C26"/>
    <w:rsid w:val="00CA4BB0"/>
    <w:rsid w:val="00D760D3"/>
    <w:rsid w:val="00D82BC5"/>
    <w:rsid w:val="00D96F14"/>
    <w:rsid w:val="00DC1E21"/>
    <w:rsid w:val="00DD53DD"/>
    <w:rsid w:val="00E25037"/>
    <w:rsid w:val="00E720E8"/>
    <w:rsid w:val="00EC2A36"/>
    <w:rsid w:val="00F2422B"/>
    <w:rsid w:val="00F63321"/>
    <w:rsid w:val="00F81CC1"/>
    <w:rsid w:val="00FB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B59D8BD"/>
  <w15:chartTrackingRefBased/>
  <w15:docId w15:val="{A38FEED0-C3EF-4D94-80CE-8159DF2E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DC1E21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DC1E21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DC1E21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C1E21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DC1E21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DC1E21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DC1E21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DC1E21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DC1E21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DC1E21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DC1E21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DC1E21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DC1E2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DC1E21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DC1E2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DC1E21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DC1E21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DC1E21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DC1E21"/>
    <w:pPr>
      <w:numPr>
        <w:numId w:val="28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DC1E21"/>
    <w:pPr>
      <w:numPr>
        <w:numId w:val="29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DC1E21"/>
    <w:pPr>
      <w:numPr>
        <w:numId w:val="3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DC1E21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DC1E21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DC1E21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DC1E21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DC1E21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DC1E21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semiHidden/>
    <w:rsid w:val="00DC1E21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DC1E21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DC1E21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DC1E21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DC1E21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C1E21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DC1E21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DC1E21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DC1E21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C1E21"/>
    <w:pPr>
      <w:numPr>
        <w:numId w:val="3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C1E21"/>
    <w:pPr>
      <w:numPr>
        <w:numId w:val="32"/>
      </w:numPr>
      <w:contextualSpacing/>
    </w:pPr>
  </w:style>
  <w:style w:type="paragraph" w:styleId="ListNumber2">
    <w:name w:val="List Number 2"/>
    <w:basedOn w:val="H23"/>
    <w:next w:val="Normal"/>
    <w:uiPriority w:val="99"/>
    <w:rsid w:val="00DC1E21"/>
    <w:pPr>
      <w:numPr>
        <w:numId w:val="3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DC1E21"/>
    <w:pPr>
      <w:numPr>
        <w:numId w:val="3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DC1E21"/>
    <w:pPr>
      <w:keepNext/>
      <w:keepLines/>
      <w:numPr>
        <w:numId w:val="35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DC1E21"/>
    <w:pPr>
      <w:numPr>
        <w:numId w:val="36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DC1E21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DC1E21"/>
    <w:rPr>
      <w:szCs w:val="20"/>
    </w:rPr>
  </w:style>
  <w:style w:type="paragraph" w:customStyle="1" w:styleId="Publication">
    <w:name w:val="Publication"/>
    <w:basedOn w:val="Normal"/>
    <w:next w:val="Normal"/>
    <w:qFormat/>
    <w:rsid w:val="00DC1E21"/>
  </w:style>
  <w:style w:type="paragraph" w:customStyle="1" w:styleId="ReleaseDate">
    <w:name w:val="ReleaseDate"/>
    <w:basedOn w:val="Normal"/>
    <w:next w:val="Normal"/>
    <w:qFormat/>
    <w:rsid w:val="00DC1E21"/>
    <w:rPr>
      <w:szCs w:val="20"/>
    </w:rPr>
  </w:style>
  <w:style w:type="paragraph" w:customStyle="1" w:styleId="Small">
    <w:name w:val="Small"/>
    <w:basedOn w:val="Normal"/>
    <w:next w:val="Normal"/>
    <w:qFormat/>
    <w:rsid w:val="00DC1E2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DC1E2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C1E21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C1E21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DC1E2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4529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298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2985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29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2985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nhideWhenUsed/>
    <w:rsid w:val="00DD53DD"/>
    <w:rPr>
      <w:strike w:val="0"/>
      <w:dstrike w:val="0"/>
      <w:color w:val="0000FF"/>
      <w:u w:val="none"/>
      <w:effect w:val="none"/>
    </w:rPr>
  </w:style>
  <w:style w:type="character" w:customStyle="1" w:styleId="preferred">
    <w:name w:val="preferred"/>
    <w:basedOn w:val="DefaultParagraphFont"/>
    <w:rsid w:val="00DD53DD"/>
  </w:style>
  <w:style w:type="character" w:styleId="FollowedHyperlink">
    <w:name w:val="FollowedHyperlink"/>
    <w:basedOn w:val="DefaultParagraphFont"/>
    <w:uiPriority w:val="99"/>
    <w:semiHidden/>
    <w:unhideWhenUsed/>
    <w:rsid w:val="00DD53DD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DD53D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6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SAU/Q/3-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A/HRC/33/3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583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582" TargetMode="External"/><Relationship Id="rId20" Type="http://schemas.openxmlformats.org/officeDocument/2006/relationships/hyperlink" Target="https://undocs.org/ru/CEDAW/C/SAU/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SAU/3-4" TargetMode="External"/><Relationship Id="rId23" Type="http://schemas.openxmlformats.org/officeDocument/2006/relationships/hyperlink" Target="https://undocs.org/ru/HRI/GEN/2/Rev.6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SAU/Q/3-4/Add.1.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S/RES/1325(2000)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22</Pages>
  <Words>7426</Words>
  <Characters>51691</Characters>
  <Application>Microsoft Office Word</Application>
  <DocSecurity>0</DocSecurity>
  <Lines>1076</Lines>
  <Paragraphs>309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Chistova</dc:creator>
  <cp:keywords/>
  <dc:description/>
  <cp:lastModifiedBy>Tatiana Chistova</cp:lastModifiedBy>
  <cp:revision>6</cp:revision>
  <cp:lastPrinted>2018-05-23T12:30:00Z</cp:lastPrinted>
  <dcterms:created xsi:type="dcterms:W3CDTF">2018-05-23T12:29:00Z</dcterms:created>
  <dcterms:modified xsi:type="dcterms:W3CDTF">2018-05-23T12:31:00Z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1803925R</vt:lpwstr>
  </property>
  <property fmtid="{D5CDD505-2E9C-101B-9397-08002B2CF9AE}" pid="3" name="ODSRefJobNo">
    <vt:lpwstr>1807064R</vt:lpwstr>
  </property>
  <property fmtid="{D5CDD505-2E9C-101B-9397-08002B2CF9AE}" pid="4" name="Symbol1">
    <vt:lpwstr>CEDAW/C/SAU/CO/3-4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14 March 2018</vt:lpwstr>
  </property>
  <property fmtid="{D5CDD505-2E9C-101B-9397-08002B2CF9AE}" pid="14" name="Original">
    <vt:lpwstr>English</vt:lpwstr>
  </property>
  <property fmtid="{D5CDD505-2E9C-101B-9397-08002B2CF9AE}" pid="15" name="Release Date">
    <vt:lpwstr>230518</vt:lpwstr>
  </property>
  <property fmtid="{D5CDD505-2E9C-101B-9397-08002B2CF9AE}" pid="16" name="Title1">
    <vt:lpwstr>		Заключительные замечания по объединенным третьему и четвертому периодическим докладам Саудовской Аравии*_x000d_</vt:lpwstr>
  </property>
</Properties>
</file>