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37E" w:rsidRDefault="004F137E" w:rsidP="004F137E">
      <w:pPr>
        <w:spacing w:line="60" w:lineRule="exact"/>
        <w:rPr>
          <w:color w:val="010000"/>
          <w:sz w:val="6"/>
        </w:rPr>
        <w:sectPr w:rsidR="004F137E" w:rsidSect="004F137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344043" w:rsidRPr="00344043" w:rsidRDefault="00344043" w:rsidP="00344043">
      <w:pPr>
        <w:spacing w:line="240" w:lineRule="atLeast"/>
        <w:rPr>
          <w:rFonts w:eastAsia="Times New Roman"/>
          <w:b/>
          <w:spacing w:val="0"/>
          <w:w w:val="100"/>
          <w:kern w:val="0"/>
          <w:sz w:val="24"/>
          <w:szCs w:val="24"/>
        </w:rPr>
      </w:pPr>
      <w:r w:rsidRPr="00344043">
        <w:rPr>
          <w:rFonts w:eastAsia="Times New Roman"/>
          <w:b/>
          <w:spacing w:val="0"/>
          <w:w w:val="100"/>
          <w:kern w:val="0"/>
          <w:sz w:val="24"/>
          <w:szCs w:val="24"/>
        </w:rPr>
        <w:t xml:space="preserve">Комитет по ликвидации дискриминации </w:t>
      </w:r>
      <w:r w:rsidRPr="00344043">
        <w:rPr>
          <w:rFonts w:eastAsia="Times New Roman"/>
          <w:b/>
          <w:spacing w:val="0"/>
          <w:w w:val="100"/>
          <w:kern w:val="0"/>
          <w:sz w:val="24"/>
          <w:szCs w:val="24"/>
        </w:rPr>
        <w:br/>
        <w:t>в отношении женщин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360" w:after="240" w:line="300" w:lineRule="exact"/>
        <w:ind w:left="1134" w:right="1134" w:hanging="1134"/>
        <w:rPr>
          <w:rFonts w:eastAsia="Times New Roman"/>
          <w:b/>
          <w:spacing w:val="0"/>
          <w:w w:val="100"/>
          <w:kern w:val="0"/>
          <w:sz w:val="28"/>
          <w:szCs w:val="20"/>
          <w:lang w:eastAsia="ru-RU"/>
        </w:rPr>
      </w:pPr>
      <w:r w:rsidRPr="00344043">
        <w:rPr>
          <w:rFonts w:eastAsia="Times New Roman"/>
          <w:b/>
          <w:spacing w:val="0"/>
          <w:w w:val="100"/>
          <w:kern w:val="0"/>
          <w:sz w:val="28"/>
          <w:szCs w:val="20"/>
          <w:lang w:eastAsia="ru-RU"/>
        </w:rPr>
        <w:tab/>
      </w:r>
      <w:r w:rsidRPr="00344043">
        <w:rPr>
          <w:rFonts w:eastAsia="Times New Roman"/>
          <w:b/>
          <w:spacing w:val="0"/>
          <w:w w:val="100"/>
          <w:kern w:val="0"/>
          <w:sz w:val="28"/>
          <w:szCs w:val="20"/>
          <w:lang w:eastAsia="ru-RU"/>
        </w:rPr>
        <w:tab/>
        <w:t>Заключительные замечания по шестому периодическому докладу Сьерра-Леоне</w:t>
      </w:r>
      <w:r w:rsidR="00165FE5" w:rsidRPr="00165FE5">
        <w:rPr>
          <w:rStyle w:val="FootnoteReference"/>
          <w:rFonts w:eastAsia="Times New Roman"/>
          <w:kern w:val="0"/>
          <w:szCs w:val="20"/>
          <w:lang w:eastAsia="ru-RU"/>
        </w:rPr>
        <w:footnoteReference w:customMarkFollows="1" w:id="1"/>
        <w:t>*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1.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Комитет рассмотрел шестой периодический доклад Сьерра-Леоне (</w:t>
      </w:r>
      <w:hyperlink r:id="rId14" w:history="1">
        <w:r w:rsidRPr="00165FE5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CEDAW/C/SLE/6</w:t>
        </w:r>
      </w:hyperlink>
      <w:r w:rsidRPr="00344043">
        <w:rPr>
          <w:rFonts w:eastAsia="Times New Roman"/>
          <w:spacing w:val="0"/>
          <w:w w:val="100"/>
          <w:kern w:val="0"/>
          <w:szCs w:val="20"/>
        </w:rPr>
        <w:t xml:space="preserve">) на своих 1199-м и 1200-м заседаниях, состоявшихся 19 февраля 2014 года (см. </w:t>
      </w:r>
      <w:hyperlink r:id="rId15" w:history="1">
        <w:r w:rsidRPr="00165FE5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CEDAW/C/SR.1199</w:t>
        </w:r>
      </w:hyperlink>
      <w:r w:rsidRPr="00344043">
        <w:rPr>
          <w:rFonts w:eastAsia="Times New Roman"/>
          <w:spacing w:val="0"/>
          <w:w w:val="100"/>
          <w:kern w:val="0"/>
          <w:szCs w:val="20"/>
        </w:rPr>
        <w:t xml:space="preserve"> и 1200). Перечень тем и вопросов Комитета содержится в документе </w:t>
      </w:r>
      <w:hyperlink r:id="rId16" w:history="1">
        <w:r w:rsidRPr="00165FE5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CEDAW/C/SLE/Q/6</w:t>
        </w:r>
      </w:hyperlink>
      <w:r w:rsidRPr="00344043">
        <w:rPr>
          <w:rFonts w:eastAsia="Times New Roman"/>
          <w:spacing w:val="0"/>
          <w:w w:val="100"/>
          <w:kern w:val="0"/>
          <w:szCs w:val="20"/>
        </w:rPr>
        <w:t xml:space="preserve">, а ответы правительства Сьерра-Леоне представлены в документе </w:t>
      </w:r>
      <w:hyperlink r:id="rId17" w:history="1">
        <w:r w:rsidRPr="00165FE5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CEDAW/C/SLE/Q/6/Add.1</w:t>
        </w:r>
      </w:hyperlink>
      <w:r w:rsidRPr="00344043">
        <w:rPr>
          <w:rFonts w:eastAsia="Times New Roman"/>
          <w:spacing w:val="0"/>
          <w:w w:val="100"/>
          <w:kern w:val="0"/>
          <w:szCs w:val="20"/>
        </w:rPr>
        <w:t>.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rPr>
          <w:rFonts w:eastAsia="Times New Roman"/>
          <w:b/>
          <w:spacing w:val="0"/>
          <w:w w:val="100"/>
          <w:kern w:val="0"/>
          <w:sz w:val="24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 w:val="24"/>
          <w:szCs w:val="20"/>
        </w:rPr>
        <w:tab/>
        <w:t>A.</w:t>
      </w:r>
      <w:r w:rsidRPr="00344043">
        <w:rPr>
          <w:rFonts w:eastAsia="Times New Roman"/>
          <w:b/>
          <w:spacing w:val="0"/>
          <w:w w:val="100"/>
          <w:kern w:val="0"/>
          <w:sz w:val="24"/>
          <w:szCs w:val="20"/>
        </w:rPr>
        <w:tab/>
        <w:t>Введение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2.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 xml:space="preserve">Комитет выражает признательность государству-участнику за предоставленный шестой периодический доклад. Комитет также благодарит государство-участника за письменные ответы на перечень тем и вопросов, поднятых его предсессионной рабочей группой. Комитет приветствует устную презентацию делегации и последовавшие уточнения, представленные в ответ на устные вопросы, заданные Комитетом в ходе диалога. 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3.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Комитет выражает одобрение государству-участнику за высокий уровень делегации во главе с министром по вопросам социального обеспечения, гендерным вопросам и делам детей Алхайи Мойджуе Е. Кайкаем. Кроме того, в состав делегации входили Постоянный представитель Сьерра-Леоне при Отделении Организации Объединенных Наций и других международных организациях в Женеве, представители Министерства здравоохранения и санитарии, Министерства юстиции, Министерства труда и социального обеспечения, Министерства местных органов власти и сельского развития, Министерства образования, науки и техники, а также представители исполнительной власти и парламента. Комитет высоко оценивает конструктивный диалог, состоявшийся между делегацией и Комитетом.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rPr>
          <w:rFonts w:eastAsia="Times New Roman"/>
          <w:b/>
          <w:spacing w:val="0"/>
          <w:w w:val="100"/>
          <w:kern w:val="0"/>
          <w:sz w:val="24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 w:val="24"/>
          <w:szCs w:val="20"/>
        </w:rPr>
        <w:tab/>
        <w:t>B.</w:t>
      </w:r>
      <w:r w:rsidRPr="00344043">
        <w:rPr>
          <w:rFonts w:eastAsia="Times New Roman"/>
          <w:b/>
          <w:spacing w:val="0"/>
          <w:w w:val="100"/>
          <w:kern w:val="0"/>
          <w:sz w:val="24"/>
          <w:szCs w:val="20"/>
        </w:rPr>
        <w:tab/>
        <w:t>Позитивные аспекты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4.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Комитет приветствует прогресс, достигнутый за период после рассмотрения в 2007 году пятого периодического доклада государства-участника (</w:t>
      </w:r>
      <w:hyperlink r:id="rId18" w:history="1">
        <w:r w:rsidRPr="00165FE5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CEDAW/C/SLE/5</w:t>
        </w:r>
      </w:hyperlink>
      <w:r w:rsidRPr="00344043">
        <w:rPr>
          <w:rFonts w:eastAsia="Times New Roman"/>
          <w:spacing w:val="0"/>
          <w:w w:val="100"/>
          <w:kern w:val="0"/>
          <w:szCs w:val="20"/>
        </w:rPr>
        <w:t>) в проведении законодательных реформ, в частности в принятии таких документов, как: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a)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 xml:space="preserve">Закон о преступлениях на сексуальной почве (2012 год), который повышает уровень уголовного наказания за преступления на сексуальной почве, включая торговлю людьми в сексуальных целях; 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b)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Закон о правовой помощи (2012 год), направленный на предоставление бесплатной правовой помощи, в том числе женщинам – жертвам сексуального насилия;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c)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Закон о регистрации и расторжении браков по обычному праву, Закон о бытовом насилии и Закон о переходе собственности по наследству, принятые в 2007 году и имеющие целью привести национальное законодательство в соответствие с положениями Конвенции;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d)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Закон о правах ребенка (2007 год), повышающий минимальный возраст мужчин и женщин для вступления в брак до 18 лет.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5.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Комитет приветствует предпринимаемые государством-участником усилия по совершенствованию своих институциональных и политических механизмов с целью скорейшей ликвидации дискриминации в отношении женщин и содействия гендерному равенству, в том числе: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a)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принятие Повестки дня в целях процветания на период 2013–2018 годов;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b)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создание Подкомитета по трудящимся-мигрантам в Комитете по борьбе с торговлей людьми (2013 год);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c)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принятие Национальной стратегии по сокращению распространенности подростковой беременности (2013 год);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d)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создание Специальных субботних судов, уполномоченных рассматривать дела по обвинению в сексуальном насилии, обеспечивать более полную защиту частной жизни и проводить судебное разбирательство  (2012 год);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e)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принятие Национального стратегического плана в сфере здравоохранения на 2010–2015 годы;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f)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принятие Национального плана действий по исполнению резолюций Совета Безопасности 1325 (2000 год) и 1820 (2008 год), касающихся женщин, мира и безопасности;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g)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принятие Национального координационного протокола о насилии по гендерному признаку и Национального плана действий по борьбе с гендерным насилием (оба – 2007 год) и создание Национального комитета по проблемам гендерного насилия (2007 год).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6.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Комитет приветствует тот факт, что за период, прошедший после рассмотрения предыдущего доклада, государство-участник ратифицировало в 2010 году Конвенцию о правах инвалидов.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rPr>
          <w:rFonts w:eastAsia="Times New Roman"/>
          <w:b/>
          <w:spacing w:val="0"/>
          <w:w w:val="100"/>
          <w:kern w:val="0"/>
          <w:sz w:val="24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 w:val="24"/>
          <w:szCs w:val="20"/>
        </w:rPr>
        <w:tab/>
        <w:t>C.</w:t>
      </w:r>
      <w:r w:rsidRPr="00344043">
        <w:rPr>
          <w:rFonts w:eastAsia="Times New Roman"/>
          <w:b/>
          <w:spacing w:val="0"/>
          <w:w w:val="100"/>
          <w:kern w:val="0"/>
          <w:sz w:val="24"/>
          <w:szCs w:val="20"/>
        </w:rPr>
        <w:tab/>
        <w:t>Основные вопросы, вызывающие обеспокоенность, и рекомендации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12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Парламент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7.</w:t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Комитет подчеркивает ключевую роль законодательной власти в деле обеспечения полного осуществления Конвенции (см. заявление Комитета о его взаимосвязи с парламентариями, принятое на сорок пятой сессии в 2010 году). Комитет предлагает парламенту, в соответствии с его мандатом, предпринять необходимые шаги по осуществлению настоящих заключительных замечаний в период до представления следующего доклада в соответствии с Конвенцией.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24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 xml:space="preserve">Правовой статус Конвенции и определение понятия дискриминации в отношении женщин 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8.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Комитет обеспокоен тем, что, несмотря на ратификацию государством-участником в 1988 году Конвенции, последняя до сих пор не включена во внутреннюю законодательную систему Сьерра-Леоне, и, следовательно, не применяется непосредственно в судах. Кроме того, Комитет выражает обеспокоенность в связи с тем, что определение понятия дискриминации в Конституции государства-участника не соответствует положениям статьи 1 Конвенции, которые охватывают не только прямую, но и косвенную дискриминацию, к тому же отсутствует какое-либо законодательство, которое закрепляло бы принцип равноправия женщин и мужчин. Комитет также обеспокоен тем, что ратификация Протокола к Африканской хартии прав человека и народов относительно прав женщин в Африке до сих пор не состоялась.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9.</w:t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Комитет настоятельно призывает государство-участник незамедлительно принять меры и обеспечить включение положений Конвенции в свою внутреннюю законодательную систему, с тем чтобы сделать эти положения непосредственно применимыми. Комитет призывает государство-участник в приоритетном порядке включить в соответствующее национальное законодательство определение понятия дискриминации в отношении женщины в соответствии со статьей 1 Конвенции. Комитет призывает далее государство-участник включить изложенный в статье 2 Конвенции принцип равноправия женщин и мужчин в Конституцию, пересмотр которой проходит в настоящее время. Кроме того, Комитет настоятельно призывает государство-участник выполнить свое обязательство и оперативно принять законопроект о гендерном равноправии и расширении прав и возможностей женщин. Наконец, Комитет рекомендует государству-участнику предпринять усилия для ратификации Протокола к Африканской хартии прав человека и народов относительно прав женщин в Африке.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rPr>
          <w:rFonts w:eastAsia="Times New Roman"/>
          <w:b/>
          <w:spacing w:val="0"/>
          <w:w w:val="100"/>
          <w:kern w:val="0"/>
          <w:sz w:val="24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 w:val="24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 w:val="24"/>
          <w:szCs w:val="20"/>
        </w:rPr>
        <w:tab/>
        <w:t>Протокол к Африканской хартии прав человека и народов, касающийся прав женщин в Африке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24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Конституционная и законодательная база, гармонизация законов и дискриминационное законодательство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10.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Комитет отмечает усилия по пересмотру Конституции и национального законодательства в целях выявления положений, дискриминирующих женщин. Вместе с тем Комитет выражает обеспокоенность по поводу крайне низких темпов работы по пересмотру Конституции, которая продолжается с момента последнего конструктивного диалога, состоявшегося в 2007 году. Особую обеспокоенность у Комитета вызывает то, что широко обсуждаемая статья 27 (4) (d) Конституции, согласно которой запрещение дискриминации не распространяется на акты усыновления/удочерения, заключения и расторжения браков, захоронения, наследования имущества в случае смерти и другие вопросы семейных отношений, не только является дискриминационной в отношении женщин, но также имеет преимущественную силу над положениями недавно принятых законов по гендерной проблематике, тем самым подрывая усилия государства-участника по выполнению положений Конвенции. Комитет также озабочен тем, что нормы статутного и обычного права, дискриминирующие женщин, остаются в силе, в частности нормы, содержащиеся в: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а)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статье 8 (1) (b) Закона о полномочиях вождей, который предусматривает возможность снятия кандидатур женщин на выборах вождей на основании традиций;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b)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Законе № 12 об уголовной процедуре (о внесении поправок) 1972 года, который устанавливает различный минимальный возраст для присяжных заседателей − женщин и мужчин;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с)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обычном праве, регулирующем вопросы согласия на вступление в брак и право женщин на наследование.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11.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 xml:space="preserve">Комитет приветствует решимость государства-участника завершить работу по пересмотру Конституции и провести референдум до марта 2015 года. В этой связи он призывает государство-участник: 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а)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обеспечить завершение работы по пересмотру Конституции в установленные сроки с соответствующим изъятием статьи 27 (4) (d), в частности посредством повышения информированности всех соответствующих заинтересованных участников, включая местных вождей и старейшин, о важности включения в законы положений о запрещении дискриминации по признаку пола и гендерном равенстве;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b)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использовать комплексный подход к реформе законодательства, обеспечивающий юридическое и фактическое равенство мужчин и женщин в рамках продолжающегося процесса пересмотра законодательства и Конституции;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с)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провести активные информационно-пропагандистские кампании, с тем чтобы статья 27 (4) (d) Конституции, а также дискриминационные законы, включая положения обычного права, были изменены или отменены и приведены в полное соответствие с Конвенцией и общими рекомендациями Комитета в первоочередном порядке.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24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Доступ к правосудию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12.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Комитет отмечает принятые в ходе отчетного периода меры по реформе системы правосудия и дальнейшего расширения доступа женщин к правосудию, в том числе посредством принятия новой стратегии реформы системы правосудия и инвестиционного плана (2011−2014 годы), а также Закона о правовой помощи в 2012 году и Закона о местных судах 2011 года. Одновременно с этим Комитет обеспокоен тем, что, несмотря на эти меры, доступ женщин к правосудию по-прежнему ограничен. Комитет особенно обеспокоен отсутствием независимости судейского корпуса, слабой материальной базой судебной системы, длительностью процедур рассмотрения и задержками, в частности при рассмотрении дел, связанных с сексуальным насилием, ограниченными возможностями и отсутствием гарантий надлежащего судебного разбирательства, а также недостаточными мерами по созданию потенциала в области существующей нормативно-законодательной базы для судей, прокуроров, адвокатов и сотрудников правоохранительных органов. Комитет также обеспокоен тем, что многие рекомендации, вынесенные Комиссией по установлению истины и примирению (КИП), по-прежнему не реализованы и что возмещение для жертв гражданской войны, включая женщин, пострадавших от сексуального насилия, на сегодняшний день является недостаточным.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13.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Комитет просит государство-участник: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а)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устранить все препятствия, мешающие доступу женщин к правосудию. С этой целью государству-участнику следует обеспечить эффективное осуществление подкрепленных достаточными ресурсами мер по реформе судебной системы, а также принять другие меры по повышению юридической грамотности и информированности женщин об их правах, включая право обращаться за судебной помощью;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b)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сделать Конвенцию и соответствующие внутригосударственные законы неотъемлемой частью юридического образования и подготовки судей, адвокатов, прокуроров, сотрудников правоохранительных органов, должностных лиц на окружном уровне, вождей и других местных и традиционных лидеров для того, чтобы создать правовую культуру, поддерживающую равноправие и недискриминацию женщин;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с)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обеспечить широкое распространение Конвенции среди общественности для того, чтобы информировать о правах женщин и повышать осведомленность законодателей и широкой общественности о настоятельной необходимости уделения первостепенного внимания правовым вопросам в интересах обеспечения как юридического, так и фактического равноправия женщин;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d)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выделить достаточные ресурсы для осуществления рекомендаций Комиссии по установлению истины и примирению в отношении женщин и девочек, пострадавших в ходе военных действий, с тем чтобы обеспечить их полную реабилитацию, реинтеграцию в общество и компенсацию в рамках программы возмещения.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24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Национальный механизм по улучшению положения женщин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14.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Комитет с удовлетворением отмечает информацию о назначении в 2011 году советника по гендерным вопросам при администрации президента. Вместе с тем он вновь выражает озабоченность по поводу слабости институционального потенциала Министерства социального обеспечения, по проблемам равенства полов и по делам детей, а также национального механизма по улучшению положения женщин. Принимая к сведению информацию, представленную в ходе диалога, о том, что бюджеты всех министерств составлены с учетом гендерных аспектов, Комитет выражает обеспокоенность тем, что Министерство социального обеспечения, по проблемам равенства полов и делам детей хронически испытывает нехватку в средствах и персонале, а также не имеет полномочий и возможностей эффективно выполнять свою работу в целях полного осуществления положений Конвенции на национальном, окружном и местном уровнях. Комитет также выражает сожаление по поводу отсутствия подробной информации об осуществлении, мониторинге и оценке национальной политики в области улучшения положения женщин и национальной политики в области учета гендерных вопросов.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15.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Комитет призывает государство-участник: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а)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ускорить текущий процесс укомплектования кадрами Министерства социального обеспечения, по проблемам равенства полов и по делам детей и, в частности, Управления по вопросам равноправия полов Министерства;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b)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выделить достаточные кадровые, технические и финансовые ресурсы для Министерства, с тем чтобы обеспечить возможность эффективного выполнения им своей координирующей функции, в том числе на окружном и местном уровнях;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с)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принять меры по ускорению завершения разработки национальной политики в области гендерного равенства и расширения прав и возможностей женщин и обеспечить ее достаточное финансирование и эффективное осуществление. Новая политика должна определять четкие задачи, контрольные показатели и сроки, а также предусматривать создание механизмов регулярного и систематического контроля и оценки хода их осуществления, включая индикаторы.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24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Временные специальные меры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16.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Комитет отмечает отсутствие временных специальных мер, направленных на ускорение достижения фактического равенства между мужчинами и женщинами во всех сферах в соответствии с положениями Конвенции. Он также напоминает о том, что рекомендация Комиссии по установлению истины и примирению в отношении 30</w:t>
      </w:r>
      <w:r w:rsidRPr="00344043">
        <w:rPr>
          <w:rFonts w:eastAsia="Times New Roman"/>
          <w:spacing w:val="0"/>
          <w:w w:val="100"/>
          <w:kern w:val="0"/>
          <w:szCs w:val="20"/>
        </w:rPr>
        <w:noBreakHyphen/>
        <w:t>процентной квоты для женщин на выборных и назначаемых политических должностях до сих пор не реализована.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17.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Напоминая о своей общей рекомендации № 25 о временных специальных мерах, а также о своих предыдущих рекомендациях (</w:t>
      </w:r>
      <w:hyperlink r:id="rId19" w:history="1">
        <w:r w:rsidRPr="00165FE5">
          <w:rPr>
            <w:rStyle w:val="Hyperlink"/>
            <w:rFonts w:eastAsia="Times New Roman"/>
            <w:b/>
            <w:spacing w:val="0"/>
            <w:w w:val="100"/>
            <w:kern w:val="0"/>
            <w:szCs w:val="20"/>
          </w:rPr>
          <w:t>CEDAW/C/SLE/CO/5</w:t>
        </w:r>
      </w:hyperlink>
      <w:r w:rsidRPr="00344043">
        <w:rPr>
          <w:rFonts w:eastAsia="Times New Roman"/>
          <w:b/>
          <w:spacing w:val="0"/>
          <w:w w:val="100"/>
          <w:kern w:val="0"/>
          <w:szCs w:val="20"/>
        </w:rPr>
        <w:t>, пункт 19), Комитет настоятельно призывает государство-участник ускорить принятие законопроекта о гендерном равенстве и расширении прав и возможностей женщин, а также проект политики, закладывающей законодательную основу для принятия временных специальных мер, и использовать такие меры во всех областях, охватываемых Конвенцией, в которых женщины недопредставлены или находятся в неблагоприятном положении, в том числе в общественной и политической жизни, а также улучшать положение сельских женщин.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24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Стереотипы и вредные виды практики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18.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Комитет с озабоченностью отмечает: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а)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отсутствие информации о принятых мерах по ликвидации пагубных традиционных стереотипов, касающихся роли и обязанностей женщин и мужчин в обществе, и в частности в семье, а также сохранения патриархальных норм, которые укрепляют доминирующую роль мужчин, особенно в сельских общинах;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b)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 xml:space="preserve">по-прежнему широкое распространение </w:t>
      </w:r>
      <w:r w:rsidRPr="00344043">
        <w:rPr>
          <w:rFonts w:eastAsia="Times New Roman"/>
          <w:color w:val="000000"/>
          <w:spacing w:val="0"/>
          <w:w w:val="100"/>
          <w:kern w:val="0"/>
          <w:szCs w:val="20"/>
        </w:rPr>
        <w:t>калечащих операций на женских половых органах</w:t>
      </w:r>
      <w:r w:rsidRPr="00344043">
        <w:rPr>
          <w:rFonts w:eastAsia="Times New Roman"/>
          <w:spacing w:val="0"/>
          <w:w w:val="100"/>
          <w:kern w:val="0"/>
          <w:szCs w:val="20"/>
        </w:rPr>
        <w:t xml:space="preserve">, а также отсутствие законодательного запрещения этой вредной практики и отклонение предложенного положения о криминализации </w:t>
      </w:r>
      <w:r w:rsidRPr="00344043">
        <w:rPr>
          <w:rFonts w:eastAsia="Times New Roman"/>
          <w:color w:val="000000"/>
          <w:spacing w:val="0"/>
          <w:w w:val="100"/>
          <w:kern w:val="0"/>
          <w:szCs w:val="20"/>
        </w:rPr>
        <w:t>калечащих операций на женских половых органах</w:t>
      </w:r>
      <w:r w:rsidRPr="00344043">
        <w:rPr>
          <w:rFonts w:eastAsia="Times New Roman"/>
          <w:spacing w:val="0"/>
          <w:w w:val="100"/>
          <w:kern w:val="0"/>
          <w:szCs w:val="20"/>
        </w:rPr>
        <w:t xml:space="preserve"> у детей в ходе принятия закона о правах ребенка, несмотря на подписанный меморандум о договоренности между "Совейс", местными вождями и организациями гражданского общества в отношении запрещения калечения женских половых органов у детей во всех регионах страны;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с)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существование законодательного положения в Законе о регистрации браков и разводов, которое предусматривает возможность вступления в брак ребенка по согласию родителей.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19.</w:t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Комитет рекомендует государству-участнику: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а)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 xml:space="preserve">разработать всеобъемлющую стратегию по устранению стереотипов, которые сопряжены с дискриминацией в отношении женщин, в том числе посредством проведения информационно-просветительских кампаний, направленных на общественность в целом и средства массовой информации, </w:t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br/>
        <w:t>в соответствии с предыдущей рекомендацией Комитета (</w:t>
      </w:r>
      <w:hyperlink r:id="rId20" w:history="1">
        <w:r w:rsidRPr="00165FE5">
          <w:rPr>
            <w:rStyle w:val="Hyperlink"/>
            <w:rFonts w:eastAsia="Times New Roman"/>
            <w:b/>
            <w:spacing w:val="0"/>
            <w:w w:val="100"/>
            <w:kern w:val="0"/>
            <w:szCs w:val="20"/>
          </w:rPr>
          <w:t>CEDAW/C/SLE/CO/5</w:t>
        </w:r>
      </w:hyperlink>
      <w:r w:rsidRPr="00344043">
        <w:rPr>
          <w:rFonts w:eastAsia="Times New Roman"/>
          <w:b/>
          <w:spacing w:val="0"/>
          <w:w w:val="100"/>
          <w:kern w:val="0"/>
          <w:szCs w:val="20"/>
        </w:rPr>
        <w:t>, пункт 21);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b)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провести обзор школьных учебников в целях устранения гендерных стереотипов;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с)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 xml:space="preserve">прямо запретить </w:t>
      </w:r>
      <w:r w:rsidRPr="00344043">
        <w:rPr>
          <w:rFonts w:eastAsia="Times New Roman"/>
          <w:b/>
          <w:color w:val="000000"/>
          <w:spacing w:val="0"/>
          <w:w w:val="100"/>
          <w:kern w:val="0"/>
          <w:szCs w:val="20"/>
        </w:rPr>
        <w:t>калечащие операции на женских половых органах</w:t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 xml:space="preserve"> и другие вредные виды практики. С этой целью следует активизировать усилия по проведению консультаций с гражданским обществом, организациями женщин и старейшинами на окружном и местном уровнях, с тем чтобы укрепить диалог по вопросам искоренения </w:t>
      </w:r>
      <w:r w:rsidRPr="00344043">
        <w:rPr>
          <w:rFonts w:eastAsia="Times New Roman"/>
          <w:b/>
          <w:color w:val="000000"/>
          <w:spacing w:val="0"/>
          <w:w w:val="100"/>
          <w:kern w:val="0"/>
          <w:szCs w:val="20"/>
        </w:rPr>
        <w:t>калечащих операций на женских половых органах</w:t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 xml:space="preserve"> и других вредных видов практики, а также изменить стереотипы, дискриминационные воззрения и практики;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d)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уравнять минимальный возраст вступления в брак в 18 лет и обеспечить строгое соблюдение этой нормы.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24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Насилие в отношении женщин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20.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Комитет отмечает усилия государства-участника по борьбе с насилием в отношении женщин, в частности принятие Закона о домашнем насилии в 2007 году и Закона о преступлениях сексуального характера в 2012 году, а также институциональные меры по выявлению и реабилитации пострадавших от гендерного насилия. Вместе с тем Комитет выражает озабоченность в отношении: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а)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по-прежнему высокого уровня бытового и сексуального насилия в отношении женщин;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b)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неэффективного осуществления вышеуказанных законов, которому мешает дискриминационное положение, содержащееся в статье 27 (4) (d) Конституции, а также недостаточные ресурсы, выделяемые на осуществление этих законов;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с)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крайне низкое количество обвинительных приговоров по делам, связанным с сексуальным и бытовым насилием, длительность судебных разбирательств и оказание давления на пострадавших от насилия женщин в целях внесудебного урегулирования этих дел, что приводит к безнаказанности лиц, совершающих акты насилия на гендерной почве.</w:t>
      </w:r>
    </w:p>
    <w:p w:rsidR="00344043" w:rsidRPr="00344043" w:rsidRDefault="00344043" w:rsidP="00344043">
      <w:pPr>
        <w:keepNext/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21.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Комитет рекомендует государству-участнику: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а)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обеспечить эффективное осуществление Закона о бытовом насилии (2007 год) и Закона о преступлениях сексуального характера (2012 год), в том числе путем пересмотра дискриминационных положений, содержащихся в статье 27 (4) (d) Конституции, в целях приведения их в соответствии с вышеуказанными законами, а также увеличения кадровых и финансовых ресурсов для судебной системы;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b)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создать механизм мониторинга хода осуществления Национального плана действий по борьбе с гендерным насилием;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c)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организовать систематическую и обязательную подготовку для судей, прокуроров, адвокатов, сотрудников полиции и медицинских работников для обеспечения обращения с жертвами насилия с учетом гендерных аспектов;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d)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активизировать усилия по распространению информации о существовании новых правовых положений, запрещающих изнасилование в браке и инцест, побуждать женщин сообщать о случаях бытового и социального насилия и обеспечить, чтобы они были надлежащим образом проинформированы об имеющихся средствах правовой защиты;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e)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 xml:space="preserve">обеспечить эффективное расследование всех сообщений о бытовом и сексуальном насилии, а также эффективное изобличение и наказание всех виновных в таких актах лиц. В этой связи государству-участнику следует ускорить принятие законопроекта об уголовной процедуре в целях ускорения уголовного производства по делам, связанным с гендерным насилием; 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f)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предоставлять надлежащую помощь и защиту пострадавшим от насилия женщинам, в частности за счет увеличения количества, вместимости и финансирования специальных приютов.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24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Торговля людьми и эксплуатация проституции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22.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DB6CE3">
        <w:t>Комитет отмечает усилия государства-участника по ужесточению санкций за преступления, связанные с торговлей людьми, в законах о правах ребенка и преступлениях сексуального характера. Вместе с тем он с озабоченностью отмечает, что государство-участник по-прежнему является страной-источником, страной</w:t>
      </w:r>
      <w:r w:rsidRPr="00D0596D">
        <w:t xml:space="preserve"> </w:t>
      </w:r>
      <w:r w:rsidRPr="00DB6CE3">
        <w:t>транзита и</w:t>
      </w:r>
      <w:r>
        <w:t> </w:t>
      </w:r>
      <w:r w:rsidRPr="00DB6CE3">
        <w:t>назначения в торговле женщинами и детьми для целей сексуальной эксплуатации и принудительного труда. Он также озабочен сообщениями о большом количестве случаев внутренней торговли женщинами и девочками из сельских районов. Наряду с</w:t>
      </w:r>
      <w:r>
        <w:t> </w:t>
      </w:r>
      <w:r w:rsidRPr="00DB6CE3">
        <w:t xml:space="preserve">этим Комитет выражает обеспокоенность по поводу небольшого числа возбужденных уголовных дел и обвинительных приговоров в соответствии </w:t>
      </w:r>
      <w:r w:rsidRPr="00344043">
        <w:t>с Законом о борьбе с торговлей</w:t>
      </w:r>
      <w:r w:rsidRPr="00DB6CE3">
        <w:rPr>
          <w:b/>
        </w:rPr>
        <w:t xml:space="preserve"> </w:t>
      </w:r>
      <w:r w:rsidRPr="00DB6CE3">
        <w:t xml:space="preserve">людьми (2005 год), а также отсутствия специального плана действий по осуществлению положений этого закона. Наконец, Комитет выражает обеспокоенность </w:t>
      </w:r>
      <w:r>
        <w:t>в связи с</w:t>
      </w:r>
      <w:r w:rsidRPr="00DB6CE3">
        <w:t xml:space="preserve"> отсутстви</w:t>
      </w:r>
      <w:r>
        <w:t>ем</w:t>
      </w:r>
      <w:r w:rsidRPr="00DB6CE3">
        <w:t xml:space="preserve"> информации о проституции, которая широко распространена в государстве-участнике, главным образом </w:t>
      </w:r>
      <w:r>
        <w:t>по причине</w:t>
      </w:r>
      <w:r w:rsidRPr="00DB6CE3">
        <w:t xml:space="preserve"> бедности.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23.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Комитет рекомендует государству-участнику: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a)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обеспечить эффективное осуществление и полное применение Закона 2005 года о борьбе с торговлей людьми, Закона о правах детей 2007 года и Закона о преступлениях сексуального характера 2012 года, в том числе путем эффективного преследования и наказания торговцев людьми;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b)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расширить предоставление помощи и поддержки женщинам, ставшим жертвами торговли людьми, а также принять профилактические меры по устранению коренных причин торговли людьми и улучшению экономического положения женщин в целях ликвидации опасности эксплуатации и использования торговцами;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c)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принять специальный план действий по осуществлению положений Закона о борьбе с торговлей людьми;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d)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вести сбор статистических данных о степени распространенности и масштабах проституции, а также провести исследования в целях оценки глубинных причин этого явления и обеспечить доступ к услугам здравоохранения для женщин, занимающихся проституцией, а также разработать безопасную стратегию прекращения занятия проституцией для тех женщин, которые хотят покончить с этим ремеслом;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e)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активизировать его усилия по ратификации Протокола о предупреждении и пресечении торговли людьми, особенно женщинами и детьми, и наказании за нее, дополняющего Конвенцию Организации Объединенных Наций против транснациональной организованной преступности.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24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Участие в политической и общественной жизни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24.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Приветствуя принятие Национального плана действий по полному осуществлению резолюций 1325 (2000 год) и 1820 (2008 год) Совета Безопасности, Комитет тем не менее с сожалением отмечает отсутствие информации об осуществлении, мониторинге и оценке Плана действий и сообщения о том, что это зависит от доноров. Комитет также выражает обеспокоенность по поводу низкого уровня участия женщин в процессах принятия решений и отсутствие мер по устранению основных причин, в том числе широко бытующих социальных и культурных воззрений. Он также выражает обеспокоенность по поводу отсутствия общей системы квот, направленной на расширение участие женщин в политической жизни, включая участие в процессе принятия решений на всех уровнях. Комитет далее с обеспокоенностью отмечает, что в соответствии с Законом о полномочиях вождей женщины могут быть отстранены от участия в выборах вождей на основании традиций.</w:t>
      </w:r>
    </w:p>
    <w:p w:rsidR="00344043" w:rsidRPr="00344043" w:rsidRDefault="00344043" w:rsidP="00344043">
      <w:pPr>
        <w:keepNext/>
        <w:suppressAutoHyphens/>
        <w:spacing w:after="10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25.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Комитет призывает государство-участник: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а)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обеспечить полную реализацию Национального плана действий по осуществлению резолюций 1325 (2000 год) и 1820 (2008 год) Совета Безопасности, в том числе путем выделения для этой целей достаточных ресурсов;</w:t>
      </w:r>
    </w:p>
    <w:p w:rsidR="00344043" w:rsidRPr="00344043" w:rsidRDefault="00344043" w:rsidP="00344043">
      <w:pPr>
        <w:suppressAutoHyphens/>
        <w:spacing w:after="11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b)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незамедлительно принять законопроект о гендерном равенстве и расширении прав и возможностей женщин, устанавливающий 30-процентную квоту представительства женщин на выборных и назначаемых политических должностях и на всех уровнях судебной системы; а также обеспечить, чтобы рекомендации в отношении пересмотра Конституции, в частности, касались отмены положения Закона о полномочиях вождей, которое ограничивает права женщин на выборах вождей;</w:t>
      </w:r>
    </w:p>
    <w:p w:rsidR="00344043" w:rsidRPr="00344043" w:rsidRDefault="00344043" w:rsidP="00344043">
      <w:pPr>
        <w:suppressAutoHyphens/>
        <w:spacing w:after="11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с)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развернуть информационно-просветительские кампании, с тем чтобы подчеркнуть большое значение для общества в целом всестороннего полноправного участия женщин в руководящей деятельности на всех уровнях.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240" w:after="11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Гражданство</w:t>
      </w:r>
    </w:p>
    <w:p w:rsidR="00344043" w:rsidRPr="00344043" w:rsidRDefault="00344043" w:rsidP="00344043">
      <w:pPr>
        <w:suppressAutoHyphens/>
        <w:spacing w:after="11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26.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 xml:space="preserve">Комитет с озабоченностью отмечает, что женщины, родившие своих детей за пределами страны в нарушение пункта 2 статьи 9 Конвенции, не имеют права передать им свое сьерра-леонское гражданство в том случае, если они приняли гражданство другой страны. Он также с озабоченностью отмечает, что статья 7 Закона о гражданстве (с внесенными изменениями в 2006 году) является явно дискриминационной, поскольку она распространяется только на несьерра-леонских женщин, вступивших в брак с мужчинами − гражданами Сьерра-Леоне для целей натурализации, и не относится к несьерра-леонским мужчинам, находящимся в браке с женщинами − гражданами Сьерра-Леоне. </w:t>
      </w:r>
    </w:p>
    <w:p w:rsidR="00344043" w:rsidRPr="00344043" w:rsidRDefault="00344043" w:rsidP="00344043">
      <w:pPr>
        <w:suppressAutoHyphens/>
        <w:spacing w:after="11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27.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Комитет настоятельно призывает государство-участник обеспечить равные права женщин и мужчин в сфере получения, передачи, изменения или сохранения их гражданства, а также передачи его детям, родившимся за границей. Комитет настоятельно призывает государство-участник внести поправки в Закон о гражданстве в целях приведения его в полное соответствие со статьей 9 Конвенции. Он также рекомендует государству-участнику рассмотреть возможность присоединения к Конвенции 1954 года о статусе апатридов и Конвенции 1961 года о сокращении безгражданства.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240" w:after="11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Образование</w:t>
      </w:r>
    </w:p>
    <w:p w:rsidR="00344043" w:rsidRPr="00344043" w:rsidRDefault="00344043" w:rsidP="00344043">
      <w:pPr>
        <w:suppressAutoHyphens/>
        <w:spacing w:after="11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28.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Комитет выражает свою обеспокоенность в отношении:</w:t>
      </w:r>
    </w:p>
    <w:p w:rsidR="00344043" w:rsidRPr="00344043" w:rsidRDefault="00344043" w:rsidP="00344043">
      <w:pPr>
        <w:suppressAutoHyphens/>
        <w:spacing w:after="11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а)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более низкой успеваемости девочек на начальном уровне образования, несмотря на увеличение числа девочек, посещающих и заканчивающих начальную школу;</w:t>
      </w:r>
    </w:p>
    <w:p w:rsidR="00344043" w:rsidRPr="00344043" w:rsidRDefault="00344043" w:rsidP="00344043">
      <w:pPr>
        <w:suppressAutoHyphens/>
        <w:spacing w:after="11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b)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низкого количества девушек, посещающих и заканчивающих этап среднего и высшего образования;</w:t>
      </w:r>
    </w:p>
    <w:p w:rsidR="00344043" w:rsidRPr="00344043" w:rsidRDefault="00344043" w:rsidP="00344043">
      <w:pPr>
        <w:suppressAutoHyphens/>
        <w:spacing w:after="11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с)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географических различий в доступе к образованию;</w:t>
      </w:r>
    </w:p>
    <w:p w:rsidR="00344043" w:rsidRPr="00344043" w:rsidRDefault="00344043" w:rsidP="00344043">
      <w:pPr>
        <w:suppressAutoHyphens/>
        <w:spacing w:after="11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d)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увеличения количества сексуальных надругательств и домогательств в отношении девочек в школах и увеличения случаев подростковой беременности, несмотря на разработку морального кодекса преподавателей, а также негативных последствий вредных обычаев, таких как ранние или принудительные браки, для образования девочек и факторов, мешающих беременным девочкам и молодым матерям посещать школы;</w:t>
      </w:r>
    </w:p>
    <w:p w:rsidR="00344043" w:rsidRPr="00344043" w:rsidRDefault="00344043" w:rsidP="00344043">
      <w:pPr>
        <w:suppressAutoHyphens/>
        <w:spacing w:after="11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е)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сохранения практики телесных наказаний в школах.</w:t>
      </w:r>
    </w:p>
    <w:p w:rsidR="00344043" w:rsidRPr="00344043" w:rsidRDefault="00344043" w:rsidP="00344043">
      <w:pPr>
        <w:keepNext/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29.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Комитет рекомендует государству-участнику: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а)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принять меры для укрепления материальной базы учебных заведений, особенно в сельских районах, и разъяснять значение образования как одного из прав человека и основы для расширения прав и возможностей женщин;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b)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принять меры для обеспечения равного доступа девочек и женщин ко всем уровням образования и удержания девочек в школах, а также активизировать усилия по сокращению географического неравенства в доступе к образованию;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с)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принять меры по надлежащему предотвращению и наказанию за сексуальные надругательства и посягательства в школах и по эффективному осуществлению Национальной стратегии по сокращению подростковой беременности (2013 год), а также положений Морального кодекса преподавателей и устранению всех препятствий, а также удалить все препятствия, мешающие беременным девушкам и молодым матерям посещать школу;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d)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включить с учетом возраста уроки, касающиеся сексуального и репродуктивного здоровья и прав, в школьные учебные программы, включая всестороннее половое просвещение для девочек и мальчиков подросткового возраста, охватывающее вопросы ответственного сексуального поведения и предупреждения ранней беременности, а также профилактики заболеваний, передаваемых половым путем, включая ВИЧ/СПИД;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е)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прямо запретить телесные наказания в любых условиях.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24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Занятость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30.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Комитет выражает обеспокоенность по поводу: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а)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низкого уровня занятости женщин в государственном секторе, а также отсутствия информации о занятости женщин в частном секторе;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b)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концентрации женщин на неформальном рынке труда (84 процента в сельских районах и 63 процента в городах) в условиях отсутствия социальной и юридической защиты и мер по содействию их интеграции в официальный рынок труда;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с)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отсутствия информации о величине гендерного разрыва в заработной плате, осуществлении принципа равной оплаты за труд равной ценности, об оценке произведенной работы и о других методах обеспечения транспарентности в практике трудоустройства в частном и государственном секторах;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d)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 xml:space="preserve">профессиональной сегрегации и концентрации женщин в преимущественно женских профессиях; 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е)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отсутствия мер по улучшению ситуации женщин, работающих в условиях эксплуатации, например в секторе горной добычи, в качестве домашней прислуги и в сельском хозяйстве;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f)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задержек в принятии законопроекта о занятости.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31.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Комитет рекомендует государству-участнику: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а)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принять меры по организации сбора дезагрегированных по полу данных о положении женщин в частном секторе и неформальном секторе в соответствии со своей предыдущей рекомендацией (</w:t>
      </w:r>
      <w:hyperlink r:id="rId21" w:history="1">
        <w:r w:rsidRPr="00165FE5">
          <w:rPr>
            <w:rStyle w:val="Hyperlink"/>
            <w:rFonts w:eastAsia="Times New Roman"/>
            <w:b/>
            <w:spacing w:val="0"/>
            <w:w w:val="100"/>
            <w:kern w:val="0"/>
            <w:szCs w:val="20"/>
          </w:rPr>
          <w:t>CEDAW/C/SLE/CO/5</w:t>
        </w:r>
      </w:hyperlink>
      <w:r w:rsidRPr="00344043">
        <w:rPr>
          <w:rFonts w:eastAsia="Times New Roman"/>
          <w:b/>
          <w:spacing w:val="0"/>
          <w:w w:val="100"/>
          <w:kern w:val="0"/>
          <w:szCs w:val="20"/>
        </w:rPr>
        <w:t>, пункт 33), и принять эффективные меры по контролю и улучшению условий труда для женщин в этих секторах посредством устранения препятствий, с которыми женщины сталкиваются при вхождении в состав рабочей силы;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b)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принять меры по ликвидации разрыва в заработной плате между мужчинами и женщинами, а также по искоренению профессиональной сегрегации и расширению технической и профессиональной подготовки для женщин в областях, в которых традиционно доминируют мужчины;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с)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создать эффективный механизм контроля регулирования в отношении практики занятости и найма на работу в государственном секторе;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d)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регулировать и контролировать условия труда для девочек и женщин, используемых для работы в добывающем секторе, в качестве домашней прислуги или в сельском хозяйстве, в целях обеспечения их защиты от труда в условиях эксплуатации, посредством увеличения числа инспекций и размера штрафов для работодателей;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е)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ускорить принятие законопроекта о занятости и обеспечить включение в него принципа равного вознаграждения мужчин и женщин за труд равной ценности.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240" w:after="10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Здравоохранение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32.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Комитет приветствует меры по стимулированию и сокращению региональных различий в доступе женщин к услугам здравоохранения, в том числе путем принятия Национального стратегического плана в области здравоохранения (2010−2015 годы) и инициативы "Бесплатное здравоохранение" для беременных женщин, кормящих матерей и детей в возрасте до 5 лет (2010 год). Вместе с тем Комитет с озабоченностью отмечает: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а)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очень высокий уровень материнской смертности в государстве-участнике;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b)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низкий уровень использования контрацептивных препаратов (12,1 процента) и ограниченный доступ к современным средствам контрацепции и информации о половом и репродуктивном здоровье и правах, включая право женщин на принятие самостоятельных решений относительно своего здоровья;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с)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региональные и социально-экономические различия в доступе женщин и девочек к услугам в области сексуального и репродуктивного здоровья, включая квалифицированную акушерскую помощь и качественное пренатальное и постнатальное медицинское обслуживание, которые негативно влияют главным образом на женщин, проживающих в сельских районах, в Северной провинции, бедных женщин и женщин с низким уровнем образования;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d)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криминализацию абортов в Законе об абортах без каких-либо исключений, высокий уровень сексуального насилия и нежелательных беременностей, приводящих к небезопасным абортам, на которые приходится 13 процентов материнской смертности, а также задержки в принятии законопроекта об абортах, декриминализирующего прерывание беременности по различным социально-экономическим причинам;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е)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широкую распространенность везико-вагинального свища, в том числе среди подростков;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f)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отсутствие информации о состоянии психического здоровья женщин в государстве-участнике.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33.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Комитет настоятельно призывает государство-участник обеспечить эффективное осуществление всех мер, направленных на содействие экономически приемлемому для женщин доступу к здравоохранению, в том числе за счет выделения достаточных ресурсов и путем осуществления Инициативы по оказанию бесплатной медицинской помощи на всей территории государства-участника. Комитет рекомендует государству-участнику: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a)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наращивать усилия по снижению уровня материнской смертности, определять и устранять ее причины и увеличивать численность подготовленного медицинского персонала, особенно в сельских районах;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b)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предоставлять женщинам и девочкам эффективный доступ к всеобъемлющей информации о сексуальном и репродуктивном здоровье и соответствующих правах, включая информацию об использовании противозачаточных средств, в целях снижения уровней нежелательной беременности, подростковой беременности и небезопасных абортов, а также обеспечивать наличие и доступность современных контрацептивов для всех женщин;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165FE5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spacing w:val="0"/>
          <w:w w:val="100"/>
          <w:kern w:val="0"/>
          <w:szCs w:val="20"/>
        </w:rPr>
        <w:t>c)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расширять доступ женщин к медицинским учреждениям и квалифицированному родовспоможению, послеродовому и материнскому уходу, особенно в сельских районах и в Северной провинции;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165FE5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spacing w:val="0"/>
          <w:w w:val="100"/>
          <w:kern w:val="0"/>
          <w:szCs w:val="20"/>
        </w:rPr>
        <w:t>d)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ускорить принятие законопроекта об абортах;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e)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изучить взаимосвязь, если таковая имеется, между практикой проведения калечащих операций на женских половых органах и широким распространением такого заболевания, как везико-вагинальный свищ, как указывалось в предыдущей рекомендации Комитета (</w:t>
      </w:r>
      <w:hyperlink r:id="rId22" w:history="1">
        <w:r w:rsidRPr="00165FE5">
          <w:rPr>
            <w:rStyle w:val="Hyperlink"/>
            <w:rFonts w:eastAsia="Times New Roman"/>
            <w:b/>
            <w:spacing w:val="0"/>
            <w:w w:val="100"/>
            <w:kern w:val="0"/>
            <w:szCs w:val="20"/>
          </w:rPr>
          <w:t>CEDAW/C/SLE/CO/5</w:t>
        </w:r>
      </w:hyperlink>
      <w:r w:rsidRPr="00344043">
        <w:rPr>
          <w:rFonts w:eastAsia="Times New Roman"/>
          <w:b/>
          <w:spacing w:val="0"/>
          <w:w w:val="100"/>
          <w:kern w:val="0"/>
          <w:szCs w:val="20"/>
        </w:rPr>
        <w:t xml:space="preserve">, пункт 23), а также изучить причины везико-вагинального свища и установить целевые показатели и конкретные временные сроки по снижению уровня этого заболевания. Комитет также рекомендует продолжать и далее оказание медицинской и психологической помощи женщинам и девушкам, страдающим вышеуказанным заболеванием, в том числе путем эффективного осуществления Национальной стратегии борьбы с везико-вагинальным свищом (2013 год); 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f)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вести сбор дезагрегированных данных о состоянии психического здоровья женщин, принимать эффективные меры для устранения последствий гражданской войны, пагубно отразившихся на психическом здоровье женщин, и включить в следующий периодический доклад информацию о ходе принятия законопроекта о психическом здоровье.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200" w:after="10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Сельские женщины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34.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Комитет вновь выражает обеспокоенность (</w:t>
      </w:r>
      <w:hyperlink r:id="rId23" w:history="1">
        <w:r w:rsidRPr="00165FE5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CEDAW/C/SLE/CO/5</w:t>
        </w:r>
      </w:hyperlink>
      <w:r w:rsidRPr="00344043">
        <w:rPr>
          <w:rFonts w:eastAsia="Times New Roman"/>
          <w:spacing w:val="0"/>
          <w:w w:val="100"/>
          <w:kern w:val="0"/>
          <w:szCs w:val="20"/>
        </w:rPr>
        <w:t>, пункт 36) по поводу тяжелого положения женщин в сельских районах, несоразмерно страдающих от нищеты и ограничений в доступе к правосудию, образованию, экономическим возможностям, здравоохранению, кредитам и займам. Кроме того, Комитет обеспокоен широким распространением вредной практики, в частности ранними браками в сельских районах, и сохранением обычаев и традиций, которые ограничивают доступ женщин к земле и наследованию имущества. Комитет далее выражает обеспокоенность в связи с отсрочками в принятии земельной политики, а также отсутствием мер по устранению уязвимости сельских женщин перед лицом транснациональных добывающих компаний, которые скупают земли, что зачастую ведет к принудительным выселениям и перемещениям женщин при отсутствии надлежащей компенсации.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35.</w:t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Комитет призывает государство-участник: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a)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ликвидировать вредную практику и дискриминацию в отношении сельских женщин и бороться с обычаями и традициями, которые их оправдывают и увековечивают;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b)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обращать особое внимание на потребности сельских женщин и обеспечивать их участие в таких процессах, как принятие решений на уровне общин и планирование развития, а также обеспечивать им равный доступ к базовым услугам и инфраструктурам, а также к экономическим возможностям, включая приносящие доход проекты и источники кредитования;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c)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 xml:space="preserve">обеспечить отмену или внесение поправок во все дискриминационные законоположения обычного права и привести его в полное соответствие с Конвенцией и рекомендациям Комитета общего характера, в частности касающимся земельной собственности и права женщин на наследование; 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d)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 xml:space="preserve">принять особые меры по расширению знаний сельских женщин и осведомленности о своих правах, включая их право отстаивать свои интересы в учрежденных законом судах; 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ab/>
        <w:t>e)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 xml:space="preserve">активизировать усилия в целях принятия земельной политики и борьбы с негативно отражающимися на сельских женщинах последствиями скупки земель и долгосрочной аренды, а также обеспечивать участие женщин в обсуждении условий соглашений об аренде земли и гарантировать, что источники существования женщин не пострадают в результате таких соглашений. 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240" w:after="10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 xml:space="preserve">Группы женщин, находящихся в неблагоприятном положении 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after="100"/>
        <w:ind w:left="1134" w:right="1134" w:hanging="1134"/>
        <w:rPr>
          <w:rFonts w:eastAsia="Times New Roman"/>
          <w:i/>
          <w:spacing w:val="0"/>
          <w:w w:val="100"/>
          <w:kern w:val="0"/>
          <w:szCs w:val="20"/>
        </w:rPr>
      </w:pPr>
      <w:r w:rsidRPr="00344043">
        <w:rPr>
          <w:rFonts w:eastAsia="Times New Roman"/>
          <w:i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i/>
          <w:spacing w:val="0"/>
          <w:w w:val="100"/>
          <w:kern w:val="0"/>
          <w:szCs w:val="20"/>
        </w:rPr>
        <w:tab/>
        <w:t xml:space="preserve">Вдовы, бывшие женщины-комбатанты и женщины – жертвы войны 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36.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 xml:space="preserve">Комитет с обеспокоенностью отмечает отсутствие данных о вдовах и условиях их жизни, а также о положении бывших женщин-комбатантов в государстве-участнике. Комитет также обеспокоен ограничениями в отношении прав вдов на наследование и тем фактом, что на практике объекты владения вдов и их детей отходят к родственникам умершего мужа. Комитет далее обеспокоен тем, что выплаты компенсаций для вдов войны и женщин, ставших жертвами сексуального насилия в ходе конфликта, по-прежнему откладываются из-за отсутствия средств. 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bCs/>
          <w:spacing w:val="0"/>
          <w:w w:val="100"/>
          <w:kern w:val="0"/>
          <w:szCs w:val="20"/>
        </w:rPr>
        <w:t>37.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Комитет настоятельно призывает государство-участник: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165FE5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spacing w:val="0"/>
          <w:w w:val="100"/>
          <w:kern w:val="0"/>
          <w:szCs w:val="20"/>
        </w:rPr>
        <w:t>a)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вести сбор дезагрегированных данных о положении вдов и бывших женщин-комбатантов и включить такие сведения в свой следующий периодический доклад;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165FE5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spacing w:val="0"/>
          <w:w w:val="100"/>
          <w:kern w:val="0"/>
          <w:szCs w:val="20"/>
        </w:rPr>
        <w:t>b)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 xml:space="preserve">обеспечивать вдовам возможность без каких-либо ограничений пользоваться своими правами на собственность и наследование, в том числе путем осуществления Закона № 21 о переходе имущества и принятия мер для изменения социальных и культурных моделей, которые увековечивают неполноценность женщин и препятствуют их доступу к собственности и наследованию; 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bCs/>
          <w:spacing w:val="0"/>
          <w:w w:val="100"/>
          <w:kern w:val="0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Cs/>
          <w:spacing w:val="0"/>
          <w:w w:val="100"/>
          <w:kern w:val="0"/>
          <w:szCs w:val="20"/>
        </w:rPr>
        <w:t>c)</w:t>
      </w:r>
      <w:r w:rsidRPr="00344043">
        <w:rPr>
          <w:rFonts w:eastAsia="Times New Roman"/>
          <w:bCs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bCs/>
          <w:spacing w:val="0"/>
          <w:w w:val="100"/>
          <w:kern w:val="0"/>
          <w:szCs w:val="20"/>
        </w:rPr>
        <w:t xml:space="preserve">обеспечить всем потенциальным бенефициарам возмещение причиненного войной ущерба, в особенности вдовам и </w:t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женщинам, ставшим жертвами сексуального насилия в ходе конфликта,</w:t>
      </w:r>
      <w:r w:rsidRPr="00344043">
        <w:rPr>
          <w:rFonts w:eastAsia="Times New Roman"/>
          <w:b/>
          <w:bCs/>
          <w:spacing w:val="0"/>
          <w:w w:val="100"/>
          <w:kern w:val="0"/>
          <w:szCs w:val="20"/>
        </w:rPr>
        <w:t xml:space="preserve"> незамедлительное получение надлежащей компенсации.</w:t>
      </w:r>
      <w:r w:rsidRPr="00344043">
        <w:rPr>
          <w:rFonts w:eastAsia="Times New Roman"/>
          <w:bCs/>
          <w:spacing w:val="0"/>
          <w:w w:val="100"/>
          <w:kern w:val="0"/>
          <w:szCs w:val="20"/>
        </w:rPr>
        <w:t xml:space="preserve"> 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240" w:after="100"/>
        <w:ind w:left="1134" w:right="1134" w:hanging="1134"/>
        <w:rPr>
          <w:rFonts w:eastAsia="Times New Roman"/>
          <w:i/>
          <w:spacing w:val="0"/>
          <w:w w:val="100"/>
          <w:kern w:val="0"/>
          <w:szCs w:val="20"/>
        </w:rPr>
      </w:pPr>
      <w:r w:rsidRPr="00344043">
        <w:rPr>
          <w:rFonts w:eastAsia="Times New Roman"/>
          <w:i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i/>
          <w:spacing w:val="0"/>
          <w:w w:val="100"/>
          <w:kern w:val="0"/>
          <w:szCs w:val="20"/>
        </w:rPr>
        <w:tab/>
        <w:t xml:space="preserve">Пожилые женщины и женщины с инвалидностью </w:t>
      </w:r>
    </w:p>
    <w:p w:rsidR="00344043" w:rsidRPr="00344043" w:rsidRDefault="00344043" w:rsidP="00344043">
      <w:pPr>
        <w:suppressAutoHyphens/>
        <w:spacing w:after="10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38.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Комитет с обеспокоенностью отмечает отсутствие информации о положении пожилых женщин и женщин-инвалидов, которые страдают от множественной дискриминации и в меньшей степени имеют доступ к базовым услугам, включая образование, занятость и медицинское обслуживание.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39.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Комитет рекомендует государству-участнику принять специальные меры политики и программы, которые учитывают конкретные потребности пожилых женщин, а также девушек и женщин-инвалидов, обеспечивая им социальную защиту и доступ к образованию, здравоохранению, реабилитации и возможностям занятости.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24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Супружеские и семейные отношения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40.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Комитет вновь заявляет о своей обеспокоенности тем, что согласно Закону о правах ребенка минимальный возраст для вступления в брак составляет 18 лет, в то время как согласно Закону о регистрации и расторжении браков по обычному праву брак в детском возрасте допускается при согласии родителей. Комитет также обеспокоен тем, что по обычному праву для женщин всегда требуется согласие родителей на брак, в то время как мужчинам можно обойтись без такого согласия. Комитет далее обеспокоен широким распространением полигамных браков, разрешаемых обычным правом и исламским законом о браке, и тем фактом, что в случае смерти полигамного мужа собственность распределяется между вдовами умершего пропорционально продолжительности замужества каждой из вдов. Кроме того, Комитет обеспокоен задержками в принятии проекта закона о матримониальных делах и отсутствием регистрации браков по обычному праву.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41.</w:t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 xml:space="preserve">В соответствии с рекомендацией № 21 о равенстве в браке и семейных отношениях и рекомендацией № 29 об экономических последствиях брака, семейных отношений и их расторжения Комитет рекомендует государству-участнику ускорить правовую реформу в области супружеских и семейных отношений и исключить все дискриминационные положения в обычном праве и исламском законе о браке, особенно положения, касающиеся брака, развода и наследования. Комитет также рекомендует государству-участнику ускорить принятие законопроекта о бракоразводных процессах и обеспечить его действием охват всех типов брака, включая браки по обычному праву, и гарантию супругам равных прав в браке и в распределении собственности в случае развода. Наконец, Комитет рекомендует государству-участнику на систематической основе регистрировать браки по обычному праву. 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24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 xml:space="preserve">Сбор и анализ данных 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42.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  <w:t>Комитет с беспокойством отмечает общее отсутствие обновленных дезагрегированных по полу данных. Он напоминает, что данные, дезагрегированные по полу, возрасту и географическому местоположению, необходимы для точной оценки положения всех женщин, для подготовки информированных и адресных политических решений и для систематического мониторинга и оценки прогресса, достигнутого в осуществлении реального равенства женщин во всех областях, охватываемых Конвенцией.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43.</w:t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Комитет призывает государство-участник наращивать сбор данных, анализ и распространение всеобъемлющих данных, дезагрегированных по полу, возрасту и географическому местоположению, и использовать поддающиеся измерению показатели при оценке тенденций в положении женщин и прогресса в осуществлении равенства женщин по существу во всех сферах, охватываемых Конвенцией.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24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Факультативный протокол и поправки к статье 20 (1) Конвенции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44.</w:t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Комитет призывает государство-участник ратифицировать Факультативный протокол к Конвенции и как можно скорее принять поправку к статье 20 (1) Конвенции, касающейся сроков проведения заседаний Комитета.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24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 xml:space="preserve">Пекинская декларация и Платформа действий 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45.</w:t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Комитет предлагает государству-участнику использовать Пекинскую декларацию и Платформу действий в своих усилиях по осуществлению положений Конвенции.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24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 xml:space="preserve">Распространение 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46.</w:t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Комитет напоминает об обязательстве государства-участника систематически и постоянно осуществлять положения Конвенции. Он настоятельно призывает государство-участник уделять первоочередное внимание выполнению настоящих заключительных замечаний в период до представления следующего периодического доклада. Исходя из этого, Комитет просит своевременно распространить настоящие заключительные замечания среди соответствующих государственных учреждений на всех уровнях (национальном, провинциальном, местном), в частности препроводить их правительству, министерствам, парламенту и органам юстиции с целью обеспечения их полного осуществления. Комитет призывает государство-участник взаимодействовать со всеми заинтересованными сторонами, включая ассоциации предпринимателей, профсоюзы, правозащитные и женские организации, университеты и научно-исследовательские учреждения, СМИ и т. д. Комитет далее рекомендует распространить его заключительные замечания в соответствующей форме на уровне местных общин в целях обеспечения их осуществления. Кроме того, Комитет предлагает государству-участнику и далее распространять среди всех заинтересованных сторон тексты Конвенции и Факультативного протокола к ней, равно как и сведения об относящейся к ним судебной практике, а также общие рекомендации Комитета.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24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 xml:space="preserve">Техническая помощь 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47.</w:t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Комитет рекомендует государству-участнику рассмотреть возможность запроса международной помощи и воспользоваться технической помощью при разработке и осуществлении всеобъемлющей программы, направленной на выполнение вышеизложенных рекомендаций, а также Конвенции в целом. Комитет также призывает государство-участник и далее сотрудничать со специализированными учреждениями и программами системы Организации Объединенных Наций.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 xml:space="preserve">Ратификация прочих договоров 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48.</w:t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Комитет отмечает, что приверженность государства-участника девяти главным международным инструментам по правам человека</w:t>
      </w:r>
      <w:r w:rsidRPr="00165FE5">
        <w:rPr>
          <w:rFonts w:eastAsia="Times New Roman"/>
          <w:spacing w:val="0"/>
          <w:w w:val="100"/>
          <w:kern w:val="0"/>
          <w:szCs w:val="20"/>
          <w:vertAlign w:val="superscript"/>
        </w:rPr>
        <w:footnoteReference w:customMarkFollows="1" w:id="2"/>
        <w:sym w:font="Symbol" w:char="F031"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 xml:space="preserve"> укрепила бы положение женщин с точки зрения пользования своими правами человека и основными свободами во всех аспектах жизни. В этой связи Комитет призывает государство-участник рассмотреть вопрос о ратификации договоров, стороной в которых он еще не является, а именно: Международной конвенции о защите прав всех трудящихся-мигрантов и членов их семей и Международной конвенции для защиты всех лиц от насильственных исчезновений.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24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 xml:space="preserve">Последующая деятельность по заключительным замечаниям 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49.</w:t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Комитет предлагает государству-участнику представить, в течение двух лет, письменную информацию о предпринятых мерах по осуществлению рекомендаций, содержащихся в пункте 11 и пункте 33 (a), (b), (c) и (d) выше.</w:t>
      </w:r>
    </w:p>
    <w:p w:rsidR="00344043" w:rsidRPr="00344043" w:rsidRDefault="00344043" w:rsidP="00344043">
      <w:pPr>
        <w:keepNext/>
        <w:keepLines/>
        <w:tabs>
          <w:tab w:val="right" w:pos="851"/>
        </w:tabs>
        <w:suppressAutoHyphens/>
        <w:spacing w:before="24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ab/>
        <w:t>Подготовка следующего доклада</w:t>
      </w:r>
    </w:p>
    <w:p w:rsidR="00344043" w:rsidRPr="00344043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50.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 xml:space="preserve">Комитет предлагает государству-участнику представить его седьмой периодический доклад в феврале 2018 года. </w:t>
      </w:r>
    </w:p>
    <w:p w:rsidR="00344043" w:rsidRPr="00165FE5" w:rsidRDefault="00344043" w:rsidP="00344043">
      <w:pPr>
        <w:suppressAutoHyphens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344043">
        <w:rPr>
          <w:rFonts w:eastAsia="Times New Roman"/>
          <w:spacing w:val="0"/>
          <w:w w:val="100"/>
          <w:kern w:val="0"/>
          <w:szCs w:val="20"/>
        </w:rPr>
        <w:t>51.</w:t>
      </w:r>
      <w:r w:rsidRPr="00344043">
        <w:rPr>
          <w:rFonts w:eastAsia="Times New Roman"/>
          <w:spacing w:val="0"/>
          <w:w w:val="100"/>
          <w:kern w:val="0"/>
          <w:szCs w:val="20"/>
        </w:rPr>
        <w:tab/>
      </w:r>
      <w:r w:rsidRPr="00344043">
        <w:rPr>
          <w:rFonts w:eastAsia="Times New Roman"/>
          <w:b/>
          <w:spacing w:val="0"/>
          <w:w w:val="100"/>
          <w:kern w:val="0"/>
          <w:szCs w:val="20"/>
        </w:rPr>
        <w:t>Комитет просит государство-участник придерживаться документа под названием "Согласованные руководящие принципы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договорам" (</w:t>
      </w:r>
      <w:hyperlink r:id="rId24" w:history="1">
        <w:r w:rsidRPr="00165FE5">
          <w:rPr>
            <w:rStyle w:val="Hyperlink"/>
            <w:rFonts w:eastAsia="Times New Roman"/>
            <w:b/>
            <w:spacing w:val="0"/>
            <w:w w:val="100"/>
            <w:kern w:val="0"/>
            <w:szCs w:val="20"/>
          </w:rPr>
          <w:t>HRI/MC/2006/3</w:t>
        </w:r>
      </w:hyperlink>
      <w:r w:rsidRPr="00344043">
        <w:rPr>
          <w:rFonts w:eastAsia="Times New Roman"/>
          <w:b/>
          <w:spacing w:val="0"/>
          <w:w w:val="100"/>
          <w:kern w:val="0"/>
          <w:szCs w:val="20"/>
        </w:rPr>
        <w:t xml:space="preserve"> и Corr.1).</w:t>
      </w:r>
    </w:p>
    <w:p w:rsidR="00344043" w:rsidRPr="00344043" w:rsidRDefault="00C308D6" w:rsidP="00344043">
      <w:pPr>
        <w:suppressAutoHyphens/>
        <w:spacing w:line="240" w:lineRule="auto"/>
        <w:ind w:left="1134" w:right="1134"/>
        <w:jc w:val="both"/>
        <w:rPr>
          <w:rFonts w:eastAsia="Times New Roman"/>
          <w:spacing w:val="0"/>
          <w:w w:val="100"/>
          <w:kern w:val="0"/>
          <w:szCs w:val="20"/>
          <w:lang w:val="en-US"/>
        </w:rPr>
      </w:pPr>
      <w:r>
        <w:rPr>
          <w:noProof/>
        </w:rPr>
        <w:pict>
          <v:line id="Straight Connector 4" o:spid="_x0000_s1026" style="position:absolute;left:0;text-align:left;z-index:1;visibility:visible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" strokecolor="#010000" strokeweight=".25pt"/>
        </w:pict>
      </w:r>
    </w:p>
    <w:sectPr w:rsidR="00344043" w:rsidRPr="00344043" w:rsidSect="004F137E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4-03T09:30:00Z" w:initials="Start">
    <w:p w:rsidR="004F137E" w:rsidRPr="00344043" w:rsidRDefault="004F137E">
      <w:pPr>
        <w:pStyle w:val="CommentText"/>
        <w:rPr>
          <w:lang w:val="en-US"/>
        </w:rPr>
      </w:pPr>
      <w:r>
        <w:fldChar w:fldCharType="begin"/>
      </w:r>
      <w:r w:rsidRPr="00344043">
        <w:rPr>
          <w:rStyle w:val="CommentReference"/>
          <w:lang w:val="en-US"/>
        </w:rPr>
        <w:instrText xml:space="preserve"> </w:instrText>
      </w:r>
      <w:r w:rsidRPr="00344043">
        <w:rPr>
          <w:lang w:val="en-US"/>
        </w:rPr>
        <w:instrText>PAGE \# "'Page: '#'</w:instrText>
      </w:r>
      <w:r w:rsidRPr="00344043">
        <w:rPr>
          <w:lang w:val="en-US"/>
        </w:rPr>
        <w:br/>
        <w:instrText>'"</w:instrText>
      </w:r>
      <w:r w:rsidRPr="0034404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344043">
        <w:rPr>
          <w:lang w:val="en-US"/>
        </w:rPr>
        <w:t>&lt;&lt;ODS JOB NO&gt;&gt;N14R&lt;&lt;ODS JOB NO&gt;&gt;</w:t>
      </w:r>
    </w:p>
    <w:p w:rsidR="004F137E" w:rsidRPr="00344043" w:rsidRDefault="004F137E">
      <w:pPr>
        <w:pStyle w:val="CommentText"/>
        <w:rPr>
          <w:lang w:val="en-US"/>
        </w:rPr>
      </w:pPr>
      <w:r w:rsidRPr="00344043">
        <w:rPr>
          <w:lang w:val="en-US"/>
        </w:rPr>
        <w:t>&lt;&lt;GDOC JOB NO&gt;&gt;1400607&lt;&lt;GDOC JOB NO&gt;&gt;</w:t>
      </w:r>
    </w:p>
    <w:p w:rsidR="004F137E" w:rsidRPr="00344043" w:rsidRDefault="004F137E">
      <w:pPr>
        <w:pStyle w:val="CommentText"/>
        <w:rPr>
          <w:lang w:val="en-US"/>
        </w:rPr>
      </w:pPr>
      <w:r w:rsidRPr="00344043">
        <w:rPr>
          <w:lang w:val="en-US"/>
        </w:rPr>
        <w:t>&lt;&lt;ODS DOC SYMBOL1&gt;&gt;CEDAW/C/SLE/CO/6&lt;&lt;ODS DOC SYMBOL1&gt;&gt;</w:t>
      </w:r>
    </w:p>
    <w:p w:rsidR="004F137E" w:rsidRPr="00344043" w:rsidRDefault="004F137E">
      <w:pPr>
        <w:pStyle w:val="CommentText"/>
        <w:rPr>
          <w:lang w:val="en-US"/>
        </w:rPr>
      </w:pPr>
      <w:r w:rsidRPr="00344043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21A" w:rsidRDefault="00F1521A" w:rsidP="008A1A7A">
      <w:pPr>
        <w:spacing w:line="240" w:lineRule="auto"/>
      </w:pPr>
      <w:r>
        <w:separator/>
      </w:r>
    </w:p>
  </w:endnote>
  <w:endnote w:type="continuationSeparator" w:id="0">
    <w:p w:rsidR="00F1521A" w:rsidRDefault="00F1521A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4F137E" w:rsidRPr="00C308D6" w:rsidTr="004F137E">
      <w:tc>
        <w:tcPr>
          <w:tcW w:w="5033" w:type="dxa"/>
          <w:shd w:val="clear" w:color="auto" w:fill="auto"/>
          <w:vAlign w:val="bottom"/>
        </w:tcPr>
        <w:p w:rsidR="004F137E" w:rsidRPr="005C0ADE" w:rsidRDefault="004F137E" w:rsidP="004F137E">
          <w:pPr>
            <w:pStyle w:val="Footer"/>
            <w:rPr>
              <w:color w:val="000000"/>
              <w:szCs w:val="22"/>
              <w:lang w:eastAsia="en-US"/>
            </w:rPr>
          </w:pPr>
          <w:r w:rsidRPr="005C0ADE">
            <w:rPr>
              <w:szCs w:val="22"/>
              <w:lang w:eastAsia="en-US"/>
            </w:rPr>
            <w:fldChar w:fldCharType="begin"/>
          </w:r>
          <w:r w:rsidRPr="005C0ADE">
            <w:rPr>
              <w:szCs w:val="22"/>
              <w:lang w:eastAsia="en-US"/>
            </w:rPr>
            <w:instrText xml:space="preserve"> PAGE  \* Arabic  \* MERGEFORMAT </w:instrText>
          </w:r>
          <w:r w:rsidRPr="005C0ADE">
            <w:rPr>
              <w:szCs w:val="22"/>
              <w:lang w:eastAsia="en-US"/>
            </w:rPr>
            <w:fldChar w:fldCharType="separate"/>
          </w:r>
          <w:r w:rsidR="00900060" w:rsidRPr="005C0ADE">
            <w:rPr>
              <w:noProof/>
              <w:szCs w:val="22"/>
              <w:lang w:eastAsia="en-US"/>
            </w:rPr>
            <w:t>16</w:t>
          </w:r>
          <w:r w:rsidRPr="005C0ADE">
            <w:rPr>
              <w:szCs w:val="22"/>
              <w:lang w:eastAsia="en-US"/>
            </w:rPr>
            <w:fldChar w:fldCharType="end"/>
          </w:r>
          <w:r w:rsidRPr="005C0ADE">
            <w:rPr>
              <w:szCs w:val="22"/>
              <w:lang w:eastAsia="en-US"/>
            </w:rPr>
            <w:t>/</w:t>
          </w:r>
          <w:fldSimple w:instr=" NUMPAGES  \* Arabic  \* MERGEFORMAT ">
            <w:r w:rsidR="00900060" w:rsidRPr="005C0ADE">
              <w:rPr>
                <w:noProof/>
                <w:szCs w:val="22"/>
                <w:lang w:eastAsia="en-US"/>
              </w:rPr>
              <w:t>16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4F137E" w:rsidRPr="005C0ADE" w:rsidRDefault="004F137E" w:rsidP="004F137E">
          <w:pPr>
            <w:pStyle w:val="Footer"/>
            <w:jc w:val="right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DA23A4" w:rsidRPr="005C0ADE">
              <w:rPr>
                <w:b w:val="0"/>
                <w:color w:val="000000"/>
                <w:sz w:val="14"/>
                <w:szCs w:val="22"/>
                <w:lang w:eastAsia="en-US"/>
              </w:rPr>
              <w:t>14-00607</w:t>
            </w:r>
          </w:fldSimple>
        </w:p>
      </w:tc>
    </w:tr>
  </w:tbl>
  <w:p w:rsidR="004F137E" w:rsidRPr="004F137E" w:rsidRDefault="004F137E" w:rsidP="004F137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4F137E" w:rsidRPr="00C308D6" w:rsidTr="004F137E">
      <w:tc>
        <w:tcPr>
          <w:tcW w:w="5033" w:type="dxa"/>
          <w:shd w:val="clear" w:color="auto" w:fill="auto"/>
          <w:vAlign w:val="bottom"/>
        </w:tcPr>
        <w:p w:rsidR="004F137E" w:rsidRPr="005C0ADE" w:rsidRDefault="004F137E" w:rsidP="004F137E">
          <w:pPr>
            <w:pStyle w:val="Footer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DA23A4" w:rsidRPr="005C0ADE">
              <w:rPr>
                <w:b w:val="0"/>
                <w:color w:val="000000"/>
                <w:sz w:val="14"/>
                <w:szCs w:val="22"/>
                <w:lang w:eastAsia="en-US"/>
              </w:rPr>
              <w:t>14-00607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4F137E" w:rsidRPr="005C0ADE" w:rsidRDefault="004F137E" w:rsidP="004F137E">
          <w:pPr>
            <w:pStyle w:val="Footer"/>
            <w:jc w:val="right"/>
            <w:rPr>
              <w:szCs w:val="22"/>
              <w:lang w:eastAsia="en-US"/>
            </w:rPr>
          </w:pPr>
          <w:r w:rsidRPr="005C0ADE">
            <w:rPr>
              <w:szCs w:val="22"/>
              <w:lang w:eastAsia="en-US"/>
            </w:rPr>
            <w:fldChar w:fldCharType="begin"/>
          </w:r>
          <w:r w:rsidRPr="005C0ADE">
            <w:rPr>
              <w:szCs w:val="22"/>
              <w:lang w:eastAsia="en-US"/>
            </w:rPr>
            <w:instrText xml:space="preserve"> PAGE  \* Arabic  \* MERGEFORMAT </w:instrText>
          </w:r>
          <w:r w:rsidRPr="005C0ADE">
            <w:rPr>
              <w:szCs w:val="22"/>
              <w:lang w:eastAsia="en-US"/>
            </w:rPr>
            <w:fldChar w:fldCharType="separate"/>
          </w:r>
          <w:r w:rsidR="00900060" w:rsidRPr="005C0ADE">
            <w:rPr>
              <w:noProof/>
              <w:szCs w:val="22"/>
              <w:lang w:eastAsia="en-US"/>
            </w:rPr>
            <w:t>17</w:t>
          </w:r>
          <w:r w:rsidRPr="005C0ADE">
            <w:rPr>
              <w:szCs w:val="22"/>
              <w:lang w:eastAsia="en-US"/>
            </w:rPr>
            <w:fldChar w:fldCharType="end"/>
          </w:r>
          <w:r w:rsidRPr="005C0ADE">
            <w:rPr>
              <w:szCs w:val="22"/>
              <w:lang w:eastAsia="en-US"/>
            </w:rPr>
            <w:t>/</w:t>
          </w:r>
          <w:fldSimple w:instr=" NUMPAGES  \* Arabic  \* MERGEFORMAT ">
            <w:r w:rsidR="00900060" w:rsidRPr="005C0ADE">
              <w:rPr>
                <w:noProof/>
                <w:szCs w:val="22"/>
                <w:lang w:eastAsia="en-US"/>
              </w:rPr>
              <w:t>17</w:t>
            </w:r>
          </w:fldSimple>
        </w:p>
      </w:tc>
    </w:tr>
  </w:tbl>
  <w:p w:rsidR="004F137E" w:rsidRPr="004F137E" w:rsidRDefault="004F137E" w:rsidP="004F137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37E" w:rsidRDefault="00C308D6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s2049" type="#_x0000_t75" alt="http://undocs.org/m2/QRCode.ashx?DS=CEDAW/C/SLE/CO/6&amp;Size =1&amp;Lang = R" style="position:absolute;margin-left:436.9pt;margin-top:-18.2pt;width:54.9pt;height:54.9pt;z-index:1;visibility:visible;mso-width-relative:margin;mso-height-relative:margin">
          <v:imagedata r:id="rId1" o:title="6&amp;Size =1&amp;Lang = R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4F137E" w:rsidRPr="00C308D6" w:rsidTr="004F137E">
      <w:tc>
        <w:tcPr>
          <w:tcW w:w="3830" w:type="dxa"/>
        </w:tcPr>
        <w:p w:rsidR="004F137E" w:rsidRPr="00C308D6" w:rsidRDefault="004F137E" w:rsidP="004F137E">
          <w:pPr>
            <w:pStyle w:val="ReleaseDate"/>
            <w:rPr>
              <w:color w:val="010000"/>
            </w:rPr>
          </w:pPr>
          <w:r w:rsidRPr="00C308D6">
            <w:t>14-00607 (R)</w:t>
          </w:r>
          <w:r w:rsidRPr="00C308D6">
            <w:rPr>
              <w:color w:val="010000"/>
            </w:rPr>
            <w:t xml:space="preserve">    030414    030414</w:t>
          </w:r>
        </w:p>
        <w:p w:rsidR="004F137E" w:rsidRPr="00C308D6" w:rsidRDefault="004F137E" w:rsidP="004F137E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 w:rsidRPr="00C308D6">
            <w:rPr>
              <w:rFonts w:ascii="Barcode 3 of 9 by request" w:hAnsi="Barcode 3 of 9 by request"/>
              <w:w w:val="100"/>
              <w:sz w:val="24"/>
            </w:rPr>
            <w:t>*1400607(R)*</w:t>
          </w:r>
        </w:p>
      </w:tc>
      <w:tc>
        <w:tcPr>
          <w:tcW w:w="5033" w:type="dxa"/>
        </w:tcPr>
        <w:p w:rsidR="004F137E" w:rsidRPr="005C0ADE" w:rsidRDefault="00C308D6" w:rsidP="004F137E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5C0ADE">
            <w:rPr>
              <w:b w:val="0"/>
              <w:noProof/>
              <w:sz w:val="20"/>
              <w:szCs w:val="22"/>
              <w:lang w:val="en-US" w:eastAsia="en-US"/>
            </w:rPr>
            <w:pict>
              <v:shape id="Picture 2" o:spid="_x0000_i1026" type="#_x0000_t75" style="width:213pt;height:18pt;visibility:visible">
                <v:imagedata r:id="rId2" o:title=""/>
              </v:shape>
            </w:pict>
          </w:r>
        </w:p>
      </w:tc>
    </w:tr>
  </w:tbl>
  <w:p w:rsidR="004F137E" w:rsidRPr="004F137E" w:rsidRDefault="004F137E" w:rsidP="004F137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21A" w:rsidRPr="00165FE5" w:rsidRDefault="00F1521A" w:rsidP="00165FE5">
      <w:pPr>
        <w:pStyle w:val="Footer"/>
        <w:spacing w:after="80"/>
        <w:ind w:left="792"/>
        <w:rPr>
          <w:sz w:val="16"/>
        </w:rPr>
      </w:pPr>
      <w:r w:rsidRPr="00165FE5">
        <w:rPr>
          <w:sz w:val="16"/>
        </w:rPr>
        <w:t>__________________</w:t>
      </w:r>
    </w:p>
  </w:footnote>
  <w:footnote w:type="continuationSeparator" w:id="0">
    <w:p w:rsidR="00F1521A" w:rsidRPr="00165FE5" w:rsidRDefault="00F1521A" w:rsidP="00165FE5">
      <w:pPr>
        <w:pStyle w:val="Footer"/>
        <w:spacing w:after="80"/>
        <w:ind w:left="792"/>
        <w:rPr>
          <w:sz w:val="16"/>
        </w:rPr>
      </w:pPr>
      <w:r w:rsidRPr="00165FE5">
        <w:rPr>
          <w:sz w:val="16"/>
        </w:rPr>
        <w:t>__________________</w:t>
      </w:r>
    </w:p>
  </w:footnote>
  <w:footnote w:id="1">
    <w:p w:rsidR="00165FE5" w:rsidRPr="00165FE5" w:rsidRDefault="00165FE5" w:rsidP="00165FE5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*</w:t>
      </w:r>
      <w:r w:rsidRPr="00165FE5">
        <w:tab/>
      </w:r>
      <w:r>
        <w:t>Приняты Комитетом на его пятьдесят седьмой сессии (10–28 февраля 2014 года).</w:t>
      </w:r>
    </w:p>
  </w:footnote>
  <w:footnote w:id="2">
    <w:p w:rsidR="00344043" w:rsidRPr="00A7496F" w:rsidRDefault="00344043" w:rsidP="00165FE5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pacing w:val="0"/>
          <w:w w:val="100"/>
          <w:kern w:val="0"/>
        </w:rPr>
      </w:pPr>
      <w:r w:rsidRPr="00A7496F">
        <w:rPr>
          <w:spacing w:val="0"/>
          <w:w w:val="100"/>
          <w:kern w:val="0"/>
        </w:rPr>
        <w:t xml:space="preserve"> </w:t>
      </w:r>
      <w:r w:rsidRPr="00A7496F">
        <w:rPr>
          <w:spacing w:val="0"/>
          <w:w w:val="100"/>
          <w:kern w:val="0"/>
        </w:rPr>
        <w:tab/>
      </w:r>
      <w:r w:rsidRPr="00A7496F">
        <w:rPr>
          <w:rStyle w:val="FootnoteReference"/>
          <w:spacing w:val="0"/>
          <w:w w:val="100"/>
          <w:kern w:val="0"/>
        </w:rPr>
        <w:sym w:font="Symbol" w:char="F031"/>
      </w:r>
      <w:r w:rsidRPr="00A7496F">
        <w:rPr>
          <w:spacing w:val="0"/>
          <w:w w:val="100"/>
          <w:kern w:val="0"/>
        </w:rPr>
        <w:tab/>
      </w:r>
      <w:r w:rsidRPr="00A7496F">
        <w:rPr>
          <w:spacing w:val="0"/>
          <w:w w:val="100"/>
          <w:kern w:val="0"/>
          <w:szCs w:val="18"/>
        </w:rPr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 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 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4F137E" w:rsidRPr="00C308D6" w:rsidTr="004F137E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F137E" w:rsidRPr="005C0ADE" w:rsidRDefault="004F137E" w:rsidP="004F137E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DA23A4" w:rsidRPr="005C0ADE">
              <w:rPr>
                <w:b/>
                <w:szCs w:val="22"/>
                <w:lang w:eastAsia="en-US"/>
              </w:rPr>
              <w:t>CEDAW/C/SLE/CO/6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4F137E" w:rsidRPr="005C0ADE" w:rsidRDefault="004F137E" w:rsidP="004F137E">
          <w:pPr>
            <w:pStyle w:val="Header"/>
            <w:rPr>
              <w:szCs w:val="22"/>
              <w:lang w:eastAsia="en-US"/>
            </w:rPr>
          </w:pPr>
        </w:p>
      </w:tc>
    </w:tr>
  </w:tbl>
  <w:p w:rsidR="004F137E" w:rsidRPr="004F137E" w:rsidRDefault="004F137E" w:rsidP="004F137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4F137E" w:rsidRPr="00C308D6" w:rsidTr="004F137E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F137E" w:rsidRPr="005C0ADE" w:rsidRDefault="004F137E" w:rsidP="004F137E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4F137E" w:rsidRPr="005C0ADE" w:rsidRDefault="004F137E" w:rsidP="004F137E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DA23A4" w:rsidRPr="005C0ADE">
              <w:rPr>
                <w:b/>
                <w:szCs w:val="22"/>
                <w:lang w:eastAsia="en-US"/>
              </w:rPr>
              <w:t>CEDAW/C/SLE/CO/6</w:t>
            </w:r>
          </w:fldSimple>
        </w:p>
      </w:tc>
    </w:tr>
  </w:tbl>
  <w:p w:rsidR="004F137E" w:rsidRPr="004F137E" w:rsidRDefault="004F137E" w:rsidP="004F137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4F137E" w:rsidRPr="00C308D6" w:rsidTr="004F137E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4F137E" w:rsidRPr="00C308D6" w:rsidRDefault="004F137E" w:rsidP="004F137E">
          <w:pPr>
            <w:pStyle w:val="HCh"/>
            <w:spacing w:after="80"/>
            <w:rPr>
              <w:b w:val="0"/>
              <w:spacing w:val="2"/>
              <w:w w:val="96"/>
            </w:rPr>
          </w:pPr>
          <w:r w:rsidRPr="00C308D6"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F137E" w:rsidRPr="005C0ADE" w:rsidRDefault="004F137E" w:rsidP="004F137E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F137E" w:rsidRPr="005C0ADE" w:rsidRDefault="004F137E" w:rsidP="004F137E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5C0ADE">
            <w:rPr>
              <w:sz w:val="40"/>
              <w:szCs w:val="22"/>
              <w:lang w:eastAsia="en-US"/>
            </w:rPr>
            <w:t>CEDAW</w:t>
          </w:r>
          <w:r w:rsidRPr="005C0ADE">
            <w:rPr>
              <w:sz w:val="20"/>
              <w:szCs w:val="22"/>
              <w:lang w:eastAsia="en-US"/>
            </w:rPr>
            <w:t>/C/SLE/CO/6</w:t>
          </w:r>
        </w:p>
      </w:tc>
    </w:tr>
    <w:tr w:rsidR="004F137E" w:rsidRPr="00C308D6" w:rsidTr="004F137E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F137E" w:rsidRPr="005C0ADE" w:rsidRDefault="004F137E" w:rsidP="004F137E">
          <w:pPr>
            <w:pStyle w:val="Header"/>
            <w:spacing w:before="109"/>
            <w:rPr>
              <w:szCs w:val="22"/>
              <w:lang w:eastAsia="en-US"/>
            </w:rPr>
          </w:pPr>
          <w:r w:rsidRPr="005C0ADE">
            <w:rPr>
              <w:szCs w:val="22"/>
              <w:lang w:eastAsia="en-US"/>
            </w:rPr>
            <w:t xml:space="preserve"> </w:t>
          </w:r>
          <w:r w:rsidR="00C308D6" w:rsidRPr="005C0ADE">
            <w:rPr>
              <w:noProof/>
              <w:szCs w:val="22"/>
              <w:lang w:val="en-US"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i1025" type="#_x0000_t75" style="width:56.25pt;height:47.25pt;visibility:visible">
                <v:imagedata r:id="rId1" o:title=""/>
              </v:shape>
            </w:pict>
          </w:r>
        </w:p>
        <w:p w:rsidR="004F137E" w:rsidRPr="005C0ADE" w:rsidRDefault="004F137E" w:rsidP="004F137E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F137E" w:rsidRPr="00C308D6" w:rsidRDefault="004F137E" w:rsidP="004F137E">
          <w:pPr>
            <w:pStyle w:val="XLarge"/>
            <w:spacing w:before="109" w:line="330" w:lineRule="exact"/>
            <w:rPr>
              <w:sz w:val="34"/>
            </w:rPr>
          </w:pPr>
          <w:r w:rsidRPr="00C308D6"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F137E" w:rsidRPr="005C0ADE" w:rsidRDefault="004F137E" w:rsidP="004F137E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F137E" w:rsidRPr="00C308D6" w:rsidRDefault="004F137E" w:rsidP="004F137E">
          <w:pPr>
            <w:pStyle w:val="Distribution"/>
            <w:rPr>
              <w:color w:val="000000"/>
              <w:lang w:val="en-US"/>
            </w:rPr>
          </w:pPr>
          <w:r w:rsidRPr="00C308D6">
            <w:rPr>
              <w:color w:val="000000"/>
              <w:lang w:val="en-US"/>
            </w:rPr>
            <w:t>Distr.: General</w:t>
          </w:r>
        </w:p>
        <w:p w:rsidR="004F137E" w:rsidRPr="00C308D6" w:rsidRDefault="00344043" w:rsidP="004F137E">
          <w:pPr>
            <w:pStyle w:val="Publication"/>
            <w:rPr>
              <w:color w:val="000000"/>
              <w:lang w:val="en-US"/>
            </w:rPr>
          </w:pPr>
          <w:r w:rsidRPr="00C308D6">
            <w:rPr>
              <w:color w:val="000000"/>
              <w:lang w:val="en-US"/>
            </w:rPr>
            <w:t>10 March</w:t>
          </w:r>
          <w:r w:rsidR="004F137E" w:rsidRPr="00C308D6">
            <w:rPr>
              <w:color w:val="000000"/>
              <w:lang w:val="en-US"/>
            </w:rPr>
            <w:t xml:space="preserve"> 2014</w:t>
          </w:r>
        </w:p>
        <w:p w:rsidR="004F137E" w:rsidRPr="00C308D6" w:rsidRDefault="004F137E" w:rsidP="004F137E">
          <w:pPr>
            <w:rPr>
              <w:color w:val="000000"/>
              <w:lang w:val="en-US"/>
            </w:rPr>
          </w:pPr>
          <w:r w:rsidRPr="00C308D6">
            <w:rPr>
              <w:color w:val="000000"/>
              <w:lang w:val="en-US"/>
            </w:rPr>
            <w:t>Russian</w:t>
          </w:r>
        </w:p>
        <w:p w:rsidR="004F137E" w:rsidRPr="00C308D6" w:rsidRDefault="004F137E" w:rsidP="004F137E">
          <w:pPr>
            <w:pStyle w:val="Original"/>
            <w:rPr>
              <w:color w:val="000000"/>
              <w:lang w:val="en-US"/>
            </w:rPr>
          </w:pPr>
          <w:r w:rsidRPr="00C308D6">
            <w:rPr>
              <w:color w:val="000000"/>
              <w:lang w:val="en-US"/>
            </w:rPr>
            <w:t>Original: English</w:t>
          </w:r>
        </w:p>
        <w:p w:rsidR="004F137E" w:rsidRPr="00C308D6" w:rsidRDefault="004F137E" w:rsidP="004F137E">
          <w:pPr>
            <w:rPr>
              <w:lang w:val="en-US"/>
            </w:rPr>
          </w:pPr>
        </w:p>
      </w:tc>
    </w:tr>
  </w:tbl>
  <w:p w:rsidR="004F137E" w:rsidRPr="00344043" w:rsidRDefault="004F137E" w:rsidP="004F137E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0BDA0F7C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TrackMoves/>
  <w:defaultTabStop w:val="720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00607*"/>
    <w:docVar w:name="CreationDt" w:val="03/04/2014 9:30: AM"/>
    <w:docVar w:name="DocCategory" w:val="Doc"/>
    <w:docVar w:name="DocType" w:val="Final"/>
    <w:docVar w:name="FooterJN" w:val="14-00607"/>
    <w:docVar w:name="jobn" w:val="14-00607 (R)"/>
    <w:docVar w:name="jobnDT" w:val="14-00607 (R)   030414"/>
    <w:docVar w:name="jobnDTDT" w:val="14-00607 (R)   030414   030414"/>
    <w:docVar w:name="JobNo" w:val="1400607R"/>
    <w:docVar w:name="JobNo2" w:val="14R"/>
    <w:docVar w:name="OandT" w:val=" "/>
    <w:docVar w:name="sss1" w:val="CEDAW/C/SLE/CO/6"/>
    <w:docVar w:name="sss2" w:val="-"/>
    <w:docVar w:name="Symbol1" w:val="CEDAW/C/SLE/CO/6"/>
    <w:docVar w:name="Symbol2" w:val="-"/>
  </w:docVars>
  <w:rsids>
    <w:rsidRoot w:val="00DD4383"/>
    <w:rsid w:val="00004615"/>
    <w:rsid w:val="00004756"/>
    <w:rsid w:val="00024A67"/>
    <w:rsid w:val="000513EF"/>
    <w:rsid w:val="0005420D"/>
    <w:rsid w:val="00055EA2"/>
    <w:rsid w:val="00067A90"/>
    <w:rsid w:val="00070C37"/>
    <w:rsid w:val="000A111E"/>
    <w:rsid w:val="000C67BC"/>
    <w:rsid w:val="000E4411"/>
    <w:rsid w:val="000F1ACD"/>
    <w:rsid w:val="000F5D07"/>
    <w:rsid w:val="00105B0E"/>
    <w:rsid w:val="001444A3"/>
    <w:rsid w:val="00153645"/>
    <w:rsid w:val="00153E8C"/>
    <w:rsid w:val="00162E88"/>
    <w:rsid w:val="00165FE5"/>
    <w:rsid w:val="00177361"/>
    <w:rsid w:val="001A39EE"/>
    <w:rsid w:val="001C54CE"/>
    <w:rsid w:val="001D1749"/>
    <w:rsid w:val="001E25A2"/>
    <w:rsid w:val="001E61AD"/>
    <w:rsid w:val="00211A7E"/>
    <w:rsid w:val="00217A24"/>
    <w:rsid w:val="002334FA"/>
    <w:rsid w:val="002535D8"/>
    <w:rsid w:val="00254046"/>
    <w:rsid w:val="00261386"/>
    <w:rsid w:val="00261C41"/>
    <w:rsid w:val="00264A43"/>
    <w:rsid w:val="00277697"/>
    <w:rsid w:val="002B6E2A"/>
    <w:rsid w:val="002C66D0"/>
    <w:rsid w:val="002E1F79"/>
    <w:rsid w:val="002F5C45"/>
    <w:rsid w:val="002F6149"/>
    <w:rsid w:val="00326F5F"/>
    <w:rsid w:val="00337D91"/>
    <w:rsid w:val="00344043"/>
    <w:rsid w:val="00350756"/>
    <w:rsid w:val="003658B0"/>
    <w:rsid w:val="0039505F"/>
    <w:rsid w:val="003A150E"/>
    <w:rsid w:val="003C2842"/>
    <w:rsid w:val="003D0825"/>
    <w:rsid w:val="003D2003"/>
    <w:rsid w:val="003E5193"/>
    <w:rsid w:val="00427FE5"/>
    <w:rsid w:val="004420FB"/>
    <w:rsid w:val="004645DD"/>
    <w:rsid w:val="004A7499"/>
    <w:rsid w:val="004B1314"/>
    <w:rsid w:val="004D656E"/>
    <w:rsid w:val="004E6443"/>
    <w:rsid w:val="004F137E"/>
    <w:rsid w:val="005121DC"/>
    <w:rsid w:val="00513113"/>
    <w:rsid w:val="00515869"/>
    <w:rsid w:val="005214BA"/>
    <w:rsid w:val="00524A24"/>
    <w:rsid w:val="00526E12"/>
    <w:rsid w:val="0054563F"/>
    <w:rsid w:val="00552E08"/>
    <w:rsid w:val="0056579C"/>
    <w:rsid w:val="005734C2"/>
    <w:rsid w:val="00574AA1"/>
    <w:rsid w:val="005933CB"/>
    <w:rsid w:val="005A1D01"/>
    <w:rsid w:val="005C0ADE"/>
    <w:rsid w:val="005D38B6"/>
    <w:rsid w:val="005D7642"/>
    <w:rsid w:val="005E7DCF"/>
    <w:rsid w:val="00602F9D"/>
    <w:rsid w:val="006261A6"/>
    <w:rsid w:val="0063491E"/>
    <w:rsid w:val="00635AF8"/>
    <w:rsid w:val="00646363"/>
    <w:rsid w:val="006A1D06"/>
    <w:rsid w:val="006A3F10"/>
    <w:rsid w:val="00705549"/>
    <w:rsid w:val="0071210D"/>
    <w:rsid w:val="00716BC5"/>
    <w:rsid w:val="00723115"/>
    <w:rsid w:val="00724550"/>
    <w:rsid w:val="00745258"/>
    <w:rsid w:val="00781ACA"/>
    <w:rsid w:val="00787B44"/>
    <w:rsid w:val="00795A5A"/>
    <w:rsid w:val="007B098D"/>
    <w:rsid w:val="007B1DE5"/>
    <w:rsid w:val="007B5CF3"/>
    <w:rsid w:val="007C62D1"/>
    <w:rsid w:val="007C706F"/>
    <w:rsid w:val="007E0E39"/>
    <w:rsid w:val="007E2B60"/>
    <w:rsid w:val="00803EC5"/>
    <w:rsid w:val="00821CE2"/>
    <w:rsid w:val="00830FF8"/>
    <w:rsid w:val="00853E2A"/>
    <w:rsid w:val="008541E9"/>
    <w:rsid w:val="008776BB"/>
    <w:rsid w:val="00880540"/>
    <w:rsid w:val="0088396E"/>
    <w:rsid w:val="008A1A7A"/>
    <w:rsid w:val="008B08A3"/>
    <w:rsid w:val="008B709D"/>
    <w:rsid w:val="008C6372"/>
    <w:rsid w:val="008D0CE3"/>
    <w:rsid w:val="008F12FD"/>
    <w:rsid w:val="008F13EA"/>
    <w:rsid w:val="00900060"/>
    <w:rsid w:val="00904F3C"/>
    <w:rsid w:val="00907EDB"/>
    <w:rsid w:val="009110C5"/>
    <w:rsid w:val="00915944"/>
    <w:rsid w:val="009327BF"/>
    <w:rsid w:val="00935F33"/>
    <w:rsid w:val="0094745A"/>
    <w:rsid w:val="0095649D"/>
    <w:rsid w:val="00984EE4"/>
    <w:rsid w:val="0099354F"/>
    <w:rsid w:val="009B3444"/>
    <w:rsid w:val="009B5DCD"/>
    <w:rsid w:val="009F0808"/>
    <w:rsid w:val="00A1703F"/>
    <w:rsid w:val="00A63339"/>
    <w:rsid w:val="00A90F41"/>
    <w:rsid w:val="00A96C80"/>
    <w:rsid w:val="00AA27C2"/>
    <w:rsid w:val="00AD6322"/>
    <w:rsid w:val="00AD78B1"/>
    <w:rsid w:val="00AF0B91"/>
    <w:rsid w:val="00B2163C"/>
    <w:rsid w:val="00B33139"/>
    <w:rsid w:val="00B56376"/>
    <w:rsid w:val="00B606B7"/>
    <w:rsid w:val="00B77FC0"/>
    <w:rsid w:val="00BB052D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308D6"/>
    <w:rsid w:val="00C60105"/>
    <w:rsid w:val="00C623BF"/>
    <w:rsid w:val="00C70D59"/>
    <w:rsid w:val="00C7432F"/>
    <w:rsid w:val="00C77473"/>
    <w:rsid w:val="00CD3C62"/>
    <w:rsid w:val="00CF021B"/>
    <w:rsid w:val="00CF07BE"/>
    <w:rsid w:val="00D028FF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A23A4"/>
    <w:rsid w:val="00DD4383"/>
    <w:rsid w:val="00DF1CF0"/>
    <w:rsid w:val="00E04C73"/>
    <w:rsid w:val="00E079A3"/>
    <w:rsid w:val="00E15D7D"/>
    <w:rsid w:val="00E17234"/>
    <w:rsid w:val="00E6111E"/>
    <w:rsid w:val="00E616D0"/>
    <w:rsid w:val="00E65C07"/>
    <w:rsid w:val="00E8225E"/>
    <w:rsid w:val="00E90547"/>
    <w:rsid w:val="00E970B0"/>
    <w:rsid w:val="00EA1656"/>
    <w:rsid w:val="00EB646E"/>
    <w:rsid w:val="00EC6F5D"/>
    <w:rsid w:val="00EF1FBD"/>
    <w:rsid w:val="00F07DDF"/>
    <w:rsid w:val="00F1521A"/>
    <w:rsid w:val="00F16256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D213B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4F13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137E"/>
    <w:pPr>
      <w:spacing w:line="240" w:lineRule="auto"/>
    </w:pPr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4F137E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137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F137E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styleId="ListBullet5">
    <w:name w:val="List Bullet 5"/>
    <w:basedOn w:val="Normal"/>
    <w:uiPriority w:val="99"/>
    <w:semiHidden/>
    <w:unhideWhenUsed/>
    <w:rsid w:val="00344043"/>
    <w:pPr>
      <w:numPr>
        <w:numId w:val="8"/>
      </w:numPr>
      <w:contextualSpacing/>
    </w:pPr>
  </w:style>
  <w:style w:type="character" w:styleId="Hyperlink">
    <w:name w:val="Hyperlink"/>
    <w:uiPriority w:val="99"/>
    <w:unhideWhenUsed/>
    <w:rsid w:val="00165FE5"/>
    <w:rPr>
      <w:color w:val="0000FF"/>
      <w:u w:val="none"/>
    </w:rPr>
  </w:style>
  <w:style w:type="character" w:styleId="FollowedHyperlink">
    <w:name w:val="FollowedHyperlink"/>
    <w:uiPriority w:val="99"/>
    <w:semiHidden/>
    <w:unhideWhenUsed/>
    <w:rsid w:val="00165FE5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ru/CEDAW/C/SLE/5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undocs.org/ru/CEDAW/C/SLE/CO/5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CEDAW/C/SLE/Q/6/Add.1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undocs.org/ru/CEDAW/C/SLE/Q/6" TargetMode="External"/><Relationship Id="rId20" Type="http://schemas.openxmlformats.org/officeDocument/2006/relationships/hyperlink" Target="http://undocs.org/ru/CEDAW/C/SLE/CO/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://undocs.org/ru/HRI/MC/2006/3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undocs.org/ru/CEDAW/C/SR.1199" TargetMode="External"/><Relationship Id="rId23" Type="http://schemas.openxmlformats.org/officeDocument/2006/relationships/hyperlink" Target="http://undocs.org/ru/CEDAW/C/SLE/CO/5" TargetMode="External"/><Relationship Id="rId10" Type="http://schemas.openxmlformats.org/officeDocument/2006/relationships/footer" Target="footer2.xml"/><Relationship Id="rId19" Type="http://schemas.openxmlformats.org/officeDocument/2006/relationships/hyperlink" Target="http://undocs.org/ru/CEDAW/C/SLE/CO/5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ru/CEDAW/C/SLE/6" TargetMode="External"/><Relationship Id="rId22" Type="http://schemas.openxmlformats.org/officeDocument/2006/relationships/hyperlink" Target="http://undocs.org/ru/CEDAW/C/SLE/CO/5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17</Pages>
  <Words>5597</Words>
  <Characters>39015</Characters>
  <Application>Microsoft Office Outlook</Application>
  <DocSecurity>4</DocSecurity>
  <Lines>709</Lines>
  <Paragraphs>200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44412</CharactersWithSpaces>
  <SharedDoc>false</SharedDoc>
  <HLinks>
    <vt:vector size="66" baseType="variant">
      <vt:variant>
        <vt:i4>2687037</vt:i4>
      </vt:variant>
      <vt:variant>
        <vt:i4>30</vt:i4>
      </vt:variant>
      <vt:variant>
        <vt:i4>0</vt:i4>
      </vt:variant>
      <vt:variant>
        <vt:i4>5</vt:i4>
      </vt:variant>
      <vt:variant>
        <vt:lpwstr>http://undocs.org/ru/HRI/MC/2006/3</vt:lpwstr>
      </vt:variant>
      <vt:variant>
        <vt:lpwstr/>
      </vt:variant>
      <vt:variant>
        <vt:i4>1441798</vt:i4>
      </vt:variant>
      <vt:variant>
        <vt:i4>27</vt:i4>
      </vt:variant>
      <vt:variant>
        <vt:i4>0</vt:i4>
      </vt:variant>
      <vt:variant>
        <vt:i4>5</vt:i4>
      </vt:variant>
      <vt:variant>
        <vt:lpwstr>http://undocs.org/ru/CEDAW/C/SLE/CO/5</vt:lpwstr>
      </vt:variant>
      <vt:variant>
        <vt:lpwstr/>
      </vt:variant>
      <vt:variant>
        <vt:i4>1441798</vt:i4>
      </vt:variant>
      <vt:variant>
        <vt:i4>24</vt:i4>
      </vt:variant>
      <vt:variant>
        <vt:i4>0</vt:i4>
      </vt:variant>
      <vt:variant>
        <vt:i4>5</vt:i4>
      </vt:variant>
      <vt:variant>
        <vt:lpwstr>http://undocs.org/ru/CEDAW/C/SLE/CO/5</vt:lpwstr>
      </vt:variant>
      <vt:variant>
        <vt:lpwstr/>
      </vt:variant>
      <vt:variant>
        <vt:i4>1441798</vt:i4>
      </vt:variant>
      <vt:variant>
        <vt:i4>21</vt:i4>
      </vt:variant>
      <vt:variant>
        <vt:i4>0</vt:i4>
      </vt:variant>
      <vt:variant>
        <vt:i4>5</vt:i4>
      </vt:variant>
      <vt:variant>
        <vt:lpwstr>http://undocs.org/ru/CEDAW/C/SLE/CO/5</vt:lpwstr>
      </vt:variant>
      <vt:variant>
        <vt:lpwstr/>
      </vt:variant>
      <vt:variant>
        <vt:i4>1441798</vt:i4>
      </vt:variant>
      <vt:variant>
        <vt:i4>18</vt:i4>
      </vt:variant>
      <vt:variant>
        <vt:i4>0</vt:i4>
      </vt:variant>
      <vt:variant>
        <vt:i4>5</vt:i4>
      </vt:variant>
      <vt:variant>
        <vt:lpwstr>http://undocs.org/ru/CEDAW/C/SLE/CO/5</vt:lpwstr>
      </vt:variant>
      <vt:variant>
        <vt:lpwstr/>
      </vt:variant>
      <vt:variant>
        <vt:i4>1441798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http://undocs.org/ru/CEDAW/C/SLE/CO/5</vt:lpwstr>
      </vt:variant>
      <vt:variant>
        <vt:lpwstr/>
      </vt:variant>
      <vt:variant>
        <vt:i4>7274601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http://undocs.org/ru/CEDAW/C/SLE/5</vt:lpwstr>
      </vt:variant>
      <vt:variant>
        <vt:lpwstr/>
      </vt:variant>
      <vt:variant>
        <vt:i4>2687011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http://undocs.org/ru/CEDAW/C/SLE/Q/6/Add.1</vt:lpwstr>
      </vt:variant>
      <vt:variant>
        <vt:lpwstr/>
      </vt:variant>
      <vt:variant>
        <vt:i4>1900614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http://undocs.org/ru/CEDAW/C/SLE/Q/6</vt:lpwstr>
      </vt:variant>
      <vt:variant>
        <vt:lpwstr/>
      </vt:variant>
      <vt:variant>
        <vt:i4>1638480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http://undocs.org/ru/CEDAW/C/SR.1199</vt:lpwstr>
      </vt:variant>
      <vt:variant>
        <vt:lpwstr/>
      </vt:variant>
      <vt:variant>
        <vt:i4>7077993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http://undocs.org/ru/CEDAW/C/SLE/6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Tatiana Chistova</dc:creator>
  <cp:keywords/>
  <cp:lastModifiedBy>Tatiana Chistova</cp:lastModifiedBy>
  <cp:revision>5</cp:revision>
  <dcterms:created xsi:type="dcterms:W3CDTF">2014-04-03T07:39:00Z</dcterms:created>
  <dcterms:modified xsi:type="dcterms:W3CDTF">2014-04-03T07:39:00Z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1400607</vt:lpwstr>
  </property>
  <property fmtid="{D5CDD505-2E9C-101B-9397-08002B2CF9AE}" pid="3" name="ODSRefJobNo">
    <vt:lpwstr>14R</vt:lpwstr>
  </property>
  <property fmtid="{D5CDD505-2E9C-101B-9397-08002B2CF9AE}" pid="4" name="Symbol1">
    <vt:lpwstr>CEDAW/C/SLE/CO/6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3 April 2014</vt:lpwstr>
  </property>
  <property fmtid="{D5CDD505-2E9C-101B-9397-08002B2CF9AE}" pid="9" name="Original">
    <vt:lpwstr>English</vt:lpwstr>
  </property>
  <property fmtid="{D5CDD505-2E9C-101B-9397-08002B2CF9AE}" pid="10" name="Release Date">
    <vt:lpwstr>030414</vt:lpwstr>
  </property>
  <property fmtid="{D5CDD505-2E9C-101B-9397-08002B2CF9AE}" pid="11" name="Comment">
    <vt:lpwstr/>
  </property>
  <property fmtid="{D5CDD505-2E9C-101B-9397-08002B2CF9AE}" pid="12" name="DraftPages">
    <vt:lpwstr> 17</vt:lpwstr>
  </property>
  <property fmtid="{D5CDD505-2E9C-101B-9397-08002B2CF9AE}" pid="13" name="Operator">
    <vt:lpwstr>chistova</vt:lpwstr>
  </property>
</Properties>
</file>