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21C4D9F" w14:textId="77777777" w:rsidTr="00BC3629">
        <w:trPr>
          <w:trHeight w:hRule="exact" w:val="851"/>
        </w:trPr>
        <w:tc>
          <w:tcPr>
            <w:tcW w:w="142" w:type="dxa"/>
            <w:tcBorders>
              <w:bottom w:val="single" w:sz="4" w:space="0" w:color="auto"/>
            </w:tcBorders>
          </w:tcPr>
          <w:p w14:paraId="38E3E08B" w14:textId="77777777" w:rsidR="002D5AAC" w:rsidRDefault="002D5AAC" w:rsidP="002F54F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929FBAE"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AA90B1D" w14:textId="127CB203" w:rsidR="002D5AAC" w:rsidRDefault="002F54F0" w:rsidP="002F54F0">
            <w:pPr>
              <w:jc w:val="right"/>
            </w:pPr>
            <w:r w:rsidRPr="002F54F0">
              <w:rPr>
                <w:sz w:val="40"/>
              </w:rPr>
              <w:t>CCPR</w:t>
            </w:r>
            <w:r w:rsidRPr="002F54F0">
              <w:t>/C/135/2/Add.3</w:t>
            </w:r>
          </w:p>
        </w:tc>
      </w:tr>
      <w:tr w:rsidR="002D5AAC" w:rsidRPr="007D5BC7" w14:paraId="10136830" w14:textId="77777777" w:rsidTr="00BC3629">
        <w:trPr>
          <w:trHeight w:hRule="exact" w:val="2835"/>
        </w:trPr>
        <w:tc>
          <w:tcPr>
            <w:tcW w:w="1280" w:type="dxa"/>
            <w:gridSpan w:val="2"/>
            <w:tcBorders>
              <w:top w:val="single" w:sz="4" w:space="0" w:color="auto"/>
              <w:bottom w:val="single" w:sz="12" w:space="0" w:color="auto"/>
            </w:tcBorders>
          </w:tcPr>
          <w:p w14:paraId="52DAB0CA" w14:textId="77777777" w:rsidR="002D5AAC" w:rsidRDefault="002E5067" w:rsidP="00BC3629">
            <w:pPr>
              <w:spacing w:before="120"/>
              <w:jc w:val="center"/>
            </w:pPr>
            <w:r>
              <w:rPr>
                <w:noProof/>
                <w:lang w:val="fr-CH" w:eastAsia="fr-CH"/>
              </w:rPr>
              <w:drawing>
                <wp:inline distT="0" distB="0" distL="0" distR="0" wp14:anchorId="7120D4D9" wp14:editId="1392824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BD2208"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9F3A5DA" w14:textId="77777777" w:rsidR="002D5AAC" w:rsidRPr="00E427BE" w:rsidRDefault="002F54F0" w:rsidP="00BC3629">
            <w:pPr>
              <w:spacing w:before="240"/>
              <w:rPr>
                <w:lang w:val="en-US"/>
              </w:rPr>
            </w:pPr>
            <w:r w:rsidRPr="00E427BE">
              <w:rPr>
                <w:lang w:val="en-US"/>
              </w:rPr>
              <w:t>Distr.: General</w:t>
            </w:r>
          </w:p>
          <w:p w14:paraId="505AE84E" w14:textId="77777777" w:rsidR="002F54F0" w:rsidRPr="00E427BE" w:rsidRDefault="002F54F0" w:rsidP="002F54F0">
            <w:pPr>
              <w:spacing w:line="240" w:lineRule="exact"/>
              <w:rPr>
                <w:lang w:val="en-US"/>
              </w:rPr>
            </w:pPr>
            <w:r w:rsidRPr="00E427BE">
              <w:rPr>
                <w:lang w:val="en-US"/>
              </w:rPr>
              <w:t>20 September 2022</w:t>
            </w:r>
          </w:p>
          <w:p w14:paraId="347F350B" w14:textId="77777777" w:rsidR="002F54F0" w:rsidRPr="00E427BE" w:rsidRDefault="002F54F0" w:rsidP="002F54F0">
            <w:pPr>
              <w:spacing w:line="240" w:lineRule="exact"/>
              <w:rPr>
                <w:lang w:val="en-US"/>
              </w:rPr>
            </w:pPr>
            <w:r w:rsidRPr="00E427BE">
              <w:rPr>
                <w:lang w:val="en-US"/>
              </w:rPr>
              <w:t>Russian</w:t>
            </w:r>
          </w:p>
          <w:p w14:paraId="34CF4EEB" w14:textId="4277ECFC" w:rsidR="002F54F0" w:rsidRPr="00E427BE" w:rsidRDefault="002F54F0" w:rsidP="002F54F0">
            <w:pPr>
              <w:spacing w:line="240" w:lineRule="exact"/>
              <w:rPr>
                <w:lang w:val="en-US"/>
              </w:rPr>
            </w:pPr>
            <w:r w:rsidRPr="00E427BE">
              <w:rPr>
                <w:lang w:val="en-US"/>
              </w:rPr>
              <w:t>Original: English</w:t>
            </w:r>
          </w:p>
        </w:tc>
      </w:tr>
    </w:tbl>
    <w:p w14:paraId="41999B25" w14:textId="77777777" w:rsidR="002F54F0" w:rsidRPr="002F54F0" w:rsidRDefault="002F54F0" w:rsidP="002F54F0">
      <w:pPr>
        <w:spacing w:before="120"/>
        <w:rPr>
          <w:b/>
          <w:sz w:val="24"/>
          <w:szCs w:val="24"/>
        </w:rPr>
      </w:pPr>
      <w:r w:rsidRPr="002F54F0">
        <w:rPr>
          <w:b/>
          <w:bCs/>
          <w:sz w:val="24"/>
          <w:szCs w:val="24"/>
        </w:rPr>
        <w:t>Комитет по правам человека</w:t>
      </w:r>
    </w:p>
    <w:p w14:paraId="3CE1BEC5" w14:textId="6DB5A4AB" w:rsidR="002F54F0" w:rsidRPr="00BC0BE9" w:rsidRDefault="002F54F0" w:rsidP="002F54F0">
      <w:pPr>
        <w:pStyle w:val="HChG"/>
      </w:pPr>
      <w:r>
        <w:tab/>
      </w:r>
      <w:r>
        <w:tab/>
      </w:r>
      <w:r>
        <w:rPr>
          <w:bCs/>
        </w:rPr>
        <w:t xml:space="preserve">Доклад о последующей деятельности в связи </w:t>
      </w:r>
      <w:r>
        <w:rPr>
          <w:bCs/>
        </w:rPr>
        <w:br/>
        <w:t xml:space="preserve">с заключительными замечаниями Комитета </w:t>
      </w:r>
      <w:r w:rsidR="00E22183">
        <w:rPr>
          <w:bCs/>
        </w:rPr>
        <w:br/>
      </w:r>
      <w:r>
        <w:rPr>
          <w:bCs/>
        </w:rPr>
        <w:t>по правам человека</w:t>
      </w:r>
      <w:r w:rsidRPr="007F73B0">
        <w:rPr>
          <w:b w:val="0"/>
          <w:bCs/>
          <w:sz w:val="20"/>
        </w:rPr>
        <w:footnoteReference w:customMarkFollows="1" w:id="1"/>
        <w:t>*</w:t>
      </w:r>
      <w:bookmarkStart w:id="0" w:name="_Toc506807534"/>
      <w:bookmarkEnd w:id="0"/>
    </w:p>
    <w:p w14:paraId="3B606DB9" w14:textId="77777777" w:rsidR="002F54F0" w:rsidRPr="00BC0BE9" w:rsidRDefault="002F54F0" w:rsidP="002F54F0">
      <w:pPr>
        <w:pStyle w:val="H23G"/>
      </w:pPr>
      <w:r>
        <w:tab/>
      </w:r>
      <w:r>
        <w:tab/>
      </w:r>
      <w:r>
        <w:rPr>
          <w:bCs/>
        </w:rPr>
        <w:t>Добавление</w:t>
      </w:r>
    </w:p>
    <w:p w14:paraId="7D5E2A18" w14:textId="195CE52D" w:rsidR="002F54F0" w:rsidRDefault="002F54F0" w:rsidP="002F54F0">
      <w:pPr>
        <w:pStyle w:val="H1G"/>
        <w:rPr>
          <w:bCs/>
        </w:rPr>
      </w:pPr>
      <w:r>
        <w:tab/>
      </w:r>
      <w:r>
        <w:tab/>
      </w:r>
      <w:r>
        <w:rPr>
          <w:bCs/>
        </w:rPr>
        <w:t xml:space="preserve">Оценка информации о последующих мерах в связи </w:t>
      </w:r>
      <w:r>
        <w:rPr>
          <w:bCs/>
        </w:rPr>
        <w:br/>
        <w:t>с заключительными замечаниями по Литве</w:t>
      </w:r>
    </w:p>
    <w:tbl>
      <w:tblPr>
        <w:tblW w:w="7391" w:type="dxa"/>
        <w:tblInd w:w="1120" w:type="dxa"/>
        <w:tblLayout w:type="fixed"/>
        <w:tblCellMar>
          <w:left w:w="0" w:type="dxa"/>
          <w:right w:w="0" w:type="dxa"/>
        </w:tblCellMar>
        <w:tblLook w:val="01E0" w:firstRow="1" w:lastRow="1" w:firstColumn="1" w:lastColumn="1" w:noHBand="0" w:noVBand="0"/>
      </w:tblPr>
      <w:tblGrid>
        <w:gridCol w:w="3318"/>
        <w:gridCol w:w="4073"/>
      </w:tblGrid>
      <w:tr w:rsidR="002F54F0" w:rsidRPr="0064331C" w14:paraId="57C0EA5C" w14:textId="77777777" w:rsidTr="00254281">
        <w:tc>
          <w:tcPr>
            <w:tcW w:w="3318" w:type="dxa"/>
            <w:hideMark/>
          </w:tcPr>
          <w:p w14:paraId="07C54193" w14:textId="501D84E7" w:rsidR="002F54F0" w:rsidRPr="002F54F0" w:rsidRDefault="002F54F0">
            <w:pPr>
              <w:spacing w:after="120"/>
              <w:ind w:left="35"/>
              <w:rPr>
                <w:i/>
                <w:spacing w:val="4"/>
                <w:w w:val="103"/>
                <w:kern w:val="14"/>
              </w:rPr>
            </w:pPr>
            <w:r>
              <w:rPr>
                <w:i/>
                <w:iCs/>
              </w:rPr>
              <w:t xml:space="preserve">Заключительные замечания </w:t>
            </w:r>
            <w:r>
              <w:rPr>
                <w:i/>
                <w:iCs/>
              </w:rPr>
              <w:br/>
              <w:t xml:space="preserve">(сто двадцать </w:t>
            </w:r>
            <w:r w:rsidR="00E22183">
              <w:rPr>
                <w:i/>
                <w:iCs/>
              </w:rPr>
              <w:t>третья</w:t>
            </w:r>
            <w:r>
              <w:rPr>
                <w:i/>
                <w:iCs/>
              </w:rPr>
              <w:t xml:space="preserve"> сессия)</w:t>
            </w:r>
            <w:r w:rsidRPr="002F54F0">
              <w:rPr>
                <w:i/>
                <w:iCs/>
              </w:rPr>
              <w:t>:</w:t>
            </w:r>
          </w:p>
        </w:tc>
        <w:tc>
          <w:tcPr>
            <w:tcW w:w="4073" w:type="dxa"/>
          </w:tcPr>
          <w:p w14:paraId="3571546F" w14:textId="36107F27" w:rsidR="002F54F0" w:rsidRPr="0064331C" w:rsidRDefault="00963BB8">
            <w:pPr>
              <w:spacing w:after="120"/>
            </w:pPr>
            <w:hyperlink r:id="rId8" w:history="1">
              <w:r w:rsidR="002F54F0" w:rsidRPr="002F54F0">
                <w:rPr>
                  <w:rStyle w:val="af1"/>
                </w:rPr>
                <w:t>CCPR/C/LTU/CO/4</w:t>
              </w:r>
            </w:hyperlink>
            <w:r w:rsidR="002F54F0">
              <w:t>, 20 июля 2018 года</w:t>
            </w:r>
          </w:p>
        </w:tc>
      </w:tr>
      <w:tr w:rsidR="002F54F0" w:rsidRPr="0064331C" w14:paraId="2FF1E16B" w14:textId="77777777" w:rsidTr="00254281">
        <w:tc>
          <w:tcPr>
            <w:tcW w:w="3318" w:type="dxa"/>
          </w:tcPr>
          <w:p w14:paraId="1EEBA291" w14:textId="7B55883B" w:rsidR="002F54F0" w:rsidRPr="0064331C" w:rsidRDefault="002F54F0">
            <w:pPr>
              <w:spacing w:after="120"/>
              <w:ind w:left="35"/>
              <w:rPr>
                <w:i/>
              </w:rPr>
            </w:pPr>
            <w:r>
              <w:rPr>
                <w:i/>
                <w:iCs/>
              </w:rPr>
              <w:t>Пункты, предусматривающие последующую деятельность:</w:t>
            </w:r>
          </w:p>
        </w:tc>
        <w:tc>
          <w:tcPr>
            <w:tcW w:w="4073" w:type="dxa"/>
          </w:tcPr>
          <w:p w14:paraId="50C851AB" w14:textId="5E8C80DA" w:rsidR="002F54F0" w:rsidRPr="0064331C" w:rsidRDefault="002F54F0">
            <w:pPr>
              <w:spacing w:after="120"/>
            </w:pPr>
            <w:r>
              <w:t>10, 20 и 22</w:t>
            </w:r>
          </w:p>
        </w:tc>
      </w:tr>
      <w:tr w:rsidR="002F54F0" w:rsidRPr="0064331C" w14:paraId="3309BF7A" w14:textId="77777777" w:rsidTr="00254281">
        <w:tc>
          <w:tcPr>
            <w:tcW w:w="3318" w:type="dxa"/>
          </w:tcPr>
          <w:p w14:paraId="6D61869B" w14:textId="672E7A0B" w:rsidR="002F54F0" w:rsidRPr="0064331C" w:rsidRDefault="002F54F0">
            <w:pPr>
              <w:spacing w:after="120"/>
              <w:ind w:left="35"/>
              <w:rPr>
                <w:i/>
              </w:rPr>
            </w:pPr>
            <w:r>
              <w:rPr>
                <w:i/>
                <w:iCs/>
              </w:rPr>
              <w:t xml:space="preserve">Информация, полученная </w:t>
            </w:r>
            <w:r>
              <w:rPr>
                <w:i/>
                <w:iCs/>
              </w:rPr>
              <w:br/>
              <w:t>от государства-участника:</w:t>
            </w:r>
          </w:p>
        </w:tc>
        <w:tc>
          <w:tcPr>
            <w:tcW w:w="4073" w:type="dxa"/>
          </w:tcPr>
          <w:p w14:paraId="5175E61D" w14:textId="0F35701D" w:rsidR="002F54F0" w:rsidRPr="0064331C" w:rsidRDefault="00963BB8">
            <w:pPr>
              <w:spacing w:after="120"/>
            </w:pPr>
            <w:hyperlink r:id="rId9" w:history="1">
              <w:r w:rsidR="002F54F0" w:rsidRPr="002F54F0">
                <w:rPr>
                  <w:rStyle w:val="af1"/>
                </w:rPr>
                <w:t>CCPR/C/LTU/FCO/4</w:t>
              </w:r>
            </w:hyperlink>
            <w:r w:rsidR="002F54F0">
              <w:t>, 23 июня 2020 года</w:t>
            </w:r>
          </w:p>
        </w:tc>
      </w:tr>
      <w:tr w:rsidR="002F54F0" w:rsidRPr="0064331C" w14:paraId="5B353B0A" w14:textId="77777777" w:rsidTr="00254281">
        <w:tc>
          <w:tcPr>
            <w:tcW w:w="3318" w:type="dxa"/>
          </w:tcPr>
          <w:p w14:paraId="1803761A" w14:textId="0DD40EE2" w:rsidR="002F54F0" w:rsidRPr="0064331C" w:rsidRDefault="002F54F0">
            <w:pPr>
              <w:spacing w:after="120"/>
              <w:ind w:left="35"/>
              <w:rPr>
                <w:i/>
              </w:rPr>
            </w:pPr>
            <w:r>
              <w:rPr>
                <w:i/>
                <w:iCs/>
              </w:rPr>
              <w:t xml:space="preserve">Информация, полученная </w:t>
            </w:r>
            <w:r>
              <w:rPr>
                <w:i/>
                <w:iCs/>
              </w:rPr>
              <w:br/>
              <w:t>от заинтересованных сторон:</w:t>
            </w:r>
          </w:p>
        </w:tc>
        <w:tc>
          <w:tcPr>
            <w:tcW w:w="4073" w:type="dxa"/>
          </w:tcPr>
          <w:p w14:paraId="57D6818F" w14:textId="4A5CFF08" w:rsidR="002F54F0" w:rsidRPr="0064331C" w:rsidRDefault="00963BB8">
            <w:pPr>
              <w:spacing w:after="120"/>
            </w:pPr>
            <w:hyperlink r:id="rId10" w:history="1">
              <w:r w:rsidR="002F54F0" w:rsidRPr="006726F0">
                <w:rPr>
                  <w:rStyle w:val="af1"/>
                </w:rPr>
                <w:t>ЛГЛ — Национальная организация по правам ЛГБТ</w:t>
              </w:r>
            </w:hyperlink>
            <w:r w:rsidR="002F54F0">
              <w:t xml:space="preserve">, 27 июля 2020 года; </w:t>
            </w:r>
            <w:hyperlink r:id="rId11" w:history="1">
              <w:r w:rsidR="002F54F0" w:rsidRPr="002F54F0">
                <w:rPr>
                  <w:rStyle w:val="af1"/>
                </w:rPr>
                <w:t>Служба Контролера по равным возможностям</w:t>
              </w:r>
            </w:hyperlink>
            <w:r w:rsidR="002F54F0">
              <w:t>, 28 июля 2020 года</w:t>
            </w:r>
          </w:p>
        </w:tc>
      </w:tr>
      <w:tr w:rsidR="002F54F0" w:rsidRPr="0064331C" w14:paraId="40FBCFC4" w14:textId="77777777" w:rsidTr="00254281">
        <w:tc>
          <w:tcPr>
            <w:tcW w:w="3318" w:type="dxa"/>
          </w:tcPr>
          <w:p w14:paraId="2426E4A6" w14:textId="17807101" w:rsidR="002F54F0" w:rsidRPr="0064331C" w:rsidRDefault="002F54F0">
            <w:pPr>
              <w:spacing w:after="120"/>
              <w:ind w:left="35"/>
              <w:rPr>
                <w:i/>
              </w:rPr>
            </w:pPr>
            <w:r>
              <w:rPr>
                <w:i/>
                <w:iCs/>
              </w:rPr>
              <w:t>Оценка Комитета:</w:t>
            </w:r>
          </w:p>
        </w:tc>
        <w:tc>
          <w:tcPr>
            <w:tcW w:w="4073" w:type="dxa"/>
          </w:tcPr>
          <w:p w14:paraId="031E6B02" w14:textId="494FB7ED" w:rsidR="002F54F0" w:rsidRPr="0064331C" w:rsidRDefault="002F54F0" w:rsidP="002F54F0">
            <w:pPr>
              <w:spacing w:after="120"/>
            </w:pPr>
            <w:r>
              <w:t>10 [B], 20 [B] [A] [C] и 22 [B] [C]</w:t>
            </w:r>
          </w:p>
        </w:tc>
      </w:tr>
    </w:tbl>
    <w:p w14:paraId="5FEF9166" w14:textId="124FE7DA" w:rsidR="002F54F0" w:rsidRPr="00BC0BE9" w:rsidRDefault="002F54F0" w:rsidP="002F54F0">
      <w:pPr>
        <w:pStyle w:val="H1G"/>
      </w:pPr>
      <w:r>
        <w:tab/>
      </w:r>
      <w:r>
        <w:tab/>
      </w:r>
      <w:r>
        <w:tab/>
      </w:r>
      <w:r>
        <w:rPr>
          <w:bCs/>
        </w:rPr>
        <w:t xml:space="preserve">Пункт 10: Дискриминация по признаку сексуальной ориентации </w:t>
      </w:r>
      <w:r w:rsidR="00E22183">
        <w:rPr>
          <w:bCs/>
        </w:rPr>
        <w:br/>
      </w:r>
      <w:r>
        <w:rPr>
          <w:bCs/>
        </w:rPr>
        <w:t>и гендерной идентичности</w:t>
      </w:r>
      <w:r w:rsidRPr="007F73B0">
        <w:rPr>
          <w:rStyle w:val="aa"/>
          <w:b w:val="0"/>
          <w:bCs/>
        </w:rPr>
        <w:footnoteReference w:customMarkFollows="1" w:id="2"/>
        <w:t>1</w:t>
      </w:r>
    </w:p>
    <w:p w14:paraId="04A9EE65" w14:textId="77777777" w:rsidR="002F54F0" w:rsidRPr="00BC0BE9" w:rsidRDefault="002F54F0" w:rsidP="002F54F0">
      <w:pPr>
        <w:pStyle w:val="H23G"/>
      </w:pPr>
      <w:r>
        <w:tab/>
      </w:r>
      <w:r>
        <w:tab/>
      </w:r>
      <w:r>
        <w:rPr>
          <w:bCs/>
        </w:rPr>
        <w:t>Резюме информации, полученной от государства-участника</w:t>
      </w:r>
    </w:p>
    <w:p w14:paraId="062B413B" w14:textId="6F7B12A7" w:rsidR="002F54F0" w:rsidRPr="00BC0BE9" w:rsidRDefault="002F54F0" w:rsidP="002F54F0">
      <w:pPr>
        <w:pStyle w:val="SingleTxtG"/>
      </w:pPr>
      <w:r>
        <w:tab/>
        <w:t>Закон о равных возможностях и Трудовой кодекс запрещают дискриминацию, в том числе по признаку сексуальной ориентации. В своем решении от 11 января 2019</w:t>
      </w:r>
      <w:r w:rsidR="00E22183">
        <w:rPr>
          <w:lang w:val="en-US"/>
        </w:rPr>
        <w:t> </w:t>
      </w:r>
      <w:r>
        <w:t xml:space="preserve">года относительно воссоединения семьи однополой пары, чей союз был заключен за границей, Конституционный суд заявил, что статья 29 Конституции запрещает дискриминацию по признаку гендерной идентичности и/или сексуальной ориентации и что в соответствии с Конституцией понятие семьи является нейтральным с гендерной точки зрения. В 2019 и 2020 годах министр юстиции и министр здравоохранения исключили из законодательных актов положения, которые могли дискриминировать трансгендерных людей. В 2017 году рабочая группа, созданная Министерством юстиции, подготовила законопроект о признании гендерной идентичности, предусматривающий также административную процедуру изменения </w:t>
      </w:r>
      <w:r>
        <w:lastRenderedPageBreak/>
        <w:t xml:space="preserve">записей в актах гражданского состояния. План действий по поощрению недискриминации (2017–2020 годы) по-прежнему направлен на снижение дискриминации по всем признакам, включая </w:t>
      </w:r>
      <w:r w:rsidRPr="00211089">
        <w:t xml:space="preserve">гендер </w:t>
      </w:r>
      <w:r>
        <w:t xml:space="preserve">и сексуальную ориентацию. </w:t>
      </w:r>
      <w:r w:rsidR="00E22183">
        <w:br/>
      </w:r>
      <w:r>
        <w:t>По вопросу дискриминации были проведены соответствующие исследования, информационно-просветительские к</w:t>
      </w:r>
      <w:r w:rsidR="00450D06">
        <w:t>а</w:t>
      </w:r>
      <w:r>
        <w:t xml:space="preserve">мпании и учебные курсы для сотрудников полиции, социальных работников и молодежи. В 2019 году </w:t>
      </w:r>
      <w:r w:rsidRPr="000B4A28">
        <w:t xml:space="preserve">Служба </w:t>
      </w:r>
      <w:r>
        <w:t>К</w:t>
      </w:r>
      <w:r w:rsidRPr="000B4A28">
        <w:t>онтролера по равным возможностям</w:t>
      </w:r>
      <w:r>
        <w:t xml:space="preserve"> рассмотрела положение трансгендерных людей.</w:t>
      </w:r>
    </w:p>
    <w:p w14:paraId="4472322D" w14:textId="77777777" w:rsidR="002F54F0" w:rsidRPr="00BC0BE9" w:rsidRDefault="002F54F0" w:rsidP="002F54F0">
      <w:pPr>
        <w:pStyle w:val="H23G"/>
      </w:pPr>
      <w:r>
        <w:tab/>
      </w:r>
      <w:r>
        <w:tab/>
      </w:r>
      <w:r>
        <w:rPr>
          <w:bCs/>
        </w:rPr>
        <w:t>Резюме информации, полученной от заинтересованных сторон</w:t>
      </w:r>
    </w:p>
    <w:p w14:paraId="6BFBB599" w14:textId="77777777" w:rsidR="002F54F0" w:rsidRPr="00BC0BE9" w:rsidRDefault="002F54F0" w:rsidP="002F54F0">
      <w:pPr>
        <w:pStyle w:val="H4G"/>
      </w:pPr>
      <w:r>
        <w:tab/>
      </w:r>
      <w:r>
        <w:tab/>
      </w:r>
      <w:r w:rsidRPr="00020CC6">
        <w:t>Служба Контролера по равным возможностям</w:t>
      </w:r>
    </w:p>
    <w:p w14:paraId="327292D6" w14:textId="015FC40E" w:rsidR="002F54F0" w:rsidRPr="00BC0BE9" w:rsidRDefault="002F54F0" w:rsidP="002F54F0">
      <w:pPr>
        <w:pStyle w:val="SingleTxtG"/>
      </w:pPr>
      <w:r>
        <w:tab/>
        <w:t>Хотя 30 мая 2019 года парламентский Комитет по правам человека предложил отменить поправку к Закону о равном обращении, восстановив прежнее определение членов семьи, 22 января 2020 года правительство предложило отменить это определение и включить в определение членов семьи зарегистрированных партнеров. В настоящее время этот законопроект находится на рассмотрении в парламентских комитетах.</w:t>
      </w:r>
    </w:p>
    <w:p w14:paraId="7077F714" w14:textId="521CB5CC" w:rsidR="002F54F0" w:rsidRPr="00BC0BE9" w:rsidRDefault="002F54F0" w:rsidP="002F54F0">
      <w:pPr>
        <w:pStyle w:val="SingleTxtG"/>
      </w:pPr>
      <w:r>
        <w:tab/>
        <w:t xml:space="preserve">Дискриминационные последствия обусловлены положениями Закона об укреплении семьи, Закона об основах защиты прав ребенка с внесенными в него поправками и поправками к Гражданскому кодексу, в соответствии с которыми вводится понятие </w:t>
      </w:r>
      <w:r w:rsidR="00E22183" w:rsidRPr="00E22183">
        <w:t>«</w:t>
      </w:r>
      <w:r>
        <w:t>взаимодополняемость материнства и отцовства</w:t>
      </w:r>
      <w:r w:rsidR="00E22183" w:rsidRPr="00E22183">
        <w:t>»</w:t>
      </w:r>
      <w:r>
        <w:t>, определяемое как врожденная потребность ребенка иметь двух родителей разного пола.</w:t>
      </w:r>
    </w:p>
    <w:p w14:paraId="454EA437" w14:textId="00AFAAD2" w:rsidR="002F54F0" w:rsidRPr="00BC0BE9" w:rsidRDefault="002F54F0" w:rsidP="002F54F0">
      <w:pPr>
        <w:pStyle w:val="SingleTxtG"/>
      </w:pPr>
      <w:r>
        <w:tab/>
        <w:t xml:space="preserve">Правовая система Литвы не признает правовые категории </w:t>
      </w:r>
      <w:r w:rsidR="00E22183" w:rsidRPr="00E22183">
        <w:t>«</w:t>
      </w:r>
      <w:r>
        <w:t>гендерная идентичность</w:t>
      </w:r>
      <w:r w:rsidR="00E22183">
        <w:t>»</w:t>
      </w:r>
      <w:r>
        <w:t xml:space="preserve"> или </w:t>
      </w:r>
      <w:r w:rsidR="00E22183">
        <w:t>«</w:t>
      </w:r>
      <w:r>
        <w:t>гендерное выражение</w:t>
      </w:r>
      <w:r w:rsidR="00E22183">
        <w:t>»</w:t>
      </w:r>
      <w:r>
        <w:t>, в результате чего дискриминация трансгендерных людей не преследуется по закону. Кроме того, невключение гендерной идентичности в качестве защищаемого признака в предлагаемую поправку к Закону о равном обращении создает юридические трудности для К</w:t>
      </w:r>
      <w:r w:rsidRPr="000B4A28">
        <w:t xml:space="preserve">онтролера </w:t>
      </w:r>
      <w:r>
        <w:t>при расследовании жалоб, поданных трансгендерными людьми.</w:t>
      </w:r>
    </w:p>
    <w:p w14:paraId="74FEA5D3" w14:textId="6EB9F431" w:rsidR="002F54F0" w:rsidRPr="00BC0BE9" w:rsidRDefault="002F54F0" w:rsidP="002F54F0">
      <w:pPr>
        <w:pStyle w:val="SingleTxtG"/>
      </w:pPr>
      <w:r>
        <w:tab/>
        <w:t xml:space="preserve">Отсутствие административной процедуры юридического признания </w:t>
      </w:r>
      <w:r w:rsidRPr="00764CFE">
        <w:t>гендер</w:t>
      </w:r>
      <w:r>
        <w:t>а</w:t>
      </w:r>
      <w:r w:rsidRPr="00764CFE">
        <w:t xml:space="preserve"> </w:t>
      </w:r>
      <w:r>
        <w:t>и процедур, регулирующих медицинское обслуживание с учетом гендерной идентичности, ежедневно создает трудности для трансгендерных людей.</w:t>
      </w:r>
    </w:p>
    <w:p w14:paraId="682C734E" w14:textId="0E68A4F4" w:rsidR="002F54F0" w:rsidRPr="00BC0BE9" w:rsidRDefault="002F54F0" w:rsidP="002F54F0">
      <w:pPr>
        <w:pStyle w:val="SingleTxtG"/>
      </w:pPr>
      <w:r>
        <w:tab/>
        <w:t xml:space="preserve">В 2019 году национальный обзор положения трансгендерных людей показал, что они продолжают сталкиваться с проблемами в области защиты данных, идентификации личности, разводов и в виде увольнений с некоторых должностей на основе диагноза </w:t>
      </w:r>
      <w:r w:rsidR="00E22183">
        <w:t>«</w:t>
      </w:r>
      <w:r>
        <w:t>гендерная дисфория</w:t>
      </w:r>
      <w:r w:rsidR="00E22183">
        <w:t>»</w:t>
      </w:r>
      <w:r>
        <w:t>. Законопроект о признании гендерной идентичности был подготовлен, но не принят.</w:t>
      </w:r>
    </w:p>
    <w:p w14:paraId="0C5067A8" w14:textId="2F1C07CB" w:rsidR="002F54F0" w:rsidRPr="00BC0BE9" w:rsidRDefault="002F54F0" w:rsidP="002F54F0">
      <w:pPr>
        <w:pStyle w:val="SingleTxtG"/>
      </w:pPr>
      <w:r>
        <w:tab/>
        <w:t xml:space="preserve">В мае 2019 года были внесены изменения в законодательные положения, запрещающие трансгендерным людям работать в качестве судей, а в феврале </w:t>
      </w:r>
      <w:r>
        <w:br/>
        <w:t xml:space="preserve">2020 года </w:t>
      </w:r>
      <w:r w:rsidRPr="002F54F0">
        <w:t>—</w:t>
      </w:r>
      <w:r>
        <w:t xml:space="preserve"> в положения, касающиеся адвокатов, нотариусов и судебных приставов.</w:t>
      </w:r>
    </w:p>
    <w:p w14:paraId="03A5563A" w14:textId="39DB821B" w:rsidR="002F54F0" w:rsidRPr="00BC0BE9" w:rsidRDefault="002F54F0" w:rsidP="002F54F0">
      <w:pPr>
        <w:pStyle w:val="SingleTxtG"/>
      </w:pPr>
      <w:r>
        <w:tab/>
        <w:t>В период с 29 августа 2018 года по 27 июля 2020 года К</w:t>
      </w:r>
      <w:r w:rsidRPr="000B4A28">
        <w:t>онтролер</w:t>
      </w:r>
      <w:r>
        <w:t xml:space="preserve"> получила девять жалоб на дискриминацию по признаку сексуальной ориентации. Хотя в 2017</w:t>
      </w:r>
      <w:r w:rsidR="00E22183">
        <w:t> </w:t>
      </w:r>
      <w:r>
        <w:t>году была зарегистрирована поправка к Закону о защите несовершеннолетних от пагубного воздействия публичной информации, чтобы исключить возможность ее использования для дискриминации по признаку сексуальной ориентации, соответствующая законодательная процедура пока не начата. Большинство мер в Плане действий по поощрению недискриминации в отношении сексуальной ориентации и гендерной идентичности фрагментарны и были включены с целью реализации проектов, финансируемых Европейским союзом или Советом Европы, а не для стратегического улучшения положения лесбиянок, геев, бисексуалов и трансгендерных людей. Их воздействие не оценивается с помощью каких-либо измеримых показателей, при этом средства из государственного бюджета на финансирование таких мер не выделяются.</w:t>
      </w:r>
    </w:p>
    <w:p w14:paraId="78E99967" w14:textId="6EF92227" w:rsidR="002F54F0" w:rsidRPr="00BC0BE9" w:rsidRDefault="002F54F0" w:rsidP="002F54F0">
      <w:pPr>
        <w:pStyle w:val="H4G"/>
      </w:pPr>
      <w:r>
        <w:lastRenderedPageBreak/>
        <w:tab/>
      </w:r>
      <w:r>
        <w:tab/>
      </w:r>
      <w:r>
        <w:rPr>
          <w:iCs/>
        </w:rPr>
        <w:t xml:space="preserve">ЛГЛ </w:t>
      </w:r>
      <w:r w:rsidRPr="002F54F0">
        <w:rPr>
          <w:iCs/>
        </w:rPr>
        <w:t>—</w:t>
      </w:r>
      <w:r>
        <w:rPr>
          <w:iCs/>
        </w:rPr>
        <w:t xml:space="preserve"> Национальная организация по правам ЛГБТ</w:t>
      </w:r>
    </w:p>
    <w:p w14:paraId="34AEF64F" w14:textId="351B10F6" w:rsidR="002F54F0" w:rsidRPr="00BC0BE9" w:rsidRDefault="002F54F0" w:rsidP="002F54F0">
      <w:pPr>
        <w:pStyle w:val="SingleTxtG"/>
      </w:pPr>
      <w:r>
        <w:tab/>
        <w:t>Только 23</w:t>
      </w:r>
      <w:r>
        <w:rPr>
          <w:lang w:val="en-US"/>
        </w:rPr>
        <w:t> </w:t>
      </w:r>
      <w:r>
        <w:t xml:space="preserve">% трансгендерных людей сообщают о том, что им известно о национальных органах по вопросам равенства, и на сегодняшний день число поданных ими жалоб невелико. В предлагаемой поправке к Закону о равном обращении гендерная идентичность не включена в качестве защищаемого признака. Возможно, что существует связь между Институтом свободного общества </w:t>
      </w:r>
      <w:r w:rsidRPr="002F54F0">
        <w:t>—</w:t>
      </w:r>
      <w:r>
        <w:t xml:space="preserve"> организацией, выступающих против лесбиянок, геев, бисексуалов и трансгендерных людей, и лидерами политических партий, которые, как сообщается, работали над этой поправкой. 18 июня 2019 года парламент отклонил петицию о включении гендерной идентичности и гендерного выражения в перечень защищаемых признаков, в Трудовом кодексе и Законе о равных возможностях. Неоднократно подвергался дискриминационному толкованию и применению Закон о защите несовершеннолетних от пагубного воздействия публичной информации. </w:t>
      </w:r>
      <w:r w:rsidR="00E22183">
        <w:br/>
      </w:r>
      <w:r>
        <w:t>В законодательство не вносились никакие поправки, касающиеся прав однополых семей, при этом нет законов, определяющих гражданские союзы или устанавливающих соответствующую процедуру регистрации, несмотря на то, что гражданские союзы признаются Гражданским кодексом. Учитывая, что административные процедуры для законного изменения пола не установлены, единственным вариантом остаются судебные процедуры.</w:t>
      </w:r>
    </w:p>
    <w:p w14:paraId="372C1223" w14:textId="77777777" w:rsidR="002F54F0" w:rsidRPr="00254281" w:rsidRDefault="002F54F0" w:rsidP="00254281">
      <w:pPr>
        <w:pStyle w:val="H23G"/>
      </w:pPr>
      <w:r>
        <w:tab/>
      </w:r>
      <w:r>
        <w:tab/>
        <w:t>Оценка Комитета</w:t>
      </w:r>
    </w:p>
    <w:p w14:paraId="30C08F99" w14:textId="77777777" w:rsidR="002F54F0" w:rsidRPr="00254281" w:rsidRDefault="002F54F0" w:rsidP="00254281">
      <w:pPr>
        <w:pStyle w:val="SingleTxtG"/>
      </w:pPr>
      <w:r>
        <w:t>[B]</w:t>
      </w:r>
    </w:p>
    <w:p w14:paraId="6651B3FA" w14:textId="6EA0A972" w:rsidR="002F54F0" w:rsidRPr="00BC0BE9" w:rsidRDefault="002F54F0" w:rsidP="00254281">
      <w:pPr>
        <w:pStyle w:val="SingleTxtG"/>
      </w:pPr>
      <w:r>
        <w:tab/>
        <w:t>Отмечая выполнение Плана действий по поощрению недискриминации и отмену законодательных положений, дискриминирующих трансгендерных людей в отношении некоторых должностей, Комитет выражает сожаление по поводу отсутствия информации о мерах по предотвращению дискриминационного толкования и применения законодательства. Он повторяет свою рекомендацию и просит предоставить информацию о мерах, принятых для: a) оценки влияния Плана действий на закрепленные в Пакте права лесбиянок, геев, бисексуалов и трансгендерных людей; b) включить гендерную идентичность в качестве защищаемого признака в Закон о равном обращении; c) предупреждать и запретить дискриминационное толкование и применение Закона о защите несовершеннолетних от пагубного воздействия общественной информации.</w:t>
      </w:r>
    </w:p>
    <w:p w14:paraId="67725E07" w14:textId="24915B99" w:rsidR="002F54F0" w:rsidRPr="00BC0BE9" w:rsidRDefault="002F54F0" w:rsidP="002F54F0">
      <w:pPr>
        <w:pStyle w:val="SingleTxtG"/>
      </w:pPr>
      <w:r>
        <w:tab/>
        <w:t>Приветствуя решение Конституционного суда от 11 января 2019 года о признании союза однополой пары, заключенного за рубежом, Комитет по-прежнему обеспокоен отсутствием информации о конкретных мерах, принятых для полного признания равенства однополых пар и обеспечения административных процедур по смене пола. Он повторяет свою рекомендацию и просит предоставить информацию о статусе Закона о равном обращении в отношении определения семьи, законопроекта о признании гендерной идентичности и о мерах, принятых для определения гражданских союзов и соответствующей процедуры регистрации.</w:t>
      </w:r>
    </w:p>
    <w:p w14:paraId="298E1513" w14:textId="77777777" w:rsidR="002F54F0" w:rsidRPr="00BC0BE9" w:rsidRDefault="002F54F0" w:rsidP="002F54F0">
      <w:pPr>
        <w:pStyle w:val="H1G"/>
      </w:pPr>
      <w:r>
        <w:tab/>
      </w:r>
      <w:r>
        <w:tab/>
      </w:r>
      <w:r>
        <w:rPr>
          <w:bCs/>
        </w:rPr>
        <w:t>Пункт 20: Мигранты и просители убежища</w:t>
      </w:r>
    </w:p>
    <w:p w14:paraId="4ACB4E45" w14:textId="77777777" w:rsidR="002F54F0" w:rsidRPr="00BC0BE9" w:rsidRDefault="002F54F0" w:rsidP="002F54F0">
      <w:pPr>
        <w:pStyle w:val="H23G"/>
        <w:rPr>
          <w:rFonts w:eastAsiaTheme="minorEastAsia"/>
        </w:rPr>
      </w:pPr>
      <w:r>
        <w:tab/>
      </w:r>
      <w:r>
        <w:tab/>
      </w:r>
      <w:r>
        <w:rPr>
          <w:bCs/>
        </w:rPr>
        <w:t>Резюме информации, полученной от государства-участника</w:t>
      </w:r>
    </w:p>
    <w:p w14:paraId="74869B22" w14:textId="6A668E52" w:rsidR="002F54F0" w:rsidRPr="00BC0BE9" w:rsidRDefault="002F54F0" w:rsidP="002F54F0">
      <w:pPr>
        <w:pStyle w:val="SingleTxtG"/>
      </w:pPr>
      <w:r>
        <w:tab/>
        <w:t>a)</w:t>
      </w:r>
      <w:r>
        <w:tab/>
        <w:t xml:space="preserve">Просители убежища подвергаются задержанию только в исключительных случаях. Лица, которые могут быть задержаны в соответствии с Законом о правовом статусе иностранцев, обычно размещаются в государственном Центре регистрации иностранцев, где их свобода передвижения не ограничивается. </w:t>
      </w:r>
      <w:r>
        <w:br/>
        <w:t xml:space="preserve">В последние годы число иностранцев, подвергнутых задержанию, сократилось. </w:t>
      </w:r>
      <w:r w:rsidR="00E22183">
        <w:br/>
      </w:r>
      <w:r>
        <w:t>Все просители убежища информированы об их правах и обязанностях, при этом они имеют право на гарантированную государством юридическую помощь. Любое постановление о задержании или альтернативной форме задержания может быть обжаловано.</w:t>
      </w:r>
    </w:p>
    <w:p w14:paraId="6AFA6108" w14:textId="45E6C6A2" w:rsidR="002F54F0" w:rsidRPr="00BC0BE9" w:rsidRDefault="002F54F0" w:rsidP="002F54F0">
      <w:pPr>
        <w:pStyle w:val="SingleTxtG"/>
      </w:pPr>
      <w:r>
        <w:lastRenderedPageBreak/>
        <w:tab/>
        <w:t>b)</w:t>
      </w:r>
      <w:r>
        <w:tab/>
        <w:t>В 2019 году Центр регистрации иностранцев был отремонтирован, что увеличило его пропускную способность. Были открыты контрольно-пропускной пункт и общежитие для уязвимых просителей убежища. В 2019 году были подписаны соглашения об оказании медицинских услуг в учреждениях здравоохранения, улучшении условий приема и предоставлении социальных, юридических, переводческих, медицинских и психологических услуг. В Центре были созданы дополнительные должности для социальных работников, психологов и медицинского персонала.</w:t>
      </w:r>
    </w:p>
    <w:p w14:paraId="22696F83" w14:textId="415F0121" w:rsidR="002F54F0" w:rsidRPr="00BC0BE9" w:rsidRDefault="002F54F0" w:rsidP="002F54F0">
      <w:pPr>
        <w:pStyle w:val="SingleTxtG"/>
      </w:pPr>
      <w:r>
        <w:tab/>
        <w:t>c)</w:t>
      </w:r>
      <w:r>
        <w:tab/>
        <w:t>Заявления о предоставлении убежища, поданные в пограничных пунктах пропуска и подразделениях Государственной пограничной службы, регистрируются и направляются в Департамент миграции при Министерстве внутренних дел. Просители убежища уведомляются о праве на убежище и могут получить доступ к юридической помощи. Служба информирует Управление Верховного комиссара Организации Объединенных Наций по делам беженцев (УВКБ ООН) о просителях убежища, чтобы оно могло контролировать процедуру рассмотрения ходатайств о предоставлении убежища.</w:t>
      </w:r>
    </w:p>
    <w:p w14:paraId="41E7B4F4" w14:textId="74BB2561" w:rsidR="002F54F0" w:rsidRPr="00BC0BE9" w:rsidRDefault="002F54F0" w:rsidP="002F54F0">
      <w:pPr>
        <w:pStyle w:val="SingleTxtG"/>
      </w:pPr>
      <w:r>
        <w:tab/>
        <w:t>d)</w:t>
      </w:r>
      <w:r>
        <w:tab/>
        <w:t>Внутреннее законодательство не позволяет задерживать просителей убежища на границе на время рассмотрения их ходатайств о предоставлении убежища. В пограничных пунктах или транзитных зонах просители убежища размещаются в специально оборудованных помещениях или в других местах в соответствии с решением Департамента миграции.</w:t>
      </w:r>
    </w:p>
    <w:p w14:paraId="7115CF9A" w14:textId="4A95E4A3" w:rsidR="002F54F0" w:rsidRPr="00BC0BE9" w:rsidRDefault="002F54F0" w:rsidP="002F54F0">
      <w:pPr>
        <w:pStyle w:val="SingleTxtG"/>
      </w:pPr>
      <w:r>
        <w:tab/>
        <w:t>e)</w:t>
      </w:r>
      <w:r>
        <w:tab/>
        <w:t>В период с 2018 по 2020 год были организованы учебные курсы для сотрудников Государственной пограничной службы и государственных служащих Департамента миграции, в том числе по вопросам приема заявлений о предоставлении убежища на границе, условий приема, выявления жертв торговли людьми, информации о странах происхождения и вопросов, связанных с гендерной идентичностью и сексуальной ориентацией.</w:t>
      </w:r>
    </w:p>
    <w:p w14:paraId="6CCA346A" w14:textId="77777777" w:rsidR="002F54F0" w:rsidRPr="00BC0BE9" w:rsidRDefault="002F54F0" w:rsidP="002F54F0">
      <w:pPr>
        <w:pStyle w:val="H23G"/>
      </w:pPr>
      <w:r>
        <w:tab/>
      </w:r>
      <w:r>
        <w:tab/>
      </w:r>
      <w:r>
        <w:rPr>
          <w:bCs/>
        </w:rPr>
        <w:t>Оценка Комитета</w:t>
      </w:r>
    </w:p>
    <w:p w14:paraId="2449AEE3" w14:textId="77777777" w:rsidR="002F54F0" w:rsidRPr="00BC0BE9" w:rsidRDefault="002F54F0" w:rsidP="002F54F0">
      <w:pPr>
        <w:pStyle w:val="SingleTxtG"/>
        <w:keepNext/>
        <w:keepLines/>
      </w:pPr>
      <w:r>
        <w:t>[B]: a), c) и e)</w:t>
      </w:r>
    </w:p>
    <w:p w14:paraId="39C6EEFE" w14:textId="7371185B" w:rsidR="002F54F0" w:rsidRPr="00BC0BE9" w:rsidRDefault="002F54F0" w:rsidP="002F54F0">
      <w:pPr>
        <w:pStyle w:val="SingleTxtG"/>
        <w:keepNext/>
        <w:keepLines/>
      </w:pPr>
      <w:r>
        <w:tab/>
        <w:t>Комитет приветствует сокращение числа задержанных просителей убежища, и продолжительности их содержания под стражей. Он просит предоставить информацию об используемых альтернативах содержанию под стражей, частоте их применения и количестве судебных протестов, поданных в отношении содержания под стражей просителей убежища, включая их результаты, за рассматриваемый период.</w:t>
      </w:r>
    </w:p>
    <w:p w14:paraId="1FCB466A" w14:textId="54C03E6A" w:rsidR="002F54F0" w:rsidRPr="00BC0BE9" w:rsidRDefault="002F54F0" w:rsidP="002F54F0">
      <w:pPr>
        <w:pStyle w:val="SingleTxtG"/>
      </w:pPr>
      <w:r>
        <w:tab/>
        <w:t>Принимая к сведению информацию о соглашении с УВКБ ООН и доступности юридической помощи, Комитет выражает сожаление по поводу отсутствия информации о каких-либо расследованиях, проведенных в связи с отказами во въезде и доступе к процедурам предоставления убежища. Он повторяет свою рекомендацию.</w:t>
      </w:r>
    </w:p>
    <w:p w14:paraId="54591691" w14:textId="6E273CF3" w:rsidR="002F54F0" w:rsidRPr="00BC0BE9" w:rsidRDefault="002F54F0" w:rsidP="002F54F0">
      <w:pPr>
        <w:pStyle w:val="SingleTxtG"/>
      </w:pPr>
      <w:r>
        <w:tab/>
        <w:t>Отмечая проведение учебных курсов для сотрудников Государственной пограничной службы и государственных служащих, Комитет просит предоставить информацию о частоте проведения курсов, количестве участников и о том, являются ли эти курсы обязательными.</w:t>
      </w:r>
    </w:p>
    <w:p w14:paraId="78C38C25" w14:textId="77777777" w:rsidR="002F54F0" w:rsidRPr="00BC0BE9" w:rsidRDefault="002F54F0" w:rsidP="002F54F0">
      <w:pPr>
        <w:pStyle w:val="SingleTxtG"/>
      </w:pPr>
      <w:r>
        <w:t>[A]: b)</w:t>
      </w:r>
    </w:p>
    <w:p w14:paraId="00E44E9F" w14:textId="7B6EE1A3" w:rsidR="002F54F0" w:rsidRPr="00BC0BE9" w:rsidRDefault="002F54F0" w:rsidP="002F54F0">
      <w:pPr>
        <w:pStyle w:val="SingleTxtG"/>
      </w:pPr>
      <w:r>
        <w:tab/>
        <w:t xml:space="preserve">Комитет приветствует проведение ремонта Центра регистрации иностранцев, строительство общежития для уязвимых просителей убежища и привлечение дополнительного медицинского персонала, социальных работников и психологов. </w:t>
      </w:r>
      <w:r w:rsidR="00E22183">
        <w:br/>
      </w:r>
      <w:r>
        <w:t>Он просит предоставить информацию о процедурах обеспечения доступа для просителей убежища к социальным, психологическим, реабилитационным и медицинским услугам в Центре и статистические данные о количестве получателей этих услуг за рассматриваемый период.</w:t>
      </w:r>
    </w:p>
    <w:p w14:paraId="51A8E1E2" w14:textId="77777777" w:rsidR="002F54F0" w:rsidRPr="00BC0BE9" w:rsidRDefault="002F54F0" w:rsidP="002F54F0">
      <w:pPr>
        <w:pStyle w:val="SingleTxtG"/>
        <w:pageBreakBefore/>
      </w:pPr>
      <w:r>
        <w:lastRenderedPageBreak/>
        <w:t>[C]: d)</w:t>
      </w:r>
    </w:p>
    <w:p w14:paraId="56EE76D0" w14:textId="49ED270C" w:rsidR="002F54F0" w:rsidRPr="00BC0BE9" w:rsidRDefault="002F54F0" w:rsidP="002F54F0">
      <w:pPr>
        <w:pStyle w:val="SingleTxtG"/>
      </w:pPr>
      <w:r>
        <w:tab/>
        <w:t>Комитет выражает сожаление по поводу отсутствия информации о мерах, принятых для обеспечения защиты от незаконного или произвольного задержания просителей убежища на границе и для разъяснения в Законе об иностранцах, что такие действия в отношении просителей убежища на границе представляют собой содержание под стражей</w:t>
      </w:r>
      <w:r w:rsidR="00DD0AD9">
        <w:t>,</w:t>
      </w:r>
      <w:r>
        <w:t xml:space="preserve"> и, следовательно, требует соблюдения сопутствующих процессуальных и судебных гарантий. Он повторяет свою рекомендацию.</w:t>
      </w:r>
    </w:p>
    <w:p w14:paraId="1550FB75" w14:textId="67D32219" w:rsidR="002F54F0" w:rsidRPr="00BC0BE9" w:rsidRDefault="002F54F0" w:rsidP="002F54F0">
      <w:pPr>
        <w:pStyle w:val="H1G"/>
      </w:pPr>
      <w:r>
        <w:tab/>
      </w:r>
      <w:r>
        <w:tab/>
        <w:t xml:space="preserve">Пункт 22: Лица, лишенные свободы, и условия содержания </w:t>
      </w:r>
      <w:r w:rsidR="00E22183">
        <w:br/>
      </w:r>
      <w:r>
        <w:t>под стражей</w:t>
      </w:r>
    </w:p>
    <w:p w14:paraId="5ECB6E93" w14:textId="77777777" w:rsidR="002F54F0" w:rsidRPr="00BC0BE9" w:rsidRDefault="002F54F0" w:rsidP="002F54F0">
      <w:pPr>
        <w:pStyle w:val="H23G"/>
      </w:pPr>
      <w:r>
        <w:tab/>
      </w:r>
      <w:r>
        <w:tab/>
      </w:r>
      <w:r>
        <w:rPr>
          <w:bCs/>
        </w:rPr>
        <w:t>Резюме информации, полученной от государства-участника</w:t>
      </w:r>
    </w:p>
    <w:p w14:paraId="3D5DEAA6" w14:textId="247B928C" w:rsidR="002F54F0" w:rsidRPr="00BC0BE9" w:rsidRDefault="002F54F0" w:rsidP="002F54F0">
      <w:pPr>
        <w:pStyle w:val="SingleTxtG"/>
      </w:pPr>
      <w:r>
        <w:tab/>
        <w:t>a)</w:t>
      </w:r>
      <w:r>
        <w:tab/>
        <w:t>Министерство юстиции разрабатывает поправки к Уголовно-процессуальному кодексу для улучшения законодательной базы в отношении освобождения под залог. Анализ статистических данных свидетельствует о снижении числа арестов, при этом расширились использование альтернативных мер.</w:t>
      </w:r>
    </w:p>
    <w:p w14:paraId="56FFB5B3" w14:textId="2D3EF006" w:rsidR="002F54F0" w:rsidRPr="00BC0BE9" w:rsidRDefault="002F54F0" w:rsidP="002F54F0">
      <w:pPr>
        <w:pStyle w:val="SingleTxtG"/>
      </w:pPr>
      <w:r>
        <w:tab/>
        <w:t>b)</w:t>
      </w:r>
      <w:r>
        <w:tab/>
        <w:t xml:space="preserve">Число заключенных постепенно снижается. В Уголовный кодекс, Кодекс об исполнении наказаний и Уголовно-процессуальный кодекс были внесены изменения, касающиеся альтернатив тюремному заключению и его отсрочки. </w:t>
      </w:r>
      <w:r w:rsidR="00E22183">
        <w:br/>
      </w:r>
      <w:r>
        <w:t xml:space="preserve">В соответствии с Законом об амнистии (№ XIII-1640) было помиловано примерно </w:t>
      </w:r>
      <w:r w:rsidR="00E22183">
        <w:br/>
      </w:r>
      <w:r>
        <w:t>86 человек. С 1 июля 2020 года в связи с изменениями, внесенными в Кодекс об исполнении наказаний, ускорится процесс условно-досрочного освобождения путем применения в определенных случаях решения Комиссии по условно-досрочному освобождению. Лица, отбывшие три четверти срока наказания, будут освобождены условно-досрочно.</w:t>
      </w:r>
    </w:p>
    <w:p w14:paraId="2AEA743D" w14:textId="462FD370" w:rsidR="002F54F0" w:rsidRPr="00BC0BE9" w:rsidRDefault="002F54F0" w:rsidP="002F54F0">
      <w:pPr>
        <w:pStyle w:val="SingleTxtG"/>
      </w:pPr>
      <w:r>
        <w:tab/>
        <w:t xml:space="preserve">Приказ № V-277 от 1 августа 2019 года направлен на выполнение рекомендаций Европейского комитета по предупреждению пыток и бесчеловечного или унижающего достоинство обращения и наказания. Был закрыт </w:t>
      </w:r>
      <w:proofErr w:type="spellStart"/>
      <w:r>
        <w:t>Лукишкесский</w:t>
      </w:r>
      <w:proofErr w:type="spellEnd"/>
      <w:r>
        <w:t xml:space="preserve"> следственный изолятор, при этом идет ремонт нескольких тюрем, в том числе путем переоборудования общих помещений в камеры, отвечающие требованиям в отношении минимально требуемой площади. Кроме того, будут построены новые камеры. Предусматриваются меры по поощрению заключенных к занятию какой-либо практической деятельностью.</w:t>
      </w:r>
    </w:p>
    <w:p w14:paraId="7F7A0453" w14:textId="628AE12E" w:rsidR="002F54F0" w:rsidRPr="00BC0BE9" w:rsidRDefault="002F54F0" w:rsidP="002F54F0">
      <w:pPr>
        <w:pStyle w:val="SingleTxtG"/>
      </w:pPr>
      <w:r>
        <w:tab/>
        <w:t xml:space="preserve">Для заключенных, проходящих реабилитацию, было создано четыре реабилитационных центра. По состоянию на 28 апреля 2020 года в одном исправительном учреждении в блоке матери и ребенка проживали пять женщин и </w:t>
      </w:r>
      <w:r w:rsidR="00E22183">
        <w:br/>
      </w:r>
      <w:r>
        <w:t>пять детей, что позволило снизить социальную изоляцию детей осужденных женщин и активизировать процесс их социальной реабилитации. Поправка к статье 90 Кодекса об исполнении наказаний позволяет лицам, осужденным за менее тяжкие преступления, отбывать наказание в колониях открытого типа. Поправки к Уголовному кодексу 2019 года допускают замену пожизненного лишения свободы на лишение свободы на определенный срок и условно-досрочное освобождение в случае такой замены.</w:t>
      </w:r>
    </w:p>
    <w:p w14:paraId="0704DEE4" w14:textId="3144BD3A" w:rsidR="002F54F0" w:rsidRPr="00BC0BE9" w:rsidRDefault="002F54F0" w:rsidP="002F54F0">
      <w:pPr>
        <w:pStyle w:val="SingleTxtG"/>
      </w:pPr>
      <w:r>
        <w:tab/>
        <w:t>С 2019 года в больнице Департамента тюрем предоставляются первичные амбулаторные медицинские услуги, что позволяет обеспечить независимость медицинского персонала и организовать адекватное лечение. В соответствии с поправками к закону о страховании система государственного медицинского страхования была распространена и на заключенных. Усовершенствована процедура контроля качества питания в местах лишения свободы.</w:t>
      </w:r>
    </w:p>
    <w:p w14:paraId="60E77252" w14:textId="56D33399" w:rsidR="002F54F0" w:rsidRPr="00BC0BE9" w:rsidRDefault="002F54F0" w:rsidP="002F54F0">
      <w:pPr>
        <w:pStyle w:val="SingleTxtG"/>
      </w:pPr>
      <w:r>
        <w:tab/>
        <w:t>c)</w:t>
      </w:r>
      <w:r>
        <w:tab/>
        <w:t xml:space="preserve">До сотрудников и руководителей учреждений </w:t>
      </w:r>
      <w:r w:rsidRPr="00B6534E">
        <w:t>содержани</w:t>
      </w:r>
      <w:r>
        <w:t>я</w:t>
      </w:r>
      <w:r w:rsidRPr="00B6534E">
        <w:t xml:space="preserve"> под стражей </w:t>
      </w:r>
      <w:r>
        <w:t xml:space="preserve">регулярно доводится информация о правах заключенных. В случае уведомления сотрудниками властей о применении ими силы проводятся проверка соответствующих обстоятельств и расследование любых признаков преступных действий. </w:t>
      </w:r>
      <w:r>
        <w:br/>
        <w:t xml:space="preserve">О предполагаемых нарушениях в Департаменте тюрем можно сообщить по </w:t>
      </w:r>
      <w:r w:rsidR="00E22183">
        <w:t>«</w:t>
      </w:r>
      <w:r>
        <w:t>горячей линии</w:t>
      </w:r>
      <w:r w:rsidR="00E22183">
        <w:t>»</w:t>
      </w:r>
      <w:r>
        <w:t xml:space="preserve"> или по электронной почте. Директор Департамента тюрем утвердил несколько </w:t>
      </w:r>
      <w:r>
        <w:lastRenderedPageBreak/>
        <w:t xml:space="preserve">приказов, касающихся прав и обязанностей сотрудников. В 2018 году было проведено пять досудебных расследований в отношении предполагаемых действий сотрудников учреждений </w:t>
      </w:r>
      <w:r w:rsidRPr="00B6534E">
        <w:t>содержани</w:t>
      </w:r>
      <w:r>
        <w:t>я</w:t>
      </w:r>
      <w:r w:rsidRPr="00B6534E">
        <w:t xml:space="preserve"> под стражей</w:t>
      </w:r>
      <w:r>
        <w:t>, по результатам двух из которых виновные были оштрафованы. В 2019 году было проведено шесть досудебных расследований. Учебные курсы по мерам принуждения, правам человека и расследованию преступлений, совершенных государственными служащими, были организованы для прокуроров. Многие полицейские изоляторы оснащены системами дистанционного мониторинга и связи.</w:t>
      </w:r>
    </w:p>
    <w:p w14:paraId="2A19950C" w14:textId="2199C713" w:rsidR="002F54F0" w:rsidRPr="00BC0BE9" w:rsidRDefault="002F54F0" w:rsidP="002F54F0">
      <w:pPr>
        <w:pStyle w:val="SingleTxtG"/>
      </w:pPr>
      <w:r>
        <w:tab/>
        <w:t>d)</w:t>
      </w:r>
      <w:r>
        <w:tab/>
        <w:t>Новых задержанных информируют об их правах и соответствующих законах. Иностранным задержанным оказывают помощь сотрудники, говорящие на их языках, и они получают контактную информацию по их посольствам или консульствам. Соответствующие законы переведены на русский и английский языки. Задержанным гарантируется право на конфиденциальную беседу с адвокатом. Уведомление о задержании направляется соответствующему лицу в установленный срок.</w:t>
      </w:r>
    </w:p>
    <w:p w14:paraId="3277BE5C" w14:textId="2376E850" w:rsidR="002F54F0" w:rsidRPr="00BC0BE9" w:rsidRDefault="002F54F0" w:rsidP="002F54F0">
      <w:pPr>
        <w:pStyle w:val="SingleTxtG"/>
      </w:pPr>
      <w:r>
        <w:tab/>
        <w:t>Осужденные имеют право на получение мнения второго врача, имеющего такую же квалификацию. Лица, находящиеся в колониях открытого типа, блоке матери и ребенка и реабилитационных центрах, могут посещать врача по своему выбору.</w:t>
      </w:r>
    </w:p>
    <w:p w14:paraId="36CE9076" w14:textId="77777777" w:rsidR="002F54F0" w:rsidRPr="00BC0BE9" w:rsidRDefault="002F54F0" w:rsidP="002F54F0">
      <w:pPr>
        <w:pStyle w:val="H23G"/>
      </w:pPr>
      <w:r>
        <w:tab/>
      </w:r>
      <w:r>
        <w:tab/>
      </w:r>
      <w:r>
        <w:rPr>
          <w:bCs/>
        </w:rPr>
        <w:t>Оценка Комитета</w:t>
      </w:r>
    </w:p>
    <w:p w14:paraId="2D88CBD2" w14:textId="77777777" w:rsidR="002F54F0" w:rsidRPr="00BC0BE9" w:rsidRDefault="002F54F0" w:rsidP="002F54F0">
      <w:pPr>
        <w:pStyle w:val="SingleTxtG"/>
      </w:pPr>
      <w:r>
        <w:t>[B]: a) и b)</w:t>
      </w:r>
    </w:p>
    <w:p w14:paraId="73FFFFAB" w14:textId="23BB18AF" w:rsidR="002F54F0" w:rsidRPr="00BC0BE9" w:rsidRDefault="002F54F0" w:rsidP="002F54F0">
      <w:pPr>
        <w:pStyle w:val="SingleTxtG"/>
      </w:pPr>
      <w:r>
        <w:tab/>
        <w:t>Комитет приветствует предложенную поправку к Уголовно-процессуальному кодексу об освобождении под залог и более широкое использование альтернатив тюремному заключению. Он просит предоставить информацию о принятии поправки и статистические данные о количестве лиц, находящихся в предварительном заключении, и о тех, кто получил альтернативные тюремному заключению виды наказания за рассматриваемый период.</w:t>
      </w:r>
    </w:p>
    <w:p w14:paraId="3F002ECB" w14:textId="5BAEC053" w:rsidR="002F54F0" w:rsidRPr="00BC0BE9" w:rsidRDefault="002F54F0" w:rsidP="002F54F0">
      <w:pPr>
        <w:pStyle w:val="SingleTxtG"/>
      </w:pPr>
      <w:r>
        <w:tab/>
        <w:t>Комитет приветствует меры, принятые для улучшения материальных условий и решения проблемы переполненности тюрем. Он просит предоставить информацию о воздействии таких мер, в том числе о коэффициенте заполняемости тюрем и количестве условно-досрочных освобождений, предоставленных за рассматриваемый период.</w:t>
      </w:r>
    </w:p>
    <w:p w14:paraId="050FFC57" w14:textId="73A04D48" w:rsidR="002F54F0" w:rsidRPr="00BC0BE9" w:rsidRDefault="002F54F0" w:rsidP="002F54F0">
      <w:pPr>
        <w:pStyle w:val="SingleTxtG"/>
      </w:pPr>
      <w:r>
        <w:t>[C]: c) и d)</w:t>
      </w:r>
    </w:p>
    <w:p w14:paraId="515039DF" w14:textId="22ABE3E1" w:rsidR="002F54F0" w:rsidRPr="00BC0BE9" w:rsidRDefault="002F54F0" w:rsidP="002F54F0">
      <w:pPr>
        <w:pStyle w:val="SingleTxtG"/>
      </w:pPr>
      <w:r>
        <w:tab/>
        <w:t xml:space="preserve">Комитет обеспокоен тем, что по-прежнему проводится мало досудебных расследований по фактам жестокого обращения со стороны сотрудников тюрем, </w:t>
      </w:r>
      <w:r w:rsidR="00254281">
        <w:br/>
      </w:r>
      <w:r>
        <w:t xml:space="preserve">а также отсутствием информации об эффективных средствах правовой защиты, предоставленных жертвам. Он повторяет свою рекомендацию и просит предоставить статистические данные о количестве полученных за рассматриваемый период жалоб на жестокое обращение и чрезмерное применение силы в местах лишения свободы, </w:t>
      </w:r>
      <w:r w:rsidR="00E22183">
        <w:br/>
      </w:r>
      <w:r>
        <w:t>а также об их результатах.</w:t>
      </w:r>
    </w:p>
    <w:p w14:paraId="0DC8F68F" w14:textId="0B2383A1" w:rsidR="002F54F0" w:rsidRPr="00BC0BE9" w:rsidRDefault="002F54F0" w:rsidP="002F54F0">
      <w:pPr>
        <w:pStyle w:val="SingleTxtG"/>
      </w:pPr>
      <w:r>
        <w:tab/>
        <w:t>Принимая к сведению информацию о существующих гарантиях, доступных для задержанных лиц, Комитет выражает сожаление в связи с отсутствием информации о конкретных мерах, принятых после принятия заключительных замечаний для выполнения его рекомендации. Он повторяет свою рекомендацию.</w:t>
      </w:r>
    </w:p>
    <w:p w14:paraId="71A7778E" w14:textId="6CB0B357" w:rsidR="002F54F0" w:rsidRPr="00BC0BE9" w:rsidRDefault="002F54F0" w:rsidP="002F54F0">
      <w:pPr>
        <w:pStyle w:val="SingleTxtG"/>
      </w:pPr>
      <w:r>
        <w:rPr>
          <w:b/>
          <w:bCs/>
        </w:rPr>
        <w:t>Рекомендуемые действия</w:t>
      </w:r>
      <w:r>
        <w:t>: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40A277D9" w14:textId="51DCFDDA" w:rsidR="002F54F0" w:rsidRPr="00BC0BE9" w:rsidRDefault="002F54F0" w:rsidP="002F54F0">
      <w:pPr>
        <w:pStyle w:val="SingleTxtG"/>
      </w:pPr>
      <w:r>
        <w:rPr>
          <w:b/>
          <w:bCs/>
        </w:rPr>
        <w:t>Сроки представления следующего периодического доклада</w:t>
      </w:r>
      <w:r>
        <w:t>: 2027 год (страновой обзор в 2028 году в соответствии с планируемым циклом обзора).</w:t>
      </w:r>
    </w:p>
    <w:p w14:paraId="33DCA403" w14:textId="77777777" w:rsidR="002F54F0" w:rsidRPr="00BC0BE9" w:rsidRDefault="002F54F0" w:rsidP="002F54F0">
      <w:pPr>
        <w:spacing w:before="240"/>
        <w:jc w:val="center"/>
      </w:pPr>
      <w:r w:rsidRPr="00BC0BE9">
        <w:rPr>
          <w:u w:val="single"/>
        </w:rPr>
        <w:tab/>
      </w:r>
      <w:r w:rsidRPr="00BC0BE9">
        <w:rPr>
          <w:u w:val="single"/>
        </w:rPr>
        <w:tab/>
      </w:r>
      <w:r w:rsidRPr="00BC0BE9">
        <w:rPr>
          <w:u w:val="single"/>
        </w:rPr>
        <w:tab/>
      </w:r>
    </w:p>
    <w:p w14:paraId="61D5E781" w14:textId="77777777" w:rsidR="00381C24" w:rsidRPr="00BC18B2" w:rsidRDefault="00381C24" w:rsidP="0075523D"/>
    <w:sectPr w:rsidR="00381C24" w:rsidRPr="00BC18B2" w:rsidSect="002F54F0">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C021" w14:textId="77777777" w:rsidR="0013482C" w:rsidRPr="00A312BC" w:rsidRDefault="0013482C" w:rsidP="00A312BC"/>
  </w:endnote>
  <w:endnote w:type="continuationSeparator" w:id="0">
    <w:p w14:paraId="3A512738" w14:textId="77777777" w:rsidR="0013482C" w:rsidRPr="00A312BC" w:rsidRDefault="0013482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62C2" w14:textId="17ED6212" w:rsidR="002F54F0" w:rsidRPr="002F54F0" w:rsidRDefault="002F54F0">
    <w:pPr>
      <w:pStyle w:val="a8"/>
    </w:pPr>
    <w:r w:rsidRPr="002F54F0">
      <w:rPr>
        <w:b/>
        <w:sz w:val="18"/>
      </w:rPr>
      <w:fldChar w:fldCharType="begin"/>
    </w:r>
    <w:r w:rsidRPr="002F54F0">
      <w:rPr>
        <w:b/>
        <w:sz w:val="18"/>
      </w:rPr>
      <w:instrText xml:space="preserve"> PAGE  \* MERGEFORMAT </w:instrText>
    </w:r>
    <w:r w:rsidRPr="002F54F0">
      <w:rPr>
        <w:b/>
        <w:sz w:val="18"/>
      </w:rPr>
      <w:fldChar w:fldCharType="separate"/>
    </w:r>
    <w:r w:rsidRPr="002F54F0">
      <w:rPr>
        <w:b/>
        <w:noProof/>
        <w:sz w:val="18"/>
      </w:rPr>
      <w:t>2</w:t>
    </w:r>
    <w:r w:rsidRPr="002F54F0">
      <w:rPr>
        <w:b/>
        <w:sz w:val="18"/>
      </w:rPr>
      <w:fldChar w:fldCharType="end"/>
    </w:r>
    <w:r>
      <w:rPr>
        <w:b/>
        <w:sz w:val="18"/>
      </w:rPr>
      <w:tab/>
    </w:r>
    <w:r>
      <w:t>GE.22-14910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06BEF" w14:textId="305A39F8" w:rsidR="002F54F0" w:rsidRPr="002F54F0" w:rsidRDefault="002F54F0" w:rsidP="002F54F0">
    <w:pPr>
      <w:pStyle w:val="a8"/>
      <w:tabs>
        <w:tab w:val="clear" w:pos="9639"/>
        <w:tab w:val="right" w:pos="9638"/>
      </w:tabs>
      <w:rPr>
        <w:b/>
        <w:sz w:val="18"/>
      </w:rPr>
    </w:pPr>
    <w:r>
      <w:t>GE.22-14910</w:t>
    </w:r>
    <w:r>
      <w:tab/>
    </w:r>
    <w:r w:rsidRPr="002F54F0">
      <w:rPr>
        <w:b/>
        <w:sz w:val="18"/>
      </w:rPr>
      <w:fldChar w:fldCharType="begin"/>
    </w:r>
    <w:r w:rsidRPr="002F54F0">
      <w:rPr>
        <w:b/>
        <w:sz w:val="18"/>
      </w:rPr>
      <w:instrText xml:space="preserve"> PAGE  \* MERGEFORMAT </w:instrText>
    </w:r>
    <w:r w:rsidRPr="002F54F0">
      <w:rPr>
        <w:b/>
        <w:sz w:val="18"/>
      </w:rPr>
      <w:fldChar w:fldCharType="separate"/>
    </w:r>
    <w:r w:rsidRPr="002F54F0">
      <w:rPr>
        <w:b/>
        <w:noProof/>
        <w:sz w:val="18"/>
      </w:rPr>
      <w:t>3</w:t>
    </w:r>
    <w:r w:rsidRPr="002F54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29914" w14:textId="57F49EF1" w:rsidR="00042B72" w:rsidRPr="002F54F0" w:rsidRDefault="002F54F0" w:rsidP="002F54F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1EE74CA" wp14:editId="7BE445A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22-14910  (R)</w:t>
    </w:r>
    <w:r>
      <w:rPr>
        <w:noProof/>
      </w:rPr>
      <w:drawing>
        <wp:anchor distT="0" distB="0" distL="114300" distR="114300" simplePos="0" relativeHeight="251659264" behindDoc="0" locked="0" layoutInCell="1" allowOverlap="1" wp14:anchorId="2C1DBFFF" wp14:editId="05B4287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151122  221222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D3BA7" w14:textId="77777777" w:rsidR="0013482C" w:rsidRPr="001075E9" w:rsidRDefault="0013482C" w:rsidP="001075E9">
      <w:pPr>
        <w:tabs>
          <w:tab w:val="right" w:pos="2155"/>
        </w:tabs>
        <w:spacing w:after="80" w:line="240" w:lineRule="auto"/>
        <w:ind w:left="680"/>
        <w:rPr>
          <w:u w:val="single"/>
        </w:rPr>
      </w:pPr>
      <w:r>
        <w:rPr>
          <w:u w:val="single"/>
        </w:rPr>
        <w:tab/>
      </w:r>
    </w:p>
  </w:footnote>
  <w:footnote w:type="continuationSeparator" w:id="0">
    <w:p w14:paraId="56F6286B" w14:textId="77777777" w:rsidR="0013482C" w:rsidRDefault="0013482C" w:rsidP="00407B78">
      <w:pPr>
        <w:tabs>
          <w:tab w:val="right" w:pos="2155"/>
        </w:tabs>
        <w:spacing w:after="80"/>
        <w:ind w:left="680"/>
        <w:rPr>
          <w:u w:val="single"/>
        </w:rPr>
      </w:pPr>
      <w:r>
        <w:rPr>
          <w:u w:val="single"/>
        </w:rPr>
        <w:tab/>
      </w:r>
    </w:p>
  </w:footnote>
  <w:footnote w:id="1">
    <w:p w14:paraId="328CDB4F" w14:textId="42F9E680" w:rsidR="002F54F0" w:rsidRPr="00BC0BE9" w:rsidRDefault="002F54F0" w:rsidP="002F54F0">
      <w:pPr>
        <w:pStyle w:val="ad"/>
      </w:pPr>
      <w:r>
        <w:tab/>
      </w:r>
      <w:r w:rsidRPr="00E22183">
        <w:rPr>
          <w:sz w:val="20"/>
        </w:rPr>
        <w:t>*</w:t>
      </w:r>
      <w:r w:rsidRPr="00E22183">
        <w:rPr>
          <w:sz w:val="20"/>
        </w:rPr>
        <w:tab/>
      </w:r>
      <w:r>
        <w:t xml:space="preserve">Принят Комитетом на его </w:t>
      </w:r>
      <w:r w:rsidR="00E22183">
        <w:t>сто тридцать пятой</w:t>
      </w:r>
      <w:r>
        <w:t xml:space="preserve"> сессии (27 июня </w:t>
      </w:r>
      <w:r w:rsidRPr="002F54F0">
        <w:t>—</w:t>
      </w:r>
      <w:r>
        <w:t xml:space="preserve"> 27 июля 2022 года).</w:t>
      </w:r>
    </w:p>
  </w:footnote>
  <w:footnote w:id="2">
    <w:p w14:paraId="60C645D5" w14:textId="2931B2AA" w:rsidR="002F54F0" w:rsidRPr="00BC0BE9" w:rsidRDefault="002F54F0" w:rsidP="002F54F0">
      <w:pPr>
        <w:pStyle w:val="ad"/>
      </w:pPr>
      <w:r>
        <w:tab/>
      </w:r>
      <w:r>
        <w:rPr>
          <w:vertAlign w:val="superscript"/>
        </w:rPr>
        <w:t>1</w:t>
      </w:r>
      <w:r>
        <w:tab/>
        <w:t xml:space="preserve">Пункты, содержащие рекомендации Комитета, в настоящем документе не воспроизводятся </w:t>
      </w:r>
      <w:r>
        <w:br/>
        <w:t xml:space="preserve">в связи с ограничением объема, установленным в резолюции </w:t>
      </w:r>
      <w:hyperlink r:id="rId1" w:history="1">
        <w:r w:rsidRPr="002F54F0">
          <w:rPr>
            <w:rStyle w:val="af1"/>
          </w:rPr>
          <w:t>68/268</w:t>
        </w:r>
      </w:hyperlink>
      <w:r>
        <w:t xml:space="preserve"> Генеральной Ассамблеи, </w:t>
      </w:r>
      <w:r>
        <w:br/>
        <w:t>п.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51B14" w14:textId="31DF214F" w:rsidR="002F54F0" w:rsidRPr="002F54F0" w:rsidRDefault="00963BB8">
    <w:pPr>
      <w:pStyle w:val="a5"/>
    </w:pPr>
    <w:r>
      <w:fldChar w:fldCharType="begin"/>
    </w:r>
    <w:r>
      <w:instrText xml:space="preserve"> TITLE  \* MERGEFORMAT </w:instrText>
    </w:r>
    <w:r>
      <w:fldChar w:fldCharType="separate"/>
    </w:r>
    <w:r>
      <w:t>CCPR/C/135/2/Add.3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D215B" w14:textId="1CD07AF3" w:rsidR="002F54F0" w:rsidRPr="002F54F0" w:rsidRDefault="00963BB8" w:rsidP="002F54F0">
    <w:pPr>
      <w:pStyle w:val="a5"/>
      <w:jc w:val="right"/>
    </w:pPr>
    <w:r>
      <w:fldChar w:fldCharType="begin"/>
    </w:r>
    <w:r>
      <w:instrText xml:space="preserve"> TITLE  \* MERGEFORMAT </w:instrText>
    </w:r>
    <w:r>
      <w:fldChar w:fldCharType="separate"/>
    </w:r>
    <w:r>
      <w:t>CCPR/C/135/2/Add.3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82C"/>
    <w:rsid w:val="00033EE1"/>
    <w:rsid w:val="000358F2"/>
    <w:rsid w:val="00042B72"/>
    <w:rsid w:val="000558BD"/>
    <w:rsid w:val="000B57E7"/>
    <w:rsid w:val="000B6373"/>
    <w:rsid w:val="000F09DF"/>
    <w:rsid w:val="000F61B2"/>
    <w:rsid w:val="001075E9"/>
    <w:rsid w:val="0013482C"/>
    <w:rsid w:val="00180183"/>
    <w:rsid w:val="0018024D"/>
    <w:rsid w:val="0018649F"/>
    <w:rsid w:val="00196389"/>
    <w:rsid w:val="001B3EF6"/>
    <w:rsid w:val="001C7A89"/>
    <w:rsid w:val="00251CBE"/>
    <w:rsid w:val="00254281"/>
    <w:rsid w:val="00254812"/>
    <w:rsid w:val="002A2EFC"/>
    <w:rsid w:val="002C0E18"/>
    <w:rsid w:val="002D5AAC"/>
    <w:rsid w:val="002E00F0"/>
    <w:rsid w:val="002E5067"/>
    <w:rsid w:val="002F405F"/>
    <w:rsid w:val="002F54F0"/>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0D06"/>
    <w:rsid w:val="00452493"/>
    <w:rsid w:val="00454E07"/>
    <w:rsid w:val="00472C5C"/>
    <w:rsid w:val="004969B2"/>
    <w:rsid w:val="0050108D"/>
    <w:rsid w:val="00513081"/>
    <w:rsid w:val="00517901"/>
    <w:rsid w:val="00526683"/>
    <w:rsid w:val="0056680B"/>
    <w:rsid w:val="005709E0"/>
    <w:rsid w:val="00572E19"/>
    <w:rsid w:val="005961C8"/>
    <w:rsid w:val="005D7914"/>
    <w:rsid w:val="005E2B41"/>
    <w:rsid w:val="005E4A95"/>
    <w:rsid w:val="005F0B42"/>
    <w:rsid w:val="00666B97"/>
    <w:rsid w:val="006726F0"/>
    <w:rsid w:val="00681A10"/>
    <w:rsid w:val="006A1ED8"/>
    <w:rsid w:val="006C2031"/>
    <w:rsid w:val="006D461A"/>
    <w:rsid w:val="006F35EE"/>
    <w:rsid w:val="007021FF"/>
    <w:rsid w:val="00712895"/>
    <w:rsid w:val="0075523D"/>
    <w:rsid w:val="00757357"/>
    <w:rsid w:val="00787D3A"/>
    <w:rsid w:val="00791B9D"/>
    <w:rsid w:val="007D5BC7"/>
    <w:rsid w:val="00825F8D"/>
    <w:rsid w:val="00834B71"/>
    <w:rsid w:val="0086445C"/>
    <w:rsid w:val="00894693"/>
    <w:rsid w:val="008A08D7"/>
    <w:rsid w:val="008B6909"/>
    <w:rsid w:val="00906890"/>
    <w:rsid w:val="00911BE4"/>
    <w:rsid w:val="00931A71"/>
    <w:rsid w:val="00951972"/>
    <w:rsid w:val="009608F3"/>
    <w:rsid w:val="00963BB8"/>
    <w:rsid w:val="009918E2"/>
    <w:rsid w:val="009A24AC"/>
    <w:rsid w:val="009D21FD"/>
    <w:rsid w:val="00A14DA8"/>
    <w:rsid w:val="00A312BC"/>
    <w:rsid w:val="00A34D07"/>
    <w:rsid w:val="00A71432"/>
    <w:rsid w:val="00A84021"/>
    <w:rsid w:val="00A84D35"/>
    <w:rsid w:val="00A868B2"/>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94E13"/>
    <w:rsid w:val="00CA1679"/>
    <w:rsid w:val="00CB151C"/>
    <w:rsid w:val="00CD3383"/>
    <w:rsid w:val="00CE5A1A"/>
    <w:rsid w:val="00CF55F6"/>
    <w:rsid w:val="00D33D63"/>
    <w:rsid w:val="00D90028"/>
    <w:rsid w:val="00D90138"/>
    <w:rsid w:val="00D9090B"/>
    <w:rsid w:val="00DD0AD9"/>
    <w:rsid w:val="00DD78D1"/>
    <w:rsid w:val="00DE32CD"/>
    <w:rsid w:val="00DF71B9"/>
    <w:rsid w:val="00E005F7"/>
    <w:rsid w:val="00E06BEE"/>
    <w:rsid w:val="00E22183"/>
    <w:rsid w:val="00E427BE"/>
    <w:rsid w:val="00E46656"/>
    <w:rsid w:val="00E73F76"/>
    <w:rsid w:val="00EA2C9F"/>
    <w:rsid w:val="00EA420E"/>
    <w:rsid w:val="00ED0BDA"/>
    <w:rsid w:val="00EF1360"/>
    <w:rsid w:val="00EF3220"/>
    <w:rsid w:val="00F43903"/>
    <w:rsid w:val="00F94155"/>
    <w:rsid w:val="00F9783F"/>
    <w:rsid w:val="00FB5A94"/>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764E3"/>
  <w15:docId w15:val="{C71E8A2B-34C1-417C-A474-3E2EB3AF3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2F54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LTU/CO/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LTU%2f43456&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Treaties/CCPR/Shared%20Documents/LTU/INT_CCPR_NGS_LTU_43534_E.pdfhttps:/tbinternet.ohchr.org/Treaties/CCPR/Shared%20Documents/LTU/INT_CCPR_NGS_LTU_43534_E.pdf" TargetMode="External"/><Relationship Id="rId4" Type="http://schemas.openxmlformats.org/officeDocument/2006/relationships/webSettings" Target="webSettings.xml"/><Relationship Id="rId9" Type="http://schemas.openxmlformats.org/officeDocument/2006/relationships/hyperlink" Target="http://undocs.org/en/CCPR/C/LTU/F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2361</Words>
  <Characters>16696</Characters>
  <Application>Microsoft Office Word</Application>
  <DocSecurity>0</DocSecurity>
  <Lines>315</Lines>
  <Paragraphs>86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CCPR/C/135/2/Add.3</vt:lpstr>
      <vt:lpstr>A/</vt:lpstr>
      <vt:lpstr>A/</vt:lpstr>
    </vt:vector>
  </TitlesOfParts>
  <Company>DCM</Company>
  <LinksUpToDate>false</LinksUpToDate>
  <CharactersWithSpaces>18971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CCPR/C/135/2/Add.3</dc:title>
  <dc:subject/>
  <dc:creator>Elena IZOTOVA</dc:creator>
  <cp:keywords/>
  <cp:lastModifiedBy>Elena Izotova</cp:lastModifiedBy>
  <cp:revision>3</cp:revision>
  <cp:lastPrinted>2022-12-22T09:21:00Z</cp:lastPrinted>
  <dcterms:created xsi:type="dcterms:W3CDTF">2022-12-22T09:21:00Z</dcterms:created>
  <dcterms:modified xsi:type="dcterms:W3CDTF">2022-12-22T09:21:00Z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