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AD591A7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2E70CBE" w14:textId="77777777" w:rsidR="002D5AAC" w:rsidRDefault="002D5AAC" w:rsidP="00C5167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4E0B9A7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C3F1356" w14:textId="571A07AE" w:rsidR="00C51675" w:rsidRDefault="00C51675" w:rsidP="00C51675">
            <w:pPr>
              <w:jc w:val="right"/>
            </w:pPr>
            <w:r w:rsidRPr="00C51675">
              <w:rPr>
                <w:sz w:val="40"/>
              </w:rPr>
              <w:t>CERD</w:t>
            </w:r>
            <w:r>
              <w:t>/C/GC/38</w:t>
            </w:r>
            <w:r>
              <w:rPr>
                <w:rFonts w:cs="Times New Roman"/>
              </w:rPr>
              <w:t>−</w:t>
            </w:r>
            <w:r w:rsidRPr="00C51675">
              <w:rPr>
                <w:sz w:val="40"/>
              </w:rPr>
              <w:t>CMW</w:t>
            </w:r>
            <w:r>
              <w:t>/C/GC/7</w:t>
            </w:r>
          </w:p>
        </w:tc>
      </w:tr>
      <w:tr w:rsidR="002D5AAC" w:rsidRPr="00C51675" w14:paraId="1454C239" w14:textId="77777777" w:rsidTr="008B2737">
        <w:trPr>
          <w:trHeight w:hRule="exact" w:val="2711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416B1E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F61342B" wp14:editId="1F1B07A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C5DF1D" w14:textId="77777777" w:rsidR="002D5AAC" w:rsidRDefault="002B74B1" w:rsidP="00DF6F2D">
            <w:pPr>
              <w:spacing w:before="120" w:line="380" w:lineRule="exact"/>
              <w:rPr>
                <w:b/>
                <w:spacing w:val="-4"/>
                <w:sz w:val="34"/>
                <w:szCs w:val="40"/>
                <w:lang w:val="en-US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  <w:p w14:paraId="6EB72142" w14:textId="7AF80AB4" w:rsidR="00C51675" w:rsidRPr="00C51675" w:rsidRDefault="00C51675" w:rsidP="00DF6F2D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6C0128C" w14:textId="77777777" w:rsidR="002D5AAC" w:rsidRPr="00C51675" w:rsidRDefault="00C51675" w:rsidP="008D2AAD">
            <w:pPr>
              <w:spacing w:before="240"/>
              <w:rPr>
                <w:lang w:val="en-US"/>
              </w:rPr>
            </w:pPr>
            <w:r w:rsidRPr="00C51675">
              <w:rPr>
                <w:lang w:val="en-US"/>
              </w:rPr>
              <w:t>Distr.: General</w:t>
            </w:r>
          </w:p>
          <w:p w14:paraId="21BA44F4" w14:textId="7BE2B070" w:rsidR="00C51675" w:rsidRPr="00C51675" w:rsidRDefault="00C51675" w:rsidP="00C5167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February 2026</w:t>
            </w:r>
          </w:p>
          <w:p w14:paraId="02E4DBEF" w14:textId="77777777" w:rsidR="00C51675" w:rsidRPr="00C51675" w:rsidRDefault="00C51675" w:rsidP="00C51675">
            <w:pPr>
              <w:spacing w:line="240" w:lineRule="exact"/>
              <w:rPr>
                <w:lang w:val="en-US"/>
              </w:rPr>
            </w:pPr>
            <w:r w:rsidRPr="00C51675">
              <w:rPr>
                <w:lang w:val="en-US"/>
              </w:rPr>
              <w:t>Russian</w:t>
            </w:r>
          </w:p>
          <w:p w14:paraId="0283C622" w14:textId="513E74B0" w:rsidR="00C51675" w:rsidRPr="00C51675" w:rsidRDefault="00C51675" w:rsidP="00C51675">
            <w:pPr>
              <w:spacing w:line="240" w:lineRule="exact"/>
              <w:rPr>
                <w:lang w:val="en-US"/>
              </w:rPr>
            </w:pPr>
            <w:r w:rsidRPr="00C51675">
              <w:rPr>
                <w:lang w:val="en-US"/>
              </w:rPr>
              <w:t>Original: English</w:t>
            </w:r>
          </w:p>
        </w:tc>
      </w:tr>
    </w:tbl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0"/>
        <w:gridCol w:w="5359"/>
      </w:tblGrid>
      <w:tr w:rsidR="00C51675" w:rsidRPr="00EE7D95" w14:paraId="376F6385" w14:textId="77777777" w:rsidTr="00C97B72">
        <w:tc>
          <w:tcPr>
            <w:tcW w:w="4270" w:type="dxa"/>
          </w:tcPr>
          <w:p w14:paraId="2098AAEA" w14:textId="77777777" w:rsidR="00C51675" w:rsidRPr="00877061" w:rsidRDefault="00C51675" w:rsidP="00EF4399">
            <w:pPr>
              <w:spacing w:before="120"/>
              <w:rPr>
                <w:b/>
                <w:sz w:val="24"/>
                <w:szCs w:val="24"/>
              </w:rPr>
            </w:pPr>
            <w:r w:rsidRPr="00877061">
              <w:rPr>
                <w:b/>
                <w:sz w:val="24"/>
                <w:szCs w:val="24"/>
              </w:rPr>
              <w:t>Комитет по ликвидации расовой дискриминации</w:t>
            </w:r>
          </w:p>
        </w:tc>
        <w:tc>
          <w:tcPr>
            <w:tcW w:w="5359" w:type="dxa"/>
          </w:tcPr>
          <w:p w14:paraId="1BE19074" w14:textId="77777777" w:rsidR="00C51675" w:rsidRPr="00877061" w:rsidRDefault="00C51675" w:rsidP="00EF4399">
            <w:pPr>
              <w:spacing w:before="120"/>
              <w:rPr>
                <w:b/>
                <w:sz w:val="24"/>
                <w:szCs w:val="24"/>
              </w:rPr>
            </w:pPr>
            <w:r w:rsidRPr="00877061">
              <w:rPr>
                <w:b/>
                <w:sz w:val="24"/>
                <w:szCs w:val="24"/>
              </w:rPr>
              <w:t>Комитет по защите прав всех трудящихся-мигрантов и членов их семей</w:t>
            </w:r>
          </w:p>
        </w:tc>
      </w:tr>
    </w:tbl>
    <w:p w14:paraId="647EB04C" w14:textId="0E6F1A89" w:rsidR="00C51675" w:rsidRPr="00AE1974" w:rsidRDefault="00C51675" w:rsidP="00C51675">
      <w:pPr>
        <w:pStyle w:val="HChG"/>
      </w:pPr>
      <w:r>
        <w:tab/>
      </w:r>
      <w:r>
        <w:tab/>
      </w:r>
      <w:r w:rsidRPr="00AE1974">
        <w:t>Совместная общая рекомендация № 38 (2025) Комитета по ликвидации расовой дискриминации и замечани</w:t>
      </w:r>
      <w:r>
        <w:t>е</w:t>
      </w:r>
      <w:r w:rsidRPr="00AE1974">
        <w:t xml:space="preserve"> общего порядка № 7 (2025) Комитета по защите прав всех</w:t>
      </w:r>
      <w:r>
        <w:rPr>
          <w:lang w:val="en-US"/>
        </w:rPr>
        <w:t> </w:t>
      </w:r>
      <w:r w:rsidRPr="00AE1974">
        <w:t>трудящихся-мигрантов и членов их семей об общих руководящих принципах искоренения ксенофобии в</w:t>
      </w:r>
      <w:r>
        <w:rPr>
          <w:lang w:val="en-US"/>
        </w:rPr>
        <w:t> </w:t>
      </w:r>
      <w:r w:rsidRPr="00AE1974">
        <w:t>отношении мигрантов и других лиц, воспринимаемых в качестве таковых</w:t>
      </w:r>
    </w:p>
    <w:p w14:paraId="6B3E4CB1" w14:textId="77777777" w:rsidR="00C51675" w:rsidRPr="003B3079" w:rsidRDefault="00C51675" w:rsidP="00C51675">
      <w:pPr>
        <w:pStyle w:val="HChG"/>
      </w:pPr>
      <w:r w:rsidRPr="00AE1974">
        <w:rPr>
          <w:bCs/>
        </w:rPr>
        <w:tab/>
      </w:r>
      <w:r>
        <w:rPr>
          <w:bCs/>
        </w:rPr>
        <w:t>I.</w:t>
      </w:r>
      <w:r>
        <w:tab/>
      </w:r>
      <w:r w:rsidRPr="00877061">
        <w:t>Введение</w:t>
      </w:r>
    </w:p>
    <w:p w14:paraId="50111085" w14:textId="24A60F17" w:rsidR="00C51675" w:rsidRPr="003B3079" w:rsidRDefault="00C51675" w:rsidP="00C51675">
      <w:pPr>
        <w:pStyle w:val="SingleTxtG"/>
        <w:suppressAutoHyphens w:val="0"/>
      </w:pPr>
      <w:r>
        <w:t>1.</w:t>
      </w:r>
      <w:r>
        <w:tab/>
        <w:t>Мобильность населения всегда была одним из ключевых аспектов изменений и развития обществ. В Повестке дня в области устойчивого развития на период до 2030</w:t>
      </w:r>
      <w:r>
        <w:rPr>
          <w:lang w:val="en-US"/>
        </w:rPr>
        <w:t> </w:t>
      </w:r>
      <w:r>
        <w:t>года государства признают позитивный вклад мигрантов в обеспечение всеохватного роста и устойчивого развития, а также тот факт, что международная миграция представляет собой многоплановое явление, имеющее большое значение для развития стран происхождения, транзита и назначения</w:t>
      </w:r>
      <w:r w:rsidRPr="00070726">
        <w:rPr>
          <w:rStyle w:val="aa"/>
        </w:rPr>
        <w:footnoteReference w:id="1"/>
      </w:r>
      <w:r>
        <w:t xml:space="preserve">. Тем не менее </w:t>
      </w:r>
      <w:r>
        <w:rPr>
          <w:lang w:val="en-US"/>
        </w:rPr>
        <w:t>c</w:t>
      </w:r>
      <w:r>
        <w:t xml:space="preserve"> мобильностью населения все чаще возникает множество проблем, особенно в том, что касается соблюдения и осуществления международных прав человека, получивших всеобщее признание во Всеобщей декларации прав человека с 1948 года. Отношение к мигрантам и другим лицам, воспринимаемым в качестве таковых</w:t>
      </w:r>
      <w:r w:rsidRPr="00070726">
        <w:rPr>
          <w:rStyle w:val="aa"/>
        </w:rPr>
        <w:footnoteReference w:id="2"/>
      </w:r>
      <w:r>
        <w:t>,</w:t>
      </w:r>
      <w:r w:rsidRPr="00B23F30">
        <w:t xml:space="preserve"> </w:t>
      </w:r>
      <w:r>
        <w:t>постепенно подрывает запрет дискриминации, являющийся краеугольным камнем системы международного права прав человека. На деле во многих обществах наряду с ростом многообразия усиливается и ксенофобия.</w:t>
      </w:r>
    </w:p>
    <w:p w14:paraId="39B39FA6" w14:textId="77777777" w:rsidR="00C51675" w:rsidRPr="003B3079" w:rsidRDefault="00C51675" w:rsidP="00C51675">
      <w:pPr>
        <w:pStyle w:val="SingleTxtG"/>
        <w:suppressAutoHyphens w:val="0"/>
      </w:pPr>
      <w:r>
        <w:t>2.</w:t>
      </w:r>
      <w:r>
        <w:tab/>
        <w:t>Ксенофобия — это явление, при котором в силу предрассудков, стереотипов, негативных представлений и убеждения в том, что они представляют угрозу для преобладающей культуры, исторического наследия и благосостояния, мигранты и представители различных социальных групп или меньшинств изображаются и воспринимаются как «другие», «чужаки» или «враги». Эта риторика используется для оправдания их изоляции и маргинализации, что приводит к дискриминации на основании их статуса неграждан, а также по другим интерсекциональным признакам. Ксенофобия несовместима с уважением человеческого достоинства, а также с принципами равенства и недискриминации.</w:t>
      </w:r>
    </w:p>
    <w:p w14:paraId="3B007B45" w14:textId="77777777" w:rsidR="00C51675" w:rsidRPr="003B3079" w:rsidRDefault="00C51675" w:rsidP="00C51675">
      <w:pPr>
        <w:pStyle w:val="SingleTxtG"/>
        <w:suppressAutoHyphens w:val="0"/>
      </w:pPr>
      <w:r>
        <w:t>3.</w:t>
      </w:r>
      <w:r>
        <w:tab/>
        <w:t xml:space="preserve">Комитет по ликвидации расовой дискриминации и Комитет по защите прав всех трудящихся-мигрантов и членов их семей обеспокоены эскалацией воздействия ксенофобии на права мигрантов и других лиц, воспринимаемых в качестве таковых в силу риторики, которая несправедливо указывает на мигрантов как на причину социальных, экономических и политических проблем. Такая риторика используется </w:t>
      </w:r>
      <w:r>
        <w:lastRenderedPageBreak/>
        <w:t>для оправдания законов, политики и практики, ущемляющих права человека мигрантов, что замыкает порочный круг.</w:t>
      </w:r>
    </w:p>
    <w:p w14:paraId="1C85E959" w14:textId="77777777" w:rsidR="00C51675" w:rsidRPr="003B3079" w:rsidRDefault="00C51675" w:rsidP="00C51675">
      <w:pPr>
        <w:pStyle w:val="SingleTxtG"/>
        <w:suppressAutoHyphens w:val="0"/>
      </w:pPr>
      <w:r>
        <w:t>4.</w:t>
      </w:r>
      <w:r>
        <w:tab/>
        <w:t>По итогам рассмотрения докладов, представленных государствами-участниками, а также с учетом информации, полученной от других заинтересованных сторон, комитеты выражают особую обеспокоенность противоречащим международным и региональным договорам, стандартам и принципам в области прав человека воздействием ксенофобии на законодательство, политику, практику и менталитет. Комитеты сочли необходимым разработать совместные общие рекомендации/замечания общего порядка по вопросу ксенофобии и ее воздействия на права человека.</w:t>
      </w:r>
    </w:p>
    <w:p w14:paraId="5855C8A8" w14:textId="77777777" w:rsidR="00C51675" w:rsidRPr="003B3079" w:rsidRDefault="00C51675" w:rsidP="00C51675">
      <w:pPr>
        <w:pStyle w:val="HChG"/>
      </w:pPr>
      <w:r w:rsidRPr="004C27BA"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Методология</w:t>
      </w:r>
      <w:r w:rsidRPr="00D63B86">
        <w:rPr>
          <w:rStyle w:val="aa"/>
          <w:b w:val="0"/>
          <w:bCs/>
        </w:rPr>
        <w:footnoteReference w:id="3"/>
      </w:r>
      <w:r>
        <w:rPr>
          <w:bCs/>
        </w:rPr>
        <w:t xml:space="preserve"> и цели</w:t>
      </w:r>
    </w:p>
    <w:p w14:paraId="6DFFC040" w14:textId="77777777" w:rsidR="00C51675" w:rsidRPr="003B3079" w:rsidRDefault="00C51675" w:rsidP="00C51675">
      <w:pPr>
        <w:pStyle w:val="SingleTxtG"/>
        <w:suppressAutoHyphens w:val="0"/>
      </w:pPr>
      <w:bookmarkStart w:id="0" w:name="_heading=h.gjdgxs" w:colFirst="0" w:colLast="0"/>
      <w:bookmarkEnd w:id="0"/>
      <w:r>
        <w:t>5.</w:t>
      </w:r>
      <w:r>
        <w:tab/>
        <w:t>Настоящая совместная общая рекомендация/замечание общего порядка была принята одновременно с совместной общей рекомендацией № 39 (2025) Комитета по ликвидации расовой дискриминации и замечанием общего порядка № 8 (2025) Комитета по защите прав всех трудящихся-мигрантов и членов их семей. В них комитеты изложили конкретные тематические руководящие принципы, касающиеся комплексной государственной политики, направленной на искоренение ксенофобии и ее воздействия на права человека мигрантов и других лиц, воспринимаемых в качестве таковых. Хотя и та, и настоящая совместная общая рекомендация/замечание общего порядка представляют собой отдельные документы, они разработаны как взаимодополняющие и подлежат совместному прочтению, толкованию и осуществлению.</w:t>
      </w:r>
    </w:p>
    <w:p w14:paraId="077F54AF" w14:textId="77777777" w:rsidR="00C51675" w:rsidRPr="003B3079" w:rsidRDefault="00C51675" w:rsidP="00C51675">
      <w:pPr>
        <w:pStyle w:val="SingleTxtG"/>
        <w:suppressAutoHyphens w:val="0"/>
      </w:pPr>
      <w:r>
        <w:t>6.</w:t>
      </w:r>
      <w:r>
        <w:tab/>
        <w:t>Настоящие руководящие принципы разработаны на основе положений как Международной конвенции о ликвидации всех форм расовой дискриминации, так и Международной конвенции о защите прав всех трудящихся-мигрантов и членов их семей, а также на основе стандартов, разработанных обоими комитетами. Эти совместные общие рекомендации/замечания общего порядка в равной степени применимы ко всем государствам — участникам каждой из этих конвенций.</w:t>
      </w:r>
    </w:p>
    <w:p w14:paraId="3AE073BF" w14:textId="77777777" w:rsidR="00C51675" w:rsidRPr="003B3079" w:rsidRDefault="00C51675" w:rsidP="00C51675">
      <w:pPr>
        <w:pStyle w:val="SingleTxtG"/>
        <w:suppressAutoHyphens w:val="0"/>
      </w:pPr>
      <w:r>
        <w:t>7.</w:t>
      </w:r>
      <w:r>
        <w:tab/>
        <w:t>Общая цель настоящей совместной общей рекомендации/замечания общего порядка заключается в том, чтобы предоставить государствам-участникам и всем соответствующим заинтересованным сторонам авторитетные руководящие указания по вопросам предотвращения и искоренения ксенофобии и ее воздействия на права человека. Она преследует следующие конкретные цели:</w:t>
      </w:r>
    </w:p>
    <w:p w14:paraId="4FC54CBD" w14:textId="2C3BC82C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a)</w:t>
      </w:r>
      <w:r>
        <w:tab/>
        <w:t xml:space="preserve">признать ксенофобию одной из серьезнейших современных проблем, препятствующих поощрению, соблюдению, защите и осуществлению прав человека мигрантов и других лиц, воспринимаемых в качестве таковых; </w:t>
      </w:r>
    </w:p>
    <w:p w14:paraId="5F1DCD25" w14:textId="0C7B091E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b)</w:t>
      </w:r>
      <w:r>
        <w:tab/>
        <w:t>подробно раскрыть содержания статьи 1 Международной конвенции о ликвидации всех форм расовой дискриминации через призму юридической практики правозащитных органов, с тем чтобы лучше понять, как ксенофобия приводит к расовой дискриминации;</w:t>
      </w:r>
    </w:p>
    <w:p w14:paraId="1553E028" w14:textId="67198229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c)</w:t>
      </w:r>
      <w:r>
        <w:tab/>
        <w:t>определить сферу охвата статьи 7 Международной конвенции о защите прав всех трудящихся-мигрантов и членов их семей в том, что касается воздействия ксенофобии на дискриминацию в контексте миграции;</w:t>
      </w:r>
    </w:p>
    <w:p w14:paraId="4DCB1E98" w14:textId="58A35CEC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d)</w:t>
      </w:r>
      <w:r>
        <w:tab/>
        <w:t xml:space="preserve">содействовать укреплению социальной сплоченности и межкультурной интеграции на основе правозащитного подхода; </w:t>
      </w:r>
    </w:p>
    <w:p w14:paraId="046192AD" w14:textId="0E30B782" w:rsidR="00C51675" w:rsidRPr="003B3079" w:rsidRDefault="00C51675" w:rsidP="00C51675">
      <w:pPr>
        <w:pStyle w:val="SingleTxtG"/>
      </w:pPr>
      <w:r>
        <w:rPr>
          <w:lang w:val="en-US"/>
        </w:rPr>
        <w:lastRenderedPageBreak/>
        <w:tab/>
      </w:r>
      <w:r>
        <w:t>e)</w:t>
      </w:r>
      <w:r>
        <w:tab/>
        <w:t xml:space="preserve">содействовать осуществлению Дурбанской декларации и Программы действий, Глобального договора о безопасной, упорядоченной и легальной миграции и Глобального договора о беженцах; </w:t>
      </w:r>
    </w:p>
    <w:p w14:paraId="2E44A814" w14:textId="7DFCADAC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f)</w:t>
      </w:r>
      <w:r>
        <w:tab/>
        <w:t>усилить действующие руководящие принципы борьбы с ненавистническими высказываниями, проявлениями дискриминации и дискриминационной риторикой, подстрекающей к неравному обращению, дискриминации, насилию и социальным конфликтам внутри обществ и между ними;</w:t>
      </w:r>
    </w:p>
    <w:p w14:paraId="1AF0C7B5" w14:textId="619F8935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g)</w:t>
      </w:r>
      <w:r>
        <w:tab/>
        <w:t xml:space="preserve">внести вклад в достижение целого ряда целей в области устойчивого развития, руководствуясь ключевым принципом «не обходить никого вниманием». </w:t>
      </w:r>
    </w:p>
    <w:p w14:paraId="222A2653" w14:textId="77777777" w:rsidR="00C51675" w:rsidRPr="003B3079" w:rsidRDefault="00C51675" w:rsidP="00C51675">
      <w:pPr>
        <w:pStyle w:val="HChG"/>
      </w:pPr>
      <w:r w:rsidRPr="00877061">
        <w:rPr>
          <w:bCs/>
        </w:rPr>
        <w:tab/>
      </w:r>
      <w:r>
        <w:rPr>
          <w:bCs/>
        </w:rPr>
        <w:t>III.</w:t>
      </w:r>
      <w:r>
        <w:tab/>
      </w:r>
      <w:r>
        <w:rPr>
          <w:bCs/>
        </w:rPr>
        <w:t>Сфера охвата</w:t>
      </w:r>
    </w:p>
    <w:p w14:paraId="460D0123" w14:textId="77777777" w:rsidR="00C51675" w:rsidRPr="003B3079" w:rsidRDefault="00C51675" w:rsidP="00C51675">
      <w:pPr>
        <w:pStyle w:val="SingleTxtG"/>
        <w:suppressAutoHyphens w:val="0"/>
      </w:pPr>
      <w:r>
        <w:t>8.</w:t>
      </w:r>
      <w:r>
        <w:tab/>
        <w:t>Для целей настоящей совместной общей рекомендации/замечания общего порядка, а также совместной общей рекомендации № 39 (2025) Комитета по ликвидации расовой дискриминации и замечания общего порядка № 8 (2025) Комитета по трудящимся-мигрантам термин «мигранты» включает всех лиц, покидающих свою страну происхождения и пересекающих международную границу в целях временного или постоянного проживания в другой стране. Применимость этого термина не зависит от причины выезда из страны, статуса лица в стране транзита или назначения, а также от оснований для обращения за разрешением на проживание или его получения, будь то семейные связи, трудоустройство, обучение, получение убежища или иных форм защиты либо региональные соглашения.</w:t>
      </w:r>
    </w:p>
    <w:p w14:paraId="7BF18463" w14:textId="77777777" w:rsidR="00C51675" w:rsidRPr="003B3079" w:rsidRDefault="00C51675" w:rsidP="00C51675">
      <w:pPr>
        <w:pStyle w:val="SingleTxtG"/>
        <w:suppressAutoHyphens w:val="0"/>
      </w:pPr>
      <w:r>
        <w:t>9.</w:t>
      </w:r>
      <w:r>
        <w:tab/>
        <w:t>Хотя в статье 1 Международной конвенции о ликвидации всех форм расовой дискриминации упоминаются различия между гражданами и негражданами, Комитет по ликвидации расовой дискриминации уточнял, что эта статья должна толковаться таким образом, чтобы не подрывать основополагающий запрет дискриминации, и не следует понимать ее как ограничивающую или умаляющую права и свободы, особенно те, которые прямо признаются в других договорах по правам человека. В</w:t>
      </w:r>
      <w:r>
        <w:rPr>
          <w:lang w:val="en-US"/>
        </w:rPr>
        <w:t> </w:t>
      </w:r>
      <w:r>
        <w:t xml:space="preserve">своих общих рекомендациях № 11 (1993) и № 30 (2004), а также в других решениях Комитет подтвердил обязательства государств-участников обеспечивать отсутствие дискриминации в области гражданских, политических, экономических, социальных и культурных прав независимо от гражданства. </w:t>
      </w:r>
    </w:p>
    <w:p w14:paraId="7B70C0A6" w14:textId="77777777" w:rsidR="00C51675" w:rsidRPr="003B3079" w:rsidRDefault="00C51675" w:rsidP="00C51675">
      <w:pPr>
        <w:pStyle w:val="SingleTxtG"/>
        <w:suppressAutoHyphens w:val="0"/>
      </w:pPr>
      <w:r>
        <w:t>10.</w:t>
      </w:r>
      <w:r>
        <w:tab/>
        <w:t>Замечания общего порядка Комитета по трудящимся-мигрантам, а также стандарты, разработанные другими договорными органами и мандатариями специальных процедур Организации Объединенных Наций и региональными</w:t>
      </w:r>
      <w:r w:rsidRPr="008D6B47">
        <w:t xml:space="preserve"> </w:t>
      </w:r>
      <w:r>
        <w:t>правозащитными механизмами</w:t>
      </w:r>
      <w:r w:rsidRPr="00070726">
        <w:rPr>
          <w:rStyle w:val="aa"/>
        </w:rPr>
        <w:footnoteReference w:id="4"/>
      </w:r>
      <w:r>
        <w:t>, поэтапно усиливают запрет дискриминации по признаку гражданства</w:t>
      </w:r>
      <w:r w:rsidRPr="00070726">
        <w:rPr>
          <w:rStyle w:val="aa"/>
        </w:rPr>
        <w:footnoteReference w:id="5"/>
      </w:r>
      <w:r>
        <w:t>. Комитеты руководствуются принципом эффективности (effet utile), согласно которому положения договора должны толковаться таким образом, чтобы обеспечить его максимально полноценное и эффективное применение.</w:t>
      </w:r>
    </w:p>
    <w:p w14:paraId="2F9B95B8" w14:textId="77777777" w:rsidR="00C51675" w:rsidRPr="00877061" w:rsidRDefault="00C51675" w:rsidP="00C51675">
      <w:pPr>
        <w:pStyle w:val="SingleTxtG"/>
        <w:suppressAutoHyphens w:val="0"/>
      </w:pPr>
      <w:r>
        <w:t>11.</w:t>
      </w:r>
      <w:r>
        <w:tab/>
        <w:t>Комитеты признают, что, хотя мигранты, как правило, не являются гражданами страны, в которой они временно или постоянно проживают, они могут получить гражданство на основании различных критериев, закрепленных в законодательстве о гражданстве соответствующей страны, в результате чего они приобретут двойное или множественное гражданство. Кроме того, мигранты могут являться или стать лицами без гражданства как до выезда из страны происхождения, так и во время пребывания в странах транзита или назначения.</w:t>
      </w:r>
    </w:p>
    <w:p w14:paraId="7ECB7F98" w14:textId="5FD27A61" w:rsidR="00C51675" w:rsidRPr="003B3079" w:rsidRDefault="00C51675" w:rsidP="00C51675">
      <w:pPr>
        <w:pStyle w:val="SingleTxtG"/>
        <w:suppressAutoHyphens w:val="0"/>
      </w:pPr>
      <w:r>
        <w:lastRenderedPageBreak/>
        <w:t>12.</w:t>
      </w:r>
      <w:r>
        <w:tab/>
        <w:t xml:space="preserve">Термин «другие лица, воспринимаемые в качестве таковых», охватывает всех лиц, затрагиваемых расовой дискриминацией или перекрестными формами дискриминации в контексте ксенофобии, в том числе отдельных лиц и группы лиц, которые воспринимаются или рассматриваются в качестве чужаков, иностранцев или просто «других» и к которым относятся как к таковым, что приводит к неравному и дискриминационному обращению, в том числе когда речь идет об осуществлении ими своих гражданских, политических, экономических, социальных и культурных прав. </w:t>
      </w:r>
      <w:r>
        <w:rPr>
          <w:lang w:val="en-US"/>
        </w:rPr>
        <w:br/>
      </w:r>
      <w:r>
        <w:t>В основе коренных причин социальных и политических процессов, которые способствуют сохранению практики «отчуждения» членов общин, родившихся в этих общинах и принадлежащих к ним, лежит структурный расизм.</w:t>
      </w:r>
    </w:p>
    <w:p w14:paraId="5FEADC8F" w14:textId="77777777" w:rsidR="00C51675" w:rsidRPr="003B3079" w:rsidRDefault="00C51675" w:rsidP="00C51675">
      <w:pPr>
        <w:pStyle w:val="HChG"/>
      </w:pPr>
      <w:r w:rsidRPr="00877061">
        <w:rPr>
          <w:bCs/>
        </w:rPr>
        <w:tab/>
      </w:r>
      <w:r>
        <w:rPr>
          <w:bCs/>
        </w:rPr>
        <w:t>IV.</w:t>
      </w:r>
      <w:r>
        <w:tab/>
      </w:r>
      <w:r>
        <w:rPr>
          <w:bCs/>
        </w:rPr>
        <w:t>Ксенофобия, расиализация и расовая дискриминация</w:t>
      </w:r>
    </w:p>
    <w:p w14:paraId="501C3AFB" w14:textId="77777777" w:rsidR="00C51675" w:rsidRPr="003B3079" w:rsidRDefault="00C51675" w:rsidP="00C51675">
      <w:pPr>
        <w:pStyle w:val="SingleTxtG"/>
        <w:suppressAutoHyphens w:val="0"/>
      </w:pPr>
      <w:r>
        <w:t>13.</w:t>
      </w:r>
      <w:r>
        <w:tab/>
        <w:t>Термин «ксенофобия» используется для описания воззрений, предрассудков и поведения, в рамках которых люди отвергаются, обесчеловечиваются, изолируются от общества и часто очерняются на основании того факта или представления о том, что они являются чужаками или иностранцами по отношению к общине, обществу или национальной идентичности</w:t>
      </w:r>
      <w:r w:rsidRPr="00070726">
        <w:rPr>
          <w:rStyle w:val="aa"/>
        </w:rPr>
        <w:footnoteReference w:id="6"/>
      </w:r>
      <w:r>
        <w:t>. Термин «ксенофобия» обозначает действия, основанные именно на представлении о том, что другой человек является иностранцем или происходит из другой общины или страны</w:t>
      </w:r>
      <w:r w:rsidRPr="00070726">
        <w:rPr>
          <w:rStyle w:val="aa"/>
        </w:rPr>
        <w:footnoteReference w:id="7"/>
      </w:r>
      <w:r>
        <w:t>. По мнению Специального докладчика по вопросу о современных формах расизма, расовой дискриминации, ксенофобии и связанной с ними нетерпимости, ксенофобия имеет место тогда, когда отдельные лица или группы лиц, в силу их реального или предполагаемого географического происхождения, не пользуются теми же правами, что и остальное население, либо когда ценности, убеждения и/или практика, ассоциируемые с такими лицами или группами, приводят к их восприятию в качестве иностранцев</w:t>
      </w:r>
      <w:r w:rsidRPr="00070726">
        <w:rPr>
          <w:rStyle w:val="aa"/>
        </w:rPr>
        <w:footnoteReference w:id="8"/>
      </w:r>
      <w:r>
        <w:t xml:space="preserve">. Ксенофобия может проявляться по отношению к людям, обладающим идентичными физическими характеристиками, даже имеющим общее происхождение, например, когда они проезжают транзитом, возвращаются или мигрируют в те или иные государства или регионы и воспринимаются в качестве чужаков. </w:t>
      </w:r>
    </w:p>
    <w:p w14:paraId="660F91A3" w14:textId="77777777" w:rsidR="00C51675" w:rsidRPr="003B3079" w:rsidRDefault="00C51675" w:rsidP="00C51675">
      <w:pPr>
        <w:pStyle w:val="SingleTxtG"/>
        <w:suppressAutoHyphens w:val="0"/>
      </w:pPr>
      <w:r>
        <w:t>14.</w:t>
      </w:r>
      <w:r>
        <w:tab/>
        <w:t xml:space="preserve">Ксенофобия является одновременно и системным фактором, способствующим возникновению и распространению расовой дискриминации, и следствием структурных форм расизма и дискриминации в отношении мигрантов и других лиц, воспринимаемых в качестве таковых. Ксенофобия может выражаться в любых действиях или бездействии со стороны государственных должностных лиц или учреждений или частных субъектов, которые лишают мигрантов доступа к государственным или частным услугам, препятствуют или мешают их получению, причиняя мигрантам вред и страдания и ущемляя их права человека, в частности право на равенство. К проявлениям ксенофобии относятся акты прямой и косвенной дискриминации, подстрекательство к дискриминации, вражде или насилию, преступления на почве ненависти и разжигание ненависти по признаку (реального или мнимого) иностранного происхождения или гражданства, в том числе в сочетании с другими признаками, такими как раса, цвет кожи, религия, гендер, возраст, язык, сексуальная ориентация, гендерная идентичность, социально-экономическое положение или инвалидность. Ксенофобия также приводит к дискриминационным политике и практике, которые ограничивают доступ к правам человека на основании гражданства, миграционного статуса и по другим интерсекциональным признакам. </w:t>
      </w:r>
    </w:p>
    <w:p w14:paraId="7E530DFA" w14:textId="77777777" w:rsidR="00C51675" w:rsidRPr="003B3079" w:rsidRDefault="00C51675" w:rsidP="00C51675">
      <w:pPr>
        <w:pStyle w:val="SingleTxtG"/>
        <w:suppressAutoHyphens w:val="0"/>
      </w:pPr>
      <w:r>
        <w:t>15.</w:t>
      </w:r>
      <w:r>
        <w:tab/>
        <w:t xml:space="preserve">В Дурбанской декларации и Программе действий признается, что ксенофобия является одним из основных источников современного расизма и что большинство </w:t>
      </w:r>
      <w:r>
        <w:lastRenderedPageBreak/>
        <w:t>нарушений прав человека в отношении мигрантов совершается в контексте дискриминационных, ксенофобных и расистских видов практики</w:t>
      </w:r>
      <w:r w:rsidRPr="00070726">
        <w:rPr>
          <w:rStyle w:val="aa"/>
        </w:rPr>
        <w:footnoteReference w:id="9"/>
      </w:r>
      <w:r>
        <w:t xml:space="preserve">. Проявляясь в действиях, ксенофобия влечет за собой весьма реальные последствия для непосредственных жертв, в том числе приводит к насилию в их отношении. Кроме того, навязывая негативное представление об определенных группах, легитимизация ксенофобской риторики и соответствующих высказываний может порождать символическое насилие. В более широком смысле ксенофобия может мешать мирному сосуществованию различных групп и подрывать демократические ценности и сплоченность общества. </w:t>
      </w:r>
    </w:p>
    <w:p w14:paraId="534C2203" w14:textId="77777777" w:rsidR="00C51675" w:rsidRPr="003B3079" w:rsidRDefault="00C51675" w:rsidP="00C51675">
      <w:pPr>
        <w:pStyle w:val="SingleTxtG"/>
        <w:suppressAutoHyphens w:val="0"/>
      </w:pPr>
      <w:r>
        <w:t>16.</w:t>
      </w:r>
      <w:r>
        <w:tab/>
        <w:t>Комитеты отмечают, что между ксенофобией и расизмом существует неразрывная связь, обусловленная рядом факторов. Ксенофобия, включая ее коренные причины и последствия для прав человека, охватывает процессы расиализации, а также структурные формы расизма и иерархизации. Такое положение дел также связано с наследием колониализма и рабства, в том числе с системным неравенством между регионами и странами, а также внутри них. Расизм сыграл двойную роль</w:t>
      </w:r>
      <w:r w:rsidRPr="00671383">
        <w:t xml:space="preserve"> </w:t>
      </w:r>
      <w:r>
        <w:t xml:space="preserve">в формировании современных тенденций в области мобильности населения: во-первых, расизм и неизгладимое наследие колониализма являются коренными причинами неравенства, которое стимулирует миграцию; во-вторых, расизм также лежит в основе мер, принимаемых многими правительствами в ответ на мобильность населения. </w:t>
      </w:r>
    </w:p>
    <w:p w14:paraId="2AC1A009" w14:textId="582B90E2" w:rsidR="00C51675" w:rsidRPr="003B3079" w:rsidRDefault="00C51675" w:rsidP="00C51675">
      <w:pPr>
        <w:pStyle w:val="SingleTxtG"/>
        <w:suppressAutoHyphens w:val="0"/>
      </w:pPr>
      <w:r>
        <w:t>17.</w:t>
      </w:r>
      <w:r>
        <w:tab/>
        <w:t xml:space="preserve">Для целей настоящей совместной общей рекомендации/замечания общего порядка термин «расиализация» обозначает социальный процесс присвоения отдельным группам отрицательных характеристик, с тем чтобы обосновать обращение с ними как с людьми, заслуживающими </w:t>
      </w:r>
      <w:r>
        <w:t>подчинения</w:t>
      </w:r>
      <w:r>
        <w:t xml:space="preserve"> и притеснения по расовому признаку. Расиализация может стать предпосылкой для </w:t>
      </w:r>
      <w:r>
        <w:t>проведения</w:t>
      </w:r>
      <w:r>
        <w:t xml:space="preserve"> особенно жесткой миграционной политики в отношении определенных групп мигрантов на основании их предполагаемой расовой принадлежности, а также служить оправданием для такой политики. Иммиграционная политика может использоваться в качестве инструмента подавления расиализированных групп. Расиализация может также приводить к обращению с гражданами, как с мигрантами. Враждебная по отношению к мигрантам риторика, а также формирующиеся на ее основе политика и практика могут существенно различаться в зависимости от расовой принадлежности и связанных с ней оснований для дискриминации, таких как цвет кожи, этническое происхождение или гражданство. Обращение с мигрантами в странах транзита и назначения, как правило, связано с множеством моделей дискриминации по расовому признаку. Различные формы насилия на границах, риторика, делающая из мигрантов преступников, произвольные де-факто и де-юре ограничения доступа мигрантов к социальным услугам, а также неравенство возможностей в плане использования безопасных и легальных путей миграции,</w:t>
      </w:r>
      <w:r w:rsidRPr="00F67C11">
        <w:t xml:space="preserve"> </w:t>
      </w:r>
      <w:r>
        <w:t>как правило, пересекаются с расовой дискриминацией.</w:t>
      </w:r>
    </w:p>
    <w:p w14:paraId="61255607" w14:textId="77777777" w:rsidR="00C51675" w:rsidRPr="003B3079" w:rsidRDefault="00C51675" w:rsidP="00C51675">
      <w:pPr>
        <w:pStyle w:val="SingleTxtG"/>
        <w:suppressAutoHyphens w:val="0"/>
      </w:pPr>
      <w:r>
        <w:t>18.</w:t>
      </w:r>
      <w:r>
        <w:tab/>
        <w:t>Различные методы</w:t>
      </w:r>
      <w:r w:rsidRPr="00976F2D">
        <w:t xml:space="preserve"> </w:t>
      </w:r>
      <w:r>
        <w:t>борьбы с расизмом должны стать составной частью миграционной политики, охватывая такие области, как режим государственной границы, использование технологий пограничного контроля, процедуры удостоверения личности, правила выдачи виз и разрешений на проживание и работу, а также меры по противодействию нелегальной миграции и недопущению дискриминации при осуществлении всех прав человека. Ключевую роль в рамках интерсекциональной системы, обеспечивающей проведение миграционной политики, должны играть национальные и местные государственные учреждения, занимающиеся вопросами борьбы с расизмом и смежными вопросами. Кроме того, следует принять меры для обеспечения эффективного и полноценного участия организаций гражданского общества, в том числе представляющих расиализированные группы, а также других заинтересованных сторон, обладающих экспертными знаниями в области борьбы с расизмом.</w:t>
      </w:r>
    </w:p>
    <w:p w14:paraId="706245CC" w14:textId="77777777" w:rsidR="00C51675" w:rsidRPr="003B3079" w:rsidRDefault="00C51675" w:rsidP="00C51675">
      <w:pPr>
        <w:pStyle w:val="SingleTxtG"/>
        <w:suppressAutoHyphens w:val="0"/>
      </w:pPr>
      <w:r>
        <w:t>19.</w:t>
      </w:r>
      <w:r>
        <w:tab/>
        <w:t xml:space="preserve">Комитеты считают, что комплексную политику искоренения ксенофобии, ее коренных причин и негативных последствий для прав человека следует рассматривать через призму деколонизации, борьбы с расизмом и интерсекционального подхода. Странам происхождения, транзита и назначения следует широко применять в </w:t>
      </w:r>
      <w:r>
        <w:lastRenderedPageBreak/>
        <w:t xml:space="preserve">политике, направленной на устранение структурных причин миграции, эффективные меры по борьбе с расизмом, ксенофобией и расовой дискриминацией. Политика борьбы с ксенофобией должна учитывать, как проявления ксенофобии и их воздействия на права человека пересекаются с расовой дискриминацией. </w:t>
      </w:r>
    </w:p>
    <w:p w14:paraId="051C9B99" w14:textId="3D6FFEE1" w:rsidR="00C51675" w:rsidRPr="003B3079" w:rsidRDefault="00C51675" w:rsidP="00C51675">
      <w:pPr>
        <w:pStyle w:val="HChG"/>
      </w:pPr>
      <w:r w:rsidRPr="00877061">
        <w:rPr>
          <w:bCs/>
        </w:rPr>
        <w:tab/>
      </w:r>
      <w:r>
        <w:rPr>
          <w:bCs/>
        </w:rPr>
        <w:t>V.</w:t>
      </w:r>
      <w:r>
        <w:tab/>
      </w:r>
      <w:r>
        <w:rPr>
          <w:bCs/>
        </w:rPr>
        <w:t>Интерсекциональный подход к ксенофобии и</w:t>
      </w:r>
      <w:r>
        <w:rPr>
          <w:bCs/>
          <w:lang w:val="en-US"/>
        </w:rPr>
        <w:t> </w:t>
      </w:r>
      <w:r>
        <w:rPr>
          <w:bCs/>
        </w:rPr>
        <w:t>воздействие ксенофобии на права человека</w:t>
      </w:r>
    </w:p>
    <w:p w14:paraId="3589F30E" w14:textId="77777777" w:rsidR="00C51675" w:rsidRPr="000B378C" w:rsidRDefault="00C51675" w:rsidP="00C51675">
      <w:pPr>
        <w:pStyle w:val="SingleTxtG"/>
        <w:suppressAutoHyphens w:val="0"/>
      </w:pPr>
      <w:r>
        <w:t>20.</w:t>
      </w:r>
      <w:r>
        <w:tab/>
      </w:r>
      <w:r w:rsidRPr="000B378C">
        <w:t>Интерсекциональность — это базовая концепция, необходимая для понимания масштабов обязательств государств-участников в области прав человека, касающихся ликвидации расовой дискриминации и ксенофобии в отношении мигрантов</w:t>
      </w:r>
      <w:r w:rsidRPr="000B378C">
        <w:rPr>
          <w:rStyle w:val="aa"/>
        </w:rPr>
        <w:footnoteReference w:id="10"/>
      </w:r>
      <w:r w:rsidRPr="000B378C">
        <w:t xml:space="preserve">. Применение интерсекционального подхода означает признание того, что соприкосновение людей с дискриминацией и маргинализацией определяется властными отношениями, основанными на множестве пересекающихся факторов, таких как раса, этническая принадлежность, гражданство, религия, гендер, сексуальная ориентация, инвалидность, возраст, а также социально-экономическое положение и миграционный статус. </w:t>
      </w:r>
    </w:p>
    <w:p w14:paraId="083E3BF4" w14:textId="77777777" w:rsidR="00C51675" w:rsidRPr="003B3079" w:rsidRDefault="00C51675" w:rsidP="00C51675">
      <w:pPr>
        <w:pStyle w:val="SingleTxtG"/>
        <w:suppressAutoHyphens w:val="0"/>
      </w:pPr>
      <w:r w:rsidRPr="000B378C">
        <w:t>21.</w:t>
      </w:r>
      <w:r w:rsidRPr="000B378C">
        <w:tab/>
        <w:t>Комитеты подчеркивают, что</w:t>
      </w:r>
      <w:r>
        <w:t xml:space="preserve"> интерсекциональный подход крайне важен и необходим для эффективного искоренения ксенофобии</w:t>
      </w:r>
      <w:r w:rsidRPr="000B378C">
        <w:t>,</w:t>
      </w:r>
      <w:r>
        <w:t xml:space="preserve"> особенно ее негативного воздействия на права человека. Все политические и иные меры, направленные на борьбу с ксенофобией, должны выстраиваться с учетом необходимости противодействия сопутствующим риторике, политике и практике, которые приводят к дискриминации в отношении мигрантов и других лиц, воспринимаемых в качестве таковых, на основании гражданства, миграционного статуса, мигрантского происхождения, гендера, возраста, расы, этнической принадлежности, инвалидности, сексуальной ориентации, гендерной идентичности, религии, цвета кожи, социально-экономического положения, языка и других запрещенных признаков.</w:t>
      </w:r>
    </w:p>
    <w:p w14:paraId="568EA747" w14:textId="77777777" w:rsidR="00C51675" w:rsidRPr="003B3079" w:rsidRDefault="00C51675" w:rsidP="00C51675">
      <w:pPr>
        <w:pStyle w:val="H1G"/>
      </w:pPr>
      <w:r w:rsidRPr="00F26770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Гендер</w:t>
      </w:r>
    </w:p>
    <w:p w14:paraId="39B42C01" w14:textId="77777777" w:rsidR="00C51675" w:rsidRPr="003B3079" w:rsidRDefault="00C51675" w:rsidP="00C51675">
      <w:pPr>
        <w:pStyle w:val="SingleTxtG"/>
        <w:suppressAutoHyphens w:val="0"/>
      </w:pPr>
      <w:r>
        <w:t>22.</w:t>
      </w:r>
      <w:r>
        <w:tab/>
        <w:t xml:space="preserve">Комитеты подчеркивают необходимость учета гендерных аспектов для понимания воздействия ксенофобии на права человека различных групп мигрантов и других лиц, воспринимаемых в качестве таковых, а также для устранения этого воздействия с учетом гендерного фактора. Вследствие пересечения ксенофобии и гендерной дискриминации женщины, девочки и гендерно вариативные люди мигрантского происхождения зачастую сталкиваются с комплексными проблемами, такими как дискриминация на рабочем месте, ограниченный доступ к медицинской помощи, непропорционально высокие показатели предотвратимой материнской смертности и заболеваемости, препятствия в получении образования, повышенный риск гендерного насилия, а также трудности с получением доступа к юридическим и социальным услугам. Женщины, девочки и гендерно вариативные люди особенно сильно страдают от пересечения ксенофобии и гендерной дискриминации, поскольку им постоянно приходится сталкиваться с патриархальными устоями как в своих семьях и общинах, так и за их пределами, в том числе среди своих попутчиков. </w:t>
      </w:r>
    </w:p>
    <w:p w14:paraId="5008FAB4" w14:textId="77777777" w:rsidR="00C51675" w:rsidRPr="003B3079" w:rsidRDefault="00C51675" w:rsidP="00C51675">
      <w:pPr>
        <w:pStyle w:val="SingleTxtG"/>
        <w:suppressAutoHyphens w:val="0"/>
      </w:pPr>
      <w:r>
        <w:t>23.</w:t>
      </w:r>
      <w:r>
        <w:tab/>
        <w:t xml:space="preserve">Мужчины и мальчики могут особенно сильно страдать от определенных видов практики, таких как расовое профилирование и расовые стереотипы. Чуткое отношение к гендерным аспектам в рамках комплексной политики борьбы с ксенофобией и гендерной дискриминацией также предполагает учет особых потребностей и особого опыта этих групп. </w:t>
      </w:r>
    </w:p>
    <w:p w14:paraId="0386AB27" w14:textId="77777777" w:rsidR="00C51675" w:rsidRPr="003B3079" w:rsidRDefault="00C51675" w:rsidP="00C51675">
      <w:pPr>
        <w:pStyle w:val="SingleTxtG"/>
        <w:suppressAutoHyphens w:val="0"/>
      </w:pPr>
      <w:r>
        <w:lastRenderedPageBreak/>
        <w:t>24.</w:t>
      </w:r>
      <w:r>
        <w:tab/>
        <w:t>Ксенофобская миграционная политика и соответствующая риторика способствуют прямой и косвенной дискриминации в отношении женщин, девочек и гендерно вариативных людей, что может привести к принятию законов и политики, которые</w:t>
      </w:r>
      <w:r w:rsidRPr="00EE7D95">
        <w:t xml:space="preserve"> </w:t>
      </w:r>
      <w:r>
        <w:t>на первый взгляд являются гендерно и расово нейтральными, но на деле наносят этим группам непропорционально большой вред. Дискриминация по таким признакам, как гражданство и миграционный статус, как правило, проявляется с гендерной спецификой</w:t>
      </w:r>
      <w:r w:rsidRPr="00070726">
        <w:rPr>
          <w:rStyle w:val="aa"/>
        </w:rPr>
        <w:footnoteReference w:id="11"/>
      </w:r>
      <w:r>
        <w:t>. Ксенофобская практика в отношении женщин, мужчин и гендерно вариативных людей из числа мигрантов помимо прочего пересекается с такими основаниями для дискриминации, как их этническая принадлежность, семейное положение, родительский статус и классовая принадлежность</w:t>
      </w:r>
      <w:r w:rsidRPr="00070726">
        <w:rPr>
          <w:rStyle w:val="aa"/>
        </w:rPr>
        <w:footnoteReference w:id="12"/>
      </w:r>
      <w:r>
        <w:t xml:space="preserve">. </w:t>
      </w:r>
    </w:p>
    <w:p w14:paraId="6060AFE3" w14:textId="77777777" w:rsidR="00C51675" w:rsidRPr="003B3079" w:rsidRDefault="00C51675" w:rsidP="00C51675">
      <w:pPr>
        <w:pStyle w:val="SingleTxtG"/>
        <w:suppressAutoHyphens w:val="0"/>
      </w:pPr>
      <w:r>
        <w:t>25.</w:t>
      </w:r>
      <w:r>
        <w:tab/>
        <w:t>Государствам-участникам следует принять надлежащие меры для обеспечения учета гендерных аспектов во всех сегментах миграционного законодательства и миграционной политики</w:t>
      </w:r>
      <w:r w:rsidRPr="00070726">
        <w:rPr>
          <w:rStyle w:val="aa"/>
        </w:rPr>
        <w:footnoteReference w:id="13"/>
      </w:r>
      <w:r>
        <w:t>. Такие меры должны охватывать, в частности, визовое регулирование и другие каналы легальной миграции, режим государственной границы, политику найма трудящихся-мигрантов, в том числе частными предприятиями, основания для получения разрешения на проживание, а также доступ к экономическим, социальным и культурным правам. Эти меры должны быть направлены на предотвращение и ликвидацию любой дискриминационной практики, которая препятствует осуществлению прав на основании гендера, в том числе сексуальной ориентации, гендерной идентичности и самовыражения, а также половых признаков. Государствам-участникам следует пересмотреть и реформировать дискриминационные законы о гражданстве, которые ограничивают или затрудняют передачу женщинами гражданства своим детям, что может приводить к безгражданству.</w:t>
      </w:r>
    </w:p>
    <w:p w14:paraId="7848848F" w14:textId="77777777" w:rsidR="00C51675" w:rsidRPr="003B3079" w:rsidRDefault="00C51675" w:rsidP="00C51675">
      <w:pPr>
        <w:pStyle w:val="SingleTxtG"/>
        <w:suppressAutoHyphens w:val="0"/>
      </w:pPr>
      <w:r>
        <w:t>26.</w:t>
      </w:r>
      <w:r>
        <w:tab/>
        <w:t>Комитеты подчеркивают необходимость принятия мер, направленных на переработку и реформирование дискриминационных по признаку гендера, этнической принадлежности и расы условий трудоустройства и труда мигрантов во всех секторах и на всех уровнях квалификации</w:t>
      </w:r>
      <w:r w:rsidRPr="00070726">
        <w:rPr>
          <w:rStyle w:val="aa"/>
        </w:rPr>
        <w:footnoteReference w:id="14"/>
      </w:r>
      <w:r>
        <w:t xml:space="preserve">. Такие меры должны включать следующее: </w:t>
      </w:r>
    </w:p>
    <w:p w14:paraId="11124DC6" w14:textId="0C91D209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a)</w:t>
      </w:r>
      <w:r>
        <w:tab/>
        <w:t xml:space="preserve">отмену любых гендерно дискриминационных в отношении трудящихся-мигрантов положений, таких как запрет на беременность и роды; </w:t>
      </w:r>
    </w:p>
    <w:p w14:paraId="063E6718" w14:textId="51336402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b)</w:t>
      </w:r>
      <w:r>
        <w:tab/>
        <w:t xml:space="preserve">обеспечение того, чтобы женщины не подвергались какому-либо наказанию или депортации за беременность или рождение детей; </w:t>
      </w:r>
    </w:p>
    <w:p w14:paraId="2305C61B" w14:textId="3B90782B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c)</w:t>
      </w:r>
      <w:r>
        <w:tab/>
        <w:t>учет того, что определенные факторы могут приводить к трудовой эксплуатации и другим ущемлениям прав человека, в частности в отношении трудящихся-мигрантов, занятых в качестве домашних работников, и особенно при заключении договоров с кадровыми агентствами;</w:t>
      </w:r>
    </w:p>
    <w:p w14:paraId="2F8DD11A" w14:textId="4B61F2A8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d)</w:t>
      </w:r>
      <w:r>
        <w:tab/>
        <w:t>заключение учитывающих гендерные требования двусторонних соглашений о трудовой миграции, предотвращая любые проявления гендерных и расовых предубеждений в визовых правила</w:t>
      </w:r>
      <w:r w:rsidR="00476CDD">
        <w:t>х</w:t>
      </w:r>
      <w:r>
        <w:t xml:space="preserve"> и критериях допуска; </w:t>
      </w:r>
    </w:p>
    <w:p w14:paraId="6E9B9D5F" w14:textId="43239938" w:rsidR="00C51675" w:rsidRPr="003B3079" w:rsidRDefault="00C51675" w:rsidP="00C51675">
      <w:pPr>
        <w:pStyle w:val="SingleTxtG"/>
      </w:pPr>
      <w:r w:rsidRPr="001E6846">
        <w:tab/>
      </w:r>
      <w:r>
        <w:t>e)</w:t>
      </w:r>
      <w:r>
        <w:tab/>
        <w:t xml:space="preserve">обеспечение справедливого порядка найма, в том числе путем отказа от взимания комиссии; </w:t>
      </w:r>
    </w:p>
    <w:p w14:paraId="62F137ED" w14:textId="47B9E1F2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f)</w:t>
      </w:r>
      <w:r>
        <w:tab/>
        <w:t xml:space="preserve">регулирование деятельности частных кадровых агентств в целях предотвращения дискриминации по признаку расы, гражданства, гендера и этнической принадлежности; </w:t>
      </w:r>
    </w:p>
    <w:p w14:paraId="5AFB6706" w14:textId="411DCA45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g)</w:t>
      </w:r>
      <w:r>
        <w:tab/>
        <w:t xml:space="preserve">обеспечение равноправного и недискриминационного доступа к социальной защите, в том числе в рамках двусторонних соглашений о социальном обеспечении; </w:t>
      </w:r>
    </w:p>
    <w:p w14:paraId="79AC288B" w14:textId="2EE58C3D" w:rsidR="00C51675" w:rsidRPr="003B3079" w:rsidRDefault="00C51675" w:rsidP="00C51675">
      <w:pPr>
        <w:pStyle w:val="SingleTxtG"/>
      </w:pPr>
      <w:r>
        <w:rPr>
          <w:lang w:val="en-US"/>
        </w:rPr>
        <w:lastRenderedPageBreak/>
        <w:tab/>
      </w:r>
      <w:r>
        <w:t>h)</w:t>
      </w:r>
      <w:r>
        <w:tab/>
        <w:t xml:space="preserve">ликвидацию гендерно дискриминационных правил, таких как взимание с иждивенцев трудящихся-мигрантов визовых сборов или предъявление к ним дополнительных требований; </w:t>
      </w:r>
    </w:p>
    <w:p w14:paraId="5C9C54C1" w14:textId="3741CB77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i)</w:t>
      </w:r>
      <w:r>
        <w:tab/>
        <w:t xml:space="preserve">отделение права находящегося на иждивении члена семьи на проживание и работу в стране от статуса занятости или визового статуса супруга или супруги; </w:t>
      </w:r>
    </w:p>
    <w:p w14:paraId="746C5E7B" w14:textId="72275CC2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j)</w:t>
      </w:r>
      <w:r>
        <w:tab/>
        <w:t xml:space="preserve">содействие семейной миграции в целях защиты права мигрантов на семейную жизнь и предотвращения дальнейшего использования для воссоединения семей нелегальных и опасных путей; </w:t>
      </w:r>
    </w:p>
    <w:p w14:paraId="7C7183E0" w14:textId="6B1E7815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k)</w:t>
      </w:r>
      <w:r>
        <w:tab/>
        <w:t>обеспечение поддержки и предоставления услуг по реинтеграции с учетом гендерных аспектов для возвращающихся трудящихся-мигранток, которые могут столкнуться с социальной стигматизацией.</w:t>
      </w:r>
    </w:p>
    <w:p w14:paraId="29DD177F" w14:textId="77777777" w:rsidR="00C51675" w:rsidRPr="003B3079" w:rsidRDefault="00C51675" w:rsidP="00C51675">
      <w:pPr>
        <w:pStyle w:val="SingleTxtG"/>
        <w:suppressAutoHyphens w:val="0"/>
      </w:pPr>
      <w:r>
        <w:t>27.</w:t>
      </w:r>
      <w:r>
        <w:tab/>
        <w:t>Узконаправленные меры реагирования на миграцию — а именно исключительно с точки зрения безопасности, а не с учетом комплексных факторов, прав человека и фактических данных — особенно в отношении мигрантов с неурегулированным статусом, наряду с отсутствием безопасных и легальных путей миграции, приводит к негативным последствиям, имеющим гендерный перекос. Такие меры ведут к повышению рисков гендерного насилия и преследования, включая сексуальные надругательства, сексуальную эксплуатацию и торговлю людьми, с которыми могут столкнуться женщины, девочки и гендерно вариативные люди, а также мужчины и мальчики в странах транзита и назначения. Ксенофобия, расизм, патриархат, гомофобия, трансфобия, бифобия и интерсексфобия не только усугубляют такие риски, но и препятствуют предоставлению защиты, доступу к правосудию и социальной интеграции. Комитеты подчеркивают, что следует принять конкретные меры для противодействия вредным риторике и политике в отношении неурегулированной миграции, которые способствуют повышению уязвимости мигрантов, в частности женщин и девочек, к торговле людьми, насилию и эксплуатации. Особые меры должны приниматься для привлечения к ответственности сотрудников государственных силовых структур, причастных к таким преступлениям.</w:t>
      </w:r>
    </w:p>
    <w:p w14:paraId="21DB2500" w14:textId="77777777" w:rsidR="00C51675" w:rsidRPr="003B3079" w:rsidRDefault="00C51675" w:rsidP="00C51675">
      <w:pPr>
        <w:pStyle w:val="SingleTxtG"/>
        <w:suppressAutoHyphens w:val="0"/>
      </w:pPr>
      <w:r>
        <w:t>28.</w:t>
      </w:r>
      <w:r>
        <w:tab/>
        <w:t>В целях исключения дискриминационных в отношении женщин положений в законодательстве или на практике государствам-участникам следует пересмотреть свои законы о борьбе с торговлей людьми. В частности</w:t>
      </w:r>
      <w:r w:rsidRPr="003B3079">
        <w:t>,</w:t>
      </w:r>
      <w:r>
        <w:t xml:space="preserve"> государствам-участникам следует исключить из законодательства гендерные преференции, возрастные ограничения и дискриминацию по признаку родительского статуса, с тем чтобы обеспечить женщинам, в том числе домашним работницам, возможность участия в трудовой миграции. </w:t>
      </w:r>
    </w:p>
    <w:p w14:paraId="6F273DE0" w14:textId="77777777" w:rsidR="00C51675" w:rsidRPr="003B3079" w:rsidRDefault="00C51675" w:rsidP="00C51675">
      <w:pPr>
        <w:pStyle w:val="SingleTxtG"/>
        <w:suppressAutoHyphens w:val="0"/>
      </w:pPr>
      <w:r>
        <w:t>29.</w:t>
      </w:r>
      <w:r>
        <w:tab/>
        <w:t>Государствам-участникам следует, руководствуясь учитывающим гендерные аспекты подходом, принять надлежащие меры по реформированию и укреплению политики, процедур и решений, в том числе на своих границах, в целях обеспечения права искать убежище и пользоваться этим убежищем, а также других форм защиты прав человека. Такая защита должна также включать предоставление лицам, пережившим гендерное насилие и торговлю людьми, основных услуг, таких как безопасное жилье, медицинская помощь с учетом перенесенных травм, специализированная юридическая помощь, услуги в области репродуктивного здоровья и защита от содержания под стражей в небезопасных условиях</w:t>
      </w:r>
      <w:r w:rsidRPr="00070726">
        <w:rPr>
          <w:rStyle w:val="aa"/>
        </w:rPr>
        <w:footnoteReference w:id="15"/>
      </w:r>
      <w:r>
        <w:t>. Кроме того, крайне важно обеспечить поддержку гендерно вариативным людям посредством политики, обеспечивающей уважение к их гендерной идентичности, доступ к гендерно-аффирмативной медицинской помощи и защиту от дискриминации или насилия на протяжении всего процесса предоставления убежища.</w:t>
      </w:r>
    </w:p>
    <w:p w14:paraId="4F7DA226" w14:textId="77777777" w:rsidR="00C51675" w:rsidRPr="003B3079" w:rsidRDefault="00C51675" w:rsidP="00C51675">
      <w:pPr>
        <w:pStyle w:val="SingleTxtG"/>
        <w:suppressAutoHyphens w:val="0"/>
      </w:pPr>
      <w:r>
        <w:t>30.</w:t>
      </w:r>
      <w:r>
        <w:tab/>
        <w:t xml:space="preserve">Государствам-участникам следует принять меры, направленные на расширение прав и возможностей и активную интеграцию всех мигрантов, в частности женщин и лиц с нетрадиционными сексуальной ориентацией, гендерной идентичностью и самовыражением. Государствам-участникам следует также играть ключевую роль в процессе разработки и осуществления комплексной политики предотвращения и </w:t>
      </w:r>
      <w:r>
        <w:lastRenderedPageBreak/>
        <w:t>искоренения ксенофобии и ее негативного воздействия на права человека. Этот процесс должен носить инклюзивный и основанный на широком участии характер, способствуя расширению прав и возможностей женщин, учету их мнений и укреплению их лидерства.</w:t>
      </w:r>
    </w:p>
    <w:p w14:paraId="21C27BAD" w14:textId="77777777" w:rsidR="00C51675" w:rsidRPr="003B3079" w:rsidRDefault="00C51675" w:rsidP="00C51675">
      <w:pPr>
        <w:pStyle w:val="SingleTxtG"/>
        <w:suppressAutoHyphens w:val="0"/>
      </w:pPr>
      <w:r>
        <w:t>31.</w:t>
      </w:r>
      <w:r>
        <w:tab/>
        <w:t xml:space="preserve">Ксенофобия в отношении мигрантов и других лиц, воспринимаемых в качестве таковых, особенно часто пересекается с дискриминацией на основании сексуальной ориентации, гендерной идентичности и самовыражения, а также половых признаков. Ксенофобские политика и дискурс в сочетании с враждебным отношением к сексуальному и гендерному разнообразию способствуют усилению уязвимости представителей ЛГБТИК+, в том числе повышению рисков насилия, дискриминации и социальной изоляции. </w:t>
      </w:r>
    </w:p>
    <w:p w14:paraId="3D0F5698" w14:textId="77777777" w:rsidR="00C51675" w:rsidRPr="003B3079" w:rsidRDefault="00C51675" w:rsidP="00C51675">
      <w:pPr>
        <w:pStyle w:val="SingleTxtG"/>
        <w:suppressAutoHyphens w:val="0"/>
      </w:pPr>
      <w:r>
        <w:t>32.</w:t>
      </w:r>
      <w:r>
        <w:tab/>
        <w:t>В соответствии с Джокьякартскими принципами применения международно-правовых норм о правах человека в отношении сексуальной ориентации и гендерной идентичности государствам-участникам следует устранять любые препятствия, связанные с сексуальной ориентацией и гендерной идентичностью, которые мешают мигрантам, в том числе с неурегулированным статусом, осуществлять свои права человека. Кроме того, следует принять меры для обеспечения доступа мигрантов к убежищу и дополнительным формам защиты, особенно в случаях, когда существует опасение преследования по признаку их сексуальной ориентации и гендерной идентичности. Следует принять меры, гарантирующие им равные возможности, с тем чтобы облегчить их трудоустройство и участие в трудовой жизни.</w:t>
      </w:r>
    </w:p>
    <w:p w14:paraId="1079C848" w14:textId="77777777" w:rsidR="00C51675" w:rsidRPr="003B3079" w:rsidRDefault="00C51675" w:rsidP="00C51675">
      <w:pPr>
        <w:pStyle w:val="SingleTxtG"/>
        <w:suppressAutoHyphens w:val="0"/>
      </w:pPr>
      <w:r>
        <w:t>33.</w:t>
      </w:r>
      <w:r>
        <w:tab/>
        <w:t>Комитеты напоминают государствам-участникам о необходимости принять все надлежащие меры для эффективного выполнения рекомендаций Комитета по ликвидации дискриминации в отношении женщин, содержащихся в его общих рекомендациях № 26 (2008) по вопросу о трудящихся женщинах-мигрантах и № 32 (2014) по гендерным аспектам статуса беженца, убежища, гражданства и безгражданства женщин.</w:t>
      </w:r>
    </w:p>
    <w:p w14:paraId="2B053B70" w14:textId="77777777" w:rsidR="00C51675" w:rsidRPr="003B3079" w:rsidRDefault="00C51675" w:rsidP="00C51675">
      <w:pPr>
        <w:pStyle w:val="H1G"/>
      </w:pPr>
      <w:r w:rsidRPr="00FF1D11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Дети</w:t>
      </w:r>
    </w:p>
    <w:p w14:paraId="02C603E5" w14:textId="77777777" w:rsidR="00C51675" w:rsidRPr="003B3079" w:rsidRDefault="00C51675" w:rsidP="00C51675">
      <w:pPr>
        <w:pStyle w:val="SingleTxtG"/>
        <w:suppressAutoHyphens w:val="0"/>
      </w:pPr>
      <w:r>
        <w:t>34.</w:t>
      </w:r>
      <w:r>
        <w:tab/>
        <w:t>Миграционная политика и политика в смежных областях, подверженных прямому или косвенному влиянию ксенофобии и расизма, оказывает особое воздействие на права человека детей, затрагивая сквозным образом все права человека, признаваемые за всеми детьми государствами — участниками Конвенции о правах ребенка</w:t>
      </w:r>
      <w:r w:rsidRPr="00070726">
        <w:rPr>
          <w:rStyle w:val="aa"/>
        </w:rPr>
        <w:footnoteReference w:id="16"/>
      </w:r>
      <w:r>
        <w:t>. К соответствующим областям относятся: правила выдачи виз и разрешений на проживание, меры по борьбе с нелегальной миграцией в странах транзита и назначения, политика в отношении содержания под стражей мигрантов, условия воссоединения семей, ограничения в осуществлении экономических, социальных и культурных прав, а также право на получение гражданства или постоянного вида на жительство по достижении совершеннолетия.</w:t>
      </w:r>
    </w:p>
    <w:p w14:paraId="01901142" w14:textId="77777777" w:rsidR="00C51675" w:rsidRPr="003B3079" w:rsidRDefault="00C51675" w:rsidP="00C51675">
      <w:pPr>
        <w:pStyle w:val="SingleTxtG"/>
        <w:suppressAutoHyphens w:val="0"/>
      </w:pPr>
      <w:r>
        <w:t>35.</w:t>
      </w:r>
      <w:r>
        <w:tab/>
        <w:t xml:space="preserve">Четыре основных принципа Конвенции о правах ребенка — это право детей на жизнь, выживание и развитие, право быть заслушанными и участвовать, право на защиту от всех форм дискриминации, а также принцип наилучшего обеспечения интересов ребенка. Комитеты подчеркивают, что, когда миграционная политика подвержена влиянию ксенофобии, расизма и других перекрестных форм дискриминации, эти четыре принципа постоянно находятся под угрозой нарушения. В результате, вследствие проведения узкой и предвзятой политики в области миграции и в смежных сферах эти принципы, а также основные права ребенка — включая право на регистрацию рождения, право на имя и гражданство, право на образование, право на семейную жизнь, право на физическую свободу и неприкосновенность, право на защиту от принудительного возвращения (non-refoulement) и право на свободу от причинения вреда — произвольно нарушаются. </w:t>
      </w:r>
    </w:p>
    <w:p w14:paraId="0EF2B2C6" w14:textId="77777777" w:rsidR="00C51675" w:rsidRPr="003B3079" w:rsidRDefault="00C51675" w:rsidP="00C51675">
      <w:pPr>
        <w:pStyle w:val="SingleTxtG"/>
        <w:suppressAutoHyphens w:val="0"/>
      </w:pPr>
      <w:r>
        <w:lastRenderedPageBreak/>
        <w:t>36.</w:t>
      </w:r>
      <w:r>
        <w:tab/>
        <w:t>Государствам-участникам следует принять все необходимые меры для всестороннего учета прав детей в миграционной политике и в политике, направленной на искоренение ксенофобии. В политику защиты, развития и обеспечения благополучия детей</w:t>
      </w:r>
      <w:r w:rsidRPr="00471254">
        <w:t xml:space="preserve"> </w:t>
      </w:r>
      <w:r>
        <w:t>должны быть включены меры по борьбе с ксенофобией. Необходимо разработать специальные программы для противодействия ксенофобской риторике, затрагивающей детей-мигрантов, в том числе несопровождаемых и разлученных, а также детей, родившихся в семьях мигрантов или в семьях мигрантского происхождения. В рамках таких мер чрезвычайно важную роль играет интерсекциональный подход, основанный на принципах борьбы с расизмом и учета гендерных аспектов.</w:t>
      </w:r>
    </w:p>
    <w:p w14:paraId="0FC11D55" w14:textId="77777777" w:rsidR="00C51675" w:rsidRPr="003B3079" w:rsidRDefault="00C51675" w:rsidP="00C51675">
      <w:pPr>
        <w:pStyle w:val="SingleTxtG"/>
        <w:suppressAutoHyphens w:val="0"/>
      </w:pPr>
      <w:r>
        <w:t>37.</w:t>
      </w:r>
      <w:r>
        <w:tab/>
        <w:t>Государствам-участникам следует принять надлежащие меры для обеспечения постоянного и полноценного участия детей в реализации комплексной политики искоренения ксенофобии и ее воздействия на права человека. Все компетентные органы должны уметь слушать детей-мигрантов, в том числе несопровождаемых и разлученных, а также детей, родившихся в семьях мигрантов. Их мнения должны приниматься к сведению и учитываться на всех уровнях и во всех ветвях власти — как на национальном, так и на местном уровне — всякий раз, когда затрагиваются их права. Такие ситуации включают обсуждение вопросов, касающихся защиты и благополучия семьи и детей, образования, миграции, предоставления убежища, правосудия в отношении детей, правоприменительной деятельности и социальной защиты. Государствам-участникам следует категорически воздерживаться от использования или распространения риторики, делающей преступников из детей-мигрантов, в том числе несопровождаемых и разлученных, и навязывающей стереотипы в их отношении. Им следует также отвергать социальную, политическую или медийную риторику, в которой дети-мигранты становятся козлами отпущения или подвергаются стигматизации.</w:t>
      </w:r>
    </w:p>
    <w:p w14:paraId="7E8F108F" w14:textId="77777777" w:rsidR="00C51675" w:rsidRPr="003B3079" w:rsidRDefault="00C51675" w:rsidP="00C51675">
      <w:pPr>
        <w:pStyle w:val="SingleTxtG"/>
        <w:suppressAutoHyphens w:val="0"/>
      </w:pPr>
      <w:r>
        <w:t>38.</w:t>
      </w:r>
      <w:r>
        <w:tab/>
        <w:t xml:space="preserve">Государствам-участникам следует также принять следующие меры: </w:t>
      </w:r>
    </w:p>
    <w:p w14:paraId="517B49AC" w14:textId="0AF1B658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a)</w:t>
      </w:r>
      <w:r>
        <w:tab/>
        <w:t xml:space="preserve">разработать специальные услуги поддержки в рамках политики обеспечения благополучия детей и молодежи для удовлетворения потребностей детей-мигрантов; </w:t>
      </w:r>
    </w:p>
    <w:p w14:paraId="01C623FB" w14:textId="75ECF30E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b)</w:t>
      </w:r>
      <w:r>
        <w:tab/>
        <w:t xml:space="preserve">содействовать реализации инициатив, направленных на предотвращение ксенофобии и укрепление социальной сплоченности на цифровых платформах и в приложениях, предназначенных для детей; </w:t>
      </w:r>
    </w:p>
    <w:p w14:paraId="295EF527" w14:textId="1E355CEB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c)</w:t>
      </w:r>
      <w:r>
        <w:tab/>
        <w:t xml:space="preserve">усилить образование и профессиональную подготовку в области межкультурного посредничества; </w:t>
      </w:r>
    </w:p>
    <w:p w14:paraId="3AEFB003" w14:textId="003A6E87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d)</w:t>
      </w:r>
      <w:r>
        <w:tab/>
        <w:t xml:space="preserve">назначить межкультурных посредников в учреждениях системы защиты детей, в школах и на уровне местных общин, особенно в городах и районах с высокой степенью культурного разнообразия; </w:t>
      </w:r>
    </w:p>
    <w:p w14:paraId="18404194" w14:textId="5CAEEBA3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e)</w:t>
      </w:r>
      <w:r>
        <w:tab/>
        <w:t xml:space="preserve">содействовать созданию более инклюзивной и благоприятной среды для детей-мигрантов и их семей, включая оказание языковых услуг; </w:t>
      </w:r>
    </w:p>
    <w:p w14:paraId="7420801D" w14:textId="3D92A7B4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f)</w:t>
      </w:r>
      <w:r>
        <w:tab/>
        <w:t>запретить на законодательном уровне и искоренить на практике содержание под стражей детей-мигрантов и их семей;</w:t>
      </w:r>
    </w:p>
    <w:p w14:paraId="1DDFBEF7" w14:textId="3E38844D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g)</w:t>
      </w:r>
      <w:r>
        <w:tab/>
        <w:t>обеспечить учет культурных особенностей при оценке наилучших путей обеспечения интересов ребенка в контексте миграции;</w:t>
      </w:r>
    </w:p>
    <w:p w14:paraId="2BADC8E6" w14:textId="193844A2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h)</w:t>
      </w:r>
      <w:r>
        <w:tab/>
        <w:t xml:space="preserve">отражать культурное разнообразие общества в штате сотрудников органов по защите детей; </w:t>
      </w:r>
    </w:p>
    <w:p w14:paraId="4500D7C0" w14:textId="1EADB958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i)</w:t>
      </w:r>
      <w:r>
        <w:tab/>
        <w:t>проводить межкультурные мероприятия, направленные на поощрение гармоничного взаимодействия и уважения разных культур.</w:t>
      </w:r>
    </w:p>
    <w:p w14:paraId="4C61C36E" w14:textId="77777777" w:rsidR="00C51675" w:rsidRPr="003B3079" w:rsidRDefault="00C51675" w:rsidP="00C51675">
      <w:pPr>
        <w:pStyle w:val="SingleTxtG"/>
        <w:suppressAutoHyphens w:val="0"/>
      </w:pPr>
      <w:r>
        <w:t>39.</w:t>
      </w:r>
      <w:r>
        <w:tab/>
        <w:t xml:space="preserve">Комитеты напоминают государствам-участникам о необходимости принимать надлежащие меры для полного учета прав детей в миграционной политике и в политике в смежных областях, соблюдая все авторитетные международные стандарты, разработанные Комитетом по трудящимся-мигрантам и Комитетом по правам ребенка </w:t>
      </w:r>
      <w:r>
        <w:lastRenderedPageBreak/>
        <w:t>в их совместных замечаниях общего порядка</w:t>
      </w:r>
      <w:r w:rsidRPr="00070726">
        <w:rPr>
          <w:rStyle w:val="aa"/>
        </w:rPr>
        <w:footnoteReference w:id="17"/>
      </w:r>
      <w:r>
        <w:t xml:space="preserve">, призванных служить ориентиром для политики и практики в отношении детей в контексте миграции. </w:t>
      </w:r>
    </w:p>
    <w:p w14:paraId="5D933544" w14:textId="77777777" w:rsidR="00C51675" w:rsidRPr="003B3079" w:rsidRDefault="00C51675" w:rsidP="00C51675">
      <w:pPr>
        <w:pStyle w:val="H1G"/>
      </w:pPr>
      <w:r w:rsidRPr="00E83532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Молодежь</w:t>
      </w:r>
    </w:p>
    <w:p w14:paraId="736F5787" w14:textId="77777777" w:rsidR="00C51675" w:rsidRPr="003B3079" w:rsidRDefault="00C51675" w:rsidP="00C51675">
      <w:pPr>
        <w:pStyle w:val="SingleTxtG"/>
        <w:suppressAutoHyphens w:val="0"/>
      </w:pPr>
      <w:r>
        <w:t>40.</w:t>
      </w:r>
      <w:r>
        <w:tab/>
        <w:t xml:space="preserve">В странах, в которых вследствие мобильности населения оно становится все более разнородным, важнейшую роль в предотвращении и искоренении ксенофобии может сыграть молодежная политика. Как постоянно подтверждают данные по миграции, среди прибывающих в страны назначения велика доля молодых людей, которые контактируют с другими людьми в учебных заведениях, общественных местах и на рабочих местах — во всех ключевых сферах, где ксенофобские риторика и политика могут иметь серьезные последствия. Меры, ориентированные на молодежь, могут сыграть решающую роль в решении проблемы ксенофобии как в краткосрочной, так и в долгосрочной перспективе. </w:t>
      </w:r>
    </w:p>
    <w:p w14:paraId="117DD07B" w14:textId="77777777" w:rsidR="00C51675" w:rsidRPr="003B3079" w:rsidRDefault="00C51675" w:rsidP="00C51675">
      <w:pPr>
        <w:pStyle w:val="SingleTxtG"/>
        <w:suppressAutoHyphens w:val="0"/>
      </w:pPr>
      <w:r>
        <w:t>41.</w:t>
      </w:r>
      <w:r>
        <w:tab/>
        <w:t>Комитеты рекомендуют государствам-участникам включить в молодежную политику на национальном и местном уровнях программы, направленные на укрепление взаимопонимания и поддержание социальной сплоченности. Следует содействовать межкультурному диалогу и участию молодежи из числа мигрантов</w:t>
      </w:r>
      <w:r w:rsidRPr="00D616CB">
        <w:t xml:space="preserve"> </w:t>
      </w:r>
      <w:r>
        <w:t>в рамках комплексной стратегии разработки, реализации и оценки политики, ориентированной на молодежь. В инициативах, направленных на борьбу с ксенофобией, расизмом и перекрестными формами дискриминации, должны наряду с остальной молодежью</w:t>
      </w:r>
      <w:r w:rsidRPr="003F4A8B">
        <w:t xml:space="preserve"> </w:t>
      </w:r>
      <w:r>
        <w:t xml:space="preserve">участвовать молодые мигранты или молодежь из семей мигрантского происхождения. В рамках программ, направленных на содействие трудоустройству, профессиональной подготовке и расширению доступа молодежи к высшему образованию, необходимо принимать конкретные меры по предотвращению ксенофобии и расизма. </w:t>
      </w:r>
    </w:p>
    <w:p w14:paraId="22B3AAAB" w14:textId="77777777" w:rsidR="00C51675" w:rsidRPr="003B3079" w:rsidRDefault="00C51675" w:rsidP="00C51675">
      <w:pPr>
        <w:pStyle w:val="H1G"/>
      </w:pPr>
      <w:r w:rsidRPr="00F37B32"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>Пожилые люди</w:t>
      </w:r>
    </w:p>
    <w:p w14:paraId="61A72D7F" w14:textId="77777777" w:rsidR="00C51675" w:rsidRPr="003B3079" w:rsidRDefault="00C51675" w:rsidP="00C51675">
      <w:pPr>
        <w:pStyle w:val="SingleTxtG"/>
        <w:suppressAutoHyphens w:val="0"/>
      </w:pPr>
      <w:r>
        <w:t>42.</w:t>
      </w:r>
      <w:r>
        <w:tab/>
        <w:t>Ксенофобия и ее взаимосвязь с политикой, затрагивающей права мигрантов, приводят к особым последствиям для пожилых мигрантов. Риторика, в рамках которой мигранты ошибочно изображаются как социальное бремя, а также требования при предоставлении доступа к определенным социальным правам отдавать приоритет гражданам приводят к введению ограничений на доступ мигрантов к программам и услугам, предназначенным для пожилых людей, особенно к программам и услугам для пожилых людей, находящимся в уязвимом положении. В качестве оснований для введения правил, дискриминирующих пожилых мигрантов, в том числе в системах социального обеспечения для работников как формального, так и неформального сектора после выхода на пенсию, используются гражданство, миграционный статус, а также тип и срок действия разрешения на проживание.</w:t>
      </w:r>
    </w:p>
    <w:p w14:paraId="658956FF" w14:textId="77777777" w:rsidR="00C51675" w:rsidRPr="003B3079" w:rsidRDefault="00C51675" w:rsidP="00C51675">
      <w:pPr>
        <w:pStyle w:val="SingleTxtG"/>
        <w:suppressAutoHyphens w:val="0"/>
      </w:pPr>
      <w:r>
        <w:t>43.</w:t>
      </w:r>
      <w:r>
        <w:tab/>
        <w:t>Государствам-участникам следует принять все необходимые меры для исключения любых дискриминационных положений из политики и программ в области социальной защиты, социального обеспечения и смежных областях для пожилых людей, особенно для тех из них, кто находится в уязвимом положении. Кроме того, следует обеспечить сохранение прав на социальное обеспечение посредством заключения специальных межгосударственных соглашений, с тем чтобы гарантировать справедливую социальную защиту для всех. Компетентные органы должны решительно противодействовать риторике, пропагандирующей привилегированное отношение к гражданам в рамках такой политики.</w:t>
      </w:r>
    </w:p>
    <w:p w14:paraId="60DB6A1F" w14:textId="77777777" w:rsidR="00C51675" w:rsidRPr="003B3079" w:rsidRDefault="00C51675" w:rsidP="00C51675">
      <w:pPr>
        <w:pStyle w:val="H1G"/>
      </w:pPr>
      <w:r w:rsidRPr="00877061">
        <w:rPr>
          <w:bCs/>
        </w:rPr>
        <w:lastRenderedPageBreak/>
        <w:tab/>
      </w:r>
      <w:r>
        <w:rPr>
          <w:bCs/>
        </w:rPr>
        <w:t>E.</w:t>
      </w:r>
      <w:r>
        <w:tab/>
      </w:r>
      <w:r>
        <w:rPr>
          <w:bCs/>
        </w:rPr>
        <w:t>Инвалиды</w:t>
      </w:r>
      <w:r>
        <w:t xml:space="preserve"> </w:t>
      </w:r>
    </w:p>
    <w:p w14:paraId="5C832045" w14:textId="09AC2B2E" w:rsidR="00C51675" w:rsidRPr="003B3079" w:rsidRDefault="00C51675" w:rsidP="00C51675">
      <w:pPr>
        <w:pStyle w:val="SingleTxtG"/>
        <w:suppressAutoHyphens w:val="0"/>
      </w:pPr>
      <w:r>
        <w:t>44.</w:t>
      </w:r>
      <w:r>
        <w:tab/>
        <w:t xml:space="preserve">Сочетание ксенофобской и расистской риторики, выставляющей мигрантов как не заслуживающих равных прав, и эйблистской риторики в отношении инвалидов, которые изображаются непродуктивными и представляющими собой бремя </w:t>
      </w:r>
      <w:r>
        <w:rPr>
          <w:lang w:val="en-US"/>
        </w:rPr>
        <w:br/>
      </w:r>
      <w:r>
        <w:t>для общества, приводит к произвольным ограничениям прав человека. Дискриминационное обращение включает ограничения по признаку инвалидности на получение виз для трудящихся-мигрантов, на воссоединение семей и на использование любых других безопасных и легальных каналов миграции, а также ограничения на доступ к системам социальной защиты и другим программам для инвалидов по признаку гражданства, миграционного статуса, а также типа или срока действия разрешения на проживание.</w:t>
      </w:r>
    </w:p>
    <w:p w14:paraId="2D79DE52" w14:textId="77777777" w:rsidR="00C51675" w:rsidRPr="003B3079" w:rsidRDefault="00C51675" w:rsidP="00C51675">
      <w:pPr>
        <w:pStyle w:val="SingleTxtG"/>
        <w:suppressAutoHyphens w:val="0"/>
      </w:pPr>
      <w:r>
        <w:t>45.</w:t>
      </w:r>
      <w:r>
        <w:tab/>
        <w:t>Государства-участники должны воздерживаться от использования инвалидности в качестве одного из оснований для отказа в выдаче виз или разрешений на проживание либо для их ограничения. Необходимо также избегать установления требований к состоянию здоровья, приводящих к косвенной дискриминации в отношении мигрантов-инвалидов. Государствам-участникам следует принять надлежащие меры, включая, при необходимости, проведение законодательных и административных реформ, для обеспечения равного доступа всем мигрантам-инвалидам. Ключевое значение для своевременного удовлетворения их потребностей, более эффективной защиты и содействия реализации их прав, а также обеспечения доступа к существующим услугам имеют методы выявления мигрантов-инвалидов в рамках миграционных процедур, процедур предоставления убежища и сбора административных данных. Должны приниматься меры, обеспечивающие отсутствие в ориентированных на инвалидов политике и программах дискриминации по признаку гражданства, миграционного статуса или наличия разрешения на проживание, в том числе в областях социальной защиты, медицинской помощи, занятости и условий труда.</w:t>
      </w:r>
    </w:p>
    <w:p w14:paraId="3752AECE" w14:textId="77777777" w:rsidR="00C51675" w:rsidRPr="003B3079" w:rsidRDefault="00C51675" w:rsidP="00C51675">
      <w:pPr>
        <w:pStyle w:val="SingleTxtG"/>
        <w:suppressAutoHyphens w:val="0"/>
      </w:pPr>
      <w:r>
        <w:t>46.</w:t>
      </w:r>
      <w:r>
        <w:tab/>
        <w:t>Комитеты подчеркивают, что следует разработать надлежащие меры для проведения тщательных консультаций с мигрантами-инвалидами и обеспечения их полноценного и активного участия через их представительные организации в разработке и осуществлении политики и программ, которые могут затрагивать их права, включая инициативы по борьбе с ксенофобией.</w:t>
      </w:r>
    </w:p>
    <w:p w14:paraId="7A08E575" w14:textId="77777777" w:rsidR="00C51675" w:rsidRPr="003B3079" w:rsidRDefault="00C51675" w:rsidP="00C51675">
      <w:pPr>
        <w:pStyle w:val="SingleTxtG"/>
        <w:suppressAutoHyphens w:val="0"/>
      </w:pPr>
      <w:r>
        <w:t>47.</w:t>
      </w:r>
      <w:r>
        <w:tab/>
        <w:t>Комитеты рекомендуют применять для сбора данных с разбивкой по статусу инвалидности краткий опросник по функциональным возможностям, подготовленный Вашингтонской группой</w:t>
      </w:r>
      <w:r w:rsidRPr="00070726">
        <w:rPr>
          <w:rStyle w:val="aa"/>
        </w:rPr>
        <w:footnoteReference w:id="18"/>
      </w:r>
      <w:r>
        <w:t>, а для мониторинга мер, принимаемых государствами в целях искоренения ксенофобии — показатели в области прав человека, разработанные Управлением Верховного комиссара Организации Объединенных Наций по правам человека (УВКПЧ) в рамках Конвенции о правах инвалидов</w:t>
      </w:r>
      <w:r w:rsidRPr="00070726">
        <w:rPr>
          <w:rStyle w:val="aa"/>
        </w:rPr>
        <w:footnoteReference w:id="19"/>
      </w:r>
      <w:r>
        <w:t>. Эти инструменты следует также использовать для предоставления информации о принятых мерах и достигнутых с их помощью результатах национальным механизмам наблюдения за выполнением решений и международным правозащитным органам.</w:t>
      </w:r>
    </w:p>
    <w:p w14:paraId="4257A46D" w14:textId="77777777" w:rsidR="00C51675" w:rsidRPr="003B3079" w:rsidRDefault="00C51675" w:rsidP="00C51675">
      <w:pPr>
        <w:pStyle w:val="H1G"/>
      </w:pPr>
      <w:r w:rsidRPr="00FA6C0E">
        <w:rPr>
          <w:bCs/>
        </w:rPr>
        <w:tab/>
      </w:r>
      <w:r>
        <w:rPr>
          <w:bCs/>
        </w:rPr>
        <w:t>F.</w:t>
      </w:r>
      <w:r>
        <w:tab/>
      </w:r>
      <w:r>
        <w:rPr>
          <w:bCs/>
        </w:rPr>
        <w:t>Лица африканского происхождения, лица азиатского происхождения и другие расиализированные группы</w:t>
      </w:r>
    </w:p>
    <w:p w14:paraId="374BCB3B" w14:textId="77777777" w:rsidR="00C51675" w:rsidRPr="003B3079" w:rsidRDefault="00C51675" w:rsidP="00C51675">
      <w:pPr>
        <w:pStyle w:val="SingleTxtG"/>
        <w:suppressAutoHyphens w:val="0"/>
      </w:pPr>
      <w:r>
        <w:t>48.</w:t>
      </w:r>
      <w:r>
        <w:tab/>
        <w:t xml:space="preserve">Структурная взаимосвязь ксенофобии и системного расизма приводит к серьезным интерсекциональным последствиям для прав мигрантов африканского происхождения, мигрантов азиатского происхождения и их семей, что особенно сказывается на тех, кто также подвергается маргинализации на основании социально-экономического положения, религии, гендера, сексуальной ориентации и других признаков. Структурное неравенство, проявляющееся в доступе к визам и </w:t>
      </w:r>
      <w:r>
        <w:lastRenderedPageBreak/>
        <w:t>разрешениям на проживание, расовом профилировании и произвольном обращении со стороны сотрудников правоохранительных органов, судебных органов и поставщиков услуг, а также в препятствиях и неравных возможностях в сферах образования, трудовой деятельности, здравоохранения и доступа к жилью — это лишь несколько примеров институционализированной дискриминации, с которой они сталкиваются.</w:t>
      </w:r>
    </w:p>
    <w:p w14:paraId="71C063E8" w14:textId="77777777" w:rsidR="00C51675" w:rsidRPr="003B3079" w:rsidRDefault="00C51675" w:rsidP="00C51675">
      <w:pPr>
        <w:pStyle w:val="SingleTxtG"/>
        <w:suppressAutoHyphens w:val="0"/>
      </w:pPr>
      <w:r>
        <w:t>49.</w:t>
      </w:r>
      <w:r>
        <w:tab/>
        <w:t>Женщины-мигрантки африканского происхождения нередко сталкиваются с сексуализированными стереотипами, гендерным и расовым неравенством в сфере занятости, а также с повышенными рисками гендерного насилия. Для мигрантов африканского происхождения из числа ЛГБТИК+ перекрестные формы неравенства приводят к усилению уязвимости и целенаправленным злоупотреблениям. Такие формы дискриминации — это не просто проявление предвзятости, а отражение глубоко укоренившихся структурных видов неравенства, обусловленных расовой принадлежностью, гендером, религией, экономическим положением и сексуальной ориентацией. Кроме того, дискриминационное использование цифровых технологий на границах наносит особый ущерб расово маргинализованным мигранткам, в том числе имеющим урегулированный статус.</w:t>
      </w:r>
    </w:p>
    <w:p w14:paraId="7CC5B470" w14:textId="77777777" w:rsidR="00C51675" w:rsidRPr="003B3079" w:rsidRDefault="00C51675" w:rsidP="00C51675">
      <w:pPr>
        <w:pStyle w:val="SingleTxtG"/>
        <w:suppressAutoHyphens w:val="0"/>
      </w:pPr>
      <w:r>
        <w:t>50.</w:t>
      </w:r>
      <w:r>
        <w:tab/>
        <w:t>Государствам-участникам следует принимать в рамках своей политики искоренения ксенофобии все надлежащие меры по обеспечению соблюдения и осуществления всех прав мигрантов африканского происхождения и их семей</w:t>
      </w:r>
      <w:r w:rsidRPr="00070726">
        <w:rPr>
          <w:rStyle w:val="aa"/>
        </w:rPr>
        <w:footnoteReference w:id="20"/>
      </w:r>
      <w:r>
        <w:t xml:space="preserve">. Следует принять меры по вовлечению мигрантов в процесс разработки политики, направленной на искоренение расизма в отношении лиц африканского происхождения. Государствам-участникам также настоятельно рекомендуется предоставлять информацию о мерах, принятых в целях поощрения и осуществления прав мигрантов африканского происхождения, а также о достигнутых с их помощью результатах в рамках мероприятий по проведению второго Международного десятилетия лиц африканского происхождения (2025–2034 годы). </w:t>
      </w:r>
    </w:p>
    <w:p w14:paraId="47A821F3" w14:textId="77777777" w:rsidR="00C51675" w:rsidRPr="003B3079" w:rsidRDefault="00C51675" w:rsidP="00C51675">
      <w:pPr>
        <w:pStyle w:val="SingleTxtG"/>
        <w:suppressAutoHyphens w:val="0"/>
      </w:pPr>
      <w:r>
        <w:t>51.</w:t>
      </w:r>
      <w:r>
        <w:tab/>
        <w:t xml:space="preserve">Комитеты рекомендуют государствам-участникам принять все необходимые меры для обеспечения участия мигрантов африканского происхождения в разработке, осуществлении и периодической оценке политики, направленной на искоренение ксенофобии. В рамках такой политики следует принять конкретные меры для охвата мигрантов африканского происхождения и их семей механизмами сбора данных. Инициативы, направленные на борьбу с ксенофобской и расистской риторикой в отношении мигрантов, а также на продвижение основанной на правах человека и фактических данных коммуникационной политики в области миграции, должны учитывать структурную взаимосвязь между ксенофобией и расизмом, которая отражается на правах и условиях жизни мигрантов африканского происхождения и их семей. </w:t>
      </w:r>
    </w:p>
    <w:p w14:paraId="182B4B76" w14:textId="77777777" w:rsidR="00C51675" w:rsidRPr="003B3079" w:rsidRDefault="00C51675" w:rsidP="00C51675">
      <w:pPr>
        <w:pStyle w:val="SingleTxtG"/>
        <w:suppressAutoHyphens w:val="0"/>
      </w:pPr>
      <w:r>
        <w:t>52.</w:t>
      </w:r>
      <w:r>
        <w:tab/>
        <w:t>Комитеты подчеркивают, что другие расиализированные группы также являются основными жертвами проявлений ксенофобии, предрассудков и политики, оказывающих воздействие на права мигрантов и других лиц, воспринимаемых в качестве таковых. Например, лица азиатского происхождения и представители общин рома</w:t>
      </w:r>
      <w:r w:rsidRPr="00070726">
        <w:rPr>
          <w:rStyle w:val="aa"/>
        </w:rPr>
        <w:footnoteReference w:id="21"/>
      </w:r>
      <w:r>
        <w:t xml:space="preserve"> прямо или косвенно сталкиваются с дискриминацией по признаку происхождения или этнической принадлежности в результате дискриминационной миграционной политики и политики в смежных областях, независимо от того, являются ли они мигрантами на самом деле. Аналогичным образом, антицыганизм и враждебная по отношению к другим расиализированным группам риторика подпитывают узконаправленную, основанную на стереотипных представлениях и ориентированную на вопросы безопасности миграционную политику, которая, в свою очередь, усиливает подобные дискриминационные настроения и воззрения. </w:t>
      </w:r>
    </w:p>
    <w:p w14:paraId="4FFA9BB9" w14:textId="77777777" w:rsidR="00C51675" w:rsidRPr="003B3079" w:rsidRDefault="00C51675" w:rsidP="00C51675">
      <w:pPr>
        <w:pStyle w:val="SingleTxtG"/>
        <w:suppressAutoHyphens w:val="0"/>
      </w:pPr>
      <w:r>
        <w:t>53.</w:t>
      </w:r>
      <w:r>
        <w:tab/>
        <w:t xml:space="preserve">Комитеты подчеркивают, что упоминание конкретных социальных групп в настоящей общей рекомендации/замечании общего порядка ни в коей мере не означает, что другие расиализированные общины не сталкиваются с ксенофобией вследствие перекрестных форм дискриминации. </w:t>
      </w:r>
    </w:p>
    <w:p w14:paraId="5C34E857" w14:textId="77777777" w:rsidR="00C51675" w:rsidRPr="003B3079" w:rsidRDefault="00C51675" w:rsidP="00C51675">
      <w:pPr>
        <w:pStyle w:val="H1G"/>
      </w:pPr>
      <w:r>
        <w:rPr>
          <w:bCs/>
        </w:rPr>
        <w:lastRenderedPageBreak/>
        <w:tab/>
        <w:t>G.</w:t>
      </w:r>
      <w:r>
        <w:tab/>
      </w:r>
      <w:r>
        <w:rPr>
          <w:bCs/>
        </w:rPr>
        <w:t>Общины коренных народов</w:t>
      </w:r>
    </w:p>
    <w:p w14:paraId="74C22D2A" w14:textId="77777777" w:rsidR="00C51675" w:rsidRPr="003B3079" w:rsidRDefault="00C51675" w:rsidP="00C51675">
      <w:pPr>
        <w:pStyle w:val="SingleTxtG"/>
        <w:suppressAutoHyphens w:val="0"/>
      </w:pPr>
      <w:r>
        <w:t>54.</w:t>
      </w:r>
      <w:r>
        <w:tab/>
        <w:t>Структурный расизм оказывает воздействие на жизнь и права человека коренных народов во всем мире. Одним из его последствий является их вынужденное перемещение, как внутри страны, так и между странами</w:t>
      </w:r>
      <w:r w:rsidRPr="00070726">
        <w:rPr>
          <w:rStyle w:val="aa"/>
        </w:rPr>
        <w:footnoteReference w:id="22"/>
      </w:r>
      <w:r>
        <w:t xml:space="preserve">, что противоречит статье 10 Декларации Организации Объединенных Наций о правах коренных народов. К коренным причинам миграции представителей общин коренных народов относятся системная дискриминация, отсутствие элементарных возможностей, нарушение, в том числе предприятиями добывающей промышленности, их права на пользование своими землями и исконными территориями, структурное и институционализированное насилие, а также конкретные последствия изменения климата. </w:t>
      </w:r>
    </w:p>
    <w:p w14:paraId="584BA31C" w14:textId="77777777" w:rsidR="00C51675" w:rsidRPr="003B3079" w:rsidRDefault="00C51675" w:rsidP="00C51675">
      <w:pPr>
        <w:pStyle w:val="SingleTxtG"/>
        <w:suppressAutoHyphens w:val="0"/>
      </w:pPr>
      <w:r>
        <w:t>55.</w:t>
      </w:r>
      <w:r>
        <w:tab/>
        <w:t xml:space="preserve">Сочетание ксенофобии и расизма негативно сказывается на обращении с мигрантами из числа коренных народов и их семьями. Дискриминационные визовая политика и политика в области предоставления убежища, а также недоступность услуг устного перевода препятствуют их безопасной и легальной миграции. О воздействии ксенофобии и расизма на их права свидетельствуют произвольное и расистское обращение со стороны сотрудников правоохранительных и других органов, включая поставщиков услуг и подрядчиков, в странах транзита и назначения, и отсутствие равных возможностей для полноценной социальной интеграции в принимающих обществах. </w:t>
      </w:r>
    </w:p>
    <w:p w14:paraId="68BD56F1" w14:textId="372BBC70" w:rsidR="00C51675" w:rsidRPr="003B3079" w:rsidRDefault="00C51675" w:rsidP="00C51675">
      <w:pPr>
        <w:pStyle w:val="SingleTxtG"/>
        <w:suppressAutoHyphens w:val="0"/>
      </w:pPr>
      <w:r>
        <w:t>56.</w:t>
      </w:r>
      <w:r>
        <w:tab/>
        <w:t>Комитеты выражают глубокую обеспокоенность воздействием ксенофобии и расовой дискриминации на условия труда трудящихся-мигрантов из числа коренных народов, особенно тех, чей статус не урегулирован. Комитеты подчеркивают, что положение временно занятых трудящихся-мигрантов из общин коренных народов, в том числе из общин, проживающих в приграничных районах или вблизи них, зачастую объясняется недостаточным признанием их земельных прав в соответствии с международными стандартами, такими как Конвенция Международной организации труда 1989 года о коренных народах и народах, ведущих племенной образ жизни (№</w:t>
      </w:r>
      <w:r>
        <w:rPr>
          <w:lang w:val="en-US"/>
        </w:rPr>
        <w:t> </w:t>
      </w:r>
      <w:r>
        <w:t xml:space="preserve">169), в государствах происхождения и назначения. Отсутствие недискриминационной политики, регулирующей трудовые отношения, и защитных механизмов усугубляет структурное неравенство. Сочетание расовой дискриминации и ксенофобии, а также игнорирование статуса коренных народов усиливает риск трудовой эксплуатации, в том числе принуждения к выполнению опасных видов работы, присвоения заработной платы и современных форм рабства. Женщины и девочки-мигрантки из числа коренных народов особенно подвержены риску перекрестных форм дискриминации, включая сексуальную эксплуатацию и гендерное насилие. </w:t>
      </w:r>
    </w:p>
    <w:p w14:paraId="42BD395C" w14:textId="77777777" w:rsidR="00C51675" w:rsidRPr="003B3079" w:rsidRDefault="00C51675" w:rsidP="00C51675">
      <w:pPr>
        <w:pStyle w:val="SingleTxtG"/>
        <w:suppressAutoHyphens w:val="0"/>
      </w:pPr>
      <w:r>
        <w:t>57.</w:t>
      </w:r>
      <w:r>
        <w:tab/>
        <w:t xml:space="preserve">Государствам-участникам следует принять надлежащие меры для улучшения регулирования и контроля условий труда трудящихся-мигрантов из числа коренных народов, независимо от их миграционного статуса, а также обеспечить равный доступ к социальной защите, средствам правовой защиты и механизмам подачи жалоб. Государствам-участникам следует также внести соответствующие изменения в проводимую политику, с тем чтобы обеспечить соблюдение земельных прав коренных народов, в том числе принять меры, направленные на содействие реинтеграции с учетом культурных особенностей, обеспечение доступа к правосудию и возмещение ущерба в случаях принудительного перемещения, уделяя особое внимание возвращению земель и восстановлению общин. </w:t>
      </w:r>
    </w:p>
    <w:p w14:paraId="704E6825" w14:textId="77777777" w:rsidR="00C51675" w:rsidRPr="003B3079" w:rsidRDefault="00C51675" w:rsidP="00C51675">
      <w:pPr>
        <w:pStyle w:val="SingleTxtG"/>
        <w:suppressAutoHyphens w:val="0"/>
      </w:pPr>
      <w:r>
        <w:t>58.</w:t>
      </w:r>
      <w:r>
        <w:tab/>
        <w:t xml:space="preserve">Комитеты рекомендуют государствам-участникам в полной мере и сквозным образом учитывать права общин коренных народов в политике искоренения ксенофобии. Важнейшими компонентами такой политики являются межкультурные услуги и программы. Политика и меры должны основываться на межкультурных подходах и разрабатываться в тесном сотрудничестве с коренными народами, с соблюдением принципа свободного, предварительного и осознанного согласия. Следует обеспечить активное участие мигрантов из числа коренных народов, в том числе организаций, возглавляемых представителями коренных народов, и </w:t>
      </w:r>
      <w:r>
        <w:lastRenderedPageBreak/>
        <w:t>представительных институтов, в разработке, осуществлении и периодической оценке таких мер. Государствам-участникам следует признавать стратегии в области миграции, разрабатываемые и осуществляемые под руководством коренных народов, которые призваны обеспечить уважение их достоинства, соблюдение прав и обеспечение устойчивости, и содействовать их реализации, а также расширять доступ к образованию, соблюдению языковых прав и сохранению культурной самобытности на всех этапах миграционного процесса.</w:t>
      </w:r>
    </w:p>
    <w:p w14:paraId="0AFE3899" w14:textId="77777777" w:rsidR="00C51675" w:rsidRPr="003B3079" w:rsidRDefault="00C51675" w:rsidP="00C51675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>Лица без гражданства</w:t>
      </w:r>
    </w:p>
    <w:p w14:paraId="55CE0173" w14:textId="77777777" w:rsidR="00C51675" w:rsidRPr="003B3079" w:rsidRDefault="00C51675" w:rsidP="00C51675">
      <w:pPr>
        <w:pStyle w:val="SingleTxtG"/>
        <w:suppressAutoHyphens w:val="0"/>
      </w:pPr>
      <w:r>
        <w:t>59.</w:t>
      </w:r>
      <w:r>
        <w:tab/>
        <w:t xml:space="preserve">Одним из последствий ксенофобии является проблема безгражданства. Ограничительные и дискриминационные меры, связанные с гражданством, миграционным статусом или статусом резидента, в том числе меры законодательного характера, приводят к ситуации безгражданства детей, родившихся в странах транзита или назначения. Важно учитывать положение женщин и девочек, оказавшихся без гражданства вследствие изменения государственных границ или определения того, кого можно считать гражданами, в частности в силу законов или практики, не предусматривающих предоставление гражданства детям, рожденным женщинами с неурегулированным миграционным статусом, или по другим связанным с этим причинам. </w:t>
      </w:r>
    </w:p>
    <w:p w14:paraId="5B1A77A3" w14:textId="50B1A305" w:rsidR="00C51675" w:rsidRPr="003B3079" w:rsidRDefault="00C51675" w:rsidP="00C51675">
      <w:pPr>
        <w:pStyle w:val="SingleTxtG"/>
        <w:suppressAutoHyphens w:val="0"/>
      </w:pPr>
      <w:r>
        <w:t>60.</w:t>
      </w:r>
      <w:r>
        <w:tab/>
        <w:t xml:space="preserve">Комитеты признают, что большинство лиц без гражданства во всем мире принадлежит к конкретным этническим, религиозным группам и группам меньшинств. Во многих случаях такая ситуация является прямым следствием ксенофобии и перекрестной дискриминации в практике оформления документов. </w:t>
      </w:r>
      <w:r>
        <w:rPr>
          <w:lang w:val="en-US"/>
        </w:rPr>
        <w:br/>
      </w:r>
      <w:r>
        <w:t>В некоторых законах и видах административной практики отношение к этническим меньшинствам сродни отношению к иностранца</w:t>
      </w:r>
      <w:r w:rsidR="00EF4399">
        <w:t>м</w:t>
      </w:r>
      <w:r>
        <w:t>, и на них распространяются правила и процедуры, аналогичные тем, которые применяются в контексте миграции</w:t>
      </w:r>
      <w:r w:rsidRPr="00070726">
        <w:rPr>
          <w:rStyle w:val="aa"/>
        </w:rPr>
        <w:footnoteReference w:id="23"/>
      </w:r>
      <w:r>
        <w:t>.</w:t>
      </w:r>
    </w:p>
    <w:p w14:paraId="216C8068" w14:textId="77777777" w:rsidR="00C51675" w:rsidRPr="003B3079" w:rsidRDefault="00C51675" w:rsidP="00C51675">
      <w:pPr>
        <w:pStyle w:val="SingleTxtG"/>
        <w:suppressAutoHyphens w:val="0"/>
      </w:pPr>
      <w:r>
        <w:t>61.</w:t>
      </w:r>
      <w:r>
        <w:tab/>
        <w:t>Государствам-участникам следует принять все надлежащие меры, в том числе реформировать законодательство, для эффективного предотвращения безгражданства и обеспечения права на гражданство всех детей, рожденных от родителей-мигрантов, независимо от наличия у родителей миграционного статуса или статуса резидента. Необходимо предусмотреть четкие правовые гарантии того, что ни один ребенок, родившийся или обнаруженный на территории государства-участника, не окажется в ситуации безгражданства. Эти гарантии должны предоставляться без какой-либо дискриминации. Государствам транзита или назначения, где признание гражданства не регулируется принципом jus soli и где дети, родившиеся у родителей-мигрантов, не могут получить гражданство своих родителей, следует обеспечить как законодательно, так и на практике предоставление гражданства страны рождения.</w:t>
      </w:r>
    </w:p>
    <w:p w14:paraId="5A86E79A" w14:textId="77777777" w:rsidR="00C51675" w:rsidRPr="003B3079" w:rsidRDefault="00C51675" w:rsidP="00C51675">
      <w:pPr>
        <w:pStyle w:val="SingleTxtG"/>
        <w:suppressAutoHyphens w:val="0"/>
      </w:pPr>
      <w:r>
        <w:t>62.</w:t>
      </w:r>
      <w:r>
        <w:tab/>
        <w:t xml:space="preserve">Комитеты призывают государства-участники содействовать развитию механизмов двустороннего или многостороннего сотрудничества, направленных на предотвращение и искоренение безгражданства среди детей, рожденных в условиях миграции, включая детей, рожденных в странах транзита, независимо от миграционного статуса их родителей. В интересах упрощения регистрации рождений и доступа к документам, удостоверяющим личность, следует внедрить упрощенные и ускоренные процедуры. Следует стремиться к эффективной международной координации, с тем чтобы обеспечить всем детям, рожденным в странах транзита, право на имя и на получение гражданства. Ведущую роль должны играть органы по делам защиты и благополучия детей, а также органы регистрации актов гражданского состояния. При выполнении таких процедур и принятии всех решений в каждом конкретном случае следует руководствоваться принципом наилучшего обеспечения интересов ребенка. </w:t>
      </w:r>
    </w:p>
    <w:p w14:paraId="046FE646" w14:textId="77777777" w:rsidR="00C51675" w:rsidRPr="003B3079" w:rsidRDefault="00C51675" w:rsidP="00C51675">
      <w:pPr>
        <w:pStyle w:val="SingleTxtG"/>
        <w:suppressAutoHyphens w:val="0"/>
      </w:pPr>
      <w:r>
        <w:t>63.</w:t>
      </w:r>
      <w:r>
        <w:tab/>
        <w:t xml:space="preserve">Комитеты призывают все государства-участники, которые еще не ратифицировали Конвенцию о статусе апатридов и Конвенцию о сокращении безгражданства, принять необходимые меры для их ратификации. Комитеты </w:t>
      </w:r>
      <w:r>
        <w:lastRenderedPageBreak/>
        <w:t>призывают государства-участники также принять меры по выполнению рекомендаций Специального докладчика по вопросу о современных формах расизма, расовой дискриминации, ксенофобии и связанной с ними нетерпимости, изложенных в докладе о расовой дискриминации в контексте законодательства, политики и практики, касающихся гражданства, национальности и иммиграции</w:t>
      </w:r>
      <w:r w:rsidRPr="00070726">
        <w:rPr>
          <w:rStyle w:val="aa"/>
        </w:rPr>
        <w:footnoteReference w:id="24"/>
      </w:r>
      <w:r>
        <w:t>.</w:t>
      </w:r>
    </w:p>
    <w:p w14:paraId="53E1D169" w14:textId="77777777" w:rsidR="00C51675" w:rsidRPr="003B3079" w:rsidRDefault="00C51675" w:rsidP="00C51675">
      <w:pPr>
        <w:pStyle w:val="SingleTxtG"/>
        <w:suppressAutoHyphens w:val="0"/>
      </w:pPr>
      <w:r>
        <w:t>64.</w:t>
      </w:r>
      <w:r>
        <w:tab/>
        <w:t xml:space="preserve">Комитеты рекомендуют государствам-участникам в своих коммуникационных инициативах, направленных на предотвращение ксенофобии, разъяснять связь между миграцией и безгражданством. Такие инициативы должны быть ориентированы на ключевые заинтересованные стороны, в том числе на работников сферы здравоохранения, органов регистрации актов гражданского состояния и других поставщиков услуг, суды по семейным делам, а также на широкую общественность. Государствам-участникам рекомендуется принимать меры, способствующие полноценному участию лиц без гражданства и организаций, обладающих экспертными знаниями в области безгражданства, в реализации политики борьбы с ксенофобией. </w:t>
      </w:r>
    </w:p>
    <w:p w14:paraId="192B9C03" w14:textId="77777777" w:rsidR="00C51675" w:rsidRPr="003B3079" w:rsidRDefault="00C51675" w:rsidP="00C51675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Религия и убеждения</w:t>
      </w:r>
    </w:p>
    <w:p w14:paraId="390CE406" w14:textId="77777777" w:rsidR="00C51675" w:rsidRPr="003B3079" w:rsidRDefault="00C51675" w:rsidP="00C51675">
      <w:pPr>
        <w:pStyle w:val="SingleTxtG"/>
        <w:suppressAutoHyphens w:val="0"/>
      </w:pPr>
      <w:r>
        <w:t>65.</w:t>
      </w:r>
      <w:r>
        <w:tab/>
        <w:t>В ряде стран ксенофобская и антимигрантская риторика в первую очередь направлена против определенных групп мигрантов или других лиц, воспринимаемых в качестве таковых, на основании исповедуемых ими или их предполагаемых религии или убеждений, что ущемляет их право на свободу религии или убеждений, делает из них преступников и иным образом  ограничивает их права человека. Такие последствия наглядно проявляются в сфере контроля за миграцией, в том числе в практике правоохранительных и судебных органов. Постоянно поступают сообщения о случаях жестокого обращения, произвольного задержания, использования криминализирующей риторики и других злоупотреблениях, представляющих собой насилие и дискриминацию в отношении мигрантов, исповедующих ту или иную религию или имеющих те или иные убеждения — как в действительности, так и предположительно. В некоторых случаях искаженное представление об обществе приводит к тому, что его членов воспринимают как чужаков или иностранцев, что находит проявление в дискриминации, неравноправии и даже насилии и подрывает право на свободу вероисповедания. Стигматизирующая риторика изображает определенных людей, исходя из их религии или убеждений, опасными или злонамеренными субъектами, и даже связывает их с такими тяжкими преступлениями, как терроризм. Комитеты выражают особую обеспокоенность в связи с опасными исламофобией и антисемитизмом в государствах-участниках.</w:t>
      </w:r>
    </w:p>
    <w:p w14:paraId="3E949837" w14:textId="77777777" w:rsidR="00C51675" w:rsidRPr="003B3079" w:rsidRDefault="00C51675" w:rsidP="00C51675">
      <w:pPr>
        <w:pStyle w:val="SingleTxtG"/>
        <w:suppressAutoHyphens w:val="0"/>
      </w:pPr>
      <w:r>
        <w:t>66.</w:t>
      </w:r>
      <w:r>
        <w:tab/>
        <w:t>Комитеты настоятельно рекомендуют государствам-участникам принять все необходимые меры для обеспечения равного обращения со всеми людьми, находящимися под их юрисдикцией, не проводя каких-либо различий на основании религии. Меры в таких сферах, как коммуникация и образование, должны учитывать культурное, этническое и религиозное разнообразие. Необходимо усилить политику, направленную на устранение структурного неравенства, с которым сталкиваются люди, которые, невзирая на то, что являются гражданами страны проживания, по-прежнему воспринимаются как чужаки, в частности в силу их религии. Такое стигматизирующее изображение людей также используется для оправдания ограничительной миграционной политики, которая, в свою очередь, подпитывает подобные предрассудки и неравное обращение.</w:t>
      </w:r>
    </w:p>
    <w:p w14:paraId="65A04E3E" w14:textId="38A95E7A" w:rsidR="00C51675" w:rsidRPr="003B3079" w:rsidRDefault="00C51675" w:rsidP="00C51675">
      <w:pPr>
        <w:pStyle w:val="SingleTxtG"/>
        <w:suppressAutoHyphens w:val="0"/>
      </w:pPr>
      <w:r>
        <w:t>67.</w:t>
      </w:r>
      <w:r>
        <w:tab/>
        <w:t xml:space="preserve">Как отмечает Специальный докладчик по вопросу о свободе религии или убеждений, государственная политика борьбы с ксенофобией должна признавать дискриминацию по признаку религии или убеждений одним из проявлений дискриминации на почве ксенофобии, а также устанавливать соответствующие правовые параметры и запреты. Этот аспект также должен находить отражение </w:t>
      </w:r>
      <w:r>
        <w:rPr>
          <w:lang w:val="en-US"/>
        </w:rPr>
        <w:br/>
      </w:r>
      <w:r>
        <w:t xml:space="preserve">в соответствующих информационно-просветительских и образовательных </w:t>
      </w:r>
      <w:r>
        <w:lastRenderedPageBreak/>
        <w:t>инициативах, в процедурах сбора данных, а также в предоставлении услуг по налаживанию взаимодействия с общинами и оказанию поддержки жертвам</w:t>
      </w:r>
      <w:r w:rsidRPr="00070726">
        <w:rPr>
          <w:rStyle w:val="aa"/>
        </w:rPr>
        <w:footnoteReference w:id="25"/>
      </w:r>
      <w:r>
        <w:t>.</w:t>
      </w:r>
    </w:p>
    <w:p w14:paraId="51E69FAD" w14:textId="77777777" w:rsidR="00C51675" w:rsidRPr="003B3079" w:rsidRDefault="00C51675" w:rsidP="00C51675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>Социально-экономическое положение</w:t>
      </w:r>
    </w:p>
    <w:p w14:paraId="1788930E" w14:textId="77777777" w:rsidR="00C51675" w:rsidRPr="003B3079" w:rsidRDefault="00C51675" w:rsidP="00C51675">
      <w:pPr>
        <w:pStyle w:val="SingleTxtG"/>
        <w:suppressAutoHyphens w:val="0"/>
      </w:pPr>
      <w:r>
        <w:t>68.</w:t>
      </w:r>
      <w:r>
        <w:tab/>
        <w:t>Ксенофобия в отношении мигрантов и других лиц, воспринимаемых в качестве таковых, пересекается с различными формами дискриминации по признаку классовой принадлежности или социально-экономического положения. Классовая принадлежность или социально-экономическое положение используются наряду с другими признаками дискриминации для формирования стигматизирующего, а порой даже криминализирующего изображения мигрантов, особенно тех, чей статус не урегулирован.</w:t>
      </w:r>
    </w:p>
    <w:p w14:paraId="6D7E4671" w14:textId="77777777" w:rsidR="00C51675" w:rsidRPr="003B3079" w:rsidRDefault="00C51675" w:rsidP="00C51675">
      <w:pPr>
        <w:pStyle w:val="SingleTxtG"/>
        <w:suppressAutoHyphens w:val="0"/>
      </w:pPr>
      <w:r>
        <w:t>69.</w:t>
      </w:r>
      <w:r>
        <w:tab/>
        <w:t>Комитеты подчеркивают, что пересечение факторов миграции, ксенофобии и классовой принадлежности или социально-экономического положения проявляется в структурных причинах мобильности населения. Отсутствие каналов для безопасной и легальной миграции усугубляется дискриминационными, избирательными и неравноправными подходами, что вынуждает людей, находящихся в уязвимом положении, прибегать для реализации своего права на выезд из страны и поиск убежища к нелегальным и опасным путям миграции.</w:t>
      </w:r>
    </w:p>
    <w:p w14:paraId="20614C66" w14:textId="77777777" w:rsidR="00C51675" w:rsidRPr="003B3079" w:rsidRDefault="00C51675" w:rsidP="00C51675">
      <w:pPr>
        <w:pStyle w:val="SingleTxtG"/>
        <w:suppressAutoHyphens w:val="0"/>
      </w:pPr>
      <w:r>
        <w:t>70.</w:t>
      </w:r>
      <w:r>
        <w:tab/>
        <w:t>Комитеты настоятельно рекомендуют государствам-участникам в рамках их усилий по искоренению ксенофобии принимать меры по борьбе с различными формами дискриминации по признаку классовой принадлежности или социально-экономического положения. В основе таких мер должно лежать устранение коренных причин миграции в странах происхождения, а также дискриминационных аспектов миграционной политики в странах транзита и назначения.</w:t>
      </w:r>
    </w:p>
    <w:p w14:paraId="4FBC9588" w14:textId="77777777" w:rsidR="00C51675" w:rsidRPr="003B3079" w:rsidRDefault="00C51675" w:rsidP="00C51675">
      <w:pPr>
        <w:pStyle w:val="H1G"/>
      </w:pPr>
      <w:r>
        <w:rPr>
          <w:bCs/>
        </w:rPr>
        <w:tab/>
        <w:t>K.</w:t>
      </w:r>
      <w:r>
        <w:tab/>
      </w:r>
      <w:r>
        <w:rPr>
          <w:bCs/>
        </w:rPr>
        <w:t>Состояние здоровья</w:t>
      </w:r>
    </w:p>
    <w:p w14:paraId="10C17041" w14:textId="77777777" w:rsidR="00C51675" w:rsidRPr="003B3079" w:rsidRDefault="00C51675" w:rsidP="00C51675">
      <w:pPr>
        <w:pStyle w:val="SingleTxtG"/>
        <w:suppressAutoHyphens w:val="0"/>
      </w:pPr>
      <w:r>
        <w:t>71.</w:t>
      </w:r>
      <w:r>
        <w:tab/>
        <w:t>Комитеты подчеркивают, что ксенофобия и политика, в которой она находит свое проявление, могут пересекаться с фактором состояния здоровья. В некоторые правила выдачи виз, а также разрешений на проживание и работу, включены критерии, касающиеся состояния здоровья. В некоторых странах лица, живущие с ВИЧ, туберкулезом, нарушениями психического здоровья или другими заболеваниями, лишены возможности осуществлять ряд прав человека в контексте миграции либо серьезно ограничены в этих возможностях</w:t>
      </w:r>
      <w:r w:rsidRPr="00070726">
        <w:rPr>
          <w:rStyle w:val="aa"/>
        </w:rPr>
        <w:footnoteReference w:id="26"/>
      </w:r>
      <w:r>
        <w:t>. Комитеты настоятельно призывают государства-участники пересмотреть правила в целях отмены дискриминационных положений, касающихся состояния здоровья, которые влияют на право покидать страну, свободу передвижения или возможность получения разрешения на проживание либо урегулирования миграционного статуса. При этом государства-участники должны обеспечить, чтобы медицинские осмотры в рамках миграционных процедур проводились с соблюдением принципов недискриминации, добровольности и конфиденциальности, а также в соответствии с международными стандартами в области прав человека, в том числе с учетом правозащитного подхода, гендерных аспектов и культурных особенностей.</w:t>
      </w:r>
    </w:p>
    <w:p w14:paraId="67FC2C07" w14:textId="77777777" w:rsidR="00C51675" w:rsidRPr="003B3079" w:rsidRDefault="00C51675" w:rsidP="00C51675">
      <w:pPr>
        <w:pStyle w:val="SingleTxtG"/>
        <w:suppressAutoHyphens w:val="0"/>
      </w:pPr>
      <w:r>
        <w:t>72.</w:t>
      </w:r>
      <w:r>
        <w:tab/>
        <w:t>Комитеты предостерегают от враждебной по отношению к мигрантам</w:t>
      </w:r>
      <w:r w:rsidRPr="008A556D">
        <w:t xml:space="preserve"> </w:t>
      </w:r>
      <w:r>
        <w:t xml:space="preserve">риторики, получающей особенно большое распространение в периоды санитарно-эпидемиологических чрезвычайных ситуаций, в которых мигранты изображаются переносчиками инфекционных заболеваний или источниками других проблем со здоровьем, которые могут затронуть население страны назначения. Такое изображение мигрантов способствует легитимизации дискриминационной и произвольной политики, которая пагубно отражается на их правах человека. Комитеты рекомендуют </w:t>
      </w:r>
      <w:r>
        <w:lastRenderedPageBreak/>
        <w:t xml:space="preserve">государствам-участникам воздерживаться от поощрения или распространения подобной риторики и решительно отвергать подобные инсинуации со стороны других субъектов. </w:t>
      </w:r>
    </w:p>
    <w:p w14:paraId="5031EE25" w14:textId="77777777" w:rsidR="00C51675" w:rsidRPr="003B3079" w:rsidRDefault="00C51675" w:rsidP="00C51675">
      <w:pPr>
        <w:pStyle w:val="HChG"/>
      </w:pPr>
      <w:r>
        <w:rPr>
          <w:bCs/>
        </w:rPr>
        <w:tab/>
        <w:t>VI.</w:t>
      </w:r>
      <w:r>
        <w:tab/>
      </w:r>
      <w:r>
        <w:rPr>
          <w:bCs/>
        </w:rPr>
        <w:t>Основные элементы комплексной политики искоренения ксенофобии</w:t>
      </w:r>
    </w:p>
    <w:p w14:paraId="2689E6F9" w14:textId="77777777" w:rsidR="00C51675" w:rsidRPr="003B3079" w:rsidRDefault="00C51675" w:rsidP="00C51675">
      <w:pPr>
        <w:pStyle w:val="SingleTxtG"/>
        <w:suppressAutoHyphens w:val="0"/>
      </w:pPr>
      <w:r>
        <w:t>73.</w:t>
      </w:r>
      <w:r>
        <w:tab/>
        <w:t>Комитеты подчеркивают многоплановый характер ксенофобии. Ее причины, проявления и, в особенности, последствия неразрывно связаны с рядом структурных факторов, охватывающих целый спектр социальных, культурных, исторических, экономических и политических аспектов. В связи с этим комитеты подчеркивают необходимость проведения комплексной и целостной государственной политики борьбы с ксенофобией и перекрестными формами дискриминации. В этих целях комитеты рекомендуют государствам-участникам учесть в такой политике следующие ключевые элементы.</w:t>
      </w:r>
    </w:p>
    <w:p w14:paraId="136E96A8" w14:textId="77777777" w:rsidR="00C51675" w:rsidRPr="003B3079" w:rsidRDefault="00C51675" w:rsidP="00C51675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Правовая база</w:t>
      </w:r>
      <w:r>
        <w:t xml:space="preserve"> </w:t>
      </w:r>
    </w:p>
    <w:p w14:paraId="1496675A" w14:textId="77777777" w:rsidR="00C51675" w:rsidRPr="003B3079" w:rsidRDefault="00C51675" w:rsidP="00C51675">
      <w:pPr>
        <w:pStyle w:val="SingleTxtG"/>
        <w:suppressAutoHyphens w:val="0"/>
      </w:pPr>
      <w:r>
        <w:t>74.</w:t>
      </w:r>
      <w:r>
        <w:tab/>
        <w:t>Государствам-участникам следует ратифицировать международные и региональные договоры в области прав человека и эффективно применять соответствующие стандарты в целях защиты прав человека всех лиц, которым грозит опасность подвергнуться ксенофобии. Государствам-участникам следует также создать всеобъемлющую законодательную базу по борьбе с дискриминацией с учетом руководящих принципов УВКПЧ</w:t>
      </w:r>
      <w:r w:rsidRPr="00070726">
        <w:rPr>
          <w:rStyle w:val="aa"/>
        </w:rPr>
        <w:footnoteReference w:id="27"/>
      </w:r>
      <w:r>
        <w:t>. Государствам-участникам следует подтвердить запрет дискриминации на законодательном уровне. В этой правовой базе следует учесть актуальные международные стандарты и концепции в области прав человека, в том числе концепцию множественной и перекрестной дискриминации.</w:t>
      </w:r>
    </w:p>
    <w:p w14:paraId="6907A3A3" w14:textId="77777777" w:rsidR="00C51675" w:rsidRPr="003B3079" w:rsidRDefault="00C51675" w:rsidP="00C51675">
      <w:pPr>
        <w:pStyle w:val="SingleTxtG"/>
        <w:suppressAutoHyphens w:val="0"/>
      </w:pPr>
      <w:r>
        <w:t>75.</w:t>
      </w:r>
      <w:r>
        <w:tab/>
        <w:t xml:space="preserve">Государствам-участникам следует принять согласованную и комплексную нормативную базу, регулирующую целостную государственную политику искоренения ксенофобии и ее воздействия на права человека, или укрепить такую базу и обеспечить ее применение. В эту законодательную систему следует включить элементы, которые обеспечивали бы: </w:t>
      </w:r>
    </w:p>
    <w:p w14:paraId="651D8A0A" w14:textId="549A2DDC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a)</w:t>
      </w:r>
      <w:r>
        <w:tab/>
        <w:t xml:space="preserve">возможность мигрантов и граждан страны в равной степени пользоваться правами человека без какой-либо дискриминации; </w:t>
      </w:r>
    </w:p>
    <w:p w14:paraId="39459C11" w14:textId="39DE2BF6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b)</w:t>
      </w:r>
      <w:r>
        <w:tab/>
        <w:t>распределение полномочий между каждым профильным министерством и секретарем;</w:t>
      </w:r>
    </w:p>
    <w:p w14:paraId="3E810A5F" w14:textId="1B494A72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c)</w:t>
      </w:r>
      <w:r>
        <w:tab/>
        <w:t xml:space="preserve">организацию межсекторальной координации; </w:t>
      </w:r>
    </w:p>
    <w:p w14:paraId="7777C250" w14:textId="65B9B53A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d)</w:t>
      </w:r>
      <w:r>
        <w:tab/>
        <w:t xml:space="preserve">институционализацию участия гражданского общества; </w:t>
      </w:r>
    </w:p>
    <w:p w14:paraId="4866752B" w14:textId="206A6CA8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e)</w:t>
      </w:r>
      <w:r>
        <w:tab/>
        <w:t>определение краткосрочных и долгосрочных целей;</w:t>
      </w:r>
    </w:p>
    <w:p w14:paraId="1DA9C113" w14:textId="2DD722CD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f)</w:t>
      </w:r>
      <w:r>
        <w:tab/>
        <w:t>наличие достаточных ресурсов, периодический сбор данных, подотчетность и мониторинг.</w:t>
      </w:r>
    </w:p>
    <w:p w14:paraId="1460B033" w14:textId="77777777" w:rsidR="00C51675" w:rsidRPr="003B3079" w:rsidRDefault="00C51675" w:rsidP="00C51675">
      <w:pPr>
        <w:pStyle w:val="SingleTxtG"/>
        <w:suppressAutoHyphens w:val="0"/>
      </w:pPr>
      <w:r>
        <w:t>76.</w:t>
      </w:r>
      <w:r>
        <w:tab/>
        <w:t xml:space="preserve">Комитеты рекомендуют государствам-участникам законодательно запретить акты ксенофобии, нарушающие права человека мигрантов и других лиц, воспринимаемых в качестве таковых, и установить за такие акты надлежащие наказания. Такие положения должны предусматривать обязанность толковать и применять законодательство с учетом интерсекционального подхода. Государствам-участникам следует проанализировать и, при необходимости, реформировать национальное и местное нормативное регулирование миграции, предоставления </w:t>
      </w:r>
      <w:r>
        <w:lastRenderedPageBreak/>
        <w:t>убежища, трудовой деятельности, здравоохранения и других областей, прямо или косвенно поощряющее ксенофобию, дискриминацию и неравенство</w:t>
      </w:r>
      <w:r w:rsidRPr="00070726">
        <w:rPr>
          <w:rStyle w:val="aa"/>
        </w:rPr>
        <w:footnoteReference w:id="28"/>
      </w:r>
      <w:r>
        <w:t xml:space="preserve">. </w:t>
      </w:r>
    </w:p>
    <w:p w14:paraId="5C545424" w14:textId="77777777" w:rsidR="00C51675" w:rsidRPr="003B3079" w:rsidRDefault="00C51675" w:rsidP="00C51675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Межучрежденческий подход и межсекторальная координация</w:t>
      </w:r>
    </w:p>
    <w:p w14:paraId="2A2CCB16" w14:textId="77777777" w:rsidR="00C51675" w:rsidRPr="003B3079" w:rsidRDefault="00C51675" w:rsidP="00C51675">
      <w:pPr>
        <w:pStyle w:val="SingleTxtG"/>
        <w:suppressAutoHyphens w:val="0"/>
      </w:pPr>
      <w:r>
        <w:t>77.</w:t>
      </w:r>
      <w:r>
        <w:tab/>
        <w:t>Комитеты подчеркивают, что для искоренения ксенофобии и устранения ее пагубных последствий для прав человека необходимо обеспечить участие всех учреждений и всех уровней власти. Для обеспечения целостного подхода решающее значение имеют совместные действия в таких сферах, как образование, коммуникация и средства массовой информации, права человека, равенство, гендерные вопросы, социальная интеграция, развитие человеческого потенциала, здравоохранение, трудовая деятельность и социальная защита, внутренние дела, правосудие, миграция, жилищное строительство, благополучие детей, международные отношения, культура, регистрация актов гражданского состояния, экономика, безопасность и спорт.</w:t>
      </w:r>
    </w:p>
    <w:p w14:paraId="1377D4F3" w14:textId="77777777" w:rsidR="00C51675" w:rsidRPr="003B3079" w:rsidRDefault="00C51675" w:rsidP="00C51675">
      <w:pPr>
        <w:pStyle w:val="SingleTxtG"/>
        <w:suppressAutoHyphens w:val="0"/>
      </w:pPr>
      <w:r>
        <w:t>78.</w:t>
      </w:r>
      <w:r>
        <w:tab/>
        <w:t>Комитеты подчеркивают важность содействия созданию специализированных, эффективных и независимых государственных учреждений, наделенных четкими полномочиями для осуществления мониторинга, предотвращения и пресечения ксенофобии, расизма и перекрестных форм дискриминации</w:t>
      </w:r>
      <w:r w:rsidRPr="00070726">
        <w:rPr>
          <w:rStyle w:val="aa"/>
        </w:rPr>
        <w:footnoteReference w:id="29"/>
      </w:r>
      <w:r>
        <w:t xml:space="preserve">. Независимо от того, будут ли такие учреждения сформированы отдельно или в составе национальных правозащитных учреждений или национальных органов по вопросам равенства, им следует, в частности: </w:t>
      </w:r>
    </w:p>
    <w:p w14:paraId="77312C77" w14:textId="75D6AB2B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a)</w:t>
      </w:r>
      <w:r>
        <w:tab/>
        <w:t xml:space="preserve">разработать инициативы в области исследований и сбора данных по вопросам ксенофобии, ее причин, проявлений и последствий; </w:t>
      </w:r>
    </w:p>
    <w:p w14:paraId="3483C84B" w14:textId="47718DD3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b)</w:t>
      </w:r>
      <w:r>
        <w:tab/>
        <w:t xml:space="preserve">принимать и урегулировать жалобы на инциденты на почве ксенофобии, расизма и аналогичных причин; </w:t>
      </w:r>
    </w:p>
    <w:p w14:paraId="3EA7B0D9" w14:textId="6A5AC592" w:rsidR="00C51675" w:rsidRPr="00EC5EA9" w:rsidRDefault="00C51675" w:rsidP="00C51675">
      <w:pPr>
        <w:pStyle w:val="SingleTxtG"/>
      </w:pPr>
      <w:r>
        <w:rPr>
          <w:lang w:val="en-US"/>
        </w:rPr>
        <w:tab/>
      </w:r>
      <w:r>
        <w:t>c)</w:t>
      </w:r>
      <w:r>
        <w:tab/>
        <w:t xml:space="preserve">проводить кампании по борьбе с ксенофобией и способствовать межкультурной интеграции; </w:t>
      </w:r>
    </w:p>
    <w:p w14:paraId="4238593C" w14:textId="375A5DC9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d)</w:t>
      </w:r>
      <w:r>
        <w:tab/>
        <w:t>обучать и консультировать другие учреждения по вопросам предотвращения ксенофобии в рамках их соответствующих полномочий.</w:t>
      </w:r>
    </w:p>
    <w:p w14:paraId="06C43BED" w14:textId="77777777" w:rsidR="00C51675" w:rsidRPr="003B3079" w:rsidRDefault="00C51675" w:rsidP="00C51675">
      <w:pPr>
        <w:pStyle w:val="SingleTxtG"/>
        <w:suppressAutoHyphens w:val="0"/>
      </w:pPr>
      <w:r>
        <w:t>79.</w:t>
      </w:r>
      <w:r>
        <w:tab/>
        <w:t>В интересах обеспечения целостного подхода в рамках политики, направленной на искоренение ксенофобии, государствам-участникам следует разработать и внедрить механизмы межучрежденческой координации. Для того, чтобы гарантировать эффективную реализацию такой политики, этот механизм следует учредить</w:t>
      </w:r>
      <w:r w:rsidRPr="007A64C8">
        <w:t xml:space="preserve"> </w:t>
      </w:r>
      <w:r>
        <w:t xml:space="preserve">официально и наделить надлежащими полномочиями по принятию решений. Следует принять меры по обеспечению официального и регулярного участия организаций гражданского общества, в том числе представляющих мигрантов и другие группы, затрагиваемые ксенофобией и расизмом. </w:t>
      </w:r>
    </w:p>
    <w:p w14:paraId="313BA081" w14:textId="7C798D45" w:rsidR="00C51675" w:rsidRPr="003B3079" w:rsidRDefault="00C51675" w:rsidP="00C51675">
      <w:pPr>
        <w:pStyle w:val="SingleTxtG"/>
        <w:suppressAutoHyphens w:val="0"/>
      </w:pPr>
      <w:r>
        <w:t>80.</w:t>
      </w:r>
      <w:r>
        <w:tab/>
        <w:t>Комитеты подтверждают, что согласованность является одним из основных принципов межучрежденческой координации. Государствам-участникам следует принять меры по обеспечению согласованности практики и целей в рамках</w:t>
      </w:r>
      <w:r w:rsidRPr="0049676F">
        <w:t xml:space="preserve"> </w:t>
      </w:r>
      <w:r>
        <w:t>как отдельных направлени</w:t>
      </w:r>
      <w:r w:rsidR="00301004">
        <w:t>й</w:t>
      </w:r>
      <w:r>
        <w:t xml:space="preserve"> политики, так</w:t>
      </w:r>
      <w:r w:rsidR="00301004">
        <w:t xml:space="preserve"> и</w:t>
      </w:r>
      <w:r>
        <w:t xml:space="preserve"> целостного подхода, охватывающего разные направления. При этом следует принять меры и для предотвращения несогласованных или противоречивых решений или приоритетов. Например, было бы нелогично проводить политику, направленную на содействие социальной интеграции мигрантов и расширение официальной занятости, одновременно создавая препятствия для доступа мигрантов к услугам и ограничивая их возможности для получения разрешений на проживание и работу. Государствам-участникам следует предотвращать расхождения между миграционной политикой, политикой в области занятости и другими направлениями социальной политики.</w:t>
      </w:r>
    </w:p>
    <w:p w14:paraId="5789518C" w14:textId="77777777" w:rsidR="00C51675" w:rsidRPr="003B3079" w:rsidRDefault="00C51675" w:rsidP="00C51675">
      <w:pPr>
        <w:pStyle w:val="SingleTxtG"/>
        <w:suppressAutoHyphens w:val="0"/>
        <w:rPr>
          <w:color w:val="000000"/>
        </w:rPr>
      </w:pPr>
      <w:r>
        <w:t>81.</w:t>
      </w:r>
      <w:r>
        <w:tab/>
        <w:t xml:space="preserve">Комитеты считают, что эффективная координация действий между органами государственной власти на национальном, региональном и местном уровнях должна </w:t>
      </w:r>
      <w:r>
        <w:lastRenderedPageBreak/>
        <w:t>стать одним из ключевых компонентов комплексной политики борьбы с ксенофобией и содействия укреплению социальной сплоченности и межкультурной интеграции. Чем децентрализованнее государство, тем острее потребность в механизмах координации между всеми уровнями власти. Для обеспечения такого сотрудничества следует принять законодательные и практические меры.</w:t>
      </w:r>
    </w:p>
    <w:p w14:paraId="4A0A5C26" w14:textId="77777777" w:rsidR="00C51675" w:rsidRPr="003B3079" w:rsidRDefault="00C51675" w:rsidP="00C51675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Местные органы власти</w:t>
      </w:r>
    </w:p>
    <w:p w14:paraId="0A7DF40D" w14:textId="77777777" w:rsidR="00C51675" w:rsidRPr="003B3079" w:rsidRDefault="00C51675" w:rsidP="00C51675">
      <w:pPr>
        <w:pStyle w:val="SingleTxtG"/>
        <w:suppressAutoHyphens w:val="0"/>
      </w:pPr>
      <w:r>
        <w:t>82.</w:t>
      </w:r>
      <w:r>
        <w:tab/>
        <w:t>Многие вопросы, связанные с расовой дискриминацией, относятся к сфере компетенции местных органов власти. Комитеты, напоминая о том, что обязательства в области прав человека распространяются на все уровни государственного управления, подчеркивают, что местным органам власти следует играть значительную роль в рамках целостной политики искоренения ксенофобии</w:t>
      </w:r>
      <w:r w:rsidRPr="00070726">
        <w:rPr>
          <w:rStyle w:val="aa"/>
        </w:rPr>
        <w:footnoteReference w:id="30"/>
      </w:r>
      <w:r>
        <w:t>. Городским администрациям и другим местным органам власти следует разработать и реализовывать собственную комплексную политику предотвращения ксенофобии в общинах, находящихся в их ведении</w:t>
      </w:r>
      <w:r w:rsidRPr="00070726">
        <w:rPr>
          <w:rStyle w:val="aa"/>
        </w:rPr>
        <w:footnoteReference w:id="31"/>
      </w:r>
      <w:r>
        <w:t>. Центральным органам государственного управления следует принять меры, в том числе предоставить бюджетную поддержку, в целях оказания содействия местным органам власти в реализации национальной политики и плана действий по борьбе с ксенофобией и расизмом.</w:t>
      </w:r>
    </w:p>
    <w:p w14:paraId="1D084CD3" w14:textId="77777777" w:rsidR="00C51675" w:rsidRPr="003B3079" w:rsidRDefault="00C51675" w:rsidP="00C51675">
      <w:pPr>
        <w:pStyle w:val="SingleTxtG"/>
        <w:suppressAutoHyphens w:val="0"/>
      </w:pPr>
      <w:r>
        <w:t>83.</w:t>
      </w:r>
      <w:r>
        <w:tab/>
        <w:t xml:space="preserve">Комитеты рекомендуют местным органам власти поощрять в вопросах миграции дискурс с акцентом на права человека, гендерные аспекты и фактические данные. Такой дискурс должен: </w:t>
      </w:r>
    </w:p>
    <w:p w14:paraId="6277F3AC" w14:textId="20CCC981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a)</w:t>
      </w:r>
      <w:r>
        <w:tab/>
        <w:t xml:space="preserve">подчеркивать важность многовекторной межкультурной интеграции; </w:t>
      </w:r>
    </w:p>
    <w:p w14:paraId="2ECBF017" w14:textId="6B5B1966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b)</w:t>
      </w:r>
      <w:r>
        <w:tab/>
        <w:t xml:space="preserve">способствовать разработке и реализации политики, направленной на сохранение исторической памяти, связанной с истоками и многообразием сообществ; </w:t>
      </w:r>
    </w:p>
    <w:p w14:paraId="60C67DB1" w14:textId="52BE17B3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c)</w:t>
      </w:r>
      <w:r>
        <w:tab/>
        <w:t>признавать вклад мигрантов в жизнь сообщества и их принадлежность к нему, не допуская того, чтобы местные органы власти тем или иным образом способствовали распространению ксенофобской риторики.</w:t>
      </w:r>
    </w:p>
    <w:p w14:paraId="39D0D940" w14:textId="77777777" w:rsidR="00C51675" w:rsidRPr="003B3079" w:rsidRDefault="00C51675" w:rsidP="00C51675">
      <w:pPr>
        <w:pStyle w:val="SingleTxtG"/>
        <w:suppressAutoHyphens w:val="0"/>
      </w:pPr>
      <w:r>
        <w:t>84.</w:t>
      </w:r>
      <w:r>
        <w:tab/>
        <w:t>Местным органам власти следует принять меры по исключению всех форм дискриминации из местных законов, политики, программ и практики, следя за тем, чтобы доступ к услугам и правам не ограничивался по признаку гражданства, миграционного статуса, гендера или каких-либо других интерсекциональных факторов. Кроме того, местным органам власти рекомендуется проводить политику, направленную на защиту мигрантов и других лиц, воспринимаемых в качестве таковых, которые проживают в общинах, находящихся в их ведении. Такие действия особенно важны в странах, в которых наблюдается вызывающий серьезную обеспокоенность рост уровня ксенофобии и расизма, в том числе в условиях распространения риторики, поощряющей дискриминацию в отношении мигрантов и делающей из них козлов отпущения за глубоко укоренившиеся социальные проблемы и страхи, зачастую в целях извлечения политической или финансовой выгоды</w:t>
      </w:r>
      <w:r w:rsidRPr="00070726">
        <w:rPr>
          <w:rStyle w:val="aa"/>
        </w:rPr>
        <w:footnoteReference w:id="32"/>
      </w:r>
      <w:r>
        <w:t xml:space="preserve">. </w:t>
      </w:r>
    </w:p>
    <w:p w14:paraId="1C2B3FF3" w14:textId="77777777" w:rsidR="00C51675" w:rsidRPr="003B3079" w:rsidRDefault="00C51675" w:rsidP="00C51675">
      <w:pPr>
        <w:pStyle w:val="SingleTxtG"/>
        <w:suppressAutoHyphens w:val="0"/>
      </w:pPr>
      <w:r>
        <w:t>85.</w:t>
      </w:r>
      <w:r>
        <w:tab/>
        <w:t>Комитеты рекомендуют местным органам власти принять конкретные меры, направленные на предотвращение ксенофобии и укрепление социальной сплоченности, в том числе</w:t>
      </w:r>
      <w:r w:rsidRPr="00070726">
        <w:rPr>
          <w:rStyle w:val="aa"/>
        </w:rPr>
        <w:footnoteReference w:id="33"/>
      </w:r>
      <w:r>
        <w:t xml:space="preserve">: </w:t>
      </w:r>
    </w:p>
    <w:p w14:paraId="4240FCA2" w14:textId="5A5CD9A7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a)</w:t>
      </w:r>
      <w:r>
        <w:tab/>
        <w:t>содействовать созданию и финансированию межкультурных общественных площадок, ведению межкультурных диалогов и осуществлению связанных с ними инициатив, в том числе в сферах культуры, спорта</w:t>
      </w:r>
      <w:r w:rsidRPr="00070726">
        <w:rPr>
          <w:rStyle w:val="aa"/>
        </w:rPr>
        <w:footnoteReference w:id="34"/>
      </w:r>
      <w:r>
        <w:t xml:space="preserve">, искусства, религии, образования и досуга; </w:t>
      </w:r>
    </w:p>
    <w:p w14:paraId="5228A4E6" w14:textId="3716C6D1" w:rsidR="00C51675" w:rsidRPr="003B3079" w:rsidRDefault="00C51675" w:rsidP="00C51675">
      <w:pPr>
        <w:pStyle w:val="SingleTxtG"/>
      </w:pPr>
      <w:r>
        <w:rPr>
          <w:lang w:val="en-US"/>
        </w:rPr>
        <w:lastRenderedPageBreak/>
        <w:tab/>
      </w:r>
      <w:r>
        <w:t>b)</w:t>
      </w:r>
      <w:r>
        <w:tab/>
        <w:t xml:space="preserve">взаимодействовать с местными средствами массовой информации и укреплять их потенциал в целях содействия ответственному освещению вопросов миграции, жизни мигрантов и культурного разнообразия; </w:t>
      </w:r>
    </w:p>
    <w:p w14:paraId="7C4AE16B" w14:textId="7FD61005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c)</w:t>
      </w:r>
      <w:r>
        <w:tab/>
        <w:t xml:space="preserve">повышать осведомленность всех членов общины о негативном воздействии ксенофобии, расизма и связанной с ними дискриминации на мигрантов и других лиц, воспринимаемых в качестве таковых; </w:t>
      </w:r>
    </w:p>
    <w:p w14:paraId="5FB6CC37" w14:textId="523196B0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d)</w:t>
      </w:r>
      <w:r>
        <w:tab/>
        <w:t xml:space="preserve">проводить жилищную политику, направленную на предотвращение социальной и культурной сегрегации общин на основании гражданства, расы и других признаков; </w:t>
      </w:r>
    </w:p>
    <w:p w14:paraId="02C54E0C" w14:textId="746973B4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e)</w:t>
      </w:r>
      <w:r>
        <w:tab/>
        <w:t>проводить политику гостеприимства и защиты в условиях гуманитарных кризисов, связанных с перемещением населения,</w:t>
      </w:r>
      <w:r w:rsidRPr="00654272">
        <w:t xml:space="preserve"> </w:t>
      </w:r>
      <w:r>
        <w:t xml:space="preserve">при необходимости опираясь на международное сотрудничество; </w:t>
      </w:r>
    </w:p>
    <w:p w14:paraId="664FE3B2" w14:textId="59482211" w:rsidR="00C51675" w:rsidRPr="003B3079" w:rsidRDefault="00C51675" w:rsidP="00C51675">
      <w:pPr>
        <w:pStyle w:val="SingleTxtG"/>
      </w:pPr>
      <w:r w:rsidRPr="00AF48A9">
        <w:tab/>
      </w:r>
      <w:r>
        <w:t>f)</w:t>
      </w:r>
      <w:r>
        <w:tab/>
        <w:t>разрабатывать в сотрудничестве с профсоюзами и организациями работодателей, политику противодействия</w:t>
      </w:r>
      <w:r w:rsidRPr="00654272">
        <w:t xml:space="preserve"> </w:t>
      </w:r>
      <w:r>
        <w:t xml:space="preserve">ксенофобии и дискриминации на производстве. </w:t>
      </w:r>
    </w:p>
    <w:p w14:paraId="21DF0C7E" w14:textId="77777777" w:rsidR="00C51675" w:rsidRPr="003B3079" w:rsidRDefault="00C51675" w:rsidP="00C51675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Национальные и местные правозащитные учреждения</w:t>
      </w:r>
      <w:r>
        <w:t xml:space="preserve"> </w:t>
      </w:r>
    </w:p>
    <w:p w14:paraId="04EF0CAD" w14:textId="77777777" w:rsidR="00C51675" w:rsidRPr="003B3079" w:rsidRDefault="00C51675" w:rsidP="00C51675">
      <w:pPr>
        <w:pStyle w:val="SingleTxtG"/>
        <w:suppressAutoHyphens w:val="0"/>
      </w:pPr>
      <w:r>
        <w:t>86.</w:t>
      </w:r>
      <w:r>
        <w:tab/>
        <w:t xml:space="preserve">Комитеты подчеркивают, что национальные и местные правозащитные учреждения и органы по вопросам равенства должны играть ключевую роль в постоянных оценке и мониторинге политики искоренения ксенофобии, особенно с точки зрения ее воздействия на права человека. Государствам-участникам следует принять надлежащие меры по укреплению этих органов, в том числе путем выделения кадровых и финансовых ресурсов для того, чтобы обеспечить их независимость и соблюдение принципов, касающихся статуса национальных учреждений, занимающихся поощрением и защитой прав человека (Парижские принципы). </w:t>
      </w:r>
    </w:p>
    <w:p w14:paraId="61C60696" w14:textId="77777777" w:rsidR="00C51675" w:rsidRPr="003B3079" w:rsidRDefault="00C51675" w:rsidP="00C51675">
      <w:pPr>
        <w:pStyle w:val="SingleTxtG"/>
        <w:suppressAutoHyphens w:val="0"/>
      </w:pPr>
      <w:bookmarkStart w:id="3" w:name="_Hlk207357925"/>
      <w:r>
        <w:t>87.</w:t>
      </w:r>
      <w:r>
        <w:tab/>
        <w:t>Национальным и местным правозащитным учреждениям рекомендуется, при необходимости, создавать тематические подразделения, занимающиеся вопросами поощрения и защиты прав мигрантов и их семей. В любом случае учреждениям следует принимать надлежащие меры для обеспечения сквозного и реального учета прав мигрантов и других лиц, воспринимаемых в качестве таковых, во всех тематических областях своей работы.</w:t>
      </w:r>
      <w:bookmarkEnd w:id="3"/>
    </w:p>
    <w:p w14:paraId="04F79C1C" w14:textId="77777777" w:rsidR="00C51675" w:rsidRPr="003B3079" w:rsidRDefault="00C51675" w:rsidP="00C51675">
      <w:pPr>
        <w:pStyle w:val="SingleTxtG"/>
        <w:suppressAutoHyphens w:val="0"/>
      </w:pPr>
      <w:r>
        <w:t>88.</w:t>
      </w:r>
      <w:r>
        <w:tab/>
        <w:t xml:space="preserve">Национальные и местные правозащитные учреждения могли бы, в частности, поощрять следующие виды деятельности: </w:t>
      </w:r>
    </w:p>
    <w:p w14:paraId="2A2C9C10" w14:textId="3F4FD5BF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a)</w:t>
      </w:r>
      <w:r>
        <w:tab/>
        <w:t xml:space="preserve">сбор количественных и качественных данных; </w:t>
      </w:r>
    </w:p>
    <w:p w14:paraId="0C6BED01" w14:textId="74C7C59E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b)</w:t>
      </w:r>
      <w:r>
        <w:tab/>
        <w:t xml:space="preserve">создание механизмов для изучения и мониторинга ксенофобии и расизма, включая анализ соответствующих мер политики, таких как создание центров наблюдения; </w:t>
      </w:r>
    </w:p>
    <w:p w14:paraId="236FF504" w14:textId="2EF5384F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c)</w:t>
      </w:r>
      <w:r>
        <w:tab/>
        <w:t xml:space="preserve">консультирование, обучение и установление ориентиров для органов власти в вопросах разработки недискриминационных политики и практики; </w:t>
      </w:r>
    </w:p>
    <w:p w14:paraId="19175008" w14:textId="107DF68F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d)</w:t>
      </w:r>
      <w:r>
        <w:tab/>
        <w:t>создание эффективных, доступных, безопасных и учитывающих гендерные аспекты процедур подачи жалоб</w:t>
      </w:r>
      <w:r w:rsidRPr="001B566F">
        <w:t xml:space="preserve"> </w:t>
      </w:r>
      <w:r>
        <w:t xml:space="preserve">для жертв ксенофобии; </w:t>
      </w:r>
    </w:p>
    <w:p w14:paraId="2E65F183" w14:textId="4B6886D8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e)</w:t>
      </w:r>
      <w:r>
        <w:tab/>
        <w:t>подачу от имени непосредственных жертв — индивидуально или коллективно — а также от имени третьих лиц судебных жалоб на дискриминационные положения в законах и других нормативных актах;</w:t>
      </w:r>
    </w:p>
    <w:p w14:paraId="17EF07AF" w14:textId="0409DD78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f)</w:t>
      </w:r>
      <w:r>
        <w:tab/>
        <w:t xml:space="preserve">оказание юридической помощи и консультационных услуг лицам, пострадавшим от ксенофобских и связанных с ними дискриминационных инцидентов или соответствующей практики; </w:t>
      </w:r>
    </w:p>
    <w:p w14:paraId="480676ED" w14:textId="098205A3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g)</w:t>
      </w:r>
      <w:r>
        <w:tab/>
        <w:t xml:space="preserve">разработку процедур межкультурного посредничества; </w:t>
      </w:r>
    </w:p>
    <w:p w14:paraId="3B0D3E56" w14:textId="5C1EE4CD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h)</w:t>
      </w:r>
      <w:r>
        <w:tab/>
        <w:t xml:space="preserve">поощрение разработки и реализации политики сохранения исторической памяти, связанной с истоками и многообразием сообществ; </w:t>
      </w:r>
    </w:p>
    <w:p w14:paraId="061D33BA" w14:textId="283C7B38" w:rsidR="00C51675" w:rsidRPr="003B3079" w:rsidRDefault="00C51675" w:rsidP="00C51675">
      <w:pPr>
        <w:pStyle w:val="SingleTxtG"/>
      </w:pPr>
      <w:r>
        <w:rPr>
          <w:lang w:val="en-US"/>
        </w:rPr>
        <w:lastRenderedPageBreak/>
        <w:tab/>
      </w:r>
      <w:r>
        <w:t>i)</w:t>
      </w:r>
      <w:r>
        <w:tab/>
        <w:t xml:space="preserve">поддержку межучрежденческого диалога. </w:t>
      </w:r>
    </w:p>
    <w:p w14:paraId="295608D0" w14:textId="77777777" w:rsidR="00C51675" w:rsidRPr="003B3079" w:rsidRDefault="00C51675" w:rsidP="00C51675">
      <w:pPr>
        <w:pStyle w:val="SingleTxtG"/>
        <w:suppressAutoHyphens w:val="0"/>
      </w:pPr>
      <w:r>
        <w:t>89.</w:t>
      </w:r>
      <w:r>
        <w:tab/>
        <w:t>Комитеты призывают региональные и глобальные сети национальных и/или местных правозащитных учреждений разработать и/или укрепить инициативы по борьбе с ксенофобией, расизмом и всеми перекрестными формами дискриминации.</w:t>
      </w:r>
    </w:p>
    <w:p w14:paraId="649CEDC6" w14:textId="1937592F" w:rsidR="00C51675" w:rsidRPr="00877061" w:rsidRDefault="00C51675" w:rsidP="00C51675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Участие в общественной жизни и налаживание взаимодействия с</w:t>
      </w:r>
      <w:r>
        <w:rPr>
          <w:bCs/>
          <w:lang w:val="en-US"/>
        </w:rPr>
        <w:t> </w:t>
      </w:r>
      <w:r>
        <w:rPr>
          <w:bCs/>
        </w:rPr>
        <w:t>общинами</w:t>
      </w:r>
      <w:r>
        <w:t xml:space="preserve"> </w:t>
      </w:r>
    </w:p>
    <w:p w14:paraId="735AB971" w14:textId="77777777" w:rsidR="00C51675" w:rsidRPr="003B3079" w:rsidRDefault="00C51675" w:rsidP="00C51675">
      <w:pPr>
        <w:pStyle w:val="SingleTxtG"/>
        <w:suppressAutoHyphens w:val="0"/>
      </w:pPr>
      <w:r>
        <w:t>90.</w:t>
      </w:r>
      <w:r>
        <w:tab/>
        <w:t>Комитеты рекомендуют государствам-участникам принять все надлежащие меры для обеспечения эффективного участия, в частности, организаций гражданского общества, мигрантов, страдающих от ксенофобии расиализированных групп, правозащитников, представителей научных кругов, профсоюзов, молодежи, женских организаций, религиозных групп, местных сообществ, организаций диаспор, низовых объединений, организаций работодателей и частного сектора в усилиях по искоренению ксенофобии и перекрестных форм дискриминации.</w:t>
      </w:r>
    </w:p>
    <w:p w14:paraId="7A890F32" w14:textId="2E07A9A9" w:rsidR="00C51675" w:rsidRPr="003B3079" w:rsidRDefault="00C51675" w:rsidP="00C51675">
      <w:pPr>
        <w:pStyle w:val="SingleTxtG"/>
        <w:suppressAutoHyphens w:val="0"/>
      </w:pPr>
      <w:r>
        <w:t>91.</w:t>
      </w:r>
      <w:r>
        <w:tab/>
        <w:t>Комитеты рекомендуют государствам-участникам разработать и усилить меры политики, направленные на поддержку осуществляемых под руководством общин инициатив, которые способствуют расширению прав и возможностей всех групп, подвергающихся ксенофобии и перекрестным формам дискриминации. Такие инициативы должны давать общинам возможность укреплять свою жизнестойкость, отстаивать свои права и активно участвовать в усилиях по предотвращению, противодействию и искоренению дискриминации. Государствам-участникам следует принимать меры для налаживания взаимодействия и расширени</w:t>
      </w:r>
      <w:r w:rsidR="00AF48A9">
        <w:t>я</w:t>
      </w:r>
      <w:r>
        <w:t xml:space="preserve"> диалога с общинами, объединяя различные общины для совместной борьбы с ксенофобией и расизмом, а также создавая условия для полноценного взаимодействия, взаимопонимания и укрепления солидарности между всеми членами каждой общины.</w:t>
      </w:r>
    </w:p>
    <w:p w14:paraId="7718E7C6" w14:textId="77777777" w:rsidR="00C51675" w:rsidRPr="003B3079" w:rsidRDefault="00C51675" w:rsidP="00C51675">
      <w:pPr>
        <w:pStyle w:val="SingleTxtG"/>
        <w:suppressAutoHyphens w:val="0"/>
      </w:pPr>
      <w:r>
        <w:t>92.</w:t>
      </w:r>
      <w:r>
        <w:tab/>
        <w:t xml:space="preserve">Государствам-участникам следует также поощрять участие и повышение ответственности частного сектора в осуществлении мер, направленных на предотвращение, пресечение и искоренение ксенофобии, особенно с учетом ее воздействия на дискриминационную практику на рабочих местах и в таких сферах, как средства массовой информации, обеспечение жильем, здравоохранение, образование, культура и досуг. </w:t>
      </w:r>
    </w:p>
    <w:p w14:paraId="11808574" w14:textId="77777777" w:rsidR="00C51675" w:rsidRPr="003B3079" w:rsidRDefault="00C51675" w:rsidP="00C51675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Отправление правосудия</w:t>
      </w:r>
    </w:p>
    <w:p w14:paraId="0A8C639F" w14:textId="77777777" w:rsidR="00C51675" w:rsidRPr="003B3079" w:rsidRDefault="00C51675" w:rsidP="00C51675">
      <w:pPr>
        <w:pStyle w:val="SingleTxtG"/>
        <w:suppressAutoHyphens w:val="0"/>
      </w:pPr>
      <w:r>
        <w:t>93.</w:t>
      </w:r>
      <w:r>
        <w:tab/>
        <w:t>Государства-участники обязаны обеспечить судебный контроль и правосудие для всех мигрантов во всех случаях и независимо от их статуса. Комитеты рекомендуют принять надлежащие меры, направленные на всех субъектов системы правосудия (включая судей, прокуроров и адвокатов), в целях предотвращения проявлений ксенофобии в ходе административных и судебных процедур, при вынесении приговоров и принятии решений</w:t>
      </w:r>
      <w:r w:rsidRPr="00070726">
        <w:rPr>
          <w:rStyle w:val="aa"/>
        </w:rPr>
        <w:footnoteReference w:id="35"/>
      </w:r>
      <w:r>
        <w:t>. Государствам-участникам следует поощрять проведение регулярного обучения и реализацию соответствующих программ, посвященных международному праву и стандартам в области прав человека в контексте миграции. Комитеты подчеркивают, что все решения, принимаемые судьями и другими судебными органами по процессуальным вопросам и по существу, должны быть свободны от ксенофобии. Такие инициативы могли бы включать модули, посвященные комплексному рассмотрению проблемы нелегальной миграции, с тем чтобы решения не принимались под влиянием ксенофобской и дискриминационной риторики.</w:t>
      </w:r>
    </w:p>
    <w:p w14:paraId="46D6923E" w14:textId="77777777" w:rsidR="00C51675" w:rsidRPr="003B3079" w:rsidRDefault="00C51675" w:rsidP="00C51675">
      <w:pPr>
        <w:pStyle w:val="SingleTxtG"/>
        <w:suppressAutoHyphens w:val="0"/>
      </w:pPr>
      <w:r>
        <w:t>94.</w:t>
      </w:r>
      <w:r>
        <w:tab/>
        <w:t xml:space="preserve">Государствам-участникам следует принять надлежащие меры для обеспечения того, чтобы случаи преступлений на почве ненависти ксенофобского, расистского или интерсекционального характера в отношении мигрантов и других лиц, воспринимаемых в качестве таковых, должным образом расследовались </w:t>
      </w:r>
      <w:r>
        <w:lastRenderedPageBreak/>
        <w:t>компетентными органами, а виновные в их совершении привлекались к ответственности и несли наказание. Такие меры должны включать эффективные и сдерживающие санкции, а также меры защиты от мести. Для обеспечения эффективного расследования таких инцидентов и применения соответствующих мер наказания следует толковать статью 1 Международной конвенции о ликвидации всех форм расовой дискриминации в динамическом ключе</w:t>
      </w:r>
      <w:r w:rsidRPr="00070726">
        <w:rPr>
          <w:rStyle w:val="aa"/>
        </w:rPr>
        <w:footnoteReference w:id="36"/>
      </w:r>
      <w:r>
        <w:t>.</w:t>
      </w:r>
    </w:p>
    <w:p w14:paraId="30B5394E" w14:textId="77777777" w:rsidR="00C51675" w:rsidRPr="003B3079" w:rsidRDefault="00C51675" w:rsidP="00C51675">
      <w:pPr>
        <w:pStyle w:val="SingleTxtG"/>
        <w:suppressAutoHyphens w:val="0"/>
      </w:pPr>
      <w:r>
        <w:t>95.</w:t>
      </w:r>
      <w:r>
        <w:tab/>
        <w:t>Комитеты рекомендуют государствам-участникам принять надлежащие меры в целях предоставления эффективных, доступных и безопасных услуг правосудия для мигрантов и всех жертв ксенофобии, расизма и перекрестных форм дискриминации независимо от их миграционного статуса. Такие меры должны включать создание эффективных барьеров, гарантирующих, что поставщики услуг не будут передавать миграционным органам и соответствующим правоохранительным органам какую-либо информацию о миграционном статусе. Страх депортации не должен мешать людям добиваться правосудия. Государствам-участникам крайне важно принять эффективные меры, с тем чтобы предоставить мигрантам право и возможность сообщать о случаях преступлений на почве ненависти, не опасаясь мести, гарантировать применение надлежащей правовой процедуры и не допускать высылки мигрантов из государства до завершения судебного разбирательства.</w:t>
      </w:r>
    </w:p>
    <w:p w14:paraId="33642494" w14:textId="77777777" w:rsidR="00C51675" w:rsidRPr="003B3079" w:rsidRDefault="00C51675" w:rsidP="00C51675">
      <w:pPr>
        <w:pStyle w:val="SingleTxtG"/>
        <w:suppressAutoHyphens w:val="0"/>
      </w:pPr>
      <w:r>
        <w:t>96.</w:t>
      </w:r>
      <w:r>
        <w:tab/>
        <w:t>Для того, чтобы гарантировать инклюзивный характер административных и судебных процедур, следует вносить при необходимости надлежащие процессуальные коррективы с учетом возраста, гендера, инвалидности, языка и других факторов. Устный перевод на понятный язык и обеспечение доступности для инвалидов должны быть обязательными требованиями в судебных и административных системах, в том числе</w:t>
      </w:r>
      <w:r w:rsidRPr="00C50A3B">
        <w:t xml:space="preserve"> </w:t>
      </w:r>
      <w:r>
        <w:t xml:space="preserve">в рамках процедур, касающихся миграции, предоставления убежища и других связанных с ними вопросов. </w:t>
      </w:r>
    </w:p>
    <w:p w14:paraId="23DC00EF" w14:textId="77777777" w:rsidR="00C51675" w:rsidRPr="003B3079" w:rsidRDefault="00C51675" w:rsidP="00C51675">
      <w:pPr>
        <w:pStyle w:val="SingleTxtG"/>
        <w:suppressAutoHyphens w:val="0"/>
      </w:pPr>
      <w:r>
        <w:t>97.</w:t>
      </w:r>
      <w:r>
        <w:tab/>
        <w:t xml:space="preserve">Комитеты выражают обеспокоенность тем, что ксенофобия, расизм и перекрестные формы дискриминации могут приводить к произвольным судебным решениям, особенно в рамках уголовного судопроизводства, в том числе в странах, в которых разрешена смертная казнь. Среди осужденных, в том числе приговоренных к смертной казни, непропорционально велика доля мигрантов и представителей других расиализированных групп. Комитеты рекомендуют государствам-участникам, при необходимости: </w:t>
      </w:r>
    </w:p>
    <w:p w14:paraId="4A1C8905" w14:textId="7B6523BB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a)</w:t>
      </w:r>
      <w:r>
        <w:tab/>
        <w:t xml:space="preserve">принять меры для отмены смертной казни там, где она по-прежнему разрешена, и ратификации второго Факультативного протокола к Международному пакту о гражданских и политических правах, направленного на отмену смертной казни; </w:t>
      </w:r>
    </w:p>
    <w:p w14:paraId="43C1677F" w14:textId="06A3C730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b)</w:t>
      </w:r>
      <w:r>
        <w:tab/>
        <w:t>до этого момента принять надлежащие меры для предотвращения и искоренени</w:t>
      </w:r>
      <w:r w:rsidR="00FA51F1">
        <w:t>я</w:t>
      </w:r>
      <w:r>
        <w:t xml:space="preserve"> любой дискриминации на основании гражданства, расовой и этнической принадлежности, гендера, языка, религии и других признаков, запрещенных в соответствии с принципом недискриминации, на протяжении всего судебного процесса, в том числе на этапах расследования, судебного разбирательства, вынесения приговора и принятия всех связанных с этим решений; </w:t>
      </w:r>
    </w:p>
    <w:p w14:paraId="6DAC5571" w14:textId="3A3C581D" w:rsidR="00C51675" w:rsidRPr="003B3079" w:rsidRDefault="00C51675" w:rsidP="00C51675">
      <w:pPr>
        <w:pStyle w:val="SingleTxtG"/>
      </w:pPr>
      <w:r>
        <w:rPr>
          <w:lang w:val="en-US"/>
        </w:rPr>
        <w:tab/>
      </w:r>
      <w:r>
        <w:t>c)</w:t>
      </w:r>
      <w:r>
        <w:tab/>
        <w:t>полностью выполнить руководящие указания, разработанные Комитетом по ликвидации расовой дискриминации в его общей рекомендации № 31 (2005) о предупреждении расовой дискриминации в процессе отправления и функционирования системы уголовного правосудия.</w:t>
      </w:r>
    </w:p>
    <w:p w14:paraId="0756B5E2" w14:textId="77777777" w:rsidR="00C51675" w:rsidRPr="003B3079" w:rsidRDefault="00C51675" w:rsidP="00C51675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Укрепление потенциала и повышение осведомленности</w:t>
      </w:r>
    </w:p>
    <w:p w14:paraId="248C4CE2" w14:textId="77777777" w:rsidR="00C51675" w:rsidRPr="003B3079" w:rsidRDefault="00C51675" w:rsidP="00C51675">
      <w:pPr>
        <w:pStyle w:val="SingleTxtG"/>
        <w:suppressAutoHyphens w:val="0"/>
      </w:pPr>
      <w:r>
        <w:t>98.</w:t>
      </w:r>
      <w:r>
        <w:tab/>
        <w:t xml:space="preserve">Комитеты рекомендуют принять меры по укреплению потенциала всех государственных органов, занимающихся искоренением ксенофобии. Эти меры должны также распространяться на другие субъекты, включая организации работников и работодателей, средства массовой информации, соответствующие </w:t>
      </w:r>
      <w:r>
        <w:lastRenderedPageBreak/>
        <w:t>частные структуры, общественных и религиозных лидеров, общественные и религиозные ассоциации, а также широкую общественность.</w:t>
      </w:r>
    </w:p>
    <w:p w14:paraId="356E5344" w14:textId="77777777" w:rsidR="00C51675" w:rsidRPr="003B3079" w:rsidRDefault="00C51675" w:rsidP="00C51675">
      <w:pPr>
        <w:pStyle w:val="SingleTxtG"/>
        <w:suppressAutoHyphens w:val="0"/>
      </w:pPr>
      <w:r>
        <w:t>99.</w:t>
      </w:r>
      <w:r>
        <w:tab/>
        <w:t>Государствам-участникам следует разработать и реализовать программы непрерывного обучения и информационно-просветительские инициативы, направленные на борьбу с ксенофобией и содействие межкультурной интеграции. Следует принять надлежащие меры, включая выделение ресурсов и проведение периодической оценки результатов, с тем чтобы гарантировать превращение программ непрерывной подготовки в важнейшие сквозные инструменты для всей системы государственного управления на национальном и местном уровнях. В рамках таких инициатив государствам-участникам также рекомендуется налаживать партнерские отношения с организациями гражданского общества, научными кругами, организациями работников, международными органами и другими экспертами, религиозными группами, мигрантами и низовыми объединениями. Государствам-участникам следует поощрять активное участие экспертов и заинтересованных сторон в разработке, реализации и оценке таких учебных программ.</w:t>
      </w:r>
    </w:p>
    <w:p w14:paraId="647D3762" w14:textId="77777777" w:rsidR="00C51675" w:rsidRPr="003B3079" w:rsidRDefault="00C51675" w:rsidP="00C51675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>Сбор данных и правозащитные показатели</w:t>
      </w:r>
    </w:p>
    <w:p w14:paraId="32C2A915" w14:textId="77777777" w:rsidR="00C51675" w:rsidRPr="003B3079" w:rsidRDefault="00C51675" w:rsidP="00C51675">
      <w:pPr>
        <w:pStyle w:val="SingleTxtG"/>
        <w:suppressAutoHyphens w:val="0"/>
      </w:pPr>
      <w:r>
        <w:t>100.</w:t>
      </w:r>
      <w:r>
        <w:tab/>
        <w:t>Государствам-участникам следует активизировать регулярный сбор дезагрегированных данных для выявления проблем, с которыми сталкиваются мигранты и их семьи и которые касаются их благополучия и интеграции в общество. Механизмы сбора данных должны дополняться другими методами, включая переписи, обследования домохозяйств, обследования рабочей силы и обследования в сфере образования. Всем уполномоченным органам на национальном и местном уровнях</w:t>
      </w:r>
      <w:r w:rsidRPr="00070726">
        <w:rPr>
          <w:rStyle w:val="aa"/>
        </w:rPr>
        <w:footnoteReference w:id="37"/>
      </w:r>
      <w:r>
        <w:t xml:space="preserve"> следует принять меры для представления данных в разбивке по разным социальным группам с учетом запрещенных оснований для дискриминации. Такие меры позволят им выявить и обозначить общие и специфические проблемы и препятствия, с которыми сталкиваются эти группы, и внести необходимые коррективы в политику и практику.</w:t>
      </w:r>
    </w:p>
    <w:p w14:paraId="70DD557B" w14:textId="77777777" w:rsidR="00C51675" w:rsidRPr="003B3079" w:rsidRDefault="00C51675" w:rsidP="00C51675">
      <w:pPr>
        <w:pStyle w:val="SingleTxtG"/>
        <w:suppressAutoHyphens w:val="0"/>
      </w:pPr>
      <w:r>
        <w:t>101.</w:t>
      </w:r>
      <w:r>
        <w:tab/>
        <w:t>Компетентным органам следует собирать количественную и качественную информацию о проявлениях ксенофобии, включая случаи словесного и физического насилия, о преследовании мигрантов и других лиц, воспринимаемых в качестве таковых, о мерах, касающихся доступа жертв к правосудию и возмещению ущерба, и о наказании виновных. Для оценки степени интеграции мигрантов и межкультурной интеграции, анализа общественного мнения и поведения, а также для более глубокого понимания коренных причин системного расизма в рамках политики, направленной на предотвращение и пресечение ксенофобии и ее негативного воздействия на права человека, следует проводить периодические опросы и обследования. Особое внимание следует уделять отслеживанию проявлений ксенофобии в Интернете. Следует проводить анализ тенденций с использованием междисциплинарного подхода и регулярно публиковать полученные результаты.</w:t>
      </w:r>
    </w:p>
    <w:p w14:paraId="76253B21" w14:textId="77777777" w:rsidR="00C51675" w:rsidRPr="003B3079" w:rsidRDefault="00C51675" w:rsidP="00C51675">
      <w:pPr>
        <w:pStyle w:val="SingleTxtG"/>
        <w:suppressAutoHyphens w:val="0"/>
      </w:pPr>
      <w:r>
        <w:t>102.</w:t>
      </w:r>
      <w:r>
        <w:tab/>
        <w:t xml:space="preserve">Государствам-участникам следует собирать дезагрегированные данные о случаях смерти, исчезновения, произвольного задержания и высылки мигрантов, а также о других инцидентах, происходящих на опасных миграционных маршрутах. Эти данные следует систематически анализировать для использования при разработке мер, в том числе реформ в сфере политики, направленных на предотвращение подобных ситуаций, защиту мигрантов и облегчение доступа к эффективным механизмам правосудия и возмещения ущерба. </w:t>
      </w:r>
    </w:p>
    <w:p w14:paraId="0D5A4D1D" w14:textId="380D30F8" w:rsidR="00C51675" w:rsidRPr="003B3079" w:rsidRDefault="00C51675" w:rsidP="00C51675">
      <w:pPr>
        <w:pStyle w:val="SingleTxtG"/>
        <w:suppressAutoHyphens w:val="0"/>
      </w:pPr>
      <w:r>
        <w:t>103.</w:t>
      </w:r>
      <w:r>
        <w:tab/>
        <w:t xml:space="preserve">Комитеты подчеркивают важность законодательного регулирования и эффективного применения строгих мер защиты данных, с тем чтобы гарантировать, что данные поставщиков услуг не будут доступны и не будут использованы в правоприменительных и аналогичных целях миграционными органами. Сбор, хранение данных и обмен данными должны осуществляться таким образом, чтобы обеспечить защиту неприкосновенности частной жизни и безопасность, а также </w:t>
      </w:r>
      <w:r>
        <w:lastRenderedPageBreak/>
        <w:t>соблюдение этических принципов, включая принципы информированного согласия, самоидентификации и конфиденциальности. Собранные данные должны использоваться исключительно для достижения целей политики, направленной на обеспечение равенства и предотвращение ксенофобии, расизма и дискриминации.</w:t>
      </w:r>
    </w:p>
    <w:p w14:paraId="5C4D0935" w14:textId="77777777" w:rsidR="00C51675" w:rsidRPr="003B3079" w:rsidRDefault="00C51675" w:rsidP="00C51675">
      <w:pPr>
        <w:pStyle w:val="SingleTxtG"/>
        <w:suppressAutoHyphens w:val="0"/>
      </w:pPr>
      <w:r>
        <w:t>104.</w:t>
      </w:r>
      <w:r>
        <w:tab/>
        <w:t xml:space="preserve">Следует проводить политику, направленную на обеспечение периодического распространения информации о негативном воздействии ксенофобии и перекрестных форм дискриминации на мигрантов, их семьи и общины, включая анализ последствий для социальной интеграции, развития человеческого потенциала и других ключевых целей государственной политики в различных сферах. </w:t>
      </w:r>
    </w:p>
    <w:p w14:paraId="12670E86" w14:textId="77777777" w:rsidR="00C51675" w:rsidRPr="003B3079" w:rsidRDefault="00C51675" w:rsidP="00C51675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Выполнение решений и периодическая оценка</w:t>
      </w:r>
    </w:p>
    <w:p w14:paraId="16A4DD1C" w14:textId="46E5A165" w:rsidR="00C51675" w:rsidRPr="003B3079" w:rsidRDefault="00C51675" w:rsidP="00C51675">
      <w:pPr>
        <w:pStyle w:val="SingleTxtG"/>
        <w:suppressAutoHyphens w:val="0"/>
      </w:pPr>
      <w:r>
        <w:t>105.</w:t>
      </w:r>
      <w:r>
        <w:tab/>
        <w:t>Создание прозрачных механизмов для выполнения решений, периодической оценки, мониторинга и анализа является одним из ключевых аспектов политики, направленной на борьбу с ксенофобией и ее причинами, а также на устранение ее последствий. Комитеты подчеркивают роль независимых специализированных государственных органов в мониторинге осуществления всех компонентов целостной политики предотвращения и искоренения ксенофобии, ее причин и последствий для прав человека. Комитеты рекомендуют национальным правозащитным учреждениям, органам по обеспечению равенства и другим независимым государственным органам, обладающим компетенцией в соответствующих вопросах — например</w:t>
      </w:r>
      <w:r w:rsidRPr="00C51675">
        <w:t>,</w:t>
      </w:r>
      <w:r>
        <w:t xml:space="preserve"> учреждениям по борьбе с расизмом и дискриминацией — принимать меры, в том числе публиковать периодические доклады, для оценки прогресса в проведении этой политики и ее воздействия в краткосрочной и долгосрочной перспективе. В реализации этих инициатив также должны принимать участие организации гражданского общества, ассоциации мигрантов, местные органы власти, научные круги, профсоюзы, мультикультурные школы и ассоциации, религиозные организации, частный сектор, ассоциации работодателей и международные организации. Такие меры должны обеспечить создание эффективных, функциональных, основанных на широком участии и институционализированных консультативных механизмов.</w:t>
      </w:r>
    </w:p>
    <w:p w14:paraId="4DC33803" w14:textId="77777777" w:rsidR="00C51675" w:rsidRPr="003B3079" w:rsidRDefault="00C51675" w:rsidP="00C51675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>Распределение ресурсов и международное сотрудничество</w:t>
      </w:r>
    </w:p>
    <w:p w14:paraId="5548B7CF" w14:textId="77777777" w:rsidR="00C51675" w:rsidRPr="003B3079" w:rsidRDefault="00C51675" w:rsidP="00C51675">
      <w:pPr>
        <w:pStyle w:val="SingleTxtG"/>
        <w:suppressAutoHyphens w:val="0"/>
      </w:pPr>
      <w:r>
        <w:t>106.</w:t>
      </w:r>
      <w:r>
        <w:tab/>
        <w:t xml:space="preserve">Для эффективного проведения политики, направленной на предотвращение ксенофобии и устранение ее причин и последствий, необходимо, чтобы государства-участники приняли все необходимые меры для мобилизации достаточных ресурсов. Выделение надлежащих бюджетных, кадровых и иных ресурсов имеет решающее значение для успешной реализации всех программ и практических мер по искоренению ксенофобии. </w:t>
      </w:r>
    </w:p>
    <w:p w14:paraId="61C06F8A" w14:textId="77777777" w:rsidR="00C51675" w:rsidRPr="003B3079" w:rsidRDefault="00C51675" w:rsidP="00C51675">
      <w:pPr>
        <w:pStyle w:val="SingleTxtG"/>
        <w:suppressAutoHyphens w:val="0"/>
      </w:pPr>
      <w:r>
        <w:t>107.</w:t>
      </w:r>
      <w:r>
        <w:tab/>
        <w:t>Ресурсы, выделяемые на проведение миграционной политики через призму безопасности, следует перераспределить в целях внедрения комплексного подхода, который мог бы способствовать предотвращению ксенофобии и связанной с ней дискриминационной и вредной практики</w:t>
      </w:r>
      <w:r w:rsidRPr="00070726">
        <w:rPr>
          <w:rStyle w:val="aa"/>
        </w:rPr>
        <w:footnoteReference w:id="38"/>
      </w:r>
      <w:r>
        <w:t>. Ресурсы, выделяемые на уголовное преследование мигрантов с неурегулированным статусом, административное задержание мигрантов и усиление охраны границы, что еще больше усиливает основанную на стереотипах ксенофобскую риторику, можно было бы перенаправить на меры, призванные упростить процедуры урегулирования статуса и способствовать социальной интеграции посредством принятия соответствующих законодательных и административных мер.</w:t>
      </w:r>
    </w:p>
    <w:p w14:paraId="2E83FE31" w14:textId="77777777" w:rsidR="00C51675" w:rsidRPr="003B3079" w:rsidRDefault="00C51675" w:rsidP="00C51675">
      <w:pPr>
        <w:pStyle w:val="SingleTxtG"/>
        <w:suppressAutoHyphens w:val="0"/>
      </w:pPr>
      <w:r>
        <w:t>108.</w:t>
      </w:r>
      <w:r>
        <w:tab/>
        <w:t xml:space="preserve">Государства-участники, население которых в результате международной миграции стало более разнородным, особенно те государства, которым приходится сталкиваться с большим наплывом мигрантов в течение коротких периодов времени, должны получать поддержку в рамках механизмов международного сотрудничества, </w:t>
      </w:r>
      <w:r>
        <w:lastRenderedPageBreak/>
        <w:t>с тем чтобы иметь ресурсы, необходимые для реализации целостной политики в интересах всего общества. В частности, они должны гарантировать эффективный доступ ко всем правам человека и их эффективное осуществление без какой-либо дискриминации, что также касается услуг по приему и социальной интеграции новоприбывших. Международные организации могут сыграть важную роль, сделав соблюдение принципа недискриминации условием предоставления внешнего финансирования.</w:t>
      </w:r>
    </w:p>
    <w:p w14:paraId="7A63792F" w14:textId="31418047" w:rsidR="00381C24" w:rsidRPr="00C51675" w:rsidRDefault="00C51675" w:rsidP="00C5167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C51675" w:rsidSect="00C5167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435C6" w14:textId="77777777" w:rsidR="002C5202" w:rsidRPr="00A312BC" w:rsidRDefault="002C5202" w:rsidP="00A312BC"/>
  </w:endnote>
  <w:endnote w:type="continuationSeparator" w:id="0">
    <w:p w14:paraId="6652DD9B" w14:textId="77777777" w:rsidR="002C5202" w:rsidRPr="00A312BC" w:rsidRDefault="002C520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08B65" w14:textId="2CEB2856" w:rsidR="00C51675" w:rsidRPr="00C51675" w:rsidRDefault="00C51675">
    <w:pPr>
      <w:pStyle w:val="a8"/>
    </w:pPr>
    <w:r w:rsidRPr="00C51675">
      <w:rPr>
        <w:b/>
        <w:sz w:val="18"/>
      </w:rPr>
      <w:fldChar w:fldCharType="begin"/>
    </w:r>
    <w:r w:rsidRPr="00C51675">
      <w:rPr>
        <w:b/>
        <w:sz w:val="18"/>
      </w:rPr>
      <w:instrText xml:space="preserve"> PAGE  \* MERGEFORMAT </w:instrText>
    </w:r>
    <w:r w:rsidRPr="00C51675">
      <w:rPr>
        <w:b/>
        <w:sz w:val="18"/>
      </w:rPr>
      <w:fldChar w:fldCharType="separate"/>
    </w:r>
    <w:r w:rsidRPr="00C51675">
      <w:rPr>
        <w:b/>
        <w:noProof/>
        <w:sz w:val="18"/>
      </w:rPr>
      <w:t>2</w:t>
    </w:r>
    <w:r w:rsidRPr="00C51675">
      <w:rPr>
        <w:b/>
        <w:sz w:val="18"/>
      </w:rPr>
      <w:fldChar w:fldCharType="end"/>
    </w:r>
    <w:r>
      <w:rPr>
        <w:b/>
        <w:sz w:val="18"/>
      </w:rPr>
      <w:tab/>
    </w:r>
    <w:r>
      <w:t>GE.26-01053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4955C" w14:textId="583BF444" w:rsidR="00C51675" w:rsidRPr="00C51675" w:rsidRDefault="00C51675" w:rsidP="00C51675">
    <w:pPr>
      <w:pStyle w:val="a8"/>
      <w:tabs>
        <w:tab w:val="clear" w:pos="9639"/>
        <w:tab w:val="right" w:pos="9638"/>
      </w:tabs>
      <w:rPr>
        <w:b/>
        <w:sz w:val="18"/>
      </w:rPr>
    </w:pPr>
    <w:r>
      <w:t>GE.26-01053</w:t>
    </w:r>
    <w:r>
      <w:tab/>
    </w:r>
    <w:r w:rsidRPr="00C51675">
      <w:rPr>
        <w:b/>
        <w:sz w:val="18"/>
      </w:rPr>
      <w:fldChar w:fldCharType="begin"/>
    </w:r>
    <w:r w:rsidRPr="00C51675">
      <w:rPr>
        <w:b/>
        <w:sz w:val="18"/>
      </w:rPr>
      <w:instrText xml:space="preserve"> PAGE  \* MERGEFORMAT </w:instrText>
    </w:r>
    <w:r w:rsidRPr="00C51675">
      <w:rPr>
        <w:b/>
        <w:sz w:val="18"/>
      </w:rPr>
      <w:fldChar w:fldCharType="separate"/>
    </w:r>
    <w:r w:rsidRPr="00C51675">
      <w:rPr>
        <w:b/>
        <w:noProof/>
        <w:sz w:val="18"/>
      </w:rPr>
      <w:t>3</w:t>
    </w:r>
    <w:r w:rsidRPr="00C5167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4B7B0" w14:textId="06F79FB0" w:rsidR="00042B72" w:rsidRPr="00C51675" w:rsidRDefault="00C51675" w:rsidP="00C5167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CCC64DE" wp14:editId="247F83B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26-01053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F380AD2" wp14:editId="6779D21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090426  100426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2E165" w14:textId="77777777" w:rsidR="002C5202" w:rsidRPr="001075E9" w:rsidRDefault="002C520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1AF1D8D" w14:textId="77777777" w:rsidR="002C5202" w:rsidRDefault="002C520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8BB5759" w14:textId="48819743" w:rsidR="00C51675" w:rsidRPr="003B3079" w:rsidRDefault="00C51675" w:rsidP="00C51675">
      <w:pPr>
        <w:pStyle w:val="ad"/>
      </w:pPr>
      <w:r w:rsidRPr="00671CAD">
        <w:tab/>
      </w:r>
      <w:r w:rsidRPr="00070726">
        <w:rPr>
          <w:rStyle w:val="aa"/>
        </w:rPr>
        <w:footnoteRef/>
      </w:r>
      <w:r>
        <w:tab/>
        <w:t xml:space="preserve">Резолюция </w:t>
      </w:r>
      <w:hyperlink r:id="rId1" w:history="1">
        <w:r w:rsidRPr="00C51675">
          <w:rPr>
            <w:rStyle w:val="af1"/>
          </w:rPr>
          <w:t>70/1</w:t>
        </w:r>
      </w:hyperlink>
      <w:r>
        <w:t xml:space="preserve"> Генеральной Ассамблеи, п. 29.</w:t>
      </w:r>
    </w:p>
  </w:footnote>
  <w:footnote w:id="2">
    <w:p w14:paraId="6612B7FD" w14:textId="77777777" w:rsidR="00C51675" w:rsidRPr="003B3079" w:rsidRDefault="00C51675" w:rsidP="00C51675">
      <w:pPr>
        <w:pStyle w:val="ad"/>
      </w:pPr>
      <w:r w:rsidRPr="00A64989">
        <w:tab/>
      </w:r>
      <w:r w:rsidRPr="00070726">
        <w:rPr>
          <w:rStyle w:val="aa"/>
        </w:rPr>
        <w:footnoteRef/>
      </w:r>
      <w:r>
        <w:tab/>
        <w:t>Охват термина «другие лица, воспринимаемые в качестве таковых» для целей настоящей совместной общей рекомендации/замечания общего порядка см. в п. 12 ниже.</w:t>
      </w:r>
    </w:p>
  </w:footnote>
  <w:footnote w:id="3">
    <w:p w14:paraId="772949C3" w14:textId="77777777" w:rsidR="00C51675" w:rsidRPr="003B3079" w:rsidRDefault="00C51675" w:rsidP="00C51675">
      <w:pPr>
        <w:pStyle w:val="ad"/>
      </w:pPr>
      <w:r w:rsidRPr="00A64989">
        <w:tab/>
      </w:r>
      <w:r w:rsidRPr="00070726">
        <w:rPr>
          <w:rStyle w:val="aa"/>
        </w:rPr>
        <w:footnoteRef/>
      </w:r>
      <w:r>
        <w:tab/>
        <w:t>Исходная информация была получена из представленных онлайн материалов, а также в ходе очных глобальных и региональных консультаций, проведенных в период с сентября по ноябрь 2024 года в Женеве, Бангкоке, Брюсселе, Дакаре и Панаме, а также в Торонто (Канада) и Остине (Соединенные Штаты Америки).</w:t>
      </w:r>
    </w:p>
  </w:footnote>
  <w:footnote w:id="4">
    <w:p w14:paraId="05FFAA6A" w14:textId="77777777" w:rsidR="00C51675" w:rsidRPr="00C51675" w:rsidRDefault="00C51675" w:rsidP="00C51675">
      <w:pPr>
        <w:pStyle w:val="ad"/>
        <w:rPr>
          <w:lang w:val="en-US"/>
        </w:rPr>
      </w:pPr>
      <w:r w:rsidRPr="00A64989"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r>
        <w:t>См</w:t>
      </w:r>
      <w:r w:rsidRPr="003B3079">
        <w:rPr>
          <w:lang w:val="en-US"/>
        </w:rPr>
        <w:t xml:space="preserve">., </w:t>
      </w:r>
      <w:r>
        <w:t>в</w:t>
      </w:r>
      <w:r w:rsidRPr="003B3079">
        <w:rPr>
          <w:lang w:val="en-US"/>
        </w:rPr>
        <w:t xml:space="preserve"> </w:t>
      </w:r>
      <w:r>
        <w:t>частности</w:t>
      </w:r>
      <w:r w:rsidRPr="003B3079">
        <w:rPr>
          <w:lang w:val="en-US"/>
        </w:rPr>
        <w:t xml:space="preserve">, Inter-American Court of Human Rights, </w:t>
      </w:r>
      <w:r w:rsidRPr="003B3079">
        <w:rPr>
          <w:i/>
          <w:iCs/>
          <w:lang w:val="en-US"/>
        </w:rPr>
        <w:t>Juridical Condition and Rights of Undocumented Migrants</w:t>
      </w:r>
      <w:r w:rsidRPr="003B3079">
        <w:rPr>
          <w:lang w:val="en-US"/>
        </w:rPr>
        <w:t>, Advisory Opinion, No. 18/2003, 17 September 2003.</w:t>
      </w:r>
    </w:p>
  </w:footnote>
  <w:footnote w:id="5">
    <w:p w14:paraId="3C395FA0" w14:textId="19B56AE4" w:rsidR="00C51675" w:rsidRPr="003B3079" w:rsidRDefault="00C51675" w:rsidP="00C51675">
      <w:pPr>
        <w:pStyle w:val="ad"/>
        <w:rPr>
          <w:szCs w:val="18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>
        <w:tab/>
        <w:t>См. Комитет по трудящимся-мигрантам, замечания общего порядка № 1 (2011), № 2 (2013), №</w:t>
      </w:r>
      <w:r>
        <w:rPr>
          <w:lang w:val="en-US"/>
        </w:rPr>
        <w:t> </w:t>
      </w:r>
      <w:r>
        <w:t>5 (2021) и № 6 (2024); совместные замечания общего порядка № 3 и № 4 Комитета по трудящимся-мигрантам/№ 22 и № 23 Комитета по правам ребенка (2017); Комитет по экономическим, социальным и культурным правам, замечание общего порядка № 20 (2009); и</w:t>
      </w:r>
      <w:r>
        <w:rPr>
          <w:lang w:val="en-US"/>
        </w:rPr>
        <w:t> </w:t>
      </w:r>
      <w:r>
        <w:t>Комитет по ликвидации дискриминации в отношении женщин, общая рекомендация № 39 (2022).</w:t>
      </w:r>
    </w:p>
  </w:footnote>
  <w:footnote w:id="6">
    <w:p w14:paraId="00166308" w14:textId="77777777" w:rsidR="00C51675" w:rsidRPr="00C51675" w:rsidRDefault="00C51675" w:rsidP="00C51675">
      <w:pPr>
        <w:pStyle w:val="ad"/>
        <w:rPr>
          <w:i/>
          <w:iCs/>
          <w:lang w:val="en-US"/>
        </w:rPr>
      </w:pPr>
      <w:r w:rsidRPr="00A64989"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  <w:t xml:space="preserve">International Labour Organization (ILO), International Organization for Migration (IOM) and Office of the United Nations High Commissioner for Human Rights (OHCHR), “International migration, racism, discrimination and xenophobia”, August 2001, p. 2; </w:t>
      </w:r>
      <w:r>
        <w:t>а</w:t>
      </w:r>
      <w:r w:rsidRPr="003B3079">
        <w:rPr>
          <w:lang w:val="en-US"/>
        </w:rPr>
        <w:t xml:space="preserve"> </w:t>
      </w:r>
      <w:r>
        <w:t>также</w:t>
      </w:r>
      <w:r w:rsidRPr="003B3079">
        <w:rPr>
          <w:lang w:val="en-US"/>
        </w:rPr>
        <w:t xml:space="preserve"> OHCHR and Global Migration Group, </w:t>
      </w:r>
      <w:r w:rsidRPr="003B3079">
        <w:rPr>
          <w:i/>
          <w:iCs/>
          <w:lang w:val="en-US"/>
        </w:rPr>
        <w:t>Principles and Guidelines, Supported by Practical Guidance, on the Human Rights Protection of Migrants in Vulnerable Situations</w:t>
      </w:r>
      <w:r w:rsidRPr="003B3079">
        <w:rPr>
          <w:lang w:val="en-US"/>
        </w:rPr>
        <w:t xml:space="preserve"> (Geneva, OHCHR, 2018), p. 18. </w:t>
      </w:r>
      <w:r>
        <w:t>См</w:t>
      </w:r>
      <w:r w:rsidRPr="003B3079">
        <w:rPr>
          <w:lang w:val="en-US"/>
        </w:rPr>
        <w:t xml:space="preserve">. </w:t>
      </w:r>
      <w:r>
        <w:t>также</w:t>
      </w:r>
      <w:r w:rsidRPr="003B3079">
        <w:rPr>
          <w:lang w:val="en-US"/>
        </w:rPr>
        <w:t xml:space="preserve"> Office of the United Nations High Commissioner for Refugees, </w:t>
      </w:r>
      <w:r w:rsidRPr="003B3079">
        <w:rPr>
          <w:i/>
          <w:iCs/>
          <w:lang w:val="en-US"/>
        </w:rPr>
        <w:t>Guidance on Racism and Xenophobia</w:t>
      </w:r>
      <w:r w:rsidRPr="003B3079">
        <w:rPr>
          <w:lang w:val="en-US"/>
        </w:rPr>
        <w:t xml:space="preserve"> (Geneva, 2020). </w:t>
      </w:r>
    </w:p>
  </w:footnote>
  <w:footnote w:id="7">
    <w:p w14:paraId="75E1DE94" w14:textId="77777777" w:rsidR="00C51675" w:rsidRPr="00C51675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  <w:t>ILO, IOM and OHCHR, “International migration, racism, discrimination and xenophobia”, p. 2.</w:t>
      </w:r>
    </w:p>
  </w:footnote>
  <w:footnote w:id="8">
    <w:p w14:paraId="7524C834" w14:textId="68CB5DD1" w:rsidR="00C51675" w:rsidRPr="00C51675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r>
        <w:t>См</w:t>
      </w:r>
      <w:r w:rsidRPr="003B3079">
        <w:rPr>
          <w:lang w:val="en-US"/>
        </w:rPr>
        <w:t xml:space="preserve">. </w:t>
      </w:r>
      <w:hyperlink r:id="rId2" w:history="1">
        <w:r w:rsidRPr="00C51675">
          <w:rPr>
            <w:rStyle w:val="af1"/>
            <w:lang w:val="en-US"/>
          </w:rPr>
          <w:t>A/HRC/32/50</w:t>
        </w:r>
      </w:hyperlink>
      <w:r w:rsidRPr="003B3079">
        <w:rPr>
          <w:lang w:val="en-US"/>
        </w:rPr>
        <w:t>.</w:t>
      </w:r>
      <w:hyperlink r:id="rId3" w:history="1"/>
    </w:p>
  </w:footnote>
  <w:footnote w:id="9">
    <w:p w14:paraId="1F2164DC" w14:textId="77777777" w:rsidR="00C51675" w:rsidRPr="00C51675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r>
        <w:t>Декларация</w:t>
      </w:r>
      <w:r w:rsidRPr="003B3079">
        <w:rPr>
          <w:lang w:val="en-US"/>
        </w:rPr>
        <w:t xml:space="preserve">, </w:t>
      </w:r>
      <w:r>
        <w:t>п</w:t>
      </w:r>
      <w:r w:rsidRPr="003B3079">
        <w:rPr>
          <w:lang w:val="en-US"/>
        </w:rPr>
        <w:t>.16.</w:t>
      </w:r>
    </w:p>
  </w:footnote>
  <w:footnote w:id="10">
    <w:p w14:paraId="5F270A09" w14:textId="77777777" w:rsidR="00C51675" w:rsidRPr="00C51675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r>
        <w:t>См</w:t>
      </w:r>
      <w:r w:rsidRPr="003B3079">
        <w:rPr>
          <w:lang w:val="en-US"/>
        </w:rPr>
        <w:t xml:space="preserve">. United Nations network on racial discrimination and protection of minorities, </w:t>
      </w:r>
      <w:r w:rsidRPr="003B3079">
        <w:rPr>
          <w:i/>
          <w:iCs/>
          <w:lang w:val="en-US"/>
        </w:rPr>
        <w:t>Guidance Note on Intersectionality, Racial Discrimination and Protection of Minorities</w:t>
      </w:r>
      <w:r w:rsidRPr="003B3079">
        <w:rPr>
          <w:lang w:val="en-US"/>
        </w:rPr>
        <w:t xml:space="preserve"> (Geneva, OHCHR, 2022); </w:t>
      </w:r>
      <w:r>
        <w:t>Комитет</w:t>
      </w:r>
      <w:r w:rsidRPr="003B3079">
        <w:rPr>
          <w:lang w:val="en-US"/>
        </w:rPr>
        <w:t xml:space="preserve"> </w:t>
      </w:r>
      <w:r>
        <w:t>по</w:t>
      </w:r>
      <w:r w:rsidRPr="003B3079">
        <w:rPr>
          <w:lang w:val="en-US"/>
        </w:rPr>
        <w:t xml:space="preserve"> </w:t>
      </w:r>
      <w:r>
        <w:t>ликвидации</w:t>
      </w:r>
      <w:r w:rsidRPr="003B3079">
        <w:rPr>
          <w:lang w:val="en-US"/>
        </w:rPr>
        <w:t xml:space="preserve"> </w:t>
      </w:r>
      <w:r>
        <w:t>дискриминации</w:t>
      </w:r>
      <w:r w:rsidRPr="003B3079">
        <w:rPr>
          <w:lang w:val="en-US"/>
        </w:rPr>
        <w:t xml:space="preserve"> </w:t>
      </w:r>
      <w:r>
        <w:t>в</w:t>
      </w:r>
      <w:r w:rsidRPr="003B3079">
        <w:rPr>
          <w:lang w:val="en-US"/>
        </w:rPr>
        <w:t xml:space="preserve"> </w:t>
      </w:r>
      <w:r>
        <w:t>отношении</w:t>
      </w:r>
      <w:r w:rsidRPr="003B3079">
        <w:rPr>
          <w:lang w:val="en-US"/>
        </w:rPr>
        <w:t xml:space="preserve"> </w:t>
      </w:r>
      <w:r>
        <w:t>женщин</w:t>
      </w:r>
      <w:r w:rsidRPr="003B3079">
        <w:rPr>
          <w:lang w:val="en-US"/>
        </w:rPr>
        <w:t xml:space="preserve">, </w:t>
      </w:r>
      <w:r>
        <w:t>общая</w:t>
      </w:r>
      <w:r w:rsidRPr="003B3079">
        <w:rPr>
          <w:lang w:val="en-US"/>
        </w:rPr>
        <w:t xml:space="preserve"> </w:t>
      </w:r>
      <w:r>
        <w:t>рекомендация</w:t>
      </w:r>
      <w:r w:rsidRPr="003B3079">
        <w:rPr>
          <w:lang w:val="en-US"/>
        </w:rPr>
        <w:t xml:space="preserve"> № 28 (2010), </w:t>
      </w:r>
      <w:r>
        <w:t>п</w:t>
      </w:r>
      <w:r w:rsidRPr="003B3079">
        <w:rPr>
          <w:lang w:val="en-US"/>
        </w:rPr>
        <w:t xml:space="preserve">. 18; </w:t>
      </w:r>
      <w:r>
        <w:t>и</w:t>
      </w:r>
      <w:r w:rsidRPr="003B3079">
        <w:rPr>
          <w:lang w:val="en-US"/>
        </w:rPr>
        <w:t xml:space="preserve"> </w:t>
      </w:r>
      <w:r>
        <w:t>Комитет</w:t>
      </w:r>
      <w:r w:rsidRPr="003B3079">
        <w:rPr>
          <w:lang w:val="en-US"/>
        </w:rPr>
        <w:t xml:space="preserve"> </w:t>
      </w:r>
      <w:r>
        <w:t>по</w:t>
      </w:r>
      <w:r w:rsidRPr="003B3079">
        <w:rPr>
          <w:lang w:val="en-US"/>
        </w:rPr>
        <w:t xml:space="preserve"> </w:t>
      </w:r>
      <w:r>
        <w:t>ликвидации</w:t>
      </w:r>
      <w:r w:rsidRPr="003B3079">
        <w:rPr>
          <w:lang w:val="en-US"/>
        </w:rPr>
        <w:t xml:space="preserve"> </w:t>
      </w:r>
      <w:r>
        <w:t>расовой</w:t>
      </w:r>
      <w:r w:rsidRPr="003B3079">
        <w:rPr>
          <w:lang w:val="en-US"/>
        </w:rPr>
        <w:t xml:space="preserve"> </w:t>
      </w:r>
      <w:r>
        <w:t>дискриминации</w:t>
      </w:r>
      <w:r w:rsidRPr="003B3079">
        <w:rPr>
          <w:lang w:val="en-US"/>
        </w:rPr>
        <w:t xml:space="preserve">, </w:t>
      </w:r>
      <w:r>
        <w:t>общие</w:t>
      </w:r>
      <w:r w:rsidRPr="003B3079">
        <w:rPr>
          <w:lang w:val="en-US"/>
        </w:rPr>
        <w:t xml:space="preserve"> </w:t>
      </w:r>
      <w:r>
        <w:t>рекомендации</w:t>
      </w:r>
      <w:r w:rsidRPr="003B3079">
        <w:rPr>
          <w:lang w:val="en-US"/>
        </w:rPr>
        <w:t xml:space="preserve"> № 25 (2000), № 28 (2002) </w:t>
      </w:r>
      <w:r>
        <w:t>и</w:t>
      </w:r>
      <w:r w:rsidRPr="003B3079">
        <w:rPr>
          <w:lang w:val="en-US"/>
        </w:rPr>
        <w:t xml:space="preserve"> № 29 (2002).</w:t>
      </w:r>
    </w:p>
  </w:footnote>
  <w:footnote w:id="11">
    <w:p w14:paraId="77B8EB5C" w14:textId="77777777" w:rsidR="00C51675" w:rsidRPr="003B3079" w:rsidRDefault="00C51675" w:rsidP="00C51675">
      <w:pPr>
        <w:pStyle w:val="ad"/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>
        <w:tab/>
        <w:t xml:space="preserve">Комитет по ликвидации дискриминации в отношении женщин, общая рекомендация № 26 (2008), п. 5. </w:t>
      </w:r>
    </w:p>
  </w:footnote>
  <w:footnote w:id="12">
    <w:p w14:paraId="0C2A1E70" w14:textId="3357E0EE" w:rsidR="00C51675" w:rsidRPr="00C51675" w:rsidRDefault="00C51675" w:rsidP="00C51675">
      <w:pPr>
        <w:pStyle w:val="ad"/>
        <w:rPr>
          <w:lang w:val="en-US"/>
        </w:rPr>
      </w:pPr>
      <w:r w:rsidRPr="00A64989"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hyperlink r:id="rId4" w:history="1">
        <w:r w:rsidRPr="00C51675">
          <w:rPr>
            <w:rStyle w:val="af1"/>
            <w:lang w:val="en-US"/>
          </w:rPr>
          <w:t>CMW/C/GTM/CO/2</w:t>
        </w:r>
      </w:hyperlink>
      <w:r w:rsidRPr="003B3079">
        <w:rPr>
          <w:lang w:val="en-US"/>
        </w:rPr>
        <w:t xml:space="preserve">, </w:t>
      </w:r>
      <w:r>
        <w:t>пп</w:t>
      </w:r>
      <w:r w:rsidRPr="003B3079">
        <w:rPr>
          <w:lang w:val="en-US"/>
        </w:rPr>
        <w:t xml:space="preserve">. 26 </w:t>
      </w:r>
      <w:r>
        <w:t>и</w:t>
      </w:r>
      <w:r w:rsidRPr="003B3079">
        <w:rPr>
          <w:lang w:val="en-US"/>
        </w:rPr>
        <w:t xml:space="preserve"> 27.</w:t>
      </w:r>
      <w:hyperlink r:id="rId5" w:history="1"/>
    </w:p>
  </w:footnote>
  <w:footnote w:id="13">
    <w:p w14:paraId="46DE6576" w14:textId="6A39243C" w:rsidR="00C51675" w:rsidRPr="00C51675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hyperlink r:id="rId6" w:history="1">
        <w:r w:rsidRPr="00C51675">
          <w:rPr>
            <w:rStyle w:val="af1"/>
            <w:lang w:val="en-US"/>
          </w:rPr>
          <w:t>CMW/C/CHL/CO/2</w:t>
        </w:r>
      </w:hyperlink>
      <w:r w:rsidRPr="003B3079">
        <w:rPr>
          <w:lang w:val="en-US"/>
        </w:rPr>
        <w:t xml:space="preserve">, </w:t>
      </w:r>
      <w:r>
        <w:t>п</w:t>
      </w:r>
      <w:r w:rsidRPr="003B3079">
        <w:rPr>
          <w:lang w:val="en-US"/>
        </w:rPr>
        <w:t>. 28.</w:t>
      </w:r>
      <w:hyperlink r:id="rId7" w:history="1"/>
    </w:p>
  </w:footnote>
  <w:footnote w:id="14">
    <w:p w14:paraId="5CE7313D" w14:textId="10133C13" w:rsidR="00C51675" w:rsidRPr="00C51675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hyperlink r:id="rId8" w:history="1">
        <w:r w:rsidRPr="00C51675">
          <w:rPr>
            <w:rStyle w:val="af1"/>
            <w:lang w:val="en-US"/>
          </w:rPr>
          <w:t>CERD/C/ISL/CO/21-23</w:t>
        </w:r>
      </w:hyperlink>
      <w:r w:rsidRPr="003B3079">
        <w:rPr>
          <w:lang w:val="en-US"/>
        </w:rPr>
        <w:t xml:space="preserve">, </w:t>
      </w:r>
      <w:r>
        <w:t>пп</w:t>
      </w:r>
      <w:r w:rsidRPr="003B3079">
        <w:rPr>
          <w:lang w:val="en-US"/>
        </w:rPr>
        <w:t xml:space="preserve">. 19 </w:t>
      </w:r>
      <w:r>
        <w:t>и</w:t>
      </w:r>
      <w:r w:rsidRPr="003B3079">
        <w:rPr>
          <w:lang w:val="en-US"/>
        </w:rPr>
        <w:t xml:space="preserve"> 20.</w:t>
      </w:r>
      <w:hyperlink r:id="rId9" w:history="1"/>
    </w:p>
  </w:footnote>
  <w:footnote w:id="15">
    <w:p w14:paraId="2C58D50B" w14:textId="3C4B1A99" w:rsidR="00C51675" w:rsidRPr="003B3079" w:rsidRDefault="00C51675" w:rsidP="00C51675">
      <w:pPr>
        <w:pStyle w:val="ad"/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>
        <w:tab/>
        <w:t xml:space="preserve">См., например, </w:t>
      </w:r>
      <w:hyperlink r:id="rId10" w:history="1">
        <w:r w:rsidRPr="00C51675">
          <w:rPr>
            <w:rStyle w:val="af1"/>
          </w:rPr>
          <w:t>CMW/C/CHL/CO/2</w:t>
        </w:r>
      </w:hyperlink>
      <w:r>
        <w:t>, пп. 27 и 28.</w:t>
      </w:r>
      <w:hyperlink r:id="rId11" w:history="1"/>
    </w:p>
  </w:footnote>
  <w:footnote w:id="16">
    <w:p w14:paraId="66F1BF57" w14:textId="77777777" w:rsidR="00C51675" w:rsidRPr="003B3079" w:rsidRDefault="00C51675" w:rsidP="00C51675">
      <w:pPr>
        <w:pStyle w:val="ad"/>
      </w:pPr>
      <w:r w:rsidRPr="00A64989">
        <w:tab/>
      </w:r>
      <w:r w:rsidRPr="00070726">
        <w:rPr>
          <w:rStyle w:val="aa"/>
        </w:rPr>
        <w:footnoteRef/>
      </w:r>
      <w:r>
        <w:tab/>
        <w:t>Совместное замечание общего порядка № 3 Комитета по трудящимся-мигрантам/№ 22 Комитета по правам ребенка (2017), п. 23.</w:t>
      </w:r>
    </w:p>
  </w:footnote>
  <w:footnote w:id="17">
    <w:p w14:paraId="63465D39" w14:textId="77777777" w:rsidR="00C51675" w:rsidRPr="003B3079" w:rsidRDefault="00C51675" w:rsidP="00C51675">
      <w:pPr>
        <w:pStyle w:val="ad"/>
      </w:pPr>
      <w:r w:rsidRPr="00A64989">
        <w:tab/>
      </w:r>
      <w:r w:rsidRPr="00070726">
        <w:rPr>
          <w:rStyle w:val="aa"/>
        </w:rPr>
        <w:footnoteRef/>
      </w:r>
      <w:r>
        <w:tab/>
        <w:t>Совместные замечания общего порядка № 3 и № 4 Комитета по трудящимся-мигрантам/№ 22 и № 23 Комитета по правам ребенка (2017).</w:t>
      </w:r>
    </w:p>
  </w:footnote>
  <w:footnote w:id="18">
    <w:p w14:paraId="1D732DC6" w14:textId="50439D72" w:rsidR="00C51675" w:rsidRPr="00C51675" w:rsidRDefault="00C51675" w:rsidP="00C51675">
      <w:pPr>
        <w:pStyle w:val="ad"/>
        <w:rPr>
          <w:lang w:val="en-US"/>
        </w:rPr>
      </w:pPr>
      <w:r w:rsidRPr="00A64989"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r>
        <w:t>См</w:t>
      </w:r>
      <w:r w:rsidRPr="003B3079">
        <w:rPr>
          <w:lang w:val="en-US"/>
        </w:rPr>
        <w:t xml:space="preserve">. URL: </w:t>
      </w:r>
      <w:hyperlink r:id="rId12" w:history="1">
        <w:r>
          <w:rPr>
            <w:rStyle w:val="af1"/>
            <w:lang w:val="en-US"/>
          </w:rPr>
          <w:t>https://www.washingtongroup-disability.com/question-sets/wg-short-set-on-functioning-wg-ss/</w:t>
        </w:r>
      </w:hyperlink>
      <w:r w:rsidRPr="003B3079">
        <w:rPr>
          <w:lang w:val="en-US"/>
        </w:rPr>
        <w:t>.</w:t>
      </w:r>
      <w:hyperlink r:id="rId13" w:history="1"/>
    </w:p>
  </w:footnote>
  <w:footnote w:id="19">
    <w:p w14:paraId="66AFC524" w14:textId="5BEB0DA9" w:rsidR="00C51675" w:rsidRPr="00C51675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r>
        <w:t>См</w:t>
      </w:r>
      <w:r w:rsidRPr="003B3079">
        <w:rPr>
          <w:lang w:val="en-US"/>
        </w:rPr>
        <w:t xml:space="preserve">. URL: </w:t>
      </w:r>
      <w:hyperlink r:id="rId14" w:history="1">
        <w:r>
          <w:rPr>
            <w:rStyle w:val="af1"/>
            <w:lang w:val="en-US"/>
          </w:rPr>
          <w:t>https://www.ohchr.org/en/disabilities/human-rights-indicators-convention-rights-persons-disabilities-support-disability-inclusive-2030</w:t>
        </w:r>
      </w:hyperlink>
      <w:r w:rsidRPr="003B3079">
        <w:rPr>
          <w:lang w:val="en-US"/>
        </w:rPr>
        <w:t>.</w:t>
      </w:r>
      <w:hyperlink r:id="rId15" w:history="1"/>
    </w:p>
  </w:footnote>
  <w:footnote w:id="20">
    <w:p w14:paraId="002AE979" w14:textId="1EF6FF19" w:rsidR="00C51675" w:rsidRPr="00C51675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hyperlink r:id="rId16" w:history="1">
        <w:r w:rsidRPr="00C51675">
          <w:rPr>
            <w:rStyle w:val="af1"/>
            <w:lang w:val="en-US"/>
          </w:rPr>
          <w:t>CMW/C/CHL/CO/2</w:t>
        </w:r>
      </w:hyperlink>
      <w:r w:rsidRPr="003B3079">
        <w:rPr>
          <w:lang w:val="en-US"/>
        </w:rPr>
        <w:t xml:space="preserve">, </w:t>
      </w:r>
      <w:r>
        <w:t>п</w:t>
      </w:r>
      <w:r w:rsidRPr="003B3079">
        <w:rPr>
          <w:lang w:val="en-US"/>
        </w:rPr>
        <w:t>. 27.</w:t>
      </w:r>
      <w:hyperlink r:id="rId17" w:history="1"/>
    </w:p>
  </w:footnote>
  <w:footnote w:id="21">
    <w:p w14:paraId="094B6FF2" w14:textId="59376A7E" w:rsidR="00C51675" w:rsidRPr="00C51675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hyperlink r:id="rId18" w:history="1">
        <w:r w:rsidRPr="00C51675">
          <w:rPr>
            <w:rStyle w:val="af1"/>
            <w:lang w:val="en-US"/>
          </w:rPr>
          <w:t>CERD/C/MDA/CO/12-14</w:t>
        </w:r>
      </w:hyperlink>
      <w:r w:rsidRPr="003B3079">
        <w:rPr>
          <w:lang w:val="en-US"/>
        </w:rPr>
        <w:t xml:space="preserve">, </w:t>
      </w:r>
      <w:r>
        <w:t>п</w:t>
      </w:r>
      <w:r w:rsidRPr="003B3079">
        <w:rPr>
          <w:lang w:val="en-US"/>
        </w:rPr>
        <w:t xml:space="preserve">. 27 </w:t>
      </w:r>
      <w:r>
        <w:t>и</w:t>
      </w:r>
      <w:r w:rsidRPr="003B3079">
        <w:rPr>
          <w:lang w:val="en-US"/>
        </w:rPr>
        <w:t xml:space="preserve"> 28.</w:t>
      </w:r>
      <w:hyperlink r:id="rId19" w:history="1"/>
    </w:p>
  </w:footnote>
  <w:footnote w:id="22">
    <w:p w14:paraId="2E12581B" w14:textId="60DD393B" w:rsidR="00C51675" w:rsidRPr="00C51675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hyperlink r:id="rId20" w:history="1">
        <w:r w:rsidRPr="00C51675">
          <w:rPr>
            <w:rStyle w:val="af1"/>
            <w:lang w:val="en-US"/>
          </w:rPr>
          <w:t>CMW/C/GTM/CO/2</w:t>
        </w:r>
      </w:hyperlink>
      <w:r w:rsidRPr="003B3079">
        <w:rPr>
          <w:lang w:val="en-US"/>
        </w:rPr>
        <w:t xml:space="preserve">, </w:t>
      </w:r>
      <w:r>
        <w:t>п</w:t>
      </w:r>
      <w:r w:rsidRPr="003B3079">
        <w:rPr>
          <w:lang w:val="en-US"/>
        </w:rPr>
        <w:t>. 27.</w:t>
      </w:r>
      <w:hyperlink r:id="rId21" w:history="1"/>
    </w:p>
  </w:footnote>
  <w:footnote w:id="23">
    <w:p w14:paraId="10CAC6B7" w14:textId="40B97A5F" w:rsidR="00C51675" w:rsidRPr="00C51675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hyperlink r:id="rId22" w:history="1">
        <w:r w:rsidRPr="00C51675">
          <w:rPr>
            <w:rStyle w:val="af1"/>
            <w:lang w:val="en-US"/>
          </w:rPr>
          <w:t>CERD/C/RUS/CO/25-26</w:t>
        </w:r>
      </w:hyperlink>
      <w:r w:rsidRPr="003B3079">
        <w:rPr>
          <w:lang w:val="en-US"/>
        </w:rPr>
        <w:t xml:space="preserve">, </w:t>
      </w:r>
      <w:r>
        <w:t>п</w:t>
      </w:r>
      <w:r w:rsidRPr="003B3079">
        <w:rPr>
          <w:lang w:val="en-US"/>
        </w:rPr>
        <w:t>. 33.</w:t>
      </w:r>
      <w:hyperlink r:id="rId23" w:history="1"/>
    </w:p>
  </w:footnote>
  <w:footnote w:id="24">
    <w:p w14:paraId="4E360693" w14:textId="75E40590" w:rsidR="00C51675" w:rsidRPr="00C51675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hyperlink r:id="rId24" w:history="1">
        <w:r w:rsidRPr="00C51675">
          <w:rPr>
            <w:rStyle w:val="af1"/>
            <w:lang w:val="en-US"/>
          </w:rPr>
          <w:t>A/HRC/38/52</w:t>
        </w:r>
      </w:hyperlink>
      <w:r w:rsidRPr="003B3079">
        <w:rPr>
          <w:lang w:val="en-US"/>
        </w:rPr>
        <w:t>.</w:t>
      </w:r>
      <w:hyperlink r:id="rId25" w:history="1"/>
    </w:p>
  </w:footnote>
  <w:footnote w:id="25">
    <w:p w14:paraId="09A71E6B" w14:textId="69F54174" w:rsidR="00C51675" w:rsidRPr="00C51675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r>
        <w:t>См</w:t>
      </w:r>
      <w:r w:rsidRPr="003B3079">
        <w:rPr>
          <w:lang w:val="en-US"/>
        </w:rPr>
        <w:t xml:space="preserve">. URL: </w:t>
      </w:r>
      <w:hyperlink r:id="rId26" w:history="1">
        <w:r>
          <w:rPr>
            <w:rStyle w:val="af1"/>
            <w:lang w:val="en-US"/>
          </w:rPr>
          <w:t>https://www.ohchr.org/sites/default/files/documents/issues/racism/cfis/cerd-cmw-jointgc/subm-concept-paper-cerd-un-enti-sr-freedom-religio-elief.pdf</w:t>
        </w:r>
      </w:hyperlink>
      <w:r w:rsidRPr="003B3079">
        <w:rPr>
          <w:lang w:val="en-US"/>
        </w:rPr>
        <w:t>.</w:t>
      </w:r>
    </w:p>
  </w:footnote>
  <w:footnote w:id="26">
    <w:p w14:paraId="6B46A4F8" w14:textId="1B911C91" w:rsidR="00C51675" w:rsidRPr="00877061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877061">
        <w:rPr>
          <w:lang w:val="en-US"/>
        </w:rPr>
        <w:tab/>
      </w:r>
      <w:hyperlink r:id="rId27" w:history="1">
        <w:r w:rsidRPr="00C51675">
          <w:rPr>
            <w:rStyle w:val="af1"/>
            <w:lang w:val="en-US"/>
          </w:rPr>
          <w:t>CERD/C/BIH/CO/14-15</w:t>
        </w:r>
      </w:hyperlink>
      <w:r w:rsidRPr="00877061">
        <w:rPr>
          <w:lang w:val="en-US"/>
        </w:rPr>
        <w:t xml:space="preserve">, </w:t>
      </w:r>
      <w:r>
        <w:t>пп</w:t>
      </w:r>
      <w:r w:rsidRPr="00877061">
        <w:rPr>
          <w:lang w:val="en-US"/>
        </w:rPr>
        <w:t xml:space="preserve">. 31 </w:t>
      </w:r>
      <w:r>
        <w:t>и</w:t>
      </w:r>
      <w:r w:rsidRPr="00877061">
        <w:rPr>
          <w:lang w:val="en-US"/>
        </w:rPr>
        <w:t xml:space="preserve"> 32; </w:t>
      </w:r>
      <w:hyperlink r:id="rId28" w:history="1">
        <w:r w:rsidRPr="00C51675">
          <w:rPr>
            <w:rStyle w:val="af1"/>
            <w:lang w:val="en-US"/>
          </w:rPr>
          <w:t>CERD/C/QAT/CO/22-23</w:t>
        </w:r>
      </w:hyperlink>
      <w:r w:rsidRPr="00877061">
        <w:rPr>
          <w:lang w:val="en-US"/>
        </w:rPr>
        <w:t xml:space="preserve">, </w:t>
      </w:r>
      <w:r>
        <w:t>пп</w:t>
      </w:r>
      <w:r w:rsidRPr="00877061">
        <w:rPr>
          <w:lang w:val="en-US"/>
        </w:rPr>
        <w:t xml:space="preserve">. 34 </w:t>
      </w:r>
      <w:r>
        <w:t>и</w:t>
      </w:r>
      <w:r w:rsidRPr="00877061">
        <w:rPr>
          <w:lang w:val="en-US"/>
        </w:rPr>
        <w:t xml:space="preserve"> 35; </w:t>
      </w:r>
      <w:r>
        <w:t>и</w:t>
      </w:r>
      <w:r w:rsidRPr="00877061">
        <w:rPr>
          <w:lang w:val="en-US"/>
        </w:rPr>
        <w:t xml:space="preserve"> </w:t>
      </w:r>
      <w:hyperlink r:id="rId29" w:history="1">
        <w:r w:rsidRPr="00C51675">
          <w:rPr>
            <w:rStyle w:val="af1"/>
            <w:lang w:val="en-US"/>
          </w:rPr>
          <w:t>CMW/C/KGZ/CO/2</w:t>
        </w:r>
      </w:hyperlink>
      <w:r w:rsidRPr="00877061">
        <w:rPr>
          <w:lang w:val="en-US"/>
        </w:rPr>
        <w:t xml:space="preserve">, </w:t>
      </w:r>
      <w:r>
        <w:t>пп</w:t>
      </w:r>
      <w:r w:rsidRPr="00877061">
        <w:rPr>
          <w:lang w:val="en-US"/>
        </w:rPr>
        <w:t xml:space="preserve">. 27 </w:t>
      </w:r>
      <w:r>
        <w:t>и</w:t>
      </w:r>
      <w:r w:rsidRPr="00877061">
        <w:rPr>
          <w:lang w:val="en-US"/>
        </w:rPr>
        <w:t xml:space="preserve"> 28.</w:t>
      </w:r>
      <w:hyperlink r:id="rId30" w:history="1"/>
      <w:hyperlink r:id="rId31" w:history="1"/>
      <w:hyperlink r:id="rId32" w:history="1"/>
    </w:p>
  </w:footnote>
  <w:footnote w:id="27">
    <w:p w14:paraId="10339D7B" w14:textId="21DEA7C3" w:rsidR="00C51675" w:rsidRPr="003B3079" w:rsidRDefault="00C51675" w:rsidP="00C51675">
      <w:pPr>
        <w:pStyle w:val="ad"/>
      </w:pPr>
      <w:r w:rsidRPr="00877061">
        <w:rPr>
          <w:lang w:val="en-US"/>
        </w:rPr>
        <w:tab/>
      </w:r>
      <w:r w:rsidRPr="00070726">
        <w:rPr>
          <w:rStyle w:val="aa"/>
        </w:rPr>
        <w:footnoteRef/>
      </w:r>
      <w:r>
        <w:tab/>
      </w:r>
      <w:r w:rsidRPr="001E6846">
        <w:rPr>
          <w:i/>
          <w:iCs/>
        </w:rPr>
        <w:t>Защита прав меньшинств: практическое руководство по разработке всеобъемлющего антидискриминационного законодательства</w:t>
      </w:r>
      <w:r>
        <w:t xml:space="preserve"> (издание Организации Объединенных Наций, 2022</w:t>
      </w:r>
      <w:r>
        <w:rPr>
          <w:lang w:val="en-US"/>
        </w:rPr>
        <w:t> </w:t>
      </w:r>
      <w:r>
        <w:t>год).</w:t>
      </w:r>
    </w:p>
  </w:footnote>
  <w:footnote w:id="28">
    <w:p w14:paraId="272D3401" w14:textId="77777777" w:rsidR="00C51675" w:rsidRPr="003B3079" w:rsidRDefault="00C51675" w:rsidP="00C51675">
      <w:pPr>
        <w:pStyle w:val="ad"/>
      </w:pPr>
      <w:r w:rsidRPr="00A64989">
        <w:tab/>
      </w:r>
      <w:r w:rsidRPr="00070726">
        <w:rPr>
          <w:rStyle w:val="aa"/>
        </w:rPr>
        <w:footnoteRef/>
      </w:r>
      <w:r>
        <w:tab/>
        <w:t>Комитет по ликвидации расовой дискриминации, общая рекомендация № 30 (2004), п. 7.</w:t>
      </w:r>
    </w:p>
  </w:footnote>
  <w:footnote w:id="29">
    <w:p w14:paraId="0C30C64F" w14:textId="7D58C084" w:rsidR="00C51675" w:rsidRPr="00C51675" w:rsidRDefault="00C51675" w:rsidP="00C51675">
      <w:pPr>
        <w:pStyle w:val="ad"/>
        <w:rPr>
          <w:lang w:val="en-US"/>
        </w:rPr>
      </w:pPr>
      <w:r w:rsidRPr="00340977"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hyperlink r:id="rId33" w:history="1">
        <w:r w:rsidRPr="00C51675">
          <w:rPr>
            <w:rStyle w:val="af1"/>
            <w:lang w:val="en-US"/>
          </w:rPr>
          <w:t>CERD/C/ZAF/CO/9-11</w:t>
        </w:r>
      </w:hyperlink>
      <w:r w:rsidRPr="003B3079">
        <w:rPr>
          <w:lang w:val="en-US"/>
        </w:rPr>
        <w:t xml:space="preserve">, </w:t>
      </w:r>
      <w:r>
        <w:t>п</w:t>
      </w:r>
      <w:r w:rsidRPr="003B3079">
        <w:rPr>
          <w:lang w:val="en-US"/>
        </w:rPr>
        <w:t>. 39.</w:t>
      </w:r>
      <w:hyperlink r:id="rId34" w:history="1"/>
    </w:p>
  </w:footnote>
  <w:footnote w:id="30">
    <w:p w14:paraId="4634842A" w14:textId="629AF095" w:rsidR="00C51675" w:rsidRPr="00C51675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hyperlink r:id="rId35" w:history="1">
        <w:r w:rsidRPr="00C51675">
          <w:rPr>
            <w:rStyle w:val="af1"/>
            <w:lang w:val="en-US"/>
          </w:rPr>
          <w:t>A/HRC/32/50</w:t>
        </w:r>
      </w:hyperlink>
      <w:r w:rsidRPr="003B3079">
        <w:rPr>
          <w:lang w:val="en-US"/>
        </w:rPr>
        <w:t xml:space="preserve">, </w:t>
      </w:r>
      <w:r>
        <w:t>п</w:t>
      </w:r>
      <w:r w:rsidRPr="003B3079">
        <w:rPr>
          <w:lang w:val="en-US"/>
        </w:rPr>
        <w:t>. 75.</w:t>
      </w:r>
      <w:hyperlink r:id="rId36" w:history="1"/>
    </w:p>
  </w:footnote>
  <w:footnote w:id="31">
    <w:p w14:paraId="67BF1353" w14:textId="5587DC25" w:rsidR="00C51675" w:rsidRPr="00C51675" w:rsidRDefault="00C51675" w:rsidP="00C51675">
      <w:pPr>
        <w:pStyle w:val="ad"/>
        <w:rPr>
          <w:lang w:val="en-US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hyperlink r:id="rId37" w:history="1">
        <w:r w:rsidRPr="00C51675">
          <w:rPr>
            <w:rStyle w:val="af1"/>
            <w:lang w:val="en-US"/>
          </w:rPr>
          <w:t>CMW/C/ARG/CO/2</w:t>
        </w:r>
      </w:hyperlink>
      <w:r w:rsidRPr="003B3079">
        <w:rPr>
          <w:lang w:val="en-US"/>
        </w:rPr>
        <w:t xml:space="preserve">, </w:t>
      </w:r>
      <w:r>
        <w:t>п</w:t>
      </w:r>
      <w:r w:rsidRPr="003B3079">
        <w:rPr>
          <w:lang w:val="en-US"/>
        </w:rPr>
        <w:t>. 29.</w:t>
      </w:r>
      <w:hyperlink r:id="rId38" w:history="1"/>
    </w:p>
    <w:bookmarkStart w:id="1" w:name="_heading=h.30j0zll" w:colFirst="0" w:colLast="0"/>
    <w:bookmarkEnd w:id="1"/>
  </w:footnote>
  <w:footnote w:id="32">
    <w:p w14:paraId="28554FB7" w14:textId="66FD6612" w:rsidR="00C51675" w:rsidRPr="00C51675" w:rsidRDefault="00C51675" w:rsidP="00C51675">
      <w:pPr>
        <w:pStyle w:val="ad"/>
        <w:rPr>
          <w:lang w:val="en-US"/>
        </w:rPr>
      </w:pPr>
      <w:bookmarkStart w:id="2" w:name="_heading=h.30j0zll" w:colFirst="0" w:colLast="0"/>
      <w:bookmarkEnd w:id="2"/>
      <w:r w:rsidRPr="003B3079">
        <w:rPr>
          <w:lang w:val="en-US"/>
        </w:rPr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hyperlink r:id="rId39" w:history="1">
        <w:r w:rsidRPr="00C51675">
          <w:rPr>
            <w:rStyle w:val="af1"/>
            <w:lang w:val="en-US"/>
          </w:rPr>
          <w:t>CMW/C/GTM/CO/2</w:t>
        </w:r>
      </w:hyperlink>
      <w:r w:rsidRPr="003B3079">
        <w:rPr>
          <w:lang w:val="en-US"/>
        </w:rPr>
        <w:t xml:space="preserve">, </w:t>
      </w:r>
      <w:r>
        <w:t>п</w:t>
      </w:r>
      <w:r w:rsidRPr="003B3079">
        <w:rPr>
          <w:lang w:val="en-US"/>
        </w:rPr>
        <w:t>. 27.</w:t>
      </w:r>
      <w:hyperlink r:id="rId40" w:history="1"/>
    </w:p>
  </w:footnote>
  <w:footnote w:id="33">
    <w:p w14:paraId="6BDFDCEB" w14:textId="05BA3897" w:rsidR="00C51675" w:rsidRPr="003B3079" w:rsidRDefault="00C51675" w:rsidP="00C51675">
      <w:pPr>
        <w:pStyle w:val="ad"/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>
        <w:tab/>
        <w:t xml:space="preserve">См. также резолюцию </w:t>
      </w:r>
      <w:hyperlink r:id="rId41" w:history="1">
        <w:r w:rsidRPr="00C51675">
          <w:rPr>
            <w:rStyle w:val="af1"/>
          </w:rPr>
          <w:t>73/195</w:t>
        </w:r>
      </w:hyperlink>
      <w:r>
        <w:t xml:space="preserve"> Генеральной Ассамблеи, п. 32 f).</w:t>
      </w:r>
    </w:p>
  </w:footnote>
  <w:footnote w:id="34">
    <w:p w14:paraId="062B217B" w14:textId="570C1AFE" w:rsidR="00C51675" w:rsidRPr="00C51675" w:rsidRDefault="00C51675" w:rsidP="00C51675">
      <w:pPr>
        <w:pStyle w:val="ad"/>
        <w:rPr>
          <w:lang w:val="en-US"/>
        </w:rPr>
      </w:pPr>
      <w:r w:rsidRPr="00A64989"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hyperlink r:id="rId42" w:history="1">
        <w:r w:rsidRPr="00C51675">
          <w:rPr>
            <w:rStyle w:val="af1"/>
            <w:lang w:val="en-US"/>
          </w:rPr>
          <w:t>CERD/C/NLD/CO/22-24</w:t>
        </w:r>
      </w:hyperlink>
      <w:r w:rsidRPr="003B3079">
        <w:rPr>
          <w:lang w:val="en-US"/>
        </w:rPr>
        <w:t xml:space="preserve">, </w:t>
      </w:r>
      <w:r>
        <w:t>пп</w:t>
      </w:r>
      <w:r w:rsidRPr="003B3079">
        <w:rPr>
          <w:lang w:val="en-US"/>
        </w:rPr>
        <w:t xml:space="preserve">. 13 </w:t>
      </w:r>
      <w:r>
        <w:t>и</w:t>
      </w:r>
      <w:r w:rsidRPr="003B3079">
        <w:rPr>
          <w:lang w:val="en-US"/>
        </w:rPr>
        <w:t xml:space="preserve"> 14.</w:t>
      </w:r>
      <w:hyperlink r:id="rId43" w:history="1"/>
    </w:p>
  </w:footnote>
  <w:footnote w:id="35">
    <w:p w14:paraId="3FB013C5" w14:textId="77777777" w:rsidR="00C51675" w:rsidRPr="003B3079" w:rsidRDefault="00C51675" w:rsidP="00C51675">
      <w:pPr>
        <w:pStyle w:val="ad"/>
        <w:rPr>
          <w:color w:val="000000"/>
          <w:szCs w:val="18"/>
        </w:rPr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>
        <w:tab/>
        <w:t>Комитет по ликвидации расовой дискриминации, общая рекомендация № 31 (2005), п. 5.</w:t>
      </w:r>
    </w:p>
  </w:footnote>
  <w:footnote w:id="36">
    <w:p w14:paraId="60F34D39" w14:textId="54B12DED" w:rsidR="00C51675" w:rsidRPr="00C51675" w:rsidRDefault="00C51675" w:rsidP="00C51675">
      <w:pPr>
        <w:pStyle w:val="ad"/>
        <w:rPr>
          <w:lang w:val="en-US"/>
        </w:rPr>
      </w:pPr>
      <w:r w:rsidRPr="00A64989">
        <w:tab/>
      </w:r>
      <w:r w:rsidRPr="00070726">
        <w:rPr>
          <w:rStyle w:val="aa"/>
        </w:rPr>
        <w:footnoteRef/>
      </w:r>
      <w:r w:rsidRPr="003B3079">
        <w:rPr>
          <w:lang w:val="en-US"/>
        </w:rPr>
        <w:tab/>
      </w:r>
      <w:hyperlink r:id="rId44" w:history="1">
        <w:r w:rsidRPr="00C51675">
          <w:rPr>
            <w:rStyle w:val="af1"/>
            <w:lang w:val="en-US"/>
          </w:rPr>
          <w:t>CERD/C/DNK/CO/22-24</w:t>
        </w:r>
      </w:hyperlink>
      <w:r w:rsidRPr="003B3079">
        <w:rPr>
          <w:lang w:val="en-US"/>
        </w:rPr>
        <w:t xml:space="preserve">, </w:t>
      </w:r>
      <w:r>
        <w:t>п</w:t>
      </w:r>
      <w:r w:rsidRPr="003B3079">
        <w:rPr>
          <w:lang w:val="en-US"/>
        </w:rPr>
        <w:t>. 19.</w:t>
      </w:r>
      <w:hyperlink r:id="rId45" w:history="1"/>
    </w:p>
  </w:footnote>
  <w:footnote w:id="37">
    <w:p w14:paraId="70E669AF" w14:textId="77777777" w:rsidR="00C51675" w:rsidRPr="003B3079" w:rsidRDefault="00C51675" w:rsidP="00C51675">
      <w:pPr>
        <w:pStyle w:val="ad"/>
      </w:pPr>
      <w:r w:rsidRPr="003B3079">
        <w:rPr>
          <w:lang w:val="en-US"/>
        </w:rPr>
        <w:tab/>
      </w:r>
      <w:r w:rsidRPr="00070726">
        <w:rPr>
          <w:rStyle w:val="aa"/>
        </w:rPr>
        <w:footnoteRef/>
      </w:r>
      <w:r>
        <w:tab/>
        <w:t>Дурбанская декларация и Программа действий, Программа действий, п. 92.</w:t>
      </w:r>
    </w:p>
  </w:footnote>
  <w:footnote w:id="38">
    <w:p w14:paraId="52714094" w14:textId="77777777" w:rsidR="00C51675" w:rsidRPr="003B3079" w:rsidRDefault="00C51675" w:rsidP="00C51675">
      <w:pPr>
        <w:pStyle w:val="ad"/>
      </w:pPr>
      <w:r w:rsidRPr="00A64989">
        <w:tab/>
      </w:r>
      <w:r w:rsidRPr="00070726">
        <w:rPr>
          <w:rStyle w:val="aa"/>
        </w:rPr>
        <w:footnoteRef/>
      </w:r>
      <w:r>
        <w:tab/>
        <w:t>Совместное замечание общего порядка № 4 Комитета по трудящимся-мигрантам/№ 23 Комитета по правам ребенка (2017), п. 12.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EE2D7" w14:textId="552E17E0" w:rsidR="00C51675" w:rsidRPr="00C51675" w:rsidRDefault="00C51675">
    <w:pPr>
      <w:pStyle w:val="a5"/>
    </w:pPr>
    <w:fldSimple w:instr=" TITLE  \* MERGEFORMAT ">
      <w:r>
        <w:t>CERD/C/GC/38</w:t>
      </w:r>
    </w:fldSimple>
    <w:r>
      <w:br/>
    </w:r>
    <w:fldSimple w:instr=" KEYWORDS  \* MERGEFORMAT ">
      <w:r>
        <w:t>CMW/C/GC/7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A9071" w14:textId="40F9762C" w:rsidR="00C51675" w:rsidRPr="00C51675" w:rsidRDefault="00C51675" w:rsidP="00C51675">
    <w:pPr>
      <w:pStyle w:val="a5"/>
      <w:jc w:val="right"/>
    </w:pPr>
    <w:fldSimple w:instr=" TITLE  \* MERGEFORMAT ">
      <w:r>
        <w:t>CERD/C/GC/38</w:t>
      </w:r>
    </w:fldSimple>
    <w:r>
      <w:br/>
    </w:r>
    <w:fldSimple w:instr=" KEYWORDS  \* MERGEFORMAT ">
      <w:r>
        <w:t>CMW/C/GC/7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2A9619F6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7044736C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8" w15:restartNumberingAfterBreak="0">
    <w:nsid w:val="65BF12F8"/>
    <w:multiLevelType w:val="hybridMultilevel"/>
    <w:tmpl w:val="C8AC2914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64063080">
    <w:abstractNumId w:val="19"/>
  </w:num>
  <w:num w:numId="2" w16cid:durableId="224024604">
    <w:abstractNumId w:val="12"/>
  </w:num>
  <w:num w:numId="3" w16cid:durableId="804468468">
    <w:abstractNumId w:val="11"/>
  </w:num>
  <w:num w:numId="4" w16cid:durableId="1936205651">
    <w:abstractNumId w:val="20"/>
  </w:num>
  <w:num w:numId="5" w16cid:durableId="1407417131">
    <w:abstractNumId w:val="14"/>
  </w:num>
  <w:num w:numId="6" w16cid:durableId="1249384599">
    <w:abstractNumId w:val="8"/>
  </w:num>
  <w:num w:numId="7" w16cid:durableId="725690659">
    <w:abstractNumId w:val="3"/>
  </w:num>
  <w:num w:numId="8" w16cid:durableId="587230704">
    <w:abstractNumId w:val="2"/>
  </w:num>
  <w:num w:numId="9" w16cid:durableId="1228298274">
    <w:abstractNumId w:val="1"/>
  </w:num>
  <w:num w:numId="10" w16cid:durableId="1040662605">
    <w:abstractNumId w:val="0"/>
  </w:num>
  <w:num w:numId="11" w16cid:durableId="439957537">
    <w:abstractNumId w:val="9"/>
  </w:num>
  <w:num w:numId="12" w16cid:durableId="1609579333">
    <w:abstractNumId w:val="7"/>
  </w:num>
  <w:num w:numId="13" w16cid:durableId="1183520733">
    <w:abstractNumId w:val="6"/>
  </w:num>
  <w:num w:numId="14" w16cid:durableId="443690586">
    <w:abstractNumId w:val="5"/>
  </w:num>
  <w:num w:numId="15" w16cid:durableId="1823234533">
    <w:abstractNumId w:val="4"/>
  </w:num>
  <w:num w:numId="16" w16cid:durableId="2085683281">
    <w:abstractNumId w:val="18"/>
  </w:num>
  <w:num w:numId="17" w16cid:durableId="366637293">
    <w:abstractNumId w:val="13"/>
  </w:num>
  <w:num w:numId="18" w16cid:durableId="116720568">
    <w:abstractNumId w:val="15"/>
  </w:num>
  <w:num w:numId="19" w16cid:durableId="212427639">
    <w:abstractNumId w:val="18"/>
  </w:num>
  <w:num w:numId="20" w16cid:durableId="916980932">
    <w:abstractNumId w:val="13"/>
  </w:num>
  <w:num w:numId="21" w16cid:durableId="857239583">
    <w:abstractNumId w:val="15"/>
  </w:num>
  <w:num w:numId="22" w16cid:durableId="1820076250">
    <w:abstractNumId w:val="16"/>
  </w:num>
  <w:num w:numId="23" w16cid:durableId="1556621660">
    <w:abstractNumId w:val="17"/>
  </w:num>
  <w:num w:numId="24" w16cid:durableId="942998942">
    <w:abstractNumId w:val="21"/>
  </w:num>
  <w:num w:numId="25" w16cid:durableId="1851988289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B90"/>
    <w:rsid w:val="00033EE1"/>
    <w:rsid w:val="00042B72"/>
    <w:rsid w:val="000558BD"/>
    <w:rsid w:val="000B57E7"/>
    <w:rsid w:val="000B6373"/>
    <w:rsid w:val="000D7E59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E6846"/>
    <w:rsid w:val="00256CA9"/>
    <w:rsid w:val="002A2EFC"/>
    <w:rsid w:val="002B684E"/>
    <w:rsid w:val="002B74B1"/>
    <w:rsid w:val="002C0E18"/>
    <w:rsid w:val="002C5202"/>
    <w:rsid w:val="002D5AAC"/>
    <w:rsid w:val="002E5067"/>
    <w:rsid w:val="002F405F"/>
    <w:rsid w:val="002F7EEC"/>
    <w:rsid w:val="00301004"/>
    <w:rsid w:val="00301299"/>
    <w:rsid w:val="00305C08"/>
    <w:rsid w:val="00307FB6"/>
    <w:rsid w:val="00317339"/>
    <w:rsid w:val="00322004"/>
    <w:rsid w:val="003402C2"/>
    <w:rsid w:val="00381C24"/>
    <w:rsid w:val="003958D0"/>
    <w:rsid w:val="003A6859"/>
    <w:rsid w:val="003B00E5"/>
    <w:rsid w:val="003D11EA"/>
    <w:rsid w:val="004055E9"/>
    <w:rsid w:val="00407B78"/>
    <w:rsid w:val="00424203"/>
    <w:rsid w:val="00452493"/>
    <w:rsid w:val="00453318"/>
    <w:rsid w:val="00454E07"/>
    <w:rsid w:val="00472C5C"/>
    <w:rsid w:val="00476CDD"/>
    <w:rsid w:val="004A1C15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961C8"/>
    <w:rsid w:val="005B6452"/>
    <w:rsid w:val="005D7914"/>
    <w:rsid w:val="005E2B41"/>
    <w:rsid w:val="005F0B42"/>
    <w:rsid w:val="00627C61"/>
    <w:rsid w:val="006306AC"/>
    <w:rsid w:val="00641A8C"/>
    <w:rsid w:val="0067000F"/>
    <w:rsid w:val="00681A10"/>
    <w:rsid w:val="006A1ED8"/>
    <w:rsid w:val="006C2031"/>
    <w:rsid w:val="006C2B90"/>
    <w:rsid w:val="006C4D05"/>
    <w:rsid w:val="006D461A"/>
    <w:rsid w:val="006F35EE"/>
    <w:rsid w:val="007021FF"/>
    <w:rsid w:val="00702289"/>
    <w:rsid w:val="00706B3D"/>
    <w:rsid w:val="00712895"/>
    <w:rsid w:val="00757357"/>
    <w:rsid w:val="007C46C9"/>
    <w:rsid w:val="007C49AB"/>
    <w:rsid w:val="00825F8D"/>
    <w:rsid w:val="00834B71"/>
    <w:rsid w:val="0086445C"/>
    <w:rsid w:val="00894693"/>
    <w:rsid w:val="008A08D7"/>
    <w:rsid w:val="008A3166"/>
    <w:rsid w:val="008B227E"/>
    <w:rsid w:val="008B2737"/>
    <w:rsid w:val="008B360C"/>
    <w:rsid w:val="008B6909"/>
    <w:rsid w:val="008C1299"/>
    <w:rsid w:val="008D2AAD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84021"/>
    <w:rsid w:val="00A84D35"/>
    <w:rsid w:val="00A917B3"/>
    <w:rsid w:val="00AB4B51"/>
    <w:rsid w:val="00AF48A9"/>
    <w:rsid w:val="00B10CC7"/>
    <w:rsid w:val="00B27969"/>
    <w:rsid w:val="00B32719"/>
    <w:rsid w:val="00B36DF7"/>
    <w:rsid w:val="00B539E7"/>
    <w:rsid w:val="00B62458"/>
    <w:rsid w:val="00B67B12"/>
    <w:rsid w:val="00BC18B2"/>
    <w:rsid w:val="00BD33EE"/>
    <w:rsid w:val="00C106D6"/>
    <w:rsid w:val="00C51675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1D1E"/>
    <w:rsid w:val="00DD78D1"/>
    <w:rsid w:val="00DE32CD"/>
    <w:rsid w:val="00DF6F2D"/>
    <w:rsid w:val="00DF71B9"/>
    <w:rsid w:val="00E32125"/>
    <w:rsid w:val="00E73F76"/>
    <w:rsid w:val="00EA2C9F"/>
    <w:rsid w:val="00EA420E"/>
    <w:rsid w:val="00ED0BDA"/>
    <w:rsid w:val="00EF1360"/>
    <w:rsid w:val="00EF3220"/>
    <w:rsid w:val="00EF4399"/>
    <w:rsid w:val="00F0540A"/>
    <w:rsid w:val="00F41B03"/>
    <w:rsid w:val="00F43903"/>
    <w:rsid w:val="00F94155"/>
    <w:rsid w:val="00F9783F"/>
    <w:rsid w:val="00FA51F1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8D61E"/>
  <w15:docId w15:val="{C7D17A9F-F2D2-4A63-ABF2-356FD9826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6306AC"/>
    <w:rPr>
      <w:color w:val="0000FF"/>
      <w:u w:val="none"/>
    </w:rPr>
  </w:style>
  <w:style w:type="character" w:styleId="af2">
    <w:name w:val="FollowedHyperlink"/>
    <w:basedOn w:val="a0"/>
    <w:rsid w:val="006306AC"/>
    <w:rPr>
      <w:color w:val="0000FF"/>
      <w:u w:val="none"/>
    </w:rPr>
  </w:style>
  <w:style w:type="numbering" w:styleId="111111">
    <w:name w:val="Outline List 2"/>
    <w:basedOn w:val="a2"/>
    <w:semiHidden/>
    <w:rsid w:val="00C51675"/>
    <w:pPr>
      <w:numPr>
        <w:numId w:val="23"/>
      </w:numPr>
    </w:pPr>
  </w:style>
  <w:style w:type="numbering" w:styleId="1ai">
    <w:name w:val="Outline List 1"/>
    <w:basedOn w:val="a2"/>
    <w:semiHidden/>
    <w:rsid w:val="00C51675"/>
    <w:pPr>
      <w:numPr>
        <w:numId w:val="24"/>
      </w:numPr>
    </w:pPr>
  </w:style>
  <w:style w:type="character" w:customStyle="1" w:styleId="20">
    <w:name w:val="Заголовок 2 Знак"/>
    <w:basedOn w:val="a0"/>
    <w:link w:val="2"/>
    <w:semiHidden/>
    <w:rsid w:val="00C51675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C51675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C51675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C51675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C51675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C51675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C51675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C51675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C51675"/>
    <w:rPr>
      <w:b/>
      <w:bCs/>
      <w:smallCaps/>
      <w:spacing w:val="5"/>
    </w:rPr>
  </w:style>
  <w:style w:type="character" w:customStyle="1" w:styleId="SingleTxtGChar">
    <w:name w:val="_ Single Txt_G Char"/>
    <w:link w:val="SingleTxtG"/>
    <w:rsid w:val="00C51675"/>
    <w:rPr>
      <w:lang w:val="ru-RU" w:eastAsia="en-US"/>
    </w:rPr>
  </w:style>
  <w:style w:type="paragraph" w:styleId="af4">
    <w:name w:val="annotation text"/>
    <w:basedOn w:val="a"/>
    <w:link w:val="af5"/>
    <w:uiPriority w:val="99"/>
    <w:unhideWhenUsed/>
    <w:rsid w:val="00C51675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rsid w:val="00C51675"/>
    <w:rPr>
      <w:lang w:val="en-GB" w:eastAsia="en-US"/>
    </w:rPr>
  </w:style>
  <w:style w:type="character" w:styleId="af6">
    <w:name w:val="annotation reference"/>
    <w:basedOn w:val="a0"/>
    <w:uiPriority w:val="99"/>
    <w:semiHidden/>
    <w:unhideWhenUsed/>
    <w:rsid w:val="00C51675"/>
    <w:rPr>
      <w:sz w:val="16"/>
      <w:szCs w:val="16"/>
    </w:rPr>
  </w:style>
  <w:style w:type="paragraph" w:styleId="af7">
    <w:name w:val="annotation subject"/>
    <w:basedOn w:val="af4"/>
    <w:next w:val="af4"/>
    <w:link w:val="af8"/>
    <w:uiPriority w:val="99"/>
    <w:semiHidden/>
    <w:unhideWhenUsed/>
    <w:rsid w:val="00C51675"/>
    <w:rPr>
      <w:b/>
      <w:bCs/>
    </w:rPr>
  </w:style>
  <w:style w:type="character" w:customStyle="1" w:styleId="af8">
    <w:name w:val="Тема примечания Знак"/>
    <w:basedOn w:val="af5"/>
    <w:link w:val="af7"/>
    <w:uiPriority w:val="99"/>
    <w:semiHidden/>
    <w:rsid w:val="00C51675"/>
    <w:rPr>
      <w:b/>
      <w:bCs/>
      <w:lang w:val="en-GB" w:eastAsia="en-US"/>
    </w:rPr>
  </w:style>
  <w:style w:type="character" w:styleId="af9">
    <w:name w:val="Unresolved Mention"/>
    <w:basedOn w:val="a0"/>
    <w:uiPriority w:val="99"/>
    <w:semiHidden/>
    <w:unhideWhenUsed/>
    <w:rsid w:val="00C51675"/>
    <w:rPr>
      <w:color w:val="605E5C"/>
      <w:shd w:val="clear" w:color="auto" w:fill="E1DFDD"/>
    </w:rPr>
  </w:style>
  <w:style w:type="paragraph" w:styleId="afa">
    <w:name w:val="Revision"/>
    <w:hidden/>
    <w:uiPriority w:val="99"/>
    <w:semiHidden/>
    <w:rsid w:val="00C51675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CERD/C/ISL/CO/21-23" TargetMode="External"/><Relationship Id="rId13" Type="http://schemas.openxmlformats.org/officeDocument/2006/relationships/hyperlink" Target="https://www.washingtongroup-disability.com/question-sets/wg-short-set-on-functioning-wg-ss/" TargetMode="External"/><Relationship Id="rId18" Type="http://schemas.openxmlformats.org/officeDocument/2006/relationships/hyperlink" Target="https://docs.un.org/ru/CERD/C/MDA/CO/12-14" TargetMode="External"/><Relationship Id="rId26" Type="http://schemas.openxmlformats.org/officeDocument/2006/relationships/hyperlink" Target="https://www.ohchr.org/sites/default/files/documents/issues/racism/cfis/cerd-cmw-jointgc/subm-concept-paper-cerd-un-enti-sr-freedom-religio-elief.pdf" TargetMode="External"/><Relationship Id="rId39" Type="http://schemas.openxmlformats.org/officeDocument/2006/relationships/hyperlink" Target="https://docs.un.org/ru/CMW/C/GTM/CO/2" TargetMode="External"/><Relationship Id="rId3" Type="http://schemas.openxmlformats.org/officeDocument/2006/relationships/hyperlink" Target="https://docs.un.org/en/A/HRC/32/50" TargetMode="External"/><Relationship Id="rId21" Type="http://schemas.openxmlformats.org/officeDocument/2006/relationships/hyperlink" Target="https://docs.un.org/en/CMW/C/GTM/CO/2" TargetMode="External"/><Relationship Id="rId34" Type="http://schemas.openxmlformats.org/officeDocument/2006/relationships/hyperlink" Target="https://docs.un.org/en/CERD/C/ZAF/CO/9-11" TargetMode="External"/><Relationship Id="rId42" Type="http://schemas.openxmlformats.org/officeDocument/2006/relationships/hyperlink" Target="https://docs.un.org/ru/CERD/C/NLD/CO/22-24" TargetMode="External"/><Relationship Id="rId7" Type="http://schemas.openxmlformats.org/officeDocument/2006/relationships/hyperlink" Target="https://docs.un.org/en/CMW/C/CHL/CO/2" TargetMode="External"/><Relationship Id="rId12" Type="http://schemas.openxmlformats.org/officeDocument/2006/relationships/hyperlink" Target="https://www.washingtongroup-disability.com/question-sets/wg-short-set-on-functioning-wg-ss/" TargetMode="External"/><Relationship Id="rId17" Type="http://schemas.openxmlformats.org/officeDocument/2006/relationships/hyperlink" Target="https://docs.un.org/en/CMW/C/CHL/CO/2" TargetMode="External"/><Relationship Id="rId25" Type="http://schemas.openxmlformats.org/officeDocument/2006/relationships/hyperlink" Target="https://docs.un.org/en/A/HRC/38/52" TargetMode="External"/><Relationship Id="rId33" Type="http://schemas.openxmlformats.org/officeDocument/2006/relationships/hyperlink" Target="https://docs.un.org/ru/CERD/C/ZAF/CO/9-11" TargetMode="External"/><Relationship Id="rId38" Type="http://schemas.openxmlformats.org/officeDocument/2006/relationships/hyperlink" Target="https://docs.un.org/en/CMW/C/ARG/CO/2" TargetMode="External"/><Relationship Id="rId2" Type="http://schemas.openxmlformats.org/officeDocument/2006/relationships/hyperlink" Target="https://docs.un.org/ru/A/HRC/32/50" TargetMode="External"/><Relationship Id="rId16" Type="http://schemas.openxmlformats.org/officeDocument/2006/relationships/hyperlink" Target="https://docs.un.org/ru/CMW/C/CHL/CO/2" TargetMode="External"/><Relationship Id="rId20" Type="http://schemas.openxmlformats.org/officeDocument/2006/relationships/hyperlink" Target="https://docs.un.org/ru/CMW/C/GTM/CO/2" TargetMode="External"/><Relationship Id="rId29" Type="http://schemas.openxmlformats.org/officeDocument/2006/relationships/hyperlink" Target="https://docs.un.org/ru/CMW/C/KGZ/CO/2" TargetMode="External"/><Relationship Id="rId41" Type="http://schemas.openxmlformats.org/officeDocument/2006/relationships/hyperlink" Target="https://docs.un.org/ru/A/RES/73/195" TargetMode="External"/><Relationship Id="rId1" Type="http://schemas.openxmlformats.org/officeDocument/2006/relationships/hyperlink" Target="https://docs.un.org/ru/A/RES/70/1" TargetMode="External"/><Relationship Id="rId6" Type="http://schemas.openxmlformats.org/officeDocument/2006/relationships/hyperlink" Target="https://docs.un.org/ru/CMW/C/CHL/CO/2" TargetMode="External"/><Relationship Id="rId11" Type="http://schemas.openxmlformats.org/officeDocument/2006/relationships/hyperlink" Target="https://docs.un.org/en/CMW/C/CHL/CO/2" TargetMode="External"/><Relationship Id="rId24" Type="http://schemas.openxmlformats.org/officeDocument/2006/relationships/hyperlink" Target="https://docs.un.org/ru/A/HRC/38/52" TargetMode="External"/><Relationship Id="rId32" Type="http://schemas.openxmlformats.org/officeDocument/2006/relationships/hyperlink" Target="https://docs.un.org/en/CMW/C/KGZ/CO/2" TargetMode="External"/><Relationship Id="rId37" Type="http://schemas.openxmlformats.org/officeDocument/2006/relationships/hyperlink" Target="https://docs.un.org/ru/CMW/C/ARG/CO/2" TargetMode="External"/><Relationship Id="rId40" Type="http://schemas.openxmlformats.org/officeDocument/2006/relationships/hyperlink" Target="https://docs.un.org/en/CMW/C/GTM/CO/2" TargetMode="External"/><Relationship Id="rId45" Type="http://schemas.openxmlformats.org/officeDocument/2006/relationships/hyperlink" Target="https://docs.un.org/en/CERD/C/DNK/CO/22-24" TargetMode="External"/><Relationship Id="rId5" Type="http://schemas.openxmlformats.org/officeDocument/2006/relationships/hyperlink" Target="https://docs.un.org/en/CMW/C/GTM/CO/2" TargetMode="External"/><Relationship Id="rId15" Type="http://schemas.openxmlformats.org/officeDocument/2006/relationships/hyperlink" Target="https://www.ohchr.org/en/disabilities/human-rights-indicators-convention-rights-persons-disabilities-support-disability-inclusive-2030" TargetMode="External"/><Relationship Id="rId23" Type="http://schemas.openxmlformats.org/officeDocument/2006/relationships/hyperlink" Target="https://docs.un.org/en/CERD/C/RUS/CO/25-26" TargetMode="External"/><Relationship Id="rId28" Type="http://schemas.openxmlformats.org/officeDocument/2006/relationships/hyperlink" Target="https://docs.un.org/ru/CERD/C/QAT/CO/22-23" TargetMode="External"/><Relationship Id="rId36" Type="http://schemas.openxmlformats.org/officeDocument/2006/relationships/hyperlink" Target="https://docs.un.org/en/A/HRC/32/50" TargetMode="External"/><Relationship Id="rId10" Type="http://schemas.openxmlformats.org/officeDocument/2006/relationships/hyperlink" Target="https://docs.un.org/ru/CMW/C/CHL/CO/2" TargetMode="External"/><Relationship Id="rId19" Type="http://schemas.openxmlformats.org/officeDocument/2006/relationships/hyperlink" Target="https://docs.un.org/en/CERD/C/MDA/CO/12-14" TargetMode="External"/><Relationship Id="rId31" Type="http://schemas.openxmlformats.org/officeDocument/2006/relationships/hyperlink" Target="https://docs.un.org/en/CERD/C/QAT/CO/22-23" TargetMode="External"/><Relationship Id="rId44" Type="http://schemas.openxmlformats.org/officeDocument/2006/relationships/hyperlink" Target="https://docs.un.org/ru/CERD/C/DNK/CO/22-24" TargetMode="External"/><Relationship Id="rId4" Type="http://schemas.openxmlformats.org/officeDocument/2006/relationships/hyperlink" Target="https://docs.un.org/ru/CMW/C/GTM/CO/2" TargetMode="External"/><Relationship Id="rId9" Type="http://schemas.openxmlformats.org/officeDocument/2006/relationships/hyperlink" Target="https://docs.un.org/en/CERD/C/ISL/CO/21-23" TargetMode="External"/><Relationship Id="rId14" Type="http://schemas.openxmlformats.org/officeDocument/2006/relationships/hyperlink" Target="https://www.ohchr.org/en/disabilities/human-rights-indicators-convention-rights-persons-disabilities-support-disability-inclusive-2030" TargetMode="External"/><Relationship Id="rId22" Type="http://schemas.openxmlformats.org/officeDocument/2006/relationships/hyperlink" Target="https://docs.un.org/ru/CERD/C/RUS/CO/25-26" TargetMode="External"/><Relationship Id="rId27" Type="http://schemas.openxmlformats.org/officeDocument/2006/relationships/hyperlink" Target="https://docs.un.org/ru/CERD/C/BIH/CO/14-15" TargetMode="External"/><Relationship Id="rId30" Type="http://schemas.openxmlformats.org/officeDocument/2006/relationships/hyperlink" Target="https://docs.un.org/en/CERD/C/BIH/CO/14-15" TargetMode="External"/><Relationship Id="rId35" Type="http://schemas.openxmlformats.org/officeDocument/2006/relationships/hyperlink" Target="https://docs.un.org/ru/A/HRC/32/50" TargetMode="External"/><Relationship Id="rId43" Type="http://schemas.openxmlformats.org/officeDocument/2006/relationships/hyperlink" Target="https://docs.un.org/en/CERD/C/NLD/CO/22-2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341</TotalTime>
  <Pages>26</Pages>
  <Words>11399</Words>
  <Characters>73641</Characters>
  <Application>Microsoft Office Word</Application>
  <DocSecurity>0</DocSecurity>
  <Lines>1315</Lines>
  <Paragraphs>386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84654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CERD/C/GC/38</dc:title>
  <dc:subject/>
  <dc:creator>Anna PETELINA</dc:creator>
  <cp:keywords>CMW/C/GC/7</cp:keywords>
  <cp:lastModifiedBy>Anna Taillandier</cp:lastModifiedBy>
  <cp:revision>9</cp:revision>
  <cp:lastPrinted>2026-04-10T07:09:00Z</cp:lastPrinted>
  <dcterms:created xsi:type="dcterms:W3CDTF">2026-04-10T07:09:00Z</dcterms:created>
  <dcterms:modified xsi:type="dcterms:W3CDTF">2026-04-10T14:42:00Z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