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E82775">
        <w:trPr>
          <w:trHeight w:hRule="exact" w:val="851"/>
        </w:trPr>
        <w:tc>
          <w:tcPr>
            <w:tcW w:w="1280" w:type="dxa"/>
            <w:tcBorders>
              <w:bottom w:val="single" w:sz="4" w:space="0" w:color="auto"/>
            </w:tcBorders>
          </w:tcPr>
          <w:p w:rsidR="000A2080" w:rsidRPr="00BB158D" w:rsidRDefault="000A2080" w:rsidP="00E82775">
            <w:pPr>
              <w:spacing w:before="360" w:after="240" w:line="240" w:lineRule="atLeast"/>
            </w:pPr>
            <w:bookmarkStart w:id="0" w:name="_GoBack"/>
            <w:bookmarkEnd w:id="0"/>
          </w:p>
        </w:tc>
        <w:tc>
          <w:tcPr>
            <w:tcW w:w="2273" w:type="dxa"/>
            <w:tcBorders>
              <w:bottom w:val="single" w:sz="4" w:space="0" w:color="auto"/>
            </w:tcBorders>
            <w:vAlign w:val="bottom"/>
          </w:tcPr>
          <w:p w:rsidR="000A2080" w:rsidRPr="002F70D4" w:rsidRDefault="000A2080" w:rsidP="00E82775">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0105ED" w:rsidRDefault="000105ED" w:rsidP="00E82775">
            <w:pPr>
              <w:spacing w:line="240" w:lineRule="atLeast"/>
              <w:jc w:val="right"/>
              <w:rPr>
                <w:sz w:val="20"/>
                <w:szCs w:val="21"/>
              </w:rPr>
            </w:pPr>
            <w:r w:rsidRPr="000105ED">
              <w:rPr>
                <w:sz w:val="40"/>
                <w:szCs w:val="21"/>
              </w:rPr>
              <w:t>E</w:t>
            </w:r>
            <w:r>
              <w:rPr>
                <w:sz w:val="20"/>
                <w:szCs w:val="21"/>
              </w:rPr>
              <w:t>/C.12/GTM/CO/3</w:t>
            </w:r>
          </w:p>
        </w:tc>
      </w:tr>
      <w:tr w:rsidR="000A2080" w:rsidRPr="002C14C6" w:rsidTr="00E82775">
        <w:trPr>
          <w:trHeight w:hRule="exact" w:val="2835"/>
        </w:trPr>
        <w:tc>
          <w:tcPr>
            <w:tcW w:w="1280" w:type="dxa"/>
            <w:tcBorders>
              <w:top w:val="single" w:sz="4" w:space="0" w:color="auto"/>
              <w:bottom w:val="single" w:sz="12" w:space="0" w:color="auto"/>
            </w:tcBorders>
          </w:tcPr>
          <w:p w:rsidR="000A2080" w:rsidRPr="002C14C6" w:rsidRDefault="000A2080" w:rsidP="00E82775">
            <w:pPr>
              <w:spacing w:line="120" w:lineRule="atLeast"/>
              <w:rPr>
                <w:sz w:val="10"/>
                <w:szCs w:val="10"/>
              </w:rPr>
            </w:pPr>
          </w:p>
          <w:p w:rsidR="000A2080" w:rsidRPr="002C14C6" w:rsidRDefault="000A2080" w:rsidP="00E82775">
            <w:pPr>
              <w:spacing w:line="120" w:lineRule="atLeast"/>
              <w:rPr>
                <w:sz w:val="10"/>
                <w:szCs w:val="10"/>
              </w:rPr>
            </w:pPr>
            <w:r>
              <w:rPr>
                <w:rFonts w:hint="eastAsia"/>
                <w:noProof/>
                <w:snapToGrid/>
              </w:rPr>
              <w:drawing>
                <wp:inline distT="0" distB="0" distL="0" distR="0" wp14:anchorId="582D4A1D" wp14:editId="5C810E1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E82775">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0A2080" w:rsidP="00E82775">
            <w:pPr>
              <w:spacing w:before="240" w:line="240" w:lineRule="atLeast"/>
              <w:rPr>
                <w:sz w:val="20"/>
              </w:rPr>
            </w:pPr>
            <w:r w:rsidRPr="002C14C6">
              <w:rPr>
                <w:sz w:val="20"/>
              </w:rPr>
              <w:t xml:space="preserve">Distr.: </w:t>
            </w:r>
            <w:r w:rsidR="000105ED" w:rsidRPr="000105ED">
              <w:rPr>
                <w:sz w:val="20"/>
              </w:rPr>
              <w:t>General</w:t>
            </w:r>
          </w:p>
          <w:p w:rsidR="000A2080" w:rsidRPr="002C14C6" w:rsidRDefault="000105ED" w:rsidP="00E82775">
            <w:pPr>
              <w:spacing w:line="240" w:lineRule="atLeast"/>
              <w:rPr>
                <w:sz w:val="20"/>
              </w:rPr>
            </w:pPr>
            <w:r w:rsidRPr="000105ED">
              <w:rPr>
                <w:sz w:val="20"/>
              </w:rPr>
              <w:t>9 December 2014</w:t>
            </w:r>
          </w:p>
          <w:p w:rsidR="000A2080" w:rsidRPr="002C14C6" w:rsidRDefault="000A2080" w:rsidP="00E82775">
            <w:pPr>
              <w:spacing w:line="240" w:lineRule="atLeast"/>
              <w:rPr>
                <w:sz w:val="20"/>
              </w:rPr>
            </w:pPr>
            <w:r w:rsidRPr="002C14C6">
              <w:rPr>
                <w:sz w:val="20"/>
              </w:rPr>
              <w:t xml:space="preserve">Chinese </w:t>
            </w:r>
          </w:p>
          <w:p w:rsidR="000A2080" w:rsidRPr="002C14C6" w:rsidRDefault="000A2080" w:rsidP="00E82775">
            <w:pPr>
              <w:spacing w:line="240" w:lineRule="atLeast"/>
            </w:pPr>
            <w:r w:rsidRPr="002C14C6">
              <w:rPr>
                <w:sz w:val="20"/>
              </w:rPr>
              <w:t xml:space="preserve">Original: </w:t>
            </w:r>
            <w:r w:rsidR="000105ED" w:rsidRPr="000105ED">
              <w:rPr>
                <w:sz w:val="20"/>
              </w:rPr>
              <w:t>Spanish</w:t>
            </w:r>
          </w:p>
        </w:tc>
      </w:tr>
    </w:tbl>
    <w:p w:rsidR="000105ED" w:rsidRPr="00F22515" w:rsidRDefault="000105ED" w:rsidP="00F22515">
      <w:pPr>
        <w:spacing w:before="120"/>
        <w:rPr>
          <w:rFonts w:eastAsia="黑体"/>
          <w:sz w:val="24"/>
          <w:szCs w:val="24"/>
        </w:rPr>
      </w:pPr>
      <w:r w:rsidRPr="00F22515">
        <w:rPr>
          <w:rFonts w:eastAsia="黑体" w:hint="eastAsia"/>
          <w:sz w:val="24"/>
          <w:szCs w:val="24"/>
        </w:rPr>
        <w:t>经济、社会和文化权利委员会</w:t>
      </w:r>
    </w:p>
    <w:p w:rsidR="000105ED" w:rsidRDefault="000105ED" w:rsidP="00606647">
      <w:pPr>
        <w:pStyle w:val="HChGC"/>
        <w:spacing w:before="560"/>
      </w:pPr>
      <w:r>
        <w:rPr>
          <w:rFonts w:hint="eastAsia"/>
        </w:rPr>
        <w:tab/>
      </w:r>
      <w:r>
        <w:rPr>
          <w:rFonts w:hint="eastAsia"/>
        </w:rPr>
        <w:tab/>
      </w:r>
      <w:r>
        <w:rPr>
          <w:rFonts w:hint="eastAsia"/>
        </w:rPr>
        <w:t>关于危地马拉第三次定期报告的结论性意见</w:t>
      </w:r>
      <w:r w:rsidRPr="000105ED">
        <w:rPr>
          <w:rStyle w:val="a7"/>
          <w:rFonts w:eastAsia="黑体"/>
          <w:sz w:val="28"/>
          <w:vertAlign w:val="baseline"/>
        </w:rPr>
        <w:footnoteReference w:customMarkFollows="1" w:id="2"/>
        <w:t>*</w:t>
      </w:r>
    </w:p>
    <w:p w:rsidR="000105ED" w:rsidRDefault="000105ED" w:rsidP="000105ED">
      <w:pPr>
        <w:pStyle w:val="SingleTxtGC"/>
      </w:pPr>
      <w:r>
        <w:rPr>
          <w:rFonts w:hint="eastAsia"/>
        </w:rPr>
        <w:t xml:space="preserve">1.  </w:t>
      </w:r>
      <w:r>
        <w:rPr>
          <w:rFonts w:hint="eastAsia"/>
        </w:rPr>
        <w:t>经济、社会和文化权利委员会在</w:t>
      </w:r>
      <w:r>
        <w:rPr>
          <w:rFonts w:hint="eastAsia"/>
        </w:rPr>
        <w:t>2014</w:t>
      </w:r>
      <w:r>
        <w:rPr>
          <w:rFonts w:hint="eastAsia"/>
        </w:rPr>
        <w:t>年</w:t>
      </w:r>
      <w:r>
        <w:rPr>
          <w:rFonts w:hint="eastAsia"/>
        </w:rPr>
        <w:t>11</w:t>
      </w:r>
      <w:r>
        <w:rPr>
          <w:rFonts w:hint="eastAsia"/>
        </w:rPr>
        <w:t>月</w:t>
      </w:r>
      <w:r>
        <w:rPr>
          <w:rFonts w:hint="eastAsia"/>
        </w:rPr>
        <w:t>18</w:t>
      </w:r>
      <w:r>
        <w:rPr>
          <w:rFonts w:hint="eastAsia"/>
        </w:rPr>
        <w:t>日举行的第</w:t>
      </w:r>
      <w:r>
        <w:rPr>
          <w:rFonts w:hint="eastAsia"/>
        </w:rPr>
        <w:t>52</w:t>
      </w:r>
      <w:r>
        <w:rPr>
          <w:rFonts w:hint="eastAsia"/>
        </w:rPr>
        <w:t>和第</w:t>
      </w:r>
      <w:r>
        <w:rPr>
          <w:rFonts w:hint="eastAsia"/>
        </w:rPr>
        <w:t>53</w:t>
      </w:r>
      <w:r>
        <w:rPr>
          <w:rFonts w:hint="eastAsia"/>
        </w:rPr>
        <w:t>次会议上</w:t>
      </w:r>
      <w:r>
        <w:rPr>
          <w:rFonts w:hint="eastAsia"/>
        </w:rPr>
        <w:t>(E/C.12/2014/SR.52</w:t>
      </w:r>
      <w:r>
        <w:rPr>
          <w:rFonts w:hint="eastAsia"/>
        </w:rPr>
        <w:t>和</w:t>
      </w:r>
      <w:r>
        <w:rPr>
          <w:rFonts w:hint="eastAsia"/>
        </w:rPr>
        <w:t>53)</w:t>
      </w:r>
      <w:r>
        <w:rPr>
          <w:rFonts w:hint="eastAsia"/>
        </w:rPr>
        <w:t>，审议了危地马拉关于《经济、社会、文化权利国际公约》执行情况的第三次定期报告</w:t>
      </w:r>
      <w:r>
        <w:rPr>
          <w:rFonts w:hint="eastAsia"/>
        </w:rPr>
        <w:t>(E/C.12/GTM/3)</w:t>
      </w:r>
      <w:r>
        <w:rPr>
          <w:rFonts w:hint="eastAsia"/>
        </w:rPr>
        <w:t>。委员会在</w:t>
      </w:r>
      <w:r>
        <w:rPr>
          <w:rFonts w:hint="eastAsia"/>
        </w:rPr>
        <w:t>2014</w:t>
      </w:r>
      <w:r>
        <w:rPr>
          <w:rFonts w:hint="eastAsia"/>
        </w:rPr>
        <w:t>年</w:t>
      </w:r>
      <w:r>
        <w:rPr>
          <w:rFonts w:hint="eastAsia"/>
        </w:rPr>
        <w:t>11</w:t>
      </w:r>
      <w:r>
        <w:rPr>
          <w:rFonts w:hint="eastAsia"/>
        </w:rPr>
        <w:t>月</w:t>
      </w:r>
      <w:r>
        <w:rPr>
          <w:rFonts w:hint="eastAsia"/>
        </w:rPr>
        <w:t>28</w:t>
      </w:r>
      <w:r>
        <w:rPr>
          <w:rFonts w:hint="eastAsia"/>
        </w:rPr>
        <w:t>日举行的第</w:t>
      </w:r>
      <w:r>
        <w:rPr>
          <w:rFonts w:hint="eastAsia"/>
        </w:rPr>
        <w:t>70</w:t>
      </w:r>
      <w:r>
        <w:rPr>
          <w:rFonts w:hint="eastAsia"/>
        </w:rPr>
        <w:t>次会议上通过了以下结论性意见。</w:t>
      </w:r>
    </w:p>
    <w:p w:rsidR="000105ED" w:rsidRDefault="000105ED" w:rsidP="000105ED">
      <w:pPr>
        <w:pStyle w:val="H1GC"/>
      </w:pPr>
      <w:r>
        <w:rPr>
          <w:rFonts w:hint="eastAsia"/>
        </w:rPr>
        <w:tab/>
        <w:t>A.</w:t>
      </w:r>
      <w:r>
        <w:rPr>
          <w:rFonts w:hint="eastAsia"/>
        </w:rPr>
        <w:tab/>
      </w:r>
      <w:r>
        <w:rPr>
          <w:rFonts w:hint="eastAsia"/>
        </w:rPr>
        <w:t>导言</w:t>
      </w:r>
    </w:p>
    <w:p w:rsidR="000105ED" w:rsidRDefault="000105ED" w:rsidP="000105ED">
      <w:pPr>
        <w:pStyle w:val="SingleTxtGC"/>
      </w:pPr>
      <w:r>
        <w:rPr>
          <w:rFonts w:hint="eastAsia"/>
        </w:rPr>
        <w:t xml:space="preserve">2.  </w:t>
      </w:r>
      <w:r>
        <w:rPr>
          <w:rFonts w:hint="eastAsia"/>
        </w:rPr>
        <w:t>委员会欢迎危地马拉提交第三次定期报告、核心文件</w:t>
      </w:r>
      <w:r>
        <w:rPr>
          <w:rFonts w:hint="eastAsia"/>
        </w:rPr>
        <w:t>(HRI/CORE/GTM/ 2012)</w:t>
      </w:r>
      <w:r>
        <w:rPr>
          <w:rFonts w:hint="eastAsia"/>
        </w:rPr>
        <w:t>，和对问题单的书面答复</w:t>
      </w:r>
      <w:r>
        <w:rPr>
          <w:rFonts w:hint="eastAsia"/>
        </w:rPr>
        <w:t>(E/C.12/GTM/Q/3/Add.1)</w:t>
      </w:r>
      <w:r>
        <w:rPr>
          <w:rFonts w:hint="eastAsia"/>
        </w:rPr>
        <w:t>。</w:t>
      </w:r>
    </w:p>
    <w:p w:rsidR="000105ED" w:rsidRDefault="000105ED" w:rsidP="000105ED">
      <w:pPr>
        <w:pStyle w:val="H1GC"/>
      </w:pPr>
      <w:r>
        <w:rPr>
          <w:rFonts w:hint="eastAsia"/>
        </w:rPr>
        <w:tab/>
        <w:t>B.</w:t>
      </w:r>
      <w:r>
        <w:rPr>
          <w:rFonts w:hint="eastAsia"/>
        </w:rPr>
        <w:tab/>
      </w:r>
      <w:r>
        <w:rPr>
          <w:rFonts w:hint="eastAsia"/>
        </w:rPr>
        <w:t>积极方面</w:t>
      </w:r>
    </w:p>
    <w:p w:rsidR="000105ED" w:rsidRDefault="000105ED" w:rsidP="000105ED">
      <w:pPr>
        <w:pStyle w:val="SingleTxtGC"/>
      </w:pPr>
      <w:r>
        <w:rPr>
          <w:rFonts w:hint="eastAsia"/>
        </w:rPr>
        <w:t xml:space="preserve">3.  </w:t>
      </w:r>
      <w:r>
        <w:rPr>
          <w:rFonts w:hint="eastAsia"/>
        </w:rPr>
        <w:t>委员会欢迎缔约国于</w:t>
      </w:r>
      <w:r>
        <w:rPr>
          <w:rFonts w:hint="eastAsia"/>
        </w:rPr>
        <w:t>2009</w:t>
      </w:r>
      <w:r>
        <w:rPr>
          <w:rFonts w:hint="eastAsia"/>
        </w:rPr>
        <w:t>年批准《残疾人权利公约》及其任择议定书。</w:t>
      </w:r>
    </w:p>
    <w:p w:rsidR="000105ED" w:rsidRDefault="000105ED" w:rsidP="000105ED">
      <w:pPr>
        <w:pStyle w:val="SingleTxtGC"/>
      </w:pPr>
      <w:r>
        <w:rPr>
          <w:rFonts w:hint="eastAsia"/>
        </w:rPr>
        <w:t xml:space="preserve">4.  </w:t>
      </w:r>
      <w:r>
        <w:rPr>
          <w:rFonts w:hint="eastAsia"/>
        </w:rPr>
        <w:t>委员会还欢迎缔约国通过以下法律：</w:t>
      </w:r>
    </w:p>
    <w:p w:rsidR="000105ED" w:rsidRDefault="000105ED" w:rsidP="000105ED">
      <w:pPr>
        <w:pStyle w:val="SingleTxtGC"/>
        <w:numPr>
          <w:ilvl w:val="0"/>
          <w:numId w:val="5"/>
        </w:numPr>
        <w:tabs>
          <w:tab w:val="clear" w:pos="2426"/>
          <w:tab w:val="left" w:pos="2427"/>
        </w:tabs>
      </w:pPr>
      <w:r>
        <w:rPr>
          <w:rFonts w:hint="eastAsia"/>
        </w:rPr>
        <w:t>《住房法》</w:t>
      </w:r>
      <w:r>
        <w:rPr>
          <w:rFonts w:hint="eastAsia"/>
        </w:rPr>
        <w:t>(2012</w:t>
      </w:r>
      <w:r>
        <w:rPr>
          <w:rFonts w:hint="eastAsia"/>
        </w:rPr>
        <w:t>年</w:t>
      </w:r>
      <w:r>
        <w:rPr>
          <w:rFonts w:hint="eastAsia"/>
        </w:rPr>
        <w:t>)</w:t>
      </w:r>
      <w:r>
        <w:rPr>
          <w:rFonts w:hint="eastAsia"/>
        </w:rPr>
        <w:t>；</w:t>
      </w:r>
    </w:p>
    <w:p w:rsidR="000105ED" w:rsidRDefault="000105ED" w:rsidP="000105ED">
      <w:pPr>
        <w:pStyle w:val="SingleTxtGC"/>
        <w:numPr>
          <w:ilvl w:val="0"/>
          <w:numId w:val="5"/>
        </w:numPr>
        <w:tabs>
          <w:tab w:val="clear" w:pos="2426"/>
          <w:tab w:val="left" w:pos="2427"/>
        </w:tabs>
      </w:pPr>
      <w:r>
        <w:rPr>
          <w:rFonts w:hint="eastAsia"/>
        </w:rPr>
        <w:t>《杀害妇女及其他形式暴力侵害妇女问题法》</w:t>
      </w:r>
      <w:r>
        <w:rPr>
          <w:rFonts w:hint="eastAsia"/>
        </w:rPr>
        <w:t>(2008</w:t>
      </w:r>
      <w:r>
        <w:rPr>
          <w:rFonts w:hint="eastAsia"/>
        </w:rPr>
        <w:t>年</w:t>
      </w:r>
      <w:r>
        <w:rPr>
          <w:rFonts w:hint="eastAsia"/>
        </w:rPr>
        <w:t>)</w:t>
      </w:r>
      <w:r>
        <w:rPr>
          <w:rFonts w:hint="eastAsia"/>
        </w:rPr>
        <w:t>。</w:t>
      </w:r>
    </w:p>
    <w:p w:rsidR="00F22515" w:rsidRDefault="000105ED" w:rsidP="00F22515">
      <w:pPr>
        <w:pStyle w:val="SingleTxtGC"/>
      </w:pPr>
      <w:r>
        <w:rPr>
          <w:rFonts w:hint="eastAsia"/>
        </w:rPr>
        <w:t xml:space="preserve">5.  </w:t>
      </w:r>
      <w:r>
        <w:rPr>
          <w:rFonts w:hint="eastAsia"/>
        </w:rPr>
        <w:t>委员会欣见缔约国</w:t>
      </w:r>
      <w:r>
        <w:rPr>
          <w:rFonts w:hint="eastAsia"/>
        </w:rPr>
        <w:t>2003</w:t>
      </w:r>
      <w:r>
        <w:rPr>
          <w:rFonts w:hint="eastAsia"/>
        </w:rPr>
        <w:t>年最近一次同委员会进行互动对话以来取得的重大进展，并赞赏地注意到缔约国决心确保将人权和社会融入作为本国政策的重要内容。委员会特别欢迎的是：</w:t>
      </w:r>
    </w:p>
    <w:p w:rsidR="00606647" w:rsidRDefault="00606647">
      <w:pPr>
        <w:tabs>
          <w:tab w:val="clear" w:pos="431"/>
        </w:tabs>
        <w:overflowPunct/>
        <w:adjustRightInd/>
        <w:snapToGrid/>
        <w:spacing w:line="240" w:lineRule="auto"/>
        <w:jc w:val="left"/>
      </w:pPr>
      <w:r>
        <w:br w:type="page"/>
      </w:r>
    </w:p>
    <w:p w:rsidR="000105ED" w:rsidRDefault="000105ED" w:rsidP="000105ED">
      <w:pPr>
        <w:pStyle w:val="SingleTxtGC"/>
        <w:numPr>
          <w:ilvl w:val="0"/>
          <w:numId w:val="7"/>
        </w:numPr>
        <w:tabs>
          <w:tab w:val="clear" w:pos="2426"/>
          <w:tab w:val="left" w:pos="2427"/>
        </w:tabs>
      </w:pPr>
      <w:r>
        <w:rPr>
          <w:rFonts w:hint="eastAsia"/>
        </w:rPr>
        <w:lastRenderedPageBreak/>
        <w:t>制定</w:t>
      </w:r>
      <w:r>
        <w:rPr>
          <w:rFonts w:hint="eastAsia"/>
        </w:rPr>
        <w:t>K'atun Nuestra Guatemala 2032</w:t>
      </w:r>
      <w:r>
        <w:rPr>
          <w:rFonts w:hint="eastAsia"/>
        </w:rPr>
        <w:t>《国家发展规划》</w:t>
      </w:r>
      <w:r>
        <w:rPr>
          <w:rFonts w:hint="eastAsia"/>
        </w:rPr>
        <w:t>(2014</w:t>
      </w:r>
      <w:r>
        <w:rPr>
          <w:rFonts w:hint="eastAsia"/>
        </w:rPr>
        <w:t>年</w:t>
      </w:r>
      <w:r>
        <w:rPr>
          <w:rFonts w:hint="eastAsia"/>
        </w:rPr>
        <w:t>)</w:t>
      </w:r>
      <w:r>
        <w:rPr>
          <w:rFonts w:hint="eastAsia"/>
        </w:rPr>
        <w:t>；</w:t>
      </w:r>
    </w:p>
    <w:p w:rsidR="000105ED" w:rsidRDefault="000105ED" w:rsidP="000105ED">
      <w:pPr>
        <w:pStyle w:val="SingleTxtGC"/>
        <w:numPr>
          <w:ilvl w:val="0"/>
          <w:numId w:val="7"/>
        </w:numPr>
        <w:tabs>
          <w:tab w:val="clear" w:pos="2426"/>
          <w:tab w:val="left" w:pos="2427"/>
        </w:tabs>
      </w:pPr>
      <w:r>
        <w:rPr>
          <w:rFonts w:hint="eastAsia"/>
        </w:rPr>
        <w:t>设立农村发展问题内阁</w:t>
      </w:r>
      <w:r>
        <w:rPr>
          <w:rFonts w:hint="eastAsia"/>
        </w:rPr>
        <w:t>(2013</w:t>
      </w:r>
      <w:r>
        <w:rPr>
          <w:rFonts w:hint="eastAsia"/>
        </w:rPr>
        <w:t>年</w:t>
      </w:r>
      <w:r>
        <w:rPr>
          <w:rFonts w:hint="eastAsia"/>
        </w:rPr>
        <w:t>)</w:t>
      </w:r>
      <w:r>
        <w:rPr>
          <w:rFonts w:hint="eastAsia"/>
        </w:rPr>
        <w:t>；</w:t>
      </w:r>
    </w:p>
    <w:p w:rsidR="000105ED" w:rsidRDefault="000105ED" w:rsidP="000105ED">
      <w:pPr>
        <w:pStyle w:val="SingleTxtGC"/>
        <w:numPr>
          <w:ilvl w:val="0"/>
          <w:numId w:val="7"/>
        </w:numPr>
        <w:tabs>
          <w:tab w:val="clear" w:pos="2426"/>
          <w:tab w:val="left" w:pos="2427"/>
        </w:tabs>
      </w:pPr>
      <w:r>
        <w:rPr>
          <w:rFonts w:hint="eastAsia"/>
        </w:rPr>
        <w:t>成立社会发展部</w:t>
      </w:r>
      <w:r>
        <w:rPr>
          <w:rFonts w:hint="eastAsia"/>
        </w:rPr>
        <w:t>(2012</w:t>
      </w:r>
      <w:r>
        <w:rPr>
          <w:rFonts w:hint="eastAsia"/>
        </w:rPr>
        <w:t>年</w:t>
      </w:r>
      <w:r>
        <w:rPr>
          <w:rFonts w:hint="eastAsia"/>
        </w:rPr>
        <w:t>)</w:t>
      </w:r>
      <w:r>
        <w:rPr>
          <w:rFonts w:hint="eastAsia"/>
        </w:rPr>
        <w:t>；</w:t>
      </w:r>
    </w:p>
    <w:p w:rsidR="000105ED" w:rsidRDefault="000105ED" w:rsidP="000105ED">
      <w:pPr>
        <w:pStyle w:val="SingleTxtGC"/>
        <w:numPr>
          <w:ilvl w:val="0"/>
          <w:numId w:val="7"/>
        </w:numPr>
        <w:tabs>
          <w:tab w:val="clear" w:pos="2426"/>
          <w:tab w:val="left" w:pos="2427"/>
        </w:tabs>
      </w:pPr>
      <w:r>
        <w:rPr>
          <w:rFonts w:hint="eastAsia"/>
        </w:rPr>
        <w:t>制定《零饥饿计划》</w:t>
      </w:r>
      <w:r>
        <w:rPr>
          <w:rFonts w:hint="eastAsia"/>
        </w:rPr>
        <w:t>(Plan Hambre Cero)(2012</w:t>
      </w:r>
      <w:r>
        <w:rPr>
          <w:rFonts w:hint="eastAsia"/>
        </w:rPr>
        <w:t>年</w:t>
      </w:r>
      <w:r>
        <w:rPr>
          <w:rFonts w:hint="eastAsia"/>
        </w:rPr>
        <w:t>)</w:t>
      </w:r>
      <w:r>
        <w:rPr>
          <w:rFonts w:hint="eastAsia"/>
        </w:rPr>
        <w:t>；</w:t>
      </w:r>
    </w:p>
    <w:p w:rsidR="000105ED" w:rsidRDefault="000105ED" w:rsidP="000105ED">
      <w:pPr>
        <w:pStyle w:val="SingleTxtGC"/>
        <w:numPr>
          <w:ilvl w:val="0"/>
          <w:numId w:val="7"/>
        </w:numPr>
        <w:tabs>
          <w:tab w:val="clear" w:pos="2426"/>
          <w:tab w:val="left" w:pos="2427"/>
        </w:tabs>
      </w:pPr>
      <w:r>
        <w:rPr>
          <w:rFonts w:hint="eastAsia"/>
        </w:rPr>
        <w:t>提出《国家提高妇女地位和妇女全面发展政策》和《机会平等计划》</w:t>
      </w:r>
      <w:r>
        <w:rPr>
          <w:rFonts w:hint="eastAsia"/>
        </w:rPr>
        <w:t>(2009</w:t>
      </w:r>
      <w:r>
        <w:rPr>
          <w:rFonts w:hint="eastAsia"/>
        </w:rPr>
        <w:t>年</w:t>
      </w:r>
      <w:r>
        <w:rPr>
          <w:rFonts w:hint="eastAsia"/>
        </w:rPr>
        <w:t>)</w:t>
      </w:r>
      <w:r>
        <w:rPr>
          <w:rFonts w:hint="eastAsia"/>
        </w:rPr>
        <w:t>；</w:t>
      </w:r>
    </w:p>
    <w:p w:rsidR="000105ED" w:rsidRDefault="000105ED" w:rsidP="000105ED">
      <w:pPr>
        <w:pStyle w:val="SingleTxtGC"/>
        <w:numPr>
          <w:ilvl w:val="0"/>
          <w:numId w:val="7"/>
        </w:numPr>
        <w:tabs>
          <w:tab w:val="clear" w:pos="2426"/>
          <w:tab w:val="left" w:pos="2427"/>
        </w:tabs>
      </w:pPr>
      <w:r>
        <w:rPr>
          <w:rFonts w:hint="eastAsia"/>
        </w:rPr>
        <w:t>制定《国家农村综合发展政策》</w:t>
      </w:r>
      <w:r>
        <w:rPr>
          <w:rFonts w:hint="eastAsia"/>
        </w:rPr>
        <w:t>(2009</w:t>
      </w:r>
      <w:r>
        <w:rPr>
          <w:rFonts w:hint="eastAsia"/>
        </w:rPr>
        <w:t>年</w:t>
      </w:r>
      <w:r>
        <w:rPr>
          <w:rFonts w:hint="eastAsia"/>
        </w:rPr>
        <w:t>)</w:t>
      </w:r>
      <w:r>
        <w:rPr>
          <w:rFonts w:hint="eastAsia"/>
        </w:rPr>
        <w:t>。</w:t>
      </w:r>
    </w:p>
    <w:p w:rsidR="000105ED" w:rsidRDefault="000105ED" w:rsidP="000105ED">
      <w:pPr>
        <w:pStyle w:val="H1GC"/>
      </w:pPr>
      <w:r>
        <w:rPr>
          <w:rFonts w:hint="eastAsia"/>
        </w:rPr>
        <w:tab/>
        <w:t>C.</w:t>
      </w:r>
      <w:r>
        <w:rPr>
          <w:rFonts w:hint="eastAsia"/>
        </w:rPr>
        <w:tab/>
      </w:r>
      <w:r>
        <w:rPr>
          <w:rFonts w:hint="eastAsia"/>
        </w:rPr>
        <w:t>主要关注问题和建议</w:t>
      </w:r>
    </w:p>
    <w:p w:rsidR="000105ED" w:rsidRDefault="000105ED" w:rsidP="000105ED">
      <w:pPr>
        <w:pStyle w:val="H23GC"/>
      </w:pPr>
      <w:r>
        <w:rPr>
          <w:rFonts w:hint="eastAsia"/>
        </w:rPr>
        <w:tab/>
      </w:r>
      <w:r>
        <w:rPr>
          <w:rFonts w:hint="eastAsia"/>
        </w:rPr>
        <w:tab/>
      </w:r>
      <w:r>
        <w:rPr>
          <w:rFonts w:hint="eastAsia"/>
        </w:rPr>
        <w:t>土地权和自然资源权</w:t>
      </w:r>
    </w:p>
    <w:p w:rsidR="000105ED" w:rsidRDefault="000105ED" w:rsidP="000105ED">
      <w:pPr>
        <w:pStyle w:val="SingleTxtGC"/>
      </w:pPr>
      <w:r>
        <w:rPr>
          <w:rFonts w:hint="eastAsia"/>
        </w:rPr>
        <w:t xml:space="preserve">6.  </w:t>
      </w:r>
      <w:r>
        <w:rPr>
          <w:rFonts w:hint="eastAsia"/>
        </w:rPr>
        <w:t>委员会感到遗憾的是，缔约国未在《宪法》中给予土著人民法律承认。委员会还关切的是，缔约国缺乏有效的法律机制，承认土著人民获得集体土地的权利。委员会遗憾的是，关于缔约国内居住的土著人口数量缺乏最新统计数据</w:t>
      </w:r>
      <w:r>
        <w:rPr>
          <w:rFonts w:hint="eastAsia"/>
        </w:rPr>
        <w:t>(</w:t>
      </w:r>
      <w:r>
        <w:rPr>
          <w:rFonts w:hint="eastAsia"/>
        </w:rPr>
        <w:t>第一、第二和第十五条</w:t>
      </w:r>
      <w:r>
        <w:rPr>
          <w:rFonts w:hint="eastAsia"/>
        </w:rPr>
        <w:t>)</w:t>
      </w:r>
      <w:r>
        <w:rPr>
          <w:rFonts w:hint="eastAsia"/>
        </w:rPr>
        <w:t>。</w:t>
      </w:r>
    </w:p>
    <w:p w:rsidR="000105ED" w:rsidRPr="00A43DF7" w:rsidRDefault="000105ED" w:rsidP="000105ED">
      <w:pPr>
        <w:pStyle w:val="SingleTxtGC"/>
        <w:rPr>
          <w:rFonts w:ascii="Time New Roman" w:eastAsia="黑体" w:hAnsi="Time New Roman" w:hint="eastAsia"/>
        </w:rPr>
      </w:pPr>
      <w:r w:rsidRPr="00A43DF7">
        <w:rPr>
          <w:rFonts w:ascii="Time New Roman" w:eastAsia="黑体" w:hAnsi="Time New Roman" w:hint="eastAsia"/>
        </w:rPr>
        <w:t>委员会建议，缔约国在《宪法》中承认土著人民，并建议缔约国建立机制，承认土著人民对其传统土地和自然资源的权利。委员会促请缔约国进行一次新的土著人口普查，并强化措施，确保他们真正享有自身的经济、社会和文化权利。</w:t>
      </w:r>
    </w:p>
    <w:p w:rsidR="000105ED" w:rsidRDefault="000105ED" w:rsidP="000105ED">
      <w:pPr>
        <w:pStyle w:val="H23GC"/>
      </w:pPr>
      <w:r>
        <w:rPr>
          <w:rFonts w:hint="eastAsia"/>
        </w:rPr>
        <w:tab/>
      </w:r>
      <w:r>
        <w:rPr>
          <w:rFonts w:hint="eastAsia"/>
        </w:rPr>
        <w:tab/>
      </w:r>
      <w:r>
        <w:rPr>
          <w:rFonts w:hint="eastAsia"/>
        </w:rPr>
        <w:t>咨商土著人民</w:t>
      </w:r>
    </w:p>
    <w:p w:rsidR="000105ED" w:rsidRDefault="000105ED" w:rsidP="00F22515">
      <w:pPr>
        <w:pStyle w:val="SingleTxtGC"/>
      </w:pPr>
      <w:r>
        <w:rPr>
          <w:rFonts w:hint="eastAsia"/>
        </w:rPr>
        <w:t xml:space="preserve">7.  </w:t>
      </w:r>
      <w:r>
        <w:rPr>
          <w:rFonts w:hint="eastAsia"/>
        </w:rPr>
        <w:t>委员会注意到缔约国计划建立法律机制，按照宪法法院最近的决定</w:t>
      </w:r>
      <w:r w:rsidR="00F22515">
        <w:rPr>
          <w:rFonts w:hint="eastAsia"/>
          <w:spacing w:val="-50"/>
        </w:rPr>
        <w:t>―</w:t>
      </w:r>
      <w:r w:rsidR="00F22515">
        <w:rPr>
          <w:rFonts w:hint="eastAsia"/>
        </w:rPr>
        <w:t>―</w:t>
      </w:r>
      <w:r>
        <w:rPr>
          <w:rFonts w:hint="eastAsia"/>
        </w:rPr>
        <w:t>决定重申缔约国有义务征求土著人民的意见，在所有事关土著人的问题上，事先与他们进行自由的知情磋商。委员会特别关切的是，缔约国仍未有效咨商土著人民，在关于土著人传统土地上自然资源开发的决策制定过程中，也并未征求他们的自由、事先知情同意。委员会还关切的是，土著人民未参与关于修改《采矿法》的讨论</w:t>
      </w:r>
      <w:r>
        <w:rPr>
          <w:rFonts w:hint="eastAsia"/>
        </w:rPr>
        <w:t>(</w:t>
      </w:r>
      <w:r>
        <w:rPr>
          <w:rFonts w:hint="eastAsia"/>
        </w:rPr>
        <w:t>第一、第二和第十五条</w:t>
      </w:r>
      <w:r>
        <w:rPr>
          <w:rFonts w:hint="eastAsia"/>
        </w:rPr>
        <w:t>)</w:t>
      </w:r>
      <w:r>
        <w:rPr>
          <w:rFonts w:hint="eastAsia"/>
        </w:rPr>
        <w:t>。</w:t>
      </w:r>
    </w:p>
    <w:p w:rsidR="000105ED" w:rsidRPr="00A43DF7" w:rsidRDefault="000105ED" w:rsidP="000105ED">
      <w:pPr>
        <w:pStyle w:val="SingleTxtGC"/>
        <w:rPr>
          <w:rFonts w:ascii="Time New Roman" w:eastAsia="黑体" w:hAnsi="Time New Roman" w:hint="eastAsia"/>
        </w:rPr>
      </w:pPr>
      <w:r w:rsidRPr="00A43DF7">
        <w:rPr>
          <w:rFonts w:ascii="Time New Roman" w:eastAsia="黑体" w:hAnsi="Time New Roman" w:hint="eastAsia"/>
        </w:rPr>
        <w:t>委员会促请缔约国，在矿产资源和碳氢化合物的勘探和开采问题上迅速采取措施，开展咨商，让土著人民能够自由表达同意开展此类项目的意见，给予其充足的思考决定时间和机会，还应采取措施保护文化完整性并在必要时作出赔偿。在这方面，委员会建议缔约国立根据国际劳工组织</w:t>
      </w:r>
      <w:r w:rsidRPr="00A43DF7">
        <w:rPr>
          <w:rFonts w:ascii="Time New Roman" w:eastAsia="黑体" w:hAnsi="Time New Roman" w:hint="eastAsia"/>
        </w:rPr>
        <w:t>(</w:t>
      </w:r>
      <w:r w:rsidRPr="00A43DF7">
        <w:rPr>
          <w:rFonts w:ascii="Time New Roman" w:eastAsia="黑体" w:hAnsi="Time New Roman" w:hint="eastAsia"/>
        </w:rPr>
        <w:t>劳工组织</w:t>
      </w:r>
      <w:r w:rsidRPr="00A43DF7">
        <w:rPr>
          <w:rFonts w:ascii="Time New Roman" w:eastAsia="黑体" w:hAnsi="Time New Roman" w:hint="eastAsia"/>
        </w:rPr>
        <w:t>)</w:t>
      </w:r>
      <w:r w:rsidRPr="00A43DF7">
        <w:rPr>
          <w:rFonts w:ascii="Time New Roman" w:eastAsia="黑体" w:hAnsi="Time New Roman" w:hint="eastAsia"/>
        </w:rPr>
        <w:t>《</w:t>
      </w:r>
      <w:r w:rsidRPr="00A43DF7">
        <w:rPr>
          <w:rFonts w:ascii="Time New Roman" w:eastAsia="黑体" w:hAnsi="Time New Roman" w:hint="eastAsia"/>
        </w:rPr>
        <w:t>1989</w:t>
      </w:r>
      <w:r w:rsidRPr="00A43DF7">
        <w:rPr>
          <w:rFonts w:ascii="Time New Roman" w:eastAsia="黑体" w:hAnsi="Time New Roman" w:hint="eastAsia"/>
        </w:rPr>
        <w:t>年土著和部落人民公约》</w:t>
      </w:r>
      <w:r w:rsidRPr="00A43DF7">
        <w:rPr>
          <w:rFonts w:ascii="Time New Roman" w:eastAsia="黑体" w:hAnsi="Time New Roman" w:hint="eastAsia"/>
        </w:rPr>
        <w:t>(</w:t>
      </w:r>
      <w:r w:rsidRPr="00A43DF7">
        <w:rPr>
          <w:rFonts w:ascii="Time New Roman" w:eastAsia="黑体" w:hAnsi="Time New Roman" w:hint="eastAsia"/>
        </w:rPr>
        <w:t>第</w:t>
      </w:r>
      <w:r w:rsidRPr="00A43DF7">
        <w:rPr>
          <w:rFonts w:ascii="Time New Roman" w:eastAsia="黑体" w:hAnsi="Time New Roman" w:hint="eastAsia"/>
        </w:rPr>
        <w:t>169</w:t>
      </w:r>
      <w:r w:rsidRPr="00A43DF7">
        <w:rPr>
          <w:rFonts w:ascii="Time New Roman" w:eastAsia="黑体" w:hAnsi="Time New Roman" w:hint="eastAsia"/>
        </w:rPr>
        <w:t>号公约</w:t>
      </w:r>
      <w:r w:rsidRPr="00A43DF7">
        <w:rPr>
          <w:rFonts w:ascii="Time New Roman" w:eastAsia="黑体" w:hAnsi="Time New Roman" w:hint="eastAsia"/>
        </w:rPr>
        <w:t>)</w:t>
      </w:r>
      <w:r w:rsidRPr="00A43DF7">
        <w:rPr>
          <w:rFonts w:ascii="Time New Roman" w:eastAsia="黑体" w:hAnsi="Time New Roman" w:hint="eastAsia"/>
        </w:rPr>
        <w:t>及《联合国土著人民权利宣言》，为开展这类咨商建立法律机制。委员会还建议，缔约国同土著人民磋商，修订有关开采自然资源项目的法律和体制规定，并强化本国对采掘业的监管能力，确保采掘业不得对土著人民的权利、土地和自然资源造成负面影响。</w:t>
      </w:r>
    </w:p>
    <w:p w:rsidR="000105ED" w:rsidRDefault="000105ED" w:rsidP="000105ED">
      <w:pPr>
        <w:pStyle w:val="H23GC"/>
      </w:pPr>
      <w:r>
        <w:rPr>
          <w:rFonts w:hint="eastAsia"/>
        </w:rPr>
        <w:lastRenderedPageBreak/>
        <w:tab/>
      </w:r>
      <w:r>
        <w:rPr>
          <w:rFonts w:hint="eastAsia"/>
        </w:rPr>
        <w:tab/>
      </w:r>
      <w:r>
        <w:rPr>
          <w:rFonts w:hint="eastAsia"/>
        </w:rPr>
        <w:t>公共资源分配</w:t>
      </w:r>
    </w:p>
    <w:p w:rsidR="000105ED" w:rsidRDefault="000105ED" w:rsidP="000105ED">
      <w:pPr>
        <w:pStyle w:val="SingleTxtGC"/>
      </w:pPr>
      <w:r>
        <w:rPr>
          <w:rFonts w:hint="eastAsia"/>
        </w:rPr>
        <w:t xml:space="preserve">8.  </w:t>
      </w:r>
      <w:r>
        <w:rPr>
          <w:rFonts w:hint="eastAsia"/>
        </w:rPr>
        <w:t>委员会关切地注意到，尽管缔约国于</w:t>
      </w:r>
      <w:r>
        <w:rPr>
          <w:rFonts w:hint="eastAsia"/>
        </w:rPr>
        <w:t>2012</w:t>
      </w:r>
      <w:r>
        <w:rPr>
          <w:rFonts w:hint="eastAsia"/>
        </w:rPr>
        <w:t>年通过了税法改革，税收仍然不足，这极大地制约了可用于经济、社会和文化权利方面的资源。委员会还对缔约国长期实行的机制感到关注，一些经济部门，如采矿、原料加工</w:t>
      </w:r>
      <w:r>
        <w:rPr>
          <w:rFonts w:hint="eastAsia"/>
        </w:rPr>
        <w:t>(</w:t>
      </w:r>
      <w:r>
        <w:rPr>
          <w:rFonts w:hint="eastAsia"/>
        </w:rPr>
        <w:t>来料制造</w:t>
      </w:r>
      <w:r>
        <w:rPr>
          <w:rFonts w:hint="eastAsia"/>
        </w:rPr>
        <w:t>)</w:t>
      </w:r>
      <w:r>
        <w:rPr>
          <w:rFonts w:hint="eastAsia"/>
        </w:rPr>
        <w:t>等部门享受税收优惠</w:t>
      </w:r>
      <w:r>
        <w:rPr>
          <w:rFonts w:hint="eastAsia"/>
        </w:rPr>
        <w:t>(</w:t>
      </w:r>
      <w:r>
        <w:rPr>
          <w:rFonts w:hint="eastAsia"/>
        </w:rPr>
        <w:t>第二条</w:t>
      </w:r>
      <w:r>
        <w:rPr>
          <w:rFonts w:hint="eastAsia"/>
        </w:rPr>
        <w:t>)</w:t>
      </w:r>
      <w:r>
        <w:rPr>
          <w:rFonts w:hint="eastAsia"/>
        </w:rPr>
        <w:t>。</w:t>
      </w:r>
    </w:p>
    <w:p w:rsidR="000105ED" w:rsidRPr="00A43DF7" w:rsidRDefault="000105ED" w:rsidP="000105ED">
      <w:pPr>
        <w:pStyle w:val="SingleTxtGC"/>
        <w:rPr>
          <w:rFonts w:ascii="Time New Roman" w:eastAsia="黑体" w:hAnsi="Time New Roman" w:hint="eastAsia"/>
        </w:rPr>
      </w:pPr>
      <w:r w:rsidRPr="00A43DF7">
        <w:rPr>
          <w:rFonts w:ascii="Time New Roman" w:eastAsia="黑体" w:hAnsi="Time New Roman" w:hint="eastAsia"/>
        </w:rPr>
        <w:t>委员会敦促缔约国实行充分、累进且社会公平的税收政策，改善税收状况，以确保有充足的资源用于落实经济、社会和文化权利。委员会还建议，任何税收改革和资源分配计划，都应以透明、参与的方式开展。</w:t>
      </w:r>
    </w:p>
    <w:p w:rsidR="000105ED" w:rsidRDefault="000105ED" w:rsidP="000105ED">
      <w:pPr>
        <w:pStyle w:val="H23GC"/>
      </w:pPr>
      <w:r>
        <w:rPr>
          <w:rFonts w:hint="eastAsia"/>
        </w:rPr>
        <w:tab/>
      </w:r>
      <w:r>
        <w:rPr>
          <w:rFonts w:hint="eastAsia"/>
        </w:rPr>
        <w:tab/>
      </w:r>
      <w:r>
        <w:rPr>
          <w:rFonts w:hint="eastAsia"/>
        </w:rPr>
        <w:t>不歧视</w:t>
      </w:r>
    </w:p>
    <w:p w:rsidR="000105ED" w:rsidRDefault="000105ED" w:rsidP="000105ED">
      <w:pPr>
        <w:pStyle w:val="SingleTxtGC"/>
      </w:pPr>
      <w:r>
        <w:rPr>
          <w:rFonts w:hint="eastAsia"/>
        </w:rPr>
        <w:t xml:space="preserve">9.  </w:t>
      </w:r>
      <w:r>
        <w:rPr>
          <w:rFonts w:hint="eastAsia"/>
        </w:rPr>
        <w:t>委员会注意到缔约国设立了性多元化问题监察员办公室。但遗憾的是，在就业、住房、受教育和获得医疗保健方面，对个人基于性取向的歧视依然存在</w:t>
      </w:r>
      <w:r>
        <w:rPr>
          <w:rFonts w:hint="eastAsia"/>
        </w:rPr>
        <w:t>(</w:t>
      </w:r>
      <w:r>
        <w:rPr>
          <w:rFonts w:hint="eastAsia"/>
        </w:rPr>
        <w:t>第二条</w:t>
      </w:r>
      <w:r>
        <w:rPr>
          <w:rFonts w:hint="eastAsia"/>
        </w:rPr>
        <w:t>)</w:t>
      </w:r>
      <w:r>
        <w:rPr>
          <w:rFonts w:hint="eastAsia"/>
        </w:rPr>
        <w:t>。</w:t>
      </w:r>
    </w:p>
    <w:p w:rsidR="000105ED" w:rsidRPr="00A43DF7" w:rsidRDefault="000105ED" w:rsidP="000105ED">
      <w:pPr>
        <w:pStyle w:val="SingleTxtGC"/>
        <w:rPr>
          <w:rFonts w:ascii="Time New Roman" w:eastAsia="黑体" w:hAnsi="Time New Roman" w:hint="eastAsia"/>
        </w:rPr>
      </w:pPr>
      <w:r w:rsidRPr="00A43DF7">
        <w:rPr>
          <w:rFonts w:ascii="Time New Roman" w:eastAsia="黑体" w:hAnsi="Time New Roman" w:hint="eastAsia"/>
        </w:rPr>
        <w:t>委员会建议缔约国采取措施，特别是提高认识的措施，确保女同性恋、男同性恋、双性恋和变性者不因自身性取向或性别身份遭受歧视。</w:t>
      </w:r>
    </w:p>
    <w:p w:rsidR="000105ED" w:rsidRDefault="000105ED" w:rsidP="000105ED">
      <w:pPr>
        <w:pStyle w:val="H23GC"/>
      </w:pPr>
      <w:r>
        <w:rPr>
          <w:rFonts w:hint="eastAsia"/>
        </w:rPr>
        <w:tab/>
      </w:r>
      <w:r>
        <w:rPr>
          <w:rFonts w:hint="eastAsia"/>
        </w:rPr>
        <w:tab/>
      </w:r>
      <w:r>
        <w:rPr>
          <w:rFonts w:hint="eastAsia"/>
        </w:rPr>
        <w:t>基于性别的暴力</w:t>
      </w:r>
    </w:p>
    <w:p w:rsidR="000105ED" w:rsidRDefault="000105ED" w:rsidP="000105ED">
      <w:pPr>
        <w:pStyle w:val="SingleTxtGC"/>
      </w:pPr>
      <w:r>
        <w:rPr>
          <w:rFonts w:hint="eastAsia"/>
        </w:rPr>
        <w:t xml:space="preserve">10.  </w:t>
      </w:r>
      <w:r>
        <w:rPr>
          <w:rFonts w:hint="eastAsia"/>
        </w:rPr>
        <w:t>委员会注意到缔约国设立了专门审理杀害妇女和其他形式暴力侵害妇女行为的法院和法庭。但遗憾的是，对举报的暴力侵害妇女案件，存在有罪不罚现象和受害者恐惧心理的大环境长期存在。委员会重申其对暴力侵害妇女问题，特别是家庭暴力发案率高的关切</w:t>
      </w:r>
      <w:r>
        <w:rPr>
          <w:rFonts w:hint="eastAsia"/>
        </w:rPr>
        <w:t>(</w:t>
      </w:r>
      <w:r>
        <w:rPr>
          <w:rFonts w:hint="eastAsia"/>
        </w:rPr>
        <w:t>见</w:t>
      </w:r>
      <w:r>
        <w:rPr>
          <w:rFonts w:hint="eastAsia"/>
        </w:rPr>
        <w:t>E/C.12/1/Add.93</w:t>
      </w:r>
      <w:r w:rsidR="00F22515">
        <w:rPr>
          <w:rFonts w:hint="eastAsia"/>
        </w:rPr>
        <w:t>，</w:t>
      </w:r>
      <w:r>
        <w:rPr>
          <w:rFonts w:hint="eastAsia"/>
        </w:rPr>
        <w:t>第</w:t>
      </w:r>
      <w:r>
        <w:rPr>
          <w:rFonts w:hint="eastAsia"/>
        </w:rPr>
        <w:t>39</w:t>
      </w:r>
      <w:r>
        <w:rPr>
          <w:rFonts w:hint="eastAsia"/>
        </w:rPr>
        <w:t>段</w:t>
      </w:r>
      <w:r>
        <w:rPr>
          <w:rFonts w:hint="eastAsia"/>
        </w:rPr>
        <w:t>)(</w:t>
      </w:r>
      <w:r>
        <w:rPr>
          <w:rFonts w:hint="eastAsia"/>
        </w:rPr>
        <w:t>第二、第三和第十条</w:t>
      </w:r>
      <w:r>
        <w:rPr>
          <w:rFonts w:hint="eastAsia"/>
        </w:rPr>
        <w:t>)</w:t>
      </w:r>
      <w:r>
        <w:rPr>
          <w:rFonts w:hint="eastAsia"/>
        </w:rPr>
        <w:t>。</w:t>
      </w:r>
    </w:p>
    <w:p w:rsidR="000105ED" w:rsidRPr="00A43DF7" w:rsidRDefault="000105ED" w:rsidP="000105ED">
      <w:pPr>
        <w:pStyle w:val="SingleTxtGC"/>
        <w:rPr>
          <w:rFonts w:ascii="Time New Roman" w:eastAsia="黑体" w:hAnsi="Time New Roman" w:hint="eastAsia"/>
        </w:rPr>
      </w:pPr>
      <w:r w:rsidRPr="00A43DF7">
        <w:rPr>
          <w:rFonts w:ascii="Time New Roman" w:eastAsia="黑体" w:hAnsi="Time New Roman" w:hint="eastAsia"/>
        </w:rPr>
        <w:t>委员会建议，缔约国继续提高大众对家庭暴力的犯罪性质的认识并将责任人绳之以法。委员会还建议，缔约国为审理杀害妇女和其他形式暴力侵害妇女问题的法院和法庭划拨必要资源，以强化并扩大法律咨询方案。</w:t>
      </w:r>
    </w:p>
    <w:p w:rsidR="000105ED" w:rsidRDefault="000105ED" w:rsidP="000105ED">
      <w:pPr>
        <w:pStyle w:val="H23GC"/>
      </w:pPr>
      <w:r>
        <w:rPr>
          <w:rFonts w:hint="eastAsia"/>
        </w:rPr>
        <w:tab/>
      </w:r>
      <w:r>
        <w:rPr>
          <w:rFonts w:hint="eastAsia"/>
        </w:rPr>
        <w:tab/>
      </w:r>
      <w:r>
        <w:rPr>
          <w:rFonts w:hint="eastAsia"/>
        </w:rPr>
        <w:t>男女待遇平等</w:t>
      </w:r>
    </w:p>
    <w:p w:rsidR="000105ED" w:rsidRDefault="000105ED" w:rsidP="000105ED">
      <w:pPr>
        <w:pStyle w:val="SingleTxtGC"/>
      </w:pPr>
      <w:r>
        <w:rPr>
          <w:rFonts w:hint="eastAsia"/>
        </w:rPr>
        <w:t xml:space="preserve">11.  </w:t>
      </w:r>
      <w:r>
        <w:rPr>
          <w:rFonts w:hint="eastAsia"/>
        </w:rPr>
        <w:t>委员会遗憾的是，尽管对法律做了修订，确保男女平等，但实际上男女之间的不平等依然存在，部分原因是由于对妇女在社会和家庭中的角色仍带有根深蒂固的成见。委员会还关切地注意到土著妇女的不利处境，特别在是教育、卫生、就业权利和土地所有权方面</w:t>
      </w:r>
      <w:r>
        <w:rPr>
          <w:rFonts w:hint="eastAsia"/>
        </w:rPr>
        <w:t>(</w:t>
      </w:r>
      <w:r>
        <w:rPr>
          <w:rFonts w:hint="eastAsia"/>
        </w:rPr>
        <w:t>第三和第七条</w:t>
      </w:r>
      <w:r>
        <w:rPr>
          <w:rFonts w:hint="eastAsia"/>
        </w:rPr>
        <w:t>)</w:t>
      </w:r>
      <w:r>
        <w:rPr>
          <w:rFonts w:hint="eastAsia"/>
        </w:rPr>
        <w:t>。</w:t>
      </w:r>
    </w:p>
    <w:p w:rsidR="000105ED" w:rsidRPr="00A43DF7" w:rsidRDefault="000105ED" w:rsidP="000105ED">
      <w:pPr>
        <w:pStyle w:val="SingleTxtGC"/>
        <w:rPr>
          <w:rFonts w:ascii="Time New Roman" w:eastAsia="黑体" w:hAnsi="Time New Roman" w:hint="eastAsia"/>
        </w:rPr>
      </w:pPr>
      <w:r w:rsidRPr="00A43DF7">
        <w:rPr>
          <w:rFonts w:ascii="Time New Roman" w:eastAsia="黑体" w:hAnsi="Time New Roman" w:hint="eastAsia"/>
        </w:rPr>
        <w:t>委员会提及关于男女在享受一切经济、社会及文化权利方面的平等权利的第</w:t>
      </w:r>
      <w:r w:rsidRPr="00A43DF7">
        <w:rPr>
          <w:rFonts w:ascii="Time New Roman" w:eastAsia="黑体" w:hAnsi="Time New Roman" w:hint="eastAsia"/>
        </w:rPr>
        <w:t>16</w:t>
      </w:r>
      <w:r w:rsidRPr="00A43DF7">
        <w:rPr>
          <w:rFonts w:ascii="Time New Roman" w:eastAsia="黑体" w:hAnsi="Time New Roman" w:hint="eastAsia"/>
        </w:rPr>
        <w:t>号一般性意见</w:t>
      </w:r>
      <w:r w:rsidRPr="00A43DF7">
        <w:rPr>
          <w:rFonts w:ascii="Time New Roman" w:eastAsia="黑体" w:hAnsi="Time New Roman" w:hint="eastAsia"/>
        </w:rPr>
        <w:t>(2005</w:t>
      </w:r>
      <w:r w:rsidRPr="00A43DF7">
        <w:rPr>
          <w:rFonts w:ascii="Time New Roman" w:eastAsia="黑体" w:hAnsi="Time New Roman" w:hint="eastAsia"/>
        </w:rPr>
        <w:t>年</w:t>
      </w:r>
      <w:r w:rsidRPr="00A43DF7">
        <w:rPr>
          <w:rFonts w:ascii="Time New Roman" w:eastAsia="黑体" w:hAnsi="Time New Roman" w:hint="eastAsia"/>
        </w:rPr>
        <w:t>)(</w:t>
      </w:r>
      <w:r w:rsidRPr="00A43DF7">
        <w:rPr>
          <w:rFonts w:ascii="Time New Roman" w:eastAsia="黑体" w:hAnsi="Time New Roman" w:hint="eastAsia"/>
        </w:rPr>
        <w:t>《公约》第三条</w:t>
      </w:r>
      <w:r w:rsidRPr="00A43DF7">
        <w:rPr>
          <w:rFonts w:ascii="Time New Roman" w:eastAsia="黑体" w:hAnsi="Time New Roman" w:hint="eastAsia"/>
        </w:rPr>
        <w:t>)</w:t>
      </w:r>
      <w:r w:rsidRPr="00A43DF7">
        <w:rPr>
          <w:rFonts w:ascii="Time New Roman" w:eastAsia="黑体" w:hAnsi="Time New Roman" w:hint="eastAsia"/>
        </w:rPr>
        <w:t>，建议缔约国：</w:t>
      </w:r>
    </w:p>
    <w:p w:rsidR="000105ED" w:rsidRPr="00392CC8" w:rsidRDefault="000105ED" w:rsidP="000105ED">
      <w:pPr>
        <w:pStyle w:val="SingleTxtGC"/>
        <w:numPr>
          <w:ilvl w:val="0"/>
          <w:numId w:val="9"/>
        </w:numPr>
        <w:tabs>
          <w:tab w:val="clear" w:pos="2426"/>
          <w:tab w:val="left" w:pos="2427"/>
        </w:tabs>
        <w:rPr>
          <w:rFonts w:ascii="Time New Roman" w:eastAsia="黑体" w:hAnsi="Time New Roman" w:hint="eastAsia"/>
        </w:rPr>
      </w:pPr>
      <w:r w:rsidRPr="00392CC8">
        <w:rPr>
          <w:rFonts w:ascii="Time New Roman" w:eastAsia="黑体" w:hAnsi="Time New Roman" w:hint="eastAsia"/>
        </w:rPr>
        <w:t>同民间社会组织与大众传媒一道开展宣传，提高公众认识，以消除家庭和整个社会歧视妇女的性别成见和角色；</w:t>
      </w:r>
    </w:p>
    <w:p w:rsidR="000105ED" w:rsidRPr="00392CC8" w:rsidRDefault="000105ED" w:rsidP="00F22515">
      <w:pPr>
        <w:pStyle w:val="SingleTxtGC"/>
        <w:numPr>
          <w:ilvl w:val="0"/>
          <w:numId w:val="9"/>
        </w:numPr>
        <w:tabs>
          <w:tab w:val="clear" w:pos="2426"/>
          <w:tab w:val="left" w:pos="2427"/>
        </w:tabs>
        <w:rPr>
          <w:rFonts w:ascii="Time New Roman" w:eastAsia="黑体" w:hAnsi="Time New Roman" w:hint="eastAsia"/>
        </w:rPr>
      </w:pPr>
      <w:r w:rsidRPr="00392CC8">
        <w:rPr>
          <w:rFonts w:ascii="Time New Roman" w:eastAsia="黑体" w:hAnsi="Time New Roman" w:hint="eastAsia"/>
        </w:rPr>
        <w:t>强化落实消除对妇女歧视的各项措施，如提高妇女地位与综合发展的国家政策和同等机会计划</w:t>
      </w:r>
      <w:r w:rsidRPr="00392CC8">
        <w:rPr>
          <w:rFonts w:ascii="Time New Roman" w:eastAsia="黑体" w:hAnsi="Time New Roman" w:hint="eastAsia"/>
        </w:rPr>
        <w:t>(2008</w:t>
      </w:r>
      <w:r w:rsidR="00F22515">
        <w:rPr>
          <w:rFonts w:ascii="Time New Roman" w:eastAsia="黑体" w:hAnsi="Time New Roman" w:hint="eastAsia"/>
        </w:rPr>
        <w:t>-</w:t>
      </w:r>
      <w:r w:rsidRPr="00392CC8">
        <w:rPr>
          <w:rFonts w:ascii="Time New Roman" w:eastAsia="黑体" w:hAnsi="Time New Roman" w:hint="eastAsia"/>
        </w:rPr>
        <w:t>2023</w:t>
      </w:r>
      <w:r w:rsidRPr="00392CC8">
        <w:rPr>
          <w:rFonts w:ascii="Time New Roman" w:eastAsia="黑体" w:hAnsi="Time New Roman" w:hint="eastAsia"/>
        </w:rPr>
        <w:t>年</w:t>
      </w:r>
      <w:r w:rsidRPr="00392CC8">
        <w:rPr>
          <w:rFonts w:ascii="Time New Roman" w:eastAsia="黑体" w:hAnsi="Time New Roman" w:hint="eastAsia"/>
        </w:rPr>
        <w:t>)</w:t>
      </w:r>
      <w:r w:rsidRPr="00392CC8">
        <w:rPr>
          <w:rFonts w:ascii="Time New Roman" w:eastAsia="黑体" w:hAnsi="Time New Roman" w:hint="eastAsia"/>
        </w:rPr>
        <w:t>；</w:t>
      </w:r>
    </w:p>
    <w:p w:rsidR="000105ED" w:rsidRPr="00392CC8" w:rsidRDefault="000105ED" w:rsidP="000105ED">
      <w:pPr>
        <w:pStyle w:val="SingleTxtGC"/>
        <w:numPr>
          <w:ilvl w:val="0"/>
          <w:numId w:val="9"/>
        </w:numPr>
        <w:tabs>
          <w:tab w:val="clear" w:pos="2426"/>
          <w:tab w:val="left" w:pos="2427"/>
        </w:tabs>
        <w:rPr>
          <w:rFonts w:ascii="Time New Roman" w:eastAsia="黑体" w:hAnsi="Time New Roman" w:hint="eastAsia"/>
        </w:rPr>
      </w:pPr>
      <w:r w:rsidRPr="00392CC8">
        <w:rPr>
          <w:rFonts w:ascii="Time New Roman" w:eastAsia="黑体" w:hAnsi="Time New Roman" w:hint="eastAsia"/>
        </w:rPr>
        <w:lastRenderedPageBreak/>
        <w:t>采取具体措施，消除长期以来的男女不平等，特别是土著妇女遭受的不平等，并促进全面获得初等教育、卫生和土地。</w:t>
      </w:r>
    </w:p>
    <w:p w:rsidR="000105ED" w:rsidRDefault="000105ED" w:rsidP="000105ED">
      <w:pPr>
        <w:pStyle w:val="H23GC"/>
      </w:pPr>
      <w:r>
        <w:rPr>
          <w:rFonts w:hint="eastAsia"/>
        </w:rPr>
        <w:tab/>
      </w:r>
      <w:r>
        <w:rPr>
          <w:rFonts w:hint="eastAsia"/>
        </w:rPr>
        <w:tab/>
      </w:r>
      <w:r>
        <w:rPr>
          <w:rFonts w:hint="eastAsia"/>
        </w:rPr>
        <w:t>工作权方面的男女平等</w:t>
      </w:r>
    </w:p>
    <w:p w:rsidR="000105ED" w:rsidRDefault="000105ED" w:rsidP="000105ED">
      <w:pPr>
        <w:pStyle w:val="SingleTxtGC"/>
      </w:pPr>
      <w:r>
        <w:rPr>
          <w:rFonts w:hint="eastAsia"/>
        </w:rPr>
        <w:t xml:space="preserve">12.  </w:t>
      </w:r>
      <w:r>
        <w:rPr>
          <w:rFonts w:hint="eastAsia"/>
        </w:rPr>
        <w:t>委员会仍关切的是，妇女在各级公共论坛的代表不足</w:t>
      </w:r>
      <w:r>
        <w:rPr>
          <w:rFonts w:hint="eastAsia"/>
        </w:rPr>
        <w:t>(</w:t>
      </w:r>
      <w:r>
        <w:rPr>
          <w:rFonts w:hint="eastAsia"/>
        </w:rPr>
        <w:t>见</w:t>
      </w:r>
      <w:r>
        <w:rPr>
          <w:rFonts w:hint="eastAsia"/>
        </w:rPr>
        <w:t>E/C.12/1/Add.93</w:t>
      </w:r>
      <w:r w:rsidR="00F22515">
        <w:rPr>
          <w:rFonts w:hint="eastAsia"/>
        </w:rPr>
        <w:t>，</w:t>
      </w:r>
      <w:r>
        <w:rPr>
          <w:rFonts w:hint="eastAsia"/>
        </w:rPr>
        <w:t>第</w:t>
      </w:r>
      <w:r>
        <w:rPr>
          <w:rFonts w:hint="eastAsia"/>
        </w:rPr>
        <w:t>30</w:t>
      </w:r>
      <w:r>
        <w:rPr>
          <w:rFonts w:hint="eastAsia"/>
        </w:rPr>
        <w:t>段</w:t>
      </w:r>
      <w:r>
        <w:rPr>
          <w:rFonts w:hint="eastAsia"/>
        </w:rPr>
        <w:t>)</w:t>
      </w:r>
      <w:r>
        <w:rPr>
          <w:rFonts w:hint="eastAsia"/>
        </w:rPr>
        <w:t>。委员会还感到关切的是，尽管在这方面做出了努力，男女工资差距仍然很大</w:t>
      </w:r>
      <w:r>
        <w:rPr>
          <w:rFonts w:hint="eastAsia"/>
        </w:rPr>
        <w:t>(</w:t>
      </w:r>
      <w:r>
        <w:rPr>
          <w:rFonts w:hint="eastAsia"/>
        </w:rPr>
        <w:t>第三、第六、第九和第十条</w:t>
      </w:r>
      <w:r>
        <w:rPr>
          <w:rFonts w:hint="eastAsia"/>
        </w:rPr>
        <w:t>)</w:t>
      </w:r>
      <w:r>
        <w:rPr>
          <w:rFonts w:hint="eastAsia"/>
        </w:rPr>
        <w:t>。</w:t>
      </w:r>
    </w:p>
    <w:p w:rsidR="000105ED" w:rsidRPr="00A43DF7" w:rsidRDefault="000105ED" w:rsidP="000105ED">
      <w:pPr>
        <w:pStyle w:val="SingleTxtGC"/>
        <w:rPr>
          <w:rFonts w:ascii="Time New Roman" w:eastAsia="黑体" w:hAnsi="Time New Roman" w:hint="eastAsia"/>
        </w:rPr>
      </w:pPr>
      <w:r w:rsidRPr="00A43DF7">
        <w:rPr>
          <w:rFonts w:ascii="Time New Roman" w:eastAsia="黑体" w:hAnsi="Time New Roman" w:hint="eastAsia"/>
        </w:rPr>
        <w:t>委员会建议缔约国加倍努力，消除性别成见，增进男女在公共机构中的平等代表。委员会建议，缔约国保障男女同工同酬，并建议缔约国推行培训方案，继续对男性和妇女进行关于职业机会平等的教育，鼓励他们继续在有别于传统上男性或女性主导的行业接受教育和培训，并采取具体措施提高妇女在劳动力市场中的地位。</w:t>
      </w:r>
    </w:p>
    <w:p w:rsidR="000105ED" w:rsidRDefault="000105ED" w:rsidP="000105ED">
      <w:pPr>
        <w:pStyle w:val="H23GC"/>
      </w:pPr>
      <w:r>
        <w:rPr>
          <w:rFonts w:hint="eastAsia"/>
        </w:rPr>
        <w:tab/>
      </w:r>
      <w:r>
        <w:rPr>
          <w:rFonts w:hint="eastAsia"/>
        </w:rPr>
        <w:tab/>
      </w:r>
      <w:r>
        <w:rPr>
          <w:rFonts w:hint="eastAsia"/>
        </w:rPr>
        <w:t>公平和同等的酬劳</w:t>
      </w:r>
    </w:p>
    <w:p w:rsidR="000105ED" w:rsidRDefault="000105ED" w:rsidP="000105ED">
      <w:pPr>
        <w:pStyle w:val="SingleTxtGC"/>
      </w:pPr>
      <w:r>
        <w:rPr>
          <w:rFonts w:hint="eastAsia"/>
        </w:rPr>
        <w:t xml:space="preserve">13.  </w:t>
      </w:r>
      <w:r>
        <w:rPr>
          <w:rFonts w:hint="eastAsia"/>
        </w:rPr>
        <w:t>委员会重申其关切，缔约国规定的最低工资不足以为劳动者及家人提供体面的生活水平</w:t>
      </w:r>
      <w:r>
        <w:rPr>
          <w:rFonts w:hint="eastAsia"/>
        </w:rPr>
        <w:t>(</w:t>
      </w:r>
      <w:r>
        <w:rPr>
          <w:rFonts w:hint="eastAsia"/>
        </w:rPr>
        <w:t>见</w:t>
      </w:r>
      <w:r>
        <w:rPr>
          <w:rFonts w:hint="eastAsia"/>
        </w:rPr>
        <w:t>E/C.12/1/Add.93</w:t>
      </w:r>
      <w:r w:rsidR="00F22515">
        <w:rPr>
          <w:rFonts w:hint="eastAsia"/>
        </w:rPr>
        <w:t>，</w:t>
      </w:r>
      <w:r>
        <w:rPr>
          <w:rFonts w:hint="eastAsia"/>
        </w:rPr>
        <w:t>第</w:t>
      </w:r>
      <w:r>
        <w:rPr>
          <w:rFonts w:hint="eastAsia"/>
        </w:rPr>
        <w:t>32</w:t>
      </w:r>
      <w:r>
        <w:rPr>
          <w:rFonts w:hint="eastAsia"/>
        </w:rPr>
        <w:t>段</w:t>
      </w:r>
      <w:r>
        <w:rPr>
          <w:rFonts w:hint="eastAsia"/>
        </w:rPr>
        <w:t>)</w:t>
      </w:r>
      <w:r>
        <w:rPr>
          <w:rFonts w:hint="eastAsia"/>
        </w:rPr>
        <w:t>，委员会遗憾的是，很多劳动者的工资远低于法定最低工资。委员会关切地注意到，农工产业日益将劳动者工资与生产率关联，生产率目标常常过高，难以保障最低工资。委员会还对经济活动的不同行业最低工资上的差别感到遗憾，特别是出口和来料纺织业</w:t>
      </w:r>
      <w:r>
        <w:rPr>
          <w:rFonts w:hint="eastAsia"/>
        </w:rPr>
        <w:t>(</w:t>
      </w:r>
      <w:r>
        <w:rPr>
          <w:rFonts w:hint="eastAsia"/>
        </w:rPr>
        <w:t>第六和第七条</w:t>
      </w:r>
      <w:r>
        <w:rPr>
          <w:rFonts w:hint="eastAsia"/>
        </w:rPr>
        <w:t>)</w:t>
      </w:r>
      <w:r>
        <w:rPr>
          <w:rFonts w:hint="eastAsia"/>
        </w:rPr>
        <w:t>。</w:t>
      </w:r>
    </w:p>
    <w:p w:rsidR="000105ED" w:rsidRPr="00A43DF7" w:rsidRDefault="000105ED" w:rsidP="000105ED">
      <w:pPr>
        <w:pStyle w:val="SingleTxtGC"/>
        <w:rPr>
          <w:rFonts w:ascii="Time New Roman" w:eastAsia="黑体" w:hAnsi="Time New Roman" w:hint="eastAsia"/>
        </w:rPr>
      </w:pPr>
      <w:r w:rsidRPr="00A43DF7">
        <w:rPr>
          <w:rFonts w:ascii="Time New Roman" w:eastAsia="黑体" w:hAnsi="Time New Roman" w:hint="eastAsia"/>
        </w:rPr>
        <w:t>委员会促请缔约国统一各行业最低工资水平，并继续按《公约》第七条</w:t>
      </w:r>
      <w:r w:rsidRPr="00A43DF7">
        <w:rPr>
          <w:rFonts w:ascii="Time New Roman" w:eastAsia="黑体" w:hAnsi="Time New Roman" w:hint="eastAsia"/>
        </w:rPr>
        <w:t>(</w:t>
      </w:r>
      <w:r w:rsidRPr="00A43DF7">
        <w:rPr>
          <w:rFonts w:ascii="Time New Roman" w:eastAsia="黑体" w:hAnsi="Time New Roman" w:hint="eastAsia"/>
        </w:rPr>
        <w:t>甲</w:t>
      </w:r>
      <w:r w:rsidRPr="00A43DF7">
        <w:rPr>
          <w:rFonts w:ascii="Time New Roman" w:eastAsia="黑体" w:hAnsi="Time New Roman" w:hint="eastAsia"/>
        </w:rPr>
        <w:t>)</w:t>
      </w:r>
      <w:r w:rsidRPr="00A43DF7">
        <w:rPr>
          <w:rFonts w:ascii="Time New Roman" w:eastAsia="黑体" w:hAnsi="Time New Roman" w:hint="eastAsia"/>
        </w:rPr>
        <w:t>款第二小段的要求逐步提高最低工资。委员会还建议缔约国，确保雇员的工资有保障并得到支付，应至少相当于全国最低工资，并应包括法定福利。</w:t>
      </w:r>
    </w:p>
    <w:p w:rsidR="000105ED" w:rsidRDefault="000105ED" w:rsidP="000105ED">
      <w:pPr>
        <w:pStyle w:val="H23GC"/>
      </w:pPr>
      <w:r>
        <w:rPr>
          <w:rFonts w:hint="eastAsia"/>
        </w:rPr>
        <w:tab/>
      </w:r>
      <w:r>
        <w:rPr>
          <w:rFonts w:hint="eastAsia"/>
        </w:rPr>
        <w:tab/>
      </w:r>
      <w:r>
        <w:rPr>
          <w:rFonts w:hint="eastAsia"/>
        </w:rPr>
        <w:t>劳工监察局</w:t>
      </w:r>
    </w:p>
    <w:p w:rsidR="000105ED" w:rsidRDefault="000105ED" w:rsidP="000105ED">
      <w:pPr>
        <w:pStyle w:val="SingleTxtGC"/>
      </w:pPr>
      <w:r>
        <w:rPr>
          <w:rFonts w:hint="eastAsia"/>
        </w:rPr>
        <w:t xml:space="preserve">14.  </w:t>
      </w:r>
      <w:r>
        <w:rPr>
          <w:rFonts w:hint="eastAsia"/>
        </w:rPr>
        <w:t>委员会注意到强化劳工监察人员的工作有所进展，但遗憾的是，劳工监察局缺乏履行职责所需的足够资源，其工作主要集中在首都。委员会还感到遗憾的是，多种延迟和困难影响了对违反劳动标准者的处罚</w:t>
      </w:r>
      <w:r>
        <w:rPr>
          <w:rFonts w:hint="eastAsia"/>
        </w:rPr>
        <w:t>(</w:t>
      </w:r>
      <w:r>
        <w:rPr>
          <w:rFonts w:hint="eastAsia"/>
        </w:rPr>
        <w:t>第六和第七条</w:t>
      </w:r>
      <w:r>
        <w:rPr>
          <w:rFonts w:hint="eastAsia"/>
        </w:rPr>
        <w:t>)</w:t>
      </w:r>
      <w:r>
        <w:rPr>
          <w:rFonts w:hint="eastAsia"/>
        </w:rPr>
        <w:t>。</w:t>
      </w:r>
    </w:p>
    <w:p w:rsidR="000105ED" w:rsidRPr="00A43DF7" w:rsidRDefault="000105ED" w:rsidP="000105ED">
      <w:pPr>
        <w:pStyle w:val="SingleTxtGC"/>
        <w:rPr>
          <w:rFonts w:ascii="Time New Roman" w:eastAsia="黑体" w:hAnsi="Time New Roman" w:hint="eastAsia"/>
        </w:rPr>
      </w:pPr>
      <w:r w:rsidRPr="00A43DF7">
        <w:rPr>
          <w:rFonts w:ascii="Time New Roman" w:eastAsia="黑体" w:hAnsi="Time New Roman" w:hint="eastAsia"/>
        </w:rPr>
        <w:t>委员会促请缔约国立即采取措施，加强劳工监察局的能力，特别是为其提供履行任务所必需的资金和人力资源。委员会还建议缔约国采取必要措施，确保充分调查雇主一切侵犯劳工权利的行为，并酌情给予惩处。</w:t>
      </w:r>
    </w:p>
    <w:p w:rsidR="000105ED" w:rsidRDefault="000105ED" w:rsidP="000105ED">
      <w:pPr>
        <w:pStyle w:val="H23GC"/>
      </w:pPr>
      <w:r>
        <w:rPr>
          <w:rFonts w:hint="eastAsia"/>
        </w:rPr>
        <w:tab/>
      </w:r>
      <w:r>
        <w:rPr>
          <w:rFonts w:hint="eastAsia"/>
        </w:rPr>
        <w:tab/>
      </w:r>
      <w:r>
        <w:rPr>
          <w:rFonts w:hint="eastAsia"/>
        </w:rPr>
        <w:t>非正规劳动和家务</w:t>
      </w:r>
    </w:p>
    <w:p w:rsidR="000105ED" w:rsidRDefault="000105ED" w:rsidP="000105ED">
      <w:pPr>
        <w:pStyle w:val="SingleTxtGC"/>
      </w:pPr>
      <w:r>
        <w:rPr>
          <w:rFonts w:hint="eastAsia"/>
        </w:rPr>
        <w:t xml:space="preserve">15.  </w:t>
      </w:r>
      <w:r>
        <w:rPr>
          <w:rFonts w:hint="eastAsia"/>
        </w:rPr>
        <w:t>委员会关切地注意到，缔约国有大量劳动者就业于经济中的非正规行业。委员会遗憾的是，对家佣适用的特殊制度，对他们享有其他劳动者依法享有的多项权利规定了限制</w:t>
      </w:r>
      <w:r>
        <w:rPr>
          <w:rFonts w:hint="eastAsia"/>
        </w:rPr>
        <w:t>(</w:t>
      </w:r>
      <w:r>
        <w:rPr>
          <w:rFonts w:hint="eastAsia"/>
        </w:rPr>
        <w:t>第六和第七条</w:t>
      </w:r>
      <w:r>
        <w:rPr>
          <w:rFonts w:hint="eastAsia"/>
        </w:rPr>
        <w:t>)</w:t>
      </w:r>
      <w:r>
        <w:rPr>
          <w:rFonts w:hint="eastAsia"/>
        </w:rPr>
        <w:t>。</w:t>
      </w:r>
    </w:p>
    <w:p w:rsidR="00A32A04" w:rsidRDefault="00A32A04">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0105ED" w:rsidRPr="00A43DF7" w:rsidRDefault="000105ED" w:rsidP="000105ED">
      <w:pPr>
        <w:pStyle w:val="SingleTxtGC"/>
        <w:rPr>
          <w:rFonts w:ascii="Time New Roman" w:eastAsia="黑体" w:hAnsi="Time New Roman" w:hint="eastAsia"/>
        </w:rPr>
      </w:pPr>
      <w:r w:rsidRPr="00A43DF7">
        <w:rPr>
          <w:rFonts w:ascii="Time New Roman" w:eastAsia="黑体" w:hAnsi="Time New Roman" w:hint="eastAsia"/>
        </w:rPr>
        <w:lastRenderedPageBreak/>
        <w:t>委员会促请缔约国继续尽一切可能减少非正规经济行业，以鼓励到正规部门就业，从而确保所有劳动者充分享有自身经济社会权利。委员会建议，采取措施确保给予劳动者全面的法律保护，无论其从事的行业。委员会还建议，缔约国批准劳工组织《家庭工人公约》</w:t>
      </w:r>
      <w:r w:rsidRPr="00A43DF7">
        <w:rPr>
          <w:rFonts w:ascii="Time New Roman" w:eastAsia="黑体" w:hAnsi="Time New Roman" w:hint="eastAsia"/>
        </w:rPr>
        <w:t>(</w:t>
      </w:r>
      <w:r w:rsidRPr="00A43DF7">
        <w:rPr>
          <w:rFonts w:ascii="Time New Roman" w:eastAsia="黑体" w:hAnsi="Time New Roman" w:hint="eastAsia"/>
        </w:rPr>
        <w:t>第</w:t>
      </w:r>
      <w:r w:rsidRPr="00A43DF7">
        <w:rPr>
          <w:rFonts w:ascii="Time New Roman" w:eastAsia="黑体" w:hAnsi="Time New Roman" w:hint="eastAsia"/>
        </w:rPr>
        <w:t>189</w:t>
      </w:r>
      <w:r w:rsidRPr="00A43DF7">
        <w:rPr>
          <w:rFonts w:ascii="Time New Roman" w:eastAsia="黑体" w:hAnsi="Time New Roman" w:hint="eastAsia"/>
        </w:rPr>
        <w:t>号，</w:t>
      </w:r>
      <w:r w:rsidRPr="00A43DF7">
        <w:rPr>
          <w:rFonts w:ascii="Time New Roman" w:eastAsia="黑体" w:hAnsi="Time New Roman" w:hint="eastAsia"/>
        </w:rPr>
        <w:t>2011</w:t>
      </w:r>
      <w:r w:rsidRPr="00A43DF7">
        <w:rPr>
          <w:rFonts w:ascii="Time New Roman" w:eastAsia="黑体" w:hAnsi="Time New Roman" w:hint="eastAsia"/>
        </w:rPr>
        <w:t>年</w:t>
      </w:r>
      <w:r w:rsidRPr="00A43DF7">
        <w:rPr>
          <w:rFonts w:ascii="Time New Roman" w:eastAsia="黑体" w:hAnsi="Time New Roman" w:hint="eastAsia"/>
        </w:rPr>
        <w:t>)</w:t>
      </w:r>
      <w:r w:rsidRPr="00A43DF7">
        <w:rPr>
          <w:rFonts w:ascii="Time New Roman" w:eastAsia="黑体" w:hAnsi="Time New Roman" w:hint="eastAsia"/>
        </w:rPr>
        <w:t>和《家庭工人建议》</w:t>
      </w:r>
      <w:r w:rsidRPr="00A43DF7">
        <w:rPr>
          <w:rFonts w:ascii="Time New Roman" w:eastAsia="黑体" w:hAnsi="Time New Roman" w:hint="eastAsia"/>
        </w:rPr>
        <w:t>(</w:t>
      </w:r>
      <w:r w:rsidRPr="00A43DF7">
        <w:rPr>
          <w:rFonts w:ascii="Time New Roman" w:eastAsia="黑体" w:hAnsi="Time New Roman" w:hint="eastAsia"/>
        </w:rPr>
        <w:t>第</w:t>
      </w:r>
      <w:r w:rsidRPr="00A43DF7">
        <w:rPr>
          <w:rFonts w:ascii="Time New Roman" w:eastAsia="黑体" w:hAnsi="Time New Roman" w:hint="eastAsia"/>
        </w:rPr>
        <w:t>201</w:t>
      </w:r>
      <w:r w:rsidRPr="00A43DF7">
        <w:rPr>
          <w:rFonts w:ascii="Time New Roman" w:eastAsia="黑体" w:hAnsi="Time New Roman" w:hint="eastAsia"/>
        </w:rPr>
        <w:t>号，</w:t>
      </w:r>
      <w:r w:rsidRPr="00A43DF7">
        <w:rPr>
          <w:rFonts w:ascii="Time New Roman" w:eastAsia="黑体" w:hAnsi="Time New Roman" w:hint="eastAsia"/>
        </w:rPr>
        <w:t>2011</w:t>
      </w:r>
      <w:r w:rsidRPr="00A43DF7">
        <w:rPr>
          <w:rFonts w:ascii="Time New Roman" w:eastAsia="黑体" w:hAnsi="Time New Roman" w:hint="eastAsia"/>
        </w:rPr>
        <w:t>年</w:t>
      </w:r>
      <w:r w:rsidRPr="00A43DF7">
        <w:rPr>
          <w:rFonts w:ascii="Time New Roman" w:eastAsia="黑体" w:hAnsi="Time New Roman" w:hint="eastAsia"/>
        </w:rPr>
        <w:t>)</w:t>
      </w:r>
      <w:r w:rsidRPr="00A43DF7">
        <w:rPr>
          <w:rFonts w:ascii="Time New Roman" w:eastAsia="黑体" w:hAnsi="Time New Roman" w:hint="eastAsia"/>
        </w:rPr>
        <w:t>。</w:t>
      </w:r>
    </w:p>
    <w:p w:rsidR="000105ED" w:rsidRDefault="000105ED" w:rsidP="000105ED">
      <w:pPr>
        <w:pStyle w:val="H23GC"/>
      </w:pPr>
      <w:r>
        <w:rPr>
          <w:rFonts w:hint="eastAsia"/>
        </w:rPr>
        <w:tab/>
      </w:r>
      <w:r>
        <w:rPr>
          <w:rFonts w:hint="eastAsia"/>
        </w:rPr>
        <w:tab/>
      </w:r>
      <w:r>
        <w:rPr>
          <w:rFonts w:hint="eastAsia"/>
        </w:rPr>
        <w:t>工会权利</w:t>
      </w:r>
    </w:p>
    <w:p w:rsidR="000105ED" w:rsidRDefault="000105ED" w:rsidP="000105ED">
      <w:pPr>
        <w:pStyle w:val="SingleTxtGC"/>
      </w:pPr>
      <w:r>
        <w:rPr>
          <w:rFonts w:hint="eastAsia"/>
        </w:rPr>
        <w:t xml:space="preserve">16.  </w:t>
      </w:r>
      <w:r>
        <w:rPr>
          <w:rFonts w:hint="eastAsia"/>
        </w:rPr>
        <w:t>委员会对存在限制行使组织工会权和行使工会权利的现象表示关切。委员会特别关切的是，很多工会会员遭到杀害，但犯罪人却常常逍遥法外</w:t>
      </w:r>
      <w:r>
        <w:rPr>
          <w:rFonts w:hint="eastAsia"/>
        </w:rPr>
        <w:t>(</w:t>
      </w:r>
      <w:r>
        <w:rPr>
          <w:rFonts w:hint="eastAsia"/>
        </w:rPr>
        <w:t>第八条</w:t>
      </w:r>
      <w:r>
        <w:rPr>
          <w:rFonts w:hint="eastAsia"/>
        </w:rPr>
        <w:t>)</w:t>
      </w:r>
      <w:r>
        <w:rPr>
          <w:rFonts w:hint="eastAsia"/>
        </w:rPr>
        <w:t>。</w:t>
      </w:r>
    </w:p>
    <w:p w:rsidR="000105ED" w:rsidRPr="00A43DF7" w:rsidRDefault="000105ED" w:rsidP="000105ED">
      <w:pPr>
        <w:pStyle w:val="SingleTxtGC"/>
        <w:rPr>
          <w:rFonts w:ascii="Time New Roman" w:eastAsia="黑体" w:hAnsi="Time New Roman" w:hint="eastAsia"/>
        </w:rPr>
      </w:pPr>
      <w:r w:rsidRPr="00A43DF7">
        <w:rPr>
          <w:rFonts w:ascii="Time New Roman" w:eastAsia="黑体" w:hAnsi="Time New Roman" w:hint="eastAsia"/>
        </w:rPr>
        <w:t>委员会建议缔约国采取措施，确保根据《公约》第八条的规定，尊重组织工会权和行使工会权利。委员会还建议缔约国采取有效措施，确保保护劳动者不因参与工会而遭报复。委员会敦促缔约国调查所有杀害工会会员的案件，惩处犯罪者。</w:t>
      </w:r>
    </w:p>
    <w:p w:rsidR="000105ED" w:rsidRDefault="000105ED" w:rsidP="000105ED">
      <w:pPr>
        <w:pStyle w:val="H23GC"/>
      </w:pPr>
      <w:r>
        <w:rPr>
          <w:rFonts w:hint="eastAsia"/>
        </w:rPr>
        <w:tab/>
      </w:r>
      <w:r>
        <w:rPr>
          <w:rFonts w:hint="eastAsia"/>
        </w:rPr>
        <w:tab/>
      </w:r>
      <w:r>
        <w:rPr>
          <w:rFonts w:hint="eastAsia"/>
        </w:rPr>
        <w:t>社会保障</w:t>
      </w:r>
    </w:p>
    <w:p w:rsidR="000105ED" w:rsidRDefault="000105ED" w:rsidP="000105ED">
      <w:pPr>
        <w:pStyle w:val="SingleTxtGC"/>
      </w:pPr>
      <w:r>
        <w:rPr>
          <w:rFonts w:hint="eastAsia"/>
        </w:rPr>
        <w:t xml:space="preserve">17.  </w:t>
      </w:r>
      <w:r>
        <w:rPr>
          <w:rFonts w:hint="eastAsia"/>
        </w:rPr>
        <w:t>尽管委员会曾提出建议</w:t>
      </w:r>
      <w:r>
        <w:rPr>
          <w:rFonts w:hint="eastAsia"/>
        </w:rPr>
        <w:t>(E/C.12/1/Add.93</w:t>
      </w:r>
      <w:r w:rsidR="00F22515">
        <w:rPr>
          <w:rFonts w:hint="eastAsia"/>
        </w:rPr>
        <w:t>，</w:t>
      </w:r>
      <w:r>
        <w:rPr>
          <w:rFonts w:hint="eastAsia"/>
        </w:rPr>
        <w:t>第</w:t>
      </w:r>
      <w:r>
        <w:rPr>
          <w:rFonts w:hint="eastAsia"/>
        </w:rPr>
        <w:t>17</w:t>
      </w:r>
      <w:r>
        <w:rPr>
          <w:rFonts w:hint="eastAsia"/>
        </w:rPr>
        <w:t>和第</w:t>
      </w:r>
      <w:r>
        <w:rPr>
          <w:rFonts w:hint="eastAsia"/>
        </w:rPr>
        <w:t>35</w:t>
      </w:r>
      <w:r>
        <w:rPr>
          <w:rFonts w:hint="eastAsia"/>
        </w:rPr>
        <w:t>段</w:t>
      </w:r>
      <w:r>
        <w:rPr>
          <w:rFonts w:hint="eastAsia"/>
        </w:rPr>
        <w:t>)</w:t>
      </w:r>
      <w:r>
        <w:rPr>
          <w:rFonts w:hint="eastAsia"/>
        </w:rPr>
        <w:t>，缔约国也为增加在危地马拉社会保障局登记的人数采取了激励措施，委员会遗憾地注意到，只有</w:t>
      </w:r>
      <w:r>
        <w:rPr>
          <w:rFonts w:hint="eastAsia"/>
        </w:rPr>
        <w:t>22.1%</w:t>
      </w:r>
      <w:r>
        <w:rPr>
          <w:rFonts w:hint="eastAsia"/>
        </w:rPr>
        <w:t>的劳动者受到缔约国社会保障体系的覆盖。委员会尤为遗憾的是，缔约国未能确保农业工人和家庭雇工获得社会保障</w:t>
      </w:r>
      <w:r>
        <w:rPr>
          <w:rFonts w:hint="eastAsia"/>
        </w:rPr>
        <w:t>(</w:t>
      </w:r>
      <w:r>
        <w:rPr>
          <w:rFonts w:hint="eastAsia"/>
        </w:rPr>
        <w:t>第九条</w:t>
      </w:r>
      <w:r>
        <w:rPr>
          <w:rFonts w:hint="eastAsia"/>
        </w:rPr>
        <w:t>)</w:t>
      </w:r>
      <w:r>
        <w:rPr>
          <w:rFonts w:hint="eastAsia"/>
        </w:rPr>
        <w:t>。</w:t>
      </w:r>
    </w:p>
    <w:p w:rsidR="000105ED" w:rsidRPr="00A43DF7" w:rsidRDefault="000105ED" w:rsidP="000105ED">
      <w:pPr>
        <w:pStyle w:val="SingleTxtGC"/>
        <w:rPr>
          <w:rFonts w:ascii="Time New Roman" w:eastAsia="黑体" w:hAnsi="Time New Roman" w:hint="eastAsia"/>
        </w:rPr>
      </w:pPr>
      <w:r w:rsidRPr="00A43DF7">
        <w:rPr>
          <w:rFonts w:ascii="Time New Roman" w:eastAsia="黑体" w:hAnsi="Time New Roman" w:hint="eastAsia"/>
        </w:rPr>
        <w:t>委员会建议，缔约国参考委员会关于社会保障权的第</w:t>
      </w:r>
      <w:r w:rsidRPr="00A43DF7">
        <w:rPr>
          <w:rFonts w:ascii="Time New Roman" w:eastAsia="黑体" w:hAnsi="Time New Roman" w:hint="eastAsia"/>
        </w:rPr>
        <w:t>19</w:t>
      </w:r>
      <w:r w:rsidRPr="00A43DF7">
        <w:rPr>
          <w:rFonts w:ascii="Time New Roman" w:eastAsia="黑体" w:hAnsi="Time New Roman" w:hint="eastAsia"/>
        </w:rPr>
        <w:t>号一般性意见</w:t>
      </w:r>
      <w:r w:rsidRPr="00A43DF7">
        <w:rPr>
          <w:rFonts w:ascii="Time New Roman" w:eastAsia="黑体" w:hAnsi="Time New Roman" w:hint="eastAsia"/>
        </w:rPr>
        <w:t>(2008</w:t>
      </w:r>
      <w:r w:rsidRPr="00A43DF7">
        <w:rPr>
          <w:rFonts w:ascii="Time New Roman" w:eastAsia="黑体" w:hAnsi="Time New Roman" w:hint="eastAsia"/>
        </w:rPr>
        <w:t>年</w:t>
      </w:r>
      <w:r w:rsidRPr="00A43DF7">
        <w:rPr>
          <w:rFonts w:ascii="Time New Roman" w:eastAsia="黑体" w:hAnsi="Time New Roman" w:hint="eastAsia"/>
        </w:rPr>
        <w:t>)(</w:t>
      </w:r>
      <w:r w:rsidRPr="00A43DF7">
        <w:rPr>
          <w:rFonts w:ascii="Time New Roman" w:eastAsia="黑体" w:hAnsi="Time New Roman" w:hint="eastAsia"/>
        </w:rPr>
        <w:t>《公约》第九条</w:t>
      </w:r>
      <w:r w:rsidRPr="00A43DF7">
        <w:rPr>
          <w:rFonts w:ascii="Time New Roman" w:eastAsia="黑体" w:hAnsi="Time New Roman" w:hint="eastAsia"/>
        </w:rPr>
        <w:t>)</w:t>
      </w:r>
      <w:r w:rsidRPr="00A43DF7">
        <w:rPr>
          <w:rFonts w:ascii="Time New Roman" w:eastAsia="黑体" w:hAnsi="Time New Roman" w:hint="eastAsia"/>
        </w:rPr>
        <w:t>，采取必要措施，保证广泛的社会覆盖，确保所有工人，包括农业和家庭雇工，都能得到适当社会福利。委员会还建议，缔约国考虑制定社会保护最低标准</w:t>
      </w:r>
      <w:r w:rsidRPr="00A43DF7">
        <w:rPr>
          <w:rFonts w:ascii="Time New Roman" w:eastAsia="黑体" w:hAnsi="Time New Roman" w:hint="eastAsia"/>
        </w:rPr>
        <w:t>(</w:t>
      </w:r>
      <w:r w:rsidRPr="00A43DF7">
        <w:rPr>
          <w:rFonts w:ascii="Time New Roman" w:eastAsia="黑体" w:hAnsi="Time New Roman" w:hint="eastAsia"/>
        </w:rPr>
        <w:t>见劳工组织</w:t>
      </w:r>
      <w:r w:rsidRPr="00A43DF7">
        <w:rPr>
          <w:rFonts w:ascii="Time New Roman" w:eastAsia="黑体" w:hAnsi="Time New Roman" w:hint="eastAsia"/>
        </w:rPr>
        <w:t>2012</w:t>
      </w:r>
      <w:r w:rsidRPr="00A43DF7">
        <w:rPr>
          <w:rFonts w:ascii="Time New Roman" w:eastAsia="黑体" w:hAnsi="Time New Roman" w:hint="eastAsia"/>
        </w:rPr>
        <w:t>年《基本社会保护建议》</w:t>
      </w:r>
      <w:r w:rsidRPr="00A43DF7">
        <w:rPr>
          <w:rFonts w:ascii="Time New Roman" w:eastAsia="黑体" w:hAnsi="Time New Roman" w:hint="eastAsia"/>
        </w:rPr>
        <w:t>(</w:t>
      </w:r>
      <w:r w:rsidRPr="00A43DF7">
        <w:rPr>
          <w:rFonts w:ascii="Time New Roman" w:eastAsia="黑体" w:hAnsi="Time New Roman" w:hint="eastAsia"/>
        </w:rPr>
        <w:t>第</w:t>
      </w:r>
      <w:r w:rsidRPr="00A43DF7">
        <w:rPr>
          <w:rFonts w:ascii="Time New Roman" w:eastAsia="黑体" w:hAnsi="Time New Roman" w:hint="eastAsia"/>
        </w:rPr>
        <w:t>202</w:t>
      </w:r>
      <w:r w:rsidRPr="00A43DF7">
        <w:rPr>
          <w:rFonts w:ascii="Time New Roman" w:eastAsia="黑体" w:hAnsi="Time New Roman" w:hint="eastAsia"/>
        </w:rPr>
        <w:t>号</w:t>
      </w:r>
      <w:r w:rsidRPr="00A43DF7">
        <w:rPr>
          <w:rFonts w:ascii="Time New Roman" w:eastAsia="黑体" w:hAnsi="Time New Roman" w:hint="eastAsia"/>
        </w:rPr>
        <w:t>)</w:t>
      </w:r>
      <w:r w:rsidRPr="00A43DF7">
        <w:rPr>
          <w:rFonts w:ascii="Time New Roman" w:eastAsia="黑体" w:hAnsi="Time New Roman" w:hint="eastAsia"/>
        </w:rPr>
        <w:t>，实现享有社会保障的权利。</w:t>
      </w:r>
    </w:p>
    <w:p w:rsidR="000105ED" w:rsidRDefault="000105ED" w:rsidP="000105ED">
      <w:pPr>
        <w:pStyle w:val="H23GC"/>
      </w:pPr>
      <w:r>
        <w:rPr>
          <w:rFonts w:hint="eastAsia"/>
        </w:rPr>
        <w:tab/>
      </w:r>
      <w:r>
        <w:rPr>
          <w:rFonts w:hint="eastAsia"/>
        </w:rPr>
        <w:tab/>
      </w:r>
      <w:r>
        <w:rPr>
          <w:rFonts w:hint="eastAsia"/>
        </w:rPr>
        <w:t>对儿童的经济剥削</w:t>
      </w:r>
    </w:p>
    <w:p w:rsidR="000105ED" w:rsidRDefault="000105ED" w:rsidP="000105ED">
      <w:pPr>
        <w:pStyle w:val="SingleTxtGC"/>
      </w:pPr>
      <w:r>
        <w:rPr>
          <w:rFonts w:hint="eastAsia"/>
        </w:rPr>
        <w:t xml:space="preserve">18.  </w:t>
      </w:r>
      <w:r>
        <w:rPr>
          <w:rFonts w:hint="eastAsia"/>
        </w:rPr>
        <w:t>尽管童工有所减少，委员会仍对缔约国儿童继续受到经济剥削表示关切，特别是在农业和家政服务业</w:t>
      </w:r>
      <w:r>
        <w:rPr>
          <w:rFonts w:hint="eastAsia"/>
        </w:rPr>
        <w:t>(E/C.12/1/Add.93</w:t>
      </w:r>
      <w:r w:rsidR="00F22515">
        <w:rPr>
          <w:rFonts w:hint="eastAsia"/>
        </w:rPr>
        <w:t>，</w:t>
      </w:r>
      <w:r>
        <w:rPr>
          <w:rFonts w:hint="eastAsia"/>
        </w:rPr>
        <w:t>第</w:t>
      </w:r>
      <w:r>
        <w:rPr>
          <w:rFonts w:hint="eastAsia"/>
        </w:rPr>
        <w:t>20</w:t>
      </w:r>
      <w:r>
        <w:rPr>
          <w:rFonts w:hint="eastAsia"/>
        </w:rPr>
        <w:t>和第</w:t>
      </w:r>
      <w:r>
        <w:rPr>
          <w:rFonts w:hint="eastAsia"/>
        </w:rPr>
        <w:t>38</w:t>
      </w:r>
      <w:r>
        <w:rPr>
          <w:rFonts w:hint="eastAsia"/>
        </w:rPr>
        <w:t>段</w:t>
      </w:r>
      <w:r>
        <w:rPr>
          <w:rFonts w:hint="eastAsia"/>
        </w:rPr>
        <w:t>)</w:t>
      </w:r>
      <w:r>
        <w:rPr>
          <w:rFonts w:hint="eastAsia"/>
        </w:rPr>
        <w:t>。委员会关切地注意到，农村家庭的贫困现象和难以获得中等教育，加剧了沦为童工的风险</w:t>
      </w:r>
      <w:r>
        <w:rPr>
          <w:rFonts w:hint="eastAsia"/>
        </w:rPr>
        <w:t>(</w:t>
      </w:r>
      <w:r>
        <w:rPr>
          <w:rFonts w:hint="eastAsia"/>
        </w:rPr>
        <w:t>第十条</w:t>
      </w:r>
      <w:r>
        <w:rPr>
          <w:rFonts w:hint="eastAsia"/>
        </w:rPr>
        <w:t>)</w:t>
      </w:r>
      <w:r>
        <w:rPr>
          <w:rFonts w:hint="eastAsia"/>
        </w:rPr>
        <w:t>。</w:t>
      </w:r>
    </w:p>
    <w:p w:rsidR="000105ED" w:rsidRPr="00A43DF7" w:rsidRDefault="000105ED" w:rsidP="000105ED">
      <w:pPr>
        <w:pStyle w:val="SingleTxtGC"/>
        <w:rPr>
          <w:rFonts w:ascii="Time New Roman" w:eastAsia="黑体" w:hAnsi="Time New Roman" w:hint="eastAsia"/>
        </w:rPr>
      </w:pPr>
      <w:r w:rsidRPr="00A43DF7">
        <w:rPr>
          <w:rFonts w:ascii="Time New Roman" w:eastAsia="黑体" w:hAnsi="Time New Roman" w:hint="eastAsia"/>
        </w:rPr>
        <w:t>委员会鼓励缔约国加倍努力，为消灭童工问题制定紧急计划。委员会促请缔约国开展系统的劳动监察，并落实减少城乡儿童易受影响程度的公共政策，同时促进全面获得中等教育。委员会请缔约国在下次定期报告中提供资料，说明追究与童工相关的犯罪的情况。</w:t>
      </w:r>
    </w:p>
    <w:p w:rsidR="000105ED" w:rsidRDefault="000105ED" w:rsidP="000105ED">
      <w:pPr>
        <w:pStyle w:val="H23GC"/>
      </w:pPr>
      <w:r>
        <w:rPr>
          <w:rFonts w:hint="eastAsia"/>
        </w:rPr>
        <w:tab/>
      </w:r>
      <w:r>
        <w:rPr>
          <w:rFonts w:hint="eastAsia"/>
        </w:rPr>
        <w:tab/>
      </w:r>
      <w:r>
        <w:rPr>
          <w:rFonts w:hint="eastAsia"/>
        </w:rPr>
        <w:t>获得充足住房和强行驱逐</w:t>
      </w:r>
    </w:p>
    <w:p w:rsidR="000105ED" w:rsidRDefault="000105ED" w:rsidP="000105ED">
      <w:pPr>
        <w:pStyle w:val="SingleTxtGC"/>
      </w:pPr>
      <w:r>
        <w:rPr>
          <w:rFonts w:hint="eastAsia"/>
        </w:rPr>
        <w:t xml:space="preserve">19.  </w:t>
      </w:r>
      <w:r>
        <w:rPr>
          <w:rFonts w:hint="eastAsia"/>
        </w:rPr>
        <w:t>委员会关切地注意到，尽管缔约国已采取措施，缔约国社会住房严重短缺，用于住房的预算，特别是为住房基金划拨的预算不足。委员会还关切的是，大量家庭居住在非正规城区定居点，特别容易受到强行驱逐，并且有报告称，强</w:t>
      </w:r>
      <w:r>
        <w:rPr>
          <w:rFonts w:hint="eastAsia"/>
        </w:rPr>
        <w:lastRenderedPageBreak/>
        <w:t>行驱逐事先不征求当事人的意见，不做补偿，也不提供另外住所或作出安置</w:t>
      </w:r>
      <w:r>
        <w:rPr>
          <w:rFonts w:hint="eastAsia"/>
        </w:rPr>
        <w:t>(</w:t>
      </w:r>
      <w:r>
        <w:rPr>
          <w:rFonts w:hint="eastAsia"/>
        </w:rPr>
        <w:t>第十一条</w:t>
      </w:r>
      <w:r>
        <w:rPr>
          <w:rFonts w:hint="eastAsia"/>
        </w:rPr>
        <w:t>)</w:t>
      </w:r>
      <w:r>
        <w:rPr>
          <w:rFonts w:hint="eastAsia"/>
        </w:rPr>
        <w:t>。</w:t>
      </w:r>
    </w:p>
    <w:p w:rsidR="000105ED" w:rsidRPr="00A43DF7" w:rsidRDefault="000105ED" w:rsidP="000105ED">
      <w:pPr>
        <w:pStyle w:val="SingleTxtGC"/>
        <w:rPr>
          <w:rFonts w:ascii="Time New Roman" w:eastAsia="黑体" w:hAnsi="Time New Roman" w:hint="eastAsia"/>
        </w:rPr>
      </w:pPr>
      <w:r w:rsidRPr="00A43DF7">
        <w:rPr>
          <w:rFonts w:ascii="Time New Roman" w:eastAsia="黑体" w:hAnsi="Time New Roman" w:hint="eastAsia"/>
        </w:rPr>
        <w:t>委员会建议，缔约国结合委员会关于适足住房权的第</w:t>
      </w:r>
      <w:r w:rsidRPr="00A43DF7">
        <w:rPr>
          <w:rFonts w:ascii="Time New Roman" w:eastAsia="黑体" w:hAnsi="Time New Roman" w:hint="eastAsia"/>
        </w:rPr>
        <w:t>4</w:t>
      </w:r>
      <w:r w:rsidRPr="00A43DF7">
        <w:rPr>
          <w:rFonts w:ascii="Time New Roman" w:eastAsia="黑体" w:hAnsi="Time New Roman" w:hint="eastAsia"/>
        </w:rPr>
        <w:t>号一般性意见</w:t>
      </w:r>
      <w:r w:rsidRPr="00A43DF7">
        <w:rPr>
          <w:rFonts w:ascii="Time New Roman" w:eastAsia="黑体" w:hAnsi="Time New Roman" w:hint="eastAsia"/>
        </w:rPr>
        <w:t>(</w:t>
      </w:r>
      <w:r w:rsidRPr="00A43DF7">
        <w:rPr>
          <w:rFonts w:ascii="Time New Roman" w:eastAsia="黑体" w:hAnsi="Time New Roman" w:hint="eastAsia"/>
        </w:rPr>
        <w:t>《公约》第十一条第一款</w:t>
      </w:r>
      <w:r w:rsidRPr="00A43DF7">
        <w:rPr>
          <w:rFonts w:ascii="Time New Roman" w:eastAsia="黑体" w:hAnsi="Time New Roman" w:hint="eastAsia"/>
        </w:rPr>
        <w:t>)(1991</w:t>
      </w:r>
      <w:r w:rsidRPr="00A43DF7">
        <w:rPr>
          <w:rFonts w:ascii="Time New Roman" w:eastAsia="黑体" w:hAnsi="Time New Roman" w:hint="eastAsia"/>
        </w:rPr>
        <w:t>年</w:t>
      </w:r>
      <w:r w:rsidRPr="00A43DF7">
        <w:rPr>
          <w:rFonts w:ascii="Time New Roman" w:eastAsia="黑体" w:hAnsi="Time New Roman" w:hint="eastAsia"/>
        </w:rPr>
        <w:t>)</w:t>
      </w:r>
      <w:r w:rsidRPr="00A43DF7">
        <w:rPr>
          <w:rFonts w:ascii="Time New Roman" w:eastAsia="黑体" w:hAnsi="Time New Roman" w:hint="eastAsia"/>
        </w:rPr>
        <w:t>，划拨充足的资源，用于落实保障住房安全的方案，包括为低收入家庭及弱势群体提供贷款和住房补贴。委员会还建议，缔约国依照委员会关于强行驱逐的第</w:t>
      </w:r>
      <w:r w:rsidRPr="00A43DF7">
        <w:rPr>
          <w:rFonts w:ascii="Time New Roman" w:eastAsia="黑体" w:hAnsi="Time New Roman" w:hint="eastAsia"/>
        </w:rPr>
        <w:t>7</w:t>
      </w:r>
      <w:r w:rsidRPr="00A43DF7">
        <w:rPr>
          <w:rFonts w:ascii="Time New Roman" w:eastAsia="黑体" w:hAnsi="Time New Roman" w:hint="eastAsia"/>
        </w:rPr>
        <w:t>号一般性意见</w:t>
      </w:r>
      <w:r w:rsidRPr="00A43DF7">
        <w:rPr>
          <w:rFonts w:ascii="Time New Roman" w:eastAsia="黑体" w:hAnsi="Time New Roman" w:hint="eastAsia"/>
        </w:rPr>
        <w:t>(1977</w:t>
      </w:r>
      <w:r w:rsidRPr="00A43DF7">
        <w:rPr>
          <w:rFonts w:ascii="Time New Roman" w:eastAsia="黑体" w:hAnsi="Time New Roman" w:hint="eastAsia"/>
        </w:rPr>
        <w:t>年</w:t>
      </w:r>
      <w:r w:rsidRPr="00A43DF7">
        <w:rPr>
          <w:rFonts w:ascii="Time New Roman" w:eastAsia="黑体" w:hAnsi="Time New Roman" w:hint="eastAsia"/>
        </w:rPr>
        <w:t>)</w:t>
      </w:r>
      <w:r w:rsidRPr="00A43DF7">
        <w:rPr>
          <w:rFonts w:ascii="Time New Roman" w:eastAsia="黑体" w:hAnsi="Time New Roman" w:hint="eastAsia"/>
        </w:rPr>
        <w:t>，出台法律，规定驱逐的条件和保障，确保提供替代住房或重新安置，及为受害者给予充份补偿。</w:t>
      </w:r>
    </w:p>
    <w:p w:rsidR="000105ED" w:rsidRDefault="000105ED" w:rsidP="000105ED">
      <w:pPr>
        <w:pStyle w:val="H23GC"/>
      </w:pPr>
      <w:r>
        <w:rPr>
          <w:rFonts w:hint="eastAsia"/>
        </w:rPr>
        <w:tab/>
      </w:r>
      <w:r>
        <w:rPr>
          <w:rFonts w:hint="eastAsia"/>
        </w:rPr>
        <w:tab/>
      </w:r>
      <w:r>
        <w:rPr>
          <w:rFonts w:hint="eastAsia"/>
        </w:rPr>
        <w:t>农村地区贫困问题</w:t>
      </w:r>
    </w:p>
    <w:p w:rsidR="000105ED" w:rsidRDefault="000105ED" w:rsidP="000105ED">
      <w:pPr>
        <w:pStyle w:val="SingleTxtGC"/>
      </w:pPr>
      <w:r>
        <w:rPr>
          <w:rFonts w:hint="eastAsia"/>
        </w:rPr>
        <w:t xml:space="preserve">20.  </w:t>
      </w:r>
      <w:r>
        <w:rPr>
          <w:rFonts w:hint="eastAsia"/>
        </w:rPr>
        <w:t>委员会遗憾的是，尽管成立了农村发展问题内阁，并通过了针对农村贫困人口的行动计划，农村地区的贫困程度仍令人担忧。委员会关切的是，分配给社会发展部的预算有限，“</w:t>
      </w:r>
      <w:r>
        <w:rPr>
          <w:rFonts w:hint="eastAsia"/>
        </w:rPr>
        <w:t>Mi bono seguro</w:t>
      </w:r>
      <w:r>
        <w:rPr>
          <w:rFonts w:hint="eastAsia"/>
        </w:rPr>
        <w:t>”方案惠及的家庭数量有限</w:t>
      </w:r>
      <w:r>
        <w:rPr>
          <w:rFonts w:hint="eastAsia"/>
        </w:rPr>
        <w:t>(</w:t>
      </w:r>
      <w:r>
        <w:rPr>
          <w:rFonts w:hint="eastAsia"/>
        </w:rPr>
        <w:t>第十一条</w:t>
      </w:r>
      <w:r>
        <w:rPr>
          <w:rFonts w:hint="eastAsia"/>
        </w:rPr>
        <w:t>)</w:t>
      </w:r>
      <w:r>
        <w:rPr>
          <w:rFonts w:hint="eastAsia"/>
        </w:rPr>
        <w:t>。</w:t>
      </w:r>
    </w:p>
    <w:p w:rsidR="000105ED" w:rsidRPr="00A43DF7" w:rsidRDefault="000105ED" w:rsidP="000105ED">
      <w:pPr>
        <w:pStyle w:val="SingleTxtGC"/>
        <w:rPr>
          <w:rFonts w:ascii="Time New Roman" w:eastAsia="黑体" w:hAnsi="Time New Roman" w:hint="eastAsia"/>
        </w:rPr>
      </w:pPr>
      <w:r w:rsidRPr="00A43DF7">
        <w:rPr>
          <w:rFonts w:ascii="Time New Roman" w:eastAsia="黑体" w:hAnsi="Time New Roman" w:hint="eastAsia"/>
        </w:rPr>
        <w:t>委员会建议，缔约国通过关于农村发展问题的法案，以期有效执行解决农村地区贫困和极度贫困问题的《农村全面发展国家战略》，并建议缔约国加大消除土著人民贫困和极度贫困问题的措施力度，并继续争取履行千年发展目标方面的承诺。委员会还建议，缔约国逐步增加社会发展部的预算，并采用基于人权的方式落实其方案。</w:t>
      </w:r>
    </w:p>
    <w:p w:rsidR="000105ED" w:rsidRDefault="000105ED" w:rsidP="000105ED">
      <w:pPr>
        <w:pStyle w:val="H23GC"/>
      </w:pPr>
      <w:r>
        <w:rPr>
          <w:rFonts w:hint="eastAsia"/>
        </w:rPr>
        <w:tab/>
      </w:r>
      <w:r>
        <w:rPr>
          <w:rFonts w:hint="eastAsia"/>
        </w:rPr>
        <w:tab/>
      </w:r>
      <w:r>
        <w:rPr>
          <w:rFonts w:hint="eastAsia"/>
        </w:rPr>
        <w:t>营养不良和食物权</w:t>
      </w:r>
    </w:p>
    <w:p w:rsidR="000105ED" w:rsidRDefault="000105ED" w:rsidP="000105ED">
      <w:pPr>
        <w:pStyle w:val="SingleTxtGC"/>
      </w:pPr>
      <w:r>
        <w:rPr>
          <w:rFonts w:hint="eastAsia"/>
        </w:rPr>
        <w:t xml:space="preserve">21.  </w:t>
      </w:r>
      <w:r>
        <w:rPr>
          <w:rFonts w:hint="eastAsia"/>
        </w:rPr>
        <w:t>委员会遗憾地注意到，尽管缔约国已采取措施，</w:t>
      </w:r>
      <w:r>
        <w:rPr>
          <w:rFonts w:hint="eastAsia"/>
        </w:rPr>
        <w:t>5</w:t>
      </w:r>
      <w:r w:rsidR="00420187">
        <w:rPr>
          <w:rFonts w:hint="eastAsia"/>
        </w:rPr>
        <w:t>岁以下儿童严重营养不良的人数仍然很高，令人担忧。委员会关切的</w:t>
      </w:r>
      <w:r>
        <w:rPr>
          <w:rFonts w:hint="eastAsia"/>
        </w:rPr>
        <w:t>是，有报告称《零饥饿计划》影响有限，食物援助方案管理中存在政治恩惠现象。委员会还关切地注意到，单一作物种植迅速发展，限制了土著人利用土地种植自己需要的粮食</w:t>
      </w:r>
      <w:r>
        <w:rPr>
          <w:rFonts w:hint="eastAsia"/>
        </w:rPr>
        <w:t>(</w:t>
      </w:r>
      <w:r>
        <w:rPr>
          <w:rFonts w:hint="eastAsia"/>
        </w:rPr>
        <w:t>第十一条</w:t>
      </w:r>
      <w:r>
        <w:rPr>
          <w:rFonts w:hint="eastAsia"/>
        </w:rPr>
        <w:t>)</w:t>
      </w:r>
      <w:r>
        <w:rPr>
          <w:rFonts w:hint="eastAsia"/>
        </w:rPr>
        <w:t>。</w:t>
      </w:r>
    </w:p>
    <w:p w:rsidR="000105ED" w:rsidRPr="00A43DF7" w:rsidRDefault="000105ED" w:rsidP="000105ED">
      <w:pPr>
        <w:pStyle w:val="SingleTxtGC"/>
        <w:rPr>
          <w:rFonts w:ascii="Time New Roman" w:eastAsia="黑体" w:hAnsi="Time New Roman" w:hint="eastAsia"/>
        </w:rPr>
      </w:pPr>
      <w:r w:rsidRPr="00A43DF7">
        <w:rPr>
          <w:rFonts w:ascii="Time New Roman" w:eastAsia="黑体" w:hAnsi="Time New Roman" w:hint="eastAsia"/>
        </w:rPr>
        <w:t>委员会促请缔约国加大力度，解决和预防儿童营养不良问题，特别是在农村和偏远地区。委员会还建议缔约国，确保提供充足的资金和人力资源，并采取必要措施，保证《零饥饿计划》的有效实施及可持续性，同时强化其中解决营养不良的结构根源的内容。委员会特别促请缔约国在《农村全面发展国家政策》框架内制定必要机制，防止单一作物种植的扩大加剧农村社区的粮食不安全。</w:t>
      </w:r>
    </w:p>
    <w:p w:rsidR="000105ED" w:rsidRDefault="000105ED" w:rsidP="000105ED">
      <w:pPr>
        <w:pStyle w:val="H23GC"/>
      </w:pPr>
      <w:r>
        <w:rPr>
          <w:rFonts w:hint="eastAsia"/>
        </w:rPr>
        <w:tab/>
      </w:r>
      <w:r>
        <w:rPr>
          <w:rFonts w:hint="eastAsia"/>
        </w:rPr>
        <w:tab/>
      </w:r>
      <w:r>
        <w:rPr>
          <w:rFonts w:hint="eastAsia"/>
        </w:rPr>
        <w:t>健康权</w:t>
      </w:r>
    </w:p>
    <w:p w:rsidR="000105ED" w:rsidRDefault="000105ED" w:rsidP="000105ED">
      <w:pPr>
        <w:pStyle w:val="SingleTxtGC"/>
      </w:pPr>
      <w:r>
        <w:rPr>
          <w:rFonts w:hint="eastAsia"/>
        </w:rPr>
        <w:t xml:space="preserve">22.  </w:t>
      </w:r>
      <w:r>
        <w:rPr>
          <w:rFonts w:hint="eastAsia"/>
        </w:rPr>
        <w:t>委员会关切地注意到，在获得医疗服务和医疗服务的质量上，缔约国各地区的差异很大，包括医生集中在城镇的现象，这主要影响着贫困和极度贫困的土著人口。委员会感到遗憾的是，卫生预算不足以覆盖全部人口，令私营卫生服务处于优势</w:t>
      </w:r>
      <w:r>
        <w:rPr>
          <w:rFonts w:hint="eastAsia"/>
        </w:rPr>
        <w:t>(</w:t>
      </w:r>
      <w:r>
        <w:rPr>
          <w:rFonts w:hint="eastAsia"/>
        </w:rPr>
        <w:t>第十二条</w:t>
      </w:r>
      <w:r>
        <w:rPr>
          <w:rFonts w:hint="eastAsia"/>
        </w:rPr>
        <w:t>)</w:t>
      </w:r>
      <w:r>
        <w:rPr>
          <w:rFonts w:hint="eastAsia"/>
        </w:rPr>
        <w:t>。</w:t>
      </w:r>
    </w:p>
    <w:p w:rsidR="000105ED" w:rsidRPr="00A43DF7" w:rsidRDefault="000105ED" w:rsidP="000105ED">
      <w:pPr>
        <w:pStyle w:val="SingleTxtGC"/>
        <w:rPr>
          <w:rFonts w:ascii="Time New Roman" w:eastAsia="黑体" w:hAnsi="Time New Roman" w:hint="eastAsia"/>
        </w:rPr>
      </w:pPr>
      <w:r w:rsidRPr="00A43DF7">
        <w:rPr>
          <w:rFonts w:ascii="Time New Roman" w:eastAsia="黑体" w:hAnsi="Time New Roman" w:hint="eastAsia"/>
        </w:rPr>
        <w:t>委员会建议，缔约国按照《公约》第十二条并结合委员会关于享有最佳健康权利的第</w:t>
      </w:r>
      <w:r w:rsidRPr="00A43DF7">
        <w:rPr>
          <w:rFonts w:ascii="Time New Roman" w:eastAsia="黑体" w:hAnsi="Time New Roman" w:hint="eastAsia"/>
        </w:rPr>
        <w:t>14</w:t>
      </w:r>
      <w:r w:rsidRPr="00A43DF7">
        <w:rPr>
          <w:rFonts w:ascii="Time New Roman" w:eastAsia="黑体" w:hAnsi="Time New Roman" w:hint="eastAsia"/>
        </w:rPr>
        <w:t>号一般性意见</w:t>
      </w:r>
      <w:r w:rsidRPr="00A43DF7">
        <w:rPr>
          <w:rFonts w:ascii="Time New Roman" w:eastAsia="黑体" w:hAnsi="Time New Roman" w:hint="eastAsia"/>
        </w:rPr>
        <w:t>(</w:t>
      </w:r>
      <w:r w:rsidRPr="00A43DF7">
        <w:rPr>
          <w:rFonts w:ascii="Time New Roman" w:eastAsia="黑体" w:hAnsi="Time New Roman" w:hint="eastAsia"/>
        </w:rPr>
        <w:t>《公约》第十二条</w:t>
      </w:r>
      <w:r w:rsidRPr="00A43DF7">
        <w:rPr>
          <w:rFonts w:ascii="Time New Roman" w:eastAsia="黑体" w:hAnsi="Time New Roman" w:hint="eastAsia"/>
        </w:rPr>
        <w:t>)(2000</w:t>
      </w:r>
      <w:r w:rsidRPr="00A43DF7">
        <w:rPr>
          <w:rFonts w:ascii="Time New Roman" w:eastAsia="黑体" w:hAnsi="Time New Roman" w:hint="eastAsia"/>
        </w:rPr>
        <w:t>年</w:t>
      </w:r>
      <w:r w:rsidRPr="00A43DF7">
        <w:rPr>
          <w:rFonts w:ascii="Time New Roman" w:eastAsia="黑体" w:hAnsi="Time New Roman" w:hint="eastAsia"/>
        </w:rPr>
        <w:t>)</w:t>
      </w:r>
      <w:r w:rsidRPr="00A43DF7">
        <w:rPr>
          <w:rFonts w:ascii="Time New Roman" w:eastAsia="黑体" w:hAnsi="Time New Roman" w:hint="eastAsia"/>
        </w:rPr>
        <w:t>，增加卫生保健预算，并采取必要措施，加强面向所有人的国家卫生系统，不得有任何歧视。委员会建议缔约</w:t>
      </w:r>
      <w:r w:rsidRPr="00A43DF7">
        <w:rPr>
          <w:rFonts w:ascii="Time New Roman" w:eastAsia="黑体" w:hAnsi="Time New Roman" w:hint="eastAsia"/>
        </w:rPr>
        <w:lastRenderedPageBreak/>
        <w:t>国强化措施，确保在农村地区和土著人居住区能够享有并得到国家提供的卫生保健服务。</w:t>
      </w:r>
    </w:p>
    <w:p w:rsidR="000105ED" w:rsidRDefault="000105ED" w:rsidP="000105ED">
      <w:pPr>
        <w:pStyle w:val="H23GC"/>
      </w:pPr>
      <w:r>
        <w:rPr>
          <w:rFonts w:hint="eastAsia"/>
        </w:rPr>
        <w:tab/>
      </w:r>
      <w:r>
        <w:rPr>
          <w:rFonts w:hint="eastAsia"/>
        </w:rPr>
        <w:tab/>
      </w:r>
      <w:r>
        <w:rPr>
          <w:rFonts w:hint="eastAsia"/>
        </w:rPr>
        <w:t>性健康和生殖健康</w:t>
      </w:r>
    </w:p>
    <w:p w:rsidR="000105ED" w:rsidRDefault="000105ED" w:rsidP="000105ED">
      <w:pPr>
        <w:pStyle w:val="SingleTxtGC"/>
      </w:pPr>
      <w:r>
        <w:rPr>
          <w:rFonts w:hint="eastAsia"/>
        </w:rPr>
        <w:t xml:space="preserve">23.  </w:t>
      </w:r>
      <w:r>
        <w:rPr>
          <w:rFonts w:hint="eastAsia"/>
        </w:rPr>
        <w:t>委员会重申对性健康和生殖健康服务短缺和不足感到关切，特别是面向女童和妇女的服务，导致孕产妇死亡率高和少女年怀孕的问题</w:t>
      </w:r>
      <w:r>
        <w:rPr>
          <w:rFonts w:hint="eastAsia"/>
        </w:rPr>
        <w:t>(E/C.12/1/Add.93</w:t>
      </w:r>
      <w:r w:rsidR="00F22515">
        <w:rPr>
          <w:rFonts w:hint="eastAsia"/>
        </w:rPr>
        <w:t>，</w:t>
      </w:r>
      <w:r>
        <w:rPr>
          <w:rFonts w:hint="eastAsia"/>
        </w:rPr>
        <w:t>第</w:t>
      </w:r>
      <w:r>
        <w:rPr>
          <w:rFonts w:hint="eastAsia"/>
        </w:rPr>
        <w:t>25</w:t>
      </w:r>
      <w:r>
        <w:rPr>
          <w:rFonts w:hint="eastAsia"/>
        </w:rPr>
        <w:t>段</w:t>
      </w:r>
      <w:r>
        <w:rPr>
          <w:rFonts w:hint="eastAsia"/>
        </w:rPr>
        <w:t>)</w:t>
      </w:r>
      <w:r>
        <w:rPr>
          <w:rFonts w:hint="eastAsia"/>
        </w:rPr>
        <w:t>。委员会关切地注意到，缔约国只排除为保护孕妇生命或健康而进行的流产的责任，不安全或非法流产仍是孕产妇死亡率的主因之一</w:t>
      </w:r>
      <w:r>
        <w:rPr>
          <w:rFonts w:hint="eastAsia"/>
        </w:rPr>
        <w:t>(</w:t>
      </w:r>
      <w:r>
        <w:rPr>
          <w:rFonts w:hint="eastAsia"/>
        </w:rPr>
        <w:t>第十和第十二条</w:t>
      </w:r>
      <w:r>
        <w:rPr>
          <w:rFonts w:hint="eastAsia"/>
        </w:rPr>
        <w:t>)</w:t>
      </w:r>
      <w:r>
        <w:rPr>
          <w:rFonts w:hint="eastAsia"/>
        </w:rPr>
        <w:t>。</w:t>
      </w:r>
    </w:p>
    <w:p w:rsidR="000105ED" w:rsidRPr="00A43DF7" w:rsidRDefault="000105ED" w:rsidP="000105ED">
      <w:pPr>
        <w:pStyle w:val="SingleTxtGC"/>
        <w:rPr>
          <w:rFonts w:ascii="Time New Roman" w:eastAsia="黑体" w:hAnsi="Time New Roman" w:hint="eastAsia"/>
        </w:rPr>
      </w:pPr>
      <w:r w:rsidRPr="00A43DF7">
        <w:rPr>
          <w:rFonts w:ascii="Time New Roman" w:eastAsia="黑体" w:hAnsi="Time New Roman" w:hint="eastAsia"/>
        </w:rPr>
        <w:t>委员会建议，缔约国加大力度解决大量少女年怀孕的问题，确保性健康和生殖健康服务的提供与获得，特别是在农村地区。委员会还建议，缔约国在小学和中学课程中纳入全面的、与年龄相适当的性健康和生殖健康教育，并出台这方面的公共教育和宣传计划。委员会促请缔约国审议本国关于人工流产的法律，研究对禁止流产是否可能作出例外规定，例如强奸或乱伦所致怀孕。委员会还建议缔约国保障卫生设施、用品和服务的获取，以减少流产前后的风险。</w:t>
      </w:r>
    </w:p>
    <w:p w:rsidR="000105ED" w:rsidRDefault="000105ED" w:rsidP="000105ED">
      <w:pPr>
        <w:pStyle w:val="H23GC"/>
      </w:pPr>
      <w:r>
        <w:rPr>
          <w:rFonts w:hint="eastAsia"/>
        </w:rPr>
        <w:tab/>
      </w:r>
      <w:r>
        <w:rPr>
          <w:rFonts w:hint="eastAsia"/>
        </w:rPr>
        <w:tab/>
      </w:r>
      <w:r>
        <w:rPr>
          <w:rFonts w:hint="eastAsia"/>
        </w:rPr>
        <w:t>受教育和预算拨款</w:t>
      </w:r>
    </w:p>
    <w:p w:rsidR="000105ED" w:rsidRDefault="000105ED" w:rsidP="000105ED">
      <w:pPr>
        <w:pStyle w:val="SingleTxtGC"/>
      </w:pPr>
      <w:r>
        <w:rPr>
          <w:rFonts w:hint="eastAsia"/>
        </w:rPr>
        <w:t xml:space="preserve">24.  </w:t>
      </w:r>
      <w:r>
        <w:rPr>
          <w:rFonts w:hint="eastAsia"/>
        </w:rPr>
        <w:t>委员会关切地注意到，教育预算数额有限，缔约国是拉丁美洲教育开支最低的国家之一。委员会感到遗憾的是，初等教育的预算拨款不足以满足教育开支，导致一些公立学校以“捐助”或“自愿赞助”等非正规形式收费，这种做法尤其影响了土著女童。委员会对城乡教育质量和基础设施存在差异、教师工资低且缺乏培训感到关切</w:t>
      </w:r>
      <w:r>
        <w:rPr>
          <w:rFonts w:hint="eastAsia"/>
        </w:rPr>
        <w:t>(</w:t>
      </w:r>
      <w:r>
        <w:rPr>
          <w:rFonts w:hint="eastAsia"/>
        </w:rPr>
        <w:t>第十三条</w:t>
      </w:r>
      <w:r>
        <w:rPr>
          <w:rFonts w:hint="eastAsia"/>
        </w:rPr>
        <w:t>)</w:t>
      </w:r>
      <w:r>
        <w:rPr>
          <w:rFonts w:hint="eastAsia"/>
        </w:rPr>
        <w:t>。</w:t>
      </w:r>
    </w:p>
    <w:p w:rsidR="000105ED" w:rsidRPr="00A43DF7" w:rsidRDefault="000105ED" w:rsidP="000105ED">
      <w:pPr>
        <w:pStyle w:val="SingleTxtGC"/>
        <w:rPr>
          <w:rFonts w:ascii="Time New Roman" w:eastAsia="黑体" w:hAnsi="Time New Roman" w:hint="eastAsia"/>
        </w:rPr>
      </w:pPr>
      <w:r w:rsidRPr="00A43DF7">
        <w:rPr>
          <w:rFonts w:ascii="Time New Roman" w:eastAsia="黑体" w:hAnsi="Time New Roman" w:hint="eastAsia"/>
        </w:rPr>
        <w:t>委员会建议，缔约国取消小学教育的所有直接或间接收费，根据《公约》第十三条的规定，小学教育应当是免费的义务教育，面向所有人。委员会建议缔约国提供所需资源，确保城乡教育体系的质量和基础设施都达到可接受的水平。委员会鼓励缔约国改善教职员工的工资、物质待遇和培训。</w:t>
      </w:r>
    </w:p>
    <w:p w:rsidR="000105ED" w:rsidRDefault="000105ED" w:rsidP="000105ED">
      <w:pPr>
        <w:pStyle w:val="H23GC"/>
      </w:pPr>
      <w:r>
        <w:rPr>
          <w:rFonts w:hint="eastAsia"/>
        </w:rPr>
        <w:tab/>
      </w:r>
      <w:r>
        <w:rPr>
          <w:rFonts w:hint="eastAsia"/>
        </w:rPr>
        <w:tab/>
      </w:r>
      <w:r>
        <w:rPr>
          <w:rFonts w:hint="eastAsia"/>
        </w:rPr>
        <w:t>辍学</w:t>
      </w:r>
    </w:p>
    <w:p w:rsidR="000105ED" w:rsidRDefault="000105ED" w:rsidP="000105ED">
      <w:pPr>
        <w:pStyle w:val="SingleTxtGC"/>
      </w:pPr>
      <w:r>
        <w:rPr>
          <w:rFonts w:hint="eastAsia"/>
        </w:rPr>
        <w:t xml:space="preserve">25.  </w:t>
      </w:r>
      <w:r>
        <w:rPr>
          <w:rFonts w:hint="eastAsia"/>
        </w:rPr>
        <w:t>尽管缔约国已在这方面做出努力，但委员会仍对小学教育的辍学率高感到关切，特别是农村地区女童。委员会还关切地注意到，尽管有所进展，文盲率仍然较高，农村地区和土著人的情况尤甚，特别是女童</w:t>
      </w:r>
      <w:r>
        <w:rPr>
          <w:rFonts w:hint="eastAsia"/>
        </w:rPr>
        <w:t>(</w:t>
      </w:r>
      <w:r>
        <w:rPr>
          <w:rFonts w:hint="eastAsia"/>
        </w:rPr>
        <w:t>第十三和第十四条</w:t>
      </w:r>
      <w:r>
        <w:rPr>
          <w:rFonts w:hint="eastAsia"/>
        </w:rPr>
        <w:t>)</w:t>
      </w:r>
      <w:r>
        <w:rPr>
          <w:rFonts w:hint="eastAsia"/>
        </w:rPr>
        <w:t>。</w:t>
      </w:r>
    </w:p>
    <w:p w:rsidR="000105ED" w:rsidRPr="00A43DF7" w:rsidRDefault="000105ED" w:rsidP="000105ED">
      <w:pPr>
        <w:pStyle w:val="SingleTxtGC"/>
        <w:rPr>
          <w:rFonts w:ascii="Time New Roman" w:eastAsia="黑体" w:hAnsi="Time New Roman" w:hint="eastAsia"/>
        </w:rPr>
      </w:pPr>
      <w:r w:rsidRPr="00A43DF7">
        <w:rPr>
          <w:rFonts w:ascii="Time New Roman" w:eastAsia="黑体" w:hAnsi="Time New Roman" w:hint="eastAsia"/>
        </w:rPr>
        <w:t>委员会建议，缔约国继续努力执行识字计划，并在农村地区和土著人群中加大工作力度。委员会鼓励缔约国制定有针对性的方案，帮助确保学生不辍学，并解决学生辍学的根本原因。</w:t>
      </w:r>
    </w:p>
    <w:p w:rsidR="00977AAB" w:rsidRDefault="00977AAB">
      <w:pPr>
        <w:tabs>
          <w:tab w:val="clear" w:pos="431"/>
        </w:tabs>
        <w:overflowPunct/>
        <w:adjustRightInd/>
        <w:snapToGrid/>
        <w:spacing w:line="240" w:lineRule="auto"/>
        <w:jc w:val="left"/>
        <w:rPr>
          <w:rFonts w:eastAsia="黑体"/>
          <w:snapToGrid/>
          <w:sz w:val="22"/>
          <w:szCs w:val="22"/>
        </w:rPr>
      </w:pPr>
      <w:r>
        <w:br w:type="page"/>
      </w:r>
    </w:p>
    <w:p w:rsidR="000105ED" w:rsidRDefault="000105ED" w:rsidP="000105ED">
      <w:pPr>
        <w:pStyle w:val="H23GC"/>
      </w:pPr>
      <w:r>
        <w:rPr>
          <w:rFonts w:hint="eastAsia"/>
        </w:rPr>
        <w:lastRenderedPageBreak/>
        <w:tab/>
      </w:r>
      <w:r>
        <w:rPr>
          <w:rFonts w:hint="eastAsia"/>
        </w:rPr>
        <w:tab/>
      </w:r>
      <w:r>
        <w:rPr>
          <w:rFonts w:hint="eastAsia"/>
        </w:rPr>
        <w:t>双语跨文化教育</w:t>
      </w:r>
    </w:p>
    <w:p w:rsidR="000105ED" w:rsidRDefault="000105ED" w:rsidP="000105ED">
      <w:pPr>
        <w:pStyle w:val="SingleTxtGC"/>
      </w:pPr>
      <w:r>
        <w:rPr>
          <w:rFonts w:hint="eastAsia"/>
        </w:rPr>
        <w:t xml:space="preserve">26.  </w:t>
      </w:r>
      <w:r>
        <w:rPr>
          <w:rFonts w:hint="eastAsia"/>
        </w:rPr>
        <w:t>尽管缔约国在这方面已作出努力，委员会仍重申其关切，土著人常常不能享有以土著语言接受教育的权利。委员会还关切的是，存在限制学生获得中等或高等教育的因素，在校学生继续求学更是困难重重，特别是土著青少年和青年</w:t>
      </w:r>
      <w:r>
        <w:rPr>
          <w:rFonts w:hint="eastAsia"/>
        </w:rPr>
        <w:t>(</w:t>
      </w:r>
      <w:r>
        <w:rPr>
          <w:rFonts w:hint="eastAsia"/>
        </w:rPr>
        <w:t>第十三和第十四条</w:t>
      </w:r>
      <w:r>
        <w:rPr>
          <w:rFonts w:hint="eastAsia"/>
        </w:rPr>
        <w:t>)</w:t>
      </w:r>
      <w:r>
        <w:rPr>
          <w:rFonts w:hint="eastAsia"/>
        </w:rPr>
        <w:t>。</w:t>
      </w:r>
    </w:p>
    <w:p w:rsidR="000105ED" w:rsidRPr="00A43DF7" w:rsidRDefault="000105ED" w:rsidP="000105ED">
      <w:pPr>
        <w:pStyle w:val="SingleTxtGC"/>
        <w:rPr>
          <w:rFonts w:ascii="Time New Roman" w:eastAsia="黑体" w:hAnsi="Time New Roman" w:hint="eastAsia"/>
        </w:rPr>
      </w:pPr>
      <w:r w:rsidRPr="00A43DF7">
        <w:rPr>
          <w:rFonts w:ascii="Time New Roman" w:eastAsia="黑体" w:hAnsi="Time New Roman" w:hint="eastAsia"/>
        </w:rPr>
        <w:t>委员会建议缔约国加大力度，保障土著人民以自己的语言接受跨文化教育，并确保这种教育适合他们的具体需要。委员会促请缔约国立即采取措施，保护并促进土著语言的使用。</w:t>
      </w:r>
    </w:p>
    <w:p w:rsidR="000105ED" w:rsidRDefault="000105ED" w:rsidP="000105ED">
      <w:pPr>
        <w:pStyle w:val="H23GC"/>
      </w:pPr>
      <w:r>
        <w:rPr>
          <w:rFonts w:hint="eastAsia"/>
        </w:rPr>
        <w:tab/>
      </w:r>
      <w:r>
        <w:rPr>
          <w:rFonts w:hint="eastAsia"/>
        </w:rPr>
        <w:tab/>
      </w:r>
      <w:r>
        <w:rPr>
          <w:rFonts w:hint="eastAsia"/>
        </w:rPr>
        <w:t>利用互联网</w:t>
      </w:r>
    </w:p>
    <w:p w:rsidR="000105ED" w:rsidRDefault="000105ED" w:rsidP="000105ED">
      <w:pPr>
        <w:pStyle w:val="SingleTxtGC"/>
      </w:pPr>
      <w:r>
        <w:rPr>
          <w:rFonts w:hint="eastAsia"/>
        </w:rPr>
        <w:t xml:space="preserve">27.  </w:t>
      </w:r>
      <w:r>
        <w:rPr>
          <w:rFonts w:hint="eastAsia"/>
        </w:rPr>
        <w:t>委员会关切的是，尽管缔约国为此作出了努力，土著人民接触和使用互联网的机会仍然有限。</w:t>
      </w:r>
    </w:p>
    <w:p w:rsidR="000105ED" w:rsidRPr="00A43DF7" w:rsidRDefault="000105ED" w:rsidP="000105ED">
      <w:pPr>
        <w:pStyle w:val="SingleTxtGC"/>
        <w:rPr>
          <w:rFonts w:ascii="Time New Roman" w:eastAsia="黑体" w:hAnsi="Time New Roman" w:hint="eastAsia"/>
        </w:rPr>
      </w:pPr>
      <w:r w:rsidRPr="00A43DF7">
        <w:rPr>
          <w:rFonts w:ascii="Time New Roman" w:eastAsia="黑体" w:hAnsi="Time New Roman" w:hint="eastAsia"/>
        </w:rPr>
        <w:t>委员会建议缔约国继续努力扩大互联网的利用，并加倍努力开设教育和信息中心，重点是新技术和互联网的使用，应特别面向土著人民。</w:t>
      </w:r>
    </w:p>
    <w:p w:rsidR="000105ED" w:rsidRDefault="000105ED" w:rsidP="000105ED">
      <w:pPr>
        <w:pStyle w:val="H1GC"/>
      </w:pPr>
      <w:r>
        <w:rPr>
          <w:rFonts w:hint="eastAsia"/>
        </w:rPr>
        <w:tab/>
        <w:t>D.</w:t>
      </w:r>
      <w:r>
        <w:rPr>
          <w:rFonts w:hint="eastAsia"/>
        </w:rPr>
        <w:tab/>
      </w:r>
      <w:r>
        <w:rPr>
          <w:rFonts w:hint="eastAsia"/>
        </w:rPr>
        <w:t>其他建议</w:t>
      </w:r>
    </w:p>
    <w:p w:rsidR="000105ED" w:rsidRPr="00A43DF7" w:rsidRDefault="000105ED" w:rsidP="000105ED">
      <w:pPr>
        <w:pStyle w:val="SingleTxtGC"/>
        <w:rPr>
          <w:rFonts w:ascii="Time New Roman" w:eastAsia="黑体" w:hAnsi="Time New Roman" w:hint="eastAsia"/>
        </w:rPr>
      </w:pPr>
      <w:r w:rsidRPr="00A43DF7">
        <w:rPr>
          <w:rFonts w:ascii="Time New Roman" w:eastAsia="黑体" w:hAnsi="Time New Roman" w:hint="eastAsia"/>
        </w:rPr>
        <w:t xml:space="preserve">28.  </w:t>
      </w:r>
      <w:r w:rsidRPr="00A43DF7">
        <w:rPr>
          <w:rFonts w:ascii="Time New Roman" w:eastAsia="黑体" w:hAnsi="Time New Roman" w:hint="eastAsia"/>
        </w:rPr>
        <w:t>委员会请缔约国向社会各阶层广泛散发本结论性意见，特别是向土著人</w:t>
      </w:r>
      <w:r w:rsidRPr="00A43DF7">
        <w:rPr>
          <w:rFonts w:ascii="Time New Roman" w:eastAsia="黑体" w:hAnsi="Time New Roman" w:hint="eastAsia"/>
        </w:rPr>
        <w:t>(</w:t>
      </w:r>
      <w:r w:rsidRPr="00A43DF7">
        <w:rPr>
          <w:rFonts w:ascii="Time New Roman" w:eastAsia="黑体" w:hAnsi="Time New Roman" w:hint="eastAsia"/>
        </w:rPr>
        <w:t>将其译为国内使用的主要土著语言</w:t>
      </w:r>
      <w:r w:rsidRPr="00A43DF7">
        <w:rPr>
          <w:rFonts w:ascii="Time New Roman" w:eastAsia="黑体" w:hAnsi="Time New Roman" w:hint="eastAsia"/>
        </w:rPr>
        <w:t>)</w:t>
      </w:r>
      <w:r w:rsidRPr="00A43DF7">
        <w:rPr>
          <w:rFonts w:ascii="Time New Roman" w:eastAsia="黑体" w:hAnsi="Time New Roman" w:hint="eastAsia"/>
        </w:rPr>
        <w:t>、司法机构、立法机构、律师、企业家和民间社会组织，并在下一次定期报告中向委员会报告为落实这些意见所采取的各项措施。委员会还鼓励缔约国在提交下一次定期报告之前，在国家层面开展的讨论中邀请民间社会组织参与。</w:t>
      </w:r>
    </w:p>
    <w:p w:rsidR="000105ED" w:rsidRPr="00A43DF7" w:rsidRDefault="000105ED" w:rsidP="000105ED">
      <w:pPr>
        <w:pStyle w:val="SingleTxtGC"/>
        <w:rPr>
          <w:rFonts w:ascii="Time New Roman" w:eastAsia="黑体" w:hAnsi="Time New Roman" w:hint="eastAsia"/>
        </w:rPr>
      </w:pPr>
      <w:r w:rsidRPr="00A43DF7">
        <w:rPr>
          <w:rFonts w:ascii="Time New Roman" w:eastAsia="黑体" w:hAnsi="Time New Roman" w:hint="eastAsia"/>
        </w:rPr>
        <w:t xml:space="preserve">29.  </w:t>
      </w:r>
      <w:r w:rsidRPr="00A43DF7">
        <w:rPr>
          <w:rFonts w:ascii="Time New Roman" w:eastAsia="黑体" w:hAnsi="Time New Roman" w:hint="eastAsia"/>
        </w:rPr>
        <w:t>委员会注意到缔约国已经签署《经济、社会、文化权利国际公约任择议定书》，鼓励缔约国批准该文书。</w:t>
      </w:r>
    </w:p>
    <w:p w:rsidR="000105ED" w:rsidRPr="00A43DF7" w:rsidRDefault="000105ED" w:rsidP="000105ED">
      <w:pPr>
        <w:pStyle w:val="SingleTxtGC"/>
        <w:rPr>
          <w:rFonts w:ascii="Time New Roman" w:eastAsia="黑体" w:hAnsi="Time New Roman" w:hint="eastAsia"/>
        </w:rPr>
      </w:pPr>
      <w:r w:rsidRPr="00A43DF7">
        <w:rPr>
          <w:rFonts w:ascii="Time New Roman" w:eastAsia="黑体" w:hAnsi="Time New Roman" w:hint="eastAsia"/>
        </w:rPr>
        <w:t xml:space="preserve">30.  </w:t>
      </w:r>
      <w:r w:rsidRPr="00A43DF7">
        <w:rPr>
          <w:rFonts w:ascii="Time New Roman" w:eastAsia="黑体" w:hAnsi="Time New Roman" w:hint="eastAsia"/>
        </w:rPr>
        <w:t>委员会请缔约国最迟于</w:t>
      </w:r>
      <w:r w:rsidRPr="00A43DF7">
        <w:rPr>
          <w:rFonts w:ascii="Time New Roman" w:eastAsia="黑体" w:hAnsi="Time New Roman" w:hint="eastAsia"/>
        </w:rPr>
        <w:t>2019</w:t>
      </w:r>
      <w:r w:rsidRPr="00A43DF7">
        <w:rPr>
          <w:rFonts w:ascii="Time New Roman" w:eastAsia="黑体" w:hAnsi="Time New Roman" w:hint="eastAsia"/>
        </w:rPr>
        <w:t>年</w:t>
      </w:r>
      <w:r w:rsidRPr="00A43DF7">
        <w:rPr>
          <w:rFonts w:ascii="Time New Roman" w:eastAsia="黑体" w:hAnsi="Time New Roman" w:hint="eastAsia"/>
        </w:rPr>
        <w:t>11</w:t>
      </w:r>
      <w:r w:rsidRPr="00A43DF7">
        <w:rPr>
          <w:rFonts w:ascii="Time New Roman" w:eastAsia="黑体" w:hAnsi="Time New Roman" w:hint="eastAsia"/>
        </w:rPr>
        <w:t>月</w:t>
      </w:r>
      <w:r w:rsidRPr="00A43DF7">
        <w:rPr>
          <w:rFonts w:ascii="Time New Roman" w:eastAsia="黑体" w:hAnsi="Time New Roman" w:hint="eastAsia"/>
        </w:rPr>
        <w:t>30</w:t>
      </w:r>
      <w:r w:rsidRPr="00A43DF7">
        <w:rPr>
          <w:rFonts w:ascii="Time New Roman" w:eastAsia="黑体" w:hAnsi="Time New Roman" w:hint="eastAsia"/>
        </w:rPr>
        <w:t>日前按照委员会</w:t>
      </w:r>
      <w:r w:rsidRPr="00A43DF7">
        <w:rPr>
          <w:rFonts w:ascii="Time New Roman" w:eastAsia="黑体" w:hAnsi="Time New Roman" w:hint="eastAsia"/>
        </w:rPr>
        <w:t>2008</w:t>
      </w:r>
      <w:r w:rsidRPr="00A43DF7">
        <w:rPr>
          <w:rFonts w:ascii="Time New Roman" w:eastAsia="黑体" w:hAnsi="Time New Roman" w:hint="eastAsia"/>
        </w:rPr>
        <w:t>年通过的准则</w:t>
      </w:r>
      <w:r w:rsidRPr="00A43DF7">
        <w:rPr>
          <w:rFonts w:ascii="Time New Roman" w:eastAsia="黑体" w:hAnsi="Time New Roman" w:hint="eastAsia"/>
        </w:rPr>
        <w:t>(E/C.12/2008/2)</w:t>
      </w:r>
      <w:r w:rsidRPr="00A43DF7">
        <w:rPr>
          <w:rFonts w:ascii="Time New Roman" w:eastAsia="黑体" w:hAnsi="Time New Roman" w:hint="eastAsia"/>
        </w:rPr>
        <w:t>，提交第四次定期报告。</w:t>
      </w:r>
    </w:p>
    <w:p w:rsidR="000105ED" w:rsidRDefault="000105ED" w:rsidP="000105ED">
      <w:pPr>
        <w:pStyle w:val="SingleTxtGC"/>
      </w:pPr>
    </w:p>
    <w:p w:rsidR="000105ED" w:rsidRPr="002D6A9C" w:rsidRDefault="000105E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105ED" w:rsidRPr="000105ED" w:rsidRDefault="000105ED" w:rsidP="000105ED">
      <w:pPr>
        <w:pStyle w:val="SingleTxtGC"/>
      </w:pPr>
    </w:p>
    <w:sectPr w:rsidR="000105ED" w:rsidRPr="000105ED"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4E4" w:rsidRPr="000D319F" w:rsidRDefault="002D44E4" w:rsidP="000D319F">
      <w:pPr>
        <w:pStyle w:val="ae"/>
        <w:spacing w:after="240"/>
        <w:ind w:left="907"/>
        <w:rPr>
          <w:rFonts w:asciiTheme="majorBidi" w:eastAsia="宋体" w:hAnsiTheme="majorBidi" w:cstheme="majorBidi"/>
          <w:sz w:val="21"/>
          <w:szCs w:val="21"/>
          <w:lang w:val="en-US"/>
        </w:rPr>
      </w:pPr>
    </w:p>
    <w:p w:rsidR="002D44E4" w:rsidRPr="000D319F" w:rsidRDefault="002D44E4"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D44E4" w:rsidRPr="000D319F" w:rsidRDefault="002D44E4" w:rsidP="000D319F">
      <w:pPr>
        <w:pStyle w:val="ae"/>
      </w:pPr>
    </w:p>
  </w:endnote>
  <w:endnote w:type="continuationNotice" w:id="1">
    <w:p w:rsidR="002D44E4" w:rsidRDefault="002D44E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0105ED" w:rsidRDefault="000105ED" w:rsidP="000105ED">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F25862">
      <w:rPr>
        <w:rStyle w:val="af"/>
        <w:noProof/>
      </w:rPr>
      <w:t>8</w:t>
    </w:r>
    <w:r>
      <w:rPr>
        <w:rStyle w:val="af"/>
      </w:rPr>
      <w:fldChar w:fldCharType="end"/>
    </w:r>
    <w:r>
      <w:rPr>
        <w:rStyle w:val="af"/>
      </w:rPr>
      <w:tab/>
    </w:r>
    <w:r w:rsidRPr="000105ED">
      <w:rPr>
        <w:rStyle w:val="af"/>
        <w:b w:val="0"/>
        <w:snapToGrid w:val="0"/>
        <w:sz w:val="16"/>
      </w:rPr>
      <w:t>GE.14-23899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0105ED" w:rsidRDefault="000105ED" w:rsidP="000105ED">
    <w:pPr>
      <w:pStyle w:val="ae"/>
      <w:tabs>
        <w:tab w:val="clear" w:pos="431"/>
        <w:tab w:val="right" w:pos="9638"/>
      </w:tabs>
      <w:rPr>
        <w:rStyle w:val="af"/>
      </w:rPr>
    </w:pPr>
    <w:r>
      <w:t>GE.14-23899</w:t>
    </w:r>
    <w:r>
      <w:tab/>
    </w:r>
    <w:r>
      <w:rPr>
        <w:rStyle w:val="af"/>
      </w:rPr>
      <w:fldChar w:fldCharType="begin"/>
    </w:r>
    <w:r>
      <w:rPr>
        <w:rStyle w:val="af"/>
      </w:rPr>
      <w:instrText xml:space="preserve"> PAGE  \* MERGEFORMAT </w:instrText>
    </w:r>
    <w:r>
      <w:rPr>
        <w:rStyle w:val="af"/>
      </w:rPr>
      <w:fldChar w:fldCharType="separate"/>
    </w:r>
    <w:r w:rsidR="00F25862">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5B2F" w:rsidRDefault="000105ED" w:rsidP="003D4FAD">
    <w:pPr>
      <w:pStyle w:val="ae"/>
      <w:tabs>
        <w:tab w:val="left" w:pos="1701"/>
        <w:tab w:val="left" w:pos="2552"/>
        <w:tab w:val="left" w:pos="8448"/>
      </w:tabs>
      <w:spacing w:before="360"/>
      <w:rPr>
        <w:rFonts w:eastAsiaTheme="minorEastAsia"/>
        <w:b/>
        <w:sz w:val="21"/>
        <w:lang w:eastAsia="zh-CN"/>
      </w:rPr>
    </w:pPr>
    <w:r>
      <w:rPr>
        <w:sz w:val="20"/>
        <w:lang w:eastAsia="zh-CN"/>
      </w:rPr>
      <w:t>GE.14-23899</w:t>
    </w:r>
    <w:r w:rsidR="00731A42" w:rsidRPr="00EE277A">
      <w:rPr>
        <w:sz w:val="20"/>
        <w:lang w:eastAsia="zh-CN"/>
      </w:rPr>
      <w:t xml:space="preserve"> (C)</w:t>
    </w:r>
    <w:r w:rsidR="00B45B2F">
      <w:rPr>
        <w:sz w:val="20"/>
        <w:lang w:eastAsia="zh-CN"/>
      </w:rPr>
      <w:tab/>
    </w:r>
    <w:r>
      <w:rPr>
        <w:rFonts w:eastAsiaTheme="minorEastAsia" w:hint="eastAsia"/>
        <w:sz w:val="20"/>
        <w:lang w:eastAsia="zh-CN"/>
      </w:rPr>
      <w:t>1602</w:t>
    </w:r>
    <w:r w:rsidR="00B45B2F">
      <w:rPr>
        <w:sz w:val="20"/>
        <w:lang w:eastAsia="zh-CN"/>
      </w:rPr>
      <w:t>1</w:t>
    </w:r>
    <w:r w:rsidR="00B45B2F">
      <w:rPr>
        <w:rFonts w:eastAsiaTheme="minorEastAsia" w:hint="eastAsia"/>
        <w:sz w:val="20"/>
        <w:lang w:eastAsia="zh-CN"/>
      </w:rPr>
      <w:t>5</w:t>
    </w:r>
    <w:r w:rsidR="00731A42">
      <w:rPr>
        <w:sz w:val="20"/>
        <w:lang w:eastAsia="zh-CN"/>
      </w:rPr>
      <w:tab/>
    </w:r>
    <w:r>
      <w:rPr>
        <w:rFonts w:eastAsiaTheme="minorEastAsia" w:hint="eastAsia"/>
        <w:sz w:val="20"/>
        <w:lang w:eastAsia="zh-CN"/>
      </w:rPr>
      <w:t>1</w:t>
    </w:r>
    <w:r w:rsidR="003D4FAD">
      <w:rPr>
        <w:rFonts w:eastAsiaTheme="minorEastAsia"/>
        <w:sz w:val="20"/>
        <w:lang w:eastAsia="zh-CN"/>
      </w:rPr>
      <w:t>8</w:t>
    </w:r>
    <w:r>
      <w:rPr>
        <w:rFonts w:eastAsiaTheme="minorEastAsia" w:hint="eastAsia"/>
        <w:sz w:val="20"/>
        <w:lang w:eastAsia="zh-CN"/>
      </w:rPr>
      <w:t>02</w:t>
    </w:r>
    <w:r w:rsidR="00731A42">
      <w:rPr>
        <w:sz w:val="20"/>
        <w:lang w:eastAsia="zh-CN"/>
      </w:rPr>
      <w:t>1</w:t>
    </w:r>
    <w:r w:rsidR="00B45B2F">
      <w:rPr>
        <w:rFonts w:eastAsiaTheme="minorEastAsia" w:hint="eastAsia"/>
        <w:sz w:val="20"/>
        <w:lang w:eastAsia="zh-CN"/>
      </w:rPr>
      <w:t>5</w:t>
    </w:r>
  </w:p>
  <w:p w:rsidR="00056632" w:rsidRPr="00487939" w:rsidRDefault="000105ED"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7807D5B1" wp14:editId="5F9DE8ED">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E/C.12/GTM/CO/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GTM/CO/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47FDAF3A" wp14:editId="6A3829D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4E4" w:rsidRPr="000157B1" w:rsidRDefault="002D44E4"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D44E4" w:rsidRPr="000157B1" w:rsidRDefault="002D44E4"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D44E4" w:rsidRDefault="002D44E4"/>
  </w:footnote>
  <w:footnote w:id="2">
    <w:p w:rsidR="000105ED" w:rsidRPr="000105ED" w:rsidRDefault="000105ED" w:rsidP="000105ED">
      <w:pPr>
        <w:pStyle w:val="a6"/>
        <w:tabs>
          <w:tab w:val="clear" w:pos="431"/>
          <w:tab w:val="clear" w:pos="1021"/>
          <w:tab w:val="right" w:pos="1020"/>
        </w:tabs>
      </w:pPr>
      <w:r w:rsidRPr="000105ED">
        <w:rPr>
          <w:rStyle w:val="a7"/>
          <w:rFonts w:eastAsia="宋体"/>
          <w:vertAlign w:val="baseline"/>
        </w:rPr>
        <w:tab/>
        <w:t>*</w:t>
      </w:r>
      <w:r w:rsidRPr="000105ED">
        <w:tab/>
      </w:r>
      <w:r w:rsidRPr="000105ED">
        <w:rPr>
          <w:rFonts w:hint="eastAsia"/>
        </w:rPr>
        <w:t>委员会第五十三届会议通过</w:t>
      </w:r>
      <w:r>
        <w:rPr>
          <w:rFonts w:hint="eastAsia"/>
        </w:rPr>
        <w:t>(</w:t>
      </w:r>
      <w:r w:rsidRPr="000105ED">
        <w:rPr>
          <w:rFonts w:hint="eastAsia"/>
        </w:rPr>
        <w:t>2014</w:t>
      </w:r>
      <w:r w:rsidRPr="000105ED">
        <w:rPr>
          <w:rFonts w:hint="eastAsia"/>
        </w:rPr>
        <w:t>年</w:t>
      </w:r>
      <w:r w:rsidRPr="000105ED">
        <w:rPr>
          <w:rFonts w:hint="eastAsia"/>
        </w:rPr>
        <w:t>11</w:t>
      </w:r>
      <w:r w:rsidRPr="000105ED">
        <w:rPr>
          <w:rFonts w:hint="eastAsia"/>
        </w:rPr>
        <w:t>月</w:t>
      </w:r>
      <w:r w:rsidRPr="000105ED">
        <w:rPr>
          <w:rFonts w:hint="eastAsia"/>
        </w:rPr>
        <w:t>10</w:t>
      </w:r>
      <w:r>
        <w:rPr>
          <w:rFonts w:hint="eastAsia"/>
        </w:rPr>
        <w:t>-</w:t>
      </w:r>
      <w:r w:rsidRPr="000105ED">
        <w:rPr>
          <w:rFonts w:hint="eastAsia"/>
        </w:rPr>
        <w:t>28</w:t>
      </w:r>
      <w:r w:rsidRPr="000105ED">
        <w:rPr>
          <w:rFonts w:hint="eastAsia"/>
        </w:rPr>
        <w:t>日</w:t>
      </w:r>
      <w:r>
        <w:rPr>
          <w:rFonts w:hint="eastAsia"/>
        </w:rPr>
        <w:t>)</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0105ED" w:rsidP="000105ED">
    <w:pPr>
      <w:pStyle w:val="af0"/>
    </w:pPr>
    <w:r>
      <w:t>E/C.12/GTM/CO/3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0105ED" w:rsidP="000105ED">
    <w:pPr>
      <w:pStyle w:val="af0"/>
      <w:jc w:val="right"/>
    </w:pPr>
    <w:r>
      <w:t>E/C.12/GTM/CO/3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4942849"/>
    <w:multiLevelType w:val="hybridMultilevel"/>
    <w:tmpl w:val="7884F2BC"/>
    <w:lvl w:ilvl="0" w:tplc="27B238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E6E1AF8"/>
    <w:multiLevelType w:val="hybridMultilevel"/>
    <w:tmpl w:val="30A0C700"/>
    <w:lvl w:ilvl="0" w:tplc="246C92B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5">
    <w:nsid w:val="38D17A8A"/>
    <w:multiLevelType w:val="hybridMultilevel"/>
    <w:tmpl w:val="CF94D870"/>
    <w:lvl w:ilvl="0" w:tplc="1046C89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6">
    <w:nsid w:val="399C627F"/>
    <w:multiLevelType w:val="hybridMultilevel"/>
    <w:tmpl w:val="6F80E9EC"/>
    <w:lvl w:ilvl="0" w:tplc="9EF823E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7">
    <w:nsid w:val="5E6B7CA0"/>
    <w:multiLevelType w:val="hybridMultilevel"/>
    <w:tmpl w:val="926823F6"/>
    <w:lvl w:ilvl="0" w:tplc="D80AA8B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64CA7102"/>
    <w:multiLevelType w:val="hybridMultilevel"/>
    <w:tmpl w:val="75B4F96C"/>
    <w:lvl w:ilvl="0" w:tplc="AF56E9E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9"/>
  </w:num>
  <w:num w:numId="3">
    <w:abstractNumId w:val="3"/>
  </w:num>
  <w:num w:numId="4">
    <w:abstractNumId w:val="0"/>
  </w:num>
  <w:num w:numId="5">
    <w:abstractNumId w:val="2"/>
  </w:num>
  <w:num w:numId="6">
    <w:abstractNumId w:val="4"/>
  </w:num>
  <w:num w:numId="7">
    <w:abstractNumId w:val="8"/>
  </w:num>
  <w:num w:numId="8">
    <w:abstractNumId w:val="5"/>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44E4"/>
    <w:rsid w:val="000105ED"/>
    <w:rsid w:val="00011483"/>
    <w:rsid w:val="000A2080"/>
    <w:rsid w:val="000D319F"/>
    <w:rsid w:val="000D680A"/>
    <w:rsid w:val="000E4D0E"/>
    <w:rsid w:val="00125AC6"/>
    <w:rsid w:val="00144B69"/>
    <w:rsid w:val="00153E86"/>
    <w:rsid w:val="001B1BD1"/>
    <w:rsid w:val="001C3EF2"/>
    <w:rsid w:val="001D17F6"/>
    <w:rsid w:val="001D2C3F"/>
    <w:rsid w:val="001F76B7"/>
    <w:rsid w:val="00204B42"/>
    <w:rsid w:val="002231C3"/>
    <w:rsid w:val="0024417F"/>
    <w:rsid w:val="00250F8D"/>
    <w:rsid w:val="002D44E4"/>
    <w:rsid w:val="002E1C97"/>
    <w:rsid w:val="002F5834"/>
    <w:rsid w:val="00326EBF"/>
    <w:rsid w:val="00327FE4"/>
    <w:rsid w:val="00392CC8"/>
    <w:rsid w:val="00392F6C"/>
    <w:rsid w:val="003B5136"/>
    <w:rsid w:val="003D4FAD"/>
    <w:rsid w:val="003D7D4D"/>
    <w:rsid w:val="00413D23"/>
    <w:rsid w:val="00420187"/>
    <w:rsid w:val="00427F63"/>
    <w:rsid w:val="0043742D"/>
    <w:rsid w:val="00437A1E"/>
    <w:rsid w:val="00483DE6"/>
    <w:rsid w:val="004A17D1"/>
    <w:rsid w:val="004C0E41"/>
    <w:rsid w:val="004C4A0A"/>
    <w:rsid w:val="00543EBA"/>
    <w:rsid w:val="005E403A"/>
    <w:rsid w:val="00606647"/>
    <w:rsid w:val="00680656"/>
    <w:rsid w:val="00686126"/>
    <w:rsid w:val="006B1119"/>
    <w:rsid w:val="006E3E46"/>
    <w:rsid w:val="006E71B1"/>
    <w:rsid w:val="00705D89"/>
    <w:rsid w:val="00731A42"/>
    <w:rsid w:val="00767E69"/>
    <w:rsid w:val="0077079A"/>
    <w:rsid w:val="007A5599"/>
    <w:rsid w:val="00816936"/>
    <w:rsid w:val="00856233"/>
    <w:rsid w:val="00860F27"/>
    <w:rsid w:val="00875AE0"/>
    <w:rsid w:val="008B0560"/>
    <w:rsid w:val="008B2BFA"/>
    <w:rsid w:val="008D3D9C"/>
    <w:rsid w:val="00924B71"/>
    <w:rsid w:val="00933E63"/>
    <w:rsid w:val="00936F03"/>
    <w:rsid w:val="00943B69"/>
    <w:rsid w:val="00944CB3"/>
    <w:rsid w:val="00977AAB"/>
    <w:rsid w:val="009A4F2B"/>
    <w:rsid w:val="009B09D7"/>
    <w:rsid w:val="009D35ED"/>
    <w:rsid w:val="00A03CB6"/>
    <w:rsid w:val="00A1364C"/>
    <w:rsid w:val="00A21076"/>
    <w:rsid w:val="00A32A04"/>
    <w:rsid w:val="00A3739A"/>
    <w:rsid w:val="00A43DF7"/>
    <w:rsid w:val="00A52DAF"/>
    <w:rsid w:val="00A84072"/>
    <w:rsid w:val="00AF0DF9"/>
    <w:rsid w:val="00B16570"/>
    <w:rsid w:val="00B45B2F"/>
    <w:rsid w:val="00B53320"/>
    <w:rsid w:val="00BB158D"/>
    <w:rsid w:val="00BC6522"/>
    <w:rsid w:val="00C121D5"/>
    <w:rsid w:val="00C17349"/>
    <w:rsid w:val="00C351AA"/>
    <w:rsid w:val="00C7253F"/>
    <w:rsid w:val="00C80569"/>
    <w:rsid w:val="00D26A05"/>
    <w:rsid w:val="00D97B98"/>
    <w:rsid w:val="00DC671F"/>
    <w:rsid w:val="00DE4DA7"/>
    <w:rsid w:val="00E33B38"/>
    <w:rsid w:val="00E47FE5"/>
    <w:rsid w:val="00E574AF"/>
    <w:rsid w:val="00F22515"/>
    <w:rsid w:val="00F25862"/>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933E63"/>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933E63"/>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933E63"/>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933E63"/>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D0CCA9-5797-4CDE-BB90-2CDECB72B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8</Pages>
  <Words>6230</Words>
  <Characters>6710</Characters>
  <Application>Microsoft Office Word</Application>
  <DocSecurity>0</DocSecurity>
  <Lines>251</Lines>
  <Paragraphs>99</Paragraphs>
  <ScaleCrop>false</ScaleCrop>
  <Company>DCM</Company>
  <LinksUpToDate>false</LinksUpToDate>
  <CharactersWithSpaces>6854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1423899</dc:title>
  <dc:subject>E/C.12/GTM/CO/3</dc:subject>
  <dc:creator>Ji</dc:creator>
  <cp:keywords/>
  <dc:description/>
  <cp:lastModifiedBy>Tian H.</cp:lastModifiedBy>
  <cp:revision>2</cp:revision>
  <cp:lastPrinted>2015-02-18T10:27:00Z</cp:lastPrinted>
  <dcterms:created xsi:type="dcterms:W3CDTF">2015-02-18T10:27:00Z</dcterms:created>
  <dcterms:modified xsi:type="dcterms:W3CDTF">2015-02-18T10:27:00Z</dcterms:modified>
</cp:coreProperties>
</file>