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21ABC05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9EF65B5" w14:textId="77777777" w:rsidR="002D5AAC" w:rsidRDefault="002D5AAC" w:rsidP="00B675D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01DB037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DFDF131" w14:textId="0114BE71" w:rsidR="002D5AAC" w:rsidRDefault="00B675D7" w:rsidP="00B675D7">
            <w:pPr>
              <w:jc w:val="right"/>
            </w:pPr>
            <w:r w:rsidRPr="00B675D7">
              <w:rPr>
                <w:sz w:val="40"/>
              </w:rPr>
              <w:t>CAT</w:t>
            </w:r>
            <w:r>
              <w:t>/C/FIN/CO/8</w:t>
            </w:r>
          </w:p>
        </w:tc>
      </w:tr>
      <w:tr w:rsidR="002D5AAC" w:rsidRPr="00065524" w14:paraId="3CD2F4F9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ABCFC6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736CF1A" wp14:editId="0CB40ED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4ED579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005985C" w14:textId="77777777" w:rsidR="002D5AAC" w:rsidRPr="00065524" w:rsidRDefault="00B675D7" w:rsidP="00F90E40">
            <w:pPr>
              <w:spacing w:before="240"/>
              <w:rPr>
                <w:lang w:val="en-US"/>
              </w:rPr>
            </w:pPr>
            <w:r w:rsidRPr="00065524">
              <w:rPr>
                <w:lang w:val="en-US"/>
              </w:rPr>
              <w:t>Distr.: General</w:t>
            </w:r>
          </w:p>
          <w:p w14:paraId="5CB75EB9" w14:textId="5C8340D6" w:rsidR="00B675D7" w:rsidRPr="00065524" w:rsidRDefault="00E479DB" w:rsidP="00B675D7">
            <w:pPr>
              <w:spacing w:line="240" w:lineRule="exact"/>
              <w:rPr>
                <w:lang w:val="en-US"/>
              </w:rPr>
            </w:pPr>
            <w:r w:rsidRPr="00065524">
              <w:rPr>
                <w:lang w:val="en-US"/>
              </w:rPr>
              <w:t>3 June 2024</w:t>
            </w:r>
          </w:p>
          <w:p w14:paraId="5D322680" w14:textId="77777777" w:rsidR="00B675D7" w:rsidRPr="00065524" w:rsidRDefault="00B675D7" w:rsidP="00B675D7">
            <w:pPr>
              <w:spacing w:line="240" w:lineRule="exact"/>
              <w:rPr>
                <w:lang w:val="en-US"/>
              </w:rPr>
            </w:pPr>
            <w:r w:rsidRPr="00065524">
              <w:rPr>
                <w:lang w:val="en-US"/>
              </w:rPr>
              <w:t>Russian</w:t>
            </w:r>
          </w:p>
          <w:p w14:paraId="236034B6" w14:textId="44716CBC" w:rsidR="00B675D7" w:rsidRPr="00065524" w:rsidRDefault="00B675D7" w:rsidP="00B675D7">
            <w:pPr>
              <w:spacing w:line="240" w:lineRule="exact"/>
              <w:rPr>
                <w:lang w:val="en-US"/>
              </w:rPr>
            </w:pPr>
            <w:r w:rsidRPr="00065524">
              <w:rPr>
                <w:lang w:val="en-US"/>
              </w:rPr>
              <w:t>Original: English</w:t>
            </w:r>
          </w:p>
        </w:tc>
      </w:tr>
    </w:tbl>
    <w:p w14:paraId="4EE5019A" w14:textId="77777777" w:rsidR="00B675D7" w:rsidRPr="00CA64A4" w:rsidRDefault="00B675D7" w:rsidP="00B675D7">
      <w:pPr>
        <w:spacing w:before="120"/>
        <w:rPr>
          <w:b/>
          <w:bCs/>
          <w:color w:val="000000" w:themeColor="text1"/>
          <w:sz w:val="24"/>
          <w:szCs w:val="24"/>
        </w:rPr>
      </w:pPr>
      <w:r w:rsidRPr="00CA64A4">
        <w:rPr>
          <w:b/>
          <w:bCs/>
          <w:color w:val="000000" w:themeColor="text1"/>
          <w:sz w:val="24"/>
          <w:szCs w:val="24"/>
        </w:rPr>
        <w:t>Комитет против пыток</w:t>
      </w:r>
    </w:p>
    <w:p w14:paraId="427B532D" w14:textId="77777777" w:rsidR="00B675D7" w:rsidRPr="00CA64A4" w:rsidRDefault="00B675D7" w:rsidP="00B675D7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восьмому периодическому докладу Финляндии</w:t>
      </w:r>
      <w:r w:rsidRPr="007249C7">
        <w:rPr>
          <w:b w:val="0"/>
          <w:bCs/>
          <w:sz w:val="20"/>
          <w:szCs w:val="14"/>
        </w:rPr>
        <w:footnoteReference w:customMarkFollows="1" w:id="1"/>
        <w:t>*</w:t>
      </w:r>
    </w:p>
    <w:p w14:paraId="1032C436" w14:textId="4FEC3BC8" w:rsidR="00B675D7" w:rsidRPr="00CA64A4" w:rsidRDefault="00B675D7" w:rsidP="00B675D7">
      <w:pPr>
        <w:pStyle w:val="SingleTxtG"/>
      </w:pPr>
      <w:r>
        <w:t>1.</w:t>
      </w:r>
      <w:r>
        <w:tab/>
        <w:t>Комитет рассмотрел восьмой периодический доклад Финляндии</w:t>
      </w:r>
      <w:r w:rsidRPr="007249C7">
        <w:rPr>
          <w:rStyle w:val="aa"/>
        </w:rPr>
        <w:footnoteReference w:id="2"/>
      </w:r>
      <w:r>
        <w:t xml:space="preserve"> на своих 2097</w:t>
      </w:r>
      <w:r>
        <w:noBreakHyphen/>
        <w:t>м и 2100-м заседаниях</w:t>
      </w:r>
      <w:r w:rsidRPr="007249C7">
        <w:rPr>
          <w:rStyle w:val="aa"/>
        </w:rPr>
        <w:footnoteReference w:id="3"/>
      </w:r>
      <w:r>
        <w:t xml:space="preserve">, состоявшихся 2 и 3 мая 2024 года, и на своем </w:t>
      </w:r>
      <w:r>
        <w:br/>
        <w:t>2105-м заседании, состоявшемся 8 мая 2024 года, принял настоящие заключительные замечания.</w:t>
      </w:r>
    </w:p>
    <w:p w14:paraId="069DFD73" w14:textId="77777777" w:rsidR="00B675D7" w:rsidRPr="00CA64A4" w:rsidRDefault="00B675D7" w:rsidP="00B675D7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7610D03C" w14:textId="77777777" w:rsidR="00B675D7" w:rsidRPr="00CA64A4" w:rsidRDefault="00B675D7" w:rsidP="00B675D7">
      <w:pPr>
        <w:pStyle w:val="SingleTxtG"/>
      </w:pPr>
      <w:r>
        <w:t>2.</w:t>
      </w:r>
      <w:r>
        <w:tab/>
        <w:t>Комитет выражает признательность государству-участнику за принятие упрощенной процедуры представления докладов и представление своего периодического доклада в соответствии с ней, так как это улучшает сотрудничество между государством-участником и Комитетом и делает рассмотрение доклада и диалог с делегацией более целенаправленными.</w:t>
      </w:r>
    </w:p>
    <w:p w14:paraId="7E11751F" w14:textId="77777777" w:rsidR="00B675D7" w:rsidRPr="00CA64A4" w:rsidRDefault="00B675D7" w:rsidP="00B675D7">
      <w:pPr>
        <w:pStyle w:val="SingleTxtG"/>
      </w:pPr>
      <w:r>
        <w:t>3.</w:t>
      </w:r>
      <w:r>
        <w:tab/>
        <w:t>Комитет также выражает признательность за предоставленную ему возможность провести конструктивный диалог с делегацией государства-участника и приветствует ответы на вопросы, поднятые в ходе рассмотрения доклада, в том числе вызывающие обеспокоенность.</w:t>
      </w:r>
    </w:p>
    <w:p w14:paraId="7EC712AE" w14:textId="77777777" w:rsidR="00B675D7" w:rsidRPr="00CA64A4" w:rsidRDefault="00B675D7" w:rsidP="00B675D7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3624971F" w14:textId="77777777" w:rsidR="00B675D7" w:rsidRPr="00CA64A4" w:rsidRDefault="00B675D7" w:rsidP="00B675D7">
      <w:pPr>
        <w:pStyle w:val="SingleTxtG"/>
      </w:pPr>
      <w:r>
        <w:t>4.</w:t>
      </w:r>
      <w:r>
        <w:tab/>
        <w:t>Комитет приветствует ратификацию государством-участником следующих международных документов или присоединение к ним:</w:t>
      </w:r>
    </w:p>
    <w:p w14:paraId="34C6481E" w14:textId="6DF880BB" w:rsidR="00B675D7" w:rsidRPr="00CA64A4" w:rsidRDefault="00B675D7" w:rsidP="00B675D7">
      <w:pPr>
        <w:pStyle w:val="SingleTxtG"/>
      </w:pPr>
      <w:r>
        <w:tab/>
        <w:t>a)</w:t>
      </w:r>
      <w:r>
        <w:tab/>
        <w:t>Дополнительного протокола к Конвенции Совета Европы о предупреждении терроризма 21 апреля 2023 года;</w:t>
      </w:r>
      <w:bookmarkStart w:id="0" w:name="_Hlk120625680"/>
    </w:p>
    <w:p w14:paraId="35C98828" w14:textId="5AA58AA3" w:rsidR="00B675D7" w:rsidRPr="00CA64A4" w:rsidRDefault="00B675D7" w:rsidP="00B675D7">
      <w:pPr>
        <w:pStyle w:val="SingleTxtG"/>
      </w:pPr>
      <w:r>
        <w:tab/>
        <w:t>b)</w:t>
      </w:r>
      <w:r>
        <w:tab/>
        <w:t>Международной конвенции для защиты всех лиц от насильственных исчезновений 24 марта 2023 года;</w:t>
      </w:r>
    </w:p>
    <w:p w14:paraId="0F793788" w14:textId="01A967CB" w:rsidR="00B675D7" w:rsidRPr="00CA64A4" w:rsidRDefault="00B675D7" w:rsidP="00B675D7">
      <w:pPr>
        <w:pStyle w:val="SingleTxtG"/>
      </w:pPr>
      <w:r>
        <w:tab/>
        <w:t>c)</w:t>
      </w:r>
      <w:r>
        <w:tab/>
        <w:t>Протокола 2014 года к Конвенции 1930 года о принудительном труде (№</w:t>
      </w:r>
      <w:r>
        <w:rPr>
          <w:lang w:val="fr-CH"/>
        </w:rPr>
        <w:t> </w:t>
      </w:r>
      <w:r>
        <w:t>29) Международной организации труда (МОТ) 27 января 2017 года.</w:t>
      </w:r>
    </w:p>
    <w:p w14:paraId="38541D72" w14:textId="77777777" w:rsidR="00B675D7" w:rsidRPr="00CA64A4" w:rsidRDefault="00B675D7" w:rsidP="00B675D7">
      <w:pPr>
        <w:pStyle w:val="SingleTxtG"/>
      </w:pPr>
      <w:r>
        <w:t>5.</w:t>
      </w:r>
      <w:r>
        <w:tab/>
        <w:t>Комитет приветствует также инициативы государства-участника по пересмотру и введению в действие законодательства в областях, имеющих отношение к Конвенции, включая принятие следующих документов:</w:t>
      </w:r>
    </w:p>
    <w:p w14:paraId="0DFA6B5E" w14:textId="18412010" w:rsidR="00B675D7" w:rsidRPr="00CA64A4" w:rsidRDefault="00B675D7" w:rsidP="00B675D7">
      <w:pPr>
        <w:pStyle w:val="SingleTxtG"/>
      </w:pPr>
      <w:r>
        <w:tab/>
        <w:t>a)</w:t>
      </w:r>
      <w:r>
        <w:tab/>
        <w:t xml:space="preserve">Закона о юридическом признании гендера в 2023 году, который укрепляет права трансгендерных людей на самоопределение, личную </w:t>
      </w:r>
      <w:r>
        <w:lastRenderedPageBreak/>
        <w:t>неприкосновенность и неприкосновенность частной жизни, отменяя требования о прохождении медицинского обследования и стерилизации;</w:t>
      </w:r>
      <w:bookmarkStart w:id="1" w:name="_Hlk165976990"/>
      <w:bookmarkEnd w:id="1"/>
    </w:p>
    <w:p w14:paraId="5AF5BD87" w14:textId="30FA304B" w:rsidR="00B675D7" w:rsidRPr="00CA64A4" w:rsidRDefault="00B675D7" w:rsidP="00B675D7">
      <w:pPr>
        <w:pStyle w:val="SingleTxtG"/>
      </w:pPr>
      <w:r>
        <w:tab/>
        <w:t>b)</w:t>
      </w:r>
      <w:r>
        <w:tab/>
        <w:t>поправки к главе 20 Уголовного кодекса Финляндии в 2023 году, предусматривающей, что преступление изнасилования основывается на принципе отсутствия согласия;</w:t>
      </w:r>
    </w:p>
    <w:p w14:paraId="2074CFB8" w14:textId="7C995103" w:rsidR="00B675D7" w:rsidRPr="00CA64A4" w:rsidRDefault="00B675D7" w:rsidP="00B675D7">
      <w:pPr>
        <w:pStyle w:val="SingleTxtG"/>
      </w:pPr>
      <w:r>
        <w:tab/>
        <w:t>c)</w:t>
      </w:r>
      <w:r>
        <w:tab/>
        <w:t>поправки к Закону № 746/2011 о приеме лиц, ходатайствующих о международной защите, и о выявлении жертв торговли людьми и оказании им помощи в 2023 году, которая гарантирует, что доступ к услугам для жертв торговли людьми не связан с уголовным разбирательством;</w:t>
      </w:r>
    </w:p>
    <w:p w14:paraId="3C5179FF" w14:textId="5F604FD7" w:rsidR="00B675D7" w:rsidRPr="00CA64A4" w:rsidRDefault="00B675D7" w:rsidP="00B675D7">
      <w:pPr>
        <w:pStyle w:val="SingleTxtG"/>
      </w:pPr>
      <w:r>
        <w:tab/>
        <w:t>d)</w:t>
      </w:r>
      <w:r>
        <w:tab/>
        <w:t>Закона № 32/2019 о Национальной прокуратуре в 2019 году, который обеспечивает прокурорам полную независимость и автономию.</w:t>
      </w:r>
    </w:p>
    <w:p w14:paraId="1CC1EF4D" w14:textId="77777777" w:rsidR="00B675D7" w:rsidRPr="00CA64A4" w:rsidRDefault="00B675D7" w:rsidP="00B675D7">
      <w:pPr>
        <w:pStyle w:val="SingleTxtG"/>
      </w:pPr>
      <w:r>
        <w:t>6.</w:t>
      </w:r>
      <w:r>
        <w:tab/>
        <w:t>Кроме того, Комитет приветствует инициативы государства-участника по внесению изменений в свою политику и процедуры в областях, имеющих отношение к Конвенции и обеспечивающих более эффективную защиту прав человека, в том числе:</w:t>
      </w:r>
    </w:p>
    <w:p w14:paraId="57061146" w14:textId="1BA50B75" w:rsidR="00B675D7" w:rsidRPr="00CA64A4" w:rsidRDefault="00B675D7" w:rsidP="00B675D7">
      <w:pPr>
        <w:pStyle w:val="SingleTxtG"/>
      </w:pPr>
      <w:r>
        <w:tab/>
        <w:t>a)</w:t>
      </w:r>
      <w:r>
        <w:tab/>
        <w:t>создание в 2024 году базы данных, включающей рекомендации органов Организации Объединенных Наций и Совета Европы по наблюдению за соблюдением прав человека, и проведение ежегодных обзоров выполнения этих рекомендаций;</w:t>
      </w:r>
    </w:p>
    <w:p w14:paraId="1ED17C07" w14:textId="4469E63F" w:rsidR="00B675D7" w:rsidRPr="00CA64A4" w:rsidRDefault="00B675D7" w:rsidP="00B675D7">
      <w:pPr>
        <w:pStyle w:val="SingleTxtG"/>
      </w:pPr>
      <w:r>
        <w:tab/>
        <w:t>b)</w:t>
      </w:r>
      <w:r>
        <w:tab/>
        <w:t>принятие в 2023 году Национальной политики в отношении рома на 2023–2030 годы;</w:t>
      </w:r>
    </w:p>
    <w:p w14:paraId="658FEAF6" w14:textId="6738499C" w:rsidR="00B675D7" w:rsidRPr="00CA64A4" w:rsidRDefault="00B675D7" w:rsidP="00B675D7">
      <w:pPr>
        <w:pStyle w:val="SingleTxtG"/>
      </w:pPr>
      <w:r>
        <w:tab/>
        <w:t>c)</w:t>
      </w:r>
      <w:r>
        <w:tab/>
        <w:t>принятие в 2022 году национального плана по реализации Конвенции Совета Европы о предотвращении и пресечении насилия в отношении женщин и домашнего насилия на 2022–2025 годы;</w:t>
      </w:r>
    </w:p>
    <w:p w14:paraId="5D35D813" w14:textId="78B93ED5" w:rsidR="00B675D7" w:rsidRPr="00CA64A4" w:rsidRDefault="00B675D7" w:rsidP="00B675D7">
      <w:pPr>
        <w:pStyle w:val="SingleTxtG"/>
      </w:pPr>
      <w:r>
        <w:tab/>
        <w:t>d)</w:t>
      </w:r>
      <w:r>
        <w:tab/>
        <w:t>принятие в 2022 году национального плана по реализации Конвенции Совета Европы о защите детей от сексуальной эксплуатации и сексуальных злоупотреблений на 2022–2025 годы;</w:t>
      </w:r>
      <w:bookmarkEnd w:id="0"/>
    </w:p>
    <w:p w14:paraId="75AF42A4" w14:textId="18252898" w:rsidR="00B675D7" w:rsidRPr="00CA64A4" w:rsidRDefault="00B675D7" w:rsidP="00B675D7">
      <w:pPr>
        <w:pStyle w:val="SingleTxtG"/>
      </w:pPr>
      <w:r>
        <w:tab/>
        <w:t>e)</w:t>
      </w:r>
      <w:r>
        <w:tab/>
        <w:t>принятие в 2021 году национальной стратегии в отношении детей;</w:t>
      </w:r>
    </w:p>
    <w:p w14:paraId="5F9C8370" w14:textId="5AB922D4" w:rsidR="00B675D7" w:rsidRPr="00CA64A4" w:rsidRDefault="00B675D7" w:rsidP="00B675D7">
      <w:pPr>
        <w:pStyle w:val="SingleTxtG"/>
      </w:pPr>
      <w:r>
        <w:tab/>
        <w:t>f)</w:t>
      </w:r>
      <w:r>
        <w:tab/>
        <w:t>принятие в 2021 году Плана действий по борьбе с торговлей людьми на 2021–2023 годы;</w:t>
      </w:r>
    </w:p>
    <w:p w14:paraId="126B5541" w14:textId="0F9B1D3F" w:rsidR="00B675D7" w:rsidRPr="00CA64A4" w:rsidRDefault="00B675D7" w:rsidP="00B675D7">
      <w:pPr>
        <w:pStyle w:val="SingleTxtG"/>
      </w:pPr>
      <w:r>
        <w:tab/>
        <w:t>g)</w:t>
      </w:r>
      <w:r>
        <w:tab/>
        <w:t>принятие в 2020 году Национального плана действий в области основных свобод и прав человека на 2020–2023 годы;</w:t>
      </w:r>
    </w:p>
    <w:p w14:paraId="3AB251DD" w14:textId="22B0C5F8" w:rsidR="00B675D7" w:rsidRPr="00CA64A4" w:rsidRDefault="00B675D7" w:rsidP="00B675D7">
      <w:pPr>
        <w:pStyle w:val="SingleTxtG"/>
      </w:pPr>
      <w:r>
        <w:tab/>
        <w:t>h)</w:t>
      </w:r>
      <w:r>
        <w:tab/>
        <w:t>создание в 2020 году Национальной судебной администрации в качестве ведомства, отдельного от Министерства юстиции;</w:t>
      </w:r>
    </w:p>
    <w:p w14:paraId="65FB6E6A" w14:textId="7AF15D4C" w:rsidR="00B675D7" w:rsidRPr="00CA64A4" w:rsidRDefault="00B675D7" w:rsidP="00B675D7">
      <w:pPr>
        <w:pStyle w:val="SingleTxtG"/>
      </w:pPr>
      <w:r>
        <w:tab/>
        <w:t>i)</w:t>
      </w:r>
      <w:r>
        <w:tab/>
        <w:t>принятие в 2020 году Национального плана действий по осуществлению Конвенции о правах инвалидов на 2020–2023 годы;</w:t>
      </w:r>
    </w:p>
    <w:p w14:paraId="79C7BE42" w14:textId="32ACC993" w:rsidR="00B675D7" w:rsidRPr="00CA64A4" w:rsidRDefault="00B675D7" w:rsidP="00B675D7">
      <w:pPr>
        <w:pStyle w:val="SingleTxtG"/>
      </w:pPr>
      <w:r>
        <w:tab/>
        <w:t>j)</w:t>
      </w:r>
      <w:r>
        <w:tab/>
        <w:t>принятие в 2020 году плана действий «Детство без насилия», направленного на предотвращение насилия в отношении детей (2020–2025 годы);</w:t>
      </w:r>
    </w:p>
    <w:p w14:paraId="7EDADD70" w14:textId="23A2933D" w:rsidR="00B675D7" w:rsidRPr="00CA64A4" w:rsidRDefault="00B675D7" w:rsidP="00B675D7">
      <w:pPr>
        <w:pStyle w:val="SingleTxtG"/>
      </w:pPr>
      <w:r>
        <w:tab/>
        <w:t>k)</w:t>
      </w:r>
      <w:r>
        <w:tab/>
        <w:t>принятие в 2020 году плана действий правительства по обеспечению гендерного равенства на 2020–2023 годы.</w:t>
      </w:r>
    </w:p>
    <w:p w14:paraId="2D6E0E72" w14:textId="5FD8435F" w:rsidR="00B675D7" w:rsidRPr="00CA64A4" w:rsidRDefault="00B675D7" w:rsidP="00B675D7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1C6FB7">
        <w:rPr>
          <w:bCs/>
        </w:rPr>
        <w:t> </w:t>
      </w:r>
      <w:r>
        <w:rPr>
          <w:bCs/>
        </w:rPr>
        <w:t>рекомендации</w:t>
      </w:r>
    </w:p>
    <w:p w14:paraId="722CEF85" w14:textId="64FF533F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Нерассмотренные вопросы последующей деятельности, связанные с</w:t>
      </w:r>
      <w:r w:rsidR="001C6FB7">
        <w:rPr>
          <w:bCs/>
        </w:rPr>
        <w:t> </w:t>
      </w:r>
      <w:r>
        <w:rPr>
          <w:bCs/>
        </w:rPr>
        <w:t>предыдущим циклом предоставления докладов</w:t>
      </w:r>
    </w:p>
    <w:p w14:paraId="40EDC5CA" w14:textId="6CF3C0A2" w:rsidR="00B675D7" w:rsidRPr="00CA64A4" w:rsidRDefault="00B675D7" w:rsidP="00B675D7">
      <w:pPr>
        <w:pStyle w:val="SingleTxtG"/>
      </w:pPr>
      <w:r>
        <w:t>7.</w:t>
      </w:r>
      <w:r>
        <w:tab/>
        <w:t>В своих предыдущих заключительных замечаниях Комитет просил государство-участник представить информацию о выполнении его рекомендаций, касающихся национального превентивного механизма, передачи ответственности за лиц, находящихся в предварительном заключении в полицейских участках, административному сектору Министерства юстиции и раздельного содержания несовершеннолетних и взрослых во всех местах содержания под стражей</w:t>
      </w:r>
      <w:r w:rsidRPr="007249C7">
        <w:rPr>
          <w:rStyle w:val="aa"/>
        </w:rPr>
        <w:footnoteReference w:id="4"/>
      </w:r>
      <w:r>
        <w:t>. С учетом информации, полученной от государства-участника в рамках последующих мер в связи с этими заключительными замечаниями 7 декабря 2017 года</w:t>
      </w:r>
      <w:r w:rsidRPr="007249C7">
        <w:rPr>
          <w:rStyle w:val="aa"/>
        </w:rPr>
        <w:footnoteReference w:id="5"/>
      </w:r>
      <w:r>
        <w:t>, информации, содержащейся в восьмом периодическом докладе государства-участника, и дополнительной информации, представленной делегацией в ходе диалога, а также со ссылкой на письмо Докладчика по последующей деятельности в связи с заключительными замечаниями от 20 августа 2018 года на имя Постоянного представителя Финляндии при Отделении Организации Объединенных Наций и других международных организациях в Женеве</w:t>
      </w:r>
      <w:r w:rsidRPr="007249C7">
        <w:rPr>
          <w:rStyle w:val="aa"/>
        </w:rPr>
        <w:footnoteReference w:id="6"/>
      </w:r>
      <w:r>
        <w:t xml:space="preserve"> Комитет считает, что рекомендация, изложенная в пункте 15 предыдущих заключительных замечаний, была выполнена и что рекомендации, содержащиеся в пунктах 17 d) и 19, были частично выполнены. Эти вопросы рассматриваются в пунктах 17, 23 е) и 27 настоящих заключительных замечаний.</w:t>
      </w:r>
    </w:p>
    <w:p w14:paraId="7CC9B59D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Правовой статус Конвенции</w:t>
      </w:r>
    </w:p>
    <w:p w14:paraId="61494311" w14:textId="77777777" w:rsidR="00B675D7" w:rsidRPr="00CA64A4" w:rsidRDefault="00B675D7" w:rsidP="00B675D7">
      <w:pPr>
        <w:pStyle w:val="SingleTxtG"/>
      </w:pPr>
      <w:r>
        <w:t>8.</w:t>
      </w:r>
      <w:r>
        <w:tab/>
        <w:t xml:space="preserve">Отмечая, что международные договоры по правам человека, такие как Конвенция, считаются юридически обязательными с точки зрения внутреннего законодательства и что за конституционностью законодательства и соблюдением обязательств в области прав человека следят Канцлер юстиции и Комитет по конституционному праву Парламента Финляндии, Комитет сожалеет об отсутствии ясности в отношении того, как разрешаются потенциальные конфликты между внутренним законодательством и Конвенцией. Он также сожалеет, что в судебных решениях редко встречаются ссылки на Конвенцию в контексте применения или толкования внутреннего законодательства (ст. 2). </w:t>
      </w:r>
    </w:p>
    <w:p w14:paraId="529EC6E8" w14:textId="77777777" w:rsidR="00B675D7" w:rsidRPr="00CA64A4" w:rsidRDefault="00B675D7" w:rsidP="00B675D7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Государству-участнику следует укрепить существующие механизмы оценки законодательных предложений с точки зрения прав человека для обеспечения соответствия внутреннего законодательства положениям Конвенции.</w:t>
      </w:r>
      <w:r>
        <w:t xml:space="preserve"> </w:t>
      </w:r>
      <w:r>
        <w:rPr>
          <w:b/>
          <w:bCs/>
        </w:rPr>
        <w:t>Ему следует также активизировать деятельность по наращиванию потенциала и повышению осведомленности судей, прокуроров и адвокатов о положениях Конвенции и соответствующей практике Комитета.</w:t>
      </w:r>
    </w:p>
    <w:p w14:paraId="3041830E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Определение пытки и ее квалификация в качестве преступления</w:t>
      </w:r>
    </w:p>
    <w:p w14:paraId="5C4D8295" w14:textId="0C13360B" w:rsidR="00B675D7" w:rsidRPr="00CA64A4" w:rsidRDefault="00B675D7" w:rsidP="00B675D7">
      <w:pPr>
        <w:pStyle w:val="SingleTxtG"/>
      </w:pPr>
      <w:r>
        <w:t>10.</w:t>
      </w:r>
      <w:r>
        <w:tab/>
        <w:t>Принимая к сведению положения раздела 7 главы 2 Конституции, которые предусматривают запрет пыток и признание пыток международным преступлением, и учитывая, что определение преступления пытки, содержащееся в статье 9а главы</w:t>
      </w:r>
      <w:r w:rsidR="004C3F8F">
        <w:t> </w:t>
      </w:r>
      <w:r>
        <w:t xml:space="preserve">11 Уголовного кодекса, в целом соответствует положениям статьи 1 Конвенции, Комитет выражает обеспокоенность по поводу того, что в законодательстве государства-участника нет четкого положения, обеспечивающего абсолютный и не допускающий отступлений запрет на применение пыток, а также невозможность ссылаться на приказ вышестоящего должностного лица или органа власти в качестве оправдания применения пыток в каких бы то ни было обстоятельствах. Кроме того, он обеспокоен тем, что Уголовный кодекс предусматривает тюремное заключение на срок </w:t>
      </w:r>
      <w:r w:rsidR="004C3F8F">
        <w:br/>
      </w:r>
      <w:r>
        <w:t>от 2 до 12 лет за преступление пытки и считает, что минимальное наказание в виде 2</w:t>
      </w:r>
      <w:r w:rsidR="004C3F8F">
        <w:t> </w:t>
      </w:r>
      <w:r>
        <w:t>лет тюремного заключения может не являться надлежащей мерой наказания, отражающей тяжкий характер этого преступления (ст. 1, 2 и 4).</w:t>
      </w:r>
    </w:p>
    <w:p w14:paraId="24976772" w14:textId="77777777" w:rsidR="00B675D7" w:rsidRPr="00CA64A4" w:rsidRDefault="00B675D7" w:rsidP="00B675D7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призывает государство-участник рассмотреть возможность внесения следующих поправок в статью 9а главы 11 Уголовного кодекса:</w:t>
      </w:r>
    </w:p>
    <w:p w14:paraId="5F6847AB" w14:textId="77777777" w:rsidR="00B675D7" w:rsidRPr="00CA64A4" w:rsidRDefault="00B675D7" w:rsidP="00B675D7">
      <w:pPr>
        <w:pStyle w:val="SingleTxtG"/>
        <w:rPr>
          <w:b/>
          <w:bCs/>
        </w:rPr>
      </w:pPr>
      <w:r>
        <w:tab/>
      </w:r>
      <w:r w:rsidRPr="00D67AD1">
        <w:rPr>
          <w:b/>
          <w:bCs/>
        </w:rPr>
        <w:t>a)</w:t>
      </w:r>
      <w:r>
        <w:tab/>
      </w:r>
      <w:r>
        <w:rPr>
          <w:b/>
          <w:bCs/>
        </w:rPr>
        <w:t>обеспечить включение принципа абсолютного запрещения пыток в свое законодательство в соответствии с пунктом 2 статьи 2 Конвенции, а также чтобы приказ вышестоящего должностного лица или органа власти не мог служить оправданием пыток ни при каких обстоятельствах в соответствии с пунктом 3 статьи 2 Конвенции;</w:t>
      </w:r>
    </w:p>
    <w:p w14:paraId="3E92615C" w14:textId="11871C75" w:rsidR="00B675D7" w:rsidRPr="00CA64A4" w:rsidRDefault="00B675D7" w:rsidP="00B675D7">
      <w:pPr>
        <w:pStyle w:val="SingleTxtG"/>
        <w:rPr>
          <w:b/>
          <w:bCs/>
        </w:rPr>
      </w:pPr>
      <w:r>
        <w:tab/>
      </w:r>
      <w:r w:rsidRPr="00AF451A">
        <w:rPr>
          <w:b/>
          <w:bCs/>
        </w:rPr>
        <w:t>b)</w:t>
      </w:r>
      <w:r>
        <w:tab/>
      </w:r>
      <w:r>
        <w:rPr>
          <w:b/>
          <w:bCs/>
        </w:rPr>
        <w:t>обеспечить, чтобы все акты пыток карались соответствующими наказаниями, отражающими их тяжкий характер, как это указано в пункте</w:t>
      </w:r>
      <w:r w:rsidR="00DD3257">
        <w:rPr>
          <w:b/>
          <w:bCs/>
        </w:rPr>
        <w:t> </w:t>
      </w:r>
      <w:r>
        <w:rPr>
          <w:b/>
          <w:bCs/>
        </w:rPr>
        <w:t>2 статьи 4 Конвенции.</w:t>
      </w:r>
    </w:p>
    <w:p w14:paraId="10ADD207" w14:textId="77777777" w:rsidR="00B675D7" w:rsidRPr="00CA64A4" w:rsidRDefault="00B675D7" w:rsidP="00B675D7">
      <w:pPr>
        <w:pStyle w:val="H23G"/>
        <w:rPr>
          <w:rFonts w:eastAsiaTheme="minorHAnsi"/>
        </w:rPr>
      </w:pPr>
      <w:r>
        <w:tab/>
      </w:r>
      <w:r>
        <w:tab/>
      </w:r>
      <w:r>
        <w:rPr>
          <w:bCs/>
        </w:rPr>
        <w:t>Срок давности</w:t>
      </w:r>
    </w:p>
    <w:p w14:paraId="775F1495" w14:textId="77777777" w:rsidR="00B675D7" w:rsidRPr="00CA64A4" w:rsidRDefault="00B675D7" w:rsidP="00B675D7">
      <w:pPr>
        <w:pStyle w:val="SingleTxtG"/>
      </w:pPr>
      <w:r>
        <w:t>12.</w:t>
      </w:r>
      <w:r>
        <w:tab/>
        <w:t>Комитет обеспокоен тем, что на пытки распространяется срок давности в 20 лет в тех случаях, когда они не квалифицируются как преступление против человечности или военное преступление или когда максимальное применимое наказание не является пожизненным заключением.</w:t>
      </w:r>
    </w:p>
    <w:p w14:paraId="15A58142" w14:textId="77777777" w:rsidR="00B675D7" w:rsidRPr="00CA64A4" w:rsidRDefault="00B675D7" w:rsidP="00B675D7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призывает государство-участник рассмотреть возможность внесения поправок в Уголовный кодекс с целью обеспечения того, чтобы на пытки не распространялся какой-либо срок давности даже в тех случаях, когда они не квалифицируются как преступление против человечности или военное преступление, чтобы предотвратить любую возможность безнаказанности в связи с расследованием актов пыток, привлечением к судебной ответственности и наказанием виновных.</w:t>
      </w:r>
    </w:p>
    <w:p w14:paraId="095C6E76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3A066229" w14:textId="1FB0D50A" w:rsidR="00B675D7" w:rsidRPr="00CA64A4" w:rsidRDefault="00B675D7" w:rsidP="00B675D7">
      <w:pPr>
        <w:pStyle w:val="SingleTxtG"/>
      </w:pPr>
      <w:r>
        <w:t>14.</w:t>
      </w:r>
      <w:r>
        <w:tab/>
        <w:t>Принимая во внимание предусмотренные внутренним законодательством процессуальные гарантии, призванные предотвратить пытки и жестокое обращение, Комитет по-прежнему обеспокоен сообщениями о том, что в некоторых случаях власти не уведомляют членов семьи задержанных о лишении их свободы в течение 48</w:t>
      </w:r>
      <w:r w:rsidR="00A076BE">
        <w:noBreakHyphen/>
      </w:r>
      <w:r>
        <w:t>часового срока</w:t>
      </w:r>
      <w:r w:rsidRPr="007249C7">
        <w:rPr>
          <w:rStyle w:val="aa"/>
        </w:rPr>
        <w:footnoteReference w:id="7"/>
      </w:r>
      <w:r>
        <w:t>, в частности в случаях, касающихся иностранных граждан, которые не проживают в государстве-участнике и не говорят по-фински. Кроме того, Комитет сохраняет свою обеспокоенность по поводу предположительно неадекватного медицинского обслуживания лиц, содержащихся под стражей в полиции, включая отсутствие систематических медицинских осмотров по прибытии в полицейские изоляторы (ст. 2, 11 и 16).</w:t>
      </w:r>
    </w:p>
    <w:p w14:paraId="21F088B3" w14:textId="77777777" w:rsidR="00B675D7" w:rsidRPr="00CA64A4" w:rsidRDefault="00B675D7" w:rsidP="00B675D7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 обеспечить, чтобы как в законодательстве, так и на практике всем задержанным, в частности иностранным гражданам, не проживающим в государстве-участнике и не владеющим финским языком, с самого начала лишения свободы были обеспечены все основные правовые гарантии, в частности право информировать члена семьи или других лиц по своему выбору о своем задержании в течение 48 часов, требовать и получать надлежащее медицинское обслуживание, включая бесплатное медицинское освидетельствование независимым врачом или, по соответствующей просьбе, другим врачом по своему выбору с соблюдением конфиденциальности при проведении медицинского освидетельствования.</w:t>
      </w:r>
      <w:r>
        <w:t xml:space="preserve"> </w:t>
      </w:r>
      <w:r>
        <w:rPr>
          <w:b/>
          <w:bCs/>
        </w:rPr>
        <w:t>Государству-участнику следует также и далее обеспечивать надлежащее и регулярное обучение сотрудников, участвующих в мероприятиях по задержанию, по вопросам правовых гарантий, контролировать их соблюдение, а также наказывать должностных лиц за любые случаи их несоблюдения.</w:t>
      </w:r>
    </w:p>
    <w:p w14:paraId="23B911A6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Содержание лиц, находящихся в предварительном заключении, в изоляторах временного содержания</w:t>
      </w:r>
    </w:p>
    <w:p w14:paraId="0DE6BFE2" w14:textId="77777777" w:rsidR="00B675D7" w:rsidRPr="00CA64A4" w:rsidRDefault="00B675D7" w:rsidP="00B675D7">
      <w:pPr>
        <w:pStyle w:val="SingleTxtG"/>
      </w:pPr>
      <w:r>
        <w:t>16.</w:t>
      </w:r>
      <w:r>
        <w:tab/>
        <w:t>Принимая к сведению поправки, внесенные в Закон о предварительном заключении с целью значительного сокращения сроков пребывания задержанных в изоляторах временного содержания, введение новых мер, альтернативных предварительному заключению, и последующее сокращение числа лиц, содержащихся под стражей в изоляторах временного содержания, Комитет по-прежнему обеспокоен случаями помещения задержанных, в том числе на длительный срок, в изоляторы временного содержания, которые не отвечают условиям, требуемым для содержания этой категории заключенных, в частности ввиду недостаточного доступа к мероприятиям, связанным с досугом, и отсутствия прогулок на свежем воздухе в условиях, близких к одиночному заключению (ст. 2, 11 и 16)</w:t>
      </w:r>
      <w:r w:rsidRPr="007249C7">
        <w:rPr>
          <w:rStyle w:val="aa"/>
        </w:rPr>
        <w:footnoteReference w:id="8"/>
      </w:r>
      <w:r>
        <w:t>.</w:t>
      </w:r>
    </w:p>
    <w:p w14:paraId="685C0BE1" w14:textId="77777777" w:rsidR="00B675D7" w:rsidRPr="00CA64A4" w:rsidRDefault="00B675D7" w:rsidP="00B675D7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активизировать усилия по прекращению практики помещения лиц, находящихся в предварительном заключении, в изоляторы временного содержания, в том числе на исключительных основаниях, и содержать их в надлежащих местах содержания под стражей.</w:t>
      </w:r>
      <w:r>
        <w:t xml:space="preserve"> </w:t>
      </w:r>
      <w:r>
        <w:rPr>
          <w:b/>
          <w:bCs/>
        </w:rPr>
        <w:t>Ему следует ускорить проведение судебных разбирательств и, когда это возможно, использовать меры, альтернативные предварительному заключению, такие как электронные средства контроля, запрет на поездки, домашний арест и освобождение под залог.</w:t>
      </w:r>
      <w:r>
        <w:t xml:space="preserve"> </w:t>
      </w:r>
      <w:r>
        <w:rPr>
          <w:b/>
          <w:bCs/>
        </w:rPr>
        <w:t>Государству-участнику следует также принять все необходимые меры для улучшения условий содержания лиц, находящихся в предварительном заключении, в изоляторах временного содержания, в том числе путем обеспечения достаточного количества ежедневных прогулок на свежем воздухе и достаточного доступа к мероприятиям, связанным с досугом.</w:t>
      </w:r>
    </w:p>
    <w:p w14:paraId="2E409B38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Предоставление убежища и принцип недопустимости принудительного возвращения</w:t>
      </w:r>
    </w:p>
    <w:p w14:paraId="7F8F7D12" w14:textId="3D417ACA" w:rsidR="00B675D7" w:rsidRPr="00C667EC" w:rsidRDefault="00B675D7" w:rsidP="00B675D7">
      <w:pPr>
        <w:pStyle w:val="SingleTxtG"/>
      </w:pPr>
      <w:r>
        <w:t>18.</w:t>
      </w:r>
      <w:r>
        <w:tab/>
        <w:t>Принимая к сведению представленную государством-участником информацию о применимых стандартах и действующих гарантиях, Комитет выражает обеспокоенность по поводу того, что недавние изменения в законодательстве, в частности Закон об иностранцах (№ 301/2004) и Закон о пограничной охране (№</w:t>
      </w:r>
      <w:r w:rsidR="002C383E">
        <w:t> </w:t>
      </w:r>
      <w:r>
        <w:t>578/2005), могли ослабить правовые гарантии для просителей убежища и повысить риск принудительного возвращения. Особую обеспокоенность у Комитета вызывают:</w:t>
      </w:r>
    </w:p>
    <w:p w14:paraId="3EBE118D" w14:textId="3FA19D48" w:rsidR="00B675D7" w:rsidRPr="00CA64A4" w:rsidRDefault="00B675D7" w:rsidP="00B675D7">
      <w:pPr>
        <w:pStyle w:val="SingleTxtG"/>
      </w:pPr>
      <w:r>
        <w:tab/>
        <w:t>a)</w:t>
      </w:r>
      <w:r>
        <w:tab/>
        <w:t>полное закрытие восточной сухопутной границы государства-участника 30 ноября 2023 года в связи с предполагаемым использованием третьей страной передвижения просителей убежища и мигрантов, что вызывает обеспокоенность в отношении эффективного доступа к средствам законного въезда с целью получения убежища в государстве-участнике и может привести к нарушению принципа недопустимости принудительного возвращения и запрета на коллективную высылку;</w:t>
      </w:r>
    </w:p>
    <w:p w14:paraId="1CB42B5C" w14:textId="77777777" w:rsidR="00B675D7" w:rsidRPr="00CA64A4" w:rsidRDefault="00B675D7" w:rsidP="00B675D7">
      <w:pPr>
        <w:pStyle w:val="SingleTxtG"/>
      </w:pPr>
      <w:r>
        <w:tab/>
        <w:t>b)</w:t>
      </w:r>
      <w:r>
        <w:tab/>
        <w:t xml:space="preserve">возможность того, что просители убежища, ставшие жертвами пыток, могут не быть эффективно идентифицированы по прибытии в центры приема и обеспечены адекватными услугами поддержки; </w:t>
      </w:r>
    </w:p>
    <w:p w14:paraId="46F039CB" w14:textId="77777777" w:rsidR="00B675D7" w:rsidRPr="00CA64A4" w:rsidRDefault="00B675D7" w:rsidP="00B675D7">
      <w:pPr>
        <w:pStyle w:val="SingleTxtG"/>
      </w:pPr>
      <w:r>
        <w:tab/>
        <w:t>c)</w:t>
      </w:r>
      <w:r>
        <w:tab/>
        <w:t>тот факт, что обжалование решения о высылке, возвращении, передаче или экстрадиции может не иметь автоматического приостанавливающего действия;</w:t>
      </w:r>
    </w:p>
    <w:p w14:paraId="08E604A1" w14:textId="77777777" w:rsidR="00B675D7" w:rsidRPr="00CA64A4" w:rsidRDefault="00B675D7" w:rsidP="00B675D7">
      <w:pPr>
        <w:pStyle w:val="SingleTxtG"/>
      </w:pPr>
      <w:r>
        <w:tab/>
        <w:t>d)</w:t>
      </w:r>
      <w:r>
        <w:tab/>
        <w:t>введение ускоренной процедуры рассмотрения ходатайств о предоставлении убежища на границах для заявителей, прибывающих из стран, признанных безопасными, или представляющих явно необоснованные заявления в ситуациях массового прибытия или въезда под предполагаемым влиянием иностранного субъекта, что может помешать лицам, ищущим международную защиту, получить доступ к справедливой и эффективной процедуре предоставления убежища;</w:t>
      </w:r>
      <w:bookmarkStart w:id="3" w:name="_Hlk166004802"/>
      <w:bookmarkEnd w:id="3"/>
    </w:p>
    <w:p w14:paraId="7B4C4CD5" w14:textId="77777777" w:rsidR="00B675D7" w:rsidRPr="00CA64A4" w:rsidRDefault="00B675D7" w:rsidP="00B675D7">
      <w:pPr>
        <w:pStyle w:val="SingleTxtG"/>
      </w:pPr>
      <w:r>
        <w:tab/>
        <w:t>e)</w:t>
      </w:r>
      <w:r>
        <w:tab/>
        <w:t>ограничения, наложенные на право представлять новую информацию в последующих ходатайствах о предоставлении убежища (статья 3)</w:t>
      </w:r>
      <w:r w:rsidRPr="007249C7">
        <w:rPr>
          <w:rStyle w:val="aa"/>
        </w:rPr>
        <w:footnoteReference w:id="9"/>
      </w:r>
      <w:r>
        <w:t>.</w:t>
      </w:r>
    </w:p>
    <w:p w14:paraId="392C77FF" w14:textId="77777777" w:rsidR="00B675D7" w:rsidRPr="00CA64A4" w:rsidRDefault="00B675D7" w:rsidP="00B675D7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следует:</w:t>
      </w:r>
    </w:p>
    <w:p w14:paraId="7A044BC6" w14:textId="77777777" w:rsidR="00B675D7" w:rsidRPr="00CA64A4" w:rsidRDefault="00B675D7" w:rsidP="00B675D7">
      <w:pPr>
        <w:pStyle w:val="SingleTxtG"/>
        <w:rPr>
          <w:b/>
          <w:bCs/>
        </w:rPr>
      </w:pPr>
      <w:r>
        <w:tab/>
      </w:r>
      <w:r w:rsidRPr="002C383E">
        <w:rPr>
          <w:b/>
          <w:bCs/>
        </w:rPr>
        <w:t>a)</w:t>
      </w:r>
      <w:r>
        <w:tab/>
      </w:r>
      <w:r>
        <w:rPr>
          <w:b/>
          <w:bCs/>
        </w:rPr>
        <w:t>ввести адекватные правовые и процедурные гарантии для обеспечения того, чтобы все просители убежища и другие лица, нуждающиеся в международной защите, которые прибывают на восточную сухопутную границу государства-участника, независимо от их правового статуса и способа прибытия, имели доступ к справедливым и эффективным процедурам рассмотрения их дел на предмет возможности предоставления им статуса беженца и недопущения их принудительного возвращения;</w:t>
      </w:r>
    </w:p>
    <w:p w14:paraId="11DBD87A" w14:textId="77777777" w:rsidR="00B675D7" w:rsidRPr="002C383E" w:rsidRDefault="00B675D7" w:rsidP="00B675D7">
      <w:pPr>
        <w:pStyle w:val="SingleTxtG"/>
        <w:rPr>
          <w:b/>
          <w:bCs/>
        </w:rPr>
      </w:pPr>
      <w:r>
        <w:tab/>
      </w:r>
      <w:r w:rsidRPr="002C383E">
        <w:rPr>
          <w:b/>
          <w:bCs/>
        </w:rPr>
        <w:t>b)</w:t>
      </w:r>
      <w:r w:rsidRPr="002C383E">
        <w:rPr>
          <w:b/>
          <w:bCs/>
        </w:rPr>
        <w:tab/>
        <w:t xml:space="preserve">обеспечивать недопущение высылки, принудительного возвращения или экстрадиции любого лица в другое государство, если имеются серьезные основания полагать, что данному лицу будет угрожать опасность подвергнуться пыткам; </w:t>
      </w:r>
    </w:p>
    <w:p w14:paraId="3A0C8960" w14:textId="77777777" w:rsidR="00B675D7" w:rsidRPr="002C383E" w:rsidRDefault="00B675D7" w:rsidP="00B675D7">
      <w:pPr>
        <w:pStyle w:val="SingleTxtG"/>
        <w:rPr>
          <w:b/>
          <w:bCs/>
        </w:rPr>
      </w:pPr>
      <w:r w:rsidRPr="002C383E">
        <w:rPr>
          <w:b/>
          <w:bCs/>
        </w:rPr>
        <w:tab/>
        <w:t>c)</w:t>
      </w:r>
      <w:r w:rsidRPr="002C383E">
        <w:rPr>
          <w:b/>
          <w:bCs/>
        </w:rPr>
        <w:tab/>
        <w:t>укреплять механизмы и процедуры скорейшего выявления всех жертв пыток, торговли людьми и гендерного насилия среди просителей убежища и других лиц, нуждающихся в международной защите, и предоставлять им приоритетный доступ к процедуре определения статуса беженца и срочной медицинской помощи;</w:t>
      </w:r>
    </w:p>
    <w:p w14:paraId="0DFF058A" w14:textId="77777777" w:rsidR="00B675D7" w:rsidRPr="002C383E" w:rsidRDefault="00B675D7" w:rsidP="00B675D7">
      <w:pPr>
        <w:pStyle w:val="SingleTxtG"/>
        <w:rPr>
          <w:b/>
          <w:bCs/>
        </w:rPr>
      </w:pPr>
      <w:r w:rsidRPr="002C383E">
        <w:rPr>
          <w:b/>
          <w:bCs/>
        </w:rPr>
        <w:tab/>
        <w:t>d)</w:t>
      </w:r>
      <w:r w:rsidRPr="002C383E">
        <w:rPr>
          <w:b/>
          <w:bCs/>
        </w:rPr>
        <w:tab/>
        <w:t>обеспечить доступ к квалифицированной и независимой юридической помощи и услугам адвоката для просителей убежища на протяжении всей процедуры предоставления убежища;</w:t>
      </w:r>
    </w:p>
    <w:p w14:paraId="0B84348F" w14:textId="77777777" w:rsidR="00B675D7" w:rsidRPr="002C383E" w:rsidRDefault="00B675D7" w:rsidP="00B675D7">
      <w:pPr>
        <w:pStyle w:val="SingleTxtG"/>
        <w:rPr>
          <w:b/>
          <w:bCs/>
        </w:rPr>
      </w:pPr>
      <w:r w:rsidRPr="002C383E">
        <w:rPr>
          <w:b/>
          <w:bCs/>
        </w:rPr>
        <w:tab/>
        <w:t>e)</w:t>
      </w:r>
      <w:r w:rsidRPr="002C383E">
        <w:rPr>
          <w:b/>
          <w:bCs/>
        </w:rPr>
        <w:tab/>
        <w:t>рассмотреть возможность отмены положений Закона об иностранцах, которые позволяют применять ускоренную процедуру рассмотрения ходатайств о предоставлении убежища на границах, что может ограничить доступ к справедливой и эффективной процедуре предоставления убежища;</w:t>
      </w:r>
    </w:p>
    <w:p w14:paraId="69E118FB" w14:textId="77777777" w:rsidR="00B675D7" w:rsidRPr="002C383E" w:rsidRDefault="00B675D7" w:rsidP="00B675D7">
      <w:pPr>
        <w:pStyle w:val="SingleTxtG"/>
        <w:rPr>
          <w:b/>
          <w:bCs/>
        </w:rPr>
      </w:pPr>
      <w:r w:rsidRPr="002C383E">
        <w:rPr>
          <w:b/>
          <w:bCs/>
        </w:rPr>
        <w:tab/>
        <w:t>f)</w:t>
      </w:r>
      <w:r w:rsidRPr="002C383E">
        <w:rPr>
          <w:b/>
          <w:bCs/>
        </w:rPr>
        <w:tab/>
        <w:t>обеспечивать приостанавливающее действие обжалований решений о высылке, возвращении, передаче или экстрадиции;</w:t>
      </w:r>
    </w:p>
    <w:p w14:paraId="7B883683" w14:textId="77777777" w:rsidR="00B675D7" w:rsidRPr="00CA64A4" w:rsidRDefault="00B675D7" w:rsidP="00B675D7">
      <w:pPr>
        <w:pStyle w:val="SingleTxtG"/>
        <w:rPr>
          <w:b/>
          <w:bCs/>
        </w:rPr>
      </w:pPr>
      <w:r w:rsidRPr="002C383E">
        <w:rPr>
          <w:b/>
          <w:bCs/>
        </w:rPr>
        <w:tab/>
        <w:t>g)</w:t>
      </w:r>
      <w:r w:rsidRPr="002C383E">
        <w:rPr>
          <w:b/>
          <w:bCs/>
        </w:rPr>
        <w:tab/>
      </w:r>
      <w:r>
        <w:rPr>
          <w:b/>
          <w:bCs/>
        </w:rPr>
        <w:t>обеспечить, чтобы ограничения права на представление новой информации в последующих ходатайствах о предоставлении убежища не приводили к нарушению принципа недопустимости принудительного возвращения.</w:t>
      </w:r>
    </w:p>
    <w:p w14:paraId="33A03DEC" w14:textId="77777777" w:rsidR="00B675D7" w:rsidRPr="00C667EC" w:rsidRDefault="00B675D7" w:rsidP="00B675D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Дипломатические гарантии</w:t>
      </w:r>
    </w:p>
    <w:p w14:paraId="257443CE" w14:textId="6A9307AC" w:rsidR="00B675D7" w:rsidRPr="00CA64A4" w:rsidRDefault="00B675D7" w:rsidP="00B675D7">
      <w:pPr>
        <w:pStyle w:val="SingleTxtG"/>
      </w:pPr>
      <w:r>
        <w:t>20.</w:t>
      </w:r>
      <w:r>
        <w:tab/>
        <w:t>Комитет сожалеет об отсутствии информации относительно опоры государства-участника на дипломатические гарантии для оправдания возвращения или экстрадиции просителей убежища в страны, где могут существовать серьезные основания полагать, что им угрожает опасность подвергнуться пыткам или другим жестоким, бесчеловечным или унижающим достоинство видам обращения и наказания. Комитет напоминает, что, как указано в пункте 20 замечания общего порядка № 4 (2017) Комитета о применении статьи 3 в контексте статьи</w:t>
      </w:r>
      <w:r w:rsidR="00F1388F">
        <w:t> </w:t>
      </w:r>
      <w:r>
        <w:t xml:space="preserve">22, дипломатические гарантии не должны использоваться в качестве «лазейки» для подрыва принципа недопустимости принудительного возвращения, закрепленного в статье 3 Конвенции. Комитет обеспокоен представленной делегацией государства-участника информацией о том, что оно не осуществляет прямого мониторинга положения того или иного лица в принимающей стране и что такой мониторинг обеспечивается Европейским агентством пограничной и береговой охраны (Фронтекс) и Международной организацией по миграции (ст. 3). </w:t>
      </w:r>
    </w:p>
    <w:p w14:paraId="7859EABB" w14:textId="77777777" w:rsidR="00B675D7" w:rsidRPr="00CA64A4" w:rsidRDefault="00B675D7" w:rsidP="00B675D7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 представить информацию о мерах, принятых для обеспечения того, чтобы оно воздерживалось от обращения за дипломатическими гарантиями и их принятия в контексте выдачи и депортации от государств, если есть существенные основания полагать, что по возвращении в них тому или иному лицу будет угрожать опасность применения пыток или жестокого обращения, а также для проведения тщательной оценки ситуации в каждом отдельном случае, включая общую ситуацию с применением пыток в стране возвращения или выдачи.</w:t>
      </w:r>
      <w:r>
        <w:t xml:space="preserve"> </w:t>
      </w:r>
      <w:r>
        <w:rPr>
          <w:b/>
          <w:bCs/>
        </w:rPr>
        <w:t>Государству-участнику следует обеспечить, чтобы любая депортация или выдача, осуществляемая на основе дипломатических гарантий, сопровождалась мониторингом положения соответствующего лица в принимающей стране.</w:t>
      </w:r>
    </w:p>
    <w:p w14:paraId="2C8F1147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0796A8B0" w14:textId="7F1C96CF" w:rsidR="00B675D7" w:rsidRPr="00CA64A4" w:rsidRDefault="00B675D7" w:rsidP="00B675D7">
      <w:pPr>
        <w:pStyle w:val="SingleTxtG"/>
      </w:pPr>
      <w:r>
        <w:t>22.</w:t>
      </w:r>
      <w:r>
        <w:tab/>
        <w:t>Высоко оценивая меры, принятые государством-участником для улучшения условий содержания под стражей в целом, включая шаги по дальнейшему сокращению численности заключенных и законодательные поправки, сократившие максимальную продолжительность дисциплинарного одиночного заключения с 14 до 10 дней и полностью отменившие эту меру наказания в отношении несовершеннолетних, Комитет выражает обеспокоенность по поводу сообщений о том, что в ряде мест содержания под стражей сохраняются проблемы переполненности, нехватки персонала, в частности медицинского персонала, и насилия между заключенными. Комитет также выражает обеспокоенность в связи с сообщениями о том, что в ряде мест лишения свободы медицинское обслуживание, в частности услуги по охране психического здоровья, не отвечает установленным требованиям, а досуговые и образовательные мероприятия, способствующие реабилитации лиц, находящихся под стражей, по-прежнему носят ограниченный характер, в частности для лиц, находящихся в предварительном заключении, и заключенных, нуждающихся в защите (так называемых «боязливых» заключенных), в отношении которых, как сообщается, применяется очень строгий режим содержания, схожий с одиночным заключением. Отмечая небольшое число лиц, находящихся под стражей, в возрасте до 18 лет в государстве-участнике и создание отдельных блоков для заключенных моложе 18 лет в нескольких тюрьмах, Комитет по-прежнему выражает обеспокоенность по поводу того, что находящиеся под стражей лица моложе 18 лет еще не отделены от взрослых заключенных во всех местах содержания под стражей и поэтому остаются уязвимыми для насилия и сексуальных надругательств (ст</w:t>
      </w:r>
      <w:r w:rsidRPr="00C667EC">
        <w:t>.</w:t>
      </w:r>
      <w:r>
        <w:t xml:space="preserve"> 2, 11 и 16)</w:t>
      </w:r>
      <w:r w:rsidRPr="007249C7">
        <w:rPr>
          <w:rStyle w:val="aa"/>
        </w:rPr>
        <w:footnoteReference w:id="10"/>
      </w:r>
      <w:r>
        <w:t>.</w:t>
      </w:r>
      <w:bookmarkStart w:id="4" w:name="_Hlk166844879"/>
      <w:bookmarkEnd w:id="4"/>
    </w:p>
    <w:p w14:paraId="39D21DE3" w14:textId="77777777" w:rsidR="00B675D7" w:rsidRPr="00CA64A4" w:rsidRDefault="00B675D7" w:rsidP="00B675D7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следует:</w:t>
      </w:r>
      <w:bookmarkStart w:id="5" w:name="_Hlk141351422"/>
    </w:p>
    <w:p w14:paraId="4CD15EE9" w14:textId="77777777" w:rsidR="00B675D7" w:rsidRPr="00E45A3E" w:rsidRDefault="00B675D7" w:rsidP="00B675D7">
      <w:pPr>
        <w:pStyle w:val="SingleTxtG"/>
        <w:rPr>
          <w:b/>
          <w:bCs/>
        </w:rPr>
      </w:pPr>
      <w:r>
        <w:tab/>
      </w:r>
      <w:r w:rsidRPr="00E45A3E">
        <w:rPr>
          <w:b/>
          <w:bCs/>
        </w:rPr>
        <w:t>a)</w:t>
      </w:r>
      <w:r w:rsidRPr="00E45A3E">
        <w:rPr>
          <w:b/>
          <w:bCs/>
        </w:rPr>
        <w:tab/>
      </w:r>
      <w:r>
        <w:rPr>
          <w:b/>
          <w:bCs/>
        </w:rPr>
        <w:t xml:space="preserve">продолжать прилагать усилия по улучшению условий содержания </w:t>
      </w:r>
      <w:r w:rsidRPr="00E45A3E">
        <w:rPr>
          <w:b/>
          <w:bCs/>
        </w:rPr>
        <w:t>под стражей во всех местах лишения свободы и по снижению переполненности пенитенциарных учреждений и других мест содержания под стражей, в том числе путем применения мер, не связанных с лишением свободы. В этой связи Комитет обращает внимание государства-участника на Минимальные стандартные правила Организации Объединенных Наций в отношении обращения с заключенными (Правила Нельсона Манделы), Минимальные стандартные правила Организации Объединенных Наций в отношении мер, не связанных с тюремным заключением (Токийские правила),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правила);</w:t>
      </w:r>
      <w:bookmarkStart w:id="6" w:name="_Hlk141352827"/>
    </w:p>
    <w:p w14:paraId="1732FB7F" w14:textId="54DDD3C6" w:rsidR="00B675D7" w:rsidRPr="00E45A3E" w:rsidRDefault="00B675D7" w:rsidP="00B675D7">
      <w:pPr>
        <w:pStyle w:val="SingleTxtG"/>
        <w:rPr>
          <w:b/>
          <w:bCs/>
        </w:rPr>
      </w:pPr>
      <w:r w:rsidRPr="00E45A3E">
        <w:rPr>
          <w:b/>
          <w:bCs/>
        </w:rPr>
        <w:tab/>
        <w:t>b)</w:t>
      </w:r>
      <w:r w:rsidRPr="00E45A3E">
        <w:rPr>
          <w:b/>
          <w:bCs/>
        </w:rPr>
        <w:tab/>
        <w:t>принимать практические меры по устранению недостатка значимых досуговых и образовательных мероприятий, способствующих реабилитации лиц, находящихся под стражей, в частности тех, кто находится в предварительном заключении и тех, кто относится к числу «боязливых»;</w:t>
      </w:r>
    </w:p>
    <w:p w14:paraId="19E6EB5D" w14:textId="77777777" w:rsidR="00B675D7" w:rsidRPr="00E45A3E" w:rsidRDefault="00B675D7" w:rsidP="00B675D7">
      <w:pPr>
        <w:pStyle w:val="SingleTxtG"/>
        <w:rPr>
          <w:b/>
          <w:bCs/>
        </w:rPr>
      </w:pPr>
      <w:r w:rsidRPr="00E45A3E">
        <w:rPr>
          <w:b/>
          <w:bCs/>
        </w:rPr>
        <w:tab/>
        <w:t>c)</w:t>
      </w:r>
      <w:r w:rsidRPr="00E45A3E">
        <w:rPr>
          <w:b/>
          <w:bCs/>
        </w:rPr>
        <w:tab/>
        <w:t>повышать качество предоставляемых медицинских услуг, учитывающих гендерные, возрастные и культурные особенности, всем лицам, лишенным свободы, особенно лицам с интеллектуальными или психосоциальными нарушениями;</w:t>
      </w:r>
    </w:p>
    <w:p w14:paraId="4AE0196A" w14:textId="77777777" w:rsidR="00B675D7" w:rsidRPr="00E45A3E" w:rsidRDefault="00B675D7" w:rsidP="00B675D7">
      <w:pPr>
        <w:pStyle w:val="SingleTxtG"/>
        <w:rPr>
          <w:b/>
          <w:bCs/>
        </w:rPr>
      </w:pPr>
      <w:r w:rsidRPr="00E45A3E">
        <w:rPr>
          <w:b/>
          <w:bCs/>
        </w:rPr>
        <w:tab/>
        <w:t>d)</w:t>
      </w:r>
      <w:r w:rsidRPr="00E45A3E">
        <w:rPr>
          <w:b/>
          <w:bCs/>
        </w:rPr>
        <w:tab/>
        <w:t>увеличить число обученных и квалифицированных сотрудников тюрем, включая медицинский персонал, и усилить надзор за насилием между заключенными и меры по его пресечению;</w:t>
      </w:r>
      <w:bookmarkEnd w:id="6"/>
    </w:p>
    <w:p w14:paraId="123BCE0E" w14:textId="77777777" w:rsidR="00B675D7" w:rsidRPr="00CA64A4" w:rsidRDefault="00B675D7" w:rsidP="00B675D7">
      <w:pPr>
        <w:pStyle w:val="SingleTxtG"/>
        <w:rPr>
          <w:b/>
          <w:bCs/>
        </w:rPr>
      </w:pPr>
      <w:r w:rsidRPr="00E45A3E">
        <w:rPr>
          <w:b/>
          <w:bCs/>
        </w:rPr>
        <w:tab/>
        <w:t>e)</w:t>
      </w:r>
      <w:r w:rsidRPr="00E45A3E">
        <w:rPr>
          <w:b/>
          <w:bCs/>
        </w:rPr>
        <w:tab/>
        <w:t>обеспечить, чтобы лица в возрасте до 18 лет содержались отдельно от взрослых заключенных во всех местах содержания под стражей с учетом их наилучших интересов в соответствии с Минимальными стандартными правилами Организации Объединенных Наций, касающимися отправления правосудия в отношении несовершеннолетних (Пекинские правила), и Правилами Организации Объединенных Наций, касающимися защиты несовершенн</w:t>
      </w:r>
      <w:r>
        <w:rPr>
          <w:b/>
          <w:bCs/>
        </w:rPr>
        <w:t>олетних, лишенных свободы.</w:t>
      </w:r>
      <w:r>
        <w:t xml:space="preserve"> </w:t>
      </w:r>
      <w:bookmarkEnd w:id="5"/>
    </w:p>
    <w:p w14:paraId="1B5C9AB2" w14:textId="77777777" w:rsidR="00B675D7" w:rsidRPr="00CA64A4" w:rsidRDefault="00B675D7" w:rsidP="00B675D7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Случаи смерти в местах лишения свободы</w:t>
      </w:r>
    </w:p>
    <w:p w14:paraId="4AA76D90" w14:textId="7046FC4D" w:rsidR="00B675D7" w:rsidRPr="00CA64A4" w:rsidRDefault="00B675D7" w:rsidP="00B675D7">
      <w:pPr>
        <w:pStyle w:val="SingleTxtG"/>
      </w:pPr>
      <w:r>
        <w:t>24.</w:t>
      </w:r>
      <w:r>
        <w:tab/>
        <w:t>Принимая к сведению представленную делегацией государства-участника информацию о принятых или планируемых мерах по предупреждению случаев смерти в местах лишения свободы, Комитет выражает обеспокоенность по поводу отсутствия специальной подготовки сотрудников изоляторов временного содержания по вопросам раннего выявления лиц, подверженных риску, в частности «лиц, находящихся в состоянии алкогольного или наркотического опьянения», и оказания им надлежащей помощи. Комитет сожалеет об отсутствии всеобъемлющей информации и статистических данных об общем количестве смертей в местах лишения свободы за рассматриваемый период в разбивке по местам содержания под стражей, полу, возрасту и этнической или национальной принадлежности или гражданству умерших и причинам смерти, а также о недостаточности информации о проведенных в этой связи расследованиях (ст.</w:t>
      </w:r>
      <w:r w:rsidRPr="00C667EC">
        <w:t xml:space="preserve"> </w:t>
      </w:r>
      <w:r>
        <w:t xml:space="preserve">2, 11 и 16). </w:t>
      </w:r>
    </w:p>
    <w:p w14:paraId="1423116B" w14:textId="77777777" w:rsidR="00B675D7" w:rsidRPr="00C667EC" w:rsidRDefault="00B675D7" w:rsidP="00B675D7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следует:</w:t>
      </w:r>
    </w:p>
    <w:p w14:paraId="20600320" w14:textId="77777777" w:rsidR="00B675D7" w:rsidRPr="002B3D22" w:rsidRDefault="00B675D7" w:rsidP="00B675D7">
      <w:pPr>
        <w:pStyle w:val="SingleTxtG"/>
        <w:rPr>
          <w:b/>
          <w:bCs/>
        </w:rPr>
      </w:pPr>
      <w:r>
        <w:tab/>
      </w:r>
      <w:r w:rsidRPr="002B3D22">
        <w:rPr>
          <w:b/>
          <w:bCs/>
        </w:rPr>
        <w:t>a)</w:t>
      </w:r>
      <w:r w:rsidRPr="002B3D22">
        <w:rPr>
          <w:b/>
          <w:bCs/>
        </w:rPr>
        <w:tab/>
        <w:t>обеспечивать оперативное, эффективное и беспристрастное расследование всех случаев смерти в местах лишения свободы независимым органом, включая проведение независимой судебно-медицинской экспертизы, в соответствии с Миннесотским протоколом по расследованию предположительно незаконного лишения жизни, и при необходимости применять соответствующие санкции и предоставлять справедливую и адекватную компенсацию членам семьи умерших;</w:t>
      </w:r>
    </w:p>
    <w:p w14:paraId="1E64A085" w14:textId="5AC29A5A" w:rsidR="00B675D7" w:rsidRPr="002B3D22" w:rsidRDefault="00B675D7" w:rsidP="00B675D7">
      <w:pPr>
        <w:pStyle w:val="SingleTxtG"/>
        <w:rPr>
          <w:b/>
          <w:bCs/>
        </w:rPr>
      </w:pPr>
      <w:r w:rsidRPr="002B3D22">
        <w:rPr>
          <w:b/>
          <w:bCs/>
        </w:rPr>
        <w:tab/>
        <w:t>b)</w:t>
      </w:r>
      <w:r w:rsidRPr="002B3D22">
        <w:rPr>
          <w:b/>
          <w:bCs/>
        </w:rPr>
        <w:tab/>
        <w:t>принять все необходимые меры для обеспечения специальной подготовки сотрудников изоляторов временного содержания с целью раннего выявления лиц, подверженных риску, в частности «лиц, находящихся в состоянии алкогольного или наркотического опьянения», и оказания им надлежащей помощи;</w:t>
      </w:r>
    </w:p>
    <w:p w14:paraId="156EC325" w14:textId="77777777" w:rsidR="00B675D7" w:rsidRPr="00CA64A4" w:rsidRDefault="00B675D7" w:rsidP="00B675D7">
      <w:pPr>
        <w:pStyle w:val="SingleTxtG"/>
        <w:rPr>
          <w:b/>
          <w:bCs/>
        </w:rPr>
      </w:pPr>
      <w:r w:rsidRPr="002B3D22">
        <w:rPr>
          <w:b/>
          <w:bCs/>
        </w:rPr>
        <w:tab/>
        <w:t>c)</w:t>
      </w:r>
      <w:r>
        <w:tab/>
      </w:r>
      <w:r>
        <w:rPr>
          <w:b/>
          <w:bCs/>
        </w:rPr>
        <w:t>обеспечить сбор подробной информации о случаях смерти во всех местах содержания под стражей и их причинах, а также о результатах расследования этих смертей.</w:t>
      </w:r>
    </w:p>
    <w:p w14:paraId="55411817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Парламентский омбудсмен как национальный превентивный механизм</w:t>
      </w:r>
    </w:p>
    <w:p w14:paraId="3D46064B" w14:textId="77777777" w:rsidR="00B675D7" w:rsidRPr="00CA64A4" w:rsidRDefault="00B675D7" w:rsidP="00B675D7">
      <w:pPr>
        <w:pStyle w:val="SingleTxtG"/>
      </w:pPr>
      <w:r>
        <w:t>26.</w:t>
      </w:r>
      <w:r>
        <w:tab/>
        <w:t>Комитет высоко оценивает представленную информацию о шагах, предпринятых государством-участником для выполнения ряда рекомендаций, сделанных Парламентским омбудсменом в его качестве национального превентивного механизма после его контрольных посещений мест лишения свободы, и рассчитывает на получение дальнейшей информации о выполнении всех его рекомендаций. Комитет, в дополнение к его превентивному мандату, отмечает компетенцию Парламентского омбудсмена принимать и рассматривать индивидуальные жалобы, но сожалеет об отсутствии более подробной информации о последующих действиях по таким жалобам, включая их результаты. Кроме того, отмечая представленное разъяснение, Комитет сожалеет, что государство-участник не создало национальный превентивный механизм в качестве отдельного органа при Парламентском омбудсмене, обладающего автономией в вопросах бюджета и штатного расписания (ст. 2, 11 и 16).</w:t>
      </w:r>
    </w:p>
    <w:p w14:paraId="426C4037" w14:textId="77777777" w:rsidR="00B675D7" w:rsidRPr="00CA64A4" w:rsidRDefault="00B675D7" w:rsidP="00B675D7">
      <w:pPr>
        <w:pStyle w:val="SingleTxtG"/>
      </w:pPr>
      <w:r>
        <w:t>27.</w:t>
      </w:r>
      <w:r>
        <w:tab/>
      </w:r>
      <w:r>
        <w:rPr>
          <w:b/>
          <w:bCs/>
        </w:rPr>
        <w:t>Государству-участнику следует и далее обеспечивать всестороннее рассмотрение рекомендаций Парламентского омбудсмена по итогам его посещений в качестве национального превентивного механизма.</w:t>
      </w:r>
      <w:r>
        <w:t xml:space="preserve"> </w:t>
      </w:r>
      <w:r>
        <w:rPr>
          <w:b/>
          <w:bCs/>
        </w:rPr>
        <w:t>Ему следует обеспечить надлежащее рассмотрение индивидуальных жалоб, полученных Парламентским омбудсменом и переданных в национальные органы власти, получение пострадавшими возмещения и компенсации, включая медицинскую и психосоциальную реабилитацию, а также ведение реестра всех полученных жалоб и принятых по ним мер, включая их результаты.</w:t>
      </w:r>
      <w:r>
        <w:t xml:space="preserve"> </w:t>
      </w:r>
      <w:r>
        <w:rPr>
          <w:b/>
          <w:bCs/>
        </w:rPr>
        <w:t>Кроме того, Комитет повторяет свою рекомендацию государству-участнику рассмотреть возможность создания национального превентивного механизма в качестве отдельного органа при Парламентском омбудсмене, обладающего автономией в вопросах бюджета и штатного расписания</w:t>
      </w:r>
      <w:r w:rsidRPr="007249C7">
        <w:rPr>
          <w:rStyle w:val="aa"/>
        </w:rPr>
        <w:footnoteReference w:id="11"/>
      </w:r>
      <w:r>
        <w:rPr>
          <w:b/>
          <w:bCs/>
        </w:rPr>
        <w:t>.</w:t>
      </w:r>
      <w:bookmarkStart w:id="7" w:name="_Hlk165975778"/>
      <w:bookmarkEnd w:id="7"/>
    </w:p>
    <w:p w14:paraId="4DE85712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Содержание под стражей иммигрантов, в том числе детей</w:t>
      </w:r>
    </w:p>
    <w:p w14:paraId="65612641" w14:textId="04A59FE4" w:rsidR="00B675D7" w:rsidRPr="00CA64A4" w:rsidRDefault="00B675D7" w:rsidP="00B675D7">
      <w:pPr>
        <w:pStyle w:val="SingleTxtG"/>
      </w:pPr>
      <w:r>
        <w:t>28.</w:t>
      </w:r>
      <w:r>
        <w:tab/>
        <w:t>Отмечая введение альтернатив содержанию под стражей иммигрантов, таких как предписание проживания в указанном месте, Комитет по-прежнему выражает обеспокоенность по поводу сообщений о том, что на практике неграждане, въезжающие на территорию государства-участника без документов, продолжают подвергаться содержанию под стражей. Отмечая, что содержание под стражей несопровождаемых детей из числа просителей убежища в возрасте до 15</w:t>
      </w:r>
      <w:r w:rsidR="00FB0BFD">
        <w:t> </w:t>
      </w:r>
      <w:r>
        <w:t>лет запрещено законом и что дети в возрасте от 15 до 17 лет не могут помещаться под стражу во время процедуры предоставления убежища и редко помещаются под стражу на практике, Комитет выражает обеспокоенность по поводу того, что помещение ребенка под стражу разрешено, когда в отношении ребенка уже вынесено отрицательное решение, вступившее в законную силу, а другие, менее ограничительные меры предосторожности не являются адекватными. Он обеспокоен также ограничениями в доступе к социальным, образовательным и медицинским услугам, в частности к услугам по охране психического здоровья (ст. 2, 11 и 16).</w:t>
      </w:r>
    </w:p>
    <w:p w14:paraId="5B0567D9" w14:textId="77777777" w:rsidR="00B675D7" w:rsidRPr="00CA64A4" w:rsidRDefault="00B675D7" w:rsidP="00B675D7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 принять необходимые меры к тому, чтобы:</w:t>
      </w:r>
    </w:p>
    <w:p w14:paraId="796DE0AC" w14:textId="77777777" w:rsidR="00B675D7" w:rsidRPr="006B48AC" w:rsidRDefault="00B675D7" w:rsidP="00B675D7">
      <w:pPr>
        <w:pStyle w:val="SingleTxtG"/>
        <w:rPr>
          <w:b/>
          <w:bCs/>
        </w:rPr>
      </w:pPr>
      <w:r>
        <w:tab/>
      </w:r>
      <w:r w:rsidRPr="006B48AC">
        <w:rPr>
          <w:b/>
          <w:bCs/>
        </w:rPr>
        <w:t>a)</w:t>
      </w:r>
      <w:r w:rsidRPr="006B48AC">
        <w:rPr>
          <w:b/>
          <w:bCs/>
        </w:rPr>
        <w:tab/>
        <w:t>заключение под стражу иммигрантов применялось только в качестве крайней меры, когда оно признано строго необходимым и соразмерным с учетом обстоятельств дела, и на как можно более короткий срок, а также активизировать усилия по расширению применения мер, не связанных с лишением свободы;</w:t>
      </w:r>
    </w:p>
    <w:p w14:paraId="07511575" w14:textId="77777777" w:rsidR="00B675D7" w:rsidRPr="006B48AC" w:rsidRDefault="00B675D7" w:rsidP="00B675D7">
      <w:pPr>
        <w:pStyle w:val="SingleTxtG"/>
        <w:rPr>
          <w:b/>
          <w:bCs/>
        </w:rPr>
      </w:pPr>
      <w:r w:rsidRPr="006B48AC">
        <w:rPr>
          <w:b/>
          <w:bCs/>
        </w:rPr>
        <w:tab/>
        <w:t>b)</w:t>
      </w:r>
      <w:r w:rsidRPr="006B48AC">
        <w:rPr>
          <w:b/>
          <w:bCs/>
        </w:rPr>
        <w:tab/>
        <w:t xml:space="preserve">дети и семьи с детьми не содержались под стражей исключительно по причине их иммиграционного статуса; </w:t>
      </w:r>
    </w:p>
    <w:p w14:paraId="4CB0DD6E" w14:textId="77777777" w:rsidR="00B675D7" w:rsidRPr="00CA64A4" w:rsidRDefault="00B675D7" w:rsidP="00B675D7">
      <w:pPr>
        <w:pStyle w:val="SingleTxtG"/>
        <w:rPr>
          <w:b/>
          <w:bCs/>
        </w:rPr>
      </w:pPr>
      <w:r w:rsidRPr="006B48AC">
        <w:rPr>
          <w:b/>
          <w:bCs/>
        </w:rPr>
        <w:tab/>
        <w:t>c)</w:t>
      </w:r>
      <w:r>
        <w:tab/>
      </w:r>
      <w:r>
        <w:rPr>
          <w:b/>
          <w:bCs/>
        </w:rPr>
        <w:t>гарантировать доступ к адекватным социальным и образовательным услугам, а также услугам по охране психического и физического здоровья в центрах временного содержания иммигрантов.</w:t>
      </w:r>
    </w:p>
    <w:p w14:paraId="382B9A15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Психиатрические учреждения</w:t>
      </w:r>
      <w:r>
        <w:t xml:space="preserve"> </w:t>
      </w:r>
    </w:p>
    <w:p w14:paraId="7BC2D84A" w14:textId="5BC34719" w:rsidR="00B675D7" w:rsidRPr="00C667EC" w:rsidRDefault="00B675D7" w:rsidP="00B675D7">
      <w:pPr>
        <w:pStyle w:val="SingleTxtG"/>
      </w:pPr>
      <w:r>
        <w:t>30.</w:t>
      </w:r>
      <w:r>
        <w:tab/>
        <w:t xml:space="preserve">Комитет принимает к сведению меры, принятые для улучшения положения лиц с инвалидностью, содержащихся в психиатрических учреждениях, и укрепления их права на самоопределение, включая поправки к Закону о психическом здоровье и Закону об административных судах, которые вступили в силу 1 апреля 2024 года и наделяют пациентов правом оспаривать непосредственно в административных судах решения о недобровольном введении лекарственных препаратов. Вместе с тем Комитет по-прежнему обеспокоен: </w:t>
      </w:r>
    </w:p>
    <w:p w14:paraId="7CF085B7" w14:textId="77777777" w:rsidR="00B675D7" w:rsidRPr="00CA64A4" w:rsidRDefault="00B675D7" w:rsidP="00B675D7">
      <w:pPr>
        <w:pStyle w:val="SingleTxtG"/>
      </w:pPr>
      <w:r>
        <w:tab/>
        <w:t>a)</w:t>
      </w:r>
      <w:r>
        <w:tab/>
        <w:t>законодательством, разрешающим недобровольную госпитализацию и принудительное лечение в связи с наличием расстройства;</w:t>
      </w:r>
    </w:p>
    <w:p w14:paraId="3246C0FB" w14:textId="77777777" w:rsidR="00B675D7" w:rsidRPr="00CA64A4" w:rsidRDefault="00B675D7" w:rsidP="00B675D7">
      <w:pPr>
        <w:pStyle w:val="SingleTxtG"/>
      </w:pPr>
      <w:r>
        <w:tab/>
        <w:t>b)</w:t>
      </w:r>
      <w:r>
        <w:tab/>
        <w:t>продолжающимся и, в некоторых случаях, длительным использованием одиночного заключения, изоляции, физических и химических средств усмирения и других ограничительных мер в отношении лиц с психосоциальными или интеллектуальными нарушениями в психиатрических учреждениях без достаточных процессуальных гарантий защиты их прав и интересов;</w:t>
      </w:r>
      <w:bookmarkStart w:id="8" w:name="_Hlk141089764"/>
      <w:bookmarkEnd w:id="8"/>
    </w:p>
    <w:p w14:paraId="5F662EA1" w14:textId="77777777" w:rsidR="00B675D7" w:rsidRPr="00CA64A4" w:rsidRDefault="00B675D7" w:rsidP="00B675D7">
      <w:pPr>
        <w:pStyle w:val="SingleTxtG"/>
      </w:pPr>
      <w:r>
        <w:tab/>
        <w:t>c)</w:t>
      </w:r>
      <w:r>
        <w:tab/>
        <w:t>недостаточным прогрессом в обеспечении доступа к эффективным средствам правовой защиты для оспаривания недобровольной психиатрической госпитализации и принудительного лечения</w:t>
      </w:r>
      <w:r w:rsidRPr="007249C7">
        <w:rPr>
          <w:rStyle w:val="aa"/>
        </w:rPr>
        <w:footnoteReference w:id="12"/>
      </w:r>
      <w:r>
        <w:t>;</w:t>
      </w:r>
    </w:p>
    <w:p w14:paraId="6E17C155" w14:textId="77777777" w:rsidR="00B675D7" w:rsidRPr="00CA64A4" w:rsidRDefault="00B675D7" w:rsidP="00B675D7">
      <w:pPr>
        <w:pStyle w:val="SingleTxtG"/>
      </w:pPr>
      <w:r>
        <w:tab/>
        <w:t>d)</w:t>
      </w:r>
      <w:r>
        <w:tab/>
        <w:t>сохранением статьи 2 Закона № 283/1970 о стерилизации, которая разрешает стерилизацию женщин с психосоциальными или интеллектуальными нарушениями, которые были признаны недееспособными или частично недееспособными без своего согласия (ст. 2, 11 и 16)</w:t>
      </w:r>
      <w:r w:rsidRPr="007249C7">
        <w:rPr>
          <w:rStyle w:val="aa"/>
        </w:rPr>
        <w:footnoteReference w:id="13"/>
      </w:r>
      <w:r>
        <w:t>.</w:t>
      </w:r>
    </w:p>
    <w:p w14:paraId="2060DAD5" w14:textId="77777777" w:rsidR="00B675D7" w:rsidRPr="00C667EC" w:rsidRDefault="00B675D7" w:rsidP="00B675D7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следует:</w:t>
      </w:r>
    </w:p>
    <w:p w14:paraId="3EB7E815" w14:textId="77777777" w:rsidR="00B675D7" w:rsidRPr="00E169C5" w:rsidRDefault="00B675D7" w:rsidP="00B675D7">
      <w:pPr>
        <w:pStyle w:val="SingleTxtG"/>
        <w:rPr>
          <w:b/>
          <w:bCs/>
        </w:rPr>
      </w:pPr>
      <w:r>
        <w:tab/>
      </w:r>
      <w:r w:rsidRPr="00E169C5">
        <w:rPr>
          <w:b/>
          <w:bCs/>
        </w:rPr>
        <w:t>a)</w:t>
      </w:r>
      <w:r w:rsidRPr="00E169C5">
        <w:rPr>
          <w:b/>
          <w:bCs/>
        </w:rPr>
        <w:tab/>
        <w:t>рассмотреть возможность отмены любого законодательства, которое допускает лишение свободы по причине расстройства здоровья и принудительное медицинское вмешательство в отношении лиц с инвалидностью, в частности лиц с интеллектуальными или психосоциальными нарушениями;</w:t>
      </w:r>
    </w:p>
    <w:p w14:paraId="304F4B24" w14:textId="77777777" w:rsidR="00B675D7" w:rsidRPr="00E169C5" w:rsidRDefault="00B675D7" w:rsidP="00B675D7">
      <w:pPr>
        <w:pStyle w:val="SingleTxtG"/>
        <w:rPr>
          <w:b/>
          <w:bCs/>
        </w:rPr>
      </w:pPr>
      <w:r w:rsidRPr="00E169C5">
        <w:rPr>
          <w:b/>
          <w:bCs/>
        </w:rPr>
        <w:tab/>
        <w:t>b)</w:t>
      </w:r>
      <w:r w:rsidRPr="00E169C5">
        <w:rPr>
          <w:b/>
          <w:bCs/>
        </w:rPr>
        <w:tab/>
        <w:t>рассмотреть возможность прекращения применения одиночного заключения в отношении лиц с психосоциальными или интеллектуальными нарушениями, включая детей, и привести использование средств усмирения и силы в соответствие с законом, под соответствующим строгим надзором, в течение как можно более короткого срока, только в случае крайней необходимости и в качестве крайней меры с соблюдением принципа соразмерности с целью дальнейшей минимизации применения этой меры и окончательного отказа от ее применения;</w:t>
      </w:r>
      <w:bookmarkStart w:id="9" w:name="_Hlk141267733"/>
      <w:bookmarkEnd w:id="9"/>
    </w:p>
    <w:p w14:paraId="6D0271ED" w14:textId="77777777" w:rsidR="00B675D7" w:rsidRPr="00E169C5" w:rsidRDefault="00B675D7" w:rsidP="00B675D7">
      <w:pPr>
        <w:pStyle w:val="SingleTxtG"/>
        <w:rPr>
          <w:b/>
          <w:bCs/>
        </w:rPr>
      </w:pPr>
      <w:r w:rsidRPr="00E169C5">
        <w:rPr>
          <w:b/>
          <w:bCs/>
        </w:rPr>
        <w:tab/>
        <w:t>c)</w:t>
      </w:r>
      <w:r w:rsidRPr="00E169C5">
        <w:rPr>
          <w:b/>
          <w:bCs/>
        </w:rPr>
        <w:tab/>
        <w:t>проводить оперативные, беспристрастные и тщательные расследования всех заявлений о жестоком обращении в медицинских учреждениях, как государственных, так и частных, привлекать к уголовной ответственности лиц, подозреваемых в жестоком обращении, и, в случае признания их виновными, обеспечивать назначение им наказания в соответствии с тяжестью совершенных ими деяний, а также предоставлять пострадавшим эффективные средства правовой защиты и возмещение ущерба;</w:t>
      </w:r>
    </w:p>
    <w:p w14:paraId="11D986BD" w14:textId="77777777" w:rsidR="00B675D7" w:rsidRPr="00E169C5" w:rsidRDefault="00B675D7" w:rsidP="00B675D7">
      <w:pPr>
        <w:pStyle w:val="SingleTxtG"/>
        <w:rPr>
          <w:b/>
          <w:bCs/>
        </w:rPr>
      </w:pPr>
      <w:r w:rsidRPr="00E169C5">
        <w:rPr>
          <w:b/>
          <w:bCs/>
        </w:rPr>
        <w:tab/>
        <w:t>d)</w:t>
      </w:r>
      <w:r w:rsidRPr="00E169C5">
        <w:rPr>
          <w:b/>
          <w:bCs/>
        </w:rPr>
        <w:tab/>
        <w:t>продолжить регулярное обучение всего медицинского и немедицинского персонала, включая сотрудников службы безопасности, методам оказания помощи без применения насилия и принуждения;</w:t>
      </w:r>
    </w:p>
    <w:p w14:paraId="6112BB07" w14:textId="77777777" w:rsidR="00B675D7" w:rsidRPr="00CA64A4" w:rsidRDefault="00B675D7" w:rsidP="00B675D7">
      <w:pPr>
        <w:pStyle w:val="SingleTxtG"/>
        <w:rPr>
          <w:b/>
          <w:bCs/>
        </w:rPr>
      </w:pPr>
      <w:r w:rsidRPr="00E169C5">
        <w:rPr>
          <w:b/>
          <w:bCs/>
        </w:rPr>
        <w:tab/>
        <w:t>e)</w:t>
      </w:r>
      <w:r w:rsidRPr="00E169C5">
        <w:rPr>
          <w:b/>
          <w:bCs/>
        </w:rPr>
        <w:tab/>
      </w:r>
      <w:r>
        <w:rPr>
          <w:b/>
          <w:bCs/>
        </w:rPr>
        <w:t>рассмотреть возможность принятия незамедлительных мер по отмене статьи 2 Закона о стерилизации и обеспечению эффективных средств правовой защиты для женщин, подвергшихся принудительной или недобровольной стерилизации.</w:t>
      </w:r>
    </w:p>
    <w:p w14:paraId="269DE87E" w14:textId="77777777" w:rsidR="00B675D7" w:rsidRPr="00C667EC" w:rsidRDefault="00B675D7" w:rsidP="00B675D7">
      <w:pPr>
        <w:pStyle w:val="H23G"/>
      </w:pPr>
      <w:r>
        <w:tab/>
      </w:r>
      <w:r>
        <w:tab/>
      </w:r>
      <w:r>
        <w:rPr>
          <w:bCs/>
        </w:rPr>
        <w:t>Независимый механизм рассмотрения жалоб</w:t>
      </w:r>
      <w:r>
        <w:t xml:space="preserve"> </w:t>
      </w:r>
    </w:p>
    <w:p w14:paraId="12ECE14C" w14:textId="0022F7C2" w:rsidR="00B675D7" w:rsidRPr="00CA64A4" w:rsidRDefault="00B675D7" w:rsidP="00B675D7">
      <w:pPr>
        <w:pStyle w:val="SingleTxtG"/>
      </w:pPr>
      <w:r>
        <w:t>32.</w:t>
      </w:r>
      <w:r>
        <w:tab/>
        <w:t>Принимая к сведению, что ни одно государственное должностное лицо или иное лицо, выступающее в официальном качестве, не привлекались к ответственности за преступление пытки, предусмотренное статьей 9а главы 11 Уголовного кодекса, Комитет выражает обеспокоенность по поводу сообщений о том, что до сих пор не существует эффективного, доступного, независимого и конфиденциального механизма приема жалоб на жестокое обращение во всех местах лишения свободы (ст.</w:t>
      </w:r>
      <w:r w:rsidR="00E169C5">
        <w:t> </w:t>
      </w:r>
      <w:r>
        <w:t>2, 13 и 16).</w:t>
      </w:r>
    </w:p>
    <w:p w14:paraId="248BEAF1" w14:textId="77777777" w:rsidR="00B675D7" w:rsidRPr="00CA64A4" w:rsidRDefault="00B675D7" w:rsidP="00B675D7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рассмотреть вопрос о создании независимого, эффективного, конфиденциального и доступного механизма рассмотрения жалоб во всех местах содержания под стражей, включая изоляторы временного содержания, центры содержания иммигрантов и психиатрические учреждения.</w:t>
      </w:r>
    </w:p>
    <w:p w14:paraId="26C0DA39" w14:textId="77777777" w:rsidR="00B675D7" w:rsidRPr="00B675D7" w:rsidRDefault="00B675D7" w:rsidP="00B675D7">
      <w:pPr>
        <w:pStyle w:val="H23G"/>
      </w:pPr>
      <w:r>
        <w:tab/>
      </w:r>
      <w:r>
        <w:tab/>
      </w:r>
      <w:r>
        <w:rPr>
          <w:bCs/>
        </w:rPr>
        <w:t>Возмещение ущерба</w:t>
      </w:r>
    </w:p>
    <w:p w14:paraId="4F8078CD" w14:textId="77777777" w:rsidR="00B675D7" w:rsidRPr="00CA64A4" w:rsidRDefault="00B675D7" w:rsidP="00B675D7">
      <w:pPr>
        <w:pStyle w:val="SingleTxtG"/>
      </w:pPr>
      <w:r>
        <w:t>34.</w:t>
      </w:r>
      <w:r>
        <w:tab/>
        <w:t>Комитет обеспокоен сообщениями о том, что реабилитационные услуги для лиц, переживших пытки, предоставляются в основном двумя реабилитационными центрами в городах Хельсинки и Оулу, которые управляются неправительственными организациями, оказывающими социальные и медицинские услуги, и не финансируются из государственного бюджета. Комитет обеспокоен тем, что отсутствие государственного финансирования реабилитации лиц, переживших пытки, может представлять значительный риск с точки зрения адекватности и непрерывности таких услуг. Кроме того, Комитет сожалеет, что за время, прошедшее после рассмотрения предыдущего периодического доклада государства-участника, он не получил информации о мерах по возмещению ущерба и компенсации, присужденных судами и другими государственными органами и фактически предоставленных лицам, пережившим пытки или жестокое обращение, или членам их семей. Комитет напоминает, что пострадавшие могут, в частности, запрашивать и получать незамедлительную, справедливую и надлежащую компенсацию, в том числе в случаях, когда речь идет о гражданской ответственности государства-участника, как это предусматривает замечание общего порядка № 3 (2012) Комитета об осуществлении статьи 14.</w:t>
      </w:r>
    </w:p>
    <w:p w14:paraId="0EA71DE0" w14:textId="77777777" w:rsidR="00B675D7" w:rsidRPr="00CA64A4" w:rsidRDefault="00B675D7" w:rsidP="00B675D7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 обеспечить, чтобы и на законодательном уровне, и на практике все лица, пережившие пытки и жестокое обращение, получали возмещение и в том числе имели подкрепляемое правовой санкцией право на справедливую и адекватную компенсацию и средства для возможно более полной реабилитации.</w:t>
      </w:r>
      <w:r>
        <w:t xml:space="preserve"> </w:t>
      </w:r>
      <w:r>
        <w:rPr>
          <w:b/>
          <w:bCs/>
        </w:rPr>
        <w:t>С этой целью государству-участнику следует выделить достаточные ресурсы для реабилитационных центров, предназначенных для жертв пыток, чтобы обеспечить адекватность и непрерывность предоставляемых услуг.</w:t>
      </w:r>
      <w:r>
        <w:t xml:space="preserve"> </w:t>
      </w:r>
      <w:r>
        <w:rPr>
          <w:b/>
          <w:bCs/>
        </w:rPr>
        <w:t>Государству-участнику следует составлять и распространять актуальные статистические данные о числе жертв пыток и жестокого обращения, получивших возмещение, включая медицинскую или психосоциальную реабилитацию и компенсацию, и о формах такого возмещения и достигнутых результатах.</w:t>
      </w:r>
    </w:p>
    <w:p w14:paraId="3C31E634" w14:textId="77777777" w:rsidR="00B675D7" w:rsidRPr="00CA64A4" w:rsidRDefault="00B675D7" w:rsidP="00B675D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Недопустимость доказательств</w:t>
      </w:r>
    </w:p>
    <w:p w14:paraId="61592BD6" w14:textId="77777777" w:rsidR="00B675D7" w:rsidRPr="00CA64A4" w:rsidRDefault="00B675D7" w:rsidP="00B675D7">
      <w:pPr>
        <w:pStyle w:val="SingleTxtG"/>
      </w:pPr>
      <w:r>
        <w:t>36.</w:t>
      </w:r>
      <w:r>
        <w:tab/>
        <w:t xml:space="preserve">Отмечая, что Судебно-процессуальный кодекс запрещает использовать в судебном разбирательстве доказательства, полученные под пытками, Комитет выражает обеспокоенность по поводу того, что этот запрет не распространяется в явном виде на другие формы жестокого обращения. Кроме того, он по-прежнему обеспокоен тем, что статья 25 3) главы 17 Судебно-процессуального кодекса допускает использование доказательств, полученных незаконным путем, если это не наносит ущерба справедливому судебному разбирательству (ст. 2, 15 и 16). </w:t>
      </w:r>
    </w:p>
    <w:p w14:paraId="34F38D81" w14:textId="77777777" w:rsidR="00B675D7" w:rsidRPr="00CA64A4" w:rsidRDefault="00B675D7" w:rsidP="00B675D7">
      <w:pPr>
        <w:pStyle w:val="SingleTxtG"/>
      </w:pPr>
      <w:r>
        <w:t>37.</w:t>
      </w:r>
      <w:r>
        <w:tab/>
      </w:r>
      <w:r>
        <w:rPr>
          <w:b/>
          <w:bCs/>
        </w:rPr>
        <w:t>Комитет повторяет свою рекомендацию государству-участнику рассмотреть возможность внесения поправок в Судебно-процессуальный кодекс с целью запрещения допустимости в судебном разбирательстве доказательств, полученных в результате жестокого обращения, и отмены положений, предоставляющих судам дискреционные полномочия в отношении использования доказательств, полученных незаконным путем, в нарушение Конвенции</w:t>
      </w:r>
      <w:r w:rsidRPr="007249C7">
        <w:rPr>
          <w:rStyle w:val="aa"/>
        </w:rPr>
        <w:footnoteReference w:id="14"/>
      </w:r>
      <w:r>
        <w:rPr>
          <w:b/>
          <w:bCs/>
        </w:rPr>
        <w:t>.</w:t>
      </w:r>
    </w:p>
    <w:p w14:paraId="7E8862C1" w14:textId="77777777" w:rsidR="00B675D7" w:rsidRPr="00065524" w:rsidRDefault="00B675D7" w:rsidP="00B675D7">
      <w:pPr>
        <w:pStyle w:val="H23G"/>
        <w:rPr>
          <w:rFonts w:eastAsia="SimSun"/>
          <w:color w:val="000000" w:themeColor="text1"/>
        </w:rPr>
      </w:pPr>
      <w:r>
        <w:tab/>
      </w:r>
      <w:r>
        <w:tab/>
      </w:r>
      <w:r w:rsidRPr="00065524">
        <w:rPr>
          <w:bCs/>
          <w:color w:val="000000" w:themeColor="text1"/>
        </w:rPr>
        <w:t>Преступления на почве ненависти</w:t>
      </w:r>
    </w:p>
    <w:p w14:paraId="51417E99" w14:textId="21881ADA" w:rsidR="00B675D7" w:rsidRPr="00CA64A4" w:rsidRDefault="00B675D7" w:rsidP="00B675D7">
      <w:pPr>
        <w:pStyle w:val="SingleTxtG"/>
      </w:pPr>
      <w:r>
        <w:t>38.</w:t>
      </w:r>
      <w:r>
        <w:tab/>
        <w:t>Отмечая меры, принятые государством-участником для борьбы с преступлениями на почве ненависти, включая поправку к Уголовному кодексу, предусматривающую уголовную ответственность и наказание за возбуждение этнической розни, в том числе с отягчающими обстоятельствами, а также введение в отделениях полиции так называемых «интернет-полицейских», Комитет выражает обеспокоенность по поводу значительного и растущего числа преступлений на почве ненависти, мотивированных расистскими предрассудками, и относительно небольшого числа преступлений на почве ненависти, по которым были возбуждены уголовные дела. Он с обеспокоенностью отмечает усиление враждебных настроений в отношении лиц, принадлежащих к этническим или религиозным меньшинствам, включая лиц африканского происхождения, рома, мусульман, а также лиц, говорящих на русском и шведском языках. Комитет обеспокоен также ростом числа зафиксированных насильственных нападений на мигрантов, беженцев и просителей убежища, при этом он с тревогой отмечает рост антииммигрантских высказываний, равнозначных расизму и ксенофобии, среди политических деятелей. Кроме того, Комитет с сожалением отмечает отсутствие информации о влиянии и эффективности воздействия политических и информационно-просветительских мер на сокращение количества случаев ненавистнических высказываний и преступлений на почве ненависти, а также о недостаточном сборе данных в этой связи (ст. 2 и 16)</w:t>
      </w:r>
      <w:r w:rsidRPr="007249C7">
        <w:rPr>
          <w:rStyle w:val="aa"/>
        </w:rPr>
        <w:footnoteReference w:id="15"/>
      </w:r>
      <w:r>
        <w:t>.</w:t>
      </w:r>
    </w:p>
    <w:p w14:paraId="58A2906B" w14:textId="77777777" w:rsidR="00B675D7" w:rsidRPr="00CA64A4" w:rsidRDefault="00B675D7" w:rsidP="00B675D7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Государству-участнику следует:</w:t>
      </w:r>
    </w:p>
    <w:p w14:paraId="6F8B34BB" w14:textId="77777777" w:rsidR="00B675D7" w:rsidRPr="00BC5A3F" w:rsidRDefault="00B675D7" w:rsidP="00B675D7">
      <w:pPr>
        <w:pStyle w:val="SingleTxtG"/>
        <w:rPr>
          <w:b/>
          <w:bCs/>
        </w:rPr>
      </w:pPr>
      <w:r>
        <w:tab/>
      </w:r>
      <w:r w:rsidRPr="00BC5A3F">
        <w:rPr>
          <w:b/>
          <w:bCs/>
        </w:rPr>
        <w:t>a)</w:t>
      </w:r>
      <w:r w:rsidRPr="00BC5A3F">
        <w:rPr>
          <w:b/>
          <w:bCs/>
        </w:rPr>
        <w:tab/>
        <w:t xml:space="preserve">поощрять сообщение о преступлениях на почве ненависти и обеспечить тщательное расследование таких преступлений, преследование и наказание виновных, а также предоставление жертвам эффективных средств правовой защиты; </w:t>
      </w:r>
    </w:p>
    <w:p w14:paraId="4A72DE4C" w14:textId="77777777" w:rsidR="00B675D7" w:rsidRPr="00BC5A3F" w:rsidRDefault="00B675D7" w:rsidP="00B675D7">
      <w:pPr>
        <w:pStyle w:val="SingleTxtG"/>
        <w:rPr>
          <w:b/>
          <w:bCs/>
        </w:rPr>
      </w:pPr>
      <w:r w:rsidRPr="00BC5A3F">
        <w:rPr>
          <w:b/>
          <w:bCs/>
        </w:rPr>
        <w:tab/>
        <w:t>b)</w:t>
      </w:r>
      <w:r w:rsidRPr="00BC5A3F">
        <w:rPr>
          <w:b/>
          <w:bCs/>
        </w:rPr>
        <w:tab/>
        <w:t>обеспечить надлежащую подготовку центральных и местных органов власти, сотрудников правоохранительных органов, судей и прокуроров по вопросам борьбы с языком ненависти и преступлениями на почве ненависти, а также подготовку работников СМИ по вопросам поощрения принятия разнообразия;</w:t>
      </w:r>
    </w:p>
    <w:p w14:paraId="33C6E6E5" w14:textId="77777777" w:rsidR="00B675D7" w:rsidRPr="00BC5A3F" w:rsidRDefault="00B675D7" w:rsidP="00B675D7">
      <w:pPr>
        <w:pStyle w:val="SingleTxtG"/>
        <w:rPr>
          <w:b/>
          <w:bCs/>
        </w:rPr>
      </w:pPr>
      <w:r w:rsidRPr="00BC5A3F">
        <w:rPr>
          <w:b/>
          <w:bCs/>
        </w:rPr>
        <w:tab/>
        <w:t>c)</w:t>
      </w:r>
      <w:r w:rsidRPr="00BC5A3F">
        <w:rPr>
          <w:b/>
          <w:bCs/>
        </w:rPr>
        <w:tab/>
        <w:t>укрепить информационно-просветительную работу, направленную на поощрение уважения прав человека и терпимости к разнообразию, а также на пересмотр и искоренение стереотипных предрассудков, основанных на расе, этнической принадлежности или религии;</w:t>
      </w:r>
    </w:p>
    <w:p w14:paraId="7094BE7F" w14:textId="01E5CF59" w:rsidR="00B675D7" w:rsidRPr="00CA64A4" w:rsidRDefault="00B675D7" w:rsidP="00B675D7">
      <w:pPr>
        <w:pStyle w:val="SingleTxtG"/>
        <w:rPr>
          <w:b/>
          <w:bCs/>
        </w:rPr>
      </w:pPr>
      <w:r w:rsidRPr="00BC5A3F">
        <w:rPr>
          <w:b/>
          <w:bCs/>
        </w:rPr>
        <w:tab/>
        <w:t>d)</w:t>
      </w:r>
      <w:r w:rsidRPr="00BC5A3F">
        <w:rPr>
          <w:b/>
          <w:bCs/>
        </w:rPr>
        <w:tab/>
      </w:r>
      <w:r>
        <w:rPr>
          <w:b/>
          <w:bCs/>
        </w:rPr>
        <w:t xml:space="preserve">представить в своем следующем докладе статистические данные о количестве и характере преступлений на почве ненависти, об </w:t>
      </w:r>
      <w:r w:rsidRPr="00671055">
        <w:rPr>
          <w:b/>
          <w:bCs/>
        </w:rPr>
        <w:t>осуждениях</w:t>
      </w:r>
      <w:r>
        <w:rPr>
          <w:b/>
          <w:bCs/>
        </w:rPr>
        <w:t xml:space="preserve"> и приговорах, вынесенных виновным, и о компенсации, присужденной жертвам, в</w:t>
      </w:r>
      <w:r w:rsidR="00D14EAB">
        <w:rPr>
          <w:b/>
          <w:bCs/>
        </w:rPr>
        <w:t> </w:t>
      </w:r>
      <w:r>
        <w:rPr>
          <w:b/>
          <w:bCs/>
        </w:rPr>
        <w:t>соответствующих случаях.</w:t>
      </w:r>
    </w:p>
    <w:p w14:paraId="155D1024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Гендерное насилие</w:t>
      </w:r>
    </w:p>
    <w:p w14:paraId="2E40EE40" w14:textId="08E6F31F" w:rsidR="00B675D7" w:rsidRPr="00CA64A4" w:rsidRDefault="00B675D7" w:rsidP="00B675D7">
      <w:pPr>
        <w:pStyle w:val="SingleTxtG"/>
      </w:pPr>
      <w:r>
        <w:t>40.</w:t>
      </w:r>
      <w:r>
        <w:tab/>
        <w:t>Отмечая различные меры, принятые государством-участником для борьбы с гендерным насилием, включая поправку к главе 20 Уголовного кодекса, которая предусматривает, что преступление изнасилования основывается на принципе отсутствия согласия, принятие плана действий по борьбе с насилием в отношении женщин (2020–2023 годы) и стратегии Аландских островов в области полной нетерпимости к насилию в интимных отношениях (2020–2030 годы), открытие телефонной горячей линии для жертв и назначение омбудсмена по вопросам недискриминации Национальным докладчиком Финляндии по вопросу о насилии в отношении женщин, Комитет выражает обеспокоенность по поводу следующего:</w:t>
      </w:r>
    </w:p>
    <w:p w14:paraId="0C00D76F" w14:textId="77777777" w:rsidR="00B675D7" w:rsidRPr="00CA64A4" w:rsidRDefault="00B675D7" w:rsidP="00B675D7">
      <w:pPr>
        <w:pStyle w:val="SingleTxtG"/>
      </w:pPr>
      <w:r>
        <w:tab/>
        <w:t>a)</w:t>
      </w:r>
      <w:r>
        <w:tab/>
        <w:t>продолжающегося насилия в отношении женщин и высокого уровня насилия со стороны интимных партнеров;</w:t>
      </w:r>
    </w:p>
    <w:p w14:paraId="17556A0F" w14:textId="77777777" w:rsidR="00B675D7" w:rsidRPr="00CA64A4" w:rsidRDefault="00B675D7" w:rsidP="00B675D7">
      <w:pPr>
        <w:pStyle w:val="SingleTxtG"/>
      </w:pPr>
      <w:r>
        <w:tab/>
        <w:t>b)</w:t>
      </w:r>
      <w:r>
        <w:tab/>
        <w:t>сообщений о чрезмерном использовании посредничества в случаях насилия со стороны интимного партнера;</w:t>
      </w:r>
    </w:p>
    <w:p w14:paraId="42D285C9" w14:textId="77777777" w:rsidR="00B675D7" w:rsidRPr="00CA64A4" w:rsidRDefault="00B675D7" w:rsidP="00B675D7">
      <w:pPr>
        <w:pStyle w:val="SingleTxtG"/>
      </w:pPr>
      <w:r>
        <w:tab/>
        <w:t>c)</w:t>
      </w:r>
      <w:r>
        <w:tab/>
        <w:t>того, что под определение изнасилования подпадает только серьезное злоупотребление конкретным положением во власти, в то время как другие ситуации совершения сексуальных надругательств в контексте злоупотребления властью определяются как сексуальные надругательства, за которые предусмотрено более мягкое наказание;</w:t>
      </w:r>
    </w:p>
    <w:p w14:paraId="21633CAC" w14:textId="5F1B5F4F" w:rsidR="00B675D7" w:rsidRPr="00CA64A4" w:rsidRDefault="00B675D7" w:rsidP="00B675D7">
      <w:pPr>
        <w:pStyle w:val="SingleTxtG"/>
      </w:pPr>
      <w:r>
        <w:tab/>
        <w:t>d)</w:t>
      </w:r>
      <w:r>
        <w:tab/>
        <w:t>занижения данных о</w:t>
      </w:r>
      <w:r w:rsidR="001F344B">
        <w:t>б</w:t>
      </w:r>
      <w:r>
        <w:t xml:space="preserve"> изнасилованиях и низкого процента судебных преследований и обвинительных приговоров по делам об изнасилованиях;</w:t>
      </w:r>
    </w:p>
    <w:p w14:paraId="771B655A" w14:textId="77777777" w:rsidR="00B675D7" w:rsidRPr="00CA64A4" w:rsidRDefault="00B675D7" w:rsidP="00B675D7">
      <w:pPr>
        <w:pStyle w:val="SingleTxtG"/>
      </w:pPr>
      <w:r>
        <w:tab/>
        <w:t>e)</w:t>
      </w:r>
      <w:r>
        <w:tab/>
        <w:t xml:space="preserve">отсутствия адекватных приютов для пострадавших от насилия в отношении женщин, особенно в отдаленных и сельских районах; </w:t>
      </w:r>
    </w:p>
    <w:p w14:paraId="710C29D9" w14:textId="77777777" w:rsidR="00B675D7" w:rsidRPr="00CA64A4" w:rsidRDefault="00B675D7" w:rsidP="00B675D7">
      <w:pPr>
        <w:pStyle w:val="SingleTxtG"/>
      </w:pPr>
      <w:r>
        <w:tab/>
        <w:t>f)</w:t>
      </w:r>
      <w:r>
        <w:tab/>
        <w:t>того, что принудительный брак прямо не квалифицируется в Уголовном кодексе как отдельное уголовное преступление</w:t>
      </w:r>
      <w:r w:rsidRPr="007249C7">
        <w:rPr>
          <w:rStyle w:val="aa"/>
        </w:rPr>
        <w:footnoteReference w:id="16"/>
      </w:r>
      <w:r>
        <w:t>.</w:t>
      </w:r>
    </w:p>
    <w:p w14:paraId="7AAE6948" w14:textId="77777777" w:rsidR="00B675D7" w:rsidRPr="00CA64A4" w:rsidRDefault="00B675D7" w:rsidP="00B675D7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 активизировать свои усилия по предупреждению всех форм насилия в отношении женщин и борьбе с ними, в том числе:</w:t>
      </w:r>
    </w:p>
    <w:p w14:paraId="1009EE50" w14:textId="77777777" w:rsidR="00B675D7" w:rsidRPr="00065A90" w:rsidRDefault="00B675D7" w:rsidP="00B675D7">
      <w:pPr>
        <w:pStyle w:val="SingleTxtG"/>
        <w:rPr>
          <w:b/>
          <w:bCs/>
        </w:rPr>
      </w:pPr>
      <w:r>
        <w:tab/>
      </w:r>
      <w:r w:rsidRPr="00065A90">
        <w:rPr>
          <w:b/>
          <w:bCs/>
        </w:rPr>
        <w:t>a)</w:t>
      </w:r>
      <w:r w:rsidRPr="00065A90">
        <w:rPr>
          <w:b/>
          <w:bCs/>
        </w:rPr>
        <w:tab/>
        <w:t>обеспечить эффективное выполнение национального плана по реализации Конвенции Совета Европы о предотвращении и пресечении насилия в отношении женщин и домашнего насилия и предоставить Омбудсмену по вопросам недискриминации и Комитету по борьбе с насилием в отношении женщин и домашним насилием достаточные кадровые, технические и финансовые ресурсы для эффективного выполнения ими своих мандатов;</w:t>
      </w:r>
    </w:p>
    <w:p w14:paraId="68082FFA" w14:textId="77777777" w:rsidR="00B675D7" w:rsidRPr="00065A90" w:rsidRDefault="00B675D7" w:rsidP="00B675D7">
      <w:pPr>
        <w:pStyle w:val="SingleTxtG"/>
        <w:rPr>
          <w:b/>
          <w:bCs/>
        </w:rPr>
      </w:pPr>
      <w:r w:rsidRPr="00065A90">
        <w:rPr>
          <w:b/>
          <w:bCs/>
        </w:rPr>
        <w:tab/>
        <w:t>b)</w:t>
      </w:r>
      <w:r w:rsidRPr="00065A90">
        <w:rPr>
          <w:b/>
          <w:bCs/>
        </w:rPr>
        <w:tab/>
        <w:t>отдавать приоритет судебному преследованию вместо посредничества в случаях насилия со стороны интимного партнера и обеспечивать, чтобы предоставление посреднических услуг не приводило к прекращению уголовного расследования и преследования в соответствующих случаях;</w:t>
      </w:r>
    </w:p>
    <w:p w14:paraId="1D257D83" w14:textId="0BB5CAFC" w:rsidR="00B675D7" w:rsidRPr="00065A90" w:rsidRDefault="00B675D7" w:rsidP="00B675D7">
      <w:pPr>
        <w:pStyle w:val="SingleTxtG"/>
        <w:rPr>
          <w:b/>
          <w:bCs/>
        </w:rPr>
      </w:pPr>
      <w:r w:rsidRPr="00065A90">
        <w:rPr>
          <w:b/>
          <w:bCs/>
        </w:rPr>
        <w:tab/>
        <w:t>c)</w:t>
      </w:r>
      <w:r w:rsidRPr="00065A90">
        <w:rPr>
          <w:b/>
          <w:bCs/>
        </w:rPr>
        <w:tab/>
        <w:t xml:space="preserve">рассмотреть возможность внесения поправок в главу 20 Уголовного кодекса, касающуюся сексуальных преступлений, чтобы все сексуальные акты, совершаемые без согласия в ситуации </w:t>
      </w:r>
      <w:r w:rsidR="00065A90" w:rsidRPr="00065A90">
        <w:rPr>
          <w:b/>
          <w:bCs/>
        </w:rPr>
        <w:t>злоупотребления</w:t>
      </w:r>
      <w:r w:rsidRPr="00065A90">
        <w:rPr>
          <w:b/>
          <w:bCs/>
        </w:rPr>
        <w:t xml:space="preserve"> властью, квалифицировались как изнасилование, независимо от того, считается ли злоупотребление властью серьезным;</w:t>
      </w:r>
    </w:p>
    <w:p w14:paraId="424CCF73" w14:textId="77777777" w:rsidR="00B675D7" w:rsidRPr="00065A90" w:rsidRDefault="00B675D7" w:rsidP="00B675D7">
      <w:pPr>
        <w:pStyle w:val="SingleTxtG"/>
        <w:rPr>
          <w:b/>
          <w:bCs/>
        </w:rPr>
      </w:pPr>
      <w:r w:rsidRPr="00065A90">
        <w:rPr>
          <w:b/>
          <w:bCs/>
        </w:rPr>
        <w:tab/>
        <w:t>d)</w:t>
      </w:r>
      <w:r w:rsidRPr="00065A90">
        <w:rPr>
          <w:b/>
          <w:bCs/>
        </w:rPr>
        <w:tab/>
        <w:t>обеспечить тщательное расследование всех случаев гендерного насилия, в особенности тех, которые связаны с действиями или бездействием государственных органов или других субъектов, влекущими за собой международную ответственность государства-участника в соответствии с Конвенцией, уголовное преследование предполагаемых виновных и, в случае признания их вины, применение к ним надлежащих мер наказания, а также возмещение ущерба жертвам, включая предоставление надлежащей компенсации;</w:t>
      </w:r>
      <w:bookmarkStart w:id="10" w:name="_Hlk141255993"/>
      <w:bookmarkEnd w:id="10"/>
    </w:p>
    <w:p w14:paraId="17BF45D9" w14:textId="77777777" w:rsidR="00B675D7" w:rsidRPr="00065A90" w:rsidRDefault="00B675D7" w:rsidP="00B675D7">
      <w:pPr>
        <w:pStyle w:val="SingleTxtG"/>
        <w:rPr>
          <w:b/>
          <w:bCs/>
        </w:rPr>
      </w:pPr>
      <w:r w:rsidRPr="00065A90">
        <w:rPr>
          <w:b/>
          <w:bCs/>
        </w:rPr>
        <w:tab/>
        <w:t>e)</w:t>
      </w:r>
      <w:r w:rsidRPr="00065A90">
        <w:rPr>
          <w:b/>
          <w:bCs/>
        </w:rPr>
        <w:tab/>
        <w:t xml:space="preserve">принять необходимые меры для поощрения и облегчения подачи жалоб жертвами и эффективного устранения барьеров, которые могут помешать женщинам сообщать о совершенных в их отношении актах насилия; </w:t>
      </w:r>
    </w:p>
    <w:p w14:paraId="1FE74BDC" w14:textId="77777777" w:rsidR="00B675D7" w:rsidRPr="00065A90" w:rsidRDefault="00B675D7" w:rsidP="00B675D7">
      <w:pPr>
        <w:pStyle w:val="SingleTxtG"/>
        <w:rPr>
          <w:b/>
          <w:bCs/>
        </w:rPr>
      </w:pPr>
      <w:r w:rsidRPr="00065A90">
        <w:rPr>
          <w:b/>
          <w:bCs/>
        </w:rPr>
        <w:tab/>
        <w:t>f)</w:t>
      </w:r>
      <w:r w:rsidRPr="00065A90">
        <w:rPr>
          <w:b/>
          <w:bCs/>
        </w:rPr>
        <w:tab/>
        <w:t>предоставить безопасные и адекватно финансируемые приюты для жертв гендерного насилия по всей стране, в том числе в сельских и отдаленных районах;</w:t>
      </w:r>
    </w:p>
    <w:p w14:paraId="0755E8FA" w14:textId="77777777" w:rsidR="00B675D7" w:rsidRPr="00CA64A4" w:rsidRDefault="00B675D7" w:rsidP="00B675D7">
      <w:pPr>
        <w:pStyle w:val="SingleTxtG"/>
        <w:rPr>
          <w:b/>
          <w:bCs/>
        </w:rPr>
      </w:pPr>
      <w:r w:rsidRPr="00065A90">
        <w:rPr>
          <w:b/>
          <w:bCs/>
        </w:rPr>
        <w:tab/>
        <w:t>g)</w:t>
      </w:r>
      <w:r>
        <w:tab/>
      </w:r>
      <w:r>
        <w:rPr>
          <w:b/>
          <w:bCs/>
        </w:rPr>
        <w:t>квалифицировать принудительный брак в качестве отдельного уголовного преступления в Уголовном кодексе.</w:t>
      </w:r>
    </w:p>
    <w:p w14:paraId="05D77F30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3737090A" w14:textId="5A54E742" w:rsidR="00B675D7" w:rsidRPr="00CA64A4" w:rsidRDefault="00B675D7" w:rsidP="00B675D7">
      <w:pPr>
        <w:pStyle w:val="SingleTxtG"/>
      </w:pPr>
      <w:r>
        <w:t>42.</w:t>
      </w:r>
      <w:r>
        <w:tab/>
        <w:t xml:space="preserve">Отмечая принятие плана действий по борьбе с торговлей людьми </w:t>
      </w:r>
      <w:r w:rsidR="00C80871">
        <w:br/>
      </w:r>
      <w:r>
        <w:t>(2021–2023 годы) и работу Национальной системы помощи жертвам торговли людьми, а также создание общенациональной полицейской сети по борьбе с торговлей людьми, Комитет выражает озабоченность по поводу:</w:t>
      </w:r>
    </w:p>
    <w:p w14:paraId="55628BBD" w14:textId="77777777" w:rsidR="00B675D7" w:rsidRPr="00CA64A4" w:rsidRDefault="00B675D7" w:rsidP="00B675D7">
      <w:pPr>
        <w:pStyle w:val="SingleTxtG"/>
      </w:pPr>
      <w:r>
        <w:tab/>
        <w:t>a)</w:t>
      </w:r>
      <w:r>
        <w:tab/>
        <w:t>того, что государство-участник, как сообщается, продолжает оставаться страной назначения для женщин, мужчин и детей, вывозимых из-за границы для целей принудительного труда и сексуальной эксплуатации;</w:t>
      </w:r>
    </w:p>
    <w:p w14:paraId="4097B9F6" w14:textId="77777777" w:rsidR="00B675D7" w:rsidRPr="00CA64A4" w:rsidRDefault="00B675D7" w:rsidP="00B675D7">
      <w:pPr>
        <w:pStyle w:val="SingleTxtG"/>
      </w:pPr>
      <w:r>
        <w:tab/>
        <w:t>b)</w:t>
      </w:r>
      <w:r>
        <w:tab/>
        <w:t xml:space="preserve">предположительно низких показателей уголовного преследования и вынесения обвинительных приговоров по делам о торговле людьми; </w:t>
      </w:r>
    </w:p>
    <w:p w14:paraId="17C5E637" w14:textId="77777777" w:rsidR="00B675D7" w:rsidRPr="00CA64A4" w:rsidRDefault="00B675D7" w:rsidP="00B675D7">
      <w:pPr>
        <w:pStyle w:val="SingleTxtG"/>
      </w:pPr>
      <w:r>
        <w:tab/>
        <w:t>c)</w:t>
      </w:r>
      <w:r>
        <w:tab/>
        <w:t>того, что в Закон об иностранцах до сих пор не внесены поправки, направленные на устранение риска повторной виктимизации жертв торговли людьми за преступления, которые они могли совершить в связи с попаданием в руки торговцев людьми или в результате этого (ст. 2, 12–14 и 16)</w:t>
      </w:r>
      <w:r w:rsidRPr="007249C7">
        <w:rPr>
          <w:rStyle w:val="aa"/>
        </w:rPr>
        <w:footnoteReference w:id="17"/>
      </w:r>
      <w:r>
        <w:t>.</w:t>
      </w:r>
    </w:p>
    <w:p w14:paraId="1E1D8946" w14:textId="77777777" w:rsidR="00B675D7" w:rsidRPr="00CA64A4" w:rsidRDefault="00B675D7" w:rsidP="00B675D7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Государству-участнику следует продолжать и наращивать усилия по борьбе с торговлей людьми.</w:t>
      </w:r>
      <w:r>
        <w:t xml:space="preserve"> </w:t>
      </w:r>
      <w:r>
        <w:rPr>
          <w:b/>
          <w:bCs/>
        </w:rPr>
        <w:t>В этом отношении ему следует:</w:t>
      </w:r>
    </w:p>
    <w:p w14:paraId="6E280C3B" w14:textId="77777777" w:rsidR="00B675D7" w:rsidRPr="00A561F4" w:rsidRDefault="00B675D7" w:rsidP="00B675D7">
      <w:pPr>
        <w:pStyle w:val="SingleTxtG"/>
        <w:rPr>
          <w:b/>
          <w:bCs/>
        </w:rPr>
      </w:pPr>
      <w:r>
        <w:tab/>
      </w:r>
      <w:r w:rsidRPr="00A561F4">
        <w:rPr>
          <w:b/>
          <w:bCs/>
        </w:rPr>
        <w:t>a)</w:t>
      </w:r>
      <w:r w:rsidRPr="00A561F4">
        <w:rPr>
          <w:b/>
          <w:bCs/>
        </w:rPr>
        <w:tab/>
        <w:t>обеспечить эффективное применение действующего законодательства и оперативно, тщательно и эффективно проводить расследования, привлекать к уголовной ответственности и назначать соответствующие меры наказания за торговлю людьми и связанную с ней практику, обеспечивая выделение всех ресурсов, необходимых для этих целей;</w:t>
      </w:r>
    </w:p>
    <w:p w14:paraId="116A306B" w14:textId="77777777" w:rsidR="00B675D7" w:rsidRPr="00A561F4" w:rsidRDefault="00B675D7" w:rsidP="00B675D7">
      <w:pPr>
        <w:pStyle w:val="SingleTxtG"/>
        <w:rPr>
          <w:b/>
          <w:bCs/>
        </w:rPr>
      </w:pPr>
      <w:r w:rsidRPr="00A561F4">
        <w:rPr>
          <w:b/>
          <w:bCs/>
        </w:rPr>
        <w:tab/>
        <w:t>b)</w:t>
      </w:r>
      <w:r w:rsidRPr="00A561F4">
        <w:rPr>
          <w:b/>
          <w:bCs/>
        </w:rPr>
        <w:tab/>
        <w:t>поощрять подачу заявлений о фактах нарушений путем повышения осведомленности среди представителей уязвимых сообществ о рисках торговли людьми, а также проводить обучение судей, сотрудников правоохранительных органов, иммиграционных и пограничных служб методам раннего выявления жертв торговли людьми и направления их в соответствующие социальные и юридические службы;</w:t>
      </w:r>
    </w:p>
    <w:p w14:paraId="31D02B73" w14:textId="77777777" w:rsidR="00B675D7" w:rsidRPr="00A561F4" w:rsidRDefault="00B675D7" w:rsidP="00B675D7">
      <w:pPr>
        <w:pStyle w:val="SingleTxtG"/>
        <w:rPr>
          <w:b/>
          <w:bCs/>
        </w:rPr>
      </w:pPr>
      <w:r w:rsidRPr="00A561F4">
        <w:rPr>
          <w:b/>
          <w:bCs/>
        </w:rPr>
        <w:tab/>
        <w:t>c)</w:t>
      </w:r>
      <w:r w:rsidRPr="00A561F4">
        <w:rPr>
          <w:b/>
          <w:bCs/>
        </w:rPr>
        <w:tab/>
        <w:t xml:space="preserve">ускорить внесение поправок в Закон об иностранцах, чтобы жертвы торговли людьми не подвергались преследованию, задержанию или наказанию за преступления, которые они могли совершить в связи с попаданием в руки торговцев людьми или в результате этого; </w:t>
      </w:r>
    </w:p>
    <w:p w14:paraId="1A1FA58F" w14:textId="77777777" w:rsidR="00B675D7" w:rsidRPr="00CA64A4" w:rsidRDefault="00B675D7" w:rsidP="00B675D7">
      <w:pPr>
        <w:pStyle w:val="SingleTxtG"/>
        <w:rPr>
          <w:b/>
          <w:bCs/>
        </w:rPr>
      </w:pPr>
      <w:r w:rsidRPr="00A561F4">
        <w:rPr>
          <w:b/>
          <w:bCs/>
        </w:rPr>
        <w:tab/>
        <w:t>d)</w:t>
      </w:r>
      <w:r w:rsidRPr="00A561F4">
        <w:rPr>
          <w:b/>
          <w:bCs/>
        </w:rPr>
        <w:tab/>
        <w:t>обеспечить предоставление надлежащей защиты и поддержки жертвам торговли</w:t>
      </w:r>
      <w:r>
        <w:rPr>
          <w:b/>
          <w:bCs/>
        </w:rPr>
        <w:t xml:space="preserve"> людьми, в том числе путем создания отдельных, надлежащим образом оснащенных приютов с квалифицированным персоналом для удовлетворения их особых потребностей и запросов, а также повысить эффективность мер по долгосрочной реинтеграции жертв торговли людьми и обеспечить им возмещение ущерба, включая надлежащую компенсацию.</w:t>
      </w:r>
    </w:p>
    <w:p w14:paraId="4B1F1D10" w14:textId="77777777" w:rsidR="00B675D7" w:rsidRPr="00C667EC" w:rsidRDefault="00B675D7" w:rsidP="00B675D7">
      <w:pPr>
        <w:pStyle w:val="H23G"/>
      </w:pPr>
      <w:r>
        <w:tab/>
      </w:r>
      <w:r>
        <w:tab/>
      </w:r>
      <w:r>
        <w:rPr>
          <w:bCs/>
        </w:rPr>
        <w:t>Трансгендерные и интерсекс-люди</w:t>
      </w:r>
      <w:r>
        <w:t xml:space="preserve"> </w:t>
      </w:r>
    </w:p>
    <w:p w14:paraId="03AADEE9" w14:textId="47658994" w:rsidR="00B675D7" w:rsidRPr="00CA64A4" w:rsidRDefault="00B675D7" w:rsidP="00B675D7">
      <w:pPr>
        <w:pStyle w:val="SingleTxtG"/>
      </w:pPr>
      <w:r>
        <w:t>44.</w:t>
      </w:r>
      <w:r>
        <w:tab/>
        <w:t>Отмечая принятие Закона о юридическом признании гендера, отменяющего требования о медицинском освидетельствовании и стерилизации, и плана действий по обеспечению равных возможностей для лесбиянок, геев, бисексуалов, трансгендеров и интерсексов в аландском обществе, Комитет выражает обеспокоенность по поводу того, что трансгендерные дети, давшие свое согласие, могут не получить доступ к процедуре юридического признания гендера. Комитет обеспокоен также сообщениями о случаях неоправданных с медицинской точки зрения операций и других видов медицинского лечения с пожизненными последствиями, включая сильную боль и страдания, которым подвергаются дети-интерсексы до достижения ими возраста, в</w:t>
      </w:r>
      <w:r w:rsidR="005D077D">
        <w:rPr>
          <w:lang w:val="fr-CH"/>
        </w:rPr>
        <w:t> </w:t>
      </w:r>
      <w:r>
        <w:t>котором они способны дать свое свободное, предварительное и осознанное согласие. Комитет далее выражает озабоченность по поводу недостаточного обеспечения поддержки и консультирования семей детей-интерсексов, а также возмещения ущерба и реабилитации пострадавших (ст. 2 и 16)</w:t>
      </w:r>
      <w:r w:rsidRPr="007249C7">
        <w:rPr>
          <w:rStyle w:val="aa"/>
        </w:rPr>
        <w:footnoteReference w:id="18"/>
      </w:r>
      <w:r>
        <w:t>.</w:t>
      </w:r>
    </w:p>
    <w:p w14:paraId="4D3639EE" w14:textId="77777777" w:rsidR="00B675D7" w:rsidRPr="00C667EC" w:rsidRDefault="00B675D7" w:rsidP="00B675D7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Государству-участнику следует:</w:t>
      </w:r>
    </w:p>
    <w:p w14:paraId="34593C86" w14:textId="77777777" w:rsidR="00B675D7" w:rsidRPr="005D077D" w:rsidRDefault="00B675D7" w:rsidP="00B675D7">
      <w:pPr>
        <w:pStyle w:val="SingleTxtG"/>
        <w:rPr>
          <w:b/>
          <w:bCs/>
        </w:rPr>
      </w:pPr>
      <w:r>
        <w:tab/>
      </w:r>
      <w:r w:rsidRPr="005D077D">
        <w:rPr>
          <w:b/>
          <w:bCs/>
        </w:rPr>
        <w:t>a)</w:t>
      </w:r>
      <w:r w:rsidRPr="005D077D">
        <w:rPr>
          <w:b/>
          <w:bCs/>
        </w:rPr>
        <w:tab/>
        <w:t>рассмотреть возможность предоставления доступа к процедуре юридического признания гендера детям-трансгендерам, достигшим достаточного возраста или зрелости для принятия собственных решений и предоставления свободного, предварительного и осознанного согласия, в соответствии с международными нормами и стандартами в области прав человека, касающимися прав ребенка, уважения физической и психологической неприкосновенности, свободы выражения, автономии, права быть услышанным и права на идентичность;</w:t>
      </w:r>
    </w:p>
    <w:p w14:paraId="5E73AB15" w14:textId="77777777" w:rsidR="00B675D7" w:rsidRPr="00CA64A4" w:rsidRDefault="00B675D7" w:rsidP="00B675D7">
      <w:pPr>
        <w:pStyle w:val="SingleTxtG"/>
        <w:rPr>
          <w:b/>
          <w:bCs/>
        </w:rPr>
      </w:pPr>
      <w:r w:rsidRPr="005D077D">
        <w:rPr>
          <w:b/>
          <w:bCs/>
        </w:rPr>
        <w:tab/>
        <w:t>b)</w:t>
      </w:r>
      <w:r w:rsidRPr="005D077D">
        <w:rPr>
          <w:b/>
          <w:bCs/>
        </w:rPr>
        <w:tab/>
        <w:t>рассмотреть вопрос о принятии законодательных положений, прямо запрещающих</w:t>
      </w:r>
      <w:r>
        <w:rPr>
          <w:b/>
          <w:bCs/>
        </w:rPr>
        <w:t xml:space="preserve"> проведение несрочного и необязательного медицинского или хирургического лечения детей-интерсексов до достижения ими достаточного возраста или зрелости для принятия собственных решений и предоставления свободного, предварительного и осознанного согласия;</w:t>
      </w:r>
    </w:p>
    <w:p w14:paraId="16772CA2" w14:textId="77777777" w:rsidR="00B675D7" w:rsidRPr="005D077D" w:rsidRDefault="00B675D7" w:rsidP="00B675D7">
      <w:pPr>
        <w:pStyle w:val="SingleTxtG"/>
        <w:rPr>
          <w:b/>
          <w:bCs/>
        </w:rPr>
      </w:pPr>
      <w:r>
        <w:tab/>
      </w:r>
      <w:r w:rsidRPr="005D077D">
        <w:rPr>
          <w:b/>
          <w:bCs/>
        </w:rPr>
        <w:t>c)</w:t>
      </w:r>
      <w:r w:rsidRPr="005D077D">
        <w:rPr>
          <w:b/>
          <w:bCs/>
        </w:rPr>
        <w:tab/>
        <w:t>обеспечить независимый надзор за принятием решений для того, чтобы медицинское лечение детей с интерсексными признаками, которые не могут дать свое согласие, носило необходимый, срочный и наименее инвазивный характер;</w:t>
      </w:r>
    </w:p>
    <w:p w14:paraId="74F7FAD2" w14:textId="77777777" w:rsidR="00B675D7" w:rsidRPr="00CA64A4" w:rsidRDefault="00B675D7" w:rsidP="00B675D7">
      <w:pPr>
        <w:pStyle w:val="SingleTxtG"/>
        <w:rPr>
          <w:b/>
          <w:bCs/>
        </w:rPr>
      </w:pPr>
      <w:r w:rsidRPr="005D077D">
        <w:rPr>
          <w:b/>
          <w:bCs/>
        </w:rPr>
        <w:tab/>
        <w:t>d)</w:t>
      </w:r>
      <w:r w:rsidRPr="005D077D">
        <w:rPr>
          <w:b/>
          <w:bCs/>
        </w:rPr>
        <w:tab/>
        <w:t>обеспечить возмещение ущерба жертвам лечения, не являющегося неотложным</w:t>
      </w:r>
      <w:r>
        <w:rPr>
          <w:b/>
          <w:bCs/>
        </w:rPr>
        <w:t xml:space="preserve"> и жизненно необходимым, включая выплату надлежащей компенсации и возможность пройти реабилитацию, а также гарантировать получение всеми интерсексными детьми и подростками и их семьями профессиональных консультационных услуг, психологической и социальной поддержки.</w:t>
      </w:r>
    </w:p>
    <w:p w14:paraId="685E3E6D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</w:p>
    <w:p w14:paraId="028DCA6C" w14:textId="1E973C9E" w:rsidR="00B675D7" w:rsidRPr="00CA64A4" w:rsidRDefault="00B675D7" w:rsidP="00B675D7">
      <w:pPr>
        <w:pStyle w:val="SingleTxtG"/>
      </w:pPr>
      <w:r>
        <w:t>46.</w:t>
      </w:r>
      <w:r>
        <w:tab/>
        <w:t>Признавая необходимость принятия государством-участником мер по борьбе с террористической угрозой, включая осуществление Национального плана действий по предотвращению насильственной радикализации и экстремизма (2019–2023 годы), Комитет выражает обеспокоенность по поводу того, что законодательство, политика и практика государства-участника в области борьбы с терроризмом по-прежнему предусматривают потенциально чрезмерные ограничения прав лиц, подозреваемых или обвиняемых в причастности к террористическим актам, включая право на справедливое судебное разбирательство и право на свободу и личную неприкосновенность. Комитет обеспокоен также расплывчатым определением террористических преступлений, содержащимся в Уголовном кодексе, и риском неправомерного толкования соответствующего положения</w:t>
      </w:r>
      <w:r w:rsidRPr="007249C7">
        <w:rPr>
          <w:rStyle w:val="aa"/>
        </w:rPr>
        <w:footnoteReference w:id="19"/>
      </w:r>
      <w:r>
        <w:t>. Комитет сожалеет об отсутствии информации о лицах, осужденных в соответствии с законодательством о борьбе с терроризмом, о правовых гарантиях и средствах правовой защиты, имеющихся у лиц, подвергшихся контртеррористическим мерам, в законодательстве и на практике, о том, были ли получены жалобы на несоблюдение национальных и международных стандартов в этой области, и о результатах рассмотрения этих жалоб (ст. 2, 11, 12 и 16).</w:t>
      </w:r>
    </w:p>
    <w:p w14:paraId="149B3727" w14:textId="77777777" w:rsidR="00B675D7" w:rsidRPr="00CA64A4" w:rsidRDefault="00B675D7" w:rsidP="00B675D7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 принять все необходимые меры, чтобы обеспечить полное соответствие законодательства, политики и практики в области борьбы с терроризмом и обеспечения национальной безопасности положениям Конвенции, а также наличие надлежащих и эффективных правовых гарантий против пыток и жестокого обращения и произвольного задержания.</w:t>
      </w:r>
      <w:r>
        <w:t xml:space="preserve"> </w:t>
      </w:r>
      <w:r>
        <w:rPr>
          <w:b/>
          <w:bCs/>
        </w:rPr>
        <w:t>Кроме того, государство-участник должно проводить оперативные, беспристрастные и эффективные расследования по всем заявлениям о нарушениях прав человека, включая акты пыток и жестокого обращения, совершенные в ходе проведения контртеррористических операций, привлекать к уголовной ответственности и наказывать виновных, а также обеспечивать жертвам доступ к эффективным средствам правовой защиты и полное возмещение ущерба.</w:t>
      </w:r>
      <w:r>
        <w:t xml:space="preserve"> </w:t>
      </w:r>
    </w:p>
    <w:p w14:paraId="219F8334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Обучение</w:t>
      </w:r>
    </w:p>
    <w:p w14:paraId="7F791690" w14:textId="77777777" w:rsidR="00B675D7" w:rsidRPr="00CA64A4" w:rsidRDefault="00B675D7" w:rsidP="00B675D7">
      <w:pPr>
        <w:pStyle w:val="SingleTxtG"/>
        <w:spacing w:line="220" w:lineRule="atLeast"/>
      </w:pPr>
      <w:r>
        <w:t>48.</w:t>
      </w:r>
      <w:r>
        <w:tab/>
        <w:t>Комитет принимает к сведению усилия государства-участника по разработке и внедрению образовательных и учебных модулей по правам человека, в том числе по Конвенции и абсолютному запрету пыток, для сотрудников правоохранительных органов, персонала тюрем, судей, прокуроров, сотрудников иммиграционных служб, пограничников и военнослужащих. Вместе с тем он выражает сожаление по поводу отсутствия всеобъемлющего и непрерывного обучения по содержанию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в новой редакции. Кроме того, Комитет сожалеет об ограниченности информации о регулярной и специальной подготовке персонала детских учреждений, государственных школ-интернатов и психиатрических учреждений, судебных медиков и соответствующего медицинского персонала, а также о механизмах оценки эффективности программ подготовки (ст. 10).</w:t>
      </w:r>
    </w:p>
    <w:p w14:paraId="636386C0" w14:textId="77777777" w:rsidR="00B675D7" w:rsidRPr="00CA64A4" w:rsidRDefault="00B675D7" w:rsidP="00B675D7">
      <w:pPr>
        <w:pStyle w:val="SingleTxtG"/>
        <w:spacing w:line="220" w:lineRule="atLeast"/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следует:</w:t>
      </w:r>
    </w:p>
    <w:p w14:paraId="7C355813" w14:textId="73DF45F7" w:rsidR="00B675D7" w:rsidRPr="002658DB" w:rsidRDefault="00B675D7" w:rsidP="00B675D7">
      <w:pPr>
        <w:pStyle w:val="SingleTxtG"/>
        <w:spacing w:line="220" w:lineRule="atLeast"/>
        <w:rPr>
          <w:b/>
          <w:bCs/>
        </w:rPr>
      </w:pPr>
      <w:r>
        <w:tab/>
      </w:r>
      <w:r w:rsidRPr="002658DB">
        <w:rPr>
          <w:b/>
          <w:bCs/>
        </w:rPr>
        <w:t>a)</w:t>
      </w:r>
      <w:r w:rsidRPr="002658DB">
        <w:rPr>
          <w:b/>
          <w:bCs/>
        </w:rPr>
        <w:tab/>
        <w:t>продолжать разрабатывать обязательные программы первоначального обучения и обучения без отрыва от работы, чтобы все государственные служащие, в том числе сотрудники правоохранительных органов, работники тюрем, иммиграционных служб, пограничники, военнослужащие, медицинский персонал, работающий в тюрьмах, а также персонал, работающий в детских учреждениях, государственных школах-интернатах и психиатрических учреждениях, были хорошо знакомы с положениями Конвенции, особенно в отношении абсолютного запрета пыток, и в полной мере осознавали, что нарушения недопустимы и будут расследоваться, а</w:t>
      </w:r>
      <w:r w:rsidR="002658DB">
        <w:rPr>
          <w:b/>
          <w:bCs/>
          <w:lang w:val="fr-CH"/>
        </w:rPr>
        <w:t> </w:t>
      </w:r>
      <w:r w:rsidRPr="002658DB">
        <w:rPr>
          <w:b/>
          <w:bCs/>
        </w:rPr>
        <w:t>виновные будут привлекаться к уголовной ответственности и в случае осуждения понесут соответствующее наказание;</w:t>
      </w:r>
    </w:p>
    <w:p w14:paraId="2580D96C" w14:textId="77777777" w:rsidR="00B675D7" w:rsidRPr="002658DB" w:rsidRDefault="00B675D7" w:rsidP="00B675D7">
      <w:pPr>
        <w:pStyle w:val="SingleTxtG"/>
        <w:spacing w:line="220" w:lineRule="atLeast"/>
        <w:rPr>
          <w:b/>
          <w:bCs/>
        </w:rPr>
      </w:pPr>
      <w:r w:rsidRPr="002658DB">
        <w:rPr>
          <w:b/>
          <w:bCs/>
        </w:rPr>
        <w:tab/>
        <w:t>b)</w:t>
      </w:r>
      <w:r w:rsidRPr="002658DB">
        <w:rPr>
          <w:b/>
          <w:bCs/>
        </w:rPr>
        <w:tab/>
        <w:t>обеспечить прохождение всеми соответствующими сотрудниками, включая судей, прокуроров и медицинский персонал, в том числе экспертов-криминалистов, специальной подготовки по выявлению случаев пыток и жестокого обращения и передавать соответствующие дела компетентным следственным органам в соответствии со Стамбульским протоколом в новой редакции;</w:t>
      </w:r>
    </w:p>
    <w:p w14:paraId="5B21DC46" w14:textId="77777777" w:rsidR="00B675D7" w:rsidRPr="00CA64A4" w:rsidRDefault="00B675D7" w:rsidP="00B675D7">
      <w:pPr>
        <w:pStyle w:val="SingleTxtG"/>
        <w:spacing w:line="220" w:lineRule="atLeast"/>
        <w:rPr>
          <w:b/>
          <w:bCs/>
        </w:rPr>
      </w:pPr>
      <w:r w:rsidRPr="002658DB">
        <w:rPr>
          <w:b/>
          <w:bCs/>
        </w:rPr>
        <w:tab/>
        <w:t>c)</w:t>
      </w:r>
      <w:r w:rsidRPr="002658DB">
        <w:rPr>
          <w:b/>
          <w:bCs/>
        </w:rPr>
        <w:tab/>
      </w:r>
      <w:r>
        <w:rPr>
          <w:b/>
          <w:bCs/>
        </w:rPr>
        <w:t>разработать и применять методику оценки эффективности программ обучения и подготовки с точки зрения уменьшения количества случаев пыток и жестокого обращения, а также обеспечения выявления, документирования и расследования таких актов и привлечения виновных к уголовной ответственности.</w:t>
      </w:r>
    </w:p>
    <w:p w14:paraId="3D0C53AE" w14:textId="77777777" w:rsidR="00B675D7" w:rsidRPr="00CA64A4" w:rsidRDefault="00B675D7" w:rsidP="00B675D7">
      <w:pPr>
        <w:pStyle w:val="H23G"/>
      </w:pPr>
      <w:r>
        <w:tab/>
      </w:r>
      <w:r>
        <w:tab/>
      </w:r>
      <w:r>
        <w:rPr>
          <w:bCs/>
        </w:rPr>
        <w:t>Процедура последующих действий</w:t>
      </w:r>
    </w:p>
    <w:p w14:paraId="1CF3036B" w14:textId="2BA6E655" w:rsidR="00B675D7" w:rsidRPr="00CA64A4" w:rsidRDefault="00B675D7" w:rsidP="00B675D7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просит государство-участник представить к 10 мая 2025 года информацию о последующих мерах по выполнению рекомендаций Комитета, касающихся основных правовых гарантий, содержания лиц, находящихся в предварительном заключении, в изоляторах временного содержания, предоставления убежища и недопустимости принудительного возвращения, а</w:t>
      </w:r>
      <w:r w:rsidR="002658DB">
        <w:rPr>
          <w:b/>
          <w:bCs/>
          <w:lang w:val="fr-CH"/>
        </w:rPr>
        <w:t> </w:t>
      </w:r>
      <w:r>
        <w:rPr>
          <w:b/>
          <w:bCs/>
        </w:rPr>
        <w:t>также преступлений на почве ненависти (см. пп. 15, 17, 19 а) и 39 а) выше).</w:t>
      </w:r>
      <w:r>
        <w:t xml:space="preserve"> </w:t>
      </w:r>
      <w:r>
        <w:rPr>
          <w:b/>
          <w:bCs/>
        </w:rPr>
        <w:t>В</w:t>
      </w:r>
      <w:r w:rsidR="0090019C">
        <w:rPr>
          <w:b/>
          <w:bCs/>
          <w:lang w:val="fr-CH"/>
        </w:rPr>
        <w:t> </w:t>
      </w:r>
      <w:r>
        <w:rPr>
          <w:b/>
          <w:bCs/>
        </w:rPr>
        <w:t>этой связи государству-участнику предлагается сообщить Комитету о своих планах по выполнению в течение предстоящего отчетного периода оставшихся рекомендаций, содержащихся в настоящих заключительных замечаниях.</w:t>
      </w:r>
    </w:p>
    <w:p w14:paraId="31D6E51B" w14:textId="77777777" w:rsidR="00B675D7" w:rsidRPr="00CA64A4" w:rsidRDefault="00B675D7" w:rsidP="00B675D7">
      <w:pPr>
        <w:pStyle w:val="H1G"/>
        <w:rPr>
          <w:bCs/>
        </w:rPr>
      </w:pPr>
      <w:r>
        <w:tab/>
      </w:r>
      <w:r>
        <w:tab/>
      </w:r>
      <w:r>
        <w:rPr>
          <w:bCs/>
        </w:rPr>
        <w:t>Прочие вопросы</w:t>
      </w:r>
    </w:p>
    <w:p w14:paraId="1C20105B" w14:textId="77777777" w:rsidR="00B675D7" w:rsidRPr="00CA64A4" w:rsidRDefault="00B675D7" w:rsidP="00B675D7">
      <w:pPr>
        <w:pStyle w:val="SingleTxtG"/>
        <w:spacing w:line="220" w:lineRule="atLeast"/>
        <w:rPr>
          <w:b/>
          <w:bCs/>
        </w:rPr>
      </w:pPr>
      <w:r>
        <w:t>51.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сообщить Комитету о проведенных с этой целью мероприятиях.</w:t>
      </w:r>
    </w:p>
    <w:p w14:paraId="15203AD8" w14:textId="4BCEB110" w:rsidR="00B675D7" w:rsidRPr="00CA64A4" w:rsidRDefault="00B675D7" w:rsidP="00B675D7">
      <w:pPr>
        <w:pStyle w:val="SingleTxtG"/>
        <w:spacing w:line="220" w:lineRule="atLeast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просит государство-участник представить свой следующий, девятый по счету, периодический доклад к 10 мая 2028 года.</w:t>
      </w:r>
      <w:r>
        <w:t xml:space="preserve"> </w:t>
      </w:r>
      <w:r>
        <w:rPr>
          <w:b/>
          <w:bCs/>
        </w:rPr>
        <w:t>С этой целью и с учетом того, что государство-участник согласилось представлять Комитету доклады по упрощенной процедуре, Комитет в надлежащее время препроводит государству-участнику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составят его девятый периодический доклад в соответствии со статьей 19 Конвенции.</w:t>
      </w:r>
    </w:p>
    <w:p w14:paraId="2FC4D7B7" w14:textId="17C1FDDF" w:rsidR="00381C24" w:rsidRPr="00BC18B2" w:rsidRDefault="00B675D7" w:rsidP="00B675D7">
      <w:pPr>
        <w:spacing w:before="120"/>
        <w:jc w:val="center"/>
      </w:pPr>
      <w:r w:rsidRPr="00CA64A4">
        <w:rPr>
          <w:u w:val="single"/>
        </w:rPr>
        <w:tab/>
      </w:r>
      <w:r w:rsidRPr="00CA64A4">
        <w:rPr>
          <w:u w:val="single"/>
        </w:rPr>
        <w:tab/>
      </w:r>
      <w:r w:rsidRPr="00CA64A4">
        <w:rPr>
          <w:u w:val="single"/>
        </w:rPr>
        <w:tab/>
      </w:r>
    </w:p>
    <w:sectPr w:rsidR="00381C24" w:rsidRPr="00BC18B2" w:rsidSect="00B675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02598" w14:textId="77777777" w:rsidR="004D663D" w:rsidRPr="00A312BC" w:rsidRDefault="004D663D" w:rsidP="00A312BC"/>
  </w:endnote>
  <w:endnote w:type="continuationSeparator" w:id="0">
    <w:p w14:paraId="08D9EF0A" w14:textId="77777777" w:rsidR="004D663D" w:rsidRPr="00A312BC" w:rsidRDefault="004D663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4A502" w14:textId="4E840D00" w:rsidR="00B675D7" w:rsidRPr="00B675D7" w:rsidRDefault="00B675D7">
    <w:pPr>
      <w:pStyle w:val="a8"/>
    </w:pPr>
    <w:r w:rsidRPr="00B675D7">
      <w:rPr>
        <w:b/>
        <w:sz w:val="18"/>
      </w:rPr>
      <w:fldChar w:fldCharType="begin"/>
    </w:r>
    <w:r w:rsidRPr="00B675D7">
      <w:rPr>
        <w:b/>
        <w:sz w:val="18"/>
      </w:rPr>
      <w:instrText xml:space="preserve"> PAGE  \* MERGEFORMAT </w:instrText>
    </w:r>
    <w:r w:rsidRPr="00B675D7">
      <w:rPr>
        <w:b/>
        <w:sz w:val="18"/>
      </w:rPr>
      <w:fldChar w:fldCharType="separate"/>
    </w:r>
    <w:r w:rsidRPr="00B675D7">
      <w:rPr>
        <w:b/>
        <w:noProof/>
        <w:sz w:val="18"/>
      </w:rPr>
      <w:t>2</w:t>
    </w:r>
    <w:r w:rsidRPr="00B675D7">
      <w:rPr>
        <w:b/>
        <w:sz w:val="18"/>
      </w:rPr>
      <w:fldChar w:fldCharType="end"/>
    </w:r>
    <w:r>
      <w:rPr>
        <w:b/>
        <w:sz w:val="18"/>
      </w:rPr>
      <w:tab/>
    </w:r>
    <w:r>
      <w:t>GE.24-08613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547EE" w14:textId="204AF77C" w:rsidR="00B675D7" w:rsidRPr="00B675D7" w:rsidRDefault="00B675D7" w:rsidP="00B675D7">
    <w:pPr>
      <w:pStyle w:val="a8"/>
      <w:tabs>
        <w:tab w:val="clear" w:pos="9639"/>
        <w:tab w:val="right" w:pos="9638"/>
      </w:tabs>
      <w:rPr>
        <w:b/>
        <w:sz w:val="18"/>
      </w:rPr>
    </w:pPr>
    <w:r>
      <w:t>GE.24-08613</w:t>
    </w:r>
    <w:r>
      <w:tab/>
    </w:r>
    <w:r w:rsidRPr="00B675D7">
      <w:rPr>
        <w:b/>
        <w:sz w:val="18"/>
      </w:rPr>
      <w:fldChar w:fldCharType="begin"/>
    </w:r>
    <w:r w:rsidRPr="00B675D7">
      <w:rPr>
        <w:b/>
        <w:sz w:val="18"/>
      </w:rPr>
      <w:instrText xml:space="preserve"> PAGE  \* MERGEFORMAT </w:instrText>
    </w:r>
    <w:r w:rsidRPr="00B675D7">
      <w:rPr>
        <w:b/>
        <w:sz w:val="18"/>
      </w:rPr>
      <w:fldChar w:fldCharType="separate"/>
    </w:r>
    <w:r w:rsidRPr="00B675D7">
      <w:rPr>
        <w:b/>
        <w:noProof/>
        <w:sz w:val="18"/>
      </w:rPr>
      <w:t>3</w:t>
    </w:r>
    <w:r w:rsidRPr="00B675D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90EAB" w14:textId="6E9003E3" w:rsidR="00042B72" w:rsidRPr="00B675D7" w:rsidRDefault="00B675D7" w:rsidP="00B675D7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92763ED" wp14:editId="013DB01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24-08613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094554" wp14:editId="35C9C07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070624  110624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9DAEA" w14:textId="77777777" w:rsidR="004D663D" w:rsidRPr="001075E9" w:rsidRDefault="004D663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1B85C6E" w14:textId="77777777" w:rsidR="004D663D" w:rsidRDefault="004D663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2470BCF" w14:textId="054D4F7F" w:rsidR="00B675D7" w:rsidRPr="00CA64A4" w:rsidRDefault="00B675D7" w:rsidP="00B675D7">
      <w:pPr>
        <w:pStyle w:val="ad"/>
        <w:rPr>
          <w:rFonts w:eastAsiaTheme="minorEastAsia"/>
          <w:color w:val="000000" w:themeColor="text1"/>
          <w:sz w:val="20"/>
        </w:rPr>
      </w:pPr>
      <w:r>
        <w:tab/>
      </w:r>
      <w:r w:rsidRPr="00B675D7">
        <w:rPr>
          <w:sz w:val="20"/>
        </w:rPr>
        <w:t>*</w:t>
      </w:r>
      <w:r>
        <w:tab/>
        <w:t>Принято Комитетом на его семьдесят девятой сессии (15 апреля — 10 мая 2024 года).</w:t>
      </w:r>
    </w:p>
  </w:footnote>
  <w:footnote w:id="2">
    <w:p w14:paraId="0A9CEB3B" w14:textId="424BDB3A" w:rsidR="00B675D7" w:rsidRPr="00CA64A4" w:rsidRDefault="00B675D7" w:rsidP="00B675D7">
      <w:pPr>
        <w:pStyle w:val="ad"/>
        <w:rPr>
          <w:lang w:val="fr-FR"/>
        </w:rPr>
      </w:pPr>
      <w:r w:rsidRPr="001A0194">
        <w:tab/>
      </w:r>
      <w:r w:rsidRPr="007249C7">
        <w:rPr>
          <w:rStyle w:val="aa"/>
        </w:rPr>
        <w:footnoteRef/>
      </w:r>
      <w:r w:rsidRPr="00CA64A4">
        <w:rPr>
          <w:lang w:val="fr-FR"/>
        </w:rPr>
        <w:tab/>
      </w:r>
      <w:hyperlink r:id="rId1" w:history="1">
        <w:r w:rsidR="008114A9" w:rsidRPr="00643AA1">
          <w:rPr>
            <w:rStyle w:val="af1"/>
          </w:rPr>
          <w:t>CAT/C/FIN/8</w:t>
        </w:r>
      </w:hyperlink>
      <w:r w:rsidRPr="00CA64A4">
        <w:rPr>
          <w:lang w:val="fr-FR"/>
        </w:rPr>
        <w:t>.</w:t>
      </w:r>
    </w:p>
  </w:footnote>
  <w:footnote w:id="3">
    <w:p w14:paraId="40F8E08B" w14:textId="6467574D" w:rsidR="00B675D7" w:rsidRPr="00C733E6" w:rsidRDefault="00B675D7" w:rsidP="00B675D7">
      <w:pPr>
        <w:pStyle w:val="ad"/>
        <w:rPr>
          <w:lang w:val="en-US"/>
        </w:rPr>
      </w:pPr>
      <w:r w:rsidRPr="00CA64A4">
        <w:rPr>
          <w:lang w:val="fr-FR"/>
        </w:rPr>
        <w:tab/>
      </w:r>
      <w:r w:rsidRPr="007249C7">
        <w:rPr>
          <w:rStyle w:val="aa"/>
        </w:rPr>
        <w:footnoteRef/>
      </w:r>
      <w:r w:rsidRPr="00C733E6">
        <w:rPr>
          <w:lang w:val="en-US"/>
        </w:rPr>
        <w:tab/>
      </w:r>
      <w:r>
        <w:t>См</w:t>
      </w:r>
      <w:r w:rsidRPr="00C733E6">
        <w:rPr>
          <w:lang w:val="en-US"/>
        </w:rPr>
        <w:t xml:space="preserve">. </w:t>
      </w:r>
      <w:hyperlink r:id="rId2" w:history="1">
        <w:r w:rsidR="00AB7690" w:rsidRPr="008114A9">
          <w:rPr>
            <w:rStyle w:val="af1"/>
            <w:lang w:val="en-US"/>
          </w:rPr>
          <w:t>CAT/C/SR.2097</w:t>
        </w:r>
      </w:hyperlink>
      <w:r w:rsidR="00AB7690" w:rsidRPr="00AB7690">
        <w:rPr>
          <w:lang w:val="en-US"/>
        </w:rPr>
        <w:t xml:space="preserve"> </w:t>
      </w:r>
      <w:r w:rsidR="00AB7690">
        <w:t>и</w:t>
      </w:r>
      <w:r w:rsidR="00AB7690" w:rsidRPr="00AB7690">
        <w:rPr>
          <w:lang w:val="en-US"/>
        </w:rPr>
        <w:t xml:space="preserve"> </w:t>
      </w:r>
      <w:hyperlink r:id="rId3" w:history="1">
        <w:r w:rsidR="00AB7690" w:rsidRPr="008114A9">
          <w:rPr>
            <w:rStyle w:val="af1"/>
            <w:lang w:val="en-US"/>
          </w:rPr>
          <w:t>CAT/C/SR.2100</w:t>
        </w:r>
      </w:hyperlink>
      <w:r w:rsidRPr="00C733E6">
        <w:rPr>
          <w:lang w:val="en-US"/>
        </w:rPr>
        <w:t>.</w:t>
      </w:r>
    </w:p>
  </w:footnote>
  <w:footnote w:id="4">
    <w:p w14:paraId="26CB117C" w14:textId="73F714D1" w:rsidR="00B675D7" w:rsidRPr="00B675D7" w:rsidRDefault="00B675D7" w:rsidP="00B675D7">
      <w:pPr>
        <w:pStyle w:val="ad"/>
        <w:rPr>
          <w:lang w:val="en-US"/>
        </w:rPr>
      </w:pPr>
      <w:r w:rsidRPr="00C733E6">
        <w:rPr>
          <w:lang w:val="en-US"/>
        </w:rPr>
        <w:tab/>
      </w:r>
      <w:r w:rsidRPr="007249C7">
        <w:rPr>
          <w:rStyle w:val="aa"/>
        </w:rPr>
        <w:footnoteRef/>
      </w:r>
      <w:r w:rsidRPr="00CA64A4">
        <w:rPr>
          <w:lang w:val="en-US"/>
        </w:rPr>
        <w:tab/>
      </w:r>
      <w:hyperlink r:id="rId4" w:history="1">
        <w:r w:rsidRPr="008114A9">
          <w:rPr>
            <w:rStyle w:val="af1"/>
            <w:lang w:val="en-US"/>
          </w:rPr>
          <w:t>CAT/C/FIN/CO/7</w:t>
        </w:r>
      </w:hyperlink>
      <w:r w:rsidRPr="00CA64A4">
        <w:rPr>
          <w:lang w:val="en-US"/>
        </w:rPr>
        <w:t xml:space="preserve"> </w:t>
      </w:r>
      <w:r>
        <w:t>и</w:t>
      </w:r>
      <w:r w:rsidRPr="00CA64A4">
        <w:rPr>
          <w:lang w:val="en-US"/>
        </w:rPr>
        <w:t xml:space="preserve"> </w:t>
      </w:r>
      <w:hyperlink r:id="rId5" w:history="1">
        <w:r w:rsidRPr="008114A9">
          <w:rPr>
            <w:rStyle w:val="af1"/>
            <w:lang w:val="en-US"/>
          </w:rPr>
          <w:t>CAT/C/FIN/CO/7/Corr.1</w:t>
        </w:r>
      </w:hyperlink>
      <w:r w:rsidRPr="00CA64A4">
        <w:rPr>
          <w:lang w:val="en-US"/>
        </w:rPr>
        <w:t xml:space="preserve">, </w:t>
      </w:r>
      <w:r>
        <w:t>пп</w:t>
      </w:r>
      <w:r w:rsidRPr="00CA64A4">
        <w:rPr>
          <w:lang w:val="en-US"/>
        </w:rPr>
        <w:t xml:space="preserve">. 15, 17 d) </w:t>
      </w:r>
      <w:r>
        <w:t>и</w:t>
      </w:r>
      <w:r w:rsidRPr="00CA64A4">
        <w:rPr>
          <w:lang w:val="en-US"/>
        </w:rPr>
        <w:t xml:space="preserve"> 19. </w:t>
      </w:r>
      <w:bookmarkStart w:id="2" w:name="_Hlk140967644"/>
      <w:bookmarkEnd w:id="2"/>
    </w:p>
  </w:footnote>
  <w:footnote w:id="5">
    <w:p w14:paraId="576A857B" w14:textId="27254552" w:rsidR="00B675D7" w:rsidRPr="00B675D7" w:rsidRDefault="00B675D7" w:rsidP="00B675D7">
      <w:pPr>
        <w:pStyle w:val="ad"/>
        <w:rPr>
          <w:lang w:val="en-US"/>
        </w:rPr>
      </w:pPr>
      <w:r w:rsidRPr="00CA64A4">
        <w:rPr>
          <w:lang w:val="en-US"/>
        </w:rPr>
        <w:tab/>
      </w:r>
      <w:r w:rsidRPr="007249C7">
        <w:rPr>
          <w:rStyle w:val="aa"/>
        </w:rPr>
        <w:footnoteRef/>
      </w:r>
      <w:r w:rsidRPr="00CA64A4">
        <w:rPr>
          <w:lang w:val="en-US"/>
        </w:rPr>
        <w:tab/>
      </w:r>
      <w:hyperlink r:id="rId6" w:history="1">
        <w:r w:rsidR="008114A9" w:rsidRPr="008114A9">
          <w:rPr>
            <w:rStyle w:val="af1"/>
            <w:lang w:val="en-US"/>
          </w:rPr>
          <w:t>CAT/C/FIN/CO/7/Add.1</w:t>
        </w:r>
      </w:hyperlink>
      <w:r w:rsidRPr="00CA64A4">
        <w:rPr>
          <w:lang w:val="en-US"/>
        </w:rPr>
        <w:t xml:space="preserve">. </w:t>
      </w:r>
    </w:p>
  </w:footnote>
  <w:footnote w:id="6">
    <w:p w14:paraId="2C8FABCE" w14:textId="3C715E23" w:rsidR="00B675D7" w:rsidRPr="00B675D7" w:rsidRDefault="00B675D7" w:rsidP="00B675D7">
      <w:pPr>
        <w:pStyle w:val="ad"/>
        <w:rPr>
          <w:lang w:val="en-US"/>
        </w:rPr>
      </w:pPr>
      <w:r w:rsidRPr="00CA64A4">
        <w:rPr>
          <w:lang w:val="en-US"/>
        </w:rPr>
        <w:tab/>
      </w:r>
      <w:r w:rsidRPr="007249C7">
        <w:rPr>
          <w:rStyle w:val="aa"/>
        </w:rPr>
        <w:footnoteRef/>
      </w:r>
      <w:r w:rsidRPr="00CA64A4">
        <w:rPr>
          <w:lang w:val="en-US"/>
        </w:rPr>
        <w:tab/>
      </w:r>
      <w:r>
        <w:t>См</w:t>
      </w:r>
      <w:r w:rsidRPr="00CA64A4">
        <w:rPr>
          <w:lang w:val="en-US"/>
        </w:rPr>
        <w:t>. URL</w:t>
      </w:r>
      <w:r w:rsidR="00D554AA">
        <w:t>:</w:t>
      </w:r>
      <w:r w:rsidRPr="00CA64A4">
        <w:rPr>
          <w:lang w:val="en-US"/>
        </w:rPr>
        <w:t xml:space="preserve"> </w:t>
      </w:r>
      <w:hyperlink r:id="rId7" w:history="1">
        <w:r w:rsidRPr="008114A9">
          <w:rPr>
            <w:rStyle w:val="af1"/>
            <w:lang w:val="en-US"/>
          </w:rPr>
          <w:t>https://tbinternet.ohchr.org/_layouts/15/treatybodyexternal/Download.aspx?symbolno=INT%2FCAT%2FFUL%2FFIN%2F32210&amp;Lang=en</w:t>
        </w:r>
      </w:hyperlink>
      <w:r w:rsidRPr="00CA64A4">
        <w:rPr>
          <w:lang w:val="en-US"/>
        </w:rPr>
        <w:t xml:space="preserve">. </w:t>
      </w:r>
    </w:p>
  </w:footnote>
  <w:footnote w:id="7">
    <w:p w14:paraId="1EBEDBCC" w14:textId="27AE978F" w:rsidR="00B675D7" w:rsidRPr="00C667EC" w:rsidRDefault="00B675D7" w:rsidP="00B675D7">
      <w:pPr>
        <w:pStyle w:val="ad"/>
        <w:rPr>
          <w:lang w:val="en-US"/>
        </w:rPr>
      </w:pPr>
      <w:r w:rsidRPr="00CA64A4">
        <w:rPr>
          <w:lang w:val="en-US"/>
        </w:rPr>
        <w:tab/>
      </w:r>
      <w:r w:rsidRPr="007249C7">
        <w:rPr>
          <w:rStyle w:val="aa"/>
        </w:rPr>
        <w:footnoteRef/>
      </w:r>
      <w:r w:rsidRPr="00C667EC">
        <w:rPr>
          <w:lang w:val="en-US"/>
        </w:rPr>
        <w:tab/>
      </w:r>
      <w:hyperlink r:id="rId8" w:history="1">
        <w:r w:rsidRPr="008114A9">
          <w:rPr>
            <w:rStyle w:val="af1"/>
            <w:lang w:val="en-US"/>
          </w:rPr>
          <w:t>CCPR/C/FIN/CO/7</w:t>
        </w:r>
      </w:hyperlink>
      <w:r w:rsidRPr="00C667EC">
        <w:rPr>
          <w:lang w:val="en-US"/>
        </w:rPr>
        <w:t xml:space="preserve">, </w:t>
      </w:r>
      <w:r>
        <w:t>пп</w:t>
      </w:r>
      <w:r w:rsidRPr="00C667EC">
        <w:rPr>
          <w:lang w:val="en-US"/>
        </w:rPr>
        <w:t xml:space="preserve">. 24 </w:t>
      </w:r>
      <w:r>
        <w:t>и</w:t>
      </w:r>
      <w:r w:rsidRPr="00C667EC">
        <w:rPr>
          <w:lang w:val="en-US"/>
        </w:rPr>
        <w:t xml:space="preserve"> 25.</w:t>
      </w:r>
    </w:p>
  </w:footnote>
  <w:footnote w:id="8">
    <w:p w14:paraId="1B02F269" w14:textId="77777777" w:rsidR="00B675D7" w:rsidRPr="00CA64A4" w:rsidRDefault="00B675D7" w:rsidP="00B675D7">
      <w:pPr>
        <w:pStyle w:val="ad"/>
      </w:pPr>
      <w:r w:rsidRPr="00C667EC">
        <w:rPr>
          <w:lang w:val="en-US"/>
        </w:rPr>
        <w:tab/>
      </w:r>
      <w:r w:rsidRPr="007249C7">
        <w:rPr>
          <w:rStyle w:val="aa"/>
        </w:rPr>
        <w:footnoteRef/>
      </w:r>
      <w:r>
        <w:tab/>
        <w:t>Там же, пп. 26 и 27.</w:t>
      </w:r>
    </w:p>
  </w:footnote>
  <w:footnote w:id="9">
    <w:p w14:paraId="5B1A5CB1" w14:textId="77777777" w:rsidR="00B675D7" w:rsidRPr="00CA64A4" w:rsidRDefault="00B675D7" w:rsidP="00B675D7">
      <w:pPr>
        <w:pStyle w:val="ad"/>
      </w:pPr>
      <w:r w:rsidRPr="003F1395">
        <w:tab/>
      </w:r>
      <w:r w:rsidRPr="007249C7">
        <w:rPr>
          <w:rStyle w:val="aa"/>
        </w:rPr>
        <w:footnoteRef/>
      </w:r>
      <w:r>
        <w:tab/>
        <w:t>Там же, пп. 32 и 33.</w:t>
      </w:r>
    </w:p>
  </w:footnote>
  <w:footnote w:id="10">
    <w:p w14:paraId="1D62D522" w14:textId="77777777" w:rsidR="00B675D7" w:rsidRPr="00C667EC" w:rsidRDefault="00B675D7" w:rsidP="00B675D7">
      <w:pPr>
        <w:pStyle w:val="ad"/>
        <w:rPr>
          <w:szCs w:val="18"/>
          <w:lang w:val="en-US"/>
        </w:rPr>
      </w:pPr>
      <w:r w:rsidRPr="003F1395">
        <w:rPr>
          <w:szCs w:val="18"/>
        </w:rPr>
        <w:tab/>
      </w:r>
      <w:r w:rsidRPr="007249C7">
        <w:rPr>
          <w:rStyle w:val="aa"/>
        </w:rPr>
        <w:footnoteRef/>
      </w:r>
      <w:r w:rsidRPr="00C667EC">
        <w:rPr>
          <w:lang w:val="en-US"/>
        </w:rPr>
        <w:tab/>
      </w:r>
      <w:r>
        <w:t>Там</w:t>
      </w:r>
      <w:r w:rsidRPr="00C667EC">
        <w:rPr>
          <w:lang w:val="en-US"/>
        </w:rPr>
        <w:t xml:space="preserve"> </w:t>
      </w:r>
      <w:r>
        <w:t>же</w:t>
      </w:r>
      <w:r w:rsidRPr="00C667EC">
        <w:rPr>
          <w:lang w:val="en-US"/>
        </w:rPr>
        <w:t xml:space="preserve">, </w:t>
      </w:r>
      <w:r>
        <w:t>пп</w:t>
      </w:r>
      <w:r w:rsidRPr="00C667EC">
        <w:rPr>
          <w:lang w:val="en-US"/>
        </w:rPr>
        <w:t xml:space="preserve">. 28 </w:t>
      </w:r>
      <w:r>
        <w:t>и</w:t>
      </w:r>
      <w:r w:rsidRPr="00C667EC">
        <w:rPr>
          <w:lang w:val="en-US"/>
        </w:rPr>
        <w:t xml:space="preserve"> 29.</w:t>
      </w:r>
    </w:p>
  </w:footnote>
  <w:footnote w:id="11">
    <w:p w14:paraId="7397433A" w14:textId="24CAA2E6" w:rsidR="00B675D7" w:rsidRPr="00B675D7" w:rsidRDefault="00B675D7" w:rsidP="00B675D7">
      <w:pPr>
        <w:pStyle w:val="ad"/>
        <w:rPr>
          <w:lang w:val="en-US"/>
        </w:rPr>
      </w:pPr>
      <w:r w:rsidRPr="00C667EC">
        <w:rPr>
          <w:lang w:val="en-US"/>
        </w:rPr>
        <w:tab/>
      </w:r>
      <w:r w:rsidRPr="007249C7">
        <w:rPr>
          <w:rStyle w:val="aa"/>
        </w:rPr>
        <w:footnoteRef/>
      </w:r>
      <w:r w:rsidRPr="00CA64A4">
        <w:rPr>
          <w:lang w:val="en-US"/>
        </w:rPr>
        <w:tab/>
      </w:r>
      <w:hyperlink r:id="rId9" w:history="1">
        <w:r w:rsidRPr="008114A9">
          <w:rPr>
            <w:rStyle w:val="af1"/>
            <w:lang w:val="en-US"/>
          </w:rPr>
          <w:t>CAT/C/FIN/CO/7</w:t>
        </w:r>
      </w:hyperlink>
      <w:r w:rsidRPr="00CA64A4">
        <w:rPr>
          <w:lang w:val="en-US"/>
        </w:rPr>
        <w:t xml:space="preserve"> </w:t>
      </w:r>
      <w:r>
        <w:t>и</w:t>
      </w:r>
      <w:r w:rsidRPr="00CA64A4">
        <w:rPr>
          <w:lang w:val="en-US"/>
        </w:rPr>
        <w:t xml:space="preserve"> </w:t>
      </w:r>
      <w:hyperlink r:id="rId10" w:history="1">
        <w:r w:rsidRPr="008114A9">
          <w:rPr>
            <w:rStyle w:val="af1"/>
            <w:lang w:val="en-US"/>
          </w:rPr>
          <w:t>CAT/C/FIN/CO/7/Corr.1</w:t>
        </w:r>
      </w:hyperlink>
      <w:r w:rsidRPr="00CA64A4">
        <w:rPr>
          <w:lang w:val="en-US"/>
        </w:rPr>
        <w:t xml:space="preserve">, </w:t>
      </w:r>
      <w:r>
        <w:t>п</w:t>
      </w:r>
      <w:r w:rsidRPr="00CA64A4">
        <w:rPr>
          <w:lang w:val="en-US"/>
        </w:rPr>
        <w:t>. 15.</w:t>
      </w:r>
    </w:p>
  </w:footnote>
  <w:footnote w:id="12">
    <w:p w14:paraId="0CFB0C06" w14:textId="2E64FFE9" w:rsidR="00B675D7" w:rsidRPr="00B675D7" w:rsidRDefault="00B675D7" w:rsidP="00B675D7">
      <w:pPr>
        <w:pStyle w:val="ad"/>
        <w:rPr>
          <w:szCs w:val="18"/>
          <w:lang w:val="en-US"/>
        </w:rPr>
      </w:pPr>
      <w:r w:rsidRPr="00CA64A4">
        <w:rPr>
          <w:szCs w:val="18"/>
          <w:lang w:val="en-US"/>
        </w:rPr>
        <w:tab/>
      </w:r>
      <w:r w:rsidRPr="007249C7">
        <w:rPr>
          <w:rStyle w:val="aa"/>
        </w:rPr>
        <w:footnoteRef/>
      </w:r>
      <w:r w:rsidRPr="00CA64A4">
        <w:rPr>
          <w:lang w:val="en-US"/>
        </w:rPr>
        <w:tab/>
      </w:r>
      <w:hyperlink r:id="rId11" w:history="1">
        <w:r w:rsidRPr="008114A9">
          <w:rPr>
            <w:rStyle w:val="af1"/>
            <w:lang w:val="en-US"/>
          </w:rPr>
          <w:t>CCPR/C/FIN/CO/7</w:t>
        </w:r>
      </w:hyperlink>
      <w:r w:rsidRPr="00CA64A4">
        <w:rPr>
          <w:lang w:val="en-US"/>
        </w:rPr>
        <w:t xml:space="preserve">, </w:t>
      </w:r>
      <w:r>
        <w:t>пп</w:t>
      </w:r>
      <w:r w:rsidRPr="00CA64A4">
        <w:rPr>
          <w:lang w:val="en-US"/>
        </w:rPr>
        <w:t xml:space="preserve">. 30 </w:t>
      </w:r>
      <w:r>
        <w:t>и</w:t>
      </w:r>
      <w:r w:rsidRPr="00CA64A4">
        <w:rPr>
          <w:lang w:val="en-US"/>
        </w:rPr>
        <w:t xml:space="preserve"> 31.</w:t>
      </w:r>
    </w:p>
  </w:footnote>
  <w:footnote w:id="13">
    <w:p w14:paraId="1608F0B7" w14:textId="14DFE498" w:rsidR="00B675D7" w:rsidRPr="00B675D7" w:rsidRDefault="00B675D7" w:rsidP="00B675D7">
      <w:pPr>
        <w:pStyle w:val="ad"/>
        <w:rPr>
          <w:szCs w:val="18"/>
          <w:lang w:val="en-US"/>
        </w:rPr>
      </w:pPr>
      <w:r w:rsidRPr="00CA64A4">
        <w:rPr>
          <w:szCs w:val="18"/>
          <w:lang w:val="en-US"/>
        </w:rPr>
        <w:tab/>
      </w:r>
      <w:r w:rsidRPr="007249C7">
        <w:rPr>
          <w:rStyle w:val="aa"/>
        </w:rPr>
        <w:footnoteRef/>
      </w:r>
      <w:r w:rsidRPr="00CA64A4">
        <w:rPr>
          <w:lang w:val="en-US"/>
        </w:rPr>
        <w:tab/>
      </w:r>
      <w:hyperlink r:id="rId12" w:history="1">
        <w:r w:rsidRPr="008114A9">
          <w:rPr>
            <w:rStyle w:val="af1"/>
            <w:lang w:val="en-US"/>
          </w:rPr>
          <w:t>CEDAW/C/FIN/CO/8</w:t>
        </w:r>
      </w:hyperlink>
      <w:r w:rsidRPr="00CA64A4">
        <w:rPr>
          <w:lang w:val="en-US"/>
        </w:rPr>
        <w:t xml:space="preserve">, </w:t>
      </w:r>
      <w:r>
        <w:t>пп</w:t>
      </w:r>
      <w:r w:rsidRPr="00CA64A4">
        <w:rPr>
          <w:lang w:val="en-US"/>
        </w:rPr>
        <w:t xml:space="preserve">. 21 c) </w:t>
      </w:r>
      <w:r>
        <w:t>и</w:t>
      </w:r>
      <w:r w:rsidRPr="00CA64A4">
        <w:rPr>
          <w:lang w:val="en-US"/>
        </w:rPr>
        <w:t xml:space="preserve"> 22 c).</w:t>
      </w:r>
    </w:p>
  </w:footnote>
  <w:footnote w:id="14">
    <w:p w14:paraId="7007483C" w14:textId="69B12086" w:rsidR="00B675D7" w:rsidRPr="00B675D7" w:rsidRDefault="00B675D7" w:rsidP="00B675D7">
      <w:pPr>
        <w:pStyle w:val="ad"/>
        <w:rPr>
          <w:szCs w:val="18"/>
          <w:lang w:val="en-US"/>
        </w:rPr>
      </w:pPr>
      <w:r w:rsidRPr="00CA64A4">
        <w:rPr>
          <w:szCs w:val="18"/>
          <w:lang w:val="en-US"/>
        </w:rPr>
        <w:tab/>
      </w:r>
      <w:r w:rsidRPr="007249C7">
        <w:rPr>
          <w:rStyle w:val="aa"/>
        </w:rPr>
        <w:footnoteRef/>
      </w:r>
      <w:r w:rsidRPr="00CA64A4">
        <w:rPr>
          <w:lang w:val="en-US"/>
        </w:rPr>
        <w:tab/>
      </w:r>
      <w:hyperlink r:id="rId13" w:history="1">
        <w:r w:rsidRPr="008114A9">
          <w:rPr>
            <w:rStyle w:val="af1"/>
            <w:lang w:val="en-US"/>
          </w:rPr>
          <w:t>CAT/C/FIN/CO/7</w:t>
        </w:r>
      </w:hyperlink>
      <w:r w:rsidRPr="00CA64A4">
        <w:rPr>
          <w:lang w:val="en-US"/>
        </w:rPr>
        <w:t xml:space="preserve"> </w:t>
      </w:r>
      <w:r>
        <w:t>и</w:t>
      </w:r>
      <w:r w:rsidRPr="00CA64A4">
        <w:rPr>
          <w:lang w:val="en-US"/>
        </w:rPr>
        <w:t xml:space="preserve"> </w:t>
      </w:r>
      <w:hyperlink r:id="rId14" w:history="1">
        <w:r w:rsidRPr="008114A9">
          <w:rPr>
            <w:rStyle w:val="af1"/>
            <w:lang w:val="en-US"/>
          </w:rPr>
          <w:t>CAT/C/FIN/CO/7/Corr.1</w:t>
        </w:r>
      </w:hyperlink>
      <w:r w:rsidRPr="00CA64A4">
        <w:rPr>
          <w:lang w:val="en-US"/>
        </w:rPr>
        <w:t xml:space="preserve">, </w:t>
      </w:r>
      <w:r>
        <w:t>п</w:t>
      </w:r>
      <w:r w:rsidRPr="00CA64A4">
        <w:rPr>
          <w:lang w:val="en-US"/>
        </w:rPr>
        <w:t>. 11.</w:t>
      </w:r>
    </w:p>
  </w:footnote>
  <w:footnote w:id="15">
    <w:p w14:paraId="626B28FF" w14:textId="0438632E" w:rsidR="00B675D7" w:rsidRPr="00B675D7" w:rsidRDefault="00B675D7" w:rsidP="00B675D7">
      <w:pPr>
        <w:pStyle w:val="ad"/>
        <w:rPr>
          <w:lang w:val="en-US"/>
        </w:rPr>
      </w:pPr>
      <w:r w:rsidRPr="00CA64A4">
        <w:rPr>
          <w:lang w:val="en-US"/>
        </w:rPr>
        <w:tab/>
      </w:r>
      <w:r w:rsidRPr="007249C7">
        <w:rPr>
          <w:rStyle w:val="aa"/>
        </w:rPr>
        <w:footnoteRef/>
      </w:r>
      <w:r w:rsidRPr="00CA64A4">
        <w:rPr>
          <w:lang w:val="en-US"/>
        </w:rPr>
        <w:tab/>
      </w:r>
      <w:hyperlink r:id="rId15" w:history="1">
        <w:r w:rsidRPr="008114A9">
          <w:rPr>
            <w:rStyle w:val="af1"/>
            <w:lang w:val="en-US"/>
          </w:rPr>
          <w:t>CCPR/C/FIN/CO/7</w:t>
        </w:r>
      </w:hyperlink>
      <w:r w:rsidRPr="00CA64A4">
        <w:rPr>
          <w:lang w:val="en-US"/>
        </w:rPr>
        <w:t xml:space="preserve">, </w:t>
      </w:r>
      <w:r>
        <w:t>пп</w:t>
      </w:r>
      <w:r w:rsidRPr="00CA64A4">
        <w:rPr>
          <w:lang w:val="en-US"/>
        </w:rPr>
        <w:t xml:space="preserve">. 14 </w:t>
      </w:r>
      <w:r>
        <w:t>и</w:t>
      </w:r>
      <w:r w:rsidRPr="00CA64A4">
        <w:rPr>
          <w:lang w:val="en-US"/>
        </w:rPr>
        <w:t xml:space="preserve"> 15; </w:t>
      </w:r>
      <w:r>
        <w:t>и</w:t>
      </w:r>
      <w:r w:rsidRPr="00CA64A4">
        <w:rPr>
          <w:lang w:val="en-US"/>
        </w:rPr>
        <w:t xml:space="preserve"> </w:t>
      </w:r>
      <w:hyperlink r:id="rId16" w:history="1">
        <w:r w:rsidRPr="008114A9">
          <w:rPr>
            <w:rStyle w:val="af1"/>
            <w:lang w:val="en-US"/>
          </w:rPr>
          <w:t>CERD/C/FIN/CO/23</w:t>
        </w:r>
      </w:hyperlink>
      <w:r w:rsidRPr="00CA64A4">
        <w:rPr>
          <w:lang w:val="en-US"/>
        </w:rPr>
        <w:t xml:space="preserve">, </w:t>
      </w:r>
      <w:r>
        <w:t>пп</w:t>
      </w:r>
      <w:r w:rsidRPr="00CA64A4">
        <w:rPr>
          <w:lang w:val="en-US"/>
        </w:rPr>
        <w:t xml:space="preserve">. 10 </w:t>
      </w:r>
      <w:r>
        <w:t>и</w:t>
      </w:r>
      <w:r w:rsidRPr="00CA64A4">
        <w:rPr>
          <w:lang w:val="en-US"/>
        </w:rPr>
        <w:t xml:space="preserve"> 11.</w:t>
      </w:r>
    </w:p>
  </w:footnote>
  <w:footnote w:id="16">
    <w:p w14:paraId="44109A93" w14:textId="08F022F9" w:rsidR="00B675D7" w:rsidRPr="00B675D7" w:rsidRDefault="00B675D7" w:rsidP="00B675D7">
      <w:pPr>
        <w:pStyle w:val="ad"/>
        <w:rPr>
          <w:lang w:val="en-US"/>
        </w:rPr>
      </w:pPr>
      <w:r w:rsidRPr="00CA64A4">
        <w:rPr>
          <w:lang w:val="en-US"/>
        </w:rPr>
        <w:tab/>
      </w:r>
      <w:r w:rsidRPr="007249C7">
        <w:rPr>
          <w:rStyle w:val="aa"/>
        </w:rPr>
        <w:footnoteRef/>
      </w:r>
      <w:r w:rsidRPr="00CA64A4">
        <w:rPr>
          <w:lang w:val="en-US"/>
        </w:rPr>
        <w:tab/>
      </w:r>
      <w:hyperlink r:id="rId17" w:history="1">
        <w:r w:rsidRPr="008114A9">
          <w:rPr>
            <w:rStyle w:val="af1"/>
            <w:lang w:val="en-US"/>
          </w:rPr>
          <w:t>CEDAW/C/FIN/CO/8</w:t>
        </w:r>
      </w:hyperlink>
      <w:r w:rsidRPr="00CA64A4">
        <w:rPr>
          <w:lang w:val="en-US"/>
        </w:rPr>
        <w:t xml:space="preserve">, </w:t>
      </w:r>
      <w:r>
        <w:t>пп</w:t>
      </w:r>
      <w:r w:rsidRPr="00CA64A4">
        <w:rPr>
          <w:lang w:val="en-US"/>
        </w:rPr>
        <w:t xml:space="preserve">. 21–24; </w:t>
      </w:r>
      <w:r>
        <w:t>и</w:t>
      </w:r>
      <w:r w:rsidRPr="00CA64A4">
        <w:rPr>
          <w:lang w:val="en-US"/>
        </w:rPr>
        <w:t xml:space="preserve"> </w:t>
      </w:r>
      <w:hyperlink r:id="rId18" w:history="1">
        <w:r w:rsidRPr="008114A9">
          <w:rPr>
            <w:rStyle w:val="af1"/>
            <w:lang w:val="en-US"/>
          </w:rPr>
          <w:t>CCPR/C/FIN/CO/7</w:t>
        </w:r>
      </w:hyperlink>
      <w:r w:rsidRPr="00CA64A4">
        <w:rPr>
          <w:lang w:val="en-US"/>
        </w:rPr>
        <w:t xml:space="preserve">, </w:t>
      </w:r>
      <w:r>
        <w:t>пп</w:t>
      </w:r>
      <w:r w:rsidRPr="00CA64A4">
        <w:rPr>
          <w:lang w:val="en-US"/>
        </w:rPr>
        <w:t xml:space="preserve">. 18 </w:t>
      </w:r>
      <w:r>
        <w:t>и</w:t>
      </w:r>
      <w:r w:rsidRPr="00CA64A4">
        <w:rPr>
          <w:lang w:val="en-US"/>
        </w:rPr>
        <w:t xml:space="preserve"> 19.</w:t>
      </w:r>
    </w:p>
  </w:footnote>
  <w:footnote w:id="17">
    <w:p w14:paraId="4C06CE5F" w14:textId="048C8F18" w:rsidR="00B675D7" w:rsidRPr="00B675D7" w:rsidRDefault="00B675D7" w:rsidP="00B675D7">
      <w:pPr>
        <w:pStyle w:val="ad"/>
        <w:rPr>
          <w:lang w:val="en-US"/>
        </w:rPr>
      </w:pPr>
      <w:r w:rsidRPr="00CA64A4">
        <w:rPr>
          <w:lang w:val="en-US"/>
        </w:rPr>
        <w:tab/>
      </w:r>
      <w:r w:rsidRPr="007249C7">
        <w:rPr>
          <w:rStyle w:val="aa"/>
        </w:rPr>
        <w:footnoteRef/>
      </w:r>
      <w:r w:rsidRPr="00CA64A4">
        <w:rPr>
          <w:lang w:val="en-US"/>
        </w:rPr>
        <w:tab/>
      </w:r>
      <w:hyperlink r:id="rId19" w:history="1">
        <w:r w:rsidRPr="008114A9">
          <w:rPr>
            <w:rStyle w:val="af1"/>
            <w:lang w:val="en-US"/>
          </w:rPr>
          <w:t>CEDAW/C/FIN/CO/8</w:t>
        </w:r>
      </w:hyperlink>
      <w:r w:rsidRPr="00CA64A4">
        <w:rPr>
          <w:lang w:val="en-US"/>
        </w:rPr>
        <w:t xml:space="preserve">, </w:t>
      </w:r>
      <w:r>
        <w:t>пп</w:t>
      </w:r>
      <w:r w:rsidRPr="00CA64A4">
        <w:rPr>
          <w:lang w:val="en-US"/>
        </w:rPr>
        <w:t xml:space="preserve">. 25 </w:t>
      </w:r>
      <w:r>
        <w:t>и</w:t>
      </w:r>
      <w:r w:rsidRPr="00CA64A4">
        <w:rPr>
          <w:lang w:val="en-US"/>
        </w:rPr>
        <w:t xml:space="preserve"> 26.</w:t>
      </w:r>
    </w:p>
  </w:footnote>
  <w:footnote w:id="18">
    <w:p w14:paraId="3C27EB9A" w14:textId="7B92AEA4" w:rsidR="00B675D7" w:rsidRPr="00CA64A4" w:rsidRDefault="00B675D7" w:rsidP="00B675D7">
      <w:pPr>
        <w:pStyle w:val="ad"/>
      </w:pPr>
      <w:r w:rsidRPr="00CA64A4">
        <w:rPr>
          <w:lang w:val="en-US"/>
        </w:rPr>
        <w:tab/>
      </w:r>
      <w:r w:rsidRPr="007249C7">
        <w:rPr>
          <w:rStyle w:val="aa"/>
        </w:rPr>
        <w:footnoteRef/>
      </w:r>
      <w:r>
        <w:tab/>
      </w:r>
      <w:hyperlink r:id="rId20" w:history="1">
        <w:r w:rsidRPr="008114A9">
          <w:rPr>
            <w:rStyle w:val="af1"/>
          </w:rPr>
          <w:t>CCPR/C/FIN</w:t>
        </w:r>
        <w:r w:rsidRPr="008114A9">
          <w:rPr>
            <w:rStyle w:val="af1"/>
          </w:rPr>
          <w:t>/CO/7</w:t>
        </w:r>
      </w:hyperlink>
      <w:r>
        <w:t>, пп. 20 и 21.</w:t>
      </w:r>
    </w:p>
  </w:footnote>
  <w:footnote w:id="19">
    <w:p w14:paraId="62864BA9" w14:textId="77777777" w:rsidR="00B675D7" w:rsidRPr="00CA64A4" w:rsidRDefault="00B675D7" w:rsidP="00B675D7">
      <w:pPr>
        <w:pStyle w:val="ad"/>
      </w:pPr>
      <w:r w:rsidRPr="003F1395">
        <w:tab/>
      </w:r>
      <w:r w:rsidRPr="007249C7">
        <w:rPr>
          <w:rStyle w:val="aa"/>
        </w:rPr>
        <w:footnoteRef/>
      </w:r>
      <w:r>
        <w:tab/>
        <w:t>Там же, пп. 10 и 11.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7CE31" w14:textId="10C0C8D9" w:rsidR="00B675D7" w:rsidRPr="00B675D7" w:rsidRDefault="002540F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7E3E03">
      <w:t>CAT/C/FIN/CO/8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C0DCD" w14:textId="6370AD27" w:rsidR="00B675D7" w:rsidRPr="00B675D7" w:rsidRDefault="002540F5" w:rsidP="00B675D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7E3E03">
      <w:t>CAT/C/FIN/CO/8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75757" w14:textId="77777777" w:rsidR="00B675D7" w:rsidRDefault="00B675D7" w:rsidP="00B675D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63D"/>
    <w:rsid w:val="00030741"/>
    <w:rsid w:val="00033EE1"/>
    <w:rsid w:val="00041407"/>
    <w:rsid w:val="00042B72"/>
    <w:rsid w:val="000558BD"/>
    <w:rsid w:val="00065524"/>
    <w:rsid w:val="00065A90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0C9E"/>
    <w:rsid w:val="001B3EF6"/>
    <w:rsid w:val="001C6FB7"/>
    <w:rsid w:val="001C7A89"/>
    <w:rsid w:val="001F344B"/>
    <w:rsid w:val="002540F5"/>
    <w:rsid w:val="002658DB"/>
    <w:rsid w:val="002A2EFC"/>
    <w:rsid w:val="002B3D22"/>
    <w:rsid w:val="002C0E18"/>
    <w:rsid w:val="002C383E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4C3F8F"/>
    <w:rsid w:val="004D663D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D077D"/>
    <w:rsid w:val="005D7914"/>
    <w:rsid w:val="005E2B41"/>
    <w:rsid w:val="005F0B42"/>
    <w:rsid w:val="00681A10"/>
    <w:rsid w:val="006A1ED8"/>
    <w:rsid w:val="006B48AC"/>
    <w:rsid w:val="006C2031"/>
    <w:rsid w:val="006D461A"/>
    <w:rsid w:val="006F35EE"/>
    <w:rsid w:val="007021FF"/>
    <w:rsid w:val="00712895"/>
    <w:rsid w:val="00757357"/>
    <w:rsid w:val="007E3E03"/>
    <w:rsid w:val="008114A9"/>
    <w:rsid w:val="00825F8D"/>
    <w:rsid w:val="00834B71"/>
    <w:rsid w:val="00834CC0"/>
    <w:rsid w:val="0086445C"/>
    <w:rsid w:val="00894693"/>
    <w:rsid w:val="008A08D7"/>
    <w:rsid w:val="008B6909"/>
    <w:rsid w:val="0090019C"/>
    <w:rsid w:val="00906890"/>
    <w:rsid w:val="00911BE4"/>
    <w:rsid w:val="00951972"/>
    <w:rsid w:val="00953B7A"/>
    <w:rsid w:val="009569AF"/>
    <w:rsid w:val="009608F3"/>
    <w:rsid w:val="009A24AC"/>
    <w:rsid w:val="00A076BE"/>
    <w:rsid w:val="00A312BC"/>
    <w:rsid w:val="00A478EF"/>
    <w:rsid w:val="00A561F4"/>
    <w:rsid w:val="00A66C5E"/>
    <w:rsid w:val="00A74D9D"/>
    <w:rsid w:val="00A84021"/>
    <w:rsid w:val="00A84D35"/>
    <w:rsid w:val="00A917B3"/>
    <w:rsid w:val="00AB4B51"/>
    <w:rsid w:val="00AB7690"/>
    <w:rsid w:val="00AF451A"/>
    <w:rsid w:val="00B10CC7"/>
    <w:rsid w:val="00B20CB2"/>
    <w:rsid w:val="00B539E7"/>
    <w:rsid w:val="00B62458"/>
    <w:rsid w:val="00B675D7"/>
    <w:rsid w:val="00BC18B2"/>
    <w:rsid w:val="00BC5A3F"/>
    <w:rsid w:val="00BD33EE"/>
    <w:rsid w:val="00C106D6"/>
    <w:rsid w:val="00C23549"/>
    <w:rsid w:val="00C60F0C"/>
    <w:rsid w:val="00C733E6"/>
    <w:rsid w:val="00C805C9"/>
    <w:rsid w:val="00C80871"/>
    <w:rsid w:val="00C838C6"/>
    <w:rsid w:val="00C86406"/>
    <w:rsid w:val="00C92939"/>
    <w:rsid w:val="00CA1679"/>
    <w:rsid w:val="00CB151C"/>
    <w:rsid w:val="00CE5A1A"/>
    <w:rsid w:val="00CF55F6"/>
    <w:rsid w:val="00D14EAB"/>
    <w:rsid w:val="00D33D63"/>
    <w:rsid w:val="00D554AA"/>
    <w:rsid w:val="00D6392D"/>
    <w:rsid w:val="00D67AD1"/>
    <w:rsid w:val="00D7263B"/>
    <w:rsid w:val="00D90028"/>
    <w:rsid w:val="00D90138"/>
    <w:rsid w:val="00D9367B"/>
    <w:rsid w:val="00DD3257"/>
    <w:rsid w:val="00DF71B9"/>
    <w:rsid w:val="00E169C5"/>
    <w:rsid w:val="00E21169"/>
    <w:rsid w:val="00E45A3E"/>
    <w:rsid w:val="00E479DB"/>
    <w:rsid w:val="00E528D1"/>
    <w:rsid w:val="00E73F76"/>
    <w:rsid w:val="00EA2C9F"/>
    <w:rsid w:val="00ED0BDA"/>
    <w:rsid w:val="00EF1360"/>
    <w:rsid w:val="00EF3220"/>
    <w:rsid w:val="00F1388F"/>
    <w:rsid w:val="00F21B00"/>
    <w:rsid w:val="00F82DE6"/>
    <w:rsid w:val="00F90E40"/>
    <w:rsid w:val="00F94155"/>
    <w:rsid w:val="00F9783F"/>
    <w:rsid w:val="00FB0BFD"/>
    <w:rsid w:val="00FB70D6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F0CC9"/>
  <w15:docId w15:val="{B43FE85D-2A90-4A61-A1B3-A8CF90EE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locked/>
    <w:rsid w:val="00B675D7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C73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FIN/CO/7" TargetMode="External"/><Relationship Id="rId13" Type="http://schemas.openxmlformats.org/officeDocument/2006/relationships/hyperlink" Target="http://undocs.org/ru/CAT/C/FIN/CO/7" TargetMode="External"/><Relationship Id="rId18" Type="http://schemas.openxmlformats.org/officeDocument/2006/relationships/hyperlink" Target="http://undocs.org/ru/CCPR/C/FIN/CO/7" TargetMode="External"/><Relationship Id="rId3" Type="http://schemas.openxmlformats.org/officeDocument/2006/relationships/hyperlink" Target="http://undocs.org/en/CAT/C/SR.2100" TargetMode="External"/><Relationship Id="rId7" Type="http://schemas.openxmlformats.org/officeDocument/2006/relationships/hyperlink" Target="https://tbinternet.ohchr.org/_layouts/15/treatybodyexternal/Download.aspx?symbolno=INT%2FCAT%2FFUL%2FFIN%2F32210&amp;Lang=en" TargetMode="External"/><Relationship Id="rId12" Type="http://schemas.openxmlformats.org/officeDocument/2006/relationships/hyperlink" Target="http://undocs.org/ru/CEDAW/C/FIN/CO/8" TargetMode="External"/><Relationship Id="rId17" Type="http://schemas.openxmlformats.org/officeDocument/2006/relationships/hyperlink" Target="http://undocs.org/ru/CEDAW/C/FIN/CO/8" TargetMode="External"/><Relationship Id="rId2" Type="http://schemas.openxmlformats.org/officeDocument/2006/relationships/hyperlink" Target="http://undocs.org/en/CAT/C/SR.2097" TargetMode="External"/><Relationship Id="rId16" Type="http://schemas.openxmlformats.org/officeDocument/2006/relationships/hyperlink" Target="http://undocs.org/ru/CERD/C/FIN/CO/23" TargetMode="External"/><Relationship Id="rId20" Type="http://schemas.openxmlformats.org/officeDocument/2006/relationships/hyperlink" Target="http://undocs.org/ru/CCPR/C/FIN/CO/7" TargetMode="External"/><Relationship Id="rId1" Type="http://schemas.openxmlformats.org/officeDocument/2006/relationships/hyperlink" Target="http://undocs.org/en/CAT/C/FIN/8" TargetMode="External"/><Relationship Id="rId6" Type="http://schemas.openxmlformats.org/officeDocument/2006/relationships/hyperlink" Target="http://undocs.org/en/CAT/C/FIN/CO/7/Add.1" TargetMode="External"/><Relationship Id="rId11" Type="http://schemas.openxmlformats.org/officeDocument/2006/relationships/hyperlink" Target="http://undocs.org/ru/CCPR/C/FIN/CO/7" TargetMode="External"/><Relationship Id="rId5" Type="http://schemas.openxmlformats.org/officeDocument/2006/relationships/hyperlink" Target="http://undocs.org/ru/CAT/C/FIN/CO/7/Corr.1" TargetMode="External"/><Relationship Id="rId15" Type="http://schemas.openxmlformats.org/officeDocument/2006/relationships/hyperlink" Target="http://undocs.org/ru/CCPR/C/FIN/CO/7" TargetMode="External"/><Relationship Id="rId10" Type="http://schemas.openxmlformats.org/officeDocument/2006/relationships/hyperlink" Target="http://undocs.org/ru/CAT/C/FIN/CO/7/Corr.1" TargetMode="External"/><Relationship Id="rId19" Type="http://schemas.openxmlformats.org/officeDocument/2006/relationships/hyperlink" Target="http://undocs.org/ru/CEDAW/C/FIN/CO/8" TargetMode="External"/><Relationship Id="rId4" Type="http://schemas.openxmlformats.org/officeDocument/2006/relationships/hyperlink" Target="http://undocs.org/ru/CAT/C/FIN/CO/7" TargetMode="External"/><Relationship Id="rId9" Type="http://schemas.openxmlformats.org/officeDocument/2006/relationships/hyperlink" Target="http://undocs.org/ru/CAT/C/FIN/CO/7" TargetMode="External"/><Relationship Id="rId14" Type="http://schemas.openxmlformats.org/officeDocument/2006/relationships/hyperlink" Target="http://undocs.org/ru/CAT/C/FIN/CO/7/Corr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16</Pages>
  <Words>6287</Words>
  <Characters>44388</Characters>
  <Application>Microsoft Office Word</Application>
  <DocSecurity>0</DocSecurity>
  <Lines>795</Lines>
  <Paragraphs>171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9" baseType="lpstr">
      <vt:lpstr>CAT/C/FIN/CO/8</vt:lpstr>
      <vt:lpstr>    Заключительные замечания по восьмому периодическому докладу Финляндии*</vt:lpstr>
      <vt:lpstr>        A.	Введение</vt:lpstr>
      <vt:lpstr>        B.	Позитивные аспекты</vt:lpstr>
      <vt:lpstr>        C.	Основные вопросы, вызывающие обеспокоенность, и рекомендации</vt:lpstr>
      <vt:lpstr>        Прочие вопросы</vt:lpstr>
      <vt:lpstr>A/</vt:lpstr>
      <vt:lpstr>A/</vt:lpstr>
      <vt:lpstr>A/</vt:lpstr>
    </vt:vector>
  </TitlesOfParts>
  <Company>DCM</Company>
  <LinksUpToDate>false</LinksUpToDate>
  <CharactersWithSpaces>50637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CAT/C/FIN/CO/8</dc:title>
  <dc:subject/>
  <dc:creator>Olga OVTCHINNIKOVA</dc:creator>
  <cp:keywords/>
  <cp:lastModifiedBy>Olga Ovchinnikova</cp:lastModifiedBy>
  <cp:revision>3</cp:revision>
  <cp:lastPrinted>2024-06-11T13:08:00Z</cp:lastPrinted>
  <dcterms:created xsi:type="dcterms:W3CDTF">2024-06-11T13:08:00Z</dcterms:created>
  <dcterms:modified xsi:type="dcterms:W3CDTF">2024-06-11T13:13:00Z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