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8D5" w:rsidRDefault="00DC38D5" w:rsidP="00DC38D5">
      <w:pPr>
        <w:spacing w:line="240" w:lineRule="auto"/>
        <w:jc w:val="left"/>
        <w:rPr>
          <w:szCs w:val="6"/>
        </w:rPr>
        <w:sectPr w:rsidR="00DC38D5" w:rsidSect="00DC38D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r w:rsidR="00D31C9A">
        <w:rPr>
          <w:szCs w:val="6"/>
        </w:rPr>
        <w:t xml:space="preserve"> </w:t>
      </w:r>
    </w:p>
    <w:p w:rsidR="000732F2" w:rsidRPr="000409E0" w:rsidRDefault="000732F2" w:rsidP="000732F2">
      <w:pPr>
        <w:framePr w:w="9792" w:h="432" w:hSpace="187" w:wrap="around" w:hAnchor="page" w:x="1196" w:yAlign="bottom"/>
        <w:spacing w:line="240" w:lineRule="auto"/>
        <w:jc w:val="lowKashida"/>
        <w:rPr>
          <w:szCs w:val="10"/>
          <w:rtl/>
        </w:rPr>
      </w:pPr>
    </w:p>
    <w:p w:rsidR="000732F2" w:rsidRPr="000409E0" w:rsidRDefault="000732F2" w:rsidP="000732F2">
      <w:pPr>
        <w:framePr w:w="9792" w:h="432" w:hSpace="187" w:wrap="around" w:hAnchor="page" w:x="1196" w:yAlign="bottom"/>
        <w:spacing w:line="240" w:lineRule="auto"/>
        <w:jc w:val="lowKashida"/>
        <w:rPr>
          <w:szCs w:val="6"/>
          <w:rtl/>
        </w:rPr>
      </w:pPr>
    </w:p>
    <w:p w:rsidR="00693532" w:rsidRPr="00693532" w:rsidRDefault="000732F2" w:rsidP="00EA2111">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tl/>
          <w:lang w:bidi="ar-EG"/>
        </w:rPr>
      </w:pPr>
      <w:r>
        <w:rPr>
          <w:noProof/>
          <w:w w:val="100"/>
        </w:rPr>
        <w:pict>
          <v:line id="_x0000_s1026" style="position:absolute;left:0;text-align:left;z-index:1" from="396pt,-1pt" to="468pt,-1pt">
            <w10:wrap side="left"/>
          </v:line>
        </w:pict>
      </w:r>
      <w:r>
        <w:rPr>
          <w:rFonts w:hint="cs"/>
          <w:sz w:val="17"/>
          <w:szCs w:val="26"/>
          <w:rtl/>
        </w:rPr>
        <w:tab/>
        <w:t>*</w:t>
      </w:r>
      <w:r>
        <w:rPr>
          <w:rFonts w:hint="cs"/>
          <w:sz w:val="17"/>
          <w:szCs w:val="26"/>
          <w:rtl/>
        </w:rPr>
        <w:tab/>
      </w:r>
      <w:r w:rsidR="00693532" w:rsidRPr="00693532">
        <w:rPr>
          <w:rFonts w:hint="cs"/>
          <w:sz w:val="17"/>
          <w:szCs w:val="26"/>
          <w:rtl/>
          <w:lang w:bidi="ar-EG"/>
        </w:rPr>
        <w:t>هذا التقرير صادر دون تحرير رسمي</w:t>
      </w:r>
      <w:r w:rsidR="00EA2111">
        <w:rPr>
          <w:rFonts w:hint="cs"/>
          <w:sz w:val="17"/>
          <w:szCs w:val="26"/>
          <w:rtl/>
          <w:lang w:bidi="ar-EG"/>
        </w:rPr>
        <w:t>.</w:t>
      </w:r>
    </w:p>
    <w:p w:rsidR="000732F2" w:rsidRPr="000409E0" w:rsidRDefault="00693532" w:rsidP="0037065F">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tl/>
          <w:lang w:bidi="ar-EG"/>
        </w:rPr>
      </w:pPr>
      <w:r w:rsidRPr="00693532">
        <w:rPr>
          <w:rFonts w:hint="cs"/>
          <w:sz w:val="17"/>
          <w:szCs w:val="26"/>
          <w:rtl/>
          <w:lang w:bidi="ar-EG"/>
        </w:rPr>
        <w:tab/>
      </w:r>
      <w:r w:rsidRPr="00693532">
        <w:rPr>
          <w:rFonts w:hint="cs"/>
          <w:sz w:val="17"/>
          <w:szCs w:val="26"/>
          <w:rtl/>
          <w:lang w:bidi="ar-EG"/>
        </w:rPr>
        <w:tab/>
        <w:t xml:space="preserve">للاطلاع على التقرير الأولي المقدم من حكومة كولومبيا أنظر </w:t>
      </w:r>
      <w:r w:rsidRPr="00693532">
        <w:rPr>
          <w:sz w:val="17"/>
          <w:szCs w:val="26"/>
        </w:rPr>
        <w:t>CEDAW/C/5/Add</w:t>
      </w:r>
      <w:r w:rsidR="003D7EB4">
        <w:rPr>
          <w:sz w:val="17"/>
          <w:szCs w:val="26"/>
          <w:rtl/>
        </w:rPr>
        <w:t>،</w:t>
      </w:r>
      <w:r w:rsidR="00EA2111">
        <w:rPr>
          <w:sz w:val="17"/>
          <w:szCs w:val="26"/>
        </w:rPr>
        <w:t xml:space="preserve"> </w:t>
      </w:r>
      <w:r w:rsidRPr="00693532">
        <w:rPr>
          <w:sz w:val="17"/>
          <w:szCs w:val="26"/>
        </w:rPr>
        <w:t>32</w:t>
      </w:r>
      <w:r w:rsidRPr="00693532">
        <w:rPr>
          <w:rFonts w:hint="cs"/>
          <w:sz w:val="17"/>
          <w:szCs w:val="26"/>
          <w:rtl/>
          <w:lang w:bidi="ar-EG"/>
        </w:rPr>
        <w:t xml:space="preserve"> ، الذي نظرت فيه اللجنة في دورتها السادسة</w:t>
      </w:r>
      <w:r w:rsidR="003D7EB4">
        <w:rPr>
          <w:rFonts w:hint="cs"/>
          <w:sz w:val="17"/>
          <w:szCs w:val="26"/>
          <w:rtl/>
          <w:lang w:bidi="ar-EG"/>
        </w:rPr>
        <w:t>،</w:t>
      </w:r>
      <w:r w:rsidRPr="00693532">
        <w:rPr>
          <w:rFonts w:hint="cs"/>
          <w:sz w:val="17"/>
          <w:szCs w:val="26"/>
          <w:rtl/>
          <w:lang w:bidi="ar-EG"/>
        </w:rPr>
        <w:t xml:space="preserve"> وللاطلاع على التقريرين الدوريين المجمعين الثاني والثالث المقدمين من حكومة كولومبيا أنظر </w:t>
      </w:r>
      <w:r w:rsidRPr="00693532">
        <w:rPr>
          <w:sz w:val="17"/>
          <w:szCs w:val="26"/>
        </w:rPr>
        <w:t>CEDAW/C/COL/2-3 and Rev</w:t>
      </w:r>
      <w:r w:rsidR="00EA2111">
        <w:rPr>
          <w:sz w:val="17"/>
          <w:szCs w:val="26"/>
        </w:rPr>
        <w:t>.</w:t>
      </w:r>
      <w:r w:rsidRPr="00693532">
        <w:rPr>
          <w:sz w:val="17"/>
          <w:szCs w:val="26"/>
        </w:rPr>
        <w:t>1</w:t>
      </w:r>
      <w:r w:rsidRPr="00693532">
        <w:rPr>
          <w:rFonts w:hint="cs"/>
          <w:sz w:val="17"/>
          <w:szCs w:val="26"/>
          <w:rtl/>
          <w:lang w:bidi="ar-EG"/>
        </w:rPr>
        <w:t xml:space="preserve"> ، اللذين نظرت فيهما اللجنة في دورتها الثالثة عشرة</w:t>
      </w:r>
      <w:r w:rsidR="003D7EB4">
        <w:rPr>
          <w:rFonts w:hint="cs"/>
          <w:sz w:val="17"/>
          <w:szCs w:val="26"/>
          <w:rtl/>
          <w:lang w:bidi="ar-EG"/>
        </w:rPr>
        <w:t>،</w:t>
      </w:r>
      <w:r w:rsidRPr="00693532">
        <w:rPr>
          <w:rFonts w:hint="cs"/>
          <w:sz w:val="17"/>
          <w:szCs w:val="26"/>
          <w:rtl/>
          <w:lang w:bidi="ar-EG"/>
        </w:rPr>
        <w:t xml:space="preserve"> وللاطلاع على التقرير الدوري الرابع المقدم من حكومة كولومبيا أنظر </w:t>
      </w:r>
      <w:r w:rsidRPr="00693532">
        <w:rPr>
          <w:sz w:val="17"/>
          <w:szCs w:val="26"/>
        </w:rPr>
        <w:t>CEDAW/C/COL/4 and Rev</w:t>
      </w:r>
      <w:r w:rsidR="00EA2111">
        <w:rPr>
          <w:sz w:val="17"/>
          <w:szCs w:val="26"/>
        </w:rPr>
        <w:t>.</w:t>
      </w:r>
      <w:r w:rsidRPr="00693532">
        <w:rPr>
          <w:sz w:val="17"/>
          <w:szCs w:val="26"/>
        </w:rPr>
        <w:t>1</w:t>
      </w:r>
      <w:r w:rsidR="0037065F">
        <w:rPr>
          <w:rFonts w:hint="cs"/>
          <w:sz w:val="17"/>
          <w:szCs w:val="26"/>
          <w:rtl/>
          <w:lang w:bidi="ar-EG"/>
        </w:rPr>
        <w:t>،</w:t>
      </w:r>
      <w:r w:rsidRPr="00693532">
        <w:rPr>
          <w:rFonts w:hint="cs"/>
          <w:sz w:val="17"/>
          <w:szCs w:val="26"/>
          <w:rtl/>
          <w:lang w:bidi="ar-EG"/>
        </w:rPr>
        <w:t xml:space="preserve"> الذي ن</w:t>
      </w:r>
      <w:r w:rsidR="00EA2111">
        <w:rPr>
          <w:rFonts w:hint="cs"/>
          <w:sz w:val="17"/>
          <w:szCs w:val="26"/>
          <w:rtl/>
          <w:lang w:bidi="ar-EG"/>
        </w:rPr>
        <w:t>ظرت فيه اللجنة في دورتها العشري.</w:t>
      </w:r>
    </w:p>
    <w:p w:rsidR="00693532" w:rsidRDefault="00693532" w:rsidP="0069353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اللجنة المعنية بالقضاء على التمييز ضد المرأة</w:t>
      </w:r>
    </w:p>
    <w:p w:rsidR="00693532" w:rsidRDefault="00693532" w:rsidP="006935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right="5356"/>
        <w:jc w:val="lowKashida"/>
        <w:rPr>
          <w:rFonts w:hint="cs"/>
          <w:rtl/>
          <w:lang w:bidi="ar-EG"/>
        </w:rPr>
      </w:pPr>
      <w:r>
        <w:rPr>
          <w:rFonts w:hint="cs"/>
          <w:rtl/>
          <w:lang w:bidi="ar-EG"/>
        </w:rPr>
        <w:t>النظر في التقارير المقدمة من الدول الأطراف بموجب المادة 18 من اتفاقية القضاء على جميع أشكال التمييز ضد المرأة</w:t>
      </w:r>
    </w:p>
    <w:p w:rsidR="00693532" w:rsidRPr="009C004E" w:rsidRDefault="00693532" w:rsidP="00693532">
      <w:pPr>
        <w:pStyle w:val="SingleTxt"/>
        <w:spacing w:after="0" w:line="120" w:lineRule="exact"/>
        <w:ind w:left="0"/>
        <w:jc w:val="left"/>
        <w:rPr>
          <w:rFonts w:hint="cs"/>
          <w:sz w:val="10"/>
          <w:rtl/>
          <w:lang w:bidi="ar-EG"/>
        </w:rPr>
      </w:pPr>
    </w:p>
    <w:p w:rsidR="00693532" w:rsidRDefault="00693532" w:rsidP="006935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التقريران الدوريان المجمعان الخامس والسادس للدول الأطراف</w:t>
      </w:r>
    </w:p>
    <w:p w:rsidR="00693532" w:rsidRPr="009C004E" w:rsidRDefault="00693532" w:rsidP="0069353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eft"/>
        <w:rPr>
          <w:rFonts w:hint="cs"/>
          <w:sz w:val="10"/>
          <w:rtl/>
          <w:lang w:bidi="ar-EG"/>
        </w:rPr>
      </w:pPr>
    </w:p>
    <w:p w:rsidR="00693532" w:rsidRDefault="00693532" w:rsidP="006935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EG"/>
        </w:rPr>
        <w:tab/>
      </w:r>
      <w:r>
        <w:rPr>
          <w:rFonts w:hint="cs"/>
          <w:rtl/>
          <w:lang w:bidi="ar-EG"/>
        </w:rPr>
        <w:tab/>
        <w:t>كولومبي</w:t>
      </w:r>
      <w:r>
        <w:rPr>
          <w:rFonts w:hint="cs"/>
          <w:rtl/>
        </w:rPr>
        <w:t>ا*</w:t>
      </w:r>
    </w:p>
    <w:p w:rsidR="00B026FC" w:rsidRPr="00B026FC" w:rsidRDefault="00693532" w:rsidP="00B026FC">
      <w:pPr>
        <w:pStyle w:val="HCh"/>
        <w:spacing w:line="120" w:lineRule="exact"/>
        <w:rPr>
          <w:rFonts w:hint="eastAsia"/>
          <w:sz w:val="10"/>
          <w:rtl/>
          <w:lang w:bidi="ar-EG"/>
        </w:rPr>
      </w:pPr>
      <w:r>
        <w:rPr>
          <w:rtl/>
        </w:rPr>
        <w:br w:type="page"/>
      </w:r>
    </w:p>
    <w:p w:rsidR="00B026FC" w:rsidRPr="00B026FC" w:rsidRDefault="00B026FC" w:rsidP="00B026FC">
      <w:pPr>
        <w:pStyle w:val="HCh"/>
        <w:spacing w:line="120" w:lineRule="exact"/>
        <w:rPr>
          <w:rFonts w:hint="eastAsia"/>
          <w:sz w:val="10"/>
          <w:rtl/>
          <w:lang w:bidi="ar-EG"/>
        </w:rPr>
      </w:pPr>
    </w:p>
    <w:p w:rsidR="001D7220" w:rsidRDefault="001D7220" w:rsidP="001D7220">
      <w:pPr>
        <w:pStyle w:val="HCh"/>
        <w:spacing w:after="120"/>
        <w:rPr>
          <w:rFonts w:hint="cs"/>
          <w:rtl/>
          <w:lang w:bidi="ar-EG"/>
        </w:rPr>
      </w:pPr>
      <w:r>
        <w:rPr>
          <w:rFonts w:hint="eastAsia"/>
          <w:rtl/>
          <w:lang w:bidi="ar-EG"/>
        </w:rPr>
        <w:t>المحتويات</w:t>
      </w:r>
    </w:p>
    <w:p w:rsidR="00B026FC" w:rsidRPr="00B026FC" w:rsidRDefault="00B026FC" w:rsidP="00B026FC">
      <w:pPr>
        <w:spacing w:line="120" w:lineRule="exact"/>
        <w:rPr>
          <w:rFonts w:hint="cs"/>
          <w:sz w:val="10"/>
          <w:rtl/>
          <w:lang w:bidi="ar-EG"/>
        </w:rPr>
      </w:pP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1D7220" w:rsidRPr="001D7220">
        <w:tblPrEx>
          <w:tblCellMar>
            <w:top w:w="0" w:type="dxa"/>
            <w:bottom w:w="0" w:type="dxa"/>
          </w:tblCellMar>
        </w:tblPrEx>
        <w:tc>
          <w:tcPr>
            <w:tcW w:w="1296" w:type="dxa"/>
            <w:shd w:val="clear" w:color="auto" w:fill="auto"/>
          </w:tcPr>
          <w:p w:rsidR="001D7220" w:rsidRPr="001D7220" w:rsidRDefault="001D7220" w:rsidP="001D7220">
            <w:pPr>
              <w:spacing w:after="120" w:line="240" w:lineRule="auto"/>
              <w:jc w:val="right"/>
              <w:rPr>
                <w:rFonts w:hint="cs"/>
                <w:iCs/>
                <w:sz w:val="14"/>
                <w:rtl/>
              </w:rPr>
            </w:pPr>
          </w:p>
        </w:tc>
        <w:tc>
          <w:tcPr>
            <w:tcW w:w="6566" w:type="dxa"/>
            <w:shd w:val="clear" w:color="auto" w:fill="auto"/>
          </w:tcPr>
          <w:p w:rsidR="001D7220" w:rsidRPr="001D7220" w:rsidRDefault="001D7220" w:rsidP="001D7220">
            <w:pPr>
              <w:spacing w:after="120" w:line="240" w:lineRule="auto"/>
              <w:rPr>
                <w:rFonts w:hint="cs"/>
                <w:iCs/>
                <w:sz w:val="14"/>
                <w:rtl/>
                <w:lang w:bidi="ar-EG"/>
              </w:rPr>
            </w:pPr>
          </w:p>
        </w:tc>
        <w:tc>
          <w:tcPr>
            <w:tcW w:w="1166" w:type="dxa"/>
            <w:shd w:val="clear" w:color="auto" w:fill="auto"/>
          </w:tcPr>
          <w:p w:rsidR="001D7220" w:rsidRPr="001D7220" w:rsidRDefault="001D7220" w:rsidP="001D7220">
            <w:pPr>
              <w:spacing w:after="120" w:line="240" w:lineRule="auto"/>
              <w:jc w:val="right"/>
              <w:rPr>
                <w:rFonts w:hint="cs"/>
                <w:iCs/>
                <w:sz w:val="14"/>
                <w:rtl/>
                <w:lang w:bidi="ar-EG"/>
              </w:rPr>
            </w:pPr>
          </w:p>
        </w:tc>
        <w:tc>
          <w:tcPr>
            <w:tcW w:w="806" w:type="dxa"/>
            <w:shd w:val="clear" w:color="auto" w:fill="auto"/>
          </w:tcPr>
          <w:p w:rsidR="001D7220" w:rsidRPr="001D7220" w:rsidRDefault="001D7220" w:rsidP="001D7220">
            <w:pPr>
              <w:spacing w:after="120" w:line="240" w:lineRule="auto"/>
              <w:jc w:val="right"/>
              <w:rPr>
                <w:rFonts w:hint="cs"/>
                <w:iCs/>
                <w:sz w:val="14"/>
                <w:rtl/>
                <w:lang w:bidi="ar-EG"/>
              </w:rPr>
            </w:pPr>
            <w:r>
              <w:rPr>
                <w:rFonts w:hint="eastAsia"/>
                <w:iCs/>
                <w:sz w:val="14"/>
                <w:rtl/>
                <w:lang w:bidi="ar-EG"/>
              </w:rPr>
              <w:t>الصفحة</w:t>
            </w:r>
          </w:p>
        </w:tc>
      </w:tr>
      <w:tr w:rsidR="001D7220" w:rsidRPr="001D7220">
        <w:tblPrEx>
          <w:tblCellMar>
            <w:top w:w="0" w:type="dxa"/>
            <w:bottom w:w="0" w:type="dxa"/>
          </w:tblCellMar>
        </w:tblPrEx>
        <w:tc>
          <w:tcPr>
            <w:tcW w:w="9028" w:type="dxa"/>
            <w:gridSpan w:val="3"/>
            <w:shd w:val="clear" w:color="auto" w:fill="auto"/>
          </w:tcPr>
          <w:p w:rsidR="001D7220" w:rsidRPr="001D7220" w:rsidRDefault="001D7220" w:rsidP="001D7220">
            <w:pPr>
              <w:tabs>
                <w:tab w:val="right" w:pos="1080"/>
                <w:tab w:val="left" w:pos="1296"/>
                <w:tab w:val="left" w:pos="1728"/>
                <w:tab w:val="left" w:pos="2160"/>
                <w:tab w:val="right" w:leader="dot" w:pos="9029"/>
              </w:tabs>
              <w:rPr>
                <w:rFonts w:hint="cs"/>
                <w:spacing w:val="60"/>
                <w:sz w:val="17"/>
                <w:rtl/>
                <w:lang w:bidi="ar-EG"/>
              </w:rPr>
            </w:pPr>
            <w:r>
              <w:rPr>
                <w:rtl/>
                <w:lang w:bidi="ar-EG"/>
              </w:rPr>
              <w:tab/>
            </w:r>
            <w:r>
              <w:rPr>
                <w:rFonts w:hint="cs"/>
                <w:rtl/>
                <w:lang w:bidi="ar-EG"/>
              </w:rPr>
              <w:t>1 -</w:t>
            </w:r>
            <w:r>
              <w:rPr>
                <w:rtl/>
                <w:lang w:bidi="ar-EG"/>
              </w:rPr>
              <w:tab/>
            </w:r>
            <w:r>
              <w:rPr>
                <w:rFonts w:hint="cs"/>
                <w:rtl/>
                <w:lang w:bidi="ar-EG"/>
              </w:rPr>
              <w:t>الموجز التنفيذي</w:t>
            </w:r>
            <w:r>
              <w:rPr>
                <w:spacing w:val="60"/>
                <w:sz w:val="17"/>
                <w:rtl/>
                <w:lang w:bidi="ar-EG"/>
              </w:rPr>
              <w:tab/>
            </w:r>
          </w:p>
        </w:tc>
        <w:tc>
          <w:tcPr>
            <w:tcW w:w="806" w:type="dxa"/>
            <w:shd w:val="clear" w:color="auto" w:fill="auto"/>
          </w:tcPr>
          <w:p w:rsidR="001D7220" w:rsidRPr="001D7220" w:rsidRDefault="001D7220" w:rsidP="00BF1DA6">
            <w:pPr>
              <w:jc w:val="right"/>
              <w:rPr>
                <w:rFonts w:hint="cs"/>
                <w:rtl/>
                <w:lang w:bidi="ar-EG"/>
              </w:rPr>
            </w:pPr>
            <w:r>
              <w:rPr>
                <w:rFonts w:hint="cs"/>
                <w:rtl/>
                <w:lang w:bidi="ar-EG"/>
              </w:rPr>
              <w:t>4</w:t>
            </w:r>
          </w:p>
        </w:tc>
      </w:tr>
      <w:tr w:rsidR="001D7220" w:rsidRPr="001D7220">
        <w:tblPrEx>
          <w:tblCellMar>
            <w:top w:w="0" w:type="dxa"/>
            <w:bottom w:w="0" w:type="dxa"/>
          </w:tblCellMar>
        </w:tblPrEx>
        <w:tc>
          <w:tcPr>
            <w:tcW w:w="9028" w:type="dxa"/>
            <w:gridSpan w:val="3"/>
            <w:shd w:val="clear" w:color="auto" w:fill="auto"/>
          </w:tcPr>
          <w:p w:rsidR="001D7220" w:rsidRPr="001D7220" w:rsidRDefault="001D7220" w:rsidP="001D7220">
            <w:pPr>
              <w:tabs>
                <w:tab w:val="right" w:pos="1080"/>
                <w:tab w:val="left" w:pos="1296"/>
                <w:tab w:val="left" w:pos="1728"/>
                <w:tab w:val="left" w:pos="2160"/>
                <w:tab w:val="left" w:pos="2592"/>
                <w:tab w:val="left" w:pos="3024"/>
                <w:tab w:val="left" w:pos="3456"/>
                <w:tab w:val="right" w:leader="dot" w:pos="9029"/>
              </w:tabs>
              <w:rPr>
                <w:rFonts w:hint="cs"/>
                <w:spacing w:val="60"/>
                <w:sz w:val="17"/>
                <w:rtl/>
                <w:lang w:bidi="ar-EG"/>
              </w:rPr>
            </w:pPr>
            <w:r>
              <w:rPr>
                <w:rFonts w:hint="cs"/>
                <w:rtl/>
                <w:lang w:bidi="ar-EG"/>
              </w:rPr>
              <w:tab/>
              <w:t>2 -</w:t>
            </w:r>
            <w:r>
              <w:rPr>
                <w:rtl/>
                <w:lang w:bidi="ar-EG"/>
              </w:rPr>
              <w:tab/>
            </w:r>
            <w:r>
              <w:rPr>
                <w:rFonts w:hint="cs"/>
                <w:rtl/>
                <w:lang w:bidi="ar-EG"/>
              </w:rPr>
              <w:t>المواد 1 إلى 16 من الاتفاقية</w:t>
            </w:r>
            <w:r>
              <w:rPr>
                <w:spacing w:val="60"/>
                <w:sz w:val="17"/>
                <w:rtl/>
                <w:lang w:bidi="ar-EG"/>
              </w:rPr>
              <w:tab/>
            </w:r>
          </w:p>
        </w:tc>
        <w:tc>
          <w:tcPr>
            <w:tcW w:w="806" w:type="dxa"/>
            <w:shd w:val="clear" w:color="auto" w:fill="auto"/>
          </w:tcPr>
          <w:p w:rsidR="001D7220" w:rsidRDefault="001D7220" w:rsidP="00BF1DA6">
            <w:pPr>
              <w:jc w:val="right"/>
              <w:rPr>
                <w:rFonts w:hint="cs"/>
                <w:rtl/>
                <w:lang w:bidi="ar-EG"/>
              </w:rPr>
            </w:pPr>
            <w:r>
              <w:rPr>
                <w:rFonts w:hint="cs"/>
                <w:rtl/>
                <w:lang w:bidi="ar-EG"/>
              </w:rPr>
              <w:t>14</w:t>
            </w:r>
          </w:p>
        </w:tc>
      </w:tr>
      <w:tr w:rsidR="001D7220" w:rsidRPr="001D7220">
        <w:tblPrEx>
          <w:tblCellMar>
            <w:top w:w="0" w:type="dxa"/>
            <w:bottom w:w="0" w:type="dxa"/>
          </w:tblCellMar>
        </w:tblPrEx>
        <w:tc>
          <w:tcPr>
            <w:tcW w:w="9028" w:type="dxa"/>
            <w:gridSpan w:val="3"/>
            <w:shd w:val="clear" w:color="auto" w:fill="auto"/>
          </w:tcPr>
          <w:p w:rsidR="001D7220" w:rsidRPr="009C3546" w:rsidRDefault="001D7220" w:rsidP="009C3546">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lang w:bidi="ar-EG"/>
              </w:rPr>
            </w:pPr>
            <w:r>
              <w:rPr>
                <w:rtl/>
                <w:lang w:bidi="ar-EG"/>
              </w:rPr>
              <w:tab/>
            </w:r>
            <w:r>
              <w:rPr>
                <w:rFonts w:hint="cs"/>
                <w:rtl/>
                <w:lang w:bidi="ar-EG"/>
              </w:rPr>
              <w:t>2 - 1</w:t>
            </w:r>
            <w:r>
              <w:rPr>
                <w:rtl/>
                <w:lang w:bidi="ar-EG"/>
              </w:rPr>
              <w:tab/>
            </w:r>
            <w:r>
              <w:rPr>
                <w:rFonts w:hint="cs"/>
                <w:rtl/>
                <w:lang w:bidi="ar-EG"/>
              </w:rPr>
              <w:t>المادة 1</w:t>
            </w:r>
            <w:r w:rsidR="008B1EFC">
              <w:rPr>
                <w:rFonts w:hint="cs"/>
                <w:spacing w:val="60"/>
                <w:sz w:val="17"/>
                <w:rtl/>
                <w:lang w:bidi="ar-EG"/>
              </w:rPr>
              <w:t xml:space="preserve"> </w:t>
            </w:r>
            <w:r w:rsidR="008B1EFC" w:rsidRPr="009C3546">
              <w:rPr>
                <w:rFonts w:hint="cs"/>
                <w:rtl/>
                <w:lang w:bidi="ar-EG"/>
              </w:rPr>
              <w:t>تعريف التمييز ضد المرأة</w:t>
            </w:r>
            <w:r w:rsidR="009C3546">
              <w:rPr>
                <w:spacing w:val="60"/>
                <w:sz w:val="17"/>
                <w:rtl/>
                <w:lang w:bidi="ar-EG"/>
              </w:rPr>
              <w:tab/>
            </w:r>
          </w:p>
        </w:tc>
        <w:tc>
          <w:tcPr>
            <w:tcW w:w="806" w:type="dxa"/>
            <w:shd w:val="clear" w:color="auto" w:fill="auto"/>
          </w:tcPr>
          <w:p w:rsidR="001D7220" w:rsidRDefault="001D7220" w:rsidP="00BF1DA6">
            <w:pPr>
              <w:jc w:val="right"/>
              <w:rPr>
                <w:rFonts w:hint="cs"/>
                <w:rtl/>
                <w:lang w:bidi="ar-EG"/>
              </w:rPr>
            </w:pPr>
            <w:r>
              <w:rPr>
                <w:rFonts w:hint="cs"/>
                <w:rtl/>
                <w:lang w:bidi="ar-EG"/>
              </w:rPr>
              <w:t>14</w:t>
            </w:r>
          </w:p>
        </w:tc>
      </w:tr>
      <w:tr w:rsidR="001D7220" w:rsidRPr="001D7220">
        <w:tblPrEx>
          <w:tblCellMar>
            <w:top w:w="0" w:type="dxa"/>
            <w:bottom w:w="0" w:type="dxa"/>
          </w:tblCellMar>
        </w:tblPrEx>
        <w:tc>
          <w:tcPr>
            <w:tcW w:w="9028" w:type="dxa"/>
            <w:gridSpan w:val="3"/>
            <w:shd w:val="clear" w:color="auto" w:fill="auto"/>
          </w:tcPr>
          <w:p w:rsidR="001D7220" w:rsidRPr="001D7220" w:rsidRDefault="001D7220" w:rsidP="001D7220">
            <w:pPr>
              <w:tabs>
                <w:tab w:val="right" w:pos="1080"/>
                <w:tab w:val="left" w:pos="1296"/>
                <w:tab w:val="right" w:leader="dot" w:pos="9029"/>
              </w:tabs>
              <w:rPr>
                <w:rFonts w:hint="cs"/>
                <w:spacing w:val="60"/>
                <w:sz w:val="17"/>
                <w:rtl/>
              </w:rPr>
            </w:pPr>
            <w:r>
              <w:rPr>
                <w:rFonts w:hint="cs"/>
                <w:rtl/>
                <w:lang w:bidi="ar-EG"/>
              </w:rPr>
              <w:tab/>
              <w:t>2 - 2</w:t>
            </w:r>
            <w:r>
              <w:rPr>
                <w:rtl/>
                <w:lang w:bidi="ar-EG"/>
              </w:rPr>
              <w:tab/>
            </w:r>
            <w:r>
              <w:rPr>
                <w:rFonts w:hint="cs"/>
                <w:rtl/>
                <w:lang w:bidi="ar-EG"/>
              </w:rPr>
              <w:t>المادة 2</w:t>
            </w:r>
            <w:r w:rsidR="008B1EFC">
              <w:rPr>
                <w:rFonts w:hint="cs"/>
                <w:spacing w:val="60"/>
                <w:sz w:val="17"/>
                <w:rtl/>
                <w:lang w:bidi="ar-EG"/>
              </w:rPr>
              <w:t xml:space="preserve"> </w:t>
            </w:r>
            <w:r w:rsidR="008B1EFC" w:rsidRPr="009C3546">
              <w:rPr>
                <w:rFonts w:hint="cs"/>
                <w:rtl/>
                <w:lang w:bidi="ar-EG"/>
              </w:rPr>
              <w:t>تدابير مكافحة التمييز</w:t>
            </w:r>
            <w:r>
              <w:rPr>
                <w:spacing w:val="60"/>
                <w:sz w:val="17"/>
                <w:rtl/>
                <w:lang w:bidi="ar-EG"/>
              </w:rPr>
              <w:tab/>
            </w:r>
          </w:p>
        </w:tc>
        <w:tc>
          <w:tcPr>
            <w:tcW w:w="806" w:type="dxa"/>
            <w:shd w:val="clear" w:color="auto" w:fill="auto"/>
          </w:tcPr>
          <w:p w:rsidR="001D7220" w:rsidRDefault="001D7220" w:rsidP="00BF1DA6">
            <w:pPr>
              <w:jc w:val="right"/>
              <w:rPr>
                <w:rFonts w:hint="cs"/>
                <w:rtl/>
                <w:lang w:bidi="ar-EG"/>
              </w:rPr>
            </w:pPr>
            <w:r>
              <w:rPr>
                <w:rFonts w:hint="cs"/>
                <w:rtl/>
                <w:lang w:bidi="ar-EG"/>
              </w:rPr>
              <w:t>14</w:t>
            </w:r>
          </w:p>
        </w:tc>
      </w:tr>
      <w:tr w:rsidR="001D7220" w:rsidRPr="001D7220">
        <w:tblPrEx>
          <w:tblCellMar>
            <w:top w:w="0" w:type="dxa"/>
            <w:bottom w:w="0" w:type="dxa"/>
          </w:tblCellMar>
        </w:tblPrEx>
        <w:tc>
          <w:tcPr>
            <w:tcW w:w="9028" w:type="dxa"/>
            <w:gridSpan w:val="3"/>
            <w:shd w:val="clear" w:color="auto" w:fill="auto"/>
          </w:tcPr>
          <w:p w:rsidR="001D7220" w:rsidRPr="001D7220" w:rsidRDefault="001D7220" w:rsidP="001D7220">
            <w:pPr>
              <w:tabs>
                <w:tab w:val="right" w:pos="1080"/>
                <w:tab w:val="left" w:pos="1296"/>
                <w:tab w:val="right" w:leader="dot" w:pos="9029"/>
              </w:tabs>
              <w:rPr>
                <w:rFonts w:hint="cs"/>
                <w:spacing w:val="60"/>
                <w:sz w:val="17"/>
                <w:rtl/>
                <w:lang w:bidi="ar-EG"/>
              </w:rPr>
            </w:pPr>
            <w:r>
              <w:rPr>
                <w:rtl/>
                <w:lang w:bidi="ar-EG"/>
              </w:rPr>
              <w:tab/>
            </w:r>
            <w:r>
              <w:rPr>
                <w:rFonts w:hint="cs"/>
                <w:rtl/>
                <w:lang w:bidi="ar-EG"/>
              </w:rPr>
              <w:t>2 - 3</w:t>
            </w:r>
            <w:r>
              <w:rPr>
                <w:rtl/>
                <w:lang w:bidi="ar-EG"/>
              </w:rPr>
              <w:tab/>
            </w:r>
            <w:r>
              <w:rPr>
                <w:rFonts w:hint="cs"/>
                <w:rtl/>
                <w:lang w:bidi="ar-EG"/>
              </w:rPr>
              <w:t>المادة 3</w:t>
            </w:r>
            <w:r w:rsidR="008B1EFC">
              <w:rPr>
                <w:rFonts w:hint="cs"/>
                <w:spacing w:val="60"/>
                <w:sz w:val="17"/>
                <w:rtl/>
                <w:lang w:bidi="ar-EG"/>
              </w:rPr>
              <w:t xml:space="preserve"> </w:t>
            </w:r>
            <w:r w:rsidR="008B1EFC" w:rsidRPr="009C3546">
              <w:rPr>
                <w:rFonts w:hint="cs"/>
                <w:rtl/>
                <w:lang w:bidi="ar-EG"/>
              </w:rPr>
              <w:t>تنمية المرأة والنهوض بها</w:t>
            </w:r>
            <w:r w:rsidR="008B1EFC">
              <w:rPr>
                <w:rFonts w:hint="cs"/>
                <w:spacing w:val="60"/>
                <w:sz w:val="17"/>
                <w:rtl/>
                <w:lang w:bidi="ar-EG"/>
              </w:rPr>
              <w:t xml:space="preserve"> </w:t>
            </w:r>
            <w:r>
              <w:rPr>
                <w:spacing w:val="60"/>
                <w:sz w:val="17"/>
                <w:rtl/>
                <w:lang w:bidi="ar-EG"/>
              </w:rPr>
              <w:tab/>
            </w:r>
          </w:p>
        </w:tc>
        <w:tc>
          <w:tcPr>
            <w:tcW w:w="806" w:type="dxa"/>
            <w:shd w:val="clear" w:color="auto" w:fill="auto"/>
          </w:tcPr>
          <w:p w:rsidR="001D7220" w:rsidRDefault="001D7220" w:rsidP="00BF1DA6">
            <w:pPr>
              <w:jc w:val="right"/>
              <w:rPr>
                <w:rFonts w:hint="cs"/>
                <w:rtl/>
                <w:lang w:bidi="ar-EG"/>
              </w:rPr>
            </w:pPr>
            <w:r>
              <w:rPr>
                <w:rFonts w:hint="cs"/>
                <w:rtl/>
                <w:lang w:bidi="ar-EG"/>
              </w:rPr>
              <w:t>20</w:t>
            </w:r>
          </w:p>
        </w:tc>
      </w:tr>
      <w:tr w:rsidR="001D7220" w:rsidRPr="001D7220">
        <w:tblPrEx>
          <w:tblCellMar>
            <w:top w:w="0" w:type="dxa"/>
            <w:bottom w:w="0" w:type="dxa"/>
          </w:tblCellMar>
        </w:tblPrEx>
        <w:tc>
          <w:tcPr>
            <w:tcW w:w="9028" w:type="dxa"/>
            <w:gridSpan w:val="3"/>
            <w:shd w:val="clear" w:color="auto" w:fill="auto"/>
          </w:tcPr>
          <w:p w:rsidR="001D7220" w:rsidRPr="001D7220" w:rsidRDefault="001D7220" w:rsidP="001D722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rPr>
                <w:rFonts w:hint="cs"/>
                <w:spacing w:val="60"/>
                <w:sz w:val="17"/>
                <w:rtl/>
                <w:lang w:bidi="ar-EG"/>
              </w:rPr>
            </w:pPr>
            <w:r>
              <w:rPr>
                <w:rFonts w:hint="cs"/>
                <w:rtl/>
                <w:lang w:bidi="ar-EG"/>
              </w:rPr>
              <w:tab/>
              <w:t>2 - 4</w:t>
            </w:r>
            <w:r>
              <w:rPr>
                <w:rtl/>
                <w:lang w:bidi="ar-EG"/>
              </w:rPr>
              <w:tab/>
            </w:r>
            <w:r>
              <w:rPr>
                <w:rFonts w:hint="cs"/>
                <w:rtl/>
                <w:lang w:bidi="ar-EG"/>
              </w:rPr>
              <w:t>المادة 4 التدابير الرامية إلى التعجيل بتحقيق المساواة بين الرجل والمرأة</w:t>
            </w:r>
            <w:r>
              <w:rPr>
                <w:spacing w:val="60"/>
                <w:sz w:val="17"/>
                <w:rtl/>
                <w:lang w:bidi="ar-EG"/>
              </w:rPr>
              <w:tab/>
            </w:r>
          </w:p>
        </w:tc>
        <w:tc>
          <w:tcPr>
            <w:tcW w:w="806" w:type="dxa"/>
            <w:shd w:val="clear" w:color="auto" w:fill="auto"/>
          </w:tcPr>
          <w:p w:rsidR="001D7220" w:rsidRDefault="001D7220" w:rsidP="00BF1DA6">
            <w:pPr>
              <w:jc w:val="right"/>
              <w:rPr>
                <w:rFonts w:hint="cs"/>
                <w:rtl/>
                <w:lang w:bidi="ar-EG"/>
              </w:rPr>
            </w:pPr>
            <w:r>
              <w:rPr>
                <w:rFonts w:hint="cs"/>
                <w:rtl/>
                <w:lang w:bidi="ar-EG"/>
              </w:rPr>
              <w:t>34</w:t>
            </w:r>
          </w:p>
        </w:tc>
      </w:tr>
      <w:tr w:rsidR="001D7220" w:rsidRPr="001D7220">
        <w:tblPrEx>
          <w:tblCellMar>
            <w:top w:w="0" w:type="dxa"/>
            <w:bottom w:w="0" w:type="dxa"/>
          </w:tblCellMar>
        </w:tblPrEx>
        <w:tc>
          <w:tcPr>
            <w:tcW w:w="9028" w:type="dxa"/>
            <w:gridSpan w:val="3"/>
            <w:shd w:val="clear" w:color="auto" w:fill="auto"/>
          </w:tcPr>
          <w:p w:rsidR="001D7220" w:rsidRPr="005760DF" w:rsidRDefault="005760DF" w:rsidP="005760D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rPr>
                <w:rFonts w:hint="cs"/>
                <w:spacing w:val="60"/>
                <w:sz w:val="17"/>
                <w:rtl/>
                <w:lang w:bidi="ar-EG"/>
              </w:rPr>
            </w:pPr>
            <w:r>
              <w:rPr>
                <w:rtl/>
                <w:lang w:bidi="ar-EG"/>
              </w:rPr>
              <w:tab/>
            </w:r>
            <w:r w:rsidR="00C6350D">
              <w:rPr>
                <w:rFonts w:hint="cs"/>
                <w:rtl/>
                <w:lang w:bidi="ar-EG"/>
              </w:rPr>
              <w:t>2 - 5</w:t>
            </w:r>
            <w:r>
              <w:rPr>
                <w:rtl/>
                <w:lang w:bidi="ar-EG"/>
              </w:rPr>
              <w:tab/>
            </w:r>
            <w:r w:rsidR="00C6350D">
              <w:rPr>
                <w:rFonts w:hint="cs"/>
                <w:rtl/>
                <w:lang w:bidi="ar-EG"/>
              </w:rPr>
              <w:t>المادة 5 القضاء على القوالب الاجتماعي</w:t>
            </w:r>
            <w:r w:rsidR="00533310">
              <w:rPr>
                <w:rFonts w:hint="cs"/>
                <w:rtl/>
                <w:lang w:bidi="ar-EG"/>
              </w:rPr>
              <w:t>ة والثقافية والأنماط التمييزية</w:t>
            </w:r>
            <w:r>
              <w:rPr>
                <w:spacing w:val="60"/>
                <w:sz w:val="17"/>
                <w:rtl/>
                <w:lang w:bidi="ar-EG"/>
              </w:rPr>
              <w:tab/>
            </w:r>
          </w:p>
        </w:tc>
        <w:tc>
          <w:tcPr>
            <w:tcW w:w="806" w:type="dxa"/>
            <w:shd w:val="clear" w:color="auto" w:fill="auto"/>
          </w:tcPr>
          <w:p w:rsidR="001D7220" w:rsidRDefault="00C6350D" w:rsidP="00BF1DA6">
            <w:pPr>
              <w:jc w:val="right"/>
              <w:rPr>
                <w:rFonts w:hint="cs"/>
                <w:rtl/>
                <w:lang w:bidi="ar-EG"/>
              </w:rPr>
            </w:pPr>
            <w:r>
              <w:rPr>
                <w:rFonts w:hint="cs"/>
                <w:rtl/>
                <w:lang w:bidi="ar-EG"/>
              </w:rPr>
              <w:t>40</w:t>
            </w:r>
          </w:p>
        </w:tc>
      </w:tr>
      <w:tr w:rsidR="00C6350D" w:rsidRPr="001D7220">
        <w:tblPrEx>
          <w:tblCellMar>
            <w:top w:w="0" w:type="dxa"/>
            <w:bottom w:w="0" w:type="dxa"/>
          </w:tblCellMar>
        </w:tblPrEx>
        <w:tc>
          <w:tcPr>
            <w:tcW w:w="9028" w:type="dxa"/>
            <w:gridSpan w:val="3"/>
            <w:shd w:val="clear" w:color="auto" w:fill="auto"/>
          </w:tcPr>
          <w:p w:rsidR="00C6350D" w:rsidRPr="005760DF" w:rsidRDefault="00533310" w:rsidP="005760D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rPr>
                <w:spacing w:val="60"/>
                <w:sz w:val="17"/>
                <w:rtl/>
                <w:lang w:bidi="ar-EG"/>
              </w:rPr>
            </w:pPr>
            <w:r>
              <w:rPr>
                <w:rtl/>
                <w:lang w:bidi="ar-EG"/>
              </w:rPr>
              <w:tab/>
            </w:r>
            <w:r>
              <w:rPr>
                <w:rFonts w:hint="cs"/>
                <w:rtl/>
                <w:lang w:bidi="ar-EG"/>
              </w:rPr>
              <w:t>2</w:t>
            </w:r>
            <w:r w:rsidR="00B350D1">
              <w:rPr>
                <w:rFonts w:hint="cs"/>
                <w:rtl/>
                <w:lang w:bidi="ar-EG"/>
              </w:rPr>
              <w:t xml:space="preserve"> </w:t>
            </w:r>
            <w:r>
              <w:rPr>
                <w:rFonts w:hint="cs"/>
                <w:rtl/>
                <w:lang w:bidi="ar-EG"/>
              </w:rPr>
              <w:t>-</w:t>
            </w:r>
            <w:r w:rsidR="00B350D1">
              <w:rPr>
                <w:rFonts w:hint="cs"/>
                <w:rtl/>
                <w:lang w:bidi="ar-EG"/>
              </w:rPr>
              <w:t xml:space="preserve"> </w:t>
            </w:r>
            <w:r>
              <w:rPr>
                <w:rFonts w:hint="cs"/>
                <w:rtl/>
                <w:lang w:bidi="ar-EG"/>
              </w:rPr>
              <w:t>6</w:t>
            </w:r>
            <w:r>
              <w:rPr>
                <w:rFonts w:hint="cs"/>
                <w:rtl/>
                <w:lang w:bidi="ar-EG"/>
              </w:rPr>
              <w:tab/>
              <w:t>المادة 6 قمع الاتجار بالنساء واستغلالهن في مجال الدعارة</w:t>
            </w:r>
            <w:r w:rsidR="005760DF">
              <w:rPr>
                <w:spacing w:val="60"/>
                <w:sz w:val="17"/>
                <w:rtl/>
                <w:lang w:bidi="ar-EG"/>
              </w:rPr>
              <w:tab/>
            </w:r>
          </w:p>
        </w:tc>
        <w:tc>
          <w:tcPr>
            <w:tcW w:w="806" w:type="dxa"/>
            <w:shd w:val="clear" w:color="auto" w:fill="auto"/>
          </w:tcPr>
          <w:p w:rsidR="00C6350D" w:rsidRDefault="001A2DC6" w:rsidP="00BF1DA6">
            <w:pPr>
              <w:jc w:val="right"/>
              <w:rPr>
                <w:rFonts w:hint="cs"/>
                <w:rtl/>
                <w:lang w:bidi="ar-EG"/>
              </w:rPr>
            </w:pPr>
            <w:r>
              <w:rPr>
                <w:rFonts w:hint="cs"/>
                <w:rtl/>
                <w:lang w:bidi="ar-EG"/>
              </w:rPr>
              <w:t>45</w:t>
            </w:r>
          </w:p>
        </w:tc>
      </w:tr>
      <w:tr w:rsidR="006A128D" w:rsidRPr="001D7220">
        <w:tblPrEx>
          <w:tblCellMar>
            <w:top w:w="0" w:type="dxa"/>
            <w:bottom w:w="0" w:type="dxa"/>
          </w:tblCellMar>
        </w:tblPrEx>
        <w:tc>
          <w:tcPr>
            <w:tcW w:w="9028" w:type="dxa"/>
            <w:gridSpan w:val="3"/>
            <w:shd w:val="clear" w:color="auto" w:fill="auto"/>
          </w:tcPr>
          <w:p w:rsidR="006A128D" w:rsidRPr="001A2DC6" w:rsidRDefault="006A128D" w:rsidP="001A2DC6">
            <w:pPr>
              <w:tabs>
                <w:tab w:val="right" w:pos="1080"/>
                <w:tab w:val="left" w:pos="1296"/>
                <w:tab w:val="left" w:pos="1728"/>
                <w:tab w:val="left" w:pos="2160"/>
                <w:tab w:val="left" w:pos="2592"/>
                <w:tab w:val="left" w:pos="3024"/>
                <w:tab w:val="left" w:pos="3456"/>
                <w:tab w:val="right" w:leader="dot" w:pos="9029"/>
              </w:tabs>
              <w:rPr>
                <w:rFonts w:hint="cs"/>
                <w:spacing w:val="60"/>
                <w:sz w:val="17"/>
                <w:rtl/>
              </w:rPr>
            </w:pPr>
            <w:r>
              <w:rPr>
                <w:rFonts w:hint="cs"/>
                <w:rtl/>
                <w:lang w:bidi="ar-EG"/>
              </w:rPr>
              <w:tab/>
              <w:t>2 - 7</w:t>
            </w:r>
            <w:r>
              <w:rPr>
                <w:rtl/>
                <w:lang w:bidi="ar-EG"/>
              </w:rPr>
              <w:tab/>
            </w:r>
            <w:r w:rsidR="001A2DC6">
              <w:rPr>
                <w:rFonts w:hint="cs"/>
                <w:rtl/>
                <w:lang w:bidi="ar-EG"/>
              </w:rPr>
              <w:t xml:space="preserve">المادة 7 </w:t>
            </w:r>
            <w:r w:rsidR="001A2DC6">
              <w:rPr>
                <w:rFonts w:hint="cs"/>
                <w:rtl/>
              </w:rPr>
              <w:t xml:space="preserve">الحياة السياسية والعامة </w:t>
            </w:r>
            <w:r w:rsidR="001A2DC6">
              <w:rPr>
                <w:spacing w:val="60"/>
                <w:sz w:val="17"/>
                <w:rtl/>
              </w:rPr>
              <w:tab/>
            </w:r>
          </w:p>
        </w:tc>
        <w:tc>
          <w:tcPr>
            <w:tcW w:w="806" w:type="dxa"/>
            <w:shd w:val="clear" w:color="auto" w:fill="auto"/>
          </w:tcPr>
          <w:p w:rsidR="006A128D" w:rsidRDefault="00B350D1" w:rsidP="00BF1DA6">
            <w:pPr>
              <w:jc w:val="right"/>
              <w:rPr>
                <w:rFonts w:hint="cs"/>
                <w:rtl/>
              </w:rPr>
            </w:pPr>
            <w:r>
              <w:rPr>
                <w:rFonts w:hint="cs"/>
                <w:rtl/>
              </w:rPr>
              <w:t>51</w:t>
            </w:r>
          </w:p>
        </w:tc>
      </w:tr>
      <w:tr w:rsidR="001A2DC6" w:rsidRPr="001D7220">
        <w:tblPrEx>
          <w:tblCellMar>
            <w:top w:w="0" w:type="dxa"/>
            <w:bottom w:w="0" w:type="dxa"/>
          </w:tblCellMar>
        </w:tblPrEx>
        <w:tc>
          <w:tcPr>
            <w:tcW w:w="9028" w:type="dxa"/>
            <w:gridSpan w:val="3"/>
            <w:shd w:val="clear" w:color="auto" w:fill="auto"/>
          </w:tcPr>
          <w:p w:rsidR="001A2DC6" w:rsidRPr="0033055A" w:rsidRDefault="001A2DC6" w:rsidP="0033055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rFonts w:hint="cs"/>
                <w:spacing w:val="60"/>
                <w:sz w:val="17"/>
                <w:rtl/>
                <w:lang w:bidi="ar-EG"/>
              </w:rPr>
            </w:pPr>
            <w:r w:rsidRPr="0033055A">
              <w:rPr>
                <w:rtl/>
                <w:lang w:bidi="ar-EG"/>
              </w:rPr>
              <w:tab/>
            </w:r>
            <w:r w:rsidRPr="0033055A">
              <w:rPr>
                <w:rFonts w:hint="cs"/>
                <w:rtl/>
                <w:lang w:bidi="ar-EG"/>
              </w:rPr>
              <w:t>2 - 8</w:t>
            </w:r>
            <w:r w:rsidRPr="0033055A">
              <w:rPr>
                <w:rtl/>
                <w:lang w:bidi="ar-EG"/>
              </w:rPr>
              <w:tab/>
            </w:r>
            <w:r w:rsidR="0033055A" w:rsidRPr="0033055A">
              <w:rPr>
                <w:rFonts w:hint="cs"/>
                <w:rtl/>
                <w:lang w:bidi="ar-EG"/>
              </w:rPr>
              <w:t>المادة 8 التمثيل والمشاركة على الصعيد الدولي</w:t>
            </w:r>
            <w:r w:rsidR="0033055A">
              <w:rPr>
                <w:spacing w:val="60"/>
                <w:sz w:val="17"/>
                <w:rtl/>
                <w:lang w:bidi="ar-EG"/>
              </w:rPr>
              <w:tab/>
            </w:r>
          </w:p>
        </w:tc>
        <w:tc>
          <w:tcPr>
            <w:tcW w:w="806" w:type="dxa"/>
            <w:shd w:val="clear" w:color="auto" w:fill="auto"/>
          </w:tcPr>
          <w:p w:rsidR="001A2DC6" w:rsidRDefault="00B350D1" w:rsidP="00BF1DA6">
            <w:pPr>
              <w:jc w:val="right"/>
              <w:rPr>
                <w:rFonts w:hint="cs"/>
                <w:rtl/>
              </w:rPr>
            </w:pPr>
            <w:r>
              <w:rPr>
                <w:rFonts w:hint="cs"/>
                <w:rtl/>
              </w:rPr>
              <w:t>60</w:t>
            </w:r>
          </w:p>
        </w:tc>
      </w:tr>
      <w:tr w:rsidR="0033055A" w:rsidRPr="001D7220">
        <w:tblPrEx>
          <w:tblCellMar>
            <w:top w:w="0" w:type="dxa"/>
            <w:bottom w:w="0" w:type="dxa"/>
          </w:tblCellMar>
        </w:tblPrEx>
        <w:tc>
          <w:tcPr>
            <w:tcW w:w="9028" w:type="dxa"/>
            <w:gridSpan w:val="3"/>
            <w:shd w:val="clear" w:color="auto" w:fill="auto"/>
          </w:tcPr>
          <w:p w:rsidR="0033055A" w:rsidRPr="00DE5A3E" w:rsidRDefault="0033055A" w:rsidP="00DE5A3E">
            <w:pPr>
              <w:tabs>
                <w:tab w:val="right" w:pos="1080"/>
                <w:tab w:val="left" w:pos="1296"/>
                <w:tab w:val="left" w:pos="1728"/>
                <w:tab w:val="left" w:pos="2160"/>
                <w:tab w:val="right" w:leader="dot" w:pos="9029"/>
              </w:tabs>
              <w:rPr>
                <w:rFonts w:hint="cs"/>
                <w:spacing w:val="60"/>
                <w:sz w:val="17"/>
                <w:rtl/>
              </w:rPr>
            </w:pPr>
            <w:r>
              <w:rPr>
                <w:rFonts w:hint="cs"/>
                <w:rtl/>
                <w:lang w:bidi="ar-EG"/>
              </w:rPr>
              <w:tab/>
              <w:t>2 - 9</w:t>
            </w:r>
            <w:r>
              <w:rPr>
                <w:rtl/>
                <w:lang w:bidi="ar-EG"/>
              </w:rPr>
              <w:tab/>
            </w:r>
            <w:r>
              <w:rPr>
                <w:rFonts w:hint="cs"/>
                <w:rtl/>
                <w:lang w:bidi="ar-EG"/>
              </w:rPr>
              <w:t xml:space="preserve">المادة 9 </w:t>
            </w:r>
            <w:r w:rsidR="00DE5A3E">
              <w:rPr>
                <w:rFonts w:hint="cs"/>
                <w:rtl/>
              </w:rPr>
              <w:t>الجنسية</w:t>
            </w:r>
            <w:r w:rsidR="00DE5A3E">
              <w:rPr>
                <w:spacing w:val="60"/>
                <w:sz w:val="17"/>
                <w:rtl/>
              </w:rPr>
              <w:tab/>
            </w:r>
          </w:p>
        </w:tc>
        <w:tc>
          <w:tcPr>
            <w:tcW w:w="806" w:type="dxa"/>
            <w:shd w:val="clear" w:color="auto" w:fill="auto"/>
          </w:tcPr>
          <w:p w:rsidR="0033055A" w:rsidRDefault="00B350D1" w:rsidP="00BF1DA6">
            <w:pPr>
              <w:jc w:val="right"/>
              <w:rPr>
                <w:rFonts w:hint="cs"/>
                <w:rtl/>
              </w:rPr>
            </w:pPr>
            <w:r>
              <w:rPr>
                <w:rFonts w:hint="cs"/>
                <w:rtl/>
              </w:rPr>
              <w:t>60</w:t>
            </w:r>
          </w:p>
        </w:tc>
      </w:tr>
      <w:tr w:rsidR="00B350D1" w:rsidRPr="001D7220">
        <w:tblPrEx>
          <w:tblCellMar>
            <w:top w:w="0" w:type="dxa"/>
            <w:bottom w:w="0" w:type="dxa"/>
          </w:tblCellMar>
        </w:tblPrEx>
        <w:tc>
          <w:tcPr>
            <w:tcW w:w="9028" w:type="dxa"/>
            <w:gridSpan w:val="3"/>
            <w:shd w:val="clear" w:color="auto" w:fill="auto"/>
          </w:tcPr>
          <w:p w:rsidR="00B350D1" w:rsidRPr="00DE5A3E" w:rsidRDefault="00B350D1" w:rsidP="00DE5A3E">
            <w:pPr>
              <w:tabs>
                <w:tab w:val="right" w:pos="1080"/>
                <w:tab w:val="left" w:pos="1296"/>
                <w:tab w:val="left" w:pos="1728"/>
                <w:tab w:val="left" w:pos="2160"/>
                <w:tab w:val="right" w:leader="dot" w:pos="9029"/>
              </w:tabs>
              <w:rPr>
                <w:rFonts w:hint="cs"/>
                <w:spacing w:val="60"/>
                <w:sz w:val="17"/>
                <w:rtl/>
                <w:lang w:bidi="ar-EG"/>
              </w:rPr>
            </w:pPr>
            <w:r>
              <w:rPr>
                <w:rFonts w:hint="cs"/>
                <w:rtl/>
                <w:lang w:bidi="ar-EG"/>
              </w:rPr>
              <w:tab/>
              <w:t>2 - 10</w:t>
            </w:r>
            <w:r>
              <w:rPr>
                <w:rFonts w:hint="cs"/>
                <w:rtl/>
                <w:lang w:bidi="ar-EG"/>
              </w:rPr>
              <w:tab/>
              <w:t>المادة 10 التعليم</w:t>
            </w:r>
            <w:r>
              <w:rPr>
                <w:spacing w:val="60"/>
                <w:sz w:val="17"/>
                <w:rtl/>
                <w:lang w:bidi="ar-EG"/>
              </w:rPr>
              <w:tab/>
            </w:r>
          </w:p>
        </w:tc>
        <w:tc>
          <w:tcPr>
            <w:tcW w:w="806" w:type="dxa"/>
            <w:shd w:val="clear" w:color="auto" w:fill="auto"/>
          </w:tcPr>
          <w:p w:rsidR="00B350D1" w:rsidRDefault="00B350D1" w:rsidP="00BF1DA6">
            <w:pPr>
              <w:jc w:val="right"/>
              <w:rPr>
                <w:rFonts w:hint="cs"/>
                <w:rtl/>
              </w:rPr>
            </w:pPr>
            <w:r>
              <w:rPr>
                <w:rFonts w:hint="cs"/>
                <w:rtl/>
              </w:rPr>
              <w:t>62</w:t>
            </w:r>
          </w:p>
        </w:tc>
      </w:tr>
      <w:tr w:rsidR="00B350D1" w:rsidRPr="001D7220">
        <w:tblPrEx>
          <w:tblCellMar>
            <w:top w:w="0" w:type="dxa"/>
            <w:bottom w:w="0" w:type="dxa"/>
          </w:tblCellMar>
        </w:tblPrEx>
        <w:tc>
          <w:tcPr>
            <w:tcW w:w="9028" w:type="dxa"/>
            <w:gridSpan w:val="3"/>
            <w:shd w:val="clear" w:color="auto" w:fill="auto"/>
          </w:tcPr>
          <w:p w:rsidR="00B350D1" w:rsidRPr="00DE5A3E" w:rsidRDefault="00B350D1" w:rsidP="00DE5A3E">
            <w:pPr>
              <w:tabs>
                <w:tab w:val="right" w:pos="1080"/>
                <w:tab w:val="left" w:pos="1296"/>
                <w:tab w:val="left" w:pos="1728"/>
                <w:tab w:val="left" w:pos="2160"/>
                <w:tab w:val="right" w:leader="dot" w:pos="9029"/>
              </w:tabs>
              <w:rPr>
                <w:rFonts w:hint="cs"/>
                <w:spacing w:val="60"/>
                <w:sz w:val="17"/>
                <w:rtl/>
                <w:lang w:bidi="ar-EG"/>
              </w:rPr>
            </w:pPr>
            <w:r>
              <w:rPr>
                <w:rFonts w:hint="cs"/>
                <w:rtl/>
                <w:lang w:bidi="ar-EG"/>
              </w:rPr>
              <w:tab/>
              <w:t>2 - 11</w:t>
            </w:r>
            <w:r>
              <w:rPr>
                <w:rFonts w:hint="cs"/>
                <w:rtl/>
                <w:lang w:bidi="ar-EG"/>
              </w:rPr>
              <w:tab/>
              <w:t>المادة 11 العمالة</w:t>
            </w:r>
            <w:r>
              <w:rPr>
                <w:spacing w:val="60"/>
                <w:sz w:val="17"/>
                <w:rtl/>
                <w:lang w:bidi="ar-EG"/>
              </w:rPr>
              <w:tab/>
            </w:r>
          </w:p>
        </w:tc>
        <w:tc>
          <w:tcPr>
            <w:tcW w:w="806" w:type="dxa"/>
            <w:shd w:val="clear" w:color="auto" w:fill="auto"/>
          </w:tcPr>
          <w:p w:rsidR="00B350D1" w:rsidRDefault="00B350D1" w:rsidP="00BF1DA6">
            <w:pPr>
              <w:jc w:val="right"/>
              <w:rPr>
                <w:rFonts w:hint="cs"/>
                <w:rtl/>
              </w:rPr>
            </w:pPr>
            <w:r>
              <w:rPr>
                <w:rFonts w:hint="cs"/>
                <w:rtl/>
              </w:rPr>
              <w:t>73</w:t>
            </w:r>
          </w:p>
        </w:tc>
      </w:tr>
      <w:tr w:rsidR="00B350D1" w:rsidRPr="001D7220">
        <w:tblPrEx>
          <w:tblCellMar>
            <w:top w:w="0" w:type="dxa"/>
            <w:bottom w:w="0" w:type="dxa"/>
          </w:tblCellMar>
        </w:tblPrEx>
        <w:tc>
          <w:tcPr>
            <w:tcW w:w="9028" w:type="dxa"/>
            <w:gridSpan w:val="3"/>
            <w:shd w:val="clear" w:color="auto" w:fill="auto"/>
          </w:tcPr>
          <w:p w:rsidR="00B350D1" w:rsidRPr="00DE5A3E" w:rsidRDefault="00B350D1" w:rsidP="00DE5A3E">
            <w:pPr>
              <w:tabs>
                <w:tab w:val="right" w:pos="1080"/>
                <w:tab w:val="left" w:pos="1296"/>
                <w:tab w:val="left" w:pos="1728"/>
                <w:tab w:val="left" w:pos="2160"/>
                <w:tab w:val="left" w:pos="2592"/>
                <w:tab w:val="left" w:pos="3024"/>
                <w:tab w:val="left" w:pos="3456"/>
                <w:tab w:val="left" w:pos="3888"/>
                <w:tab w:val="left" w:pos="4320"/>
                <w:tab w:val="right" w:leader="dot" w:pos="9029"/>
              </w:tabs>
              <w:rPr>
                <w:rFonts w:hint="cs"/>
                <w:spacing w:val="60"/>
                <w:sz w:val="17"/>
                <w:rtl/>
              </w:rPr>
            </w:pPr>
            <w:r>
              <w:rPr>
                <w:rFonts w:hint="cs"/>
                <w:rtl/>
              </w:rPr>
              <w:tab/>
              <w:t>2 - 12</w:t>
            </w:r>
            <w:r>
              <w:rPr>
                <w:rFonts w:hint="cs"/>
                <w:rtl/>
              </w:rPr>
              <w:tab/>
              <w:t>المادة 12 الصحة والتأمينات الاجتماعية</w:t>
            </w:r>
            <w:r>
              <w:rPr>
                <w:spacing w:val="60"/>
                <w:sz w:val="17"/>
                <w:rtl/>
              </w:rPr>
              <w:tab/>
            </w:r>
          </w:p>
        </w:tc>
        <w:tc>
          <w:tcPr>
            <w:tcW w:w="806" w:type="dxa"/>
            <w:shd w:val="clear" w:color="auto" w:fill="auto"/>
          </w:tcPr>
          <w:p w:rsidR="00B350D1" w:rsidRDefault="00B350D1" w:rsidP="00BF1DA6">
            <w:pPr>
              <w:jc w:val="right"/>
              <w:rPr>
                <w:rFonts w:hint="cs"/>
                <w:rtl/>
              </w:rPr>
            </w:pPr>
            <w:r>
              <w:rPr>
                <w:rFonts w:hint="cs"/>
                <w:rtl/>
              </w:rPr>
              <w:t>83</w:t>
            </w:r>
          </w:p>
        </w:tc>
      </w:tr>
      <w:tr w:rsidR="00B350D1" w:rsidRPr="001D7220">
        <w:tblPrEx>
          <w:tblCellMar>
            <w:top w:w="0" w:type="dxa"/>
            <w:bottom w:w="0" w:type="dxa"/>
          </w:tblCellMar>
        </w:tblPrEx>
        <w:tc>
          <w:tcPr>
            <w:tcW w:w="9028" w:type="dxa"/>
            <w:gridSpan w:val="3"/>
            <w:shd w:val="clear" w:color="auto" w:fill="auto"/>
          </w:tcPr>
          <w:p w:rsidR="00B350D1" w:rsidRPr="00DE5A3E" w:rsidRDefault="00B350D1" w:rsidP="00DE5A3E">
            <w:pPr>
              <w:tabs>
                <w:tab w:val="right" w:pos="1080"/>
                <w:tab w:val="left" w:pos="1296"/>
                <w:tab w:val="left" w:pos="1728"/>
                <w:tab w:val="left" w:pos="2160"/>
                <w:tab w:val="left" w:pos="2592"/>
                <w:tab w:val="left" w:pos="3024"/>
                <w:tab w:val="left" w:pos="3456"/>
                <w:tab w:val="left" w:pos="3888"/>
                <w:tab w:val="left" w:pos="4320"/>
                <w:tab w:val="right" w:leader="dot" w:pos="9029"/>
              </w:tabs>
              <w:rPr>
                <w:rFonts w:hint="cs"/>
                <w:spacing w:val="60"/>
                <w:sz w:val="17"/>
                <w:rtl/>
              </w:rPr>
            </w:pPr>
            <w:r>
              <w:rPr>
                <w:rFonts w:hint="cs"/>
                <w:rtl/>
              </w:rPr>
              <w:tab/>
              <w:t>2 - 13</w:t>
            </w:r>
            <w:r>
              <w:rPr>
                <w:rFonts w:hint="cs"/>
                <w:rtl/>
              </w:rPr>
              <w:tab/>
              <w:t>المادة 13 الحياة الاقتصادية والاجتماعية</w:t>
            </w:r>
            <w:r>
              <w:rPr>
                <w:spacing w:val="60"/>
                <w:sz w:val="17"/>
                <w:rtl/>
              </w:rPr>
              <w:tab/>
            </w:r>
          </w:p>
        </w:tc>
        <w:tc>
          <w:tcPr>
            <w:tcW w:w="806" w:type="dxa"/>
            <w:shd w:val="clear" w:color="auto" w:fill="auto"/>
          </w:tcPr>
          <w:p w:rsidR="00B350D1" w:rsidRDefault="00B350D1" w:rsidP="00BF1DA6">
            <w:pPr>
              <w:jc w:val="right"/>
              <w:rPr>
                <w:rFonts w:hint="cs"/>
                <w:rtl/>
              </w:rPr>
            </w:pPr>
            <w:r>
              <w:rPr>
                <w:rFonts w:hint="cs"/>
                <w:rtl/>
              </w:rPr>
              <w:t>100</w:t>
            </w:r>
          </w:p>
        </w:tc>
      </w:tr>
      <w:tr w:rsidR="00B350D1" w:rsidRPr="001D7220">
        <w:tblPrEx>
          <w:tblCellMar>
            <w:top w:w="0" w:type="dxa"/>
            <w:bottom w:w="0" w:type="dxa"/>
          </w:tblCellMar>
        </w:tblPrEx>
        <w:tc>
          <w:tcPr>
            <w:tcW w:w="9028" w:type="dxa"/>
            <w:gridSpan w:val="3"/>
            <w:shd w:val="clear" w:color="auto" w:fill="auto"/>
          </w:tcPr>
          <w:p w:rsidR="00B350D1" w:rsidRPr="00DE5A3E" w:rsidRDefault="00B350D1" w:rsidP="00B350D1">
            <w:pPr>
              <w:tabs>
                <w:tab w:val="right" w:pos="1080"/>
                <w:tab w:val="left" w:pos="1296"/>
                <w:tab w:val="left" w:pos="1728"/>
                <w:tab w:val="left" w:pos="2160"/>
                <w:tab w:val="left" w:pos="2592"/>
                <w:tab w:val="right" w:leader="dot" w:pos="9029"/>
              </w:tabs>
              <w:rPr>
                <w:rFonts w:hint="cs"/>
                <w:spacing w:val="60"/>
                <w:sz w:val="17"/>
                <w:rtl/>
              </w:rPr>
            </w:pPr>
            <w:r>
              <w:rPr>
                <w:rFonts w:hint="cs"/>
                <w:rtl/>
              </w:rPr>
              <w:tab/>
              <w:t>2 - 14</w:t>
            </w:r>
            <w:r>
              <w:rPr>
                <w:rFonts w:hint="cs"/>
                <w:rtl/>
              </w:rPr>
              <w:tab/>
              <w:t>المادة 14 المرأة الريفية</w:t>
            </w:r>
            <w:r>
              <w:rPr>
                <w:spacing w:val="60"/>
                <w:sz w:val="17"/>
                <w:rtl/>
              </w:rPr>
              <w:tab/>
            </w:r>
          </w:p>
        </w:tc>
        <w:tc>
          <w:tcPr>
            <w:tcW w:w="806" w:type="dxa"/>
            <w:shd w:val="clear" w:color="auto" w:fill="auto"/>
          </w:tcPr>
          <w:p w:rsidR="00B350D1" w:rsidRDefault="00B350D1" w:rsidP="00BF1DA6">
            <w:pPr>
              <w:jc w:val="right"/>
              <w:rPr>
                <w:rFonts w:hint="cs"/>
                <w:rtl/>
              </w:rPr>
            </w:pPr>
            <w:r>
              <w:rPr>
                <w:rFonts w:hint="cs"/>
                <w:rtl/>
              </w:rPr>
              <w:t>103</w:t>
            </w:r>
          </w:p>
        </w:tc>
      </w:tr>
      <w:tr w:rsidR="00B350D1" w:rsidRPr="001D7220">
        <w:tblPrEx>
          <w:tblCellMar>
            <w:top w:w="0" w:type="dxa"/>
            <w:bottom w:w="0" w:type="dxa"/>
          </w:tblCellMar>
        </w:tblPrEx>
        <w:tc>
          <w:tcPr>
            <w:tcW w:w="9028" w:type="dxa"/>
            <w:gridSpan w:val="3"/>
            <w:shd w:val="clear" w:color="auto" w:fill="auto"/>
          </w:tcPr>
          <w:p w:rsidR="00B350D1" w:rsidRPr="00DE5A3E" w:rsidRDefault="00B350D1" w:rsidP="00DE5A3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rFonts w:hint="cs"/>
                <w:spacing w:val="60"/>
                <w:sz w:val="17"/>
                <w:rtl/>
              </w:rPr>
            </w:pPr>
            <w:r>
              <w:rPr>
                <w:rFonts w:hint="cs"/>
                <w:rtl/>
              </w:rPr>
              <w:tab/>
              <w:t>2 - 15</w:t>
            </w:r>
            <w:r>
              <w:rPr>
                <w:rFonts w:hint="cs"/>
                <w:rtl/>
              </w:rPr>
              <w:tab/>
              <w:t>المادة 15 التساوي أمام القانون والمساواة القانونية المدنية</w:t>
            </w:r>
            <w:r>
              <w:rPr>
                <w:spacing w:val="60"/>
                <w:sz w:val="17"/>
                <w:rtl/>
              </w:rPr>
              <w:tab/>
            </w:r>
          </w:p>
        </w:tc>
        <w:tc>
          <w:tcPr>
            <w:tcW w:w="806" w:type="dxa"/>
            <w:shd w:val="clear" w:color="auto" w:fill="auto"/>
          </w:tcPr>
          <w:p w:rsidR="00B350D1" w:rsidRDefault="00B350D1" w:rsidP="00BF1DA6">
            <w:pPr>
              <w:jc w:val="right"/>
              <w:rPr>
                <w:rFonts w:hint="cs"/>
                <w:rtl/>
              </w:rPr>
            </w:pPr>
            <w:r>
              <w:rPr>
                <w:rFonts w:hint="cs"/>
                <w:rtl/>
              </w:rPr>
              <w:t>111</w:t>
            </w:r>
          </w:p>
        </w:tc>
      </w:tr>
      <w:tr w:rsidR="00B350D1" w:rsidRPr="001D7220">
        <w:tblPrEx>
          <w:tblCellMar>
            <w:top w:w="0" w:type="dxa"/>
            <w:bottom w:w="0" w:type="dxa"/>
          </w:tblCellMar>
        </w:tblPrEx>
        <w:tc>
          <w:tcPr>
            <w:tcW w:w="9028" w:type="dxa"/>
            <w:gridSpan w:val="3"/>
            <w:shd w:val="clear" w:color="auto" w:fill="auto"/>
          </w:tcPr>
          <w:p w:rsidR="00B350D1" w:rsidRPr="00DE5A3E" w:rsidRDefault="00B350D1" w:rsidP="00DE5A3E">
            <w:pPr>
              <w:tabs>
                <w:tab w:val="right" w:pos="1080"/>
                <w:tab w:val="left" w:pos="1296"/>
                <w:tab w:val="left" w:pos="1728"/>
                <w:tab w:val="left" w:pos="2160"/>
                <w:tab w:val="right" w:leader="dot" w:pos="9029"/>
              </w:tabs>
              <w:rPr>
                <w:rFonts w:hint="cs"/>
                <w:spacing w:val="60"/>
                <w:sz w:val="17"/>
                <w:rtl/>
              </w:rPr>
            </w:pPr>
            <w:r>
              <w:rPr>
                <w:rFonts w:hint="cs"/>
                <w:rtl/>
              </w:rPr>
              <w:tab/>
              <w:t>2 - 16</w:t>
            </w:r>
            <w:r>
              <w:rPr>
                <w:rFonts w:hint="cs"/>
                <w:rtl/>
              </w:rPr>
              <w:tab/>
              <w:t>المادة 16 الزواج والأسرة</w:t>
            </w:r>
            <w:r>
              <w:rPr>
                <w:spacing w:val="60"/>
                <w:sz w:val="17"/>
                <w:rtl/>
              </w:rPr>
              <w:tab/>
            </w:r>
          </w:p>
        </w:tc>
        <w:tc>
          <w:tcPr>
            <w:tcW w:w="806" w:type="dxa"/>
            <w:shd w:val="clear" w:color="auto" w:fill="auto"/>
          </w:tcPr>
          <w:p w:rsidR="00B350D1" w:rsidRDefault="00B350D1" w:rsidP="00BF1DA6">
            <w:pPr>
              <w:jc w:val="right"/>
              <w:rPr>
                <w:rFonts w:hint="cs"/>
                <w:rtl/>
              </w:rPr>
            </w:pPr>
            <w:r>
              <w:rPr>
                <w:rFonts w:hint="cs"/>
                <w:rtl/>
              </w:rPr>
              <w:t>112</w:t>
            </w:r>
          </w:p>
        </w:tc>
      </w:tr>
      <w:tr w:rsidR="00B350D1" w:rsidRPr="001D7220">
        <w:tblPrEx>
          <w:tblCellMar>
            <w:top w:w="0" w:type="dxa"/>
            <w:bottom w:w="0" w:type="dxa"/>
          </w:tblCellMar>
        </w:tblPrEx>
        <w:tc>
          <w:tcPr>
            <w:tcW w:w="9028" w:type="dxa"/>
            <w:gridSpan w:val="3"/>
            <w:shd w:val="clear" w:color="auto" w:fill="auto"/>
          </w:tcPr>
          <w:p w:rsidR="00B350D1" w:rsidRPr="00B350D1" w:rsidRDefault="00B350D1" w:rsidP="00B350D1">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ab/>
              <w:t>3 -</w:t>
            </w:r>
            <w:r>
              <w:rPr>
                <w:rFonts w:hint="cs"/>
                <w:rtl/>
              </w:rPr>
              <w:tab/>
              <w:t xml:space="preserve">توصيات خاصة غير مطابقة للمواد </w:t>
            </w:r>
            <w:r>
              <w:rPr>
                <w:spacing w:val="60"/>
                <w:sz w:val="17"/>
                <w:rtl/>
              </w:rPr>
              <w:tab/>
            </w:r>
          </w:p>
        </w:tc>
        <w:tc>
          <w:tcPr>
            <w:tcW w:w="806" w:type="dxa"/>
            <w:shd w:val="clear" w:color="auto" w:fill="auto"/>
          </w:tcPr>
          <w:p w:rsidR="00B350D1" w:rsidRDefault="00B350D1" w:rsidP="00BF1DA6">
            <w:pPr>
              <w:jc w:val="right"/>
              <w:rPr>
                <w:rFonts w:hint="cs"/>
              </w:rPr>
            </w:pPr>
            <w:r>
              <w:rPr>
                <w:rFonts w:hint="cs"/>
                <w:rtl/>
              </w:rPr>
              <w:t>13</w:t>
            </w:r>
            <w:r w:rsidR="008E5ED4">
              <w:rPr>
                <w:rFonts w:hint="cs"/>
                <w:rtl/>
              </w:rPr>
              <w:t>7</w:t>
            </w:r>
          </w:p>
        </w:tc>
      </w:tr>
      <w:tr w:rsidR="00B350D1" w:rsidRPr="001D7220">
        <w:tblPrEx>
          <w:tblCellMar>
            <w:top w:w="0" w:type="dxa"/>
            <w:bottom w:w="0" w:type="dxa"/>
          </w:tblCellMar>
        </w:tblPrEx>
        <w:tc>
          <w:tcPr>
            <w:tcW w:w="9028" w:type="dxa"/>
            <w:gridSpan w:val="3"/>
            <w:shd w:val="clear" w:color="auto" w:fill="auto"/>
          </w:tcPr>
          <w:p w:rsidR="00B350D1" w:rsidRPr="005B3391" w:rsidRDefault="00B350D1" w:rsidP="005B339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rPr>
                <w:rFonts w:hint="cs"/>
                <w:spacing w:val="60"/>
                <w:sz w:val="17"/>
                <w:rtl/>
              </w:rPr>
            </w:pPr>
            <w:r>
              <w:rPr>
                <w:rtl/>
              </w:rPr>
              <w:tab/>
            </w:r>
            <w:r>
              <w:rPr>
                <w:rFonts w:hint="cs"/>
                <w:rtl/>
              </w:rPr>
              <w:t>3 - 1</w:t>
            </w:r>
            <w:r>
              <w:rPr>
                <w:rFonts w:hint="cs"/>
                <w:rtl/>
              </w:rPr>
              <w:tab/>
              <w:t>التوصية الخاصة رقم 1 النشر عن حقوق الإنسان ومحو الأمية القانونية للمرأة</w:t>
            </w:r>
            <w:r>
              <w:rPr>
                <w:spacing w:val="60"/>
                <w:sz w:val="17"/>
                <w:rtl/>
              </w:rPr>
              <w:tab/>
            </w:r>
          </w:p>
        </w:tc>
        <w:tc>
          <w:tcPr>
            <w:tcW w:w="806" w:type="dxa"/>
            <w:shd w:val="clear" w:color="auto" w:fill="auto"/>
          </w:tcPr>
          <w:p w:rsidR="00B350D1" w:rsidRDefault="00B350D1" w:rsidP="00BF1DA6">
            <w:pPr>
              <w:jc w:val="right"/>
              <w:rPr>
                <w:rFonts w:hint="cs"/>
              </w:rPr>
            </w:pPr>
            <w:r>
              <w:rPr>
                <w:rFonts w:hint="cs"/>
                <w:rtl/>
              </w:rPr>
              <w:t>13</w:t>
            </w:r>
            <w:r w:rsidR="008E5ED4">
              <w:rPr>
                <w:rFonts w:hint="cs"/>
                <w:rtl/>
              </w:rPr>
              <w:t>7</w:t>
            </w:r>
          </w:p>
        </w:tc>
      </w:tr>
      <w:tr w:rsidR="00B350D1" w:rsidRPr="001D7220">
        <w:tblPrEx>
          <w:tblCellMar>
            <w:top w:w="0" w:type="dxa"/>
            <w:bottom w:w="0" w:type="dxa"/>
          </w:tblCellMar>
        </w:tblPrEx>
        <w:tc>
          <w:tcPr>
            <w:tcW w:w="9028" w:type="dxa"/>
            <w:gridSpan w:val="3"/>
            <w:shd w:val="clear" w:color="auto" w:fill="auto"/>
          </w:tcPr>
          <w:p w:rsidR="00B350D1" w:rsidRPr="005B3391" w:rsidRDefault="00B350D1" w:rsidP="005B339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rPr>
                <w:rFonts w:hint="cs"/>
                <w:spacing w:val="60"/>
                <w:sz w:val="17"/>
                <w:rtl/>
              </w:rPr>
            </w:pPr>
            <w:r>
              <w:rPr>
                <w:rFonts w:hint="cs"/>
                <w:rtl/>
              </w:rPr>
              <w:tab/>
              <w:t>3 - 2</w:t>
            </w:r>
            <w:r>
              <w:rPr>
                <w:rtl/>
              </w:rPr>
              <w:tab/>
            </w:r>
            <w:r>
              <w:rPr>
                <w:rFonts w:hint="cs"/>
                <w:rtl/>
              </w:rPr>
              <w:t>التوصية رقم 2 آليات متابعة ورصد القوانين السارية، فعالية الأحكام القضائية</w:t>
            </w:r>
            <w:r>
              <w:rPr>
                <w:spacing w:val="60"/>
                <w:sz w:val="17"/>
                <w:rtl/>
              </w:rPr>
              <w:tab/>
            </w:r>
          </w:p>
        </w:tc>
        <w:tc>
          <w:tcPr>
            <w:tcW w:w="806" w:type="dxa"/>
            <w:shd w:val="clear" w:color="auto" w:fill="auto"/>
          </w:tcPr>
          <w:p w:rsidR="00B350D1" w:rsidRDefault="00B350D1" w:rsidP="00BF1DA6">
            <w:pPr>
              <w:jc w:val="right"/>
              <w:rPr>
                <w:rFonts w:hint="cs"/>
              </w:rPr>
            </w:pPr>
            <w:r>
              <w:rPr>
                <w:rFonts w:hint="cs"/>
                <w:rtl/>
              </w:rPr>
              <w:t>1</w:t>
            </w:r>
            <w:r w:rsidR="008E5ED4">
              <w:rPr>
                <w:rFonts w:hint="cs"/>
                <w:rtl/>
              </w:rPr>
              <w:t>38</w:t>
            </w:r>
          </w:p>
        </w:tc>
      </w:tr>
      <w:tr w:rsidR="00B350D1" w:rsidRPr="001D7220">
        <w:tblPrEx>
          <w:tblCellMar>
            <w:top w:w="0" w:type="dxa"/>
            <w:bottom w:w="0" w:type="dxa"/>
          </w:tblCellMar>
        </w:tblPrEx>
        <w:tc>
          <w:tcPr>
            <w:tcW w:w="9028" w:type="dxa"/>
            <w:gridSpan w:val="3"/>
            <w:shd w:val="clear" w:color="auto" w:fill="auto"/>
          </w:tcPr>
          <w:p w:rsidR="00B350D1" w:rsidRPr="00C94DB0" w:rsidRDefault="00B350D1" w:rsidP="00C94DB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rtl/>
              </w:rPr>
            </w:pPr>
            <w:r>
              <w:rPr>
                <w:rtl/>
              </w:rPr>
              <w:tab/>
            </w:r>
            <w:r>
              <w:rPr>
                <w:rFonts w:hint="cs"/>
                <w:rtl/>
              </w:rPr>
              <w:t>3 - 3</w:t>
            </w:r>
            <w:r>
              <w:rPr>
                <w:rtl/>
              </w:rPr>
              <w:tab/>
            </w:r>
            <w:r>
              <w:rPr>
                <w:rFonts w:hint="cs"/>
                <w:rtl/>
              </w:rPr>
              <w:t>التوصية الخاصة رقم 3 التدريب الجنساني للموظفين</w:t>
            </w:r>
            <w:r>
              <w:rPr>
                <w:spacing w:val="60"/>
                <w:sz w:val="17"/>
                <w:rtl/>
              </w:rPr>
              <w:tab/>
            </w:r>
          </w:p>
        </w:tc>
        <w:tc>
          <w:tcPr>
            <w:tcW w:w="806" w:type="dxa"/>
            <w:shd w:val="clear" w:color="auto" w:fill="auto"/>
          </w:tcPr>
          <w:p w:rsidR="00B350D1" w:rsidRDefault="00B350D1" w:rsidP="00BF1DA6">
            <w:pPr>
              <w:jc w:val="right"/>
              <w:rPr>
                <w:rFonts w:hint="cs"/>
              </w:rPr>
            </w:pPr>
            <w:r>
              <w:rPr>
                <w:rFonts w:hint="cs"/>
                <w:rtl/>
              </w:rPr>
              <w:t>14</w:t>
            </w:r>
            <w:r w:rsidR="00996C0B">
              <w:rPr>
                <w:rFonts w:hint="cs"/>
                <w:rtl/>
              </w:rPr>
              <w:t>2</w:t>
            </w:r>
          </w:p>
        </w:tc>
      </w:tr>
      <w:tr w:rsidR="00B350D1" w:rsidRPr="001D7220">
        <w:tblPrEx>
          <w:tblCellMar>
            <w:top w:w="0" w:type="dxa"/>
            <w:bottom w:w="0" w:type="dxa"/>
          </w:tblCellMar>
        </w:tblPrEx>
        <w:tc>
          <w:tcPr>
            <w:tcW w:w="9028" w:type="dxa"/>
            <w:gridSpan w:val="3"/>
            <w:shd w:val="clear" w:color="auto" w:fill="auto"/>
          </w:tcPr>
          <w:p w:rsidR="00B350D1" w:rsidRPr="00516676" w:rsidRDefault="00B350D1" w:rsidP="0051667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rPr>
                <w:rFonts w:hint="cs"/>
                <w:spacing w:val="60"/>
                <w:sz w:val="17"/>
                <w:rtl/>
              </w:rPr>
            </w:pPr>
            <w:r>
              <w:rPr>
                <w:rtl/>
              </w:rPr>
              <w:tab/>
            </w:r>
            <w:r>
              <w:rPr>
                <w:rFonts w:hint="cs"/>
                <w:rtl/>
              </w:rPr>
              <w:t>3 - 4</w:t>
            </w:r>
            <w:r>
              <w:rPr>
                <w:rtl/>
              </w:rPr>
              <w:tab/>
            </w:r>
            <w:r>
              <w:rPr>
                <w:rFonts w:hint="cs"/>
                <w:rtl/>
              </w:rPr>
              <w:t>التوصية الخاصة رقم 4 الهيئة الاستشارية المعنية بتحقيق المساواة بين الرجل والمرأة</w:t>
            </w:r>
            <w:r>
              <w:rPr>
                <w:spacing w:val="60"/>
                <w:sz w:val="17"/>
                <w:rtl/>
              </w:rPr>
              <w:tab/>
            </w:r>
          </w:p>
        </w:tc>
        <w:tc>
          <w:tcPr>
            <w:tcW w:w="806" w:type="dxa"/>
            <w:shd w:val="clear" w:color="auto" w:fill="auto"/>
          </w:tcPr>
          <w:p w:rsidR="00B350D1" w:rsidRDefault="00B350D1" w:rsidP="00BF1DA6">
            <w:pPr>
              <w:jc w:val="right"/>
              <w:rPr>
                <w:rFonts w:hint="cs"/>
              </w:rPr>
            </w:pPr>
            <w:r>
              <w:rPr>
                <w:rFonts w:hint="cs"/>
                <w:rtl/>
              </w:rPr>
              <w:t>14</w:t>
            </w:r>
            <w:r w:rsidR="00996C0B">
              <w:rPr>
                <w:rFonts w:hint="cs"/>
                <w:rtl/>
              </w:rPr>
              <w:t>3</w:t>
            </w:r>
          </w:p>
        </w:tc>
      </w:tr>
      <w:tr w:rsidR="00B350D1" w:rsidRPr="001D7220">
        <w:tblPrEx>
          <w:tblCellMar>
            <w:top w:w="0" w:type="dxa"/>
            <w:bottom w:w="0" w:type="dxa"/>
          </w:tblCellMar>
        </w:tblPrEx>
        <w:tc>
          <w:tcPr>
            <w:tcW w:w="9028" w:type="dxa"/>
            <w:gridSpan w:val="3"/>
            <w:shd w:val="clear" w:color="auto" w:fill="auto"/>
          </w:tcPr>
          <w:p w:rsidR="00B350D1" w:rsidRPr="00E14803" w:rsidRDefault="00B350D1" w:rsidP="00E148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rPr>
                <w:rFonts w:hint="cs"/>
                <w:spacing w:val="60"/>
                <w:sz w:val="17"/>
                <w:rtl/>
              </w:rPr>
            </w:pPr>
            <w:r>
              <w:rPr>
                <w:rFonts w:hint="cs"/>
                <w:rtl/>
              </w:rPr>
              <w:tab/>
              <w:t>3 - 5</w:t>
            </w:r>
            <w:r>
              <w:rPr>
                <w:rtl/>
              </w:rPr>
              <w:tab/>
            </w:r>
            <w:r>
              <w:rPr>
                <w:rFonts w:hint="cs"/>
                <w:rtl/>
              </w:rPr>
              <w:t>التوصية رقم 7 برامج حماية المدافعين عن حقوق الإنسان ومعززيها في كولومبيا</w:t>
            </w:r>
            <w:r>
              <w:rPr>
                <w:spacing w:val="60"/>
                <w:sz w:val="17"/>
                <w:rtl/>
              </w:rPr>
              <w:tab/>
            </w:r>
          </w:p>
        </w:tc>
        <w:tc>
          <w:tcPr>
            <w:tcW w:w="806" w:type="dxa"/>
            <w:shd w:val="clear" w:color="auto" w:fill="auto"/>
          </w:tcPr>
          <w:p w:rsidR="00B350D1" w:rsidRDefault="00B350D1" w:rsidP="00BF1DA6">
            <w:pPr>
              <w:jc w:val="right"/>
              <w:rPr>
                <w:rFonts w:hint="cs"/>
              </w:rPr>
            </w:pPr>
            <w:r>
              <w:rPr>
                <w:rFonts w:hint="cs"/>
                <w:rtl/>
              </w:rPr>
              <w:t>1</w:t>
            </w:r>
            <w:r w:rsidR="00996C0B">
              <w:rPr>
                <w:rFonts w:hint="cs"/>
                <w:rtl/>
              </w:rPr>
              <w:t>47</w:t>
            </w:r>
          </w:p>
        </w:tc>
      </w:tr>
      <w:tr w:rsidR="00B350D1" w:rsidRPr="001D7220">
        <w:tblPrEx>
          <w:tblCellMar>
            <w:top w:w="0" w:type="dxa"/>
            <w:bottom w:w="0" w:type="dxa"/>
          </w:tblCellMar>
        </w:tblPrEx>
        <w:tc>
          <w:tcPr>
            <w:tcW w:w="9028" w:type="dxa"/>
            <w:gridSpan w:val="3"/>
            <w:shd w:val="clear" w:color="auto" w:fill="auto"/>
          </w:tcPr>
          <w:p w:rsidR="00B350D1" w:rsidRPr="00E14803" w:rsidRDefault="00B350D1" w:rsidP="00E148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rPr>
                <w:rFonts w:hint="cs"/>
                <w:spacing w:val="60"/>
                <w:sz w:val="17"/>
                <w:rtl/>
              </w:rPr>
            </w:pPr>
            <w:r>
              <w:rPr>
                <w:rtl/>
              </w:rPr>
              <w:tab/>
            </w:r>
            <w:r>
              <w:rPr>
                <w:rFonts w:hint="cs"/>
                <w:rtl/>
              </w:rPr>
              <w:t xml:space="preserve">3 - 6 </w:t>
            </w:r>
            <w:r>
              <w:rPr>
                <w:rtl/>
              </w:rPr>
              <w:tab/>
            </w:r>
            <w:r>
              <w:rPr>
                <w:rFonts w:hint="cs"/>
                <w:rtl/>
              </w:rPr>
              <w:t>التوصية الخاصة رقم 11 خطط وبرامج لأطفال الشوارع</w:t>
            </w:r>
            <w:r>
              <w:rPr>
                <w:spacing w:val="60"/>
                <w:sz w:val="17"/>
                <w:rtl/>
              </w:rPr>
              <w:tab/>
            </w:r>
          </w:p>
        </w:tc>
        <w:tc>
          <w:tcPr>
            <w:tcW w:w="806" w:type="dxa"/>
            <w:shd w:val="clear" w:color="auto" w:fill="auto"/>
          </w:tcPr>
          <w:p w:rsidR="00B350D1" w:rsidRDefault="00B350D1" w:rsidP="00BF1DA6">
            <w:pPr>
              <w:jc w:val="right"/>
              <w:rPr>
                <w:rFonts w:hint="cs"/>
              </w:rPr>
            </w:pPr>
            <w:r>
              <w:rPr>
                <w:rFonts w:hint="cs"/>
                <w:rtl/>
              </w:rPr>
              <w:t>1</w:t>
            </w:r>
            <w:r w:rsidR="00184701">
              <w:rPr>
                <w:rFonts w:hint="cs"/>
                <w:rtl/>
              </w:rPr>
              <w:t>49</w:t>
            </w:r>
          </w:p>
        </w:tc>
      </w:tr>
      <w:tr w:rsidR="00B350D1" w:rsidRPr="001D7220">
        <w:tblPrEx>
          <w:tblCellMar>
            <w:top w:w="0" w:type="dxa"/>
            <w:bottom w:w="0" w:type="dxa"/>
          </w:tblCellMar>
        </w:tblPrEx>
        <w:tc>
          <w:tcPr>
            <w:tcW w:w="9028" w:type="dxa"/>
            <w:gridSpan w:val="3"/>
            <w:shd w:val="clear" w:color="auto" w:fill="auto"/>
          </w:tcPr>
          <w:p w:rsidR="00B350D1" w:rsidRPr="004F099C" w:rsidRDefault="00B350D1" w:rsidP="00B026FC">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ind w:left="1296" w:hanging="1296"/>
              <w:rPr>
                <w:rFonts w:hint="cs"/>
                <w:spacing w:val="60"/>
                <w:sz w:val="17"/>
                <w:rtl/>
              </w:rPr>
            </w:pPr>
            <w:r>
              <w:rPr>
                <w:rFonts w:hint="cs"/>
                <w:rtl/>
              </w:rPr>
              <w:tab/>
              <w:t>3 - 7</w:t>
            </w:r>
            <w:r>
              <w:rPr>
                <w:rtl/>
              </w:rPr>
              <w:tab/>
            </w:r>
            <w:r>
              <w:rPr>
                <w:rFonts w:hint="cs"/>
                <w:rtl/>
              </w:rPr>
              <w:t>التوصية رقم 22 نشر التوصيات الخاصة التي اتخذتها اللجنة المعنية بمكافحة التمييز ضد المرأة بشأن 153االتقدم المحرز الوارد سرده في التقرير الرابع المقدم من كولومبيا</w:t>
            </w:r>
            <w:r>
              <w:rPr>
                <w:spacing w:val="60"/>
                <w:sz w:val="17"/>
                <w:rtl/>
              </w:rPr>
              <w:tab/>
            </w:r>
          </w:p>
        </w:tc>
        <w:tc>
          <w:tcPr>
            <w:tcW w:w="806" w:type="dxa"/>
            <w:shd w:val="clear" w:color="auto" w:fill="auto"/>
          </w:tcPr>
          <w:p w:rsidR="00B350D1" w:rsidRDefault="00B350D1" w:rsidP="00BF1DA6">
            <w:pPr>
              <w:keepNext/>
              <w:keepLines/>
              <w:jc w:val="right"/>
              <w:rPr>
                <w:rFonts w:hint="cs"/>
                <w:rtl/>
              </w:rPr>
            </w:pPr>
          </w:p>
          <w:p w:rsidR="00B350D1" w:rsidRDefault="00B350D1" w:rsidP="00BF1DA6">
            <w:pPr>
              <w:keepNext/>
              <w:keepLines/>
              <w:jc w:val="right"/>
              <w:rPr>
                <w:rFonts w:hint="cs"/>
              </w:rPr>
            </w:pPr>
            <w:r>
              <w:rPr>
                <w:rFonts w:hint="cs"/>
                <w:rtl/>
              </w:rPr>
              <w:t>15</w:t>
            </w:r>
            <w:r w:rsidR="00F555EF">
              <w:rPr>
                <w:rFonts w:hint="cs"/>
                <w:rtl/>
              </w:rPr>
              <w:t>1</w:t>
            </w:r>
          </w:p>
        </w:tc>
      </w:tr>
      <w:tr w:rsidR="00B350D1" w:rsidRPr="001D7220">
        <w:tblPrEx>
          <w:tblCellMar>
            <w:top w:w="0" w:type="dxa"/>
            <w:bottom w:w="0" w:type="dxa"/>
          </w:tblCellMar>
        </w:tblPrEx>
        <w:tc>
          <w:tcPr>
            <w:tcW w:w="9028" w:type="dxa"/>
            <w:gridSpan w:val="3"/>
            <w:shd w:val="clear" w:color="auto" w:fill="auto"/>
          </w:tcPr>
          <w:p w:rsidR="00B350D1" w:rsidRPr="005964CB" w:rsidRDefault="00B350D1" w:rsidP="00B026FC">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ind w:left="1296" w:hanging="1296"/>
              <w:rPr>
                <w:rFonts w:hint="cs"/>
                <w:spacing w:val="60"/>
                <w:sz w:val="17"/>
                <w:rtl/>
              </w:rPr>
            </w:pPr>
            <w:r>
              <w:rPr>
                <w:rtl/>
              </w:rPr>
              <w:tab/>
            </w:r>
            <w:r>
              <w:rPr>
                <w:rFonts w:hint="cs"/>
                <w:rtl/>
              </w:rPr>
              <w:t>4 -</w:t>
            </w:r>
            <w:r>
              <w:rPr>
                <w:rtl/>
              </w:rPr>
              <w:tab/>
            </w:r>
            <w:r>
              <w:rPr>
                <w:rFonts w:hint="cs"/>
                <w:rtl/>
              </w:rPr>
              <w:t>المواضيع ذات الأهمية الخاصة في السياق الكولومبي</w:t>
            </w:r>
            <w:r>
              <w:rPr>
                <w:spacing w:val="60"/>
                <w:sz w:val="17"/>
                <w:rtl/>
              </w:rPr>
              <w:tab/>
            </w:r>
          </w:p>
        </w:tc>
        <w:tc>
          <w:tcPr>
            <w:tcW w:w="806" w:type="dxa"/>
            <w:shd w:val="clear" w:color="auto" w:fill="auto"/>
          </w:tcPr>
          <w:p w:rsidR="00B350D1" w:rsidRDefault="00B350D1" w:rsidP="00BF1DA6">
            <w:pPr>
              <w:keepNext/>
              <w:keepLines/>
              <w:jc w:val="right"/>
              <w:rPr>
                <w:rFonts w:hint="cs"/>
              </w:rPr>
            </w:pPr>
            <w:r>
              <w:rPr>
                <w:rFonts w:hint="cs"/>
                <w:rtl/>
              </w:rPr>
              <w:t>15</w:t>
            </w:r>
            <w:r w:rsidR="00F555EF">
              <w:rPr>
                <w:rFonts w:hint="cs"/>
                <w:rtl/>
              </w:rPr>
              <w:t>1</w:t>
            </w:r>
          </w:p>
        </w:tc>
      </w:tr>
      <w:tr w:rsidR="00B350D1" w:rsidRPr="001D7220">
        <w:tblPrEx>
          <w:tblCellMar>
            <w:top w:w="0" w:type="dxa"/>
            <w:bottom w:w="0" w:type="dxa"/>
          </w:tblCellMar>
        </w:tblPrEx>
        <w:tc>
          <w:tcPr>
            <w:tcW w:w="9028" w:type="dxa"/>
            <w:gridSpan w:val="3"/>
            <w:shd w:val="clear" w:color="auto" w:fill="auto"/>
          </w:tcPr>
          <w:p w:rsidR="00B350D1" w:rsidRPr="005964CB" w:rsidRDefault="00B350D1" w:rsidP="00B026FC">
            <w:pPr>
              <w:keepNext/>
              <w:keepLines/>
              <w:tabs>
                <w:tab w:val="right" w:pos="1080"/>
                <w:tab w:val="left" w:pos="1296"/>
                <w:tab w:val="left" w:pos="1728"/>
                <w:tab w:val="left" w:pos="2160"/>
                <w:tab w:val="right" w:leader="dot" w:pos="9029"/>
              </w:tabs>
              <w:ind w:left="1296" w:hanging="1296"/>
              <w:rPr>
                <w:rFonts w:hint="cs"/>
                <w:spacing w:val="60"/>
                <w:sz w:val="17"/>
                <w:rtl/>
              </w:rPr>
            </w:pPr>
            <w:r>
              <w:rPr>
                <w:rFonts w:hint="cs"/>
                <w:rtl/>
              </w:rPr>
              <w:tab/>
              <w:t>4 - 1</w:t>
            </w:r>
            <w:r>
              <w:rPr>
                <w:rtl/>
              </w:rPr>
              <w:tab/>
            </w:r>
            <w:r>
              <w:rPr>
                <w:rFonts w:hint="cs"/>
                <w:rtl/>
              </w:rPr>
              <w:t>النزوح القسري</w:t>
            </w:r>
            <w:r>
              <w:rPr>
                <w:spacing w:val="60"/>
                <w:sz w:val="17"/>
                <w:rtl/>
              </w:rPr>
              <w:tab/>
            </w:r>
          </w:p>
        </w:tc>
        <w:tc>
          <w:tcPr>
            <w:tcW w:w="806" w:type="dxa"/>
            <w:shd w:val="clear" w:color="auto" w:fill="auto"/>
          </w:tcPr>
          <w:p w:rsidR="00B350D1" w:rsidRDefault="00F555EF" w:rsidP="00BF1DA6">
            <w:pPr>
              <w:keepNext/>
              <w:keepLines/>
              <w:jc w:val="right"/>
              <w:rPr>
                <w:rFonts w:hint="cs"/>
                <w:rtl/>
              </w:rPr>
            </w:pPr>
            <w:r>
              <w:rPr>
                <w:rFonts w:hint="cs"/>
                <w:rtl/>
              </w:rPr>
              <w:t>151</w:t>
            </w:r>
          </w:p>
        </w:tc>
      </w:tr>
      <w:tr w:rsidR="00B350D1" w:rsidRPr="001D7220">
        <w:tblPrEx>
          <w:tblCellMar>
            <w:top w:w="0" w:type="dxa"/>
            <w:bottom w:w="0" w:type="dxa"/>
          </w:tblCellMar>
        </w:tblPrEx>
        <w:tc>
          <w:tcPr>
            <w:tcW w:w="9028" w:type="dxa"/>
            <w:gridSpan w:val="3"/>
            <w:shd w:val="clear" w:color="auto" w:fill="auto"/>
          </w:tcPr>
          <w:p w:rsidR="00B350D1" w:rsidRPr="005964CB" w:rsidRDefault="00B350D1" w:rsidP="00B026FC">
            <w:pPr>
              <w:keepNext/>
              <w:keepLines/>
              <w:tabs>
                <w:tab w:val="right" w:pos="1080"/>
                <w:tab w:val="left" w:pos="1296"/>
                <w:tab w:val="left" w:pos="1728"/>
                <w:tab w:val="left" w:pos="2160"/>
                <w:tab w:val="left" w:pos="2592"/>
                <w:tab w:val="left" w:pos="3024"/>
                <w:tab w:val="right" w:leader="dot" w:pos="9029"/>
              </w:tabs>
              <w:ind w:left="1296" w:hanging="1296"/>
              <w:rPr>
                <w:rFonts w:hint="cs"/>
                <w:spacing w:val="60"/>
                <w:sz w:val="17"/>
                <w:rtl/>
              </w:rPr>
            </w:pPr>
            <w:r>
              <w:rPr>
                <w:rtl/>
              </w:rPr>
              <w:tab/>
            </w:r>
            <w:r>
              <w:rPr>
                <w:rFonts w:hint="cs"/>
                <w:rtl/>
              </w:rPr>
              <w:t>4 - 2</w:t>
            </w:r>
            <w:r>
              <w:rPr>
                <w:rtl/>
              </w:rPr>
              <w:tab/>
            </w:r>
            <w:r>
              <w:rPr>
                <w:rFonts w:hint="cs"/>
                <w:rtl/>
              </w:rPr>
              <w:t>المسرحون والمسرحات</w:t>
            </w:r>
            <w:r>
              <w:rPr>
                <w:spacing w:val="60"/>
                <w:sz w:val="17"/>
                <w:rtl/>
              </w:rPr>
              <w:tab/>
            </w:r>
          </w:p>
        </w:tc>
        <w:tc>
          <w:tcPr>
            <w:tcW w:w="806" w:type="dxa"/>
            <w:shd w:val="clear" w:color="auto" w:fill="auto"/>
          </w:tcPr>
          <w:p w:rsidR="00B350D1" w:rsidRDefault="00104AFC" w:rsidP="00BF1DA6">
            <w:pPr>
              <w:keepNext/>
              <w:keepLines/>
              <w:jc w:val="right"/>
              <w:rPr>
                <w:rFonts w:hint="cs"/>
                <w:rtl/>
              </w:rPr>
            </w:pPr>
            <w:r>
              <w:rPr>
                <w:rFonts w:hint="cs"/>
                <w:rtl/>
              </w:rPr>
              <w:t>159</w:t>
            </w:r>
          </w:p>
        </w:tc>
      </w:tr>
    </w:tbl>
    <w:p w:rsidR="001D7220" w:rsidRDefault="001D7220" w:rsidP="006570C4">
      <w:pPr>
        <w:pStyle w:val="SingleTxt"/>
        <w:rPr>
          <w:rFonts w:hint="cs"/>
          <w:rtl/>
          <w:lang w:bidi="ar-EG"/>
        </w:rPr>
      </w:pPr>
    </w:p>
    <w:p w:rsidR="006570C4" w:rsidRDefault="006570C4" w:rsidP="00426B8B">
      <w:pPr>
        <w:pStyle w:val="SingleTxt"/>
        <w:rPr>
          <w:rFonts w:hint="cs"/>
          <w:rtl/>
          <w:lang w:bidi="ar-EG"/>
        </w:rPr>
      </w:pPr>
      <w:r>
        <w:rPr>
          <w:rtl/>
        </w:rPr>
        <w:br w:type="page"/>
      </w:r>
      <w:r>
        <w:rPr>
          <w:rFonts w:hint="cs"/>
          <w:rtl/>
          <w:lang w:bidi="ar-EG"/>
        </w:rPr>
        <w:t>ملاحظة من الأمانة العامة:</w:t>
      </w:r>
    </w:p>
    <w:p w:rsidR="006570C4" w:rsidRDefault="006570C4" w:rsidP="006570C4">
      <w:pPr>
        <w:pStyle w:val="SingleTxt"/>
        <w:rPr>
          <w:rFonts w:hint="cs"/>
          <w:rtl/>
          <w:lang w:bidi="ar-EG"/>
        </w:rPr>
      </w:pPr>
      <w:r>
        <w:rPr>
          <w:rFonts w:hint="cs"/>
          <w:rtl/>
          <w:lang w:bidi="ar-EG"/>
        </w:rPr>
        <w:tab/>
        <w:t>ستقدم حواشي هذا التقرير ومرفقاته إلى اللجنة باللغة التي وردت بها إلى شعبة النهوض بالمرأة</w:t>
      </w:r>
      <w:r w:rsidR="003D7EB4">
        <w:rPr>
          <w:rFonts w:hint="cs"/>
          <w:rtl/>
          <w:lang w:bidi="ar-EG"/>
        </w:rPr>
        <w:t>،</w:t>
      </w:r>
    </w:p>
    <w:p w:rsidR="006570C4" w:rsidRPr="007D11B6" w:rsidRDefault="006570C4" w:rsidP="006570C4">
      <w:pPr>
        <w:pStyle w:val="SingleTxt"/>
        <w:spacing w:after="0" w:line="120" w:lineRule="exact"/>
        <w:rPr>
          <w:rFonts w:hint="cs"/>
          <w:sz w:val="10"/>
          <w:rtl/>
          <w:lang w:bidi="ar-EG"/>
        </w:rPr>
      </w:pPr>
    </w:p>
    <w:p w:rsidR="006570C4" w:rsidRDefault="006570C4" w:rsidP="006570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التقريران الخامس والسادس المقدمان من جمهورية كولومبيا إلى اللجنة المعنية بالقضاء على جميع أشكال التمييز ضد المرأة</w:t>
      </w:r>
    </w:p>
    <w:p w:rsidR="006570C4" w:rsidRPr="007D11B6" w:rsidRDefault="006570C4" w:rsidP="006570C4">
      <w:pPr>
        <w:pStyle w:val="SingleTxt"/>
        <w:spacing w:after="0" w:line="120" w:lineRule="exact"/>
        <w:rPr>
          <w:rFonts w:hint="cs"/>
          <w:sz w:val="10"/>
          <w:rtl/>
          <w:lang w:bidi="ar-EG"/>
        </w:rPr>
      </w:pPr>
    </w:p>
    <w:p w:rsidR="006570C4" w:rsidRDefault="006570C4" w:rsidP="006570C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الموجز التنفيذي</w:t>
      </w:r>
    </w:p>
    <w:p w:rsidR="006570C4" w:rsidRDefault="006570C4" w:rsidP="006570C4">
      <w:pPr>
        <w:pStyle w:val="SingleTxt"/>
        <w:rPr>
          <w:rFonts w:hint="cs"/>
          <w:rtl/>
          <w:lang w:bidi="ar-EG"/>
        </w:rPr>
      </w:pPr>
      <w:r>
        <w:rPr>
          <w:rFonts w:hint="cs"/>
          <w:rtl/>
          <w:lang w:bidi="ar-EG"/>
        </w:rPr>
        <w:tab/>
        <w:t>أُعد التقريران الخامس والسادس المقدمان من دولة كولومبيا إلى اللجنة المعنية بالقضاء على جميع أشكال التمييز ضد المرأة، اللذان يتضمنان سردا للمنجزات المحرزة في الفترة 1999-2003 تنفيذا للاتفاقية ، وفقا للبارامترات السارية اعتبارا من سنة 2003</w:t>
      </w:r>
      <w:r w:rsidR="003D7EB4">
        <w:rPr>
          <w:rFonts w:hint="cs"/>
          <w:rtl/>
          <w:lang w:bidi="ar-EG"/>
        </w:rPr>
        <w:t>،</w:t>
      </w:r>
      <w:r>
        <w:rPr>
          <w:rFonts w:hint="cs"/>
          <w:rtl/>
          <w:lang w:bidi="ar-EG"/>
        </w:rPr>
        <w:t xml:space="preserve"> وقد نُظر في التدابير المتخذة لإحراز تقدم في تنفيذ الاتفاقية في ضوء العوامل التالية: الظروف الداخلية الخاصة التي يمر بها البلد، وسياسات حكومة الرئيس ألفارو أوريبي فيليس، الأعمال التي اضطلعت بها المستشارة السامية لرئيس الجمهورية فيما يتعلق بتحقيق المساواة بين الرجل والمرأة، ومنجزات الدولة الكولومبية في الفترات الأخرى</w:t>
      </w:r>
      <w:r w:rsidR="003D7EB4">
        <w:rPr>
          <w:rFonts w:hint="cs"/>
          <w:rtl/>
          <w:lang w:bidi="ar-EG"/>
        </w:rPr>
        <w:t>،</w:t>
      </w:r>
    </w:p>
    <w:p w:rsidR="006570C4" w:rsidRDefault="006570C4" w:rsidP="006570C4">
      <w:pPr>
        <w:pStyle w:val="SingleTxt"/>
        <w:rPr>
          <w:rFonts w:hint="cs"/>
          <w:rtl/>
          <w:lang w:bidi="ar-EG"/>
        </w:rPr>
      </w:pPr>
      <w:r>
        <w:rPr>
          <w:rFonts w:hint="cs"/>
          <w:rtl/>
          <w:lang w:bidi="ar-EG"/>
        </w:rPr>
        <w:tab/>
        <w:t>ويوثق هذا التقرير المنجزات المهمة المتعلقة بتنفيذ الاتفاقية ويبين بوضوح كيف يعتبر تعزيز المساواة بين الرجل والمرأة وتمكين المرأة في كولومبيا جانبين حاسمين لإقامة مجتمع أكثر عدلا وشمول، والضمان الحقوق السياسية والاقتصادية والاجتماعية والثقافية لجميع المواطنين والمواطنات</w:t>
      </w:r>
      <w:r w:rsidR="003D7EB4">
        <w:rPr>
          <w:rFonts w:hint="cs"/>
          <w:rtl/>
          <w:lang w:bidi="ar-EG"/>
        </w:rPr>
        <w:t>،</w:t>
      </w:r>
    </w:p>
    <w:p w:rsidR="006570C4" w:rsidRDefault="006570C4" w:rsidP="006570C4">
      <w:pPr>
        <w:pStyle w:val="SingleTxt"/>
        <w:rPr>
          <w:rFonts w:hint="cs"/>
          <w:rtl/>
          <w:lang w:bidi="ar-EG"/>
        </w:rPr>
      </w:pPr>
      <w:r>
        <w:rPr>
          <w:rFonts w:hint="cs"/>
          <w:rtl/>
          <w:lang w:bidi="ar-EG"/>
        </w:rPr>
        <w:tab/>
        <w:t>وفي مواجهة الظروف الداخلية للبلد التزم الرئيس ألفارو أوريبي فيليس بتعزيز دولة القانون وإعادة سيادة القانون في جميع أنحاء الإقليم الكولومبي، في إطار الالتزام بحقوق الإنسان والقانون الإنساني الدولي ، بهدف حماية وصون الحكم الديمقراطي</w:t>
      </w:r>
      <w:r w:rsidR="003D7EB4">
        <w:rPr>
          <w:rFonts w:hint="cs"/>
          <w:rtl/>
          <w:lang w:bidi="ar-EG"/>
        </w:rPr>
        <w:t>،</w:t>
      </w:r>
    </w:p>
    <w:p w:rsidR="006570C4" w:rsidRDefault="006570C4" w:rsidP="006570C4">
      <w:pPr>
        <w:pStyle w:val="SingleTxt"/>
        <w:rPr>
          <w:rFonts w:hint="cs"/>
          <w:rtl/>
          <w:lang w:bidi="ar-EG"/>
        </w:rPr>
      </w:pPr>
      <w:r>
        <w:rPr>
          <w:rFonts w:hint="cs"/>
          <w:rtl/>
          <w:lang w:bidi="ar-EG"/>
        </w:rPr>
        <w:tab/>
        <w:t>فخلال العامين اللذين انقضيا منذ بداية حكمه حققت سياسة الأمن الديمقراطي نتائج مهمة لصالح جميع الكولومبيين رجالا ونساء، وانعكست هذه النتائج في تحسن الجو العام في البلد في مجال الأمن والثقة ويمكن أن تُلخص على النحو التالي: أُحرز انخفاض في الرقم العام لجرائم القتل بنسبة تبلغ نحو 13</w:t>
      </w:r>
      <w:r w:rsidR="00102EE0">
        <w:rPr>
          <w:rFonts w:hint="cs"/>
          <w:rtl/>
          <w:lang w:bidi="ar-EG"/>
        </w:rPr>
        <w:t>.</w:t>
      </w:r>
      <w:r>
        <w:rPr>
          <w:rFonts w:hint="cs"/>
          <w:rtl/>
          <w:lang w:bidi="ar-EG"/>
        </w:rPr>
        <w:t>2 في المائة على المستوى الوطني في الفترة من عام 2003 وما انصرم من عام 2004؛ وانخفضت الهجمات التي يتعرض لها السكان بنسبة 80</w:t>
      </w:r>
      <w:r>
        <w:rPr>
          <w:rFonts w:hint="eastAsia"/>
          <w:rtl/>
          <w:lang w:bidi="ar-EG"/>
        </w:rPr>
        <w:t> </w:t>
      </w:r>
      <w:r>
        <w:rPr>
          <w:rFonts w:hint="cs"/>
          <w:rtl/>
          <w:lang w:bidi="ar-EG"/>
        </w:rPr>
        <w:t>في المائة تقريبا في الفترة من عام 2003 إلى عام 2004؛ وانخفض عدد عمليات الاستيلاء في نفس هذه الفترة الزمنية بنسبة تبلغ نحو 42</w:t>
      </w:r>
      <w:r w:rsidR="00102EE0">
        <w:rPr>
          <w:rFonts w:hint="cs"/>
          <w:rtl/>
          <w:lang w:bidi="ar-EG"/>
        </w:rPr>
        <w:t>.</w:t>
      </w:r>
      <w:r>
        <w:rPr>
          <w:rFonts w:hint="cs"/>
          <w:rtl/>
          <w:lang w:bidi="ar-EG"/>
        </w:rPr>
        <w:t>4 في المائة؛ وأُحرز انخفاض نسبته 50 في المائة في عدد الأشخاص المشردين خلال عام 2003، وبنسبة 30 في المائة في الفترة المنصرمة من هذه السنة؛ ومن جهة أخرى تحققت عودة 000 70 شخص مشرد إلى أماكنهم الأصلية؛ وتوجد قوات حكومية في 100 في المائة من البلديات</w:t>
      </w:r>
      <w:r w:rsidR="003D7EB4">
        <w:rPr>
          <w:rFonts w:hint="cs"/>
          <w:rtl/>
          <w:lang w:bidi="ar-EG"/>
        </w:rPr>
        <w:t>،</w:t>
      </w:r>
    </w:p>
    <w:p w:rsidR="006570C4" w:rsidRDefault="006570C4" w:rsidP="006570C4">
      <w:pPr>
        <w:pStyle w:val="SingleTxt"/>
        <w:rPr>
          <w:rFonts w:hint="cs"/>
          <w:rtl/>
          <w:lang w:bidi="ar-EG"/>
        </w:rPr>
      </w:pPr>
      <w:r>
        <w:rPr>
          <w:rFonts w:hint="cs"/>
          <w:rtl/>
          <w:lang w:bidi="ar-EG"/>
        </w:rPr>
        <w:tab/>
        <w:t>وانعكست الآثار الاقتصادية لهذه المنجزات في نمو الاقتصاد بنسبة تبلغ نحو 3</w:t>
      </w:r>
      <w:r w:rsidR="00102EE0">
        <w:rPr>
          <w:rFonts w:hint="cs"/>
          <w:rtl/>
          <w:lang w:bidi="ar-EG"/>
        </w:rPr>
        <w:t>.</w:t>
      </w:r>
      <w:r>
        <w:rPr>
          <w:rFonts w:hint="cs"/>
          <w:rtl/>
          <w:lang w:bidi="ar-EG"/>
        </w:rPr>
        <w:t>95 في المائة خلال عام 2003، وهي نسبة لم تُحرز منذ 5 سنوات؛ وازداد الاستثمار الخاص بنسبة 23</w:t>
      </w:r>
      <w:r w:rsidR="00102EE0">
        <w:rPr>
          <w:rFonts w:hint="cs"/>
          <w:rtl/>
          <w:lang w:bidi="ar-EG"/>
        </w:rPr>
        <w:t>.</w:t>
      </w:r>
      <w:r>
        <w:rPr>
          <w:rFonts w:hint="cs"/>
          <w:rtl/>
          <w:lang w:bidi="ar-EG"/>
        </w:rPr>
        <w:t>9 في المائة تقريبا في الفترة 2002-2003؛ وتحقق تنشيط قطاع التشييد، والدليل على ذلك هو نمو الناتج المحلي الإجمالي للإنشاءات بنسبة تبلغ نحو 19</w:t>
      </w:r>
      <w:r w:rsidR="00102EE0">
        <w:rPr>
          <w:rFonts w:hint="cs"/>
          <w:rtl/>
          <w:lang w:bidi="ar-EG"/>
        </w:rPr>
        <w:t>.</w:t>
      </w:r>
      <w:r>
        <w:rPr>
          <w:rFonts w:hint="cs"/>
          <w:rtl/>
          <w:lang w:bidi="ar-EG"/>
        </w:rPr>
        <w:t>2 في المائة خلال سنة 2003 ونسبة تبلغ 55</w:t>
      </w:r>
      <w:r w:rsidR="00102EE0">
        <w:rPr>
          <w:rFonts w:hint="cs"/>
          <w:rtl/>
          <w:lang w:bidi="ar-EG"/>
        </w:rPr>
        <w:t>.</w:t>
      </w:r>
      <w:r>
        <w:rPr>
          <w:rFonts w:hint="cs"/>
          <w:rtl/>
          <w:lang w:bidi="ar-EG"/>
        </w:rPr>
        <w:t>9 في المائة خلال الثلث الأول من سنة 2004</w:t>
      </w:r>
      <w:r w:rsidR="003D7EB4">
        <w:rPr>
          <w:rFonts w:hint="cs"/>
          <w:rtl/>
          <w:lang w:bidi="ar-EG"/>
        </w:rPr>
        <w:t>،</w:t>
      </w:r>
    </w:p>
    <w:p w:rsidR="006570C4" w:rsidRDefault="006570C4" w:rsidP="006570C4">
      <w:pPr>
        <w:pStyle w:val="SingleTxt"/>
        <w:rPr>
          <w:rFonts w:hint="cs"/>
          <w:rtl/>
          <w:lang w:bidi="ar-EG"/>
        </w:rPr>
      </w:pPr>
      <w:r>
        <w:rPr>
          <w:rFonts w:hint="cs"/>
          <w:rtl/>
          <w:lang w:bidi="ar-EG"/>
        </w:rPr>
        <w:tab/>
        <w:t>ولا تنطوي سياسة الأمن الديمقراطي للإدارة الحالية على بعد الأمن فحسب بل أيضا على بُعدي العدل الاجتماعي والتنمية البشرية، وتتضمن اتخاذ إجراءات تدفع عجلة النمو الاقتصادي وإيجاد فرص العمل ومكافحة الفقر، وكذلك اتخاذ تدابير لرعاية أضعف القطاعات السكانية، ولا سيما الأشخاص المتضررين من العنف</w:t>
      </w:r>
      <w:r w:rsidR="003D7EB4">
        <w:rPr>
          <w:rFonts w:hint="cs"/>
          <w:rtl/>
          <w:lang w:bidi="ar-EG"/>
        </w:rPr>
        <w:t>،</w:t>
      </w:r>
    </w:p>
    <w:p w:rsidR="006570C4" w:rsidRDefault="006570C4" w:rsidP="006570C4">
      <w:pPr>
        <w:pStyle w:val="SingleTxt"/>
        <w:rPr>
          <w:rFonts w:hint="cs"/>
          <w:rtl/>
          <w:lang w:bidi="ar-EG"/>
        </w:rPr>
      </w:pPr>
      <w:r>
        <w:rPr>
          <w:rFonts w:hint="cs"/>
          <w:rtl/>
          <w:lang w:bidi="ar-EG"/>
        </w:rPr>
        <w:tab/>
        <w:t xml:space="preserve">وإقامة العدل الاجتماعي بالنسبة إلى كولومبيا هي دعامة الخطة الإنمائية الوطنية، </w:t>
      </w:r>
      <w:r>
        <w:rPr>
          <w:rFonts w:hint="eastAsia"/>
          <w:rtl/>
          <w:lang w:bidi="ar-EG"/>
        </w:rPr>
        <w:t xml:space="preserve">”نحو دولة </w:t>
      </w:r>
      <w:r>
        <w:rPr>
          <w:rFonts w:hint="cs"/>
          <w:rtl/>
          <w:lang w:bidi="ar-EG"/>
        </w:rPr>
        <w:t>اشتراكية،</w:t>
      </w:r>
      <w:r>
        <w:rPr>
          <w:rFonts w:hint="eastAsia"/>
          <w:rtl/>
          <w:lang w:bidi="ar-EG"/>
        </w:rPr>
        <w:t xml:space="preserve"> 2003-2006</w:t>
      </w:r>
      <w:r>
        <w:rPr>
          <w:rFonts w:hint="cs"/>
          <w:rtl/>
          <w:lang w:bidi="ar-EG"/>
        </w:rPr>
        <w:t>“</w:t>
      </w:r>
      <w:r w:rsidR="003D7EB4">
        <w:rPr>
          <w:rFonts w:hint="cs"/>
          <w:rtl/>
          <w:lang w:bidi="ar-EG"/>
        </w:rPr>
        <w:t>،</w:t>
      </w:r>
      <w:r>
        <w:rPr>
          <w:rFonts w:hint="cs"/>
          <w:rtl/>
          <w:lang w:bidi="ar-EG"/>
        </w:rPr>
        <w:t xml:space="preserve"> ومن أجل تحقيق الأهداف المكرسة في الخطة (القانون رقم 812 لسنة 2003) نُفذت سبع وسائل لتحقيق العدل الاجتماعي هي: الثورة التعليمية، وتعزيز وتحسين الضمان الاجتماعي، وإعطاء دفعة قوية للاقتصاد التضامني، والإدارة الاشتراكية للريف، والإدارة الاشتراكية للخدمات العامة، وتنمية المؤسسات الصغيرة والصغيرة جدا والمتوسطة (بلد أصحاب الشركات)، ونوعية الحياة الحضرية</w:t>
      </w:r>
      <w:r w:rsidR="003D7EB4">
        <w:rPr>
          <w:rFonts w:hint="cs"/>
          <w:rtl/>
          <w:lang w:bidi="ar-EG"/>
        </w:rPr>
        <w:t>،</w:t>
      </w:r>
    </w:p>
    <w:p w:rsidR="006570C4" w:rsidRDefault="006570C4" w:rsidP="006570C4">
      <w:pPr>
        <w:pStyle w:val="SingleTxt"/>
        <w:rPr>
          <w:rFonts w:hint="cs"/>
          <w:rtl/>
          <w:lang w:bidi="ar-EG"/>
        </w:rPr>
      </w:pPr>
      <w:r>
        <w:rPr>
          <w:rFonts w:hint="cs"/>
          <w:rtl/>
          <w:lang w:bidi="ar-EG"/>
        </w:rPr>
        <w:tab/>
        <w:t>وقد أسهمت سياسة التنشيط الاجتماعي إسهاما كبيرا في تحقيق المساواة الحقيقية بين الرجل والمرأة كما يتضح من النتائج المحرزة في البرامج التي تمثل جزءا من هذه السياسة والمعروضة في هذا التقرير مصنفة حسب الجنس</w:t>
      </w:r>
      <w:r w:rsidR="003D7EB4">
        <w:rPr>
          <w:rFonts w:hint="cs"/>
          <w:rtl/>
          <w:lang w:bidi="ar-EG"/>
        </w:rPr>
        <w:t>،</w:t>
      </w:r>
    </w:p>
    <w:p w:rsidR="006570C4" w:rsidRDefault="006570C4" w:rsidP="006570C4">
      <w:pPr>
        <w:pStyle w:val="SingleTxt"/>
        <w:rPr>
          <w:rFonts w:hint="cs"/>
          <w:rtl/>
          <w:lang w:bidi="ar-EG"/>
        </w:rPr>
      </w:pPr>
      <w:r>
        <w:rPr>
          <w:rFonts w:hint="cs"/>
          <w:rtl/>
          <w:lang w:bidi="ar-EG"/>
        </w:rPr>
        <w:tab/>
        <w:t>وتعكس الخطة الإنمائية الوطنية رغبة الحكومة الوطنية في الإدماج الشامل للنهج الجنساني في سياساتها العامة بإضفاء الصبغة الرسمية على الهيئة الاستشارية لرئيس الجمهورية فيما يتعلق بالمساواة بين الرجل والمرأة لرسم سياسة من أجل المرأة وإدارة عملية الإدماج الشامل للنهج الجنساني</w:t>
      </w:r>
      <w:r w:rsidR="003D7EB4">
        <w:rPr>
          <w:rFonts w:hint="cs"/>
          <w:rtl/>
          <w:lang w:bidi="ar-EG"/>
        </w:rPr>
        <w:t>،</w:t>
      </w:r>
    </w:p>
    <w:p w:rsidR="006570C4" w:rsidRDefault="006570C4" w:rsidP="006570C4">
      <w:pPr>
        <w:pStyle w:val="SingleTxt"/>
        <w:rPr>
          <w:rFonts w:hint="cs"/>
          <w:rtl/>
          <w:lang w:bidi="ar-EG"/>
        </w:rPr>
      </w:pPr>
      <w:r>
        <w:rPr>
          <w:rFonts w:hint="cs"/>
          <w:rtl/>
          <w:lang w:bidi="ar-EG"/>
        </w:rPr>
        <w:tab/>
        <w:t>وتعمل الدولة الكولومبية على إحكام ميزانية الأمة عن طريق الإدارة الاشتراكية المسترشدة بالنتائج، وزيادة الشفافية في إدارة الموارد العامة، ومتابعة وتقييم المنجزات المحرزة، والتركيز على الأعمال، من أجل منح الأولوية للسكان المحرومين، دون أن يعني هذا بالضرورة تخصيص ميزانيات خاصة لهذه الفئات، نظرا للتركيز على توزيع الموارد المتاحة حسب منظوري العدالة الاجتماعية والمساواة بين الجنسين</w:t>
      </w:r>
      <w:r w:rsidR="003D7EB4">
        <w:rPr>
          <w:rFonts w:hint="cs"/>
          <w:rtl/>
          <w:lang w:bidi="ar-EG"/>
        </w:rPr>
        <w:t>،</w:t>
      </w:r>
    </w:p>
    <w:p w:rsidR="006570C4" w:rsidRDefault="006570C4" w:rsidP="006570C4">
      <w:pPr>
        <w:pStyle w:val="SingleTxt"/>
        <w:rPr>
          <w:rFonts w:hint="cs"/>
          <w:rtl/>
          <w:lang w:bidi="ar-EG"/>
        </w:rPr>
      </w:pPr>
      <w:r>
        <w:rPr>
          <w:rFonts w:hint="cs"/>
          <w:rtl/>
          <w:lang w:bidi="ar-EG"/>
        </w:rPr>
        <w:tab/>
        <w:t>وقد استجابت خطة عمل الهيئة الاستشارية لرئيس الجمهورية فيما يتعلق بالمساواة بين الرجل والمرأة لاقتراح إقامة العدالة الاجتماعية مع الاهتمام بأقل النساء دخلا، ولا سيما رئيسات الأسر، والحث على مشاركة المنظمات النسائية بصورة كبيرة ومباشرة ومستقلة في مختلف مجالات التشاور والتنسيق، وتقدير كل عملها في مجال تعزيز وحماية حقوق الإنسان للمرأة</w:t>
      </w:r>
      <w:r w:rsidR="003D7EB4">
        <w:rPr>
          <w:rFonts w:hint="cs"/>
          <w:rtl/>
          <w:lang w:bidi="ar-EG"/>
        </w:rPr>
        <w:t>،</w:t>
      </w:r>
    </w:p>
    <w:p w:rsidR="006570C4" w:rsidRDefault="006570C4" w:rsidP="006570C4">
      <w:pPr>
        <w:pStyle w:val="SingleTxt"/>
        <w:rPr>
          <w:rFonts w:hint="cs"/>
          <w:rtl/>
          <w:lang w:bidi="ar-EG"/>
        </w:rPr>
      </w:pPr>
      <w:r>
        <w:rPr>
          <w:rFonts w:hint="cs"/>
          <w:rtl/>
          <w:lang w:bidi="ar-EG"/>
        </w:rPr>
        <w:tab/>
        <w:t>ومن بين الجهود التي تبذلها الدولة الكولومبية تنفيذا للاتفاقية وفيما يتعلق بالتقرير السابق يجدر بنا أن نذكر ما يلي:</w:t>
      </w:r>
    </w:p>
    <w:p w:rsidR="006570C4" w:rsidRDefault="006570C4" w:rsidP="006570C4">
      <w:pPr>
        <w:pStyle w:val="SingleTxt"/>
        <w:rPr>
          <w:rFonts w:hint="cs"/>
          <w:rtl/>
          <w:lang w:bidi="ar-EG"/>
        </w:rPr>
      </w:pPr>
      <w:r>
        <w:rPr>
          <w:rFonts w:hint="cs"/>
          <w:rtl/>
          <w:lang w:bidi="ar-EG"/>
        </w:rPr>
        <w:tab/>
        <w:t>تحقيق مستوى عــال من الحمايــة للمــرأة من الناحيــة التشريعيــة</w:t>
      </w:r>
      <w:r w:rsidR="003D7EB4">
        <w:rPr>
          <w:rFonts w:hint="cs"/>
          <w:rtl/>
          <w:lang w:bidi="ar-EG"/>
        </w:rPr>
        <w:t>،</w:t>
      </w:r>
      <w:r>
        <w:rPr>
          <w:rFonts w:hint="cs"/>
          <w:rtl/>
          <w:lang w:bidi="ar-EG"/>
        </w:rPr>
        <w:t xml:space="preserve"> ففي الفترة 1999-2003 اعتُمدت ثمانية قوانين للموافقة على معاهدات دولية متعلقة بالمرأة وإثنا وعشرون قانونا تحمي المرأة بصورة خاصة، وفي شهر تموز/يوليه 2003 كان يجري النظر في ثلاثة مشاريع قوانين أخرى</w:t>
      </w:r>
      <w:r w:rsidR="003D7EB4">
        <w:rPr>
          <w:rFonts w:hint="cs"/>
          <w:rtl/>
          <w:lang w:bidi="ar-EG"/>
        </w:rPr>
        <w:t>،</w:t>
      </w:r>
    </w:p>
    <w:p w:rsidR="006570C4" w:rsidRDefault="006570C4" w:rsidP="006570C4">
      <w:pPr>
        <w:pStyle w:val="SingleTxt"/>
        <w:rPr>
          <w:rFonts w:hint="cs"/>
          <w:rtl/>
          <w:lang w:bidi="ar-EG"/>
        </w:rPr>
      </w:pPr>
      <w:r>
        <w:rPr>
          <w:rFonts w:hint="cs"/>
          <w:rtl/>
          <w:lang w:bidi="ar-EG"/>
        </w:rPr>
        <w:tab/>
        <w:t>وخلال نفس هذه الفترة أصدرت المحكمة الدستورية ما يربو على 500 2 حكما متعلقا بحالة المرأة</w:t>
      </w:r>
      <w:r w:rsidR="003D7EB4">
        <w:rPr>
          <w:rFonts w:hint="cs"/>
          <w:rtl/>
          <w:lang w:bidi="ar-EG"/>
        </w:rPr>
        <w:t>،</w:t>
      </w:r>
    </w:p>
    <w:p w:rsidR="006570C4" w:rsidRDefault="006570C4" w:rsidP="006570C4">
      <w:pPr>
        <w:pStyle w:val="SingleTxt"/>
        <w:rPr>
          <w:rFonts w:hint="cs"/>
          <w:rtl/>
          <w:lang w:bidi="ar-EG"/>
        </w:rPr>
      </w:pPr>
      <w:r>
        <w:rPr>
          <w:rFonts w:hint="cs"/>
          <w:rtl/>
          <w:lang w:bidi="ar-EG"/>
        </w:rPr>
        <w:tab/>
        <w:t>وفي مجال عمل المرأة وتنمية المؤسسات التي تنشئها المرأة مُنحت الأفضلية لرئيسات الأسر ذوات الموارد الشحيحة في الحصول على قروض خاصة لدعم أنشطتهن الإنتاجية وتنمية ثقافة إنشاء المؤسسات عن طريق التدريب على إدارة المؤسسات بمنظور جنساني وإمكانية التسويق عن طريق سوق وطنية لسيدات الأعمال، باعتبار ذلك خيارا للعمل انطلاقا من نماذج ذات صلة لمؤسسات ناجحة</w:t>
      </w:r>
      <w:r w:rsidR="003D7EB4">
        <w:rPr>
          <w:rFonts w:hint="cs"/>
          <w:rtl/>
          <w:lang w:bidi="ar-EG"/>
        </w:rPr>
        <w:t>،</w:t>
      </w:r>
    </w:p>
    <w:p w:rsidR="006570C4" w:rsidRDefault="006570C4" w:rsidP="006570C4">
      <w:pPr>
        <w:pStyle w:val="SingleTxt"/>
        <w:rPr>
          <w:rFonts w:hint="cs"/>
          <w:rtl/>
          <w:lang w:bidi="ar-EG"/>
        </w:rPr>
      </w:pPr>
      <w:r>
        <w:rPr>
          <w:rFonts w:hint="cs"/>
          <w:rtl/>
          <w:lang w:bidi="ar-EG"/>
        </w:rPr>
        <w:tab/>
        <w:t>وفي نفس هذا المجال وفي إطار سياسة التنشيط الاجتماعي التي تنتهجها الحكومة تنفذ هيئات مثل برامج في مقدمتها الدائرة التنظيمية للتلمذة الصناعية، اعتبارا من كانون الأول/ديسمبر 2003، إشراك المرأة في التدريب المهني الأساسي المتكامل، فكانت نسبة النساء 48</w:t>
      </w:r>
      <w:r w:rsidR="00102EE0">
        <w:rPr>
          <w:rFonts w:hint="cs"/>
          <w:rtl/>
          <w:lang w:bidi="ar-EG"/>
        </w:rPr>
        <w:t>.</w:t>
      </w:r>
      <w:r>
        <w:rPr>
          <w:rFonts w:hint="cs"/>
          <w:rtl/>
          <w:lang w:bidi="ar-EG"/>
        </w:rPr>
        <w:t>36 في المائة من مجموع عدد المستفيدين، وفي برنامج التدريب المهني المتكامل كانت النساء يمثلن 49</w:t>
      </w:r>
      <w:r w:rsidR="00102EE0">
        <w:rPr>
          <w:rFonts w:hint="cs"/>
          <w:rtl/>
          <w:lang w:bidi="ar-EG"/>
        </w:rPr>
        <w:t>.</w:t>
      </w:r>
      <w:r>
        <w:rPr>
          <w:rFonts w:hint="cs"/>
          <w:rtl/>
          <w:lang w:bidi="ar-EG"/>
        </w:rPr>
        <w:t>32 في المائة من مجموع عدد الطلبة المتدربين، وفي برنامج الشباب الناشط كانت الإناث يمثلن 67 في المائة من مجموع عدد المستفيدين، وفي برنامج الشباب الريفي مثلت الإناث 41</w:t>
      </w:r>
      <w:r w:rsidR="00102EE0">
        <w:rPr>
          <w:rFonts w:hint="cs"/>
          <w:rtl/>
          <w:lang w:bidi="ar-EG"/>
        </w:rPr>
        <w:t>.</w:t>
      </w:r>
      <w:r>
        <w:rPr>
          <w:rFonts w:hint="cs"/>
          <w:rtl/>
          <w:lang w:bidi="ar-EG"/>
        </w:rPr>
        <w:t>43 في المائة، وفي برنامج التكيف مع العمل، المنفذ لصالح الموظفين الحكوميين المستغنى عنهم نتيجة عملية إعادة التشكيل، مثلت الإناث 47</w:t>
      </w:r>
      <w:r w:rsidR="00102EE0">
        <w:rPr>
          <w:rFonts w:hint="cs"/>
          <w:rtl/>
          <w:lang w:bidi="ar-EG"/>
        </w:rPr>
        <w:t>.</w:t>
      </w:r>
      <w:r>
        <w:rPr>
          <w:rFonts w:hint="cs"/>
          <w:rtl/>
          <w:lang w:bidi="ar-EG"/>
        </w:rPr>
        <w:t>12 في المائة من مجموع عدد المستفيدين</w:t>
      </w:r>
      <w:r w:rsidR="003D7EB4">
        <w:rPr>
          <w:rFonts w:hint="cs"/>
          <w:rtl/>
          <w:lang w:bidi="ar-EG"/>
        </w:rPr>
        <w:t>،</w:t>
      </w:r>
    </w:p>
    <w:p w:rsidR="006570C4" w:rsidRDefault="006570C4" w:rsidP="00031613">
      <w:pPr>
        <w:pStyle w:val="SingleTxt"/>
        <w:jc w:val="both"/>
        <w:rPr>
          <w:rFonts w:hint="cs"/>
          <w:rtl/>
        </w:rPr>
      </w:pPr>
      <w:r>
        <w:rPr>
          <w:rFonts w:hint="cs"/>
          <w:rtl/>
          <w:lang w:bidi="ar-EG"/>
        </w:rPr>
        <w:tab/>
        <w:t xml:space="preserve">والبرامج الأخرى التي تتضمن عنصرا اجتماعيا مهما وتؤثر في تمكين المرأة هي: برنامج </w:t>
      </w:r>
      <w:r>
        <w:rPr>
          <w:rFonts w:hint="eastAsia"/>
          <w:rtl/>
          <w:lang w:bidi="ar-EG"/>
        </w:rPr>
        <w:t>”الأسر الناشطة</w:t>
      </w:r>
      <w:r>
        <w:rPr>
          <w:rFonts w:hint="cs"/>
          <w:rtl/>
          <w:lang w:bidi="ar-EG"/>
        </w:rPr>
        <w:t>“، الذي يمنح إعانة نقدية مباشرة في مقابل الوفاء بالالتزامات الصحية والتعليمية، ويستفيد منه نحو 000 200 1 من الجنسين، يعيش 91 في المائة منهم تحت خط الفقر</w:t>
      </w:r>
      <w:r w:rsidR="003D7EB4">
        <w:rPr>
          <w:rFonts w:hint="cs"/>
          <w:rtl/>
          <w:lang w:bidi="ar-EG"/>
        </w:rPr>
        <w:t>،</w:t>
      </w:r>
      <w:r>
        <w:rPr>
          <w:rFonts w:hint="cs"/>
          <w:rtl/>
          <w:lang w:bidi="ar-EG"/>
        </w:rPr>
        <w:t xml:space="preserve"> وفي نيسان/أبريل 2004 كانت ترأس 94</w:t>
      </w:r>
      <w:r w:rsidR="00102EE0">
        <w:rPr>
          <w:rFonts w:hint="cs"/>
          <w:rtl/>
          <w:lang w:bidi="ar-EG"/>
        </w:rPr>
        <w:t>.</w:t>
      </w:r>
      <w:r>
        <w:rPr>
          <w:rFonts w:hint="cs"/>
          <w:rtl/>
          <w:lang w:bidi="ar-EG"/>
        </w:rPr>
        <w:t xml:space="preserve">45 في المائة من الأسر المستفيدية نساء؛ وبرنامج </w:t>
      </w:r>
      <w:r>
        <w:rPr>
          <w:rFonts w:hint="eastAsia"/>
          <w:rtl/>
          <w:lang w:bidi="ar-EG"/>
        </w:rPr>
        <w:t>”الأسر الحامية</w:t>
      </w:r>
      <w:r>
        <w:rPr>
          <w:rFonts w:hint="cs"/>
          <w:rtl/>
          <w:lang w:bidi="ar-EG"/>
        </w:rPr>
        <w:t>“ الذي يتيح تخلي الأسر الريفية أو أسر السكان الأصليين عن الاتجار بالمحاصيل غير المشروعة والتحول إلى أسر حامية تصون تنوعها الإحيائي</w:t>
      </w:r>
      <w:r w:rsidR="003D7EB4">
        <w:rPr>
          <w:rFonts w:hint="cs"/>
          <w:rtl/>
          <w:lang w:bidi="ar-EG"/>
        </w:rPr>
        <w:t>،</w:t>
      </w:r>
      <w:r>
        <w:rPr>
          <w:rFonts w:hint="cs"/>
          <w:rtl/>
          <w:lang w:bidi="ar-EG"/>
        </w:rPr>
        <w:t xml:space="preserve"> وقد شاهد هذا البرنامج رابطة نشطة للغاية بين النساء وأعمال حماية البيئة والمحافظة عليها</w:t>
      </w:r>
      <w:r w:rsidR="003D7EB4">
        <w:rPr>
          <w:rFonts w:hint="cs"/>
          <w:rtl/>
          <w:lang w:bidi="ar-EG"/>
        </w:rPr>
        <w:t>،</w:t>
      </w:r>
    </w:p>
    <w:p w:rsidR="006570C4" w:rsidRDefault="006570C4" w:rsidP="006570C4">
      <w:pPr>
        <w:pStyle w:val="SingleTxt"/>
        <w:rPr>
          <w:rFonts w:hint="cs"/>
          <w:rtl/>
          <w:lang w:bidi="ar-EG"/>
        </w:rPr>
      </w:pPr>
      <w:r>
        <w:rPr>
          <w:rFonts w:hint="cs"/>
          <w:rtl/>
          <w:lang w:bidi="ar-EG"/>
        </w:rPr>
        <w:tab/>
        <w:t>وهدف التعليم الابتدائي لسنة 2005 على وشك أن يتحقق، وهذا يؤثر تأثيرا إيجابيا في كسر حلقة الفقر المفرغة، وتكررها بين الأجيال</w:t>
      </w:r>
      <w:r w:rsidR="003D7EB4">
        <w:rPr>
          <w:rFonts w:hint="cs"/>
          <w:rtl/>
          <w:lang w:bidi="ar-EG"/>
        </w:rPr>
        <w:t>،</w:t>
      </w:r>
    </w:p>
    <w:p w:rsidR="006570C4" w:rsidRDefault="006570C4" w:rsidP="006570C4">
      <w:pPr>
        <w:pStyle w:val="SingleTxt"/>
        <w:rPr>
          <w:rFonts w:hint="cs"/>
          <w:rtl/>
          <w:lang w:bidi="ar-EG"/>
        </w:rPr>
      </w:pPr>
      <w:r>
        <w:rPr>
          <w:rFonts w:hint="cs"/>
          <w:rtl/>
          <w:lang w:bidi="ar-EG"/>
        </w:rPr>
        <w:tab/>
        <w:t>وقد اختفت فعلا الفروق التي كانت موجودة بين الذكور والإناث في مجال الحصول على التعليم؛ وانخفض معدل الأمية بين الإناث؛ ويتضح من البيانات أن الذكور يتسربون من النظام التعليمي بصورة أكبر من الإناث على جميع المستويات؛ ولوحظ في العقد الأخير أن شمول الإناث قد ازداد في التعليم الابتدائي والثانوي والجامعي</w:t>
      </w:r>
      <w:r w:rsidR="003D7EB4">
        <w:rPr>
          <w:rFonts w:hint="cs"/>
          <w:rtl/>
          <w:lang w:bidi="ar-EG"/>
        </w:rPr>
        <w:t>،</w:t>
      </w:r>
    </w:p>
    <w:p w:rsidR="006570C4" w:rsidRDefault="006570C4" w:rsidP="006570C4">
      <w:pPr>
        <w:pStyle w:val="SingleTxt"/>
        <w:rPr>
          <w:rFonts w:hint="cs"/>
          <w:rtl/>
          <w:lang w:bidi="ar-EG"/>
        </w:rPr>
      </w:pPr>
      <w:r>
        <w:rPr>
          <w:rFonts w:hint="cs"/>
          <w:rtl/>
          <w:lang w:bidi="ar-EG"/>
        </w:rPr>
        <w:tab/>
        <w:t xml:space="preserve">وفي عهد الحكومة الراهنة تبلورت فعلا </w:t>
      </w:r>
      <w:r>
        <w:rPr>
          <w:rFonts w:hint="eastAsia"/>
          <w:rtl/>
          <w:lang w:bidi="ar-EG"/>
        </w:rPr>
        <w:t>”</w:t>
      </w:r>
      <w:r>
        <w:rPr>
          <w:rFonts w:hint="eastAsia"/>
          <w:i/>
          <w:iCs/>
          <w:rtl/>
          <w:lang w:bidi="ar-EG"/>
        </w:rPr>
        <w:t xml:space="preserve">الثورة التعليمية </w:t>
      </w:r>
      <w:r>
        <w:rPr>
          <w:rFonts w:hint="cs"/>
          <w:i/>
          <w:iCs/>
          <w:rtl/>
          <w:lang w:bidi="ar-EG"/>
        </w:rPr>
        <w:t>ذات المنظور الجنساني</w:t>
      </w:r>
      <w:r>
        <w:rPr>
          <w:rFonts w:hint="eastAsia"/>
          <w:rtl/>
          <w:lang w:bidi="ar-EG"/>
        </w:rPr>
        <w:t>“،</w:t>
      </w:r>
      <w:r>
        <w:rPr>
          <w:rFonts w:hint="cs"/>
          <w:rtl/>
          <w:lang w:bidi="ar-EG"/>
        </w:rPr>
        <w:t xml:space="preserve"> </w:t>
      </w:r>
      <w:r>
        <w:rPr>
          <w:rFonts w:hint="eastAsia"/>
          <w:rtl/>
          <w:lang w:bidi="ar-EG"/>
        </w:rPr>
        <w:t>لأن الإناث قد حصلن</w:t>
      </w:r>
      <w:r>
        <w:rPr>
          <w:rFonts w:hint="cs"/>
          <w:rtl/>
          <w:lang w:bidi="ar-EG"/>
        </w:rPr>
        <w:t xml:space="preserve"> على 49</w:t>
      </w:r>
      <w:r w:rsidR="00102EE0">
        <w:rPr>
          <w:rFonts w:hint="cs"/>
          <w:rtl/>
          <w:lang w:bidi="ar-EG"/>
        </w:rPr>
        <w:t>.</w:t>
      </w:r>
      <w:r>
        <w:rPr>
          <w:rFonts w:hint="cs"/>
          <w:rtl/>
          <w:lang w:bidi="ar-EG"/>
        </w:rPr>
        <w:t>72 في المائة من الحصص المدرسية الجديدة التي أُنشئت للتعليم الأساسي والمتوسط وحصلت الإناث في الحصص الجديدة الخاصة بالتعليم العالي على 67</w:t>
      </w:r>
      <w:r w:rsidR="00102EE0">
        <w:rPr>
          <w:rFonts w:hint="cs"/>
          <w:rtl/>
          <w:lang w:bidi="ar-EG"/>
        </w:rPr>
        <w:t>.</w:t>
      </w:r>
      <w:r>
        <w:rPr>
          <w:rFonts w:hint="cs"/>
          <w:rtl/>
          <w:lang w:bidi="ar-EG"/>
        </w:rPr>
        <w:t xml:space="preserve">8 في الماة من القروض التي قدمها </w:t>
      </w:r>
      <w:r>
        <w:t>ICETEX</w:t>
      </w:r>
      <w:r w:rsidR="003D7EB4">
        <w:rPr>
          <w:rFonts w:hint="cs"/>
          <w:rtl/>
          <w:lang w:bidi="ar-EG"/>
        </w:rPr>
        <w:t>،</w:t>
      </w:r>
    </w:p>
    <w:p w:rsidR="006570C4" w:rsidRDefault="006570C4" w:rsidP="006570C4">
      <w:pPr>
        <w:pStyle w:val="SingleTxt"/>
        <w:rPr>
          <w:rFonts w:hint="cs"/>
          <w:rtl/>
          <w:lang w:bidi="ar-EG"/>
        </w:rPr>
      </w:pPr>
      <w:r>
        <w:rPr>
          <w:rFonts w:hint="cs"/>
          <w:rtl/>
          <w:lang w:bidi="ar-EG"/>
        </w:rPr>
        <w:tab/>
        <w:t xml:space="preserve">وقد قامت الهيئة الاستشارية لرئيس الجمهورية فيما يتعلق بالمساواة بين الرجل والمرأة بوضع واعتماد </w:t>
      </w:r>
      <w:r>
        <w:rPr>
          <w:rFonts w:hint="eastAsia"/>
          <w:rtl/>
          <w:lang w:bidi="ar-EG"/>
        </w:rPr>
        <w:t>”البرنامج التعليمي في مجال البُعد الجنساني والتعددية</w:t>
      </w:r>
      <w:r>
        <w:rPr>
          <w:rFonts w:hint="cs"/>
          <w:rtl/>
          <w:lang w:bidi="ar-EG"/>
        </w:rPr>
        <w:t>“، وهو اقتراح تعليمي يسعى إلى دعم تغيير التصورات والممارسات المتحيزة جنسيا والتقدم نحو المساواة بين الجنسين والتكافؤ في الفرص بين الرجل والمرأة وكذلك النساء من وجهة نظر جنسانية في السلم والتنمية في ظل التعددية</w:t>
      </w:r>
      <w:r w:rsidR="003D7EB4">
        <w:rPr>
          <w:rFonts w:hint="cs"/>
          <w:rtl/>
          <w:lang w:bidi="ar-EG"/>
        </w:rPr>
        <w:t>،</w:t>
      </w:r>
    </w:p>
    <w:p w:rsidR="006570C4" w:rsidRDefault="006570C4" w:rsidP="006570C4">
      <w:pPr>
        <w:pStyle w:val="SingleTxt"/>
        <w:rPr>
          <w:rFonts w:hint="cs"/>
          <w:rtl/>
          <w:lang w:bidi="ar-EG"/>
        </w:rPr>
      </w:pPr>
      <w:r>
        <w:rPr>
          <w:rFonts w:hint="cs"/>
          <w:rtl/>
          <w:lang w:bidi="ar-EG"/>
        </w:rPr>
        <w:tab/>
        <w:t>وفيما يتعلق بالعنف ضد المرأة تقوم الدولة الكولومبية عن طريق عدة هيئات بحماية حقوق المرأة ورعاية ضحايا الأشكال المختلفة من العنف</w:t>
      </w:r>
      <w:r w:rsidR="003D7EB4">
        <w:rPr>
          <w:rFonts w:hint="cs"/>
          <w:rtl/>
          <w:lang w:bidi="ar-EG"/>
        </w:rPr>
        <w:t>،</w:t>
      </w:r>
    </w:p>
    <w:p w:rsidR="006570C4" w:rsidRDefault="006570C4" w:rsidP="006570C4">
      <w:pPr>
        <w:pStyle w:val="SingleTxt"/>
        <w:rPr>
          <w:rFonts w:hint="cs"/>
          <w:rtl/>
          <w:lang w:bidi="ar-EG"/>
        </w:rPr>
      </w:pPr>
      <w:r>
        <w:rPr>
          <w:rFonts w:hint="cs"/>
          <w:rtl/>
          <w:lang w:bidi="ar-EG"/>
        </w:rPr>
        <w:tab/>
        <w:t>ولا يتدخل الجهاز المعني بالمرأة بصورة مباشرة في رعاية الضحايا ورفع القضايا وعملية إعادة التأهيل والمعاقبة في النواحي المتعلقة بالجرائم المرتكبة ضد المرأة، ومع ذلك فإنه يسهم في القضاء على أشكال التمييز وإزالة أوجه عدم المساواة التي تؤثر في المرأة وفي احترام حقوق الإنسان بوسائل تدخل محددة في مجال العنف ضد المرأة</w:t>
      </w:r>
      <w:r w:rsidR="003D7EB4">
        <w:rPr>
          <w:rFonts w:hint="cs"/>
          <w:rtl/>
          <w:lang w:bidi="ar-EG"/>
        </w:rPr>
        <w:t>،</w:t>
      </w:r>
    </w:p>
    <w:p w:rsidR="006570C4" w:rsidRDefault="006570C4" w:rsidP="006570C4">
      <w:pPr>
        <w:pStyle w:val="SingleTxt"/>
        <w:rPr>
          <w:rFonts w:hint="cs"/>
          <w:rtl/>
          <w:lang w:bidi="ar-EG"/>
        </w:rPr>
      </w:pPr>
      <w:r>
        <w:rPr>
          <w:rFonts w:hint="cs"/>
          <w:rtl/>
          <w:lang w:bidi="ar-EG"/>
        </w:rPr>
        <w:tab/>
        <w:t>وللتصدي لظاهرة العنف الجنسي أُنشئ مركز الرعاية المتكاملة لضحايا الجرائم الجنسية الذي يرعى الأشخاص الذين يتعرضون للجرائم المرتكبة ضد الحرية الجنسية، وذلك في إطار إحترام كرامة الإنسان</w:t>
      </w:r>
      <w:r w:rsidR="003D7EB4">
        <w:rPr>
          <w:rFonts w:hint="cs"/>
          <w:rtl/>
          <w:lang w:bidi="ar-EG"/>
        </w:rPr>
        <w:t>،</w:t>
      </w:r>
      <w:r>
        <w:rPr>
          <w:rFonts w:hint="cs"/>
          <w:rtl/>
          <w:lang w:bidi="ar-EG"/>
        </w:rPr>
        <w:t xml:space="preserve"> وهو يقدم إلى الأشخاص المتضررين رعاية وافية ومناسبة في المجالات النفسية والاجتماعية والقانونية وفي مجالي الطب الشرعي والحماية؛ ويدفع عجلة الإجراءات القانونية والتحقيق على نحو يعزز الشفاء ويولد آليات منع الجريمة</w:t>
      </w:r>
      <w:r w:rsidR="003D7EB4">
        <w:rPr>
          <w:rFonts w:hint="cs"/>
          <w:rtl/>
          <w:lang w:bidi="ar-EG"/>
        </w:rPr>
        <w:t>،</w:t>
      </w:r>
    </w:p>
    <w:p w:rsidR="006570C4" w:rsidRDefault="006570C4" w:rsidP="006570C4">
      <w:pPr>
        <w:pStyle w:val="SingleTxt"/>
        <w:rPr>
          <w:rFonts w:hint="cs"/>
          <w:rtl/>
          <w:lang w:bidi="ar-EG"/>
        </w:rPr>
      </w:pPr>
      <w:r>
        <w:rPr>
          <w:rFonts w:hint="cs"/>
          <w:rtl/>
          <w:lang w:bidi="ar-EG"/>
        </w:rPr>
        <w:tab/>
        <w:t xml:space="preserve">وللتصدي للعنف العائلي وُضعت في سنة 2000 السياسة الوطنية لإقامة السلم والتعايش الأسري، </w:t>
      </w:r>
      <w:r>
        <w:rPr>
          <w:rFonts w:hint="eastAsia"/>
          <w:rtl/>
          <w:lang w:bidi="ar-EG"/>
        </w:rPr>
        <w:t>”</w:t>
      </w:r>
      <w:r>
        <w:rPr>
          <w:rFonts w:hint="cs"/>
          <w:rtl/>
          <w:lang w:bidi="ar-EG"/>
        </w:rPr>
        <w:t>أقم</w:t>
      </w:r>
      <w:r>
        <w:rPr>
          <w:rFonts w:hint="eastAsia"/>
          <w:rtl/>
          <w:lang w:bidi="ar-EG"/>
        </w:rPr>
        <w:t xml:space="preserve"> السلام</w:t>
      </w:r>
      <w:r>
        <w:rPr>
          <w:rFonts w:hint="cs"/>
          <w:rtl/>
          <w:lang w:bidi="ar-EG"/>
        </w:rPr>
        <w:t>“، التي يتمثل هدفها الرئيسي في غرس الديمقراطية في الأسرة والتغاضي عن الخلافات واحترام كرامة وحقوق أفرادها دون تمييز على أساس السن أو الجنس أو الثقافة أو القدرة البدنية أو الفكرية</w:t>
      </w:r>
      <w:r w:rsidR="003D7EB4">
        <w:rPr>
          <w:rFonts w:hint="cs"/>
          <w:rtl/>
          <w:lang w:bidi="ar-EG"/>
        </w:rPr>
        <w:t>،</w:t>
      </w:r>
      <w:r>
        <w:rPr>
          <w:rFonts w:hint="cs"/>
          <w:rtl/>
          <w:lang w:bidi="ar-EG"/>
        </w:rPr>
        <w:t xml:space="preserve"> وتنفذ سياسة </w:t>
      </w:r>
      <w:r>
        <w:rPr>
          <w:rFonts w:hint="eastAsia"/>
          <w:rtl/>
          <w:lang w:bidi="ar-EG"/>
        </w:rPr>
        <w:t>”أقم السلام</w:t>
      </w:r>
      <w:r>
        <w:rPr>
          <w:rFonts w:hint="cs"/>
          <w:rtl/>
          <w:lang w:bidi="ar-EG"/>
        </w:rPr>
        <w:t>“ من خلال عناصر المنع والكشف المبكر واليقظة؛ والرعاية والتغيير المؤسسي، وتركز بصورة رئيسية على المرأة والأطفال</w:t>
      </w:r>
      <w:r w:rsidR="003D7EB4">
        <w:rPr>
          <w:rFonts w:hint="cs"/>
          <w:rtl/>
          <w:lang w:bidi="ar-EG"/>
        </w:rPr>
        <w:t>،</w:t>
      </w:r>
    </w:p>
    <w:p w:rsidR="006570C4" w:rsidRDefault="006570C4" w:rsidP="006570C4">
      <w:pPr>
        <w:pStyle w:val="SingleTxt"/>
        <w:rPr>
          <w:rFonts w:hint="cs"/>
          <w:rtl/>
          <w:lang w:bidi="ar-EG"/>
        </w:rPr>
      </w:pPr>
      <w:r>
        <w:rPr>
          <w:rFonts w:hint="cs"/>
          <w:rtl/>
          <w:lang w:bidi="ar-EG"/>
        </w:rPr>
        <w:tab/>
        <w:t>ولمنع التشرد ولتوفير الرعاية المتكاملة للسكان المتأثرين، تُتبع سياسة تتضمن تقديم الرعاية الإنسانية العاجلة، وتحقيق الاستقرار الاجتماعي الاقتصادي، وإنشاء وتوطيد النظام الوطني للرعاية المتكاملة للسكان المشردين</w:t>
      </w:r>
      <w:r w:rsidR="003D7EB4">
        <w:rPr>
          <w:rFonts w:hint="cs"/>
          <w:rtl/>
          <w:lang w:bidi="ar-EG"/>
        </w:rPr>
        <w:t>،</w:t>
      </w:r>
      <w:r>
        <w:rPr>
          <w:rFonts w:hint="cs"/>
          <w:rtl/>
          <w:lang w:bidi="ar-EG"/>
        </w:rPr>
        <w:t xml:space="preserve"> وعلى وجه الخصوص تمنح شبكة التضامن الاجتماعي في مرحلة الرعاية الإنسانية العاجلة المرأة معاملة خاصة مع مراعاة مرحلتي الحمل والإرضاع وعاملي السن والعجز</w:t>
      </w:r>
      <w:r w:rsidR="003D7EB4">
        <w:rPr>
          <w:rFonts w:hint="cs"/>
          <w:rtl/>
          <w:lang w:bidi="ar-EG"/>
        </w:rPr>
        <w:t>،</w:t>
      </w:r>
    </w:p>
    <w:p w:rsidR="006570C4" w:rsidRDefault="006570C4" w:rsidP="006570C4">
      <w:pPr>
        <w:pStyle w:val="SingleTxt"/>
        <w:rPr>
          <w:rFonts w:hint="cs"/>
          <w:b/>
          <w:bCs/>
          <w:rtl/>
          <w:lang w:bidi="ar-EG"/>
        </w:rPr>
      </w:pPr>
      <w:r>
        <w:rPr>
          <w:rFonts w:hint="cs"/>
          <w:rtl/>
          <w:lang w:bidi="ar-EG"/>
        </w:rPr>
        <w:tab/>
      </w:r>
      <w:r>
        <w:rPr>
          <w:rFonts w:hint="cs"/>
          <w:b/>
          <w:bCs/>
          <w:rtl/>
          <w:lang w:bidi="ar-EG"/>
        </w:rPr>
        <w:t>وفي مواجهة وباء الاتجار بالأشخاص، ما زالت كولومبيا من أكثر بلدان المنطقة تضررا من هذه الجريمة، وهي أيضا من أكثر البلدان تقدما في مكافحتها</w:t>
      </w:r>
      <w:r w:rsidR="003D7EB4">
        <w:rPr>
          <w:rFonts w:hint="cs"/>
          <w:b/>
          <w:bCs/>
          <w:rtl/>
          <w:lang w:bidi="ar-EG"/>
        </w:rPr>
        <w:t>،</w:t>
      </w:r>
    </w:p>
    <w:p w:rsidR="006570C4" w:rsidRDefault="006570C4" w:rsidP="006570C4">
      <w:pPr>
        <w:pStyle w:val="SingleTxt"/>
        <w:rPr>
          <w:rFonts w:hint="cs"/>
          <w:rtl/>
          <w:lang w:bidi="ar-EG"/>
        </w:rPr>
      </w:pPr>
      <w:r>
        <w:rPr>
          <w:rFonts w:hint="cs"/>
          <w:rtl/>
          <w:lang w:bidi="ar-EG"/>
        </w:rPr>
        <w:tab/>
        <w:t xml:space="preserve">ولذا تعمل لجنة مشتركة بين المؤسسات لمكافحة الاتجار بالمرأة والأطفال، مؤلفة من عدة كيانات تشمل مكتب النائب العام و </w:t>
      </w:r>
      <w:r>
        <w:rPr>
          <w:rtl/>
          <w:lang w:bidi="ar-EG"/>
        </w:rPr>
        <w:t>الإدارة التنظيمية للشؤون الأمنية</w:t>
      </w:r>
    </w:p>
    <w:p w:rsidR="006570C4" w:rsidRDefault="006570C4" w:rsidP="006570C4">
      <w:pPr>
        <w:pStyle w:val="SingleTxt"/>
        <w:rPr>
          <w:rFonts w:hint="cs"/>
          <w:rtl/>
          <w:lang w:bidi="ar-EG"/>
        </w:rPr>
      </w:pPr>
      <w:r>
        <w:rPr>
          <w:rFonts w:hint="cs"/>
          <w:rtl/>
          <w:lang w:bidi="ar-EG"/>
        </w:rPr>
        <w:t>والمنظمة الدولية للشرطة الجنائية</w:t>
      </w:r>
      <w:r>
        <w:rPr>
          <w:rFonts w:hint="cs"/>
        </w:rPr>
        <w:t xml:space="preserve">  </w:t>
      </w:r>
      <w:r>
        <w:rPr>
          <w:rFonts w:hint="cs"/>
          <w:rtl/>
          <w:lang w:bidi="ar-EG"/>
        </w:rPr>
        <w:t xml:space="preserve">ووزارة الداخلية/العدل والجهاز المعني بالمرأة، حسب اختصاصاتها، على وقاية ضحايا الاتجار بالأشخاص ومساعدتهم وحمايتهم وتدريبهم وإعادة إدماجهم في المجتمع؛ والكشف عن هذه الجريمة والتحقيق فيها والمعاقبة عليها؛ والرصد المستمر للإعلانات المبوبة في الصحف وصالات الرقص والمراكز التعليمية وصالات القمار ووكالات الزواج وجميع الأنشطة التي تكون واجهة يختفي وراءها المتاجرون بالأشخاص؛ والاهتمام بالبلاغات الواردة عن حالات التصوير الإباحي للأطفال، وإنقاذ الضحايا وإلقاء القبض على المجرمين، ووضع استراتيجية وطنية للتصدي للجريمة وتقوية </w:t>
      </w:r>
      <w:r>
        <w:rPr>
          <w:rFonts w:hint="cs"/>
          <w:u w:val="single"/>
          <w:rtl/>
          <w:lang w:bidi="ar-EG"/>
        </w:rPr>
        <w:t>قنوات الاتصال المباشر بالبلدان الأعضاء في المنظمة الدولية للشرطة الجنائية، وشن حملات للوقاية والتوعية في مختلف مناطق البلد وفي المؤسسات التعليمية وفي الهيئات الحكومية</w:t>
      </w:r>
      <w:r>
        <w:rPr>
          <w:rFonts w:hint="cs"/>
          <w:rtl/>
          <w:lang w:bidi="ar-EG"/>
        </w:rPr>
        <w:t>، وعقد اتفاقات تعاون تقني إلخ</w:t>
      </w:r>
      <w:r w:rsidR="003D7EB4">
        <w:rPr>
          <w:rFonts w:hint="cs"/>
          <w:rtl/>
          <w:lang w:bidi="ar-EG"/>
        </w:rPr>
        <w:t>،</w:t>
      </w:r>
    </w:p>
    <w:p w:rsidR="006570C4" w:rsidRDefault="006570C4" w:rsidP="006570C4">
      <w:pPr>
        <w:pStyle w:val="SingleTxt"/>
        <w:rPr>
          <w:rFonts w:hint="cs"/>
          <w:rtl/>
          <w:lang w:bidi="ar-EG"/>
        </w:rPr>
      </w:pPr>
      <w:r>
        <w:rPr>
          <w:rFonts w:hint="cs"/>
          <w:rtl/>
          <w:lang w:bidi="ar-EG"/>
        </w:rPr>
        <w:tab/>
        <w:t xml:space="preserve">ولزيادة وصول المرأة إلى الهيئات المعنية باتخاذ القرارات، يوجد صكان قانونيان جديدان هما: القانون رقم 581 لسنة 2000، المعروف باسم قانون الحصص، والقانون رقم 823 لسنة 2003؛ ومن جهة أخرى، يشجع الجهاز المعني بالمرأة المشاركة السياسية للمرأة وتنظيم المشاركة الشعبية عن طريق المجالس المجتمعية النسائية، المنشأة باعتبارها جهازا تشاركيا يمثل محفلا قيما للحوار بين المرأة والدولة في الولايات والمقاطعات، التي تسعى في وقت واحد إلى تكوين </w:t>
      </w:r>
      <w:r>
        <w:rPr>
          <w:rFonts w:hint="eastAsia"/>
          <w:rtl/>
          <w:lang w:bidi="ar-EG"/>
        </w:rPr>
        <w:t xml:space="preserve">”شبكة نسائية </w:t>
      </w:r>
      <w:r>
        <w:rPr>
          <w:rFonts w:hint="cs"/>
          <w:rtl/>
          <w:lang w:bidi="ar-EG"/>
        </w:rPr>
        <w:t>لمكافحة</w:t>
      </w:r>
      <w:r>
        <w:rPr>
          <w:rFonts w:hint="eastAsia"/>
          <w:rtl/>
          <w:lang w:bidi="ar-EG"/>
        </w:rPr>
        <w:t xml:space="preserve"> العنف</w:t>
      </w:r>
      <w:r>
        <w:rPr>
          <w:rFonts w:hint="cs"/>
          <w:rtl/>
          <w:lang w:bidi="ar-EG"/>
        </w:rPr>
        <w:t>“</w:t>
      </w:r>
      <w:r w:rsidR="003D7EB4">
        <w:rPr>
          <w:rFonts w:hint="cs"/>
          <w:rtl/>
          <w:lang w:bidi="ar-EG"/>
        </w:rPr>
        <w:t>،</w:t>
      </w:r>
      <w:r>
        <w:rPr>
          <w:rFonts w:hint="cs"/>
          <w:rtl/>
          <w:lang w:bidi="ar-EG"/>
        </w:rPr>
        <w:t xml:space="preserve"> وتدخل هذه التجربة المبتكرة أبعادا جديدة في مشاركة المرأة، عن طريق إنشاء هيئات للتفاوض والحوار مقامة على أساس خبرتهن الخاصة</w:t>
      </w:r>
      <w:r w:rsidR="003D7EB4">
        <w:rPr>
          <w:rFonts w:hint="cs"/>
          <w:rtl/>
          <w:lang w:bidi="ar-EG"/>
        </w:rPr>
        <w:t>،</w:t>
      </w:r>
      <w:r>
        <w:rPr>
          <w:rFonts w:hint="cs"/>
          <w:rtl/>
          <w:lang w:bidi="ar-EG"/>
        </w:rPr>
        <w:t xml:space="preserve"> ويستلزم إدماج القطاعات النسائية ذات الفرص الأقل اجتذابهن بواسطة عملية زيارات وتشجيع وتعبئة مكثفة للمرأة على المستوى المحلي</w:t>
      </w:r>
      <w:r w:rsidR="003D7EB4">
        <w:rPr>
          <w:rFonts w:hint="cs"/>
          <w:rtl/>
          <w:lang w:bidi="ar-EG"/>
        </w:rPr>
        <w:t>،</w:t>
      </w:r>
    </w:p>
    <w:p w:rsidR="006570C4" w:rsidRDefault="006570C4" w:rsidP="006570C4">
      <w:pPr>
        <w:pStyle w:val="SingleTxt"/>
        <w:rPr>
          <w:rFonts w:hint="cs"/>
          <w:rtl/>
          <w:lang w:bidi="ar-EG"/>
        </w:rPr>
      </w:pPr>
      <w:r>
        <w:rPr>
          <w:rFonts w:hint="cs"/>
          <w:rtl/>
          <w:lang w:bidi="ar-EG"/>
        </w:rPr>
        <w:tab/>
        <w:t>وقد أُدمج المنظور الجنساني في جميع برامج ومشاريع القطاع الصحي</w:t>
      </w:r>
      <w:r w:rsidR="003D7EB4">
        <w:rPr>
          <w:rFonts w:hint="cs"/>
          <w:rtl/>
          <w:lang w:bidi="ar-EG"/>
        </w:rPr>
        <w:t>،</w:t>
      </w:r>
      <w:r>
        <w:rPr>
          <w:rFonts w:hint="cs"/>
          <w:rtl/>
          <w:lang w:bidi="ar-EG"/>
        </w:rPr>
        <w:t xml:space="preserve"> وبالمثل أدرجت في جميع سجلات المعلومات الاختلافات بين الرجال والنساء في جميع مراحل دورة الحياة، بعدة تجارب ناجحة</w:t>
      </w:r>
      <w:r w:rsidR="003D7EB4">
        <w:rPr>
          <w:rFonts w:hint="cs"/>
          <w:rtl/>
          <w:lang w:bidi="ar-EG"/>
        </w:rPr>
        <w:t>،</w:t>
      </w:r>
    </w:p>
    <w:p w:rsidR="006570C4" w:rsidRDefault="006570C4" w:rsidP="006570C4">
      <w:pPr>
        <w:pStyle w:val="SingleTxt"/>
        <w:rPr>
          <w:rFonts w:hint="cs"/>
          <w:rtl/>
          <w:lang w:bidi="ar-EG"/>
        </w:rPr>
      </w:pPr>
      <w:r>
        <w:rPr>
          <w:rFonts w:hint="cs"/>
          <w:rtl/>
          <w:lang w:bidi="ar-EG"/>
        </w:rPr>
        <w:tab/>
        <w:t>وتحققت تحسينات كبيرة في النظام العام للضمان الاجتماعي الصحي، فازداد عدد المشتركين في النظام الصحي المدعم بـ 2</w:t>
      </w:r>
      <w:r w:rsidR="00102EE0">
        <w:rPr>
          <w:rFonts w:hint="cs"/>
          <w:rtl/>
          <w:lang w:bidi="ar-EG"/>
        </w:rPr>
        <w:t>.</w:t>
      </w:r>
      <w:r>
        <w:rPr>
          <w:rFonts w:hint="cs"/>
          <w:rtl/>
          <w:lang w:bidi="ar-EG"/>
        </w:rPr>
        <w:t>2 مليون شخص وازداد عدد المشتركين في النظام العادي بـ 000 593 شخص</w:t>
      </w:r>
      <w:r w:rsidR="003D7EB4">
        <w:rPr>
          <w:rFonts w:hint="cs"/>
          <w:rtl/>
          <w:lang w:bidi="ar-EG"/>
        </w:rPr>
        <w:t>،</w:t>
      </w:r>
      <w:r>
        <w:rPr>
          <w:rFonts w:hint="cs"/>
          <w:rtl/>
          <w:lang w:bidi="ar-EG"/>
        </w:rPr>
        <w:t xml:space="preserve"> كما ييسر اشتراك النساء ذوات الدخل المنخفض في النظام، ومُنحت الأولوية في التأمين الصحي لأضعف الفئات مثل الحوامل والمرضعات وأفقر الناس ورئيسات الأسر والسكان الأصليين والمراهقات والمواليد وتحديد المستفيدين المحتملين، وإدماج الأطفال المسيبين والسكان الأصليين والسكان المشردين وجماعات السكان الأصليين والسكان المعوقين والخلايا الأسرية للأمهات المجتمعيات والمسنين الذين ترعاهم دور العجزة والسكان الريفيين المهاجرين</w:t>
      </w:r>
      <w:r w:rsidR="003D7EB4">
        <w:rPr>
          <w:rFonts w:hint="cs"/>
          <w:rtl/>
          <w:lang w:bidi="ar-EG"/>
        </w:rPr>
        <w:t>،</w:t>
      </w:r>
    </w:p>
    <w:p w:rsidR="006570C4" w:rsidRDefault="006570C4" w:rsidP="006570C4">
      <w:pPr>
        <w:pStyle w:val="SingleTxt"/>
        <w:rPr>
          <w:rFonts w:hint="cs"/>
          <w:rtl/>
          <w:lang w:bidi="ar-EG"/>
        </w:rPr>
      </w:pPr>
      <w:r>
        <w:rPr>
          <w:rFonts w:hint="cs"/>
          <w:rtl/>
          <w:lang w:bidi="ar-EG"/>
        </w:rPr>
        <w:tab/>
        <w:t>ورسم ونشر السياسة الوطنية للصحة الجنسية والتناسلية هما من الأهداف ذات الأولوية في مجال الصحة العامة للفترة 2002-2006</w:t>
      </w:r>
      <w:r w:rsidR="003D7EB4">
        <w:rPr>
          <w:rFonts w:hint="cs"/>
          <w:rtl/>
          <w:lang w:bidi="ar-EG"/>
        </w:rPr>
        <w:t>،</w:t>
      </w:r>
      <w:r>
        <w:rPr>
          <w:rFonts w:hint="cs"/>
          <w:rtl/>
          <w:lang w:bidi="ar-EG"/>
        </w:rPr>
        <w:t xml:space="preserve"> وتسعى هذه السياسة إلى تحسين النظام العام للتأمين الاجتماعي الصحي وتعزيز ممارسة جميع السكان لحقوقهم الجنسية والتناسلية مع التركيز على خفض عوامل الضعف وأشكال السلوك الخطر، وتنشيط عوامل الحماية ورعاية الفئات ذات الاحتياجات الخاصة</w:t>
      </w:r>
      <w:r w:rsidR="003D7EB4">
        <w:rPr>
          <w:rFonts w:hint="cs"/>
          <w:rtl/>
          <w:lang w:bidi="ar-EG"/>
        </w:rPr>
        <w:t>،</w:t>
      </w:r>
      <w:r>
        <w:rPr>
          <w:rFonts w:hint="cs"/>
          <w:rtl/>
          <w:lang w:bidi="ar-EG"/>
        </w:rPr>
        <w:t xml:space="preserve"> وتشمل المحاور ذات الأولوية لهذه السياسة تشجيع الأمومة المأمونة وتنظيم الأسرة من جانب الرجل والمرأة وخفض الخصوبة بين المراهقات والوقاية من الإصابة بالأمراض التي تنتقل بالاتصال الجنسي وفيروس نقص المناعة البشرية/متلازمة نقص المناعة المكتسب ومكافحتها والكشف المبكر عن سرطان عنق الرحم والوقاية من العنف العائلي والجنسي وتوفير الرعاية المتكاملة في هذا الصدد</w:t>
      </w:r>
      <w:r w:rsidR="003D7EB4">
        <w:rPr>
          <w:rFonts w:hint="cs"/>
          <w:rtl/>
          <w:lang w:bidi="ar-EG"/>
        </w:rPr>
        <w:t>،</w:t>
      </w:r>
    </w:p>
    <w:p w:rsidR="006570C4" w:rsidRDefault="006570C4" w:rsidP="006570C4">
      <w:pPr>
        <w:pStyle w:val="SingleTxt"/>
        <w:rPr>
          <w:rFonts w:hint="cs"/>
          <w:rtl/>
          <w:lang w:bidi="ar-EG"/>
        </w:rPr>
      </w:pPr>
      <w:r>
        <w:rPr>
          <w:rFonts w:hint="cs"/>
          <w:rtl/>
          <w:lang w:bidi="ar-EG"/>
        </w:rPr>
        <w:tab/>
        <w:t xml:space="preserve">ولمعالجة معضلة المرأة الريفية، قامت وزارة الزراعة ومعهد البلدان الأمريكية للتعاون في مجال الزراعة والهيئات القطاعية والمنظمات النسائية الريفية بتنسيق خطة تكافؤ الفرص بين الرجل والمرأة في المناطق الريفية في كولومبيا، التي يتمثل هدفها الرئيسي في </w:t>
      </w:r>
      <w:r>
        <w:rPr>
          <w:rFonts w:hint="eastAsia"/>
          <w:rtl/>
          <w:lang w:bidi="ar-EG"/>
        </w:rPr>
        <w:t>”الإسهام في ت</w:t>
      </w:r>
      <w:r>
        <w:rPr>
          <w:rFonts w:hint="cs"/>
          <w:rtl/>
          <w:lang w:bidi="ar-EG"/>
        </w:rPr>
        <w:t>ذليل العقبات السياسية والاجتماعية الاقتصادية والثقافية التي تواجه المرأة الريفية، وتحقيق التكافؤ في الفرص بين الرجل والمرأة حتى تستطيع المرأة المشاركة في عمليات النمو الاقتصادي والتنمية الاجتماعية وممارسة حقوقها بصفتها مواطنة بصورة تامة</w:t>
      </w:r>
      <w:r>
        <w:rPr>
          <w:rFonts w:hint="eastAsia"/>
          <w:rtl/>
          <w:lang w:bidi="ar-EG"/>
        </w:rPr>
        <w:t>“؛ كما اعتُمد القانون رقم 731 لسنة 2002 ال</w:t>
      </w:r>
      <w:r>
        <w:rPr>
          <w:rFonts w:hint="cs"/>
          <w:rtl/>
          <w:lang w:bidi="ar-EG"/>
        </w:rPr>
        <w:t>ذي يتضمن قواعد لصالح المرأة الريفية، ومنجزات مثل إنشاء صندوق دعم المرأة الريفية؛ والمرسوم رقم 2998 لسنة 2003، الذي ينظم ملكية الأراضي في حالة هجرها من جانب المزارع أو المزارعة ومشاركة المرأة على قدم المساواة مع الرجل في عمليات التحكيم واستخدام الأراضي؛ والمرسوم رقم 1042 لسنة 2003 المتعلق بالمسكن الريفي، ومشروع دعم المؤسسات الريفية الصغيرة للغاية</w:t>
      </w:r>
      <w:r w:rsidR="003D7EB4">
        <w:rPr>
          <w:rFonts w:hint="cs"/>
          <w:rtl/>
          <w:lang w:bidi="ar-EG"/>
        </w:rPr>
        <w:t>،</w:t>
      </w:r>
    </w:p>
    <w:p w:rsidR="006570C4" w:rsidRDefault="006570C4" w:rsidP="006570C4">
      <w:pPr>
        <w:pStyle w:val="SingleTxt"/>
        <w:rPr>
          <w:rFonts w:hint="cs"/>
          <w:rtl/>
          <w:lang w:bidi="ar-EG"/>
        </w:rPr>
      </w:pPr>
      <w:r>
        <w:rPr>
          <w:rFonts w:hint="cs"/>
          <w:rtl/>
          <w:lang w:bidi="ar-EG"/>
        </w:rPr>
        <w:tab/>
        <w:t>وفيما يتعلق بأعمال الحكومة التي تستهدف الطوائف الإثنية، ينص النظام العام للتأمينات الاجتماعية على دعم أفقر وأضعف سكان البلد الذين يعيشون في المناطق الريفية والحضرية، بما في ذلك مجتمعات السكان الأصليين</w:t>
      </w:r>
      <w:r w:rsidR="003D7EB4">
        <w:rPr>
          <w:rFonts w:hint="cs"/>
          <w:rtl/>
          <w:lang w:bidi="ar-EG"/>
        </w:rPr>
        <w:t>،</w:t>
      </w:r>
      <w:r>
        <w:rPr>
          <w:rFonts w:hint="cs"/>
          <w:rtl/>
          <w:lang w:bidi="ar-EG"/>
        </w:rPr>
        <w:t xml:space="preserve"> ويشمل النظام المدعم في الوقت الحاضر نحــو 60 في المائــة من السكــان الأصليين</w:t>
      </w:r>
      <w:r w:rsidR="003D7EB4">
        <w:rPr>
          <w:rFonts w:hint="cs"/>
          <w:rtl/>
          <w:lang w:bidi="ar-EG"/>
        </w:rPr>
        <w:t>،</w:t>
      </w:r>
      <w:r>
        <w:rPr>
          <w:rFonts w:hint="cs"/>
          <w:rtl/>
          <w:lang w:bidi="ar-EG"/>
        </w:rPr>
        <w:t xml:space="preserve"> ويتمثــل الالتزام الحكومي للفترة الرباعيــة 2002-2006 في تحقيق الشمول التام</w:t>
      </w:r>
      <w:r w:rsidR="003D7EB4">
        <w:rPr>
          <w:rFonts w:hint="cs"/>
          <w:rtl/>
          <w:lang w:bidi="ar-EG"/>
        </w:rPr>
        <w:t>،</w:t>
      </w:r>
      <w:r>
        <w:rPr>
          <w:rFonts w:hint="cs"/>
          <w:rtl/>
          <w:lang w:bidi="ar-EG"/>
        </w:rPr>
        <w:t xml:space="preserve"> ووضعت </w:t>
      </w:r>
      <w:r>
        <w:rPr>
          <w:rtl/>
          <w:lang w:bidi="ar-EG"/>
        </w:rPr>
        <w:t>الإدارة الوطنية للإحصاء</w:t>
      </w:r>
      <w:r>
        <w:rPr>
          <w:rFonts w:hint="cs"/>
          <w:rtl/>
          <w:lang w:bidi="ar-EG"/>
        </w:rPr>
        <w:t xml:space="preserve"> مع المجتمعات الأصلية، المؤلفة من سكان أرخبيل سان أندريس وبروفيدينسيا الذين ينتمون إلى الثقافة الأفريقية - الانكليزية - الأنتيلية، ويحتفظون بهوية كاريبية قوية، مع ما ينطوي عليه ذلك من مخاطر اجتماعية ثقافية ولغوية تجعلهم مختلفين عن سائر السكان الأفريقيين الكولومبيين، في عام 1999 سجلا للسكان والمساكن (تعدادا رائدا)، بالتنسيق مع الهيئات المحلية</w:t>
      </w:r>
      <w:r w:rsidR="003D7EB4">
        <w:rPr>
          <w:rFonts w:hint="cs"/>
          <w:rtl/>
          <w:lang w:bidi="ar-EG"/>
        </w:rPr>
        <w:t>،</w:t>
      </w:r>
      <w:r>
        <w:rPr>
          <w:rFonts w:hint="cs"/>
          <w:rtl/>
          <w:lang w:bidi="ar-EG"/>
        </w:rPr>
        <w:t xml:space="preserve"> وقُدر هؤلاء السكان بنحو 474 73 نسمة، 51 في المائة منهم ذكور و 49 في المائة إناث، وهما نسبتان تتفقان مع البيانات الوطنية</w:t>
      </w:r>
      <w:r w:rsidR="003D7EB4">
        <w:rPr>
          <w:rFonts w:hint="cs"/>
          <w:rtl/>
          <w:lang w:bidi="ar-EG"/>
        </w:rPr>
        <w:t>،</w:t>
      </w:r>
    </w:p>
    <w:p w:rsidR="006570C4" w:rsidRDefault="006570C4" w:rsidP="006570C4">
      <w:pPr>
        <w:pStyle w:val="SingleTxt"/>
        <w:rPr>
          <w:rFonts w:hint="cs"/>
          <w:rtl/>
          <w:lang w:bidi="ar-EG"/>
        </w:rPr>
      </w:pPr>
      <w:r>
        <w:rPr>
          <w:rFonts w:hint="cs"/>
          <w:rtl/>
          <w:lang w:bidi="ar-EG"/>
        </w:rPr>
        <w:tab/>
        <w:t>ومن أجل العناية بالفتيات اتخذت الحكومة مبادرات مهمة في مقدمتها مشروع قانون لإصلاح قانون القصر، يعدل التشريع الكولومبي حتى يتفق مع القواعد الدولية، في إطار اتفاقية حقوق الطفل</w:t>
      </w:r>
      <w:r w:rsidR="003D7EB4">
        <w:rPr>
          <w:rFonts w:hint="cs"/>
          <w:rtl/>
          <w:lang w:bidi="ar-EG"/>
        </w:rPr>
        <w:t>،</w:t>
      </w:r>
      <w:r>
        <w:rPr>
          <w:rFonts w:hint="cs"/>
          <w:rtl/>
          <w:lang w:bidi="ar-EG"/>
        </w:rPr>
        <w:t xml:space="preserve"> كما شُرع في عملية تشاركية بين المجتمع المدني والهيئات الرسمية لتنسيق الخطة العشرية للطفولة، التي تحدد أولويات في هذا المجال</w:t>
      </w:r>
      <w:r w:rsidR="003D7EB4">
        <w:rPr>
          <w:rFonts w:hint="cs"/>
          <w:rtl/>
          <w:lang w:bidi="ar-EG"/>
        </w:rPr>
        <w:t>،</w:t>
      </w:r>
      <w:r>
        <w:rPr>
          <w:rFonts w:hint="cs"/>
          <w:rtl/>
          <w:lang w:bidi="ar-EG"/>
        </w:rPr>
        <w:t xml:space="preserve"> وفي إطار الحماية المتكاملة نُفذت سياسات ومشاريع وبرامج تستهدف تعزيز وصون وحماية الحقوق الأصيلة للأطفال والمراهقين وكذلك تقديم خدمات الرعاية المتكاملة والمشتركة بين المؤسسات إليهم</w:t>
      </w:r>
      <w:r w:rsidR="003D7EB4">
        <w:rPr>
          <w:rFonts w:hint="cs"/>
          <w:rtl/>
          <w:lang w:bidi="ar-EG"/>
        </w:rPr>
        <w:t>،</w:t>
      </w:r>
    </w:p>
    <w:p w:rsidR="006570C4" w:rsidRDefault="006570C4" w:rsidP="006570C4">
      <w:pPr>
        <w:pStyle w:val="SingleTxt"/>
        <w:rPr>
          <w:rFonts w:hint="cs"/>
          <w:rtl/>
          <w:lang w:bidi="ar-EG"/>
        </w:rPr>
      </w:pPr>
      <w:r>
        <w:rPr>
          <w:rFonts w:hint="cs"/>
          <w:rtl/>
          <w:lang w:bidi="ar-EG"/>
        </w:rPr>
        <w:tab/>
        <w:t>وأُدمج المنظور الجنساني في بعض البرامج الرامية بصفة خاصة إلى رعاية رئيسات الأسر والحوامل والمرضعات وأيضا إلى اليقظة والوقاية والرعاية فيما يتعلق بحالات العنف العائلي، ولا سيما العنف ضد المرأة (الفتيات والشابات والراشدات) والعنف بين الزوجين</w:t>
      </w:r>
      <w:r w:rsidR="003D7EB4">
        <w:rPr>
          <w:rFonts w:hint="cs"/>
          <w:rtl/>
          <w:lang w:bidi="ar-EG"/>
        </w:rPr>
        <w:t>،</w:t>
      </w:r>
      <w:r>
        <w:rPr>
          <w:rFonts w:hint="cs"/>
          <w:rtl/>
          <w:lang w:bidi="ar-EG"/>
        </w:rPr>
        <w:t xml:space="preserve"> كما تُدعم المجموعة الأسرية ورعاية الأطفال المسيبين و/أو المعرضين للخطر كما رد الحقوق في حالة انتهاكها</w:t>
      </w:r>
      <w:r w:rsidR="003D7EB4">
        <w:rPr>
          <w:rFonts w:hint="cs"/>
          <w:rtl/>
          <w:lang w:bidi="ar-EG"/>
        </w:rPr>
        <w:t>،</w:t>
      </w:r>
    </w:p>
    <w:p w:rsidR="006570C4" w:rsidRDefault="006570C4" w:rsidP="006570C4">
      <w:pPr>
        <w:pStyle w:val="SingleTxt"/>
        <w:rPr>
          <w:rFonts w:hint="cs"/>
          <w:rtl/>
          <w:lang w:bidi="ar-EG"/>
        </w:rPr>
      </w:pPr>
      <w:r>
        <w:rPr>
          <w:rFonts w:hint="cs"/>
          <w:rtl/>
          <w:lang w:bidi="ar-EG"/>
        </w:rPr>
        <w:tab/>
        <w:t>ومن جهة أخرى، تنفذ الحكومة الوطنية برامج مشتركة بين المؤسسات لفصل القصر عن الجماعات المسلحة الخارجة عن القانون وإعادة إدماجهم في المجتمع</w:t>
      </w:r>
      <w:r w:rsidR="003D7EB4">
        <w:rPr>
          <w:rFonts w:hint="cs"/>
          <w:rtl/>
          <w:lang w:bidi="ar-EG"/>
        </w:rPr>
        <w:t>،</w:t>
      </w:r>
      <w:r>
        <w:rPr>
          <w:rFonts w:hint="cs"/>
          <w:rtl/>
          <w:lang w:bidi="ar-EG"/>
        </w:rPr>
        <w:t xml:space="preserve"> ويتمثل الهدف الرئيسي في دعم عملية توطيد مسار حياتهم بعد إخراجهم من دائرة الصراع</w:t>
      </w:r>
      <w:r w:rsidR="003D7EB4">
        <w:rPr>
          <w:rFonts w:hint="cs"/>
          <w:rtl/>
          <w:lang w:bidi="ar-EG"/>
        </w:rPr>
        <w:t>،</w:t>
      </w:r>
      <w:r>
        <w:rPr>
          <w:rFonts w:hint="cs"/>
          <w:rtl/>
          <w:lang w:bidi="ar-EG"/>
        </w:rPr>
        <w:t xml:space="preserve"> وينصب التركيز على إدماجهم في الحياة الأسرية والاجتماعية والثقافية والإنتاجية</w:t>
      </w:r>
      <w:r w:rsidR="003D7EB4">
        <w:rPr>
          <w:rFonts w:hint="cs"/>
          <w:rtl/>
          <w:lang w:bidi="ar-EG"/>
        </w:rPr>
        <w:t>،</w:t>
      </w:r>
      <w:r>
        <w:rPr>
          <w:rFonts w:hint="cs"/>
          <w:rtl/>
          <w:lang w:bidi="ar-EG"/>
        </w:rPr>
        <w:t xml:space="preserve"> ويستهدف نموذج التدخل المؤسسي المطبق في المقام الأول الأمن الشخصي للمفصولين عن الجماعات المسلحة ولمجموعاتهم الأسرية</w:t>
      </w:r>
      <w:r w:rsidR="003D7EB4">
        <w:rPr>
          <w:rFonts w:hint="cs"/>
          <w:rtl/>
          <w:lang w:bidi="ar-EG"/>
        </w:rPr>
        <w:t>،</w:t>
      </w:r>
      <w:r>
        <w:rPr>
          <w:rFonts w:hint="cs"/>
          <w:rtl/>
          <w:lang w:bidi="ar-EG"/>
        </w:rPr>
        <w:t xml:space="preserve"> كما يجري العمل على تحديد أسرهم والبحث عنها والالتقاء بها بهدف تحقيق تقارب أولي وتقييم الظروف للنظر في إمكانية إعادة إدماجهم فيها</w:t>
      </w:r>
      <w:r w:rsidR="003D7EB4">
        <w:rPr>
          <w:rFonts w:hint="cs"/>
          <w:rtl/>
          <w:lang w:bidi="ar-EG"/>
        </w:rPr>
        <w:t>،</w:t>
      </w:r>
    </w:p>
    <w:p w:rsidR="006570C4" w:rsidRDefault="006570C4" w:rsidP="006570C4">
      <w:pPr>
        <w:pStyle w:val="SingleTxt"/>
        <w:rPr>
          <w:rFonts w:hint="cs"/>
          <w:rtl/>
          <w:lang w:bidi="ar-EG"/>
        </w:rPr>
      </w:pPr>
      <w:r>
        <w:rPr>
          <w:rFonts w:hint="cs"/>
          <w:rtl/>
          <w:lang w:bidi="ar-EG"/>
        </w:rPr>
        <w:tab/>
        <w:t>ومن أجل رعاية الأطفال والمراهقين المفصولين عن النزاع تُستخدم دور انتقالية ومراكز للرعاية المتكاملة ودور للأحداث والإلحاق بشبكات الحماية</w:t>
      </w:r>
      <w:r w:rsidR="003D7EB4">
        <w:rPr>
          <w:rFonts w:hint="cs"/>
          <w:rtl/>
          <w:lang w:bidi="ar-EG"/>
        </w:rPr>
        <w:t>،</w:t>
      </w:r>
      <w:r>
        <w:rPr>
          <w:rFonts w:hint="cs"/>
          <w:rtl/>
          <w:lang w:bidi="ar-EG"/>
        </w:rPr>
        <w:t xml:space="preserve"> وبالتوازي مع ذلك يجري العمل على تصميم نظام للتقييم والرصد، وعلى رسم سياسة، بالتعاون مع وزارة التربية، لشمول القصر على المستوى الوطني بالتعليم، وبالتنسيق مع وزارة الرعاية الاجتماعية، لرعايتهم صحيا على سبيل الأولوية وربطهم بمشاريع الإعداد للحياة الاجتماعية والإنتاجية</w:t>
      </w:r>
      <w:r w:rsidR="003D7EB4">
        <w:rPr>
          <w:rFonts w:hint="cs"/>
          <w:rtl/>
          <w:lang w:bidi="ar-EG"/>
        </w:rPr>
        <w:t>،</w:t>
      </w:r>
    </w:p>
    <w:p w:rsidR="006570C4" w:rsidRDefault="006570C4" w:rsidP="006570C4">
      <w:pPr>
        <w:pStyle w:val="SingleTxt"/>
        <w:rPr>
          <w:rFonts w:hint="cs"/>
          <w:rtl/>
          <w:lang w:bidi="ar-EG"/>
        </w:rPr>
      </w:pPr>
      <w:r>
        <w:rPr>
          <w:rFonts w:hint="cs"/>
          <w:rtl/>
          <w:lang w:bidi="ar-EG"/>
        </w:rPr>
        <w:tab/>
        <w:t>ومن أجل التصدي لظاهرة ارتباط الأطفال والشباب بالعمل على المستوى الوطني أو الأطفال والشبان والشابات الذين يبحثون عن عمل، تنفذ خطط عمل للقضاء على ظاهرة عمل الأطفال وتحسين ظروف معيشة الأطفال العاملين</w:t>
      </w:r>
      <w:r w:rsidR="003D7EB4">
        <w:rPr>
          <w:rFonts w:hint="cs"/>
          <w:rtl/>
          <w:lang w:bidi="ar-EG"/>
        </w:rPr>
        <w:t>،</w:t>
      </w:r>
      <w:r>
        <w:rPr>
          <w:rFonts w:hint="cs"/>
          <w:rtl/>
          <w:lang w:bidi="ar-EG"/>
        </w:rPr>
        <w:t xml:space="preserve"> وفي نهاية عام 2003 طُرحت الخطة الوطنية الثالثة، التي وُضعت بمنظور لامركزي، وترمي إلى زيادة مشاركة الجهات الفاعلة الاجتماعية على مستوى الأقاليم</w:t>
      </w:r>
      <w:r w:rsidR="003D7EB4">
        <w:rPr>
          <w:rFonts w:hint="cs"/>
          <w:rtl/>
          <w:lang w:bidi="ar-EG"/>
        </w:rPr>
        <w:t>،</w:t>
      </w:r>
    </w:p>
    <w:p w:rsidR="006570C4" w:rsidRDefault="006570C4" w:rsidP="006570C4">
      <w:pPr>
        <w:pStyle w:val="SingleTxt"/>
        <w:rPr>
          <w:rFonts w:hint="eastAsia"/>
          <w:rtl/>
          <w:lang w:bidi="ar-EG"/>
        </w:rPr>
      </w:pPr>
      <w:r>
        <w:rPr>
          <w:rFonts w:hint="cs"/>
          <w:rtl/>
          <w:lang w:bidi="ar-EG"/>
        </w:rPr>
        <w:tab/>
        <w:t xml:space="preserve">وفيما يتعلق بحالات التحرش الجنسي بالقصر في البلد، طُرح في سياسة إقامة السلم والتعايش في الأسرة </w:t>
      </w:r>
      <w:r>
        <w:rPr>
          <w:rFonts w:hint="eastAsia"/>
          <w:rtl/>
          <w:lang w:bidi="ar-EG"/>
        </w:rPr>
        <w:t>”</w:t>
      </w:r>
      <w:r>
        <w:rPr>
          <w:rFonts w:hint="cs"/>
          <w:rtl/>
          <w:lang w:bidi="ar-EG"/>
        </w:rPr>
        <w:t>أقم السلم</w:t>
      </w:r>
      <w:r>
        <w:rPr>
          <w:rFonts w:hint="eastAsia"/>
          <w:rtl/>
          <w:lang w:bidi="ar-EG"/>
        </w:rPr>
        <w:t>“</w:t>
      </w:r>
      <w:r>
        <w:rPr>
          <w:rFonts w:hint="cs"/>
          <w:rtl/>
          <w:lang w:bidi="ar-EG"/>
        </w:rPr>
        <w:t xml:space="preserve">، ينفذ منذ شباط/فبراير 2000 اقتراح يرمي إلى </w:t>
      </w:r>
      <w:r>
        <w:rPr>
          <w:rFonts w:hint="eastAsia"/>
          <w:rtl/>
          <w:lang w:bidi="ar-EG"/>
        </w:rPr>
        <w:t>”تصميم وتنفي</w:t>
      </w:r>
      <w:r>
        <w:rPr>
          <w:rFonts w:hint="cs"/>
          <w:rtl/>
          <w:lang w:bidi="ar-EG"/>
        </w:rPr>
        <w:t>ذ نماذج للرعاية المتكاملة لضحايا الجرائم الجنسية</w:t>
      </w:r>
      <w:r>
        <w:rPr>
          <w:rFonts w:hint="eastAsia"/>
          <w:rtl/>
          <w:lang w:bidi="ar-EG"/>
        </w:rPr>
        <w:t>“</w:t>
      </w:r>
      <w:r w:rsidR="003D7EB4">
        <w:rPr>
          <w:rFonts w:hint="eastAsia"/>
          <w:rtl/>
          <w:lang w:bidi="ar-EG"/>
        </w:rPr>
        <w:t>،</w:t>
      </w:r>
    </w:p>
    <w:p w:rsidR="006570C4" w:rsidRDefault="006570C4" w:rsidP="006570C4">
      <w:pPr>
        <w:pStyle w:val="SingleTxt"/>
        <w:rPr>
          <w:rFonts w:hint="cs"/>
          <w:rtl/>
          <w:lang w:bidi="ar-EG"/>
        </w:rPr>
      </w:pPr>
      <w:r>
        <w:rPr>
          <w:rFonts w:hint="cs"/>
          <w:rtl/>
          <w:lang w:bidi="ar-EG"/>
        </w:rPr>
        <w:tab/>
        <w:t>ومن أجل التصدي لمعضلة الاستغلال الجنسي والتحرش الجنسي التي يشهدها البلد في شكل الاعتداء على القصر واستغلالهم سُنت ثلاثة قوانين ترمي إلى منع وقمع الاتجار الدولي بالقصر وكذلك تنظيم الجوانب المدنية والجنائية لهذا الاتجار، والاعتراف بحق الطفل في الحماية من الاستغلال الاقتصادي، وتنمية التعاون من أجل منع ومكافحة الجريمة المنظمة عبر الحدود الوطنية على نحو أكثر فعالية، ووضع قواعد لمنع وقمع استغلال القصر والتقاط الصور الإباحية والسياحة الجنسية وسائر أشكال الاعتداء الجنسي على القصر</w:t>
      </w:r>
      <w:r w:rsidR="003D7EB4">
        <w:rPr>
          <w:rFonts w:hint="cs"/>
          <w:rtl/>
          <w:lang w:bidi="ar-EG"/>
        </w:rPr>
        <w:t>،</w:t>
      </w:r>
    </w:p>
    <w:p w:rsidR="006570C4" w:rsidRDefault="006570C4" w:rsidP="006570C4">
      <w:pPr>
        <w:pStyle w:val="SingleTxt"/>
        <w:rPr>
          <w:rFonts w:hint="cs"/>
          <w:rtl/>
          <w:lang w:bidi="ar-EG"/>
        </w:rPr>
      </w:pPr>
      <w:r>
        <w:rPr>
          <w:rFonts w:hint="cs"/>
          <w:rtl/>
          <w:lang w:bidi="ar-EG"/>
        </w:rPr>
        <w:tab/>
        <w:t>وفيما يتعلق بصحة الأطفال فإن معدل وفيات الأطفال هو أحد المؤشرات الصحية لتغير وانخفاض كبيرين شهدتهما السنوات الأخيرة في هيكلها نتيجة لتحسن المستوى التعليمي للمرأة والجهود المنهجية التي ترمي إلى توجيه وسائل تثقيفية عن صحة السكان وإتاحة الوصول بصورة أكبر إلى الخدمات الصحية الأساسية</w:t>
      </w:r>
      <w:r w:rsidR="003D7EB4">
        <w:rPr>
          <w:rFonts w:hint="cs"/>
          <w:rtl/>
          <w:lang w:bidi="ar-EG"/>
        </w:rPr>
        <w:t>،</w:t>
      </w:r>
      <w:r>
        <w:rPr>
          <w:rFonts w:hint="cs"/>
          <w:rtl/>
          <w:lang w:bidi="ar-EG"/>
        </w:rPr>
        <w:t xml:space="preserve"> كما انخفض معدل وفيات الأمهات بنسبة 3</w:t>
      </w:r>
      <w:r w:rsidR="00102EE0">
        <w:rPr>
          <w:rFonts w:hint="cs"/>
          <w:rtl/>
          <w:lang w:bidi="ar-EG"/>
        </w:rPr>
        <w:t>.</w:t>
      </w:r>
      <w:r>
        <w:rPr>
          <w:rFonts w:hint="cs"/>
          <w:rtl/>
          <w:lang w:bidi="ar-EG"/>
        </w:rPr>
        <w:t>5 في المائة بين عامي 1998 و 2000، على الرغم من أنه ما زالت توجد في بعض المناطق معدلات مرتفعة للغاية عن المتوسط ومن أنه لا تسجل جميع وفيات الأمهات بهذه الصفة</w:t>
      </w:r>
      <w:r w:rsidR="003D7EB4">
        <w:rPr>
          <w:rFonts w:hint="cs"/>
          <w:rtl/>
          <w:lang w:bidi="ar-EG"/>
        </w:rPr>
        <w:t>،</w:t>
      </w:r>
    </w:p>
    <w:p w:rsidR="006570C4" w:rsidRDefault="006570C4" w:rsidP="006570C4">
      <w:pPr>
        <w:pStyle w:val="SingleTxt"/>
        <w:rPr>
          <w:rFonts w:hint="cs"/>
          <w:rtl/>
          <w:lang w:bidi="ar-EG"/>
        </w:rPr>
      </w:pPr>
      <w:r>
        <w:rPr>
          <w:rFonts w:hint="cs"/>
          <w:rtl/>
          <w:lang w:bidi="ar-EG"/>
        </w:rPr>
        <w:tab/>
        <w:t>وفي مجال التغذية تبين الدراسات ، وفقا لوزارة الرعاية الاجتماعية، أنه قد حدث انخفاض في معدل سوء التغذية العام بين من هم دون سن الخامسة، فانخفض من 8</w:t>
      </w:r>
      <w:r w:rsidR="00102EE0">
        <w:rPr>
          <w:rFonts w:hint="cs"/>
          <w:rtl/>
          <w:lang w:bidi="ar-EG"/>
        </w:rPr>
        <w:t>.</w:t>
      </w:r>
      <w:r>
        <w:rPr>
          <w:rFonts w:hint="cs"/>
          <w:rtl/>
          <w:lang w:bidi="ar-EG"/>
        </w:rPr>
        <w:t>4 في المائة في سنة 1995 إلى 6</w:t>
      </w:r>
      <w:r w:rsidR="00102EE0">
        <w:rPr>
          <w:rFonts w:hint="cs"/>
          <w:rtl/>
          <w:lang w:bidi="ar-EG"/>
        </w:rPr>
        <w:t>.</w:t>
      </w:r>
      <w:r>
        <w:rPr>
          <w:rFonts w:hint="cs"/>
          <w:rtl/>
          <w:lang w:bidi="ar-EG"/>
        </w:rPr>
        <w:t>7 في المائة في سنة 2000</w:t>
      </w:r>
      <w:r w:rsidR="003D7EB4">
        <w:rPr>
          <w:rFonts w:hint="cs"/>
          <w:rtl/>
          <w:lang w:bidi="ar-EG"/>
        </w:rPr>
        <w:t>،</w:t>
      </w:r>
      <w:r>
        <w:rPr>
          <w:rFonts w:hint="cs"/>
          <w:rtl/>
          <w:lang w:bidi="ar-EG"/>
        </w:rPr>
        <w:t xml:space="preserve"> وانخفض سوء التغذية المزمن في نفس تلك الفترة، بيد أنه توجد اختلافات ملحوظة بين الإقاليم، والمنطقة الريفية هي أكثر المناطق تأثرا بالنسبة إلى هذه المؤشرات</w:t>
      </w:r>
      <w:r w:rsidR="003D7EB4">
        <w:rPr>
          <w:rFonts w:hint="cs"/>
          <w:rtl/>
          <w:lang w:bidi="ar-EG"/>
        </w:rPr>
        <w:t>،</w:t>
      </w:r>
    </w:p>
    <w:p w:rsidR="006570C4" w:rsidRDefault="006570C4" w:rsidP="006570C4">
      <w:pPr>
        <w:pStyle w:val="SingleTxt"/>
        <w:rPr>
          <w:rFonts w:hint="cs"/>
          <w:rtl/>
          <w:lang w:bidi="ar-EG"/>
        </w:rPr>
      </w:pPr>
      <w:r>
        <w:rPr>
          <w:rFonts w:hint="cs"/>
          <w:rtl/>
          <w:lang w:bidi="ar-EG"/>
        </w:rPr>
        <w:tab/>
        <w:t>وتطبق الإدارة الوطنية للإحصاءات المنظور الجنساني في جمع وتحليل خمسة نواتج أساسية هي: (1) الفروق في المرتبات في الدراسة الاستقصائية المستمرة للأسر المعيشية، 2002-2003؛ (2) رئاسة الأسر في الدراسة الاستقصائية لنوعية المعيشة، 2003؛ (3) هيكل الأسر المعيشية والهجرة والنزوح في التعداد التجريبي للسكان والمساكن في سواتشا، 2003؛ (4) في تعدادات سكان شارع بوغوتا 2001؛ و (5) في ميديلين، 2002، مع تحليل مقارن للنتائج بين المدينتين مصنف حسب السن والمنشأ والجنس</w:t>
      </w:r>
      <w:r w:rsidR="003D7EB4">
        <w:rPr>
          <w:rFonts w:hint="cs"/>
          <w:rtl/>
          <w:lang w:bidi="ar-EG"/>
        </w:rPr>
        <w:t>،</w:t>
      </w:r>
    </w:p>
    <w:p w:rsidR="006570C4" w:rsidRDefault="006570C4" w:rsidP="006570C4">
      <w:pPr>
        <w:pStyle w:val="SingleTxt"/>
        <w:rPr>
          <w:rFonts w:hint="cs"/>
          <w:rtl/>
          <w:lang w:bidi="ar-EG"/>
        </w:rPr>
      </w:pPr>
      <w:r>
        <w:rPr>
          <w:rFonts w:hint="cs"/>
          <w:rtl/>
          <w:lang w:bidi="ar-EG"/>
        </w:rPr>
        <w:tab/>
        <w:t>وفيما يتعلق بآليات المتابعة يوجد في الدولة الكولومبية النظام الوطني لتقييم نتائج الادارة العامة ’’التآزر‘‘ ونظام برمجة ومتابعة الأهداف الرئاسية لمتابعة النتائج التي أحرزتها السياسة الاشتراكية للحكومة الحالية</w:t>
      </w:r>
      <w:r w:rsidR="003D7EB4">
        <w:rPr>
          <w:rFonts w:hint="cs"/>
          <w:rtl/>
          <w:lang w:bidi="ar-EG"/>
        </w:rPr>
        <w:t>،</w:t>
      </w:r>
    </w:p>
    <w:p w:rsidR="006570C4" w:rsidRDefault="006570C4" w:rsidP="006570C4">
      <w:pPr>
        <w:pStyle w:val="SingleTxt"/>
        <w:rPr>
          <w:rFonts w:hint="cs"/>
          <w:rtl/>
          <w:lang w:bidi="ar-EG"/>
        </w:rPr>
      </w:pPr>
    </w:p>
    <w:p w:rsidR="006570C4" w:rsidRDefault="006570C4" w:rsidP="006570C4">
      <w:pPr>
        <w:pStyle w:val="SingleTxt"/>
        <w:rPr>
          <w:rFonts w:hint="cs"/>
          <w:rtl/>
          <w:lang w:bidi="ar-EG"/>
        </w:rPr>
      </w:pPr>
      <w:r>
        <w:rPr>
          <w:rFonts w:hint="cs"/>
          <w:rtl/>
          <w:lang w:bidi="ar-EG"/>
        </w:rPr>
        <w:tab/>
        <w:t>واتخذت الهيئة الاستشارية لرئيس الجمهورية فيما يتعلق بالمساواة بين الرجل والمرأة، وهي آلية تعزيز المساواة بين الجنسين ودعم دور المرأة، مبادرة لإدماج النهج الجنساني في رسم السياسات الحكومية وتنفيذها وتقييمها</w:t>
      </w:r>
      <w:r w:rsidR="003D7EB4">
        <w:rPr>
          <w:rFonts w:hint="cs"/>
          <w:rtl/>
          <w:lang w:bidi="ar-EG"/>
        </w:rPr>
        <w:t>،</w:t>
      </w:r>
    </w:p>
    <w:p w:rsidR="006570C4" w:rsidRDefault="006570C4" w:rsidP="006570C4">
      <w:pPr>
        <w:pStyle w:val="SingleTxt"/>
        <w:rPr>
          <w:rFonts w:hint="cs"/>
          <w:rtl/>
          <w:lang w:bidi="ar-EG"/>
        </w:rPr>
      </w:pPr>
      <w:r>
        <w:rPr>
          <w:rFonts w:hint="cs"/>
          <w:rtl/>
          <w:lang w:bidi="ar-EG"/>
        </w:rPr>
        <w:tab/>
        <w:t xml:space="preserve">وتوطيدا للمساواة بين الجنسين باعتبارها سياسة الدولة، ولتحديد إطار التعاون مع الفرعين التشريعي والقضائي جرى العمل على توقيع </w:t>
      </w:r>
      <w:r>
        <w:rPr>
          <w:rFonts w:hint="eastAsia"/>
          <w:rtl/>
          <w:lang w:bidi="ar-EG"/>
        </w:rPr>
        <w:t>”اتفاق وطني لتحقيق المساواة بين الرجل والمرأة</w:t>
      </w:r>
      <w:r>
        <w:rPr>
          <w:rFonts w:hint="cs"/>
          <w:rtl/>
          <w:lang w:bidi="ar-EG"/>
        </w:rPr>
        <w:t>“ بين ممثلي أفرع السلطة العامة الثلاثة (الحكومة والكونغرس والقضاء) والجامعات الحكومية وأجهزة الرقابة وبعض النقابات في القطاع الخاص، ووُقع هذا الاتفاق في 14 تشرين الأول/أكتوبر 2003</w:t>
      </w:r>
      <w:r w:rsidR="003D7EB4">
        <w:rPr>
          <w:rFonts w:hint="cs"/>
          <w:rtl/>
          <w:lang w:bidi="ar-EG"/>
        </w:rPr>
        <w:t>،</w:t>
      </w:r>
    </w:p>
    <w:p w:rsidR="006570C4" w:rsidRDefault="006570C4" w:rsidP="006570C4">
      <w:pPr>
        <w:pStyle w:val="SingleTxt"/>
        <w:rPr>
          <w:rFonts w:hint="cs"/>
          <w:rtl/>
          <w:lang w:bidi="ar-EG"/>
        </w:rPr>
      </w:pPr>
      <w:r>
        <w:rPr>
          <w:rFonts w:hint="cs"/>
          <w:rtl/>
          <w:lang w:bidi="ar-EG"/>
        </w:rPr>
        <w:tab/>
        <w:t>وقد أتاح هذا الاتفاق والعمل الذي قامت به الهيئة الاستشارية إحراز منجزات واضحة، وإن كان يتعين الاعتراف بأن التعميم لم يكن سهلا، على نحو مستمر لا في هيكل الدولة ولا في إدارتها</w:t>
      </w:r>
      <w:r w:rsidR="003D7EB4">
        <w:rPr>
          <w:rFonts w:hint="cs"/>
          <w:rtl/>
          <w:lang w:bidi="ar-EG"/>
        </w:rPr>
        <w:t>،</w:t>
      </w:r>
    </w:p>
    <w:p w:rsidR="006570C4" w:rsidRDefault="006570C4" w:rsidP="006570C4">
      <w:pPr>
        <w:pStyle w:val="SingleTxt"/>
        <w:rPr>
          <w:rFonts w:hint="cs"/>
          <w:rtl/>
          <w:lang w:bidi="ar-EG"/>
        </w:rPr>
      </w:pPr>
      <w:r>
        <w:rPr>
          <w:rFonts w:hint="cs"/>
          <w:rtl/>
          <w:lang w:bidi="ar-EG"/>
        </w:rPr>
        <w:tab/>
        <w:t>ويتمثل الهدف المؤسسي في دعم عملية تعميم النهج الجنساني، التي ينبغي أن تتم بخمس خطوات: (1) التحليل الجنساني للسياسات والبرامج والمشاريع والميزانيات على جميع المستويات؛ و(2) وضع جداول أعمال مشتركة بين المؤسسات تتضمن البُعد الجنساني؛ و(3) تقوية آليات المتابعة (قدرة الهيئة المعنية بالشؤون الجنسانية)؛ و(4) برامج معينة؛ و (5) أعمال لتدريب السلطات الوطنية وسلطات الأقاليم والمنظمات غير الحكومية على التحليل الجنساني وأدواته</w:t>
      </w:r>
      <w:r w:rsidR="003D7EB4">
        <w:rPr>
          <w:rFonts w:hint="cs"/>
          <w:rtl/>
          <w:lang w:bidi="ar-EG"/>
        </w:rPr>
        <w:t>،</w:t>
      </w:r>
      <w:r>
        <w:rPr>
          <w:rFonts w:hint="cs"/>
          <w:rtl/>
          <w:lang w:bidi="ar-EG"/>
        </w:rPr>
        <w:t xml:space="preserve"> ونُفذت عدة تدابير إدارية (سياسات وبرامج ومشاريع) وقضائية وتشريعية لاستئصال جميع أشكال التمييز ضد المرأة في كولومبيا تنفيذا لاتفاقية القضاء على جميع أشكال التمييز ضد المرأة؛ بيد أنه ينبغي ترسيخ كل هذه التدابير؛ فإقامة المساواة بين الرجل والمرأة هي عملية طويلة الأجل تستلزم تغييرا ثقافيا بعيد المدى في جميع نظم وهيئات السلطة، وتتطلب تدعيما مؤسسيا متجددا</w:t>
      </w:r>
      <w:r w:rsidR="003D7EB4">
        <w:rPr>
          <w:rFonts w:hint="cs"/>
          <w:rtl/>
          <w:lang w:bidi="ar-EG"/>
        </w:rPr>
        <w:t>،</w:t>
      </w:r>
    </w:p>
    <w:p w:rsidR="006570C4" w:rsidRDefault="006570C4" w:rsidP="006570C4">
      <w:pPr>
        <w:pStyle w:val="SingleTxt"/>
        <w:rPr>
          <w:rFonts w:hint="cs"/>
          <w:rtl/>
          <w:lang w:bidi="ar-EG"/>
        </w:rPr>
      </w:pPr>
      <w:r>
        <w:rPr>
          <w:rFonts w:hint="cs"/>
          <w:rtl/>
          <w:lang w:bidi="ar-EG"/>
        </w:rPr>
        <w:tab/>
        <w:t>وقد أتاح تقرير الدولة الكولومبية المقدم إلى اللجنة المعنية بالقضاء على التمييز ضد المرأة وسائر التقارير الدولية التي أعدت في الفترة 2003-2004 فرصة للبلد لكي يدرس بصورة منهجية نتائج سياساته وبرامجه ومشاريعه من ناحية تحسين الظروف المعيشية للمرأة وتمكينها</w:t>
      </w:r>
      <w:r w:rsidR="003D7EB4">
        <w:rPr>
          <w:rFonts w:hint="cs"/>
          <w:rtl/>
          <w:lang w:bidi="ar-EG"/>
        </w:rPr>
        <w:t>،</w:t>
      </w:r>
      <w:r>
        <w:rPr>
          <w:rFonts w:hint="cs"/>
          <w:rtl/>
          <w:lang w:bidi="ar-EG"/>
        </w:rPr>
        <w:t xml:space="preserve"> وفيما يتعلق بالتصديق على البروتوكول الاختياري للاتفاقية أصدرت الهيئة الاستشارية لرئيس الجمهورية فيما يتعلق بالمساواة بين الجنسين مفهوما قانونيا لجدوى التصديق عليه</w:t>
      </w:r>
      <w:r w:rsidR="003D7EB4">
        <w:rPr>
          <w:rFonts w:hint="cs"/>
          <w:rtl/>
          <w:lang w:bidi="ar-EG"/>
        </w:rPr>
        <w:t>،</w:t>
      </w:r>
      <w:r>
        <w:rPr>
          <w:rFonts w:hint="cs"/>
          <w:rtl/>
          <w:lang w:bidi="ar-EG"/>
        </w:rPr>
        <w:t xml:space="preserve"> وحاز هذا المفهوم رضا وزارة الداخلية/العدل ووزارة الخارجية، بهدف اتخاذ الإجراءات اللازمة بصدده في كونغرس الجمهورية للموافقة عليه</w:t>
      </w:r>
      <w:r w:rsidR="003D7EB4">
        <w:rPr>
          <w:rFonts w:hint="cs"/>
          <w:rtl/>
          <w:lang w:bidi="ar-EG"/>
        </w:rPr>
        <w:t>،</w:t>
      </w:r>
      <w:r>
        <w:rPr>
          <w:rFonts w:hint="cs"/>
          <w:rtl/>
          <w:lang w:bidi="ar-EG"/>
        </w:rPr>
        <w:t xml:space="preserve"> وقد صُدق على مشروع القانون ذي الصلة في الكونغرس في 25 آذار/مارس من السنة الجارية</w:t>
      </w:r>
      <w:r w:rsidR="003D7EB4">
        <w:rPr>
          <w:rFonts w:hint="cs"/>
          <w:rtl/>
          <w:lang w:bidi="ar-EG"/>
        </w:rPr>
        <w:t>،</w:t>
      </w:r>
    </w:p>
    <w:p w:rsidR="006570C4" w:rsidRDefault="006570C4" w:rsidP="006570C4">
      <w:pPr>
        <w:pStyle w:val="SingleTxt"/>
        <w:rPr>
          <w:rFonts w:hint="cs"/>
          <w:b/>
          <w:bCs/>
          <w:rtl/>
          <w:lang w:bidi="ar-EG"/>
        </w:rPr>
      </w:pPr>
      <w:r>
        <w:rPr>
          <w:rFonts w:hint="cs"/>
          <w:b/>
          <w:bCs/>
          <w:rtl/>
          <w:lang w:bidi="ar-EG"/>
        </w:rPr>
        <w:t>مارثا لوسيا فاسكويس زافادسكي</w:t>
      </w:r>
    </w:p>
    <w:p w:rsidR="006570C4" w:rsidRDefault="006570C4" w:rsidP="006570C4">
      <w:pPr>
        <w:pStyle w:val="SingleTxt"/>
        <w:rPr>
          <w:rFonts w:hint="cs"/>
          <w:rtl/>
          <w:lang w:bidi="ar-EG"/>
        </w:rPr>
      </w:pPr>
      <w:r>
        <w:rPr>
          <w:rFonts w:hint="cs"/>
          <w:rtl/>
          <w:lang w:bidi="ar-EG"/>
        </w:rPr>
        <w:t>مستشارة رئيس الجمهورية فيما يتعلق بالمساواة بين الرجل والمرأة</w:t>
      </w:r>
    </w:p>
    <w:p w:rsidR="006570C4" w:rsidRDefault="006570C4" w:rsidP="006570C4">
      <w:pPr>
        <w:pStyle w:val="SingleTxt"/>
        <w:rPr>
          <w:rFonts w:hint="cs"/>
          <w:rtl/>
          <w:lang w:bidi="ar-EG"/>
        </w:rPr>
      </w:pPr>
      <w:r>
        <w:rPr>
          <w:rFonts w:hint="cs"/>
          <w:rtl/>
          <w:lang w:bidi="ar-EG"/>
        </w:rPr>
        <w:t>2</w:t>
      </w:r>
      <w:r>
        <w:rPr>
          <w:rFonts w:hint="cs"/>
          <w:b/>
          <w:bCs/>
          <w:rtl/>
          <w:lang w:bidi="ar-EG"/>
        </w:rPr>
        <w:t xml:space="preserve"> -</w:t>
      </w:r>
      <w:r>
        <w:rPr>
          <w:rFonts w:hint="cs"/>
          <w:b/>
          <w:bCs/>
          <w:rtl/>
          <w:lang w:bidi="ar-EG"/>
        </w:rPr>
        <w:tab/>
        <w:t>المواد 1 إلى 16 من الاتفاقية</w:t>
      </w:r>
    </w:p>
    <w:p w:rsidR="006570C4" w:rsidRDefault="006570C4" w:rsidP="006570C4">
      <w:pPr>
        <w:pStyle w:val="SingleTxt"/>
        <w:rPr>
          <w:rFonts w:hint="cs"/>
          <w:rtl/>
          <w:lang w:bidi="ar-EG"/>
        </w:rPr>
      </w:pPr>
      <w:r>
        <w:rPr>
          <w:rFonts w:hint="cs"/>
          <w:rtl/>
          <w:lang w:bidi="ar-EG"/>
        </w:rPr>
        <w:tab/>
        <w:t>نوافق على التوصيات العامة للجنة المعنية بالقضاء على التمييز ضد المرأة والتوصيات الخاصة التي اتخذتها هذه اللجنة بشأن تحديث التقرير الرابع المقدم من جمهورية كولومبيا إلى اللجنة المذكورة</w:t>
      </w:r>
      <w:r>
        <w:rPr>
          <w:rFonts w:hint="cs"/>
          <w:vertAlign w:val="superscript"/>
          <w:rtl/>
          <w:lang w:bidi="ar-EG"/>
        </w:rPr>
        <w:t>(1)</w:t>
      </w:r>
      <w:r w:rsidR="003D7EB4">
        <w:rPr>
          <w:rFonts w:hint="cs"/>
          <w:rtl/>
          <w:lang w:bidi="ar-EG"/>
        </w:rPr>
        <w:t>،</w:t>
      </w:r>
    </w:p>
    <w:p w:rsidR="00426B8B" w:rsidRPr="00426B8B" w:rsidRDefault="00426B8B" w:rsidP="00426B8B">
      <w:pPr>
        <w:pStyle w:val="SingleTxt"/>
        <w:spacing w:after="0" w:line="120" w:lineRule="exact"/>
        <w:rPr>
          <w:rFonts w:hint="cs"/>
          <w:sz w:val="10"/>
          <w:rtl/>
          <w:lang w:bidi="ar-EG"/>
        </w:rPr>
      </w:pPr>
    </w:p>
    <w:p w:rsidR="006570C4"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Pr>
          <w:rFonts w:hint="cs"/>
          <w:rtl/>
          <w:lang w:bidi="ar-EG"/>
        </w:rPr>
        <w:tab/>
      </w:r>
      <w:r w:rsidR="006570C4">
        <w:rPr>
          <w:rFonts w:hint="cs"/>
          <w:rtl/>
          <w:lang w:bidi="ar-EG"/>
        </w:rPr>
        <w:t>2-1</w:t>
      </w:r>
      <w:r w:rsidR="006570C4">
        <w:rPr>
          <w:rFonts w:hint="cs"/>
          <w:rtl/>
          <w:lang w:bidi="ar-EG"/>
        </w:rPr>
        <w:tab/>
        <w:t>المادة 1</w:t>
      </w:r>
    </w:p>
    <w:p w:rsidR="006570C4"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6570C4">
        <w:rPr>
          <w:rFonts w:hint="cs"/>
          <w:rtl/>
          <w:lang w:bidi="ar-EG"/>
        </w:rPr>
        <w:t>تعريف التمييز ضد المرأة</w:t>
      </w:r>
    </w:p>
    <w:p w:rsidR="006570C4" w:rsidRDefault="006570C4" w:rsidP="006570C4">
      <w:pPr>
        <w:pStyle w:val="SingleTxt"/>
        <w:rPr>
          <w:rFonts w:hint="cs"/>
          <w:rtl/>
          <w:lang w:bidi="ar-EG"/>
        </w:rPr>
      </w:pPr>
      <w:r>
        <w:rPr>
          <w:rFonts w:hint="cs"/>
          <w:rtl/>
          <w:lang w:bidi="ar-EG"/>
        </w:rPr>
        <w:tab/>
        <w:t>تمثل هذه المادة دعامة الاتفاقية ويرتكز عليها تنفيذ سائر المواد</w:t>
      </w:r>
      <w:r w:rsidR="003D7EB4">
        <w:rPr>
          <w:rFonts w:hint="cs"/>
          <w:rtl/>
          <w:lang w:bidi="ar-EG"/>
        </w:rPr>
        <w:t>،</w:t>
      </w:r>
      <w:r>
        <w:rPr>
          <w:rFonts w:hint="cs"/>
          <w:rtl/>
          <w:lang w:bidi="ar-EG"/>
        </w:rPr>
        <w:t xml:space="preserve"> ولهذا السبب سوف يثبت تنفيذ المادة 1 في كل الوثيقة الحالية التي تتضمن سردا للمنجزات والانتكاسات المتعلقة بسائر المواد والتوصيات والمواضيع الخاصة</w:t>
      </w:r>
      <w:r w:rsidR="003D7EB4">
        <w:rPr>
          <w:rFonts w:hint="cs"/>
          <w:rtl/>
          <w:lang w:bidi="ar-EG"/>
        </w:rPr>
        <w:t>،</w:t>
      </w:r>
    </w:p>
    <w:p w:rsidR="00426B8B" w:rsidRPr="00426B8B" w:rsidRDefault="00426B8B" w:rsidP="00426B8B">
      <w:pPr>
        <w:pStyle w:val="SingleTxt"/>
        <w:spacing w:after="0" w:line="120" w:lineRule="exact"/>
        <w:rPr>
          <w:rFonts w:hint="cs"/>
          <w:sz w:val="10"/>
          <w:rtl/>
          <w:lang w:bidi="ar-EG"/>
        </w:rPr>
      </w:pPr>
    </w:p>
    <w:p w:rsidR="006570C4"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6570C4">
        <w:rPr>
          <w:rFonts w:hint="cs"/>
          <w:rtl/>
          <w:lang w:bidi="ar-EG"/>
        </w:rPr>
        <w:t>2-2</w:t>
      </w:r>
      <w:r w:rsidR="006570C4">
        <w:rPr>
          <w:rFonts w:hint="cs"/>
          <w:rtl/>
          <w:lang w:bidi="ar-EG"/>
        </w:rPr>
        <w:tab/>
        <w:t>المادة 2</w:t>
      </w:r>
    </w:p>
    <w:p w:rsidR="006570C4" w:rsidRDefault="006570C4" w:rsidP="006570C4">
      <w:pPr>
        <w:pStyle w:val="SingleTxt"/>
        <w:rPr>
          <w:rFonts w:hint="cs"/>
          <w:b/>
          <w:bCs/>
          <w:rtl/>
          <w:lang w:bidi="ar-EG"/>
        </w:rPr>
      </w:pPr>
      <w:r>
        <w:rPr>
          <w:rFonts w:hint="cs"/>
          <w:b/>
          <w:bCs/>
          <w:rtl/>
          <w:lang w:bidi="ar-EG"/>
        </w:rPr>
        <w:t>تدابير مكافحة التمييز</w:t>
      </w:r>
    </w:p>
    <w:p w:rsidR="006570C4" w:rsidRDefault="006570C4" w:rsidP="006570C4">
      <w:pPr>
        <w:pStyle w:val="SingleTxt"/>
        <w:rPr>
          <w:rFonts w:hint="cs"/>
          <w:rtl/>
          <w:lang w:bidi="ar-EG"/>
        </w:rPr>
      </w:pPr>
      <w:r>
        <w:rPr>
          <w:rFonts w:hint="cs"/>
          <w:b/>
          <w:bCs/>
          <w:rtl/>
          <w:lang w:bidi="ar-EG"/>
        </w:rPr>
        <w:tab/>
        <w:t>التوصية العامة رقم 19</w:t>
      </w:r>
      <w:r>
        <w:rPr>
          <w:rFonts w:hint="cs"/>
          <w:rtl/>
          <w:lang w:bidi="ar-EG"/>
        </w:rPr>
        <w:t xml:space="preserve"> المتعلقة بالعنف ضد المرأة</w:t>
      </w:r>
      <w:r>
        <w:rPr>
          <w:rFonts w:hint="cs"/>
          <w:vertAlign w:val="superscript"/>
          <w:rtl/>
          <w:lang w:bidi="ar-EG"/>
        </w:rPr>
        <w:t>(2)</w:t>
      </w:r>
      <w:r>
        <w:rPr>
          <w:rFonts w:hint="cs"/>
          <w:rtl/>
          <w:lang w:bidi="ar-EG"/>
        </w:rPr>
        <w:t xml:space="preserve"> تتفق مع هذه المادة ومع المادة</w:t>
      </w:r>
      <w:r>
        <w:rPr>
          <w:rFonts w:hint="eastAsia"/>
          <w:rtl/>
          <w:lang w:bidi="ar-EG"/>
        </w:rPr>
        <w:t> 3 حيث أنها تنص على التزام كبير بالقضاء على التمييز ضد المرأة بجميع أشكاله</w:t>
      </w:r>
      <w:r w:rsidR="003D7EB4">
        <w:rPr>
          <w:rFonts w:hint="eastAsia"/>
          <w:rtl/>
          <w:lang w:bidi="ar-EG"/>
        </w:rPr>
        <w:t>،</w:t>
      </w:r>
      <w:r>
        <w:rPr>
          <w:rFonts w:hint="eastAsia"/>
          <w:rtl/>
          <w:lang w:bidi="ar-EG"/>
        </w:rPr>
        <w:t xml:space="preserve"> </w:t>
      </w:r>
      <w:r>
        <w:rPr>
          <w:rFonts w:hint="cs"/>
          <w:rtl/>
          <w:lang w:bidi="ar-EG"/>
        </w:rPr>
        <w:t>ويظهر العنف ضد المرأة بأشكال مختلفة، ولذا تتكرر هذه التوصية في المواد المختلفة المشار إليها صراحة</w:t>
      </w:r>
      <w:r w:rsidR="003D7EB4">
        <w:rPr>
          <w:rFonts w:hint="cs"/>
          <w:rtl/>
          <w:lang w:bidi="ar-EG"/>
        </w:rPr>
        <w:t>،</w:t>
      </w:r>
    </w:p>
    <w:p w:rsidR="00426B8B" w:rsidRPr="00426B8B" w:rsidRDefault="00426B8B" w:rsidP="00426B8B">
      <w:pPr>
        <w:pStyle w:val="SingleTxt"/>
        <w:spacing w:after="0" w:line="120" w:lineRule="exact"/>
        <w:rPr>
          <w:rFonts w:hint="cs"/>
          <w:b/>
          <w:bCs/>
          <w:sz w:val="10"/>
          <w:rtl/>
          <w:lang w:bidi="ar-EG"/>
        </w:rPr>
      </w:pPr>
    </w:p>
    <w:p w:rsidR="006570C4" w:rsidRDefault="006570C4" w:rsidP="006570C4">
      <w:pPr>
        <w:pStyle w:val="SingleTxt"/>
        <w:rPr>
          <w:rFonts w:hint="cs"/>
          <w:rtl/>
          <w:lang w:bidi="ar-EG"/>
        </w:rPr>
      </w:pPr>
      <w:r>
        <w:rPr>
          <w:rFonts w:hint="cs"/>
          <w:b/>
          <w:bCs/>
          <w:rtl/>
          <w:lang w:bidi="ar-EG"/>
        </w:rPr>
        <w:t>المنجزات التشريعية</w:t>
      </w:r>
    </w:p>
    <w:p w:rsidR="006570C4" w:rsidRDefault="006570C4" w:rsidP="006570C4">
      <w:pPr>
        <w:pStyle w:val="SingleTxt"/>
        <w:rPr>
          <w:rFonts w:hint="cs"/>
          <w:rtl/>
          <w:lang w:bidi="ar-EG"/>
        </w:rPr>
      </w:pPr>
      <w:r>
        <w:rPr>
          <w:rFonts w:hint="cs"/>
          <w:b/>
          <w:bCs/>
          <w:rtl/>
          <w:lang w:bidi="ar-EG"/>
        </w:rPr>
        <w:tab/>
        <w:t>الدستور السياسي لكولومبيا لسنة 1991:</w:t>
      </w:r>
      <w:r>
        <w:rPr>
          <w:rFonts w:hint="cs"/>
          <w:rtl/>
          <w:lang w:bidi="ar-EG"/>
        </w:rPr>
        <w:t xml:space="preserve"> منذ تقديم التقرير الأخير لم تعدل القواعد الدستورية الرامية إلى حماية المرأة بصفة خاصة</w:t>
      </w:r>
      <w:r w:rsidR="003D7EB4">
        <w:rPr>
          <w:rFonts w:hint="cs"/>
          <w:rtl/>
          <w:lang w:bidi="ar-EG"/>
        </w:rPr>
        <w:t>،</w:t>
      </w:r>
      <w:r>
        <w:rPr>
          <w:rFonts w:hint="cs"/>
          <w:rtl/>
          <w:lang w:bidi="ar-EG"/>
        </w:rPr>
        <w:t xml:space="preserve"> ويعترف الدستور الوطني بالمساواة بين الرجل والمرأة في جميع مناحي الحياة الوطنية سواء في المجال العام أو الخاص</w:t>
      </w:r>
      <w:r w:rsidR="003D7EB4">
        <w:rPr>
          <w:rFonts w:hint="cs"/>
          <w:rtl/>
          <w:lang w:bidi="ar-EG"/>
        </w:rPr>
        <w:t>،</w:t>
      </w:r>
      <w:r>
        <w:rPr>
          <w:rFonts w:hint="cs"/>
          <w:rtl/>
          <w:lang w:bidi="ar-EG"/>
        </w:rPr>
        <w:t xml:space="preserve"> </w:t>
      </w:r>
    </w:p>
    <w:p w:rsidR="006570C4" w:rsidRDefault="006570C4" w:rsidP="006570C4">
      <w:pPr>
        <w:pStyle w:val="SingleTxt"/>
        <w:rPr>
          <w:rFonts w:hint="cs"/>
          <w:rtl/>
          <w:lang w:bidi="ar-EG"/>
        </w:rPr>
      </w:pPr>
      <w:r>
        <w:rPr>
          <w:rFonts w:hint="cs"/>
          <w:b/>
          <w:bCs/>
          <w:rtl/>
          <w:lang w:bidi="ar-EG"/>
        </w:rPr>
        <w:tab/>
        <w:t>المعاهدات الدولية</w:t>
      </w:r>
      <w:r>
        <w:rPr>
          <w:rFonts w:hint="cs"/>
          <w:rtl/>
          <w:lang w:bidi="ar-EG"/>
        </w:rPr>
        <w:t>: وفقا للمواد 4</w:t>
      </w:r>
      <w:r>
        <w:rPr>
          <w:rFonts w:hint="cs"/>
          <w:vertAlign w:val="superscript"/>
          <w:rtl/>
          <w:lang w:bidi="ar-EG"/>
        </w:rPr>
        <w:t>(3)</w:t>
      </w:r>
      <w:r>
        <w:rPr>
          <w:rFonts w:hint="cs"/>
          <w:rtl/>
          <w:lang w:bidi="ar-EG"/>
        </w:rPr>
        <w:t xml:space="preserve"> و 9</w:t>
      </w:r>
      <w:r>
        <w:rPr>
          <w:rFonts w:hint="cs"/>
          <w:vertAlign w:val="superscript"/>
          <w:rtl/>
          <w:lang w:bidi="ar-EG"/>
        </w:rPr>
        <w:t>(4)</w:t>
      </w:r>
      <w:r>
        <w:rPr>
          <w:rFonts w:hint="cs"/>
          <w:rtl/>
          <w:lang w:bidi="ar-EG"/>
        </w:rPr>
        <w:t xml:space="preserve"> و 93</w:t>
      </w:r>
      <w:r>
        <w:rPr>
          <w:rFonts w:hint="cs"/>
          <w:vertAlign w:val="superscript"/>
          <w:rtl/>
          <w:lang w:bidi="ar-EG"/>
        </w:rPr>
        <w:t>(5)</w:t>
      </w:r>
      <w:r>
        <w:rPr>
          <w:rFonts w:hint="cs"/>
          <w:rtl/>
          <w:lang w:bidi="ar-EG"/>
        </w:rPr>
        <w:t xml:space="preserve"> و 94</w:t>
      </w:r>
      <w:r>
        <w:rPr>
          <w:rFonts w:hint="cs"/>
          <w:vertAlign w:val="superscript"/>
          <w:rtl/>
          <w:lang w:bidi="ar-EG"/>
        </w:rPr>
        <w:t>(6)</w:t>
      </w:r>
      <w:r>
        <w:rPr>
          <w:rFonts w:hint="cs"/>
          <w:rtl/>
          <w:lang w:bidi="ar-EG"/>
        </w:rPr>
        <w:t xml:space="preserve"> من الدستور الوطني تمثل القواعد </w:t>
      </w:r>
      <w:r>
        <w:rPr>
          <w:rFonts w:hint="eastAsia"/>
          <w:rtl/>
          <w:lang w:bidi="ar-EG"/>
        </w:rPr>
        <w:t>”الأساسية لحقوق الإنسان</w:t>
      </w:r>
      <w:r>
        <w:rPr>
          <w:rFonts w:hint="cs"/>
          <w:rtl/>
          <w:lang w:bidi="ar-EG"/>
        </w:rPr>
        <w:t>“ وقواعد القانون الإنساني الدولي جزءا من الدستور</w:t>
      </w:r>
      <w:r>
        <w:rPr>
          <w:rFonts w:hint="cs"/>
          <w:vertAlign w:val="superscript"/>
          <w:rtl/>
          <w:lang w:bidi="ar-EG"/>
        </w:rPr>
        <w:t>(7)</w:t>
      </w:r>
      <w:r w:rsidR="003D7EB4">
        <w:rPr>
          <w:rFonts w:hint="cs"/>
          <w:rtl/>
          <w:lang w:bidi="ar-EG"/>
        </w:rPr>
        <w:t>،</w:t>
      </w:r>
      <w:r>
        <w:rPr>
          <w:rFonts w:hint="cs"/>
          <w:rtl/>
          <w:lang w:bidi="ar-EG"/>
        </w:rPr>
        <w:t xml:space="preserve"> ولذا فإنه في النظام القانوني الداخلي ليست المواد الدستورية المذكورة هي وحدها التي تكرس المساواة بين الرجل والمرأة في المجال الدستوري بل أيضا جميع المواد التي تشكل جزءا متمما لذلك الصك القانوني</w:t>
      </w:r>
      <w:r w:rsidR="003D7EB4">
        <w:rPr>
          <w:rFonts w:hint="cs"/>
          <w:rtl/>
          <w:lang w:bidi="ar-EG"/>
        </w:rPr>
        <w:t>،</w:t>
      </w:r>
    </w:p>
    <w:p w:rsidR="00CD3849" w:rsidRDefault="006570C4" w:rsidP="006570C4">
      <w:pPr>
        <w:pStyle w:val="SingleTxt"/>
        <w:rPr>
          <w:rFonts w:hint="cs"/>
          <w:rtl/>
        </w:rPr>
      </w:pPr>
      <w:r>
        <w:rPr>
          <w:rFonts w:hint="cs"/>
          <w:b/>
          <w:bCs/>
          <w:rtl/>
          <w:lang w:bidi="ar-EG"/>
        </w:rPr>
        <w:tab/>
        <w:t>و</w:t>
      </w:r>
      <w:r>
        <w:rPr>
          <w:rFonts w:hint="cs"/>
          <w:rtl/>
          <w:lang w:bidi="ar-EG"/>
        </w:rPr>
        <w:t>منذ عام 1935 وقعت الحكومة الكولومبية اتفاقات واتفاقيات دولية بشأن المساواة بين الرجل والمرأة ومشاركة المرأة، وصُدق على كثير منها، ولذا فإنها تشكل جزءا من نظامنا القانوني</w:t>
      </w:r>
      <w:r>
        <w:rPr>
          <w:rFonts w:hint="cs"/>
          <w:vertAlign w:val="superscript"/>
          <w:rtl/>
          <w:lang w:bidi="ar-EG"/>
        </w:rPr>
        <w:t>(8)</w:t>
      </w:r>
      <w:r w:rsidR="003D7EB4">
        <w:rPr>
          <w:rFonts w:hint="cs"/>
          <w:rtl/>
          <w:lang w:bidi="ar-EG"/>
        </w:rPr>
        <w:t>،</w:t>
      </w:r>
      <w:r>
        <w:rPr>
          <w:rFonts w:hint="cs"/>
          <w:rtl/>
          <w:lang w:bidi="ar-EG"/>
        </w:rPr>
        <w:t xml:space="preserve"> وخلال الفترة بين عامي 1999 و 2003 صدقت كولومبيا على الاتفاقات الدولية التالية المتعلقة بهذا الموضوع، وذلك بالقوانين التالية:</w:t>
      </w:r>
    </w:p>
    <w:p w:rsidR="002117BE" w:rsidRDefault="002117BE" w:rsidP="002117BE">
      <w:pPr>
        <w:pStyle w:val="SingleTxt"/>
        <w:spacing w:before="1" w:after="1" w:line="340" w:lineRule="exact"/>
        <w:ind w:left="72" w:right="72"/>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2117BE" w:rsidRPr="00D218C8">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2117BE" w:rsidRPr="00D218C8" w:rsidRDefault="002117BE" w:rsidP="002117BE">
            <w:pPr>
              <w:tabs>
                <w:tab w:val="left" w:pos="288"/>
                <w:tab w:val="left" w:pos="576"/>
                <w:tab w:val="left" w:pos="864"/>
                <w:tab w:val="left" w:pos="1152"/>
              </w:tabs>
              <w:spacing w:before="1" w:after="1" w:line="380" w:lineRule="exact"/>
              <w:ind w:left="72" w:right="72"/>
              <w:rPr>
                <w:rFonts w:hint="cs"/>
                <w:i/>
                <w:iCs/>
                <w:sz w:val="24"/>
                <w:szCs w:val="24"/>
                <w:rtl/>
                <w:lang w:bidi="ar-EG"/>
              </w:rPr>
            </w:pPr>
            <w:r w:rsidRPr="00D218C8">
              <w:rPr>
                <w:rFonts w:hint="cs"/>
                <w:i/>
                <w:iCs/>
                <w:sz w:val="24"/>
                <w:szCs w:val="24"/>
                <w:rtl/>
                <w:lang w:bidi="ar-EG"/>
              </w:rPr>
              <w:t>القانون</w:t>
            </w:r>
          </w:p>
        </w:tc>
        <w:tc>
          <w:tcPr>
            <w:tcW w:w="4917" w:type="dxa"/>
            <w:tcBorders>
              <w:top w:val="single" w:sz="4" w:space="0" w:color="auto"/>
              <w:bottom w:val="single" w:sz="12" w:space="0" w:color="auto"/>
            </w:tcBorders>
            <w:vAlign w:val="bottom"/>
          </w:tcPr>
          <w:p w:rsidR="002117BE" w:rsidRPr="00D218C8" w:rsidRDefault="002117BE" w:rsidP="002117BE">
            <w:pPr>
              <w:tabs>
                <w:tab w:val="left" w:pos="288"/>
                <w:tab w:val="left" w:pos="576"/>
                <w:tab w:val="left" w:pos="864"/>
                <w:tab w:val="left" w:pos="1152"/>
              </w:tabs>
              <w:spacing w:before="1" w:after="1" w:line="380" w:lineRule="exact"/>
              <w:ind w:left="72" w:right="72"/>
              <w:rPr>
                <w:rFonts w:hint="cs"/>
                <w:i/>
                <w:iCs/>
                <w:sz w:val="24"/>
                <w:szCs w:val="24"/>
                <w:rtl/>
                <w:lang w:bidi="ar-EG"/>
              </w:rPr>
            </w:pPr>
            <w:r w:rsidRPr="00D218C8">
              <w:rPr>
                <w:rFonts w:hint="cs"/>
                <w:i/>
                <w:iCs/>
                <w:sz w:val="24"/>
                <w:szCs w:val="24"/>
                <w:rtl/>
                <w:lang w:bidi="ar-EG"/>
              </w:rPr>
              <w:t>الموضوع</w:t>
            </w:r>
          </w:p>
        </w:tc>
      </w:tr>
      <w:tr w:rsidR="002117BE" w:rsidRPr="00D218C8">
        <w:tblPrEx>
          <w:tblCellMar>
            <w:top w:w="0" w:type="dxa"/>
            <w:bottom w:w="0" w:type="dxa"/>
          </w:tblCellMar>
        </w:tblPrEx>
        <w:trPr>
          <w:cantSplit/>
          <w:trHeight w:hRule="exact" w:val="115"/>
          <w:tblHeader/>
        </w:trPr>
        <w:tc>
          <w:tcPr>
            <w:tcW w:w="2403" w:type="dxa"/>
            <w:tcBorders>
              <w:top w:val="single" w:sz="12" w:space="0" w:color="auto"/>
            </w:tcBorders>
            <w:vAlign w:val="bottom"/>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p>
        </w:tc>
        <w:tc>
          <w:tcPr>
            <w:tcW w:w="4917" w:type="dxa"/>
            <w:tcBorders>
              <w:top w:val="single" w:sz="12" w:space="0" w:color="auto"/>
            </w:tcBorders>
            <w:vAlign w:val="bottom"/>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p>
        </w:tc>
      </w:tr>
      <w:tr w:rsidR="002117BE" w:rsidRPr="00D218C8">
        <w:tblPrEx>
          <w:tblCellMar>
            <w:top w:w="0" w:type="dxa"/>
            <w:bottom w:w="0" w:type="dxa"/>
          </w:tblCellMar>
        </w:tblPrEx>
        <w:trPr>
          <w:cantSplit/>
        </w:trPr>
        <w:tc>
          <w:tcPr>
            <w:tcW w:w="2403" w:type="dxa"/>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r w:rsidRPr="00D218C8">
              <w:rPr>
                <w:rFonts w:hint="cs"/>
                <w:sz w:val="24"/>
                <w:szCs w:val="24"/>
                <w:rtl/>
                <w:lang w:bidi="ar-EG"/>
              </w:rPr>
              <w:t>القانون رقم 515 لسنة 1999</w:t>
            </w:r>
          </w:p>
        </w:tc>
        <w:tc>
          <w:tcPr>
            <w:tcW w:w="4917" w:type="dxa"/>
            <w:vAlign w:val="bottom"/>
          </w:tcPr>
          <w:p w:rsidR="002117BE" w:rsidRPr="00D218C8" w:rsidRDefault="002117BE" w:rsidP="0080367B">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D218C8">
              <w:rPr>
                <w:rFonts w:hint="cs"/>
                <w:sz w:val="24"/>
                <w:szCs w:val="24"/>
                <w:rtl/>
                <w:lang w:bidi="ar-EG"/>
              </w:rPr>
              <w:t>اعتمد اتفاقية منظمة العمل الدولية رقم 138 المتعلقة بالسن الدنيا للالتحاق بالعمل التي اعتمدها المؤتمر العام لمنظمة العمل الدولية في دورته الثامنة والخمسين المعقودة في جنيف، سويسرا، في 26 حزيران/يونيه 1973</w:t>
            </w:r>
            <w:r w:rsidR="003D7EB4">
              <w:rPr>
                <w:rFonts w:hint="cs"/>
                <w:sz w:val="24"/>
                <w:szCs w:val="24"/>
                <w:rtl/>
                <w:lang w:bidi="ar-EG"/>
              </w:rPr>
              <w:t>،</w:t>
            </w:r>
          </w:p>
        </w:tc>
      </w:tr>
      <w:tr w:rsidR="002117BE" w:rsidRPr="00D218C8">
        <w:tblPrEx>
          <w:tblCellMar>
            <w:top w:w="0" w:type="dxa"/>
            <w:bottom w:w="0" w:type="dxa"/>
          </w:tblCellMar>
        </w:tblPrEx>
        <w:trPr>
          <w:cantSplit/>
        </w:trPr>
        <w:tc>
          <w:tcPr>
            <w:tcW w:w="2403" w:type="dxa"/>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r w:rsidRPr="00D218C8">
              <w:rPr>
                <w:rFonts w:hint="cs"/>
                <w:sz w:val="24"/>
                <w:szCs w:val="24"/>
                <w:rtl/>
                <w:lang w:bidi="ar-EG"/>
              </w:rPr>
              <w:t>القانون رقم 704 لسنة 2001</w:t>
            </w:r>
          </w:p>
        </w:tc>
        <w:tc>
          <w:tcPr>
            <w:tcW w:w="4917" w:type="dxa"/>
            <w:vAlign w:val="bottom"/>
          </w:tcPr>
          <w:p w:rsidR="002117BE" w:rsidRPr="00D218C8" w:rsidRDefault="002117BE" w:rsidP="0080367B">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D218C8">
              <w:rPr>
                <w:rFonts w:hint="cs"/>
                <w:sz w:val="24"/>
                <w:szCs w:val="24"/>
                <w:rtl/>
                <w:lang w:bidi="ar-EG"/>
              </w:rPr>
              <w:t>اعتمد الاتفاقية رقم 182 المتعلقة بحظر أسوأ أشكال عمل الأطفال، والعمل فورا على إزالتها، التي اعتمدها المؤتمر العام لمنظمة العمل الدولية في دورته السابعة والثمانين المعقودة في جنيف، سويسرا، في 17 حزيران/يونيه 1999</w:t>
            </w:r>
            <w:r w:rsidR="003D7EB4">
              <w:rPr>
                <w:rFonts w:hint="cs"/>
                <w:sz w:val="24"/>
                <w:szCs w:val="24"/>
                <w:rtl/>
                <w:lang w:bidi="ar-EG"/>
              </w:rPr>
              <w:t>،</w:t>
            </w:r>
          </w:p>
        </w:tc>
      </w:tr>
      <w:tr w:rsidR="002117BE" w:rsidRPr="00D218C8">
        <w:tblPrEx>
          <w:tblCellMar>
            <w:top w:w="0" w:type="dxa"/>
            <w:bottom w:w="0" w:type="dxa"/>
          </w:tblCellMar>
        </w:tblPrEx>
        <w:trPr>
          <w:cantSplit/>
        </w:trPr>
        <w:tc>
          <w:tcPr>
            <w:tcW w:w="2403" w:type="dxa"/>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r w:rsidRPr="00D218C8">
              <w:rPr>
                <w:rFonts w:hint="cs"/>
                <w:sz w:val="24"/>
                <w:szCs w:val="24"/>
                <w:rtl/>
                <w:lang w:bidi="ar-EG"/>
              </w:rPr>
              <w:t>القانون رقم 742 لسنة 2002</w:t>
            </w:r>
          </w:p>
        </w:tc>
        <w:tc>
          <w:tcPr>
            <w:tcW w:w="4917" w:type="dxa"/>
            <w:vAlign w:val="bottom"/>
          </w:tcPr>
          <w:p w:rsidR="002117BE" w:rsidRPr="00D218C8" w:rsidRDefault="002117BE" w:rsidP="0080367B">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D218C8">
              <w:rPr>
                <w:rFonts w:hint="cs"/>
                <w:sz w:val="24"/>
                <w:szCs w:val="24"/>
                <w:rtl/>
                <w:lang w:bidi="ar-EG"/>
              </w:rPr>
              <w:t>اعتمد نظام روما الأساسي للمحكمة الجنائية الدولية لسنة 1998، بما في ذلك جرائم العنف القائم على أساس الجنس، روما، في 17 تموز/يوليه 1998، الذي اعتمدته الجمعية العامة للأمم المتحدة في 15 تشرين الثاني/نوفمبر 2000</w:t>
            </w:r>
            <w:r w:rsidR="003D7EB4">
              <w:rPr>
                <w:rFonts w:hint="cs"/>
                <w:sz w:val="24"/>
                <w:szCs w:val="24"/>
                <w:rtl/>
                <w:lang w:bidi="ar-EG"/>
              </w:rPr>
              <w:t>،</w:t>
            </w:r>
          </w:p>
        </w:tc>
      </w:tr>
      <w:tr w:rsidR="002117BE" w:rsidRPr="00D218C8">
        <w:tblPrEx>
          <w:tblCellMar>
            <w:top w:w="0" w:type="dxa"/>
            <w:bottom w:w="0" w:type="dxa"/>
          </w:tblCellMar>
        </w:tblPrEx>
        <w:trPr>
          <w:cantSplit/>
        </w:trPr>
        <w:tc>
          <w:tcPr>
            <w:tcW w:w="2403" w:type="dxa"/>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r w:rsidRPr="00D218C8">
              <w:rPr>
                <w:rFonts w:hint="cs"/>
                <w:sz w:val="24"/>
                <w:szCs w:val="24"/>
                <w:rtl/>
                <w:lang w:bidi="ar-EG"/>
              </w:rPr>
              <w:t>القانون رقم 762 لسنة 2002</w:t>
            </w:r>
          </w:p>
        </w:tc>
        <w:tc>
          <w:tcPr>
            <w:tcW w:w="4917" w:type="dxa"/>
            <w:vAlign w:val="bottom"/>
          </w:tcPr>
          <w:p w:rsidR="002117BE" w:rsidRPr="00D218C8" w:rsidRDefault="002117BE" w:rsidP="0080367B">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D218C8">
              <w:rPr>
                <w:rFonts w:hint="cs"/>
                <w:sz w:val="24"/>
                <w:szCs w:val="24"/>
                <w:rtl/>
                <w:lang w:bidi="ar-EG"/>
              </w:rPr>
              <w:t>اعتمد اتفاقية البلدان الأمريكية للقضاء على جميع أشكال التمييز ضد المعوقين لسنة 1999</w:t>
            </w:r>
            <w:r w:rsidR="003D7EB4">
              <w:rPr>
                <w:rFonts w:hint="cs"/>
                <w:sz w:val="24"/>
                <w:szCs w:val="24"/>
                <w:rtl/>
                <w:lang w:bidi="ar-EG"/>
              </w:rPr>
              <w:t>،</w:t>
            </w:r>
          </w:p>
        </w:tc>
      </w:tr>
      <w:tr w:rsidR="002117BE" w:rsidRPr="00D218C8">
        <w:tblPrEx>
          <w:tblCellMar>
            <w:top w:w="0" w:type="dxa"/>
            <w:bottom w:w="0" w:type="dxa"/>
          </w:tblCellMar>
        </w:tblPrEx>
        <w:trPr>
          <w:cantSplit/>
        </w:trPr>
        <w:tc>
          <w:tcPr>
            <w:tcW w:w="2403" w:type="dxa"/>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r w:rsidRPr="00D218C8">
              <w:rPr>
                <w:rFonts w:hint="cs"/>
                <w:sz w:val="24"/>
                <w:szCs w:val="24"/>
                <w:rtl/>
                <w:lang w:bidi="ar-EG"/>
              </w:rPr>
              <w:t>القانون رقم 765 لسنة 2002</w:t>
            </w:r>
          </w:p>
        </w:tc>
        <w:tc>
          <w:tcPr>
            <w:tcW w:w="4917" w:type="dxa"/>
            <w:vAlign w:val="bottom"/>
          </w:tcPr>
          <w:p w:rsidR="002117BE" w:rsidRPr="00D218C8" w:rsidRDefault="002117BE" w:rsidP="0080367B">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D218C8">
              <w:rPr>
                <w:rFonts w:hint="cs"/>
                <w:sz w:val="24"/>
                <w:szCs w:val="24"/>
                <w:rtl/>
                <w:lang w:bidi="ar-EG"/>
              </w:rPr>
              <w:t>اعتمد البروتوكول الاختياري لاتفاقية حقوق الطفل المتعلق ببيع الأطفال ودعارة الأطفال واستغلال الأطفال في التصوير الإباحي، المعتمد في نيويورك، في 25 أيار/مايو 2000</w:t>
            </w:r>
            <w:r w:rsidR="003D7EB4">
              <w:rPr>
                <w:rFonts w:hint="cs"/>
                <w:sz w:val="24"/>
                <w:szCs w:val="24"/>
                <w:rtl/>
                <w:lang w:bidi="ar-EG"/>
              </w:rPr>
              <w:t>،</w:t>
            </w:r>
          </w:p>
        </w:tc>
      </w:tr>
      <w:tr w:rsidR="002117BE" w:rsidRPr="00D218C8">
        <w:tblPrEx>
          <w:tblCellMar>
            <w:top w:w="0" w:type="dxa"/>
            <w:bottom w:w="0" w:type="dxa"/>
          </w:tblCellMar>
        </w:tblPrEx>
        <w:trPr>
          <w:cantSplit/>
        </w:trPr>
        <w:tc>
          <w:tcPr>
            <w:tcW w:w="2403" w:type="dxa"/>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r w:rsidRPr="00D218C8">
              <w:rPr>
                <w:rFonts w:hint="cs"/>
                <w:sz w:val="24"/>
                <w:szCs w:val="24"/>
                <w:rtl/>
                <w:lang w:bidi="ar-EG"/>
              </w:rPr>
              <w:t>القانون رقم 800 لسنة 2003</w:t>
            </w:r>
          </w:p>
        </w:tc>
        <w:tc>
          <w:tcPr>
            <w:tcW w:w="4917" w:type="dxa"/>
            <w:vAlign w:val="bottom"/>
          </w:tcPr>
          <w:p w:rsidR="002117BE" w:rsidRPr="00D218C8" w:rsidRDefault="002117BE" w:rsidP="0080367B">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D218C8">
              <w:rPr>
                <w:rFonts w:hint="cs"/>
                <w:sz w:val="24"/>
                <w:szCs w:val="24"/>
                <w:rtl/>
                <w:lang w:bidi="ar-EG"/>
              </w:rPr>
              <w:t>اعتمد اتفاقية مكافحة الجريمة المنظمة عبر الحدود الوطنية وبروتوكولها الخاص بقمع ومعاقبة الاتجار بالأشخاص ولا سيما النساء والأطفال، المكمل لاتفاقية مكافحة الجريمة المنظمة عبر الحدود الوطنية، اللذين اعتمدتهما الجمعية العامة للأمم المتحدة في 15 تشرين الثاني/نوفمبر 2000</w:t>
            </w:r>
            <w:r w:rsidR="003D7EB4">
              <w:rPr>
                <w:rFonts w:hint="cs"/>
                <w:sz w:val="24"/>
                <w:szCs w:val="24"/>
                <w:rtl/>
                <w:lang w:bidi="ar-EG"/>
              </w:rPr>
              <w:t>،</w:t>
            </w:r>
          </w:p>
        </w:tc>
      </w:tr>
      <w:tr w:rsidR="002117BE" w:rsidRPr="00D218C8">
        <w:tblPrEx>
          <w:tblCellMar>
            <w:top w:w="0" w:type="dxa"/>
            <w:bottom w:w="0" w:type="dxa"/>
          </w:tblCellMar>
        </w:tblPrEx>
        <w:trPr>
          <w:cantSplit/>
        </w:trPr>
        <w:tc>
          <w:tcPr>
            <w:tcW w:w="2403" w:type="dxa"/>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r w:rsidRPr="00D218C8">
              <w:rPr>
                <w:rFonts w:hint="cs"/>
                <w:sz w:val="24"/>
                <w:szCs w:val="24"/>
                <w:rtl/>
                <w:lang w:bidi="ar-EG"/>
              </w:rPr>
              <w:t>القانون رقم 833 لسنة 2003</w:t>
            </w:r>
          </w:p>
        </w:tc>
        <w:tc>
          <w:tcPr>
            <w:tcW w:w="4917" w:type="dxa"/>
            <w:vAlign w:val="bottom"/>
          </w:tcPr>
          <w:p w:rsidR="002117BE" w:rsidRPr="00D218C8" w:rsidRDefault="002117BE" w:rsidP="0080367B">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D218C8">
              <w:rPr>
                <w:rFonts w:hint="cs"/>
                <w:sz w:val="24"/>
                <w:szCs w:val="24"/>
                <w:rtl/>
                <w:lang w:bidi="ar-EG"/>
              </w:rPr>
              <w:t>اعتمد البروتوكول الاختياري لاتفاقية حقوق الطفل المتعلق بحظر اشتراك القصر في المنازعات المسلحة</w:t>
            </w:r>
            <w:r w:rsidR="003D7EB4">
              <w:rPr>
                <w:rFonts w:hint="cs"/>
                <w:sz w:val="24"/>
                <w:szCs w:val="24"/>
                <w:rtl/>
                <w:lang w:bidi="ar-EG"/>
              </w:rPr>
              <w:t>،</w:t>
            </w:r>
          </w:p>
        </w:tc>
      </w:tr>
      <w:tr w:rsidR="002117BE" w:rsidRPr="00D218C8">
        <w:tblPrEx>
          <w:tblCellMar>
            <w:top w:w="0" w:type="dxa"/>
            <w:bottom w:w="0" w:type="dxa"/>
          </w:tblCellMar>
        </w:tblPrEx>
        <w:trPr>
          <w:cantSplit/>
        </w:trPr>
        <w:tc>
          <w:tcPr>
            <w:tcW w:w="2403" w:type="dxa"/>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r w:rsidRPr="00D218C8">
              <w:rPr>
                <w:rFonts w:hint="cs"/>
                <w:sz w:val="24"/>
                <w:szCs w:val="24"/>
                <w:rtl/>
                <w:lang w:bidi="ar-EG"/>
              </w:rPr>
              <w:t>القانون رقم 837 لسنة 2003</w:t>
            </w:r>
          </w:p>
        </w:tc>
        <w:tc>
          <w:tcPr>
            <w:tcW w:w="4917" w:type="dxa"/>
            <w:vAlign w:val="bottom"/>
          </w:tcPr>
          <w:p w:rsidR="002117BE" w:rsidRPr="00D218C8" w:rsidRDefault="002117BE" w:rsidP="0080367B">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D218C8">
              <w:rPr>
                <w:rFonts w:hint="cs"/>
                <w:sz w:val="24"/>
                <w:szCs w:val="24"/>
                <w:rtl/>
                <w:lang w:bidi="ar-EG"/>
              </w:rPr>
              <w:t>اعتمد الاتفاقية الدولية لمكافحة أخذ الرهائن، التي اعتمدتها الأمم المتحدة في 17 كانون الأول/ديسمبر 1979</w:t>
            </w:r>
            <w:r w:rsidR="003D7EB4">
              <w:rPr>
                <w:rFonts w:hint="cs"/>
                <w:sz w:val="24"/>
                <w:szCs w:val="24"/>
                <w:rtl/>
                <w:lang w:bidi="ar-EG"/>
              </w:rPr>
              <w:t>،</w:t>
            </w:r>
          </w:p>
        </w:tc>
      </w:tr>
      <w:tr w:rsidR="002117BE" w:rsidRPr="00D218C8">
        <w:tblPrEx>
          <w:tblCellMar>
            <w:top w:w="0" w:type="dxa"/>
            <w:bottom w:w="0" w:type="dxa"/>
          </w:tblCellMar>
        </w:tblPrEx>
        <w:trPr>
          <w:cantSplit/>
        </w:trPr>
        <w:tc>
          <w:tcPr>
            <w:tcW w:w="2403" w:type="dxa"/>
            <w:tcBorders>
              <w:bottom w:val="single" w:sz="12" w:space="0" w:color="auto"/>
            </w:tcBorders>
          </w:tcPr>
          <w:p w:rsidR="002117BE" w:rsidRPr="00D218C8" w:rsidRDefault="002117BE" w:rsidP="002117BE">
            <w:pPr>
              <w:tabs>
                <w:tab w:val="left" w:pos="288"/>
                <w:tab w:val="left" w:pos="576"/>
                <w:tab w:val="left" w:pos="864"/>
                <w:tab w:val="left" w:pos="1152"/>
              </w:tabs>
              <w:spacing w:before="1" w:after="1" w:line="380" w:lineRule="exact"/>
              <w:ind w:left="72" w:right="72"/>
              <w:rPr>
                <w:rFonts w:hint="cs"/>
                <w:sz w:val="24"/>
                <w:szCs w:val="24"/>
                <w:rtl/>
                <w:lang w:bidi="ar-EG"/>
              </w:rPr>
            </w:pPr>
            <w:r w:rsidRPr="00D218C8">
              <w:rPr>
                <w:rFonts w:hint="cs"/>
                <w:sz w:val="24"/>
                <w:szCs w:val="24"/>
                <w:rtl/>
                <w:lang w:bidi="ar-EG"/>
              </w:rPr>
              <w:t>القانون رقم 880 لسنة 2004</w:t>
            </w:r>
          </w:p>
        </w:tc>
        <w:tc>
          <w:tcPr>
            <w:tcW w:w="4917" w:type="dxa"/>
            <w:tcBorders>
              <w:bottom w:val="single" w:sz="12" w:space="0" w:color="auto"/>
            </w:tcBorders>
            <w:vAlign w:val="bottom"/>
          </w:tcPr>
          <w:p w:rsidR="002117BE" w:rsidRPr="00D218C8" w:rsidRDefault="002117BE" w:rsidP="0080367B">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D218C8">
              <w:rPr>
                <w:rFonts w:hint="cs"/>
                <w:sz w:val="24"/>
                <w:szCs w:val="24"/>
                <w:rtl/>
                <w:lang w:bidi="ar-EG"/>
              </w:rPr>
              <w:t>اعتمد اتفاقية البلدان الأمريكية بشأن إعادة القصر على الصعيد الدولي، الموقعة في مونتفيديو، أوروغواي، في 15 تموز/يوليه 1989، في المؤتمر الرابع المتخصص للبلدان الأمريكية المعني بالقانون الدولي الخاص</w:t>
            </w:r>
            <w:r w:rsidR="003D7EB4">
              <w:rPr>
                <w:rFonts w:hint="cs"/>
                <w:sz w:val="24"/>
                <w:szCs w:val="24"/>
                <w:rtl/>
                <w:lang w:bidi="ar-EG"/>
              </w:rPr>
              <w:t>،</w:t>
            </w:r>
          </w:p>
        </w:tc>
      </w:tr>
    </w:tbl>
    <w:p w:rsidR="005B5660" w:rsidRDefault="005B5660" w:rsidP="005B5660">
      <w:pPr>
        <w:pStyle w:val="SingleTxt"/>
        <w:spacing w:after="0" w:line="120" w:lineRule="exact"/>
        <w:ind w:left="72" w:right="72"/>
        <w:jc w:val="both"/>
        <w:rPr>
          <w:rFonts w:hint="cs"/>
          <w:b/>
          <w:bCs/>
          <w:rtl/>
          <w:lang w:bidi="ar-EG"/>
        </w:rPr>
      </w:pPr>
      <w:r>
        <w:rPr>
          <w:rFonts w:hint="cs"/>
          <w:b/>
          <w:bCs/>
          <w:rtl/>
          <w:lang w:bidi="ar-EG"/>
        </w:rPr>
        <w:tab/>
      </w:r>
    </w:p>
    <w:p w:rsidR="005B5660" w:rsidRPr="005B5660" w:rsidRDefault="005B5660" w:rsidP="005B5660">
      <w:pPr>
        <w:pStyle w:val="SingleTxt"/>
        <w:spacing w:after="0" w:line="120" w:lineRule="exact"/>
        <w:ind w:left="72" w:right="72"/>
        <w:jc w:val="both"/>
        <w:rPr>
          <w:rFonts w:hint="cs"/>
          <w:b/>
          <w:bCs/>
          <w:sz w:val="10"/>
          <w:rtl/>
          <w:lang w:bidi="ar-EG"/>
        </w:rPr>
      </w:pPr>
    </w:p>
    <w:p w:rsidR="002117BE" w:rsidRDefault="00D41C40" w:rsidP="00D41C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B5660">
        <w:rPr>
          <w:rFonts w:hint="cs"/>
          <w:rtl/>
          <w:lang w:bidi="ar-EG"/>
        </w:rPr>
        <w:tab/>
      </w:r>
      <w:r w:rsidR="002117BE">
        <w:rPr>
          <w:rFonts w:hint="cs"/>
          <w:rtl/>
          <w:lang w:bidi="ar-EG"/>
        </w:rPr>
        <w:t>التشريع الد</w:t>
      </w:r>
      <w:r w:rsidR="002117BE" w:rsidRPr="00D41C40">
        <w:rPr>
          <w:rFonts w:hint="cs"/>
          <w:rtl/>
        </w:rPr>
        <w:t>ا</w:t>
      </w:r>
      <w:r w:rsidR="002117BE">
        <w:rPr>
          <w:rFonts w:hint="cs"/>
          <w:rtl/>
          <w:lang w:bidi="ar-EG"/>
        </w:rPr>
        <w:t>خلي:</w:t>
      </w:r>
    </w:p>
    <w:p w:rsidR="005B5660" w:rsidRPr="005B5660" w:rsidRDefault="005B5660" w:rsidP="005B5660">
      <w:pPr>
        <w:pStyle w:val="SingleTxt"/>
        <w:spacing w:after="0" w:line="120" w:lineRule="exact"/>
        <w:ind w:left="72" w:right="72"/>
        <w:jc w:val="both"/>
        <w:rPr>
          <w:sz w:val="10"/>
          <w:rtl/>
          <w:lang w:bidi="ar-EG"/>
        </w:rPr>
      </w:pPr>
    </w:p>
    <w:tbl>
      <w:tblPr>
        <w:bidiVisual/>
        <w:tblW w:w="7320" w:type="dxa"/>
        <w:jc w:val="center"/>
        <w:tblLayout w:type="fixed"/>
        <w:tblCellMar>
          <w:left w:w="0" w:type="dxa"/>
          <w:right w:w="0" w:type="dxa"/>
        </w:tblCellMar>
        <w:tblLook w:val="0000" w:firstRow="0" w:lastRow="0" w:firstColumn="0" w:lastColumn="0" w:noHBand="0" w:noVBand="0"/>
      </w:tblPr>
      <w:tblGrid>
        <w:gridCol w:w="2403"/>
        <w:gridCol w:w="4917"/>
      </w:tblGrid>
      <w:tr w:rsidR="002117BE" w:rsidRPr="005B5660">
        <w:tblPrEx>
          <w:tblCellMar>
            <w:top w:w="0" w:type="dxa"/>
            <w:bottom w:w="0" w:type="dxa"/>
          </w:tblCellMar>
        </w:tblPrEx>
        <w:trPr>
          <w:cantSplit/>
          <w:tblHeader/>
          <w:jc w:val="center"/>
        </w:trPr>
        <w:tc>
          <w:tcPr>
            <w:tcW w:w="2403" w:type="dxa"/>
            <w:tcBorders>
              <w:top w:val="single" w:sz="4" w:space="0" w:color="auto"/>
              <w:bottom w:val="single" w:sz="12" w:space="0" w:color="auto"/>
            </w:tcBorders>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i/>
                <w:iCs/>
                <w:sz w:val="24"/>
                <w:szCs w:val="24"/>
                <w:rtl/>
                <w:lang w:bidi="ar-EG"/>
              </w:rPr>
            </w:pPr>
            <w:r w:rsidRPr="005B5660">
              <w:rPr>
                <w:rFonts w:hint="cs"/>
                <w:i/>
                <w:iCs/>
                <w:sz w:val="24"/>
                <w:szCs w:val="24"/>
                <w:rtl/>
                <w:lang w:bidi="ar-EG"/>
              </w:rPr>
              <w:t>القانون</w:t>
            </w:r>
          </w:p>
        </w:tc>
        <w:tc>
          <w:tcPr>
            <w:tcW w:w="4917" w:type="dxa"/>
            <w:tcBorders>
              <w:top w:val="single" w:sz="4" w:space="0" w:color="auto"/>
              <w:bottom w:val="single" w:sz="12" w:space="0" w:color="auto"/>
            </w:tcBorders>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i/>
                <w:iCs/>
                <w:sz w:val="24"/>
                <w:szCs w:val="24"/>
                <w:rtl/>
                <w:lang w:bidi="ar-EG"/>
              </w:rPr>
            </w:pPr>
            <w:r w:rsidRPr="005B5660">
              <w:rPr>
                <w:rFonts w:hint="cs"/>
                <w:i/>
                <w:iCs/>
                <w:sz w:val="24"/>
                <w:szCs w:val="24"/>
                <w:rtl/>
                <w:lang w:bidi="ar-EG"/>
              </w:rPr>
              <w:t>الموضوع</w:t>
            </w:r>
          </w:p>
        </w:tc>
      </w:tr>
      <w:tr w:rsidR="002117BE" w:rsidRPr="005B5660">
        <w:tblPrEx>
          <w:tblCellMar>
            <w:top w:w="0" w:type="dxa"/>
            <w:bottom w:w="0" w:type="dxa"/>
          </w:tblCellMar>
        </w:tblPrEx>
        <w:trPr>
          <w:cantSplit/>
          <w:trHeight w:hRule="exact" w:val="115"/>
          <w:tblHeader/>
          <w:jc w:val="center"/>
        </w:trPr>
        <w:tc>
          <w:tcPr>
            <w:tcW w:w="2403" w:type="dxa"/>
            <w:tcBorders>
              <w:top w:val="single" w:sz="12" w:space="0" w:color="auto"/>
            </w:tcBorders>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p>
        </w:tc>
        <w:tc>
          <w:tcPr>
            <w:tcW w:w="4917" w:type="dxa"/>
            <w:tcBorders>
              <w:top w:val="single" w:sz="12" w:space="0" w:color="auto"/>
            </w:tcBorders>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509 لسنة 1999</w:t>
            </w:r>
          </w:p>
        </w:tc>
        <w:tc>
          <w:tcPr>
            <w:tcW w:w="4917"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مستحقات للأمهات المجتمعيات</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546 لسنة 1999</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يفرض قواعد في مجال الإسكان، ويشير إلى الأهداف والمعايير العامة التي ينبغي أن تراعيها الحكومة لدى إنشاء نظام خاص للتمويل</w:t>
            </w:r>
            <w:r w:rsidR="003D7EB4">
              <w:rPr>
                <w:rFonts w:hint="cs"/>
                <w:sz w:val="24"/>
                <w:szCs w:val="24"/>
                <w:rtl/>
                <w:lang w:bidi="ar-EG"/>
              </w:rPr>
              <w:t>،</w:t>
            </w:r>
            <w:r w:rsidRPr="005B5660">
              <w:rPr>
                <w:rFonts w:hint="cs"/>
                <w:sz w:val="24"/>
                <w:szCs w:val="24"/>
                <w:rtl/>
                <w:lang w:bidi="ar-EG"/>
              </w:rPr>
              <w:t xml:space="preserve"> وهو يحمي الممتلكات الأسرية المتمثلة في المسكن ويعزز تمويل إقامة مساكن لأكبر عدد ممكن من الأسر</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575 لسنة 2000</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(المعدل جزئيا بالقانون رقم 294 لسنة 1996): يتضمن أحكاما في مجال العنف العائلي</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581 لسنة 2000</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قانون الحصص</w:t>
            </w:r>
            <w:r w:rsidR="003D7EB4">
              <w:rPr>
                <w:rFonts w:hint="cs"/>
                <w:sz w:val="24"/>
                <w:szCs w:val="24"/>
                <w:rtl/>
                <w:lang w:bidi="ar-EG"/>
              </w:rPr>
              <w:t>،</w:t>
            </w:r>
            <w:r w:rsidRPr="005B5660">
              <w:rPr>
                <w:rFonts w:hint="cs"/>
                <w:sz w:val="24"/>
                <w:szCs w:val="24"/>
                <w:rtl/>
                <w:lang w:bidi="ar-EG"/>
              </w:rPr>
              <w:t xml:space="preserve"> ينظم المشاركة الوافية والفعالة للمرأة وعلى مستويات اتخاذ القرارات في مختلف أفرع وأجهزة السلطة العامة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590 لسنة 2000</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قانون تعزيز وتنمية المؤسسات الصغيرة والمتوسطة والصغيرة للغاية</w:t>
            </w:r>
            <w:r w:rsidR="003D7EB4">
              <w:rPr>
                <w:rFonts w:hint="cs"/>
                <w:sz w:val="24"/>
                <w:szCs w:val="24"/>
                <w:rtl/>
                <w:lang w:bidi="ar-EG"/>
              </w:rPr>
              <w:t>،</w:t>
            </w:r>
            <w:r w:rsidRPr="005B5660">
              <w:rPr>
                <w:rFonts w:hint="cs"/>
                <w:sz w:val="24"/>
                <w:szCs w:val="24"/>
                <w:rtl/>
                <w:lang w:bidi="ar-EG"/>
              </w:rPr>
              <w:t xml:space="preserve"> يمنح النساء معاملة خاصة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595 لسنة 1999</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أحكام تعزز التكوين الطبقي للممتلكات الأسرية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599 لسنة 2000</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sz w:val="24"/>
                <w:szCs w:val="24"/>
                <w:lang w:bidi="ar-EG"/>
              </w:rPr>
              <w:t>:</w:t>
            </w:r>
            <w:r w:rsidRPr="005B426E">
              <w:rPr>
                <w:rFonts w:hint="cs"/>
                <w:sz w:val="24"/>
                <w:szCs w:val="24"/>
                <w:rtl/>
                <w:lang w:bidi="ar-EG"/>
              </w:rPr>
              <w:t>القانون الجنائي</w:t>
            </w:r>
            <w:r w:rsidRPr="005B5660">
              <w:rPr>
                <w:rFonts w:hint="cs"/>
                <w:sz w:val="24"/>
                <w:szCs w:val="24"/>
                <w:rtl/>
                <w:lang w:bidi="ar-EG"/>
              </w:rPr>
              <w:t xml:space="preserve"> حدث هذا القانون القانون الجنائي الكولومبي ووصف أشكال السلوك الجنائي التي تؤثر في المرأة ووفر الحماية للمرأة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600 لسنة 2000</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قانون الإجراءات الجنائية</w:t>
            </w:r>
            <w:r w:rsidR="003D7EB4">
              <w:rPr>
                <w:rFonts w:hint="cs"/>
                <w:sz w:val="24"/>
                <w:szCs w:val="24"/>
                <w:rtl/>
                <w:lang w:bidi="ar-EG"/>
              </w:rPr>
              <w:t>،</w:t>
            </w:r>
            <w:r w:rsidRPr="005B5660">
              <w:rPr>
                <w:rFonts w:hint="cs"/>
                <w:sz w:val="24"/>
                <w:szCs w:val="24"/>
                <w:rtl/>
                <w:lang w:bidi="ar-EG"/>
              </w:rPr>
              <w:t xml:space="preserve"> يكرس الشكوى باعتبارها شرطا لا زما في نظر محكمة الصلح في جريمة العنف العائلي</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640 لسنة 2001</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يعدل قواعد متعلقة بالمصالحة</w:t>
            </w:r>
            <w:r w:rsidR="003D7EB4">
              <w:rPr>
                <w:rFonts w:hint="cs"/>
                <w:sz w:val="24"/>
                <w:szCs w:val="24"/>
                <w:rtl/>
                <w:lang w:bidi="ar-EG"/>
              </w:rPr>
              <w:t>،</w:t>
            </w:r>
            <w:r w:rsidRPr="005B5660">
              <w:rPr>
                <w:rFonts w:hint="cs"/>
                <w:sz w:val="24"/>
                <w:szCs w:val="24"/>
                <w:rtl/>
                <w:lang w:bidi="ar-EG"/>
              </w:rPr>
              <w:t xml:space="preserve"> الفصل السابع مكرس للصلح خارج المحكمة في الشؤون الأسرية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679 لسنة 2001</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يكرس أحكاما ترمي إلى منع ومكافحة استغلال القصر واستغلالهم في التصوير الإباحي والسياحة الجنسية مع القصر</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708 لسنة 2001</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القواعد المتعلقة بالإعانة الأسرية الاجتماعية الخاصة بالسكن</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731 لسنة 2002</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قانون المرأة الريفية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747 لسنة 2002</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تعديلات وإضافات للقانون رقم 599 لسنة 2000</w:t>
            </w:r>
            <w:r w:rsidR="003D7EB4">
              <w:rPr>
                <w:rFonts w:hint="cs"/>
                <w:sz w:val="24"/>
                <w:szCs w:val="24"/>
                <w:rtl/>
                <w:lang w:bidi="ar-EG"/>
              </w:rPr>
              <w:t>،</w:t>
            </w:r>
            <w:r w:rsidRPr="005B5660">
              <w:rPr>
                <w:rFonts w:hint="cs"/>
                <w:sz w:val="24"/>
                <w:szCs w:val="24"/>
                <w:rtl/>
                <w:lang w:bidi="ar-EG"/>
              </w:rPr>
              <w:t xml:space="preserve"> يضع الوصف الجنائي للاتجار بالأشخاص</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750 لسنة 2002</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يتضمن الأحكام المتعلقة بالحبس المنزلي والعمل المجتمعي لرئيسة الأسرة المسجونة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755 لسنة 2002</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قانون ماريا</w:t>
            </w:r>
            <w:r w:rsidR="003D7EB4">
              <w:rPr>
                <w:rFonts w:hint="cs"/>
                <w:sz w:val="24"/>
                <w:szCs w:val="24"/>
                <w:rtl/>
                <w:lang w:bidi="ar-EG"/>
              </w:rPr>
              <w:t>،</w:t>
            </w:r>
            <w:r w:rsidRPr="005B5660">
              <w:rPr>
                <w:rFonts w:hint="cs"/>
                <w:sz w:val="24"/>
                <w:szCs w:val="24"/>
                <w:rtl/>
                <w:lang w:bidi="ar-EG"/>
              </w:rPr>
              <w:t xml:space="preserve"> يمنح الزوج أو الرفيق الدائم إجازة أبوة لمدة 8 أيام إذا كان الزوجان أو الرفيقان مشتركان في نظام التأمينات الاجتماعية أو إجازة لمدة 4 أيام إذا كانت الأم وحدها هي المشتركة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790 لسنة 2002</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يهدف إلى تجديد وتحديث هيكل الفرع التنفيذي للنظام العام لضمان وفاء الدولة بالتزاماتها فورا وبسرعة في إطار قدرة الأم المالية على الاستمرار</w:t>
            </w:r>
            <w:r w:rsidR="003D7EB4">
              <w:rPr>
                <w:rFonts w:hint="cs"/>
                <w:sz w:val="24"/>
                <w:szCs w:val="24"/>
                <w:rtl/>
                <w:lang w:bidi="ar-EG"/>
              </w:rPr>
              <w:t>،</w:t>
            </w:r>
            <w:r w:rsidRPr="005B5660">
              <w:rPr>
                <w:rFonts w:hint="cs"/>
                <w:sz w:val="24"/>
                <w:szCs w:val="24"/>
                <w:rtl/>
                <w:lang w:bidi="ar-EG"/>
              </w:rPr>
              <w:t xml:space="preserve"> وقد أنشئ احتياطي اجتماعي لضمان الاستقرار في العمل لرئيسة الأسرة والمعوقين والمعوقات</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797 لسنة 2003</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يعدل نظام القانون رقم 100 المتعلق بالتأمينات الاجتماعية ويعتمد أحكاما متعلقة بنظامي المعاشات التقاعدية الخاصة والاستثنائية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812 لسنة 2003</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 xml:space="preserve">يعتمد الخطة الإنمائية الوطنية </w:t>
            </w:r>
            <w:r w:rsidRPr="005B5660">
              <w:rPr>
                <w:rFonts w:hint="eastAsia"/>
                <w:sz w:val="24"/>
                <w:szCs w:val="24"/>
                <w:rtl/>
                <w:lang w:bidi="ar-EG"/>
              </w:rPr>
              <w:t xml:space="preserve">”دولة </w:t>
            </w:r>
            <w:r w:rsidRPr="005B5660">
              <w:rPr>
                <w:rFonts w:hint="cs"/>
                <w:sz w:val="24"/>
                <w:szCs w:val="24"/>
                <w:rtl/>
                <w:lang w:bidi="ar-EG"/>
              </w:rPr>
              <w:t>اشتراكية</w:t>
            </w:r>
            <w:r w:rsidRPr="005B5660">
              <w:rPr>
                <w:rFonts w:hint="eastAsia"/>
                <w:sz w:val="24"/>
                <w:szCs w:val="24"/>
                <w:rtl/>
                <w:lang w:bidi="ar-EG"/>
              </w:rPr>
              <w:t xml:space="preserve">، </w:t>
            </w:r>
            <w:r w:rsidRPr="005B5660">
              <w:rPr>
                <w:rFonts w:hint="cs"/>
                <w:sz w:val="24"/>
                <w:szCs w:val="24"/>
                <w:rtl/>
                <w:lang w:bidi="ar-EG"/>
              </w:rPr>
              <w:t>2002-2006</w:t>
            </w:r>
            <w:r w:rsidRPr="005B5660">
              <w:rPr>
                <w:rFonts w:hint="eastAsia"/>
                <w:sz w:val="24"/>
                <w:szCs w:val="24"/>
                <w:rtl/>
                <w:lang w:bidi="ar-EG"/>
              </w:rPr>
              <w:t>“</w:t>
            </w:r>
            <w:r w:rsidR="003D7EB4">
              <w:rPr>
                <w:rFonts w:hint="eastAsia"/>
                <w:sz w:val="24"/>
                <w:szCs w:val="24"/>
                <w:rtl/>
                <w:lang w:bidi="ar-EG"/>
              </w:rPr>
              <w:t>،</w:t>
            </w:r>
            <w:r w:rsidRPr="005B5660">
              <w:rPr>
                <w:rFonts w:hint="eastAsia"/>
                <w:sz w:val="24"/>
                <w:szCs w:val="24"/>
                <w:rtl/>
                <w:lang w:bidi="ar-EG"/>
              </w:rPr>
              <w:t xml:space="preserve"> </w:t>
            </w:r>
            <w:r w:rsidRPr="005B5660">
              <w:rPr>
                <w:rFonts w:hint="cs"/>
                <w:sz w:val="24"/>
                <w:szCs w:val="24"/>
                <w:rtl/>
                <w:lang w:bidi="ar-EG"/>
              </w:rPr>
              <w:t xml:space="preserve">يكرس سياسة </w:t>
            </w:r>
            <w:r w:rsidRPr="005B5660">
              <w:rPr>
                <w:rFonts w:hint="eastAsia"/>
                <w:sz w:val="24"/>
                <w:szCs w:val="24"/>
                <w:rtl/>
                <w:lang w:bidi="ar-EG"/>
              </w:rPr>
              <w:t>”المرأة</w:t>
            </w:r>
            <w:r w:rsidRPr="005B5660">
              <w:rPr>
                <w:rFonts w:hint="cs"/>
                <w:sz w:val="24"/>
                <w:szCs w:val="24"/>
                <w:rtl/>
                <w:lang w:bidi="ar-EG"/>
              </w:rPr>
              <w:t>،</w:t>
            </w:r>
            <w:r w:rsidRPr="005B5660">
              <w:rPr>
                <w:rFonts w:hint="eastAsia"/>
                <w:sz w:val="24"/>
                <w:szCs w:val="24"/>
                <w:rtl/>
                <w:lang w:bidi="ar-EG"/>
              </w:rPr>
              <w:t xml:space="preserve"> </w:t>
            </w:r>
            <w:r w:rsidRPr="005B5660">
              <w:rPr>
                <w:rFonts w:hint="cs"/>
                <w:sz w:val="24"/>
                <w:szCs w:val="24"/>
                <w:rtl/>
                <w:lang w:bidi="ar-EG"/>
              </w:rPr>
              <w:t>السلم، وتحقيق التنمية</w:t>
            </w:r>
            <w:r w:rsidRPr="005B5660">
              <w:rPr>
                <w:rFonts w:hint="eastAsia"/>
                <w:sz w:val="24"/>
                <w:szCs w:val="24"/>
                <w:rtl/>
                <w:lang w:bidi="ar-EG"/>
              </w:rPr>
              <w:t>“</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823 لسنة 2003</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يفرض قواعد متعلقة بالتكافؤ في الفرص بين الرجل والمرأة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854 لسنة 2003</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الرعاية المتكاملة للأسرة</w:t>
            </w:r>
            <w:r w:rsidR="003D7EB4">
              <w:rPr>
                <w:rFonts w:hint="cs"/>
                <w:sz w:val="24"/>
                <w:szCs w:val="24"/>
                <w:rtl/>
                <w:lang w:bidi="ar-EG"/>
              </w:rPr>
              <w:t>،</w:t>
            </w:r>
            <w:r w:rsidRPr="005B5660">
              <w:rPr>
                <w:rFonts w:hint="cs"/>
                <w:sz w:val="24"/>
                <w:szCs w:val="24"/>
                <w:rtl/>
                <w:lang w:bidi="ar-EG"/>
              </w:rPr>
              <w:t xml:space="preserve"> مسكن الأسرة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861 لسنة 2003</w:t>
            </w:r>
          </w:p>
        </w:tc>
        <w:tc>
          <w:tcPr>
            <w:tcW w:w="4917" w:type="dxa"/>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5B5660">
              <w:rPr>
                <w:rFonts w:hint="cs"/>
                <w:sz w:val="24"/>
                <w:szCs w:val="24"/>
                <w:rtl/>
                <w:lang w:bidi="ar-EG"/>
              </w:rPr>
              <w:t>يفرض أحكاما متعلقة بالمال الحضري أو الريفي الوحيد غير المنقول لرئيسة الأسرة</w:t>
            </w:r>
            <w:r w:rsidR="003D7EB4">
              <w:rPr>
                <w:rFonts w:hint="cs"/>
                <w:sz w:val="24"/>
                <w:szCs w:val="24"/>
                <w:rtl/>
                <w:lang w:bidi="ar-EG"/>
              </w:rPr>
              <w:t>،</w:t>
            </w:r>
          </w:p>
        </w:tc>
      </w:tr>
      <w:tr w:rsidR="002117BE" w:rsidRPr="005B5660">
        <w:tblPrEx>
          <w:tblCellMar>
            <w:top w:w="0" w:type="dxa"/>
            <w:bottom w:w="0" w:type="dxa"/>
          </w:tblCellMar>
        </w:tblPrEx>
        <w:trPr>
          <w:cantSplit/>
          <w:jc w:val="center"/>
        </w:trPr>
        <w:tc>
          <w:tcPr>
            <w:tcW w:w="2403" w:type="dxa"/>
            <w:tcBorders>
              <w:bottom w:val="single" w:sz="12" w:space="0" w:color="auto"/>
            </w:tcBorders>
          </w:tcPr>
          <w:p w:rsidR="002117BE" w:rsidRPr="005B5660" w:rsidRDefault="002117BE" w:rsidP="005B5660">
            <w:pPr>
              <w:tabs>
                <w:tab w:val="left" w:pos="288"/>
                <w:tab w:val="left" w:pos="576"/>
                <w:tab w:val="left" w:pos="864"/>
                <w:tab w:val="left" w:pos="1152"/>
              </w:tabs>
              <w:spacing w:before="1" w:after="1" w:line="380" w:lineRule="exact"/>
              <w:ind w:left="72" w:right="72"/>
              <w:jc w:val="left"/>
              <w:rPr>
                <w:rFonts w:hint="cs"/>
                <w:sz w:val="24"/>
                <w:szCs w:val="24"/>
                <w:rtl/>
                <w:lang w:bidi="ar-EG"/>
              </w:rPr>
            </w:pPr>
            <w:r w:rsidRPr="005B5660">
              <w:rPr>
                <w:rFonts w:hint="cs"/>
                <w:sz w:val="24"/>
                <w:szCs w:val="24"/>
                <w:rtl/>
                <w:lang w:bidi="ar-EG"/>
              </w:rPr>
              <w:t>القانون رقم 882 لسنة 2003</w:t>
            </w:r>
          </w:p>
        </w:tc>
        <w:tc>
          <w:tcPr>
            <w:tcW w:w="4917" w:type="dxa"/>
            <w:tcBorders>
              <w:bottom w:val="single" w:sz="12" w:space="0" w:color="auto"/>
            </w:tcBorders>
          </w:tcPr>
          <w:p w:rsidR="002117BE" w:rsidRPr="005B5660" w:rsidRDefault="002117BE" w:rsidP="005B426E">
            <w:pPr>
              <w:tabs>
                <w:tab w:val="left" w:pos="288"/>
                <w:tab w:val="left" w:pos="576"/>
                <w:tab w:val="left" w:pos="864"/>
                <w:tab w:val="left" w:pos="1152"/>
              </w:tabs>
              <w:spacing w:before="1" w:after="1" w:line="380" w:lineRule="exact"/>
              <w:ind w:left="72" w:right="72"/>
              <w:jc w:val="lowKashida"/>
              <w:rPr>
                <w:rFonts w:hint="eastAsia"/>
                <w:sz w:val="24"/>
                <w:szCs w:val="24"/>
                <w:rtl/>
                <w:lang w:bidi="ar-EG"/>
              </w:rPr>
            </w:pPr>
            <w:r w:rsidRPr="005B5660">
              <w:rPr>
                <w:rFonts w:hint="cs"/>
                <w:sz w:val="24"/>
                <w:szCs w:val="24"/>
                <w:rtl/>
                <w:lang w:bidi="ar-EG"/>
              </w:rPr>
              <w:t>يعدل المادة 229 من القانون رقم 599 لسنة 2000،من القانون الجنائي</w:t>
            </w:r>
            <w:r w:rsidR="003D7EB4">
              <w:rPr>
                <w:sz w:val="24"/>
                <w:szCs w:val="24"/>
                <w:rtl/>
                <w:lang w:bidi="ar-EG"/>
              </w:rPr>
              <w:t>،</w:t>
            </w:r>
            <w:r w:rsidRPr="005B5660">
              <w:rPr>
                <w:rFonts w:hint="cs"/>
                <w:sz w:val="24"/>
                <w:szCs w:val="24"/>
                <w:rtl/>
                <w:lang w:bidi="ar-EG"/>
              </w:rPr>
              <w:t xml:space="preserve">: </w:t>
            </w:r>
            <w:r w:rsidRPr="005B5660">
              <w:rPr>
                <w:rFonts w:hint="eastAsia"/>
                <w:sz w:val="24"/>
                <w:szCs w:val="24"/>
                <w:rtl/>
                <w:lang w:bidi="ar-EG"/>
              </w:rPr>
              <w:t>”المادة 229</w:t>
            </w:r>
            <w:r w:rsidR="003D7EB4">
              <w:rPr>
                <w:rFonts w:hint="eastAsia"/>
                <w:sz w:val="24"/>
                <w:szCs w:val="24"/>
                <w:rtl/>
                <w:lang w:bidi="ar-EG"/>
              </w:rPr>
              <w:t>،</w:t>
            </w:r>
            <w:r w:rsidRPr="005B5660">
              <w:rPr>
                <w:rFonts w:hint="eastAsia"/>
                <w:sz w:val="24"/>
                <w:szCs w:val="24"/>
                <w:rtl/>
                <w:lang w:bidi="ar-EG"/>
              </w:rPr>
              <w:t xml:space="preserve"> </w:t>
            </w:r>
            <w:r w:rsidRPr="005B5660">
              <w:rPr>
                <w:rFonts w:hint="cs"/>
                <w:sz w:val="24"/>
                <w:szCs w:val="24"/>
                <w:rtl/>
                <w:lang w:bidi="ar-EG"/>
              </w:rPr>
              <w:t>العنف العائلي</w:t>
            </w:r>
            <w:r w:rsidR="003D7EB4">
              <w:rPr>
                <w:rFonts w:hint="cs"/>
                <w:sz w:val="24"/>
                <w:szCs w:val="24"/>
                <w:rtl/>
                <w:lang w:bidi="ar-EG"/>
              </w:rPr>
              <w:t>،</w:t>
            </w:r>
            <w:r w:rsidRPr="005B5660">
              <w:rPr>
                <w:rFonts w:hint="cs"/>
                <w:sz w:val="24"/>
                <w:szCs w:val="24"/>
                <w:rtl/>
                <w:lang w:bidi="ar-EG"/>
              </w:rPr>
              <w:t xml:space="preserve"> كل من يسيء معاملة أي فرد من خليته الأسرية جسديا أو نفسيا أو جنسيا يعرض نفسه للحبس لمدة تتراوح بين سنة وثلاث سنوات ما لم يكن تصرفه يمثل جريمة يعاقب عليها بعقوبة أشد</w:t>
            </w:r>
            <w:r w:rsidR="003D7EB4">
              <w:rPr>
                <w:rFonts w:hint="cs"/>
                <w:sz w:val="24"/>
                <w:szCs w:val="24"/>
                <w:rtl/>
                <w:lang w:bidi="ar-EG"/>
              </w:rPr>
              <w:t>،</w:t>
            </w:r>
            <w:r w:rsidRPr="005B5660">
              <w:rPr>
                <w:rFonts w:hint="cs"/>
                <w:sz w:val="24"/>
                <w:szCs w:val="24"/>
                <w:rtl/>
                <w:lang w:bidi="ar-EG"/>
              </w:rPr>
              <w:t xml:space="preserve"> وتزاد العقوبة بما يتراوح بين النصف والثلاثة أرباع في حالة وقوع سوء المعاملة على قاصر أو </w:t>
            </w:r>
            <w:r w:rsidRPr="005B426E">
              <w:rPr>
                <w:rFonts w:hint="cs"/>
                <w:sz w:val="24"/>
                <w:szCs w:val="24"/>
                <w:rtl/>
                <w:lang w:bidi="ar-EG"/>
              </w:rPr>
              <w:t>امرأة</w:t>
            </w:r>
            <w:r w:rsidRPr="005B5660">
              <w:rPr>
                <w:rFonts w:hint="eastAsia"/>
                <w:sz w:val="24"/>
                <w:szCs w:val="24"/>
                <w:rtl/>
                <w:lang w:bidi="ar-EG"/>
              </w:rPr>
              <w:t>“</w:t>
            </w:r>
            <w:r w:rsidR="003D7EB4">
              <w:rPr>
                <w:rFonts w:hint="eastAsia"/>
                <w:sz w:val="24"/>
                <w:szCs w:val="24"/>
                <w:rtl/>
                <w:lang w:bidi="ar-EG"/>
              </w:rPr>
              <w:t>،</w:t>
            </w:r>
          </w:p>
        </w:tc>
      </w:tr>
    </w:tbl>
    <w:p w:rsidR="002117BE" w:rsidRPr="000C1462" w:rsidRDefault="002117BE" w:rsidP="002117BE">
      <w:pPr>
        <w:pStyle w:val="SingleTxt"/>
        <w:spacing w:after="0" w:line="120" w:lineRule="exact"/>
        <w:ind w:left="72" w:right="72"/>
        <w:jc w:val="both"/>
        <w:rPr>
          <w:sz w:val="10"/>
          <w:rtl/>
          <w:lang w:bidi="ar-EG"/>
        </w:rPr>
      </w:pPr>
    </w:p>
    <w:p w:rsidR="00971AE2" w:rsidRDefault="00ED55AF" w:rsidP="00971AE2">
      <w:pPr>
        <w:pStyle w:val="SingleTxt"/>
        <w:spacing w:before="1" w:after="1" w:line="340" w:lineRule="exact"/>
        <w:ind w:left="72" w:right="72"/>
        <w:jc w:val="both"/>
        <w:rPr>
          <w:rFonts w:hint="cs"/>
          <w:b/>
          <w:bCs/>
          <w:rtl/>
          <w:lang w:bidi="ar-EG"/>
        </w:rPr>
      </w:pPr>
      <w:r>
        <w:rPr>
          <w:b/>
          <w:bCs/>
          <w:rtl/>
          <w:lang w:bidi="ar-EG"/>
        </w:rPr>
        <w:br w:type="page"/>
      </w:r>
      <w:r w:rsidR="00971AE2">
        <w:rPr>
          <w:rFonts w:hint="cs"/>
          <w:b/>
          <w:bCs/>
          <w:rtl/>
          <w:lang w:bidi="ar-EG"/>
        </w:rPr>
        <w:tab/>
        <w:t>مشاريع قوانين معروضة حاليا على كونغرس الجمهورية</w:t>
      </w:r>
    </w:p>
    <w:p w:rsidR="00971AE2" w:rsidRDefault="00971AE2" w:rsidP="00971AE2">
      <w:pPr>
        <w:pStyle w:val="SingleTxt"/>
        <w:spacing w:after="0" w:line="120" w:lineRule="exact"/>
        <w:ind w:left="72" w:right="72"/>
        <w:jc w:val="both"/>
        <w:rPr>
          <w:rFonts w:hint="cs"/>
          <w:sz w:val="10"/>
          <w:rtl/>
        </w:rPr>
      </w:pPr>
    </w:p>
    <w:p w:rsidR="00971AE2" w:rsidRPr="000C1462" w:rsidRDefault="00971AE2" w:rsidP="00971AE2">
      <w:pPr>
        <w:pStyle w:val="SingleTxt"/>
        <w:spacing w:after="0" w:line="120" w:lineRule="exact"/>
        <w:ind w:left="72" w:right="72"/>
        <w:jc w:val="both"/>
        <w:rPr>
          <w:rFonts w:hint="cs"/>
          <w:sz w:val="10"/>
          <w:rtl/>
          <w:lang w:bidi="ar-EG"/>
        </w:rPr>
      </w:pPr>
    </w:p>
    <w:tbl>
      <w:tblPr>
        <w:bidiVisual/>
        <w:tblW w:w="7320" w:type="dxa"/>
        <w:jc w:val="center"/>
        <w:tblLayout w:type="fixed"/>
        <w:tblCellMar>
          <w:left w:w="0" w:type="dxa"/>
          <w:right w:w="0" w:type="dxa"/>
        </w:tblCellMar>
        <w:tblLook w:val="0000" w:firstRow="0" w:lastRow="0" w:firstColumn="0" w:lastColumn="0" w:noHBand="0" w:noVBand="0"/>
      </w:tblPr>
      <w:tblGrid>
        <w:gridCol w:w="2403"/>
        <w:gridCol w:w="4917"/>
      </w:tblGrid>
      <w:tr w:rsidR="00971AE2" w:rsidRPr="00ED55AF">
        <w:tblPrEx>
          <w:tblCellMar>
            <w:top w:w="0" w:type="dxa"/>
            <w:bottom w:w="0" w:type="dxa"/>
          </w:tblCellMar>
        </w:tblPrEx>
        <w:trPr>
          <w:cantSplit/>
          <w:tblHeader/>
          <w:jc w:val="center"/>
        </w:trPr>
        <w:tc>
          <w:tcPr>
            <w:tcW w:w="2403"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40" w:lineRule="exact"/>
              <w:ind w:left="72" w:right="72"/>
              <w:rPr>
                <w:rFonts w:hint="cs"/>
                <w:i/>
                <w:iCs/>
                <w:sz w:val="24"/>
                <w:szCs w:val="24"/>
                <w:rtl/>
                <w:lang w:bidi="ar-EG"/>
              </w:rPr>
            </w:pPr>
            <w:r w:rsidRPr="00ED55AF">
              <w:rPr>
                <w:rFonts w:hint="cs"/>
                <w:i/>
                <w:iCs/>
                <w:sz w:val="24"/>
                <w:szCs w:val="24"/>
                <w:rtl/>
                <w:lang w:bidi="ar-EG"/>
              </w:rPr>
              <w:t>القانون</w:t>
            </w:r>
          </w:p>
        </w:tc>
        <w:tc>
          <w:tcPr>
            <w:tcW w:w="4917"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40" w:lineRule="exact"/>
              <w:ind w:left="72" w:right="72"/>
              <w:rPr>
                <w:rFonts w:hint="cs"/>
                <w:i/>
                <w:iCs/>
                <w:sz w:val="24"/>
                <w:szCs w:val="24"/>
                <w:rtl/>
                <w:lang w:bidi="ar-EG"/>
              </w:rPr>
            </w:pPr>
            <w:r w:rsidRPr="00ED55AF">
              <w:rPr>
                <w:rFonts w:hint="cs"/>
                <w:i/>
                <w:iCs/>
                <w:sz w:val="24"/>
                <w:szCs w:val="24"/>
                <w:rtl/>
                <w:lang w:bidi="ar-EG"/>
              </w:rPr>
              <w:t>الموضوع</w:t>
            </w:r>
          </w:p>
        </w:tc>
      </w:tr>
      <w:tr w:rsidR="00971AE2" w:rsidRPr="00ED55AF">
        <w:tblPrEx>
          <w:tblCellMar>
            <w:top w:w="0" w:type="dxa"/>
            <w:bottom w:w="0" w:type="dxa"/>
          </w:tblCellMar>
        </w:tblPrEx>
        <w:trPr>
          <w:cantSplit/>
          <w:trHeight w:hRule="exact" w:val="115"/>
          <w:tblHeader/>
          <w:jc w:val="center"/>
        </w:trPr>
        <w:tc>
          <w:tcPr>
            <w:tcW w:w="2403"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40" w:lineRule="exact"/>
              <w:ind w:left="72" w:right="72"/>
              <w:rPr>
                <w:rFonts w:hint="cs"/>
                <w:sz w:val="24"/>
                <w:szCs w:val="24"/>
                <w:rtl/>
                <w:lang w:bidi="ar-EG"/>
              </w:rPr>
            </w:pPr>
          </w:p>
        </w:tc>
        <w:tc>
          <w:tcPr>
            <w:tcW w:w="4917"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40" w:lineRule="exact"/>
              <w:ind w:left="72" w:right="72"/>
              <w:rPr>
                <w:rFonts w:hint="cs"/>
                <w:sz w:val="24"/>
                <w:szCs w:val="24"/>
                <w:rtl/>
                <w:lang w:bidi="ar-EG"/>
              </w:rPr>
            </w:pPr>
          </w:p>
        </w:tc>
      </w:tr>
      <w:tr w:rsidR="00971AE2" w:rsidRPr="00ED55AF">
        <w:tblPrEx>
          <w:tblCellMar>
            <w:top w:w="0" w:type="dxa"/>
            <w:bottom w:w="0" w:type="dxa"/>
          </w:tblCellMar>
        </w:tblPrEx>
        <w:trPr>
          <w:cantSplit/>
          <w:jc w:val="center"/>
        </w:trPr>
        <w:tc>
          <w:tcPr>
            <w:tcW w:w="2403" w:type="dxa"/>
            <w:tcBorders>
              <w:bottom w:val="single" w:sz="12" w:space="0" w:color="auto"/>
            </w:tcBorders>
          </w:tcPr>
          <w:p w:rsidR="00971AE2" w:rsidRPr="00ED55AF" w:rsidRDefault="00971AE2" w:rsidP="00833E7D">
            <w:pPr>
              <w:tabs>
                <w:tab w:val="left" w:pos="288"/>
                <w:tab w:val="left" w:pos="576"/>
                <w:tab w:val="left" w:pos="864"/>
                <w:tab w:val="left" w:pos="1152"/>
              </w:tabs>
              <w:spacing w:before="1" w:after="1" w:line="340" w:lineRule="exact"/>
              <w:ind w:left="72" w:right="72"/>
              <w:jc w:val="lowKashida"/>
              <w:rPr>
                <w:rFonts w:hint="cs"/>
                <w:sz w:val="24"/>
                <w:szCs w:val="24"/>
                <w:rtl/>
                <w:lang w:bidi="ar-EG"/>
              </w:rPr>
            </w:pPr>
            <w:r w:rsidRPr="00ED55AF">
              <w:rPr>
                <w:rFonts w:hint="cs"/>
                <w:sz w:val="24"/>
                <w:szCs w:val="24"/>
                <w:rtl/>
                <w:lang w:bidi="ar-EG"/>
              </w:rPr>
              <w:t>مشروع القانون رقم 72 لسنة 2002</w:t>
            </w:r>
            <w:r w:rsidR="003D7EB4">
              <w:rPr>
                <w:rFonts w:hint="cs"/>
                <w:sz w:val="24"/>
                <w:szCs w:val="24"/>
                <w:rtl/>
                <w:lang w:bidi="ar-EG"/>
              </w:rPr>
              <w:t>،</w:t>
            </w:r>
            <w:r w:rsidRPr="00ED55AF">
              <w:rPr>
                <w:rFonts w:hint="cs"/>
                <w:sz w:val="24"/>
                <w:szCs w:val="24"/>
                <w:rtl/>
                <w:lang w:bidi="ar-EG"/>
              </w:rPr>
              <w:t xml:space="preserve"> مجلس الشيوخ/مشروع القانون رقم 297 لسنة 2003 مجلس النواب</w:t>
            </w:r>
          </w:p>
        </w:tc>
        <w:tc>
          <w:tcPr>
            <w:tcW w:w="4917" w:type="dxa"/>
            <w:tcBorders>
              <w:bottom w:val="single" w:sz="12" w:space="0" w:color="auto"/>
            </w:tcBorders>
          </w:tcPr>
          <w:p w:rsidR="00971AE2" w:rsidRPr="00ED55AF" w:rsidRDefault="00971AE2" w:rsidP="00833E7D">
            <w:pPr>
              <w:tabs>
                <w:tab w:val="left" w:pos="288"/>
                <w:tab w:val="left" w:pos="576"/>
                <w:tab w:val="left" w:pos="864"/>
                <w:tab w:val="left" w:pos="1152"/>
              </w:tabs>
              <w:spacing w:before="1" w:after="1" w:line="340" w:lineRule="exact"/>
              <w:ind w:left="72" w:right="72"/>
              <w:jc w:val="lowKashida"/>
              <w:rPr>
                <w:rFonts w:hint="cs"/>
                <w:sz w:val="24"/>
                <w:szCs w:val="24"/>
                <w:rtl/>
                <w:lang w:bidi="ar-EG"/>
              </w:rPr>
            </w:pPr>
            <w:r w:rsidRPr="00ED55AF">
              <w:rPr>
                <w:rFonts w:hint="cs"/>
                <w:sz w:val="24"/>
                <w:szCs w:val="24"/>
                <w:rtl/>
                <w:lang w:bidi="ar-EG"/>
              </w:rPr>
              <w:t>يعدل المادة 239 م المحكمة العليا للعمل</w:t>
            </w:r>
            <w:r w:rsidR="003D7EB4">
              <w:rPr>
                <w:sz w:val="24"/>
                <w:szCs w:val="24"/>
                <w:rtl/>
              </w:rPr>
              <w:t>،</w:t>
            </w:r>
            <w:r w:rsidRPr="00ED55AF">
              <w:rPr>
                <w:rFonts w:hint="cs"/>
                <w:sz w:val="24"/>
                <w:szCs w:val="24"/>
                <w:rtl/>
                <w:lang w:bidi="ar-EG"/>
              </w:rPr>
              <w:t xml:space="preserve"> ويفرض أحكاما لحماية الحامل</w:t>
            </w:r>
            <w:r w:rsidR="003D7EB4">
              <w:rPr>
                <w:rFonts w:hint="cs"/>
                <w:sz w:val="24"/>
                <w:szCs w:val="24"/>
                <w:rtl/>
                <w:lang w:bidi="ar-EG"/>
              </w:rPr>
              <w:t>،</w:t>
            </w:r>
          </w:p>
          <w:p w:rsidR="00971AE2" w:rsidRPr="00ED55AF" w:rsidRDefault="00971AE2" w:rsidP="00833E7D">
            <w:pPr>
              <w:tabs>
                <w:tab w:val="left" w:pos="288"/>
                <w:tab w:val="left" w:pos="576"/>
                <w:tab w:val="left" w:pos="864"/>
                <w:tab w:val="left" w:pos="1152"/>
              </w:tabs>
              <w:spacing w:before="1" w:after="1" w:line="340" w:lineRule="exact"/>
              <w:ind w:left="72" w:right="72"/>
              <w:jc w:val="lowKashida"/>
              <w:rPr>
                <w:rFonts w:hint="cs"/>
                <w:sz w:val="24"/>
                <w:szCs w:val="24"/>
                <w:rtl/>
                <w:lang w:bidi="ar-EG"/>
              </w:rPr>
            </w:pPr>
            <w:r w:rsidRPr="00ED55AF">
              <w:rPr>
                <w:rFonts w:hint="cs"/>
                <w:sz w:val="24"/>
                <w:szCs w:val="24"/>
                <w:rtl/>
                <w:lang w:bidi="ar-EG"/>
              </w:rPr>
              <w:t>يختصر المناقشة الأولى لتقرير المقرر في مجلس النواب</w:t>
            </w:r>
            <w:r w:rsidR="003D7EB4">
              <w:rPr>
                <w:rFonts w:hint="cs"/>
                <w:sz w:val="24"/>
                <w:szCs w:val="24"/>
                <w:rtl/>
                <w:lang w:bidi="ar-EG"/>
              </w:rPr>
              <w:t>،</w:t>
            </w:r>
          </w:p>
        </w:tc>
      </w:tr>
    </w:tbl>
    <w:p w:rsidR="00971AE2" w:rsidRDefault="00971AE2" w:rsidP="00971AE2">
      <w:pPr>
        <w:pStyle w:val="SingleTxt"/>
        <w:spacing w:after="0" w:line="120" w:lineRule="exact"/>
        <w:ind w:left="72" w:right="72"/>
        <w:jc w:val="both"/>
        <w:rPr>
          <w:rFonts w:hint="cs"/>
          <w:b/>
          <w:bCs/>
          <w:sz w:val="10"/>
          <w:rtl/>
          <w:lang w:bidi="ar-EG"/>
        </w:rPr>
      </w:pPr>
    </w:p>
    <w:p w:rsidR="00ED55AF" w:rsidRPr="000C1462" w:rsidRDefault="00ED55AF" w:rsidP="00971AE2">
      <w:pPr>
        <w:pStyle w:val="SingleTxt"/>
        <w:spacing w:after="0" w:line="120" w:lineRule="exact"/>
        <w:ind w:left="72" w:right="72"/>
        <w:jc w:val="both"/>
        <w:rPr>
          <w:rFonts w:hint="cs"/>
          <w:b/>
          <w:bCs/>
          <w:sz w:val="10"/>
          <w:rtl/>
          <w:lang w:bidi="ar-EG"/>
        </w:rPr>
      </w:pPr>
    </w:p>
    <w:p w:rsidR="00971AE2" w:rsidRDefault="00971AE2" w:rsidP="00971A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المنجزات القضائية</w:t>
      </w:r>
    </w:p>
    <w:p w:rsidR="00971AE2" w:rsidRDefault="00971AE2" w:rsidP="00971AE2">
      <w:pPr>
        <w:pStyle w:val="SingleTxt"/>
        <w:rPr>
          <w:rFonts w:hint="cs"/>
          <w:rtl/>
          <w:lang w:bidi="ar-EG"/>
        </w:rPr>
      </w:pPr>
      <w:r>
        <w:rPr>
          <w:rFonts w:hint="cs"/>
          <w:rtl/>
          <w:lang w:bidi="ar-EG"/>
        </w:rPr>
        <w:tab/>
        <w:t>من المهم توضيح أن هذه ليست هي الأحكام الوحيدة المتعلقة بهذا الموضوع</w:t>
      </w:r>
      <w:r w:rsidR="003D7EB4">
        <w:rPr>
          <w:rFonts w:hint="cs"/>
          <w:rtl/>
          <w:lang w:bidi="ar-EG"/>
        </w:rPr>
        <w:t>،</w:t>
      </w:r>
      <w:r>
        <w:rPr>
          <w:rFonts w:hint="cs"/>
          <w:rtl/>
          <w:lang w:bidi="ar-EG"/>
        </w:rPr>
        <w:t xml:space="preserve"> فقد صدرت أحكام حمائية عديدة لصالح المرأة في المواضيع المتعلقة بالعمل، وهي تستند إلى حق المرأة في التساوي مع الرجل</w:t>
      </w:r>
      <w:r>
        <w:rPr>
          <w:rFonts w:hint="cs"/>
          <w:vertAlign w:val="superscript"/>
          <w:rtl/>
          <w:lang w:bidi="ar-EG"/>
        </w:rPr>
        <w:t>(9)</w:t>
      </w:r>
      <w:r w:rsidR="003D7EB4">
        <w:rPr>
          <w:rFonts w:hint="cs"/>
          <w:rtl/>
          <w:lang w:bidi="ar-EG"/>
        </w:rPr>
        <w:t>،</w:t>
      </w:r>
      <w:r>
        <w:rPr>
          <w:rFonts w:hint="cs"/>
          <w:rtl/>
          <w:lang w:bidi="ar-EG"/>
        </w:rPr>
        <w:t xml:space="preserve"> والحماية هي إحدى آليات صون الحقوق الأساسية للمرأة بصورة فعالة</w:t>
      </w:r>
      <w:r w:rsidR="003D7EB4">
        <w:rPr>
          <w:rFonts w:hint="cs"/>
          <w:rtl/>
          <w:lang w:bidi="ar-EG"/>
        </w:rPr>
        <w:t>،</w:t>
      </w:r>
    </w:p>
    <w:p w:rsidR="00ED55AF" w:rsidRPr="00ED55AF" w:rsidRDefault="00ED55AF" w:rsidP="00ED55AF">
      <w:pPr>
        <w:pStyle w:val="SingleTxt"/>
        <w:spacing w:after="0" w:line="120" w:lineRule="exact"/>
        <w:rPr>
          <w:rFonts w:hint="cs"/>
          <w:sz w:val="10"/>
          <w:rtl/>
          <w:lang w:bidi="ar-EG"/>
        </w:rPr>
      </w:pPr>
    </w:p>
    <w:p w:rsidR="00ED55AF" w:rsidRPr="00ED55AF" w:rsidRDefault="00ED55AF" w:rsidP="00ED55AF">
      <w:pPr>
        <w:pStyle w:val="SingleTxt"/>
        <w:spacing w:after="0" w:line="120" w:lineRule="exact"/>
        <w:rPr>
          <w:rFonts w:hint="cs"/>
          <w:sz w:val="10"/>
          <w:rtl/>
          <w:lang w:bidi="ar-EG"/>
        </w:rPr>
      </w:pPr>
    </w:p>
    <w:tbl>
      <w:tblPr>
        <w:bidiVisual/>
        <w:tblW w:w="7320" w:type="dxa"/>
        <w:jc w:val="center"/>
        <w:tblLayout w:type="fixed"/>
        <w:tblCellMar>
          <w:left w:w="0" w:type="dxa"/>
          <w:right w:w="0" w:type="dxa"/>
        </w:tblCellMar>
        <w:tblLook w:val="0000" w:firstRow="0" w:lastRow="0" w:firstColumn="0" w:lastColumn="0" w:noHBand="0" w:noVBand="0"/>
      </w:tblPr>
      <w:tblGrid>
        <w:gridCol w:w="2403"/>
        <w:gridCol w:w="4917"/>
      </w:tblGrid>
      <w:tr w:rsidR="00971AE2" w:rsidRPr="00ED55AF">
        <w:tblPrEx>
          <w:tblCellMar>
            <w:top w:w="0" w:type="dxa"/>
            <w:bottom w:w="0" w:type="dxa"/>
          </w:tblCellMar>
        </w:tblPrEx>
        <w:trPr>
          <w:cantSplit/>
          <w:tblHeader/>
          <w:jc w:val="center"/>
        </w:trPr>
        <w:tc>
          <w:tcPr>
            <w:tcW w:w="2403"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الحكم</w:t>
            </w:r>
          </w:p>
        </w:tc>
        <w:tc>
          <w:tcPr>
            <w:tcW w:w="4917"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الموضوع</w:t>
            </w:r>
          </w:p>
        </w:tc>
      </w:tr>
      <w:tr w:rsidR="00971AE2" w:rsidRPr="00ED55AF">
        <w:tblPrEx>
          <w:tblCellMar>
            <w:top w:w="0" w:type="dxa"/>
            <w:bottom w:w="0" w:type="dxa"/>
          </w:tblCellMar>
        </w:tblPrEx>
        <w:trPr>
          <w:cantSplit/>
          <w:trHeight w:hRule="exact" w:val="115"/>
          <w:tblHeader/>
          <w:jc w:val="center"/>
        </w:trPr>
        <w:tc>
          <w:tcPr>
            <w:tcW w:w="2403"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4917"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r>
      <w:tr w:rsidR="00971AE2" w:rsidRPr="00ED55AF">
        <w:tblPrEx>
          <w:tblCellMar>
            <w:top w:w="0" w:type="dxa"/>
            <w:bottom w:w="0" w:type="dxa"/>
          </w:tblCellMar>
        </w:tblPrEx>
        <w:trPr>
          <w:cantSplit/>
          <w:jc w:val="center"/>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الحكم C - 82 لسنة 1999</w:t>
            </w:r>
          </w:p>
        </w:tc>
        <w:tc>
          <w:tcPr>
            <w:tcW w:w="4917" w:type="dxa"/>
            <w:vAlign w:val="bottom"/>
          </w:tcPr>
          <w:p w:rsidR="00971AE2" w:rsidRPr="00ED55AF" w:rsidRDefault="00971AE2" w:rsidP="004A2B21">
            <w:pPr>
              <w:tabs>
                <w:tab w:val="left" w:pos="288"/>
                <w:tab w:val="left" w:pos="576"/>
                <w:tab w:val="left" w:pos="864"/>
                <w:tab w:val="left" w:pos="1152"/>
              </w:tabs>
              <w:spacing w:before="1" w:after="1" w:line="380" w:lineRule="exact"/>
              <w:ind w:left="72" w:right="72"/>
              <w:jc w:val="lowKashida"/>
              <w:rPr>
                <w:rFonts w:hint="eastAsia"/>
                <w:sz w:val="24"/>
                <w:szCs w:val="24"/>
                <w:rtl/>
                <w:lang w:bidi="ar-EG"/>
              </w:rPr>
            </w:pPr>
            <w:r w:rsidRPr="00ED55AF">
              <w:rPr>
                <w:rFonts w:hint="cs"/>
                <w:sz w:val="24"/>
                <w:szCs w:val="24"/>
                <w:rtl/>
                <w:lang w:bidi="ar-EG"/>
              </w:rPr>
              <w:t xml:space="preserve">يحمي المساواة بين الرجل والمرأة في الحقوق بتنقيح دستورية الفقرة السابعة من المادة 140 م من القانون المدني التي تنص على ما يلي: </w:t>
            </w:r>
            <w:r w:rsidRPr="00ED55AF">
              <w:rPr>
                <w:rFonts w:hint="eastAsia"/>
                <w:sz w:val="24"/>
                <w:szCs w:val="24"/>
                <w:rtl/>
                <w:lang w:bidi="ar-EG"/>
              </w:rPr>
              <w:t xml:space="preserve">”يكون الزواج باطلا ودون أثر في الحالات التالية </w:t>
            </w:r>
            <w:r w:rsidR="003D7EB4">
              <w:rPr>
                <w:rFonts w:hint="eastAsia"/>
                <w:sz w:val="24"/>
                <w:szCs w:val="24"/>
                <w:rtl/>
                <w:lang w:bidi="ar-EG"/>
              </w:rPr>
              <w:t>،،،</w:t>
            </w:r>
            <w:r w:rsidRPr="00ED55AF">
              <w:rPr>
                <w:rFonts w:hint="eastAsia"/>
                <w:sz w:val="24"/>
                <w:szCs w:val="24"/>
                <w:rtl/>
                <w:lang w:bidi="ar-EG"/>
              </w:rPr>
              <w:t xml:space="preserve"> </w:t>
            </w:r>
            <w:r w:rsidRPr="00ED55AF">
              <w:rPr>
                <w:rFonts w:hint="cs"/>
                <w:sz w:val="24"/>
                <w:szCs w:val="24"/>
                <w:rtl/>
                <w:lang w:bidi="ar-EG"/>
              </w:rPr>
              <w:t>7 - إذا عُقد بين امرأة زانية وشريكها إذا كان قد نص الحكم قبل عقد القران على محاكمة الزاني</w:t>
            </w:r>
            <w:r w:rsidRPr="00ED55AF">
              <w:rPr>
                <w:rFonts w:hint="eastAsia"/>
                <w:sz w:val="24"/>
                <w:szCs w:val="24"/>
                <w:rtl/>
                <w:lang w:bidi="ar-EG"/>
              </w:rPr>
              <w:t>“</w:t>
            </w:r>
            <w:r w:rsidR="003D7EB4">
              <w:rPr>
                <w:rFonts w:hint="eastAsia"/>
                <w:sz w:val="24"/>
                <w:szCs w:val="24"/>
                <w:rtl/>
                <w:lang w:bidi="ar-EG"/>
              </w:rPr>
              <w:t>،</w:t>
            </w:r>
            <w:r w:rsidRPr="00ED55AF">
              <w:rPr>
                <w:rFonts w:hint="eastAsia"/>
                <w:sz w:val="24"/>
                <w:szCs w:val="24"/>
                <w:rtl/>
                <w:lang w:bidi="ar-EG"/>
              </w:rPr>
              <w:t xml:space="preserve"> </w:t>
            </w:r>
            <w:r w:rsidRPr="00ED55AF">
              <w:rPr>
                <w:rFonts w:hint="cs"/>
                <w:sz w:val="24"/>
                <w:szCs w:val="24"/>
                <w:rtl/>
                <w:lang w:bidi="ar-EG"/>
              </w:rPr>
              <w:t xml:space="preserve">وقالت المحكمة عند حذف القاعدة ذات الصلة من اللائحة ما يلي: </w:t>
            </w:r>
            <w:r w:rsidRPr="00ED55AF">
              <w:rPr>
                <w:rFonts w:hint="eastAsia"/>
                <w:sz w:val="24"/>
                <w:szCs w:val="24"/>
                <w:rtl/>
                <w:lang w:bidi="ar-EG"/>
              </w:rPr>
              <w:t>”ل</w:t>
            </w:r>
            <w:r w:rsidR="005A39D4">
              <w:rPr>
                <w:rFonts w:hint="eastAsia"/>
                <w:sz w:val="24"/>
                <w:szCs w:val="24"/>
                <w:rtl/>
                <w:lang w:bidi="ar-EG"/>
              </w:rPr>
              <w:t>ا</w:t>
            </w:r>
            <w:r w:rsidR="005A39D4">
              <w:rPr>
                <w:rFonts w:hint="cs"/>
                <w:sz w:val="24"/>
                <w:szCs w:val="24"/>
                <w:rtl/>
                <w:lang w:bidi="ar-EG"/>
              </w:rPr>
              <w:t> </w:t>
            </w:r>
            <w:r w:rsidRPr="00ED55AF">
              <w:rPr>
                <w:rFonts w:hint="eastAsia"/>
                <w:sz w:val="24"/>
                <w:szCs w:val="24"/>
                <w:rtl/>
                <w:lang w:bidi="ar-EG"/>
              </w:rPr>
              <w:t xml:space="preserve">يمكن السماح بالنص </w:t>
            </w:r>
            <w:r w:rsidRPr="00ED55AF">
              <w:rPr>
                <w:rFonts w:hint="cs"/>
                <w:sz w:val="24"/>
                <w:szCs w:val="24"/>
                <w:rtl/>
                <w:lang w:bidi="ar-EG"/>
              </w:rPr>
              <w:t>على</w:t>
            </w:r>
            <w:r w:rsidRPr="00ED55AF">
              <w:rPr>
                <w:rFonts w:hint="eastAsia"/>
                <w:sz w:val="24"/>
                <w:szCs w:val="24"/>
                <w:rtl/>
                <w:lang w:bidi="ar-EG"/>
              </w:rPr>
              <w:t xml:space="preserve"> سبب لبطلان الزواج ينطبق على السكان الإناث فقط، لأن ه</w:t>
            </w:r>
            <w:r w:rsidRPr="00ED55AF">
              <w:rPr>
                <w:rFonts w:hint="cs"/>
                <w:sz w:val="24"/>
                <w:szCs w:val="24"/>
                <w:rtl/>
                <w:lang w:bidi="ar-EG"/>
              </w:rPr>
              <w:t>ذا ليس له أساس في المبادئ والمثل الدستورية</w:t>
            </w:r>
            <w:r w:rsidRPr="00ED55AF">
              <w:rPr>
                <w:rFonts w:hint="eastAsia"/>
                <w:sz w:val="24"/>
                <w:szCs w:val="24"/>
                <w:rtl/>
                <w:lang w:bidi="ar-EG"/>
              </w:rPr>
              <w:t>“</w:t>
            </w:r>
            <w:r w:rsidR="003D7EB4">
              <w:rPr>
                <w:rFonts w:hint="eastAsia"/>
                <w:sz w:val="24"/>
                <w:szCs w:val="24"/>
                <w:rtl/>
                <w:lang w:bidi="ar-EG"/>
              </w:rPr>
              <w:t>،</w:t>
            </w:r>
          </w:p>
        </w:tc>
      </w:tr>
      <w:tr w:rsidR="00971AE2" w:rsidRPr="00ED55AF">
        <w:tblPrEx>
          <w:tblCellMar>
            <w:top w:w="0" w:type="dxa"/>
            <w:bottom w:w="0" w:type="dxa"/>
          </w:tblCellMar>
        </w:tblPrEx>
        <w:trPr>
          <w:cantSplit/>
          <w:jc w:val="center"/>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الحكم C - 112 لسنة 2000</w:t>
            </w:r>
          </w:p>
        </w:tc>
        <w:tc>
          <w:tcPr>
            <w:tcW w:w="4917" w:type="dxa"/>
            <w:vAlign w:val="bottom"/>
          </w:tcPr>
          <w:p w:rsidR="00971AE2" w:rsidRPr="00ED55AF" w:rsidRDefault="00971AE2" w:rsidP="004A2B21">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D55AF">
              <w:rPr>
                <w:rFonts w:hint="cs"/>
                <w:sz w:val="24"/>
                <w:szCs w:val="24"/>
                <w:rtl/>
                <w:lang w:bidi="ar-EG"/>
              </w:rPr>
              <w:t>صادق على المساواة بين الجنسين فيما يتعلق بعقد الزواج المدني في محل سكن أي من المتعاقدين بناء على الطعن المقدم في المادة 126 من القانون المدني المعدلة بالمادة 7 من المرسوم رقم 2272 لسنة 1989</w:t>
            </w:r>
            <w:r w:rsidR="003D7EB4">
              <w:rPr>
                <w:rFonts w:hint="cs"/>
                <w:sz w:val="24"/>
                <w:szCs w:val="24"/>
                <w:rtl/>
                <w:lang w:bidi="ar-EG"/>
              </w:rPr>
              <w:t>،</w:t>
            </w:r>
          </w:p>
        </w:tc>
      </w:tr>
      <w:tr w:rsidR="00971AE2" w:rsidRPr="00ED55AF">
        <w:tblPrEx>
          <w:tblCellMar>
            <w:top w:w="0" w:type="dxa"/>
            <w:bottom w:w="0" w:type="dxa"/>
          </w:tblCellMar>
        </w:tblPrEx>
        <w:trPr>
          <w:cantSplit/>
          <w:jc w:val="center"/>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الحكم C - 1413 لسنة 2000</w:t>
            </w:r>
          </w:p>
        </w:tc>
        <w:tc>
          <w:tcPr>
            <w:tcW w:w="4917" w:type="dxa"/>
            <w:vAlign w:val="bottom"/>
          </w:tcPr>
          <w:p w:rsidR="00971AE2" w:rsidRPr="00ED55AF" w:rsidRDefault="00971AE2" w:rsidP="004A2B21">
            <w:pPr>
              <w:tabs>
                <w:tab w:val="left" w:pos="288"/>
                <w:tab w:val="left" w:pos="576"/>
                <w:tab w:val="left" w:pos="864"/>
                <w:tab w:val="left" w:pos="1152"/>
              </w:tabs>
              <w:spacing w:before="1" w:after="1" w:line="380" w:lineRule="exact"/>
              <w:ind w:left="72" w:right="72"/>
              <w:jc w:val="lowKashida"/>
              <w:rPr>
                <w:rFonts w:hint="eastAsia"/>
                <w:sz w:val="24"/>
                <w:szCs w:val="24"/>
                <w:rtl/>
                <w:lang w:bidi="ar-EG"/>
              </w:rPr>
            </w:pPr>
            <w:r w:rsidRPr="00ED55AF">
              <w:rPr>
                <w:rFonts w:hint="cs"/>
                <w:sz w:val="24"/>
                <w:szCs w:val="24"/>
                <w:rtl/>
                <w:lang w:bidi="ar-EG"/>
              </w:rPr>
              <w:t xml:space="preserve">طعن في دستورية المادة 149 من القانون المدني التي تنص على ما يلي: </w:t>
            </w:r>
            <w:r w:rsidRPr="00ED55AF">
              <w:rPr>
                <w:rFonts w:hint="eastAsia"/>
                <w:sz w:val="24"/>
                <w:szCs w:val="24"/>
                <w:rtl/>
                <w:lang w:bidi="ar-EG"/>
              </w:rPr>
              <w:t>”الأبناء ال</w:t>
            </w:r>
            <w:r w:rsidRPr="00ED55AF">
              <w:rPr>
                <w:rFonts w:hint="cs"/>
                <w:sz w:val="24"/>
                <w:szCs w:val="24"/>
                <w:rtl/>
                <w:lang w:bidi="ar-EG"/>
              </w:rPr>
              <w:t>ذين يولدون في زواج أُعلن أنه باطل يكونوا شرعيين ويظلوا تحت سلطة الأب ويتحمل الأب والأم نفقات تغذيتهم وتعليمهم</w:t>
            </w:r>
            <w:r w:rsidRPr="00ED55AF">
              <w:rPr>
                <w:rFonts w:hint="eastAsia"/>
                <w:sz w:val="24"/>
                <w:szCs w:val="24"/>
                <w:rtl/>
                <w:lang w:bidi="ar-EG"/>
              </w:rPr>
              <w:t>“</w:t>
            </w:r>
            <w:r w:rsidR="003D7EB4">
              <w:rPr>
                <w:rFonts w:hint="eastAsia"/>
                <w:sz w:val="24"/>
                <w:szCs w:val="24"/>
                <w:rtl/>
                <w:lang w:bidi="ar-EG"/>
              </w:rPr>
              <w:t>،</w:t>
            </w:r>
            <w:r w:rsidRPr="00ED55AF">
              <w:rPr>
                <w:rFonts w:hint="eastAsia"/>
                <w:sz w:val="24"/>
                <w:szCs w:val="24"/>
                <w:rtl/>
                <w:lang w:bidi="ar-EG"/>
              </w:rPr>
              <w:t xml:space="preserve"> </w:t>
            </w:r>
            <w:r w:rsidRPr="00ED55AF">
              <w:rPr>
                <w:rFonts w:hint="cs"/>
                <w:sz w:val="24"/>
                <w:szCs w:val="24"/>
                <w:rtl/>
                <w:lang w:bidi="ar-EG"/>
              </w:rPr>
              <w:t xml:space="preserve">وأعلنت المحكمة عدم قدرتها على إصدار حكم بشأن الجملة المطعون فيها للانتفاء الحالي للموضوع، وأشارت إلى أنه منذ صدور المرسوم بقانون رقم 2820 لسنة 1974، </w:t>
            </w:r>
            <w:r w:rsidRPr="00ED55AF">
              <w:rPr>
                <w:rFonts w:hint="eastAsia"/>
                <w:sz w:val="24"/>
                <w:szCs w:val="24"/>
                <w:rtl/>
                <w:lang w:bidi="ar-EG"/>
              </w:rPr>
              <w:t>”ال</w:t>
            </w:r>
            <w:r w:rsidRPr="00ED55AF">
              <w:rPr>
                <w:rFonts w:hint="cs"/>
                <w:sz w:val="24"/>
                <w:szCs w:val="24"/>
                <w:rtl/>
                <w:lang w:bidi="ar-EG"/>
              </w:rPr>
              <w:t>ذي منح الرجل والمرأة حقوقا وإلتزامات متساوية</w:t>
            </w:r>
            <w:r w:rsidRPr="00ED55AF">
              <w:rPr>
                <w:rFonts w:hint="eastAsia"/>
                <w:sz w:val="24"/>
                <w:szCs w:val="24"/>
                <w:rtl/>
                <w:lang w:bidi="ar-EG"/>
              </w:rPr>
              <w:t>“، تمارس السلطة الأبوية بالاشتراك بين الأبوين</w:t>
            </w:r>
            <w:r w:rsidR="003D7EB4">
              <w:rPr>
                <w:rFonts w:hint="eastAsia"/>
                <w:sz w:val="24"/>
                <w:szCs w:val="24"/>
                <w:rtl/>
                <w:lang w:bidi="ar-EG"/>
              </w:rPr>
              <w:t>،</w:t>
            </w:r>
          </w:p>
        </w:tc>
      </w:tr>
      <w:tr w:rsidR="00971AE2" w:rsidRPr="00ED55AF">
        <w:tblPrEx>
          <w:tblCellMar>
            <w:top w:w="0" w:type="dxa"/>
            <w:bottom w:w="0" w:type="dxa"/>
          </w:tblCellMar>
        </w:tblPrEx>
        <w:trPr>
          <w:cantSplit/>
          <w:jc w:val="center"/>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 xml:space="preserve">الحكم </w:t>
            </w:r>
            <w:r w:rsidRPr="00ED55AF">
              <w:rPr>
                <w:sz w:val="24"/>
                <w:szCs w:val="24"/>
              </w:rPr>
              <w:t>T</w:t>
            </w:r>
            <w:r w:rsidRPr="00ED55AF">
              <w:rPr>
                <w:rFonts w:hint="cs"/>
                <w:sz w:val="24"/>
                <w:szCs w:val="24"/>
                <w:rtl/>
                <w:lang w:bidi="ar-EG"/>
              </w:rPr>
              <w:t xml:space="preserve"> - 1642 لسنة 2000</w:t>
            </w:r>
          </w:p>
        </w:tc>
        <w:tc>
          <w:tcPr>
            <w:tcW w:w="4917" w:type="dxa"/>
            <w:vAlign w:val="bottom"/>
          </w:tcPr>
          <w:p w:rsidR="00971AE2" w:rsidRPr="00ED55AF" w:rsidRDefault="00971AE2" w:rsidP="004A2B21">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D55AF">
              <w:rPr>
                <w:rFonts w:hint="cs"/>
                <w:sz w:val="24"/>
                <w:szCs w:val="24"/>
                <w:rtl/>
                <w:lang w:bidi="ar-EG"/>
              </w:rPr>
              <w:t>اعترف بحق المرأة في الحصول أثناء الحمل على الرعاية الصحية من جانب إيكوبترول، لأن والدها كان متقاعدا من الشركة ولم يكن لها أي مورد مالي وكانت في العشرين من عمرها</w:t>
            </w:r>
            <w:r w:rsidR="003D7EB4">
              <w:rPr>
                <w:rFonts w:hint="cs"/>
                <w:sz w:val="24"/>
                <w:szCs w:val="24"/>
                <w:rtl/>
                <w:lang w:bidi="ar-EG"/>
              </w:rPr>
              <w:t>،</w:t>
            </w:r>
          </w:p>
        </w:tc>
      </w:tr>
      <w:tr w:rsidR="00971AE2" w:rsidRPr="00ED55AF">
        <w:tblPrEx>
          <w:tblCellMar>
            <w:top w:w="0" w:type="dxa"/>
            <w:bottom w:w="0" w:type="dxa"/>
          </w:tblCellMar>
        </w:tblPrEx>
        <w:trPr>
          <w:cantSplit/>
          <w:jc w:val="center"/>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الحكم C - 184 لسنة 2003</w:t>
            </w:r>
          </w:p>
        </w:tc>
        <w:tc>
          <w:tcPr>
            <w:tcW w:w="4917" w:type="dxa"/>
            <w:vAlign w:val="bottom"/>
          </w:tcPr>
          <w:p w:rsidR="00971AE2" w:rsidRPr="00ED55AF" w:rsidRDefault="00971AE2" w:rsidP="004A2B21">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D55AF">
              <w:rPr>
                <w:rFonts w:hint="cs"/>
                <w:sz w:val="24"/>
                <w:szCs w:val="24"/>
                <w:rtl/>
                <w:lang w:bidi="ar-EG"/>
              </w:rPr>
              <w:t xml:space="preserve">أعلن أن المادة 1 من القانون رقم 750 لسنة 2002 قابلة للتنفيذ </w:t>
            </w:r>
            <w:r w:rsidRPr="00ED55AF">
              <w:rPr>
                <w:rFonts w:hint="eastAsia"/>
                <w:sz w:val="24"/>
                <w:szCs w:val="24"/>
                <w:rtl/>
                <w:lang w:bidi="ar-EG"/>
              </w:rPr>
              <w:t>”</w:t>
            </w:r>
            <w:r w:rsidRPr="00ED55AF">
              <w:rPr>
                <w:rFonts w:hint="cs"/>
                <w:sz w:val="24"/>
                <w:szCs w:val="24"/>
                <w:rtl/>
                <w:lang w:bidi="ar-EG"/>
              </w:rPr>
              <w:t>على أساس</w:t>
            </w:r>
            <w:r w:rsidRPr="00ED55AF">
              <w:rPr>
                <w:rFonts w:hint="eastAsia"/>
                <w:sz w:val="24"/>
                <w:szCs w:val="24"/>
                <w:rtl/>
                <w:lang w:bidi="ar-EG"/>
              </w:rPr>
              <w:t xml:space="preserve"> أنه عند استيفاء الشروط المنصوص عليها في القانون يمكن أن يمنح القاضي الرجال الموجودين فعلا في نفس وضع </w:t>
            </w:r>
            <w:r w:rsidRPr="00ED55AF">
              <w:rPr>
                <w:rFonts w:hint="cs"/>
                <w:sz w:val="24"/>
                <w:szCs w:val="24"/>
                <w:rtl/>
                <w:lang w:bidi="ar-EG"/>
              </w:rPr>
              <w:t>رئيسة الأسرة هذا الحق من أجل حماية المصلحة العليا للإبن القاصر أو المعوق في الظروف المعينة للقضية</w:t>
            </w:r>
            <w:r w:rsidRPr="00ED55AF">
              <w:rPr>
                <w:rFonts w:hint="eastAsia"/>
                <w:sz w:val="24"/>
                <w:szCs w:val="24"/>
                <w:rtl/>
                <w:lang w:bidi="ar-EG"/>
              </w:rPr>
              <w:t>“</w:t>
            </w:r>
            <w:r w:rsidR="003D7EB4">
              <w:rPr>
                <w:rFonts w:hint="eastAsia"/>
                <w:sz w:val="24"/>
                <w:szCs w:val="24"/>
                <w:rtl/>
                <w:lang w:bidi="ar-EG"/>
              </w:rPr>
              <w:t>،</w:t>
            </w:r>
            <w:r w:rsidRPr="00ED55AF">
              <w:rPr>
                <w:rFonts w:hint="eastAsia"/>
                <w:sz w:val="24"/>
                <w:szCs w:val="24"/>
                <w:rtl/>
                <w:lang w:bidi="ar-EG"/>
              </w:rPr>
              <w:t xml:space="preserve"> </w:t>
            </w:r>
            <w:r w:rsidRPr="00ED55AF">
              <w:rPr>
                <w:rFonts w:hint="cs"/>
                <w:sz w:val="24"/>
                <w:szCs w:val="24"/>
                <w:rtl/>
                <w:lang w:bidi="ar-EG"/>
              </w:rPr>
              <w:t>ومنحت المحكمة الرجال ا</w:t>
            </w:r>
            <w:r w:rsidR="00CF2C22">
              <w:rPr>
                <w:rFonts w:hint="cs"/>
                <w:sz w:val="24"/>
                <w:szCs w:val="24"/>
                <w:rtl/>
                <w:lang w:bidi="ar-EG"/>
              </w:rPr>
              <w:t>لذين في نفس وضع رئيسة الأسرة ما</w:t>
            </w:r>
            <w:r w:rsidR="00CF2C22">
              <w:rPr>
                <w:rFonts w:hint="eastAsia"/>
                <w:sz w:val="24"/>
                <w:szCs w:val="24"/>
                <w:rtl/>
                <w:lang w:bidi="ar-EG"/>
              </w:rPr>
              <w:t> </w:t>
            </w:r>
            <w:r w:rsidRPr="00ED55AF">
              <w:rPr>
                <w:rFonts w:hint="cs"/>
                <w:sz w:val="24"/>
                <w:szCs w:val="24"/>
                <w:rtl/>
                <w:lang w:bidi="ar-EG"/>
              </w:rPr>
              <w:t>تتمتع به من امتيازات</w:t>
            </w:r>
            <w:r w:rsidR="003D7EB4">
              <w:rPr>
                <w:rFonts w:hint="cs"/>
                <w:sz w:val="24"/>
                <w:szCs w:val="24"/>
                <w:rtl/>
                <w:lang w:bidi="ar-EG"/>
              </w:rPr>
              <w:t>،</w:t>
            </w:r>
          </w:p>
        </w:tc>
      </w:tr>
      <w:tr w:rsidR="00971AE2" w:rsidRPr="00ED55AF">
        <w:tblPrEx>
          <w:tblCellMar>
            <w:top w:w="0" w:type="dxa"/>
            <w:bottom w:w="0" w:type="dxa"/>
          </w:tblCellMar>
        </w:tblPrEx>
        <w:trPr>
          <w:cantSplit/>
          <w:jc w:val="center"/>
        </w:trPr>
        <w:tc>
          <w:tcPr>
            <w:tcW w:w="2403" w:type="dxa"/>
            <w:tcBorders>
              <w:bottom w:val="single" w:sz="12" w:space="0" w:color="auto"/>
            </w:tcBorders>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الحكم C - 482 لسنة 2003</w:t>
            </w:r>
          </w:p>
        </w:tc>
        <w:tc>
          <w:tcPr>
            <w:tcW w:w="4917" w:type="dxa"/>
            <w:tcBorders>
              <w:bottom w:val="single" w:sz="12" w:space="0" w:color="auto"/>
            </w:tcBorders>
            <w:vAlign w:val="bottom"/>
          </w:tcPr>
          <w:p w:rsidR="00971AE2" w:rsidRPr="00ED55AF" w:rsidRDefault="00971AE2" w:rsidP="004A2B21">
            <w:pPr>
              <w:tabs>
                <w:tab w:val="left" w:pos="288"/>
                <w:tab w:val="left" w:pos="576"/>
                <w:tab w:val="left" w:pos="864"/>
                <w:tab w:val="left" w:pos="1152"/>
              </w:tabs>
              <w:spacing w:before="1" w:after="1" w:line="380" w:lineRule="exact"/>
              <w:ind w:left="72" w:right="72"/>
              <w:jc w:val="lowKashida"/>
              <w:rPr>
                <w:rFonts w:hint="eastAsia"/>
                <w:sz w:val="24"/>
                <w:szCs w:val="24"/>
                <w:rtl/>
                <w:lang w:bidi="ar-EG"/>
              </w:rPr>
            </w:pPr>
            <w:r w:rsidRPr="00ED55AF">
              <w:rPr>
                <w:rFonts w:hint="cs"/>
                <w:sz w:val="24"/>
                <w:szCs w:val="24"/>
                <w:rtl/>
                <w:lang w:bidi="ar-EG"/>
              </w:rPr>
              <w:t>طعـــن في الفقـــرة 11 من المـــادة 140 من القانــون المـــدني التي تنـــص على ما</w:t>
            </w:r>
            <w:r w:rsidRPr="00ED55AF">
              <w:rPr>
                <w:rFonts w:hint="eastAsia"/>
                <w:sz w:val="24"/>
                <w:szCs w:val="24"/>
                <w:rtl/>
                <w:lang w:bidi="ar-EG"/>
              </w:rPr>
              <w:t> </w:t>
            </w:r>
            <w:r w:rsidRPr="00ED55AF">
              <w:rPr>
                <w:rFonts w:hint="cs"/>
                <w:sz w:val="24"/>
                <w:szCs w:val="24"/>
                <w:rtl/>
                <w:lang w:bidi="ar-EG"/>
              </w:rPr>
              <w:t xml:space="preserve">يلي: </w:t>
            </w:r>
            <w:r w:rsidRPr="00ED55AF">
              <w:rPr>
                <w:rFonts w:hint="eastAsia"/>
                <w:sz w:val="24"/>
                <w:szCs w:val="24"/>
                <w:rtl/>
                <w:lang w:bidi="ar-EG"/>
              </w:rPr>
              <w:t>”يكون الزواج باط</w:t>
            </w:r>
            <w:r w:rsidRPr="00ED55AF">
              <w:rPr>
                <w:rFonts w:hint="cs"/>
                <w:sz w:val="24"/>
                <w:szCs w:val="24"/>
                <w:rtl/>
                <w:lang w:bidi="ar-EG"/>
              </w:rPr>
              <w:t>ــ</w:t>
            </w:r>
            <w:r w:rsidRPr="00ED55AF">
              <w:rPr>
                <w:rFonts w:hint="eastAsia"/>
                <w:sz w:val="24"/>
                <w:szCs w:val="24"/>
                <w:rtl/>
                <w:lang w:bidi="ar-EG"/>
              </w:rPr>
              <w:t xml:space="preserve">لا وغير </w:t>
            </w:r>
            <w:r w:rsidRPr="00ED55AF">
              <w:rPr>
                <w:rFonts w:hint="cs"/>
                <w:sz w:val="24"/>
                <w:szCs w:val="24"/>
                <w:rtl/>
                <w:lang w:bidi="ar-EG"/>
              </w:rPr>
              <w:t xml:space="preserve">ذي أثــر في الحــــالات التاليــة </w:t>
            </w:r>
            <w:r w:rsidR="003D7EB4">
              <w:rPr>
                <w:rFonts w:hint="cs"/>
                <w:sz w:val="24"/>
                <w:szCs w:val="24"/>
                <w:rtl/>
                <w:lang w:bidi="ar-EG"/>
              </w:rPr>
              <w:t>،،،</w:t>
            </w:r>
            <w:r w:rsidRPr="00ED55AF">
              <w:rPr>
                <w:rFonts w:hint="cs"/>
                <w:sz w:val="24"/>
                <w:szCs w:val="24"/>
                <w:rtl/>
                <w:lang w:bidi="ar-EG"/>
              </w:rPr>
              <w:t xml:space="preserve"> 11 - عندما يعقد قران الأب المتبني على الإبنة المتبناة أو الإبن المتبنى على الأم المتبنية أو على المرأة التي كانت زوجة المتبني</w:t>
            </w:r>
            <w:r w:rsidRPr="00ED55AF">
              <w:rPr>
                <w:rFonts w:hint="eastAsia"/>
                <w:sz w:val="24"/>
                <w:szCs w:val="24"/>
                <w:rtl/>
                <w:lang w:bidi="ar-EG"/>
              </w:rPr>
              <w:t>“، وأبقت المحكمة على سريان السبب لكنها عدلت تفسيره ليصبح منطبقا على الرجال والنساء في نفس الظروف</w:t>
            </w:r>
            <w:r w:rsidR="003D7EB4">
              <w:rPr>
                <w:rFonts w:hint="eastAsia"/>
                <w:sz w:val="24"/>
                <w:szCs w:val="24"/>
                <w:rtl/>
                <w:lang w:bidi="ar-EG"/>
              </w:rPr>
              <w:t>،</w:t>
            </w:r>
          </w:p>
        </w:tc>
      </w:tr>
    </w:tbl>
    <w:p w:rsidR="00971AE2" w:rsidRPr="00085A0C" w:rsidRDefault="00971AE2" w:rsidP="00971AE2">
      <w:pPr>
        <w:pStyle w:val="SingleTxt"/>
        <w:spacing w:after="0" w:line="120" w:lineRule="exact"/>
        <w:ind w:left="72" w:right="72"/>
        <w:jc w:val="both"/>
        <w:rPr>
          <w:rFonts w:hint="cs"/>
          <w:sz w:val="10"/>
          <w:rtl/>
          <w:lang w:bidi="ar-EG"/>
        </w:rPr>
      </w:pPr>
    </w:p>
    <w:p w:rsidR="00971AE2"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المنجزات الإدارية</w:t>
      </w:r>
    </w:p>
    <w:p w:rsidR="00971AE2" w:rsidRDefault="00971AE2" w:rsidP="00971AE2">
      <w:pPr>
        <w:pStyle w:val="SingleTxt"/>
        <w:rPr>
          <w:rFonts w:hint="cs"/>
          <w:rtl/>
          <w:lang w:bidi="ar-EG"/>
        </w:rPr>
      </w:pPr>
      <w:r>
        <w:rPr>
          <w:rFonts w:hint="cs"/>
          <w:rtl/>
          <w:lang w:bidi="ar-EG"/>
        </w:rPr>
        <w:tab/>
        <w:t>اتُخذت في كولومبيا تدابير إدارية لمكافحة التمييز ضد المرأة تنفيذا للاتفاقية، وسوف يجري سرد هذه التدابير في هذه الوثيقة</w:t>
      </w:r>
      <w:r w:rsidR="003D7EB4">
        <w:rPr>
          <w:rFonts w:hint="cs"/>
          <w:rtl/>
          <w:lang w:bidi="ar-EG"/>
        </w:rPr>
        <w:t>،</w:t>
      </w:r>
    </w:p>
    <w:p w:rsidR="00971AE2" w:rsidRDefault="00971AE2" w:rsidP="00971AE2">
      <w:pPr>
        <w:pStyle w:val="SingleTxt"/>
        <w:rPr>
          <w:rFonts w:hint="cs"/>
          <w:rtl/>
          <w:lang w:bidi="ar-EG"/>
        </w:rPr>
      </w:pPr>
      <w:r>
        <w:rPr>
          <w:rFonts w:hint="cs"/>
          <w:rtl/>
          <w:lang w:bidi="ar-EG"/>
        </w:rPr>
        <w:tab/>
        <w:t>فيما يتعلق بالتصديق على البروتوكول الاختياري للاتفاقية أصدرت مستشارة رئيس الجمهورية فيما يتعلق بتحقيق المساواة بين الرجل والمرأة مفهوما قانونيا بشأن جدوى التصديق التام عليه</w:t>
      </w:r>
      <w:r w:rsidR="003D7EB4">
        <w:rPr>
          <w:rFonts w:hint="cs"/>
          <w:rtl/>
          <w:lang w:bidi="ar-EG"/>
        </w:rPr>
        <w:t>،</w:t>
      </w:r>
      <w:r>
        <w:rPr>
          <w:rFonts w:hint="cs"/>
          <w:rtl/>
          <w:lang w:bidi="ar-EG"/>
        </w:rPr>
        <w:t xml:space="preserve"> وقد حاز هذا المفهوم على رضا وزارة الداخلية/العدل ووزارة الخارجية</w:t>
      </w:r>
      <w:r>
        <w:rPr>
          <w:rFonts w:hint="cs"/>
          <w:vertAlign w:val="superscript"/>
          <w:rtl/>
          <w:lang w:bidi="ar-EG"/>
        </w:rPr>
        <w:t>(10)</w:t>
      </w:r>
      <w:r>
        <w:rPr>
          <w:rFonts w:hint="cs"/>
          <w:rtl/>
          <w:lang w:bidi="ar-EG"/>
        </w:rPr>
        <w:t>، بهدف اتخاذ الإجراءات اللازمة بشأنه في كونغرس الجمهورية لاعتماده</w:t>
      </w:r>
      <w:r w:rsidR="003D7EB4">
        <w:rPr>
          <w:rFonts w:hint="cs"/>
          <w:rtl/>
          <w:lang w:bidi="ar-EG"/>
        </w:rPr>
        <w:t>،</w:t>
      </w:r>
      <w:r>
        <w:rPr>
          <w:rFonts w:hint="cs"/>
          <w:rtl/>
          <w:lang w:bidi="ar-EG"/>
        </w:rPr>
        <w:t xml:space="preserve"> وقد أُعد فعلا مشروع القانون ذو الصلة وكان موجودا في أمانة الكونغرس في 25 آذار/ مارس من هذه السنة</w:t>
      </w:r>
      <w:r w:rsidR="003D7EB4">
        <w:rPr>
          <w:rFonts w:hint="cs"/>
          <w:rtl/>
          <w:lang w:bidi="ar-EG"/>
        </w:rPr>
        <w:t>،</w:t>
      </w:r>
    </w:p>
    <w:p w:rsidR="00971AE2"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الإحصاءات</w:t>
      </w:r>
    </w:p>
    <w:p w:rsidR="00971AE2" w:rsidRDefault="00971AE2" w:rsidP="00971AE2">
      <w:pPr>
        <w:pStyle w:val="SingleTxt"/>
        <w:rPr>
          <w:rFonts w:hint="cs"/>
          <w:rtl/>
          <w:lang w:bidi="ar-EG"/>
        </w:rPr>
      </w:pPr>
      <w:r>
        <w:rPr>
          <w:rFonts w:hint="cs"/>
          <w:rtl/>
          <w:lang w:bidi="ar-EG"/>
        </w:rPr>
        <w:tab/>
        <w:t>فيما يتعلق بالفترة السابقة تم بلوغ مستوى عال من الحماية للمرأة من الناحية التشريعية</w:t>
      </w:r>
      <w:r w:rsidR="003D7EB4">
        <w:rPr>
          <w:rFonts w:hint="cs"/>
          <w:rtl/>
          <w:lang w:bidi="ar-EG"/>
        </w:rPr>
        <w:t>،</w:t>
      </w:r>
      <w:r>
        <w:rPr>
          <w:rFonts w:hint="cs"/>
          <w:rtl/>
          <w:lang w:bidi="ar-EG"/>
        </w:rPr>
        <w:t xml:space="preserve"> فخلال الفترة من سنة 1999 إلى سنة 2003 سُنت ثمانية قوانين تعتمد معاهدات دولية متعلقة بالمرأة وإثنا وعشرون قانونا تحمي المرأة بصفة خاصة، ويوجد في شهر حزيران/ يونيه 2003 ثلاثة مشاريع قوانين أخرى قيد النظر</w:t>
      </w:r>
      <w:r w:rsidR="003D7EB4">
        <w:rPr>
          <w:rFonts w:hint="cs"/>
          <w:rtl/>
          <w:lang w:bidi="ar-EG"/>
        </w:rPr>
        <w:t>،</w:t>
      </w:r>
    </w:p>
    <w:p w:rsidR="00971AE2" w:rsidRDefault="00971AE2" w:rsidP="00971AE2">
      <w:pPr>
        <w:pStyle w:val="SingleTxt"/>
        <w:rPr>
          <w:rFonts w:hint="cs"/>
          <w:rtl/>
          <w:lang w:bidi="ar-EG"/>
        </w:rPr>
      </w:pPr>
      <w:r>
        <w:rPr>
          <w:rFonts w:hint="cs"/>
          <w:rtl/>
          <w:lang w:bidi="ar-EG"/>
        </w:rPr>
        <w:tab/>
        <w:t>وفضلا عن ذلك أصدرت المحكمة الدستورية في نفس هذه الفترة ما يربو على 500 2 حكما متعلقا بحالة المرأة</w:t>
      </w:r>
      <w:r w:rsidR="003D7EB4">
        <w:rPr>
          <w:rFonts w:hint="cs"/>
          <w:rtl/>
          <w:lang w:bidi="ar-EG"/>
        </w:rPr>
        <w:t>،</w:t>
      </w:r>
    </w:p>
    <w:p w:rsidR="00426B8B" w:rsidRPr="00426B8B" w:rsidRDefault="00426B8B" w:rsidP="00426B8B">
      <w:pPr>
        <w:pStyle w:val="SingleTxt"/>
        <w:spacing w:after="0" w:line="120" w:lineRule="exact"/>
        <w:rPr>
          <w:rFonts w:hint="cs"/>
          <w:sz w:val="10"/>
          <w:rtl/>
          <w:lang w:bidi="ar-EG"/>
        </w:rPr>
      </w:pPr>
    </w:p>
    <w:p w:rsidR="00971AE2"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2-3</w:t>
      </w:r>
      <w:r w:rsidR="00971AE2">
        <w:rPr>
          <w:rFonts w:hint="cs"/>
          <w:rtl/>
          <w:lang w:bidi="ar-EG"/>
        </w:rPr>
        <w:tab/>
        <w:t>المادة 3</w:t>
      </w:r>
    </w:p>
    <w:p w:rsidR="00971AE2"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تنمية المرأة والنهوض بها</w:t>
      </w:r>
    </w:p>
    <w:p w:rsidR="00971AE2" w:rsidRDefault="00ED55AF" w:rsidP="00ED55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المنجزات التشريعية</w:t>
      </w:r>
    </w:p>
    <w:p w:rsidR="00971AE2" w:rsidRPr="00085A0C" w:rsidRDefault="00971AE2" w:rsidP="00971AE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971AE2" w:rsidRPr="00ED55AF">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القانون</w:t>
            </w:r>
          </w:p>
        </w:tc>
        <w:tc>
          <w:tcPr>
            <w:tcW w:w="4917"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الموضوع</w:t>
            </w:r>
          </w:p>
        </w:tc>
      </w:tr>
      <w:tr w:rsidR="00971AE2" w:rsidRPr="00ED55AF">
        <w:tblPrEx>
          <w:tblCellMar>
            <w:top w:w="0" w:type="dxa"/>
            <w:bottom w:w="0" w:type="dxa"/>
          </w:tblCellMar>
        </w:tblPrEx>
        <w:trPr>
          <w:cantSplit/>
          <w:trHeight w:hRule="exact" w:val="115"/>
          <w:tblHeader/>
        </w:trPr>
        <w:tc>
          <w:tcPr>
            <w:tcW w:w="2403"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4917"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r>
      <w:tr w:rsidR="00971AE2" w:rsidRPr="00ED55AF">
        <w:tblPrEx>
          <w:tblCellMar>
            <w:top w:w="0" w:type="dxa"/>
            <w:bottom w:w="0" w:type="dxa"/>
          </w:tblCellMar>
        </w:tblPrEx>
        <w:trPr>
          <w:cantSplit/>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القانون رقم 780 لسنة 2002</w:t>
            </w:r>
          </w:p>
        </w:tc>
        <w:tc>
          <w:tcPr>
            <w:tcW w:w="4917" w:type="dxa"/>
            <w:vAlign w:val="bottom"/>
          </w:tcPr>
          <w:p w:rsidR="00971AE2" w:rsidRPr="00ED55AF" w:rsidRDefault="00971AE2" w:rsidP="003075E3">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D55AF">
              <w:rPr>
                <w:rFonts w:hint="cs"/>
                <w:sz w:val="24"/>
                <w:szCs w:val="24"/>
                <w:rtl/>
                <w:lang w:bidi="ar-EG"/>
              </w:rPr>
              <w:t>الذي صدرت بموجبه الميزانية العامة للدولة للسنة المالية 2003</w:t>
            </w:r>
            <w:r w:rsidR="003D7EB4">
              <w:rPr>
                <w:rFonts w:hint="cs"/>
                <w:sz w:val="24"/>
                <w:szCs w:val="24"/>
                <w:rtl/>
                <w:lang w:bidi="ar-EG"/>
              </w:rPr>
              <w:t>،</w:t>
            </w:r>
          </w:p>
        </w:tc>
      </w:tr>
      <w:tr w:rsidR="00971AE2" w:rsidRPr="00ED55AF">
        <w:tblPrEx>
          <w:tblCellMar>
            <w:top w:w="0" w:type="dxa"/>
            <w:bottom w:w="0" w:type="dxa"/>
          </w:tblCellMar>
        </w:tblPrEx>
        <w:trPr>
          <w:cantSplit/>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القانون رقم 812 لسنة 2003</w:t>
            </w:r>
          </w:p>
        </w:tc>
        <w:tc>
          <w:tcPr>
            <w:tcW w:w="4917" w:type="dxa"/>
            <w:vAlign w:val="bottom"/>
          </w:tcPr>
          <w:p w:rsidR="00971AE2" w:rsidRPr="00ED55AF" w:rsidRDefault="00971AE2" w:rsidP="003075E3">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D55AF">
              <w:rPr>
                <w:rFonts w:hint="cs"/>
                <w:sz w:val="24"/>
                <w:szCs w:val="24"/>
                <w:rtl/>
                <w:lang w:bidi="ar-EG"/>
              </w:rPr>
              <w:t>الخطة الإنمائية الوطنية</w:t>
            </w:r>
            <w:r w:rsidR="003D7EB4">
              <w:rPr>
                <w:rFonts w:hint="cs"/>
                <w:sz w:val="24"/>
                <w:szCs w:val="24"/>
                <w:rtl/>
                <w:lang w:bidi="ar-EG"/>
              </w:rPr>
              <w:t>،</w:t>
            </w:r>
            <w:r w:rsidRPr="00ED55AF">
              <w:rPr>
                <w:rFonts w:hint="cs"/>
                <w:sz w:val="24"/>
                <w:szCs w:val="24"/>
                <w:rtl/>
                <w:lang w:bidi="ar-EG"/>
              </w:rPr>
              <w:t xml:space="preserve"> هي دعامة خطة إقامة المساواة الاجتماعية في كولومبيا</w:t>
            </w:r>
            <w:r w:rsidRPr="00ED55AF">
              <w:rPr>
                <w:rFonts w:hint="cs"/>
                <w:sz w:val="24"/>
                <w:szCs w:val="24"/>
                <w:vertAlign w:val="superscript"/>
                <w:rtl/>
                <w:lang w:bidi="ar-EG"/>
              </w:rPr>
              <w:t>(11)</w:t>
            </w:r>
            <w:r w:rsidR="003D7EB4">
              <w:rPr>
                <w:rFonts w:hint="cs"/>
                <w:sz w:val="24"/>
                <w:szCs w:val="24"/>
                <w:rtl/>
                <w:lang w:bidi="ar-EG"/>
              </w:rPr>
              <w:t>،</w:t>
            </w:r>
            <w:r w:rsidRPr="00ED55AF">
              <w:rPr>
                <w:rFonts w:hint="cs"/>
                <w:sz w:val="24"/>
                <w:szCs w:val="24"/>
                <w:rtl/>
                <w:lang w:bidi="ar-EG"/>
              </w:rPr>
              <w:t xml:space="preserve"> ومن أجل تحقيق الأهداف المكرسة في الخطة الإنمائية الوطنية وجعل المجتمع أكثر عدلا، حُددت الوسائل السبع للمساواة الاجتماعية وهي: الثورة التعليمية وتحسين وتوسيع نطاق الرعاية الاجتماعية والتأمينات الاجتماعية؛ وتنشيط الاقتصاد التضامني؛ والإدارة الاشتراكية للريف؛ والإدارة الاشتراكية للخدمات العامة؛ وتنمية المؤسسات الصغيرة والمتوسطة والصغيرة للغاية (بلد أصحاب المؤسسات)؛ ونوعية الحياة الحضرية</w:t>
            </w:r>
            <w:r w:rsidR="003D7EB4">
              <w:rPr>
                <w:rFonts w:hint="cs"/>
                <w:sz w:val="24"/>
                <w:szCs w:val="24"/>
                <w:rtl/>
                <w:lang w:bidi="ar-EG"/>
              </w:rPr>
              <w:t>،</w:t>
            </w:r>
          </w:p>
        </w:tc>
      </w:tr>
      <w:tr w:rsidR="00971AE2" w:rsidRPr="00ED55AF">
        <w:tblPrEx>
          <w:tblCellMar>
            <w:top w:w="0" w:type="dxa"/>
            <w:bottom w:w="0" w:type="dxa"/>
          </w:tblCellMar>
        </w:tblPrEx>
        <w:trPr>
          <w:cantSplit/>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4917" w:type="dxa"/>
            <w:vAlign w:val="bottom"/>
          </w:tcPr>
          <w:p w:rsidR="00971AE2" w:rsidRPr="00ED55AF" w:rsidRDefault="00971AE2" w:rsidP="003075E3">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D55AF">
              <w:rPr>
                <w:rFonts w:hint="cs"/>
                <w:sz w:val="24"/>
                <w:szCs w:val="24"/>
                <w:rtl/>
                <w:lang w:bidi="ar-EG"/>
              </w:rPr>
              <w:t>وفي الفصل المعنون المساواة الاجتماعية، تُضفى الصفة الرسمية على الهيئة الاستشارية لرئيس الجمهورية فيما يتعلق بالمساواة بين الرجل والمرأة لرسم سياسة من أجل المرأة وإدارة عملية التحول الجنساني</w:t>
            </w:r>
            <w:r w:rsidR="003D7EB4">
              <w:rPr>
                <w:rFonts w:hint="cs"/>
                <w:sz w:val="24"/>
                <w:szCs w:val="24"/>
                <w:rtl/>
                <w:lang w:bidi="ar-EG"/>
              </w:rPr>
              <w:t>،</w:t>
            </w:r>
            <w:r w:rsidRPr="00ED55AF">
              <w:rPr>
                <w:rFonts w:hint="cs"/>
                <w:sz w:val="24"/>
                <w:szCs w:val="24"/>
                <w:rtl/>
                <w:lang w:bidi="ar-EG"/>
              </w:rPr>
              <w:t xml:space="preserve"> وتنص القاعدة المعتمدة في الخطة الإنمائية الوطنية على ما يلي:</w:t>
            </w:r>
          </w:p>
        </w:tc>
      </w:tr>
      <w:tr w:rsidR="00971AE2" w:rsidRPr="00ED55AF">
        <w:tblPrEx>
          <w:tblCellMar>
            <w:top w:w="0" w:type="dxa"/>
            <w:bottom w:w="0" w:type="dxa"/>
          </w:tblCellMar>
        </w:tblPrEx>
        <w:trPr>
          <w:cantSplit/>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4917" w:type="dxa"/>
            <w:vAlign w:val="bottom"/>
          </w:tcPr>
          <w:p w:rsidR="00971AE2" w:rsidRPr="00ED55AF" w:rsidRDefault="00971AE2" w:rsidP="003075E3">
            <w:pPr>
              <w:tabs>
                <w:tab w:val="left" w:pos="288"/>
                <w:tab w:val="left" w:pos="576"/>
                <w:tab w:val="left" w:pos="864"/>
                <w:tab w:val="left" w:pos="1152"/>
              </w:tabs>
              <w:spacing w:before="1" w:after="1" w:line="380" w:lineRule="exact"/>
              <w:ind w:left="72" w:right="72"/>
              <w:jc w:val="lowKashida"/>
              <w:rPr>
                <w:rFonts w:hint="eastAsia"/>
                <w:sz w:val="24"/>
                <w:szCs w:val="24"/>
                <w:rtl/>
                <w:lang w:bidi="ar-EG"/>
              </w:rPr>
            </w:pPr>
            <w:r w:rsidRPr="00ED55AF">
              <w:rPr>
                <w:rFonts w:hint="eastAsia"/>
                <w:sz w:val="24"/>
                <w:szCs w:val="24"/>
                <w:rtl/>
                <w:lang w:bidi="ar-EG"/>
              </w:rPr>
              <w:t xml:space="preserve">”10 </w:t>
            </w:r>
            <w:r w:rsidRPr="00ED55AF">
              <w:rPr>
                <w:sz w:val="24"/>
                <w:szCs w:val="24"/>
                <w:rtl/>
                <w:lang w:bidi="ar-EG"/>
              </w:rPr>
              <w:t>–</w:t>
            </w:r>
            <w:r w:rsidRPr="00ED55AF">
              <w:rPr>
                <w:rFonts w:hint="eastAsia"/>
                <w:sz w:val="24"/>
                <w:szCs w:val="24"/>
                <w:rtl/>
                <w:lang w:bidi="ar-EG"/>
              </w:rPr>
              <w:t xml:space="preserve"> المرأة </w:t>
            </w:r>
            <w:r w:rsidRPr="00ED55AF">
              <w:rPr>
                <w:rFonts w:hint="cs"/>
                <w:sz w:val="24"/>
                <w:szCs w:val="24"/>
                <w:rtl/>
                <w:lang w:bidi="ar-EG"/>
              </w:rPr>
              <w:t>صانعة السلام والتنمية</w:t>
            </w:r>
          </w:p>
        </w:tc>
      </w:tr>
      <w:tr w:rsidR="00971AE2" w:rsidRPr="00ED55AF">
        <w:tblPrEx>
          <w:tblCellMar>
            <w:top w:w="0" w:type="dxa"/>
            <w:bottom w:w="0" w:type="dxa"/>
          </w:tblCellMar>
        </w:tblPrEx>
        <w:trPr>
          <w:cantSplit/>
        </w:trPr>
        <w:tc>
          <w:tcPr>
            <w:tcW w:w="2403"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4917" w:type="dxa"/>
            <w:vAlign w:val="bottom"/>
          </w:tcPr>
          <w:p w:rsidR="00971AE2" w:rsidRPr="00ED55AF" w:rsidRDefault="00971AE2" w:rsidP="003075E3">
            <w:pPr>
              <w:tabs>
                <w:tab w:val="left" w:pos="288"/>
                <w:tab w:val="left" w:pos="576"/>
                <w:tab w:val="left" w:pos="864"/>
                <w:tab w:val="left" w:pos="1152"/>
              </w:tabs>
              <w:spacing w:before="1" w:after="1" w:line="380" w:lineRule="exact"/>
              <w:ind w:left="72" w:right="72" w:hanging="288"/>
              <w:jc w:val="lowKashida"/>
              <w:rPr>
                <w:rFonts w:hint="cs"/>
                <w:sz w:val="24"/>
                <w:szCs w:val="24"/>
                <w:rtl/>
                <w:lang w:bidi="ar-EG"/>
              </w:rPr>
            </w:pPr>
            <w:r w:rsidRPr="00ED55AF">
              <w:rPr>
                <w:rFonts w:hint="cs"/>
                <w:sz w:val="24"/>
                <w:szCs w:val="24"/>
                <w:rtl/>
                <w:lang w:bidi="ar-EG"/>
              </w:rPr>
              <w:t>-</w:t>
            </w:r>
            <w:r w:rsidRPr="00ED55AF">
              <w:rPr>
                <w:sz w:val="24"/>
                <w:szCs w:val="24"/>
                <w:rtl/>
                <w:lang w:bidi="ar-EG"/>
              </w:rPr>
              <w:tab/>
            </w:r>
            <w:r w:rsidRPr="00ED55AF">
              <w:rPr>
                <w:rFonts w:hint="cs"/>
                <w:sz w:val="24"/>
                <w:szCs w:val="24"/>
                <w:rtl/>
                <w:lang w:bidi="ar-EG"/>
              </w:rPr>
              <w:t>إعمالا للدستور الوطني، وتنفيذا للالتزامات الدولية التي أخذتها كولومبيا على عاتقها، وبهدف تعزيز التنمية مع المساواة بين الجنسين وتحقيق التكافؤ في الفرص بين الرجل والمرأة، سترسم الحكومة الوطنية سياسة من أجل المرأة</w:t>
            </w:r>
            <w:r w:rsidR="003D7EB4">
              <w:rPr>
                <w:rFonts w:hint="cs"/>
                <w:sz w:val="24"/>
                <w:szCs w:val="24"/>
                <w:rtl/>
                <w:lang w:bidi="ar-EG"/>
              </w:rPr>
              <w:t>،</w:t>
            </w:r>
            <w:r w:rsidRPr="00ED55AF">
              <w:rPr>
                <w:rFonts w:hint="cs"/>
                <w:sz w:val="24"/>
                <w:szCs w:val="24"/>
                <w:rtl/>
                <w:lang w:bidi="ar-EG"/>
              </w:rPr>
              <w:t xml:space="preserve"> وسوف يتم ذلك عن طريق الهيئة الاستشارية لرئيس الجمهورية فيما يتعلق بالمساواة بين الرجل والمرأة، التي ستنسق عملية تحقيق التساوق مع الوزارات وسائر الهيئات العامة، لإدماج البُعد الجنساني في برامجها ومشاريعها وميزانياتها، في إطار الاستراتيجيات والبرامج الواردة في الخطة الإنمائية الوطنية</w:t>
            </w:r>
            <w:r w:rsidR="003D7EB4">
              <w:rPr>
                <w:rFonts w:hint="cs"/>
                <w:sz w:val="24"/>
                <w:szCs w:val="24"/>
                <w:rtl/>
                <w:lang w:bidi="ar-EG"/>
              </w:rPr>
              <w:t>،</w:t>
            </w:r>
          </w:p>
          <w:p w:rsidR="00971AE2" w:rsidRPr="00ED55AF" w:rsidRDefault="00971AE2" w:rsidP="00971AE2">
            <w:pPr>
              <w:tabs>
                <w:tab w:val="left" w:pos="288"/>
                <w:tab w:val="left" w:pos="576"/>
                <w:tab w:val="left" w:pos="864"/>
                <w:tab w:val="left" w:pos="1152"/>
              </w:tabs>
              <w:spacing w:before="1" w:after="1" w:line="380" w:lineRule="exact"/>
              <w:ind w:left="72" w:right="72" w:hanging="288"/>
              <w:rPr>
                <w:rFonts w:hint="eastAsia"/>
                <w:sz w:val="24"/>
                <w:szCs w:val="24"/>
                <w:rtl/>
                <w:lang w:bidi="ar-EG"/>
              </w:rPr>
            </w:pPr>
            <w:r w:rsidRPr="00ED55AF">
              <w:rPr>
                <w:rFonts w:hint="cs"/>
                <w:sz w:val="24"/>
                <w:szCs w:val="24"/>
                <w:rtl/>
                <w:lang w:bidi="ar-EG"/>
              </w:rPr>
              <w:t>-</w:t>
            </w:r>
            <w:r w:rsidRPr="00ED55AF">
              <w:rPr>
                <w:sz w:val="24"/>
                <w:szCs w:val="24"/>
                <w:rtl/>
                <w:lang w:bidi="ar-EG"/>
              </w:rPr>
              <w:tab/>
            </w:r>
            <w:r w:rsidRPr="00ED55AF">
              <w:rPr>
                <w:rFonts w:hint="cs"/>
                <w:sz w:val="24"/>
                <w:szCs w:val="24"/>
                <w:rtl/>
                <w:lang w:bidi="ar-EG"/>
              </w:rPr>
              <w:t>ستوضع خطة لتحقيق المساواة والتكافؤ في الفرص بين الرجل المرأة</w:t>
            </w:r>
            <w:r w:rsidR="003D7EB4">
              <w:rPr>
                <w:rFonts w:hint="cs"/>
                <w:sz w:val="24"/>
                <w:szCs w:val="24"/>
                <w:rtl/>
                <w:lang w:bidi="ar-EG"/>
              </w:rPr>
              <w:t>،</w:t>
            </w:r>
            <w:r w:rsidRPr="00ED55AF">
              <w:rPr>
                <w:rFonts w:hint="cs"/>
                <w:sz w:val="24"/>
                <w:szCs w:val="24"/>
                <w:rtl/>
                <w:lang w:bidi="ar-EG"/>
              </w:rPr>
              <w:t xml:space="preserve"> وسوف تُحدد مهام الهيئة الاستشارية لرئيس الجمهورية فيما يتعلق بالمساواة بين الرجل والمرأة</w:t>
            </w:r>
            <w:r w:rsidR="003D7EB4">
              <w:rPr>
                <w:rFonts w:hint="cs"/>
                <w:sz w:val="24"/>
                <w:szCs w:val="24"/>
                <w:rtl/>
                <w:lang w:bidi="ar-EG"/>
              </w:rPr>
              <w:t>،</w:t>
            </w:r>
            <w:r w:rsidRPr="00ED55AF">
              <w:rPr>
                <w:rFonts w:hint="cs"/>
                <w:sz w:val="24"/>
                <w:szCs w:val="24"/>
                <w:rtl/>
                <w:lang w:bidi="ar-EG"/>
              </w:rPr>
              <w:t xml:space="preserve"> وسوف توضع خطة للاتصال العام من أجل تحقيق المساواة بين الرجل والمرأة وبين الأجيال وسوف يجري النشر عن حقوق المرأة وتعزيزها للتأثير في العنف العائلي والجنسي</w:t>
            </w:r>
            <w:r w:rsidR="003D7EB4">
              <w:rPr>
                <w:rFonts w:hint="cs"/>
                <w:sz w:val="24"/>
                <w:szCs w:val="24"/>
                <w:rtl/>
                <w:lang w:bidi="ar-EG"/>
              </w:rPr>
              <w:t>،</w:t>
            </w:r>
            <w:r w:rsidRPr="00ED55AF">
              <w:rPr>
                <w:rFonts w:hint="eastAsia"/>
                <w:sz w:val="24"/>
                <w:szCs w:val="24"/>
                <w:rtl/>
                <w:lang w:bidi="ar-EG"/>
              </w:rPr>
              <w:t>“ (</w:t>
            </w:r>
            <w:r w:rsidR="003D7EB4">
              <w:rPr>
                <w:rFonts w:hint="eastAsia"/>
                <w:sz w:val="24"/>
                <w:szCs w:val="24"/>
                <w:rtl/>
                <w:lang w:bidi="ar-EG"/>
              </w:rPr>
              <w:t>،،،</w:t>
            </w:r>
            <w:r w:rsidRPr="00ED55AF">
              <w:rPr>
                <w:rFonts w:hint="eastAsia"/>
                <w:sz w:val="24"/>
                <w:szCs w:val="24"/>
                <w:rtl/>
                <w:lang w:bidi="ar-EG"/>
              </w:rPr>
              <w:t>)</w:t>
            </w:r>
          </w:p>
        </w:tc>
      </w:tr>
      <w:tr w:rsidR="00971AE2" w:rsidRPr="00ED55AF">
        <w:tblPrEx>
          <w:tblCellMar>
            <w:top w:w="0" w:type="dxa"/>
            <w:bottom w:w="0" w:type="dxa"/>
          </w:tblCellMar>
        </w:tblPrEx>
        <w:trPr>
          <w:cantSplit/>
        </w:trPr>
        <w:tc>
          <w:tcPr>
            <w:tcW w:w="2403" w:type="dxa"/>
            <w:tcBorders>
              <w:bottom w:val="single" w:sz="12" w:space="0" w:color="auto"/>
            </w:tcBorders>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القانون رقم 823 لسنة 2003</w:t>
            </w:r>
          </w:p>
        </w:tc>
        <w:tc>
          <w:tcPr>
            <w:tcW w:w="4917" w:type="dxa"/>
            <w:tcBorders>
              <w:bottom w:val="single" w:sz="12" w:space="0" w:color="auto"/>
            </w:tcBorders>
            <w:vAlign w:val="bottom"/>
          </w:tcPr>
          <w:p w:rsidR="00971AE2" w:rsidRPr="00ED55AF" w:rsidRDefault="00971AE2" w:rsidP="003075E3">
            <w:pPr>
              <w:tabs>
                <w:tab w:val="left" w:pos="288"/>
                <w:tab w:val="left" w:pos="576"/>
                <w:tab w:val="left" w:pos="864"/>
                <w:tab w:val="left" w:pos="1152"/>
              </w:tabs>
              <w:spacing w:before="1" w:after="1" w:line="380" w:lineRule="exact"/>
              <w:ind w:left="72" w:right="72" w:hanging="288"/>
              <w:jc w:val="lowKashida"/>
              <w:rPr>
                <w:rFonts w:hint="cs"/>
                <w:sz w:val="24"/>
                <w:szCs w:val="24"/>
                <w:rtl/>
                <w:lang w:bidi="ar-EG"/>
              </w:rPr>
            </w:pPr>
            <w:r w:rsidRPr="00ED55AF">
              <w:rPr>
                <w:rFonts w:hint="cs"/>
                <w:sz w:val="24"/>
                <w:szCs w:val="24"/>
                <w:rtl/>
                <w:lang w:bidi="ar-EG"/>
              </w:rPr>
              <w:t>يضع إطارا متينا لإعطاء دفعة قوية لعملية تنمية المرأة والنهوض بها في كولومبيا</w:t>
            </w:r>
            <w:r w:rsidR="003D7EB4">
              <w:rPr>
                <w:rFonts w:hint="cs"/>
                <w:sz w:val="24"/>
                <w:szCs w:val="24"/>
                <w:rtl/>
                <w:lang w:bidi="ar-EG"/>
              </w:rPr>
              <w:t>،</w:t>
            </w:r>
            <w:r w:rsidRPr="00ED55AF">
              <w:rPr>
                <w:rFonts w:hint="cs"/>
                <w:sz w:val="24"/>
                <w:szCs w:val="24"/>
                <w:rtl/>
                <w:lang w:bidi="ar-EG"/>
              </w:rPr>
              <w:t xml:space="preserve"> وتنص المادة 11 على أن تقوم الحكومة الوطنية بتعزيز وضمان إدراج مشاريع وبرامج وإجراءات حتى تستطيع سلطات المقاطعات والمناطق والبلديات تحقيق التكافؤ في الفرص بين الرجل والمرأة في المجالات العامة والخاصة</w:t>
            </w:r>
            <w:r w:rsidR="003D7EB4">
              <w:rPr>
                <w:rFonts w:hint="cs"/>
                <w:sz w:val="24"/>
                <w:szCs w:val="24"/>
                <w:rtl/>
                <w:lang w:bidi="ar-EG"/>
              </w:rPr>
              <w:t>،</w:t>
            </w:r>
          </w:p>
        </w:tc>
      </w:tr>
    </w:tbl>
    <w:p w:rsidR="00971AE2" w:rsidRPr="00FC6A8D" w:rsidRDefault="00971AE2" w:rsidP="00971AE2">
      <w:pPr>
        <w:pStyle w:val="SingleTxt"/>
        <w:spacing w:after="0" w:line="120" w:lineRule="exact"/>
        <w:rPr>
          <w:rFonts w:hint="cs"/>
          <w:sz w:val="10"/>
          <w:rtl/>
        </w:rPr>
      </w:pPr>
    </w:p>
    <w:p w:rsidR="00971AE2"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المنجزات القضائية</w:t>
      </w:r>
    </w:p>
    <w:p w:rsidR="00971AE2" w:rsidRDefault="00971AE2" w:rsidP="00971AE2">
      <w:pPr>
        <w:pStyle w:val="SingleTxt"/>
        <w:rPr>
          <w:rFonts w:hint="cs"/>
          <w:rtl/>
          <w:lang w:bidi="ar-EG"/>
        </w:rPr>
      </w:pPr>
      <w:r>
        <w:rPr>
          <w:rFonts w:hint="cs"/>
          <w:rtl/>
          <w:lang w:bidi="ar-EG"/>
        </w:rPr>
        <w:t>الحكم C - 371 لسنة 2000 المتعلق بتحقيق المساواة الحقيقية والفعالة والوافية بين الرجل والمرأة</w:t>
      </w:r>
      <w:r w:rsidR="003D7EB4">
        <w:rPr>
          <w:rFonts w:hint="cs"/>
          <w:rtl/>
          <w:lang w:bidi="ar-EG"/>
        </w:rPr>
        <w:t>،</w:t>
      </w:r>
      <w:r>
        <w:rPr>
          <w:rFonts w:hint="cs"/>
          <w:rtl/>
          <w:lang w:bidi="ar-EG"/>
        </w:rPr>
        <w:t xml:space="preserve"> وهو يلبي الحاجة إلى اتخاذ تدابير إيجابية من أجل المساواة بين الجنسين</w:t>
      </w:r>
      <w:r w:rsidR="003D7EB4">
        <w:rPr>
          <w:rFonts w:hint="cs"/>
          <w:rtl/>
          <w:lang w:bidi="ar-EG"/>
        </w:rPr>
        <w:t>،</w:t>
      </w:r>
      <w:r>
        <w:rPr>
          <w:rFonts w:hint="cs"/>
          <w:rtl/>
          <w:lang w:bidi="ar-EG"/>
        </w:rPr>
        <w:t xml:space="preserve"> وهو من أهم الأحكام التي صدرت في المجال السياسي في السنوات الأخيرة حيث أنه قد أعلن دستورية قانون الحصص أو القانون رقم 581 لسنة 2000</w:t>
      </w:r>
      <w:r w:rsidR="003D7EB4">
        <w:rPr>
          <w:rFonts w:hint="cs"/>
          <w:rtl/>
          <w:lang w:bidi="ar-EG"/>
        </w:rPr>
        <w:t>،</w:t>
      </w:r>
      <w:r>
        <w:rPr>
          <w:rFonts w:hint="cs"/>
          <w:rtl/>
          <w:lang w:bidi="ar-EG"/>
        </w:rPr>
        <w:t xml:space="preserve"> وهو قانون تدابير إيجابية وقد  </w:t>
      </w:r>
    </w:p>
    <w:p w:rsidR="00971AE2" w:rsidRDefault="00971AE2" w:rsidP="00971AE2">
      <w:pPr>
        <w:pStyle w:val="SingleTxt"/>
        <w:rPr>
          <w:rFonts w:hint="cs"/>
          <w:rtl/>
          <w:lang w:bidi="ar-EG"/>
        </w:rPr>
      </w:pPr>
      <w:r>
        <w:rPr>
          <w:rFonts w:hint="cs"/>
          <w:rtl/>
          <w:lang w:bidi="ar-EG"/>
        </w:rPr>
        <w:tab/>
        <w:t>وبالنسبة إلى المجال الاجتماعي تكتسي الأحكام المستشهد بها فيما بعد أهمية وهي تتعلق بالحق في الصحة وفي التأمينات الاجتماعية فيما يتعلق برعاية الحامل، بهدف تأكيد أن الأمومة لا يمكن أن تكون سببا للتمييز في أي مجال من مجالات الحياة الاجتماعية أو الأسرية أو الاقتصادية</w:t>
      </w:r>
      <w:r w:rsidR="003D7EB4">
        <w:rPr>
          <w:rFonts w:hint="cs"/>
          <w:rtl/>
          <w:lang w:bidi="ar-EG"/>
        </w:rPr>
        <w:t>،</w:t>
      </w:r>
    </w:p>
    <w:p w:rsidR="00971AE2" w:rsidRDefault="00ED55AF"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426B8B">
        <w:rPr>
          <w:rFonts w:hint="cs"/>
          <w:rtl/>
          <w:lang w:bidi="ar-EG"/>
        </w:rPr>
        <w:tab/>
      </w:r>
      <w:r w:rsidR="00426B8B">
        <w:rPr>
          <w:rFonts w:hint="cs"/>
          <w:rtl/>
          <w:lang w:bidi="ar-EG"/>
        </w:rPr>
        <w:tab/>
      </w:r>
      <w:r w:rsidR="00971AE2">
        <w:rPr>
          <w:rFonts w:hint="cs"/>
          <w:rtl/>
          <w:lang w:bidi="ar-EG"/>
        </w:rPr>
        <w:t>المنجزات الإدارية</w:t>
      </w:r>
    </w:p>
    <w:p w:rsidR="00971AE2" w:rsidRDefault="00971AE2" w:rsidP="00971AE2">
      <w:pPr>
        <w:pStyle w:val="SingleTxt"/>
        <w:rPr>
          <w:rFonts w:hint="cs"/>
          <w:rtl/>
          <w:lang w:bidi="ar-EG"/>
        </w:rPr>
      </w:pPr>
      <w:r>
        <w:rPr>
          <w:rFonts w:hint="cs"/>
          <w:rtl/>
          <w:lang w:bidi="ar-EG"/>
        </w:rPr>
        <w:tab/>
        <w:t>الخطة الإنمائية الوطنية، 2002-2006: الخطة الإنمائية الوطنية</w:t>
      </w:r>
      <w:r w:rsidR="003D7EB4">
        <w:rPr>
          <w:rFonts w:hint="cs"/>
          <w:rtl/>
          <w:lang w:bidi="ar-EG"/>
        </w:rPr>
        <w:t>،</w:t>
      </w:r>
      <w:r>
        <w:rPr>
          <w:rFonts w:hint="cs"/>
          <w:rtl/>
          <w:lang w:bidi="ar-EG"/>
        </w:rPr>
        <w:t xml:space="preserve"> تتضمن الخطة الإنمائية الوطنية إقامة دولة اشتراكية وتحدد في 4 أهداف هي:</w:t>
      </w:r>
    </w:p>
    <w:p w:rsidR="00971AE2" w:rsidRDefault="00971AE2" w:rsidP="00971AE2">
      <w:pPr>
        <w:pStyle w:val="SingleTxt"/>
        <w:rPr>
          <w:rFonts w:hint="cs"/>
          <w:rtl/>
          <w:lang w:bidi="ar-EG"/>
        </w:rPr>
      </w:pPr>
      <w:r>
        <w:rPr>
          <w:rFonts w:hint="cs"/>
          <w:rtl/>
          <w:lang w:bidi="ar-EG"/>
        </w:rPr>
        <w:t>1 -</w:t>
      </w:r>
      <w:r>
        <w:rPr>
          <w:rFonts w:hint="cs"/>
          <w:rtl/>
          <w:lang w:bidi="ar-EG"/>
        </w:rPr>
        <w:tab/>
        <w:t>توفير الضمان الديمقراطي، الذي يضمن استمرار الديمقراطية ويؤمن شرعية الدولة</w:t>
      </w:r>
      <w:r w:rsidR="003D7EB4">
        <w:rPr>
          <w:rFonts w:hint="cs"/>
          <w:rtl/>
          <w:lang w:bidi="ar-EG"/>
        </w:rPr>
        <w:t>،</w:t>
      </w:r>
      <w:r>
        <w:rPr>
          <w:rFonts w:hint="cs"/>
          <w:rtl/>
          <w:lang w:bidi="ar-EG"/>
        </w:rPr>
        <w:t xml:space="preserve"> وسوف يوفر الأمن والحماية لجميع الكولومبيين دون تمييز على أساس الميول السياسية أو العقيدة الدينية أو المعتقدات الأيديولوجية أو المستوى الاجتماعي الاقتصادي</w:t>
      </w:r>
      <w:r w:rsidR="003D7EB4">
        <w:rPr>
          <w:rFonts w:hint="cs"/>
          <w:rtl/>
          <w:lang w:bidi="ar-EG"/>
        </w:rPr>
        <w:t>،</w:t>
      </w:r>
    </w:p>
    <w:p w:rsidR="00971AE2" w:rsidRDefault="00971AE2" w:rsidP="00971AE2">
      <w:pPr>
        <w:pStyle w:val="SingleTxt"/>
        <w:rPr>
          <w:rFonts w:hint="cs"/>
          <w:rtl/>
          <w:lang w:bidi="ar-EG"/>
        </w:rPr>
      </w:pPr>
      <w:r>
        <w:rPr>
          <w:rFonts w:hint="cs"/>
          <w:rtl/>
          <w:lang w:bidi="ar-EG"/>
        </w:rPr>
        <w:t>2 -</w:t>
      </w:r>
      <w:r>
        <w:rPr>
          <w:rFonts w:hint="cs"/>
          <w:rtl/>
          <w:lang w:bidi="ar-EG"/>
        </w:rPr>
        <w:tab/>
        <w:t>دعم النمو الاقتصادي المستدام وإيجاد فرص عمل في بيئة من الاستقرار الاقتصادي الوطني واستقرار الأسعار مع ضمان سداد الدين العام ووصول الاقتصاد الكولومبي إلى الأسواق المالية والسلع والخدمات الدولية بقدر كاف</w:t>
      </w:r>
      <w:r w:rsidR="003D7EB4">
        <w:rPr>
          <w:rFonts w:hint="cs"/>
          <w:rtl/>
          <w:lang w:bidi="ar-EG"/>
        </w:rPr>
        <w:t>،</w:t>
      </w:r>
    </w:p>
    <w:p w:rsidR="00971AE2" w:rsidRDefault="00971AE2" w:rsidP="00971AE2">
      <w:pPr>
        <w:pStyle w:val="SingleTxt"/>
        <w:rPr>
          <w:rFonts w:hint="cs"/>
          <w:rtl/>
          <w:lang w:bidi="ar-EG"/>
        </w:rPr>
      </w:pPr>
      <w:r>
        <w:rPr>
          <w:rFonts w:hint="cs"/>
          <w:rtl/>
          <w:lang w:bidi="ar-EG"/>
        </w:rPr>
        <w:t>3 -</w:t>
      </w:r>
      <w:r>
        <w:rPr>
          <w:rFonts w:hint="cs"/>
          <w:rtl/>
          <w:lang w:bidi="ar-EG"/>
        </w:rPr>
        <w:tab/>
        <w:t xml:space="preserve"> إقامة العدالة الاجتماعية مع تحسين توزيع الدخل والنمو الاقتصادي</w:t>
      </w:r>
      <w:r w:rsidR="003D7EB4">
        <w:rPr>
          <w:rFonts w:hint="cs"/>
          <w:rtl/>
          <w:lang w:bidi="ar-EG"/>
        </w:rPr>
        <w:t>،</w:t>
      </w:r>
      <w:r>
        <w:rPr>
          <w:rFonts w:hint="cs"/>
          <w:rtl/>
          <w:lang w:bidi="ar-EG"/>
        </w:rPr>
        <w:t xml:space="preserve"> وسوف يستهدف جعل البلد بلد ملاك، يرتبطون في نفس الوقت بالدولة في الإنفاق الاجتماعي الكافي وحماية أضعف قطاعات المجتمع</w:t>
      </w:r>
      <w:r w:rsidR="003D7EB4">
        <w:rPr>
          <w:rFonts w:hint="cs"/>
          <w:rtl/>
          <w:lang w:bidi="ar-EG"/>
        </w:rPr>
        <w:t>،</w:t>
      </w:r>
    </w:p>
    <w:p w:rsidR="00971AE2" w:rsidRDefault="00971AE2" w:rsidP="00971AE2">
      <w:pPr>
        <w:pStyle w:val="SingleTxt"/>
        <w:rPr>
          <w:rFonts w:hint="cs"/>
          <w:rtl/>
          <w:lang w:bidi="ar-EG"/>
        </w:rPr>
      </w:pPr>
      <w:r>
        <w:rPr>
          <w:rFonts w:hint="cs"/>
          <w:rtl/>
          <w:lang w:bidi="ar-EG"/>
        </w:rPr>
        <w:t>4 -</w:t>
      </w:r>
      <w:r>
        <w:rPr>
          <w:rFonts w:hint="cs"/>
          <w:rtl/>
          <w:lang w:bidi="ar-EG"/>
        </w:rPr>
        <w:tab/>
        <w:t xml:space="preserve"> زيادة شفافية وكفاءة الدولة عن طريق إعادة تصميم الهيئات وإجراء إصلاحات أساسية شاملة وإحراز التقدم في تحقيق اللامركزية التي تنطوي على مستويات أعلى وأكثر فعالية من استقلال الأقاليم</w:t>
      </w:r>
      <w:r w:rsidR="003D7EB4">
        <w:rPr>
          <w:rFonts w:hint="cs"/>
          <w:rtl/>
          <w:lang w:bidi="ar-EG"/>
        </w:rPr>
        <w:t>،</w:t>
      </w:r>
    </w:p>
    <w:p w:rsidR="00971AE2" w:rsidRDefault="00971AE2" w:rsidP="00971AE2">
      <w:pPr>
        <w:pStyle w:val="SingleTxt"/>
        <w:rPr>
          <w:rFonts w:hint="cs"/>
          <w:rtl/>
          <w:lang w:bidi="ar-EG"/>
        </w:rPr>
      </w:pPr>
      <w:r>
        <w:rPr>
          <w:rFonts w:hint="cs"/>
          <w:rtl/>
          <w:lang w:bidi="ar-EG"/>
        </w:rPr>
        <w:tab/>
        <w:t>كما تعكس الخطة الإنمائية الوطنية رغبة الحكومة الوطنية في تعميم النهج الجنساني في تصميم وتنفيذ وتقييم سياساتها العامة؛ والنهج الجنساني هو منطلق تحديد الأهداف والاستراتيجيات والأعمال التي تتولى الإدارة العامة ككل مسؤولية تنفيذها لتحقيق الهدف المشترك</w:t>
      </w:r>
      <w:r w:rsidR="003D7EB4">
        <w:rPr>
          <w:rFonts w:hint="cs"/>
          <w:rtl/>
          <w:lang w:bidi="ar-EG"/>
        </w:rPr>
        <w:t>،</w:t>
      </w:r>
      <w:r>
        <w:rPr>
          <w:rFonts w:hint="cs"/>
          <w:rtl/>
          <w:lang w:bidi="ar-EG"/>
        </w:rPr>
        <w:t xml:space="preserve"> والإسهام في القضاء على جميع أشكال التمييز ضد المرأة، ودعم ممارستها لحقوقها المدنية</w:t>
      </w:r>
      <w:r w:rsidR="003D7EB4">
        <w:rPr>
          <w:rFonts w:hint="cs"/>
          <w:rtl/>
          <w:lang w:bidi="ar-EG"/>
        </w:rPr>
        <w:t>،</w:t>
      </w:r>
      <w:r>
        <w:rPr>
          <w:rFonts w:hint="cs"/>
          <w:rtl/>
          <w:lang w:bidi="ar-EG"/>
        </w:rPr>
        <w:t xml:space="preserve"> وتكرس الخطة الإنمائية الوطنية السياسات والخطط التالية لتحقيق المساواة الحقيقية بين الرجل والمرأة </w:t>
      </w:r>
      <w:r>
        <w:rPr>
          <w:rFonts w:hint="cs"/>
          <w:vertAlign w:val="superscript"/>
          <w:rtl/>
          <w:lang w:bidi="ar-EG"/>
        </w:rPr>
        <w:t>(12)</w:t>
      </w:r>
      <w:r>
        <w:rPr>
          <w:rFonts w:hint="cs"/>
          <w:rtl/>
          <w:lang w:bidi="ar-EG"/>
        </w:rPr>
        <w:t>:</w:t>
      </w:r>
    </w:p>
    <w:p w:rsidR="00971AE2" w:rsidRDefault="00971AE2" w:rsidP="00971AE2">
      <w:pPr>
        <w:pStyle w:val="SingleTxt"/>
        <w:rPr>
          <w:rFonts w:hint="cs"/>
          <w:rtl/>
          <w:lang w:bidi="ar-EG"/>
        </w:rPr>
      </w:pPr>
      <w:r>
        <w:rPr>
          <w:rFonts w:hint="cs"/>
          <w:rtl/>
          <w:lang w:bidi="ar-EG"/>
        </w:rPr>
        <w:t>1 -</w:t>
      </w:r>
      <w:r>
        <w:rPr>
          <w:rFonts w:hint="cs"/>
          <w:rtl/>
          <w:lang w:bidi="ar-EG"/>
        </w:rPr>
        <w:tab/>
        <w:t>حماية وتعزيز حقوق الإنسان وكرامته</w:t>
      </w:r>
      <w:r>
        <w:rPr>
          <w:rFonts w:hint="cs"/>
          <w:vertAlign w:val="superscript"/>
          <w:rtl/>
          <w:lang w:bidi="ar-EG"/>
        </w:rPr>
        <w:t>(13)</w:t>
      </w:r>
      <w:r w:rsidR="003D7EB4">
        <w:rPr>
          <w:rFonts w:hint="cs"/>
          <w:rtl/>
          <w:lang w:bidi="ar-EG"/>
        </w:rPr>
        <w:t>،</w:t>
      </w:r>
    </w:p>
    <w:p w:rsidR="00971AE2" w:rsidRDefault="00971AE2" w:rsidP="00971AE2">
      <w:pPr>
        <w:pStyle w:val="SingleTxt"/>
        <w:rPr>
          <w:rFonts w:hint="cs"/>
          <w:rtl/>
          <w:lang w:bidi="ar-EG"/>
        </w:rPr>
      </w:pPr>
      <w:r>
        <w:rPr>
          <w:rFonts w:hint="cs"/>
          <w:rtl/>
          <w:lang w:bidi="ar-EG"/>
        </w:rPr>
        <w:t>2 -</w:t>
      </w:r>
      <w:r>
        <w:rPr>
          <w:rFonts w:hint="cs"/>
          <w:rtl/>
          <w:lang w:bidi="ar-EG"/>
        </w:rPr>
        <w:tab/>
        <w:t>دعم التعايش والقيم</w:t>
      </w:r>
      <w:r>
        <w:rPr>
          <w:rFonts w:hint="cs"/>
          <w:vertAlign w:val="superscript"/>
          <w:rtl/>
          <w:lang w:bidi="ar-EG"/>
        </w:rPr>
        <w:t>(14)</w:t>
      </w:r>
      <w:r w:rsidR="003D7EB4">
        <w:rPr>
          <w:rFonts w:hint="cs"/>
          <w:rtl/>
          <w:lang w:bidi="ar-EG"/>
        </w:rPr>
        <w:t>،</w:t>
      </w:r>
    </w:p>
    <w:p w:rsidR="00971AE2" w:rsidRDefault="00971AE2" w:rsidP="00971AE2">
      <w:pPr>
        <w:pStyle w:val="SingleTxt"/>
        <w:rPr>
          <w:rFonts w:hint="cs"/>
          <w:rtl/>
          <w:lang w:bidi="ar-EG"/>
        </w:rPr>
      </w:pPr>
      <w:r>
        <w:rPr>
          <w:rFonts w:hint="cs"/>
          <w:rtl/>
          <w:lang w:bidi="ar-EG"/>
        </w:rPr>
        <w:t>3 -</w:t>
      </w:r>
      <w:r>
        <w:rPr>
          <w:rFonts w:hint="cs"/>
          <w:rtl/>
          <w:lang w:bidi="ar-EG"/>
        </w:rPr>
        <w:tab/>
        <w:t>العلم والتكنولوجيا والابتكار</w:t>
      </w:r>
      <w:r>
        <w:rPr>
          <w:rFonts w:hint="cs"/>
          <w:vertAlign w:val="superscript"/>
          <w:rtl/>
          <w:lang w:bidi="ar-EG"/>
        </w:rPr>
        <w:t>(15)</w:t>
      </w:r>
      <w:r w:rsidR="003D7EB4">
        <w:rPr>
          <w:rFonts w:hint="cs"/>
          <w:rtl/>
          <w:lang w:bidi="ar-EG"/>
        </w:rPr>
        <w:t>،</w:t>
      </w:r>
    </w:p>
    <w:p w:rsidR="00971AE2" w:rsidRDefault="00971AE2" w:rsidP="00971AE2">
      <w:pPr>
        <w:pStyle w:val="SingleTxt"/>
        <w:rPr>
          <w:rFonts w:hint="cs"/>
          <w:rtl/>
          <w:lang w:bidi="ar-EG"/>
        </w:rPr>
      </w:pPr>
      <w:r>
        <w:rPr>
          <w:rFonts w:hint="cs"/>
          <w:rtl/>
          <w:lang w:bidi="ar-EG"/>
        </w:rPr>
        <w:t>4 -</w:t>
      </w:r>
      <w:r>
        <w:rPr>
          <w:rFonts w:hint="cs"/>
          <w:rtl/>
          <w:lang w:bidi="ar-EG"/>
        </w:rPr>
        <w:tab/>
        <w:t>إيجاد فرص العمل</w:t>
      </w:r>
      <w:r>
        <w:rPr>
          <w:rFonts w:hint="cs"/>
          <w:vertAlign w:val="superscript"/>
          <w:rtl/>
          <w:lang w:bidi="ar-EG"/>
        </w:rPr>
        <w:t>(16)</w:t>
      </w:r>
      <w:r w:rsidR="003D7EB4">
        <w:rPr>
          <w:rFonts w:hint="cs"/>
          <w:rtl/>
          <w:lang w:bidi="ar-EG"/>
        </w:rPr>
        <w:t>،</w:t>
      </w:r>
    </w:p>
    <w:p w:rsidR="00971AE2" w:rsidRDefault="00971AE2" w:rsidP="00971AE2">
      <w:pPr>
        <w:pStyle w:val="SingleTxt"/>
        <w:rPr>
          <w:rFonts w:hint="cs"/>
          <w:rtl/>
          <w:lang w:bidi="ar-EG"/>
        </w:rPr>
      </w:pPr>
      <w:r>
        <w:rPr>
          <w:rFonts w:hint="cs"/>
          <w:rtl/>
          <w:lang w:bidi="ar-EG"/>
        </w:rPr>
        <w:t>5 -</w:t>
      </w:r>
      <w:r>
        <w:rPr>
          <w:rFonts w:hint="cs"/>
          <w:rtl/>
          <w:lang w:bidi="ar-EG"/>
        </w:rPr>
        <w:tab/>
        <w:t>إقامة العدالة الاجتماعية</w:t>
      </w:r>
      <w:r>
        <w:rPr>
          <w:rFonts w:hint="cs"/>
          <w:vertAlign w:val="superscript"/>
          <w:rtl/>
          <w:lang w:bidi="ar-EG"/>
        </w:rPr>
        <w:t>(17)</w:t>
      </w:r>
      <w:r w:rsidR="003D7EB4">
        <w:rPr>
          <w:rFonts w:hint="cs"/>
          <w:rtl/>
          <w:lang w:bidi="ar-EG"/>
        </w:rPr>
        <w:t>،</w:t>
      </w:r>
    </w:p>
    <w:p w:rsidR="00971AE2" w:rsidRDefault="00971AE2" w:rsidP="00971AE2">
      <w:pPr>
        <w:pStyle w:val="SingleTxt"/>
        <w:rPr>
          <w:rFonts w:hint="cs"/>
          <w:rtl/>
          <w:lang w:bidi="ar-EG"/>
        </w:rPr>
      </w:pPr>
      <w:r>
        <w:rPr>
          <w:rFonts w:hint="cs"/>
          <w:rtl/>
          <w:lang w:bidi="ar-EG"/>
        </w:rPr>
        <w:t>6 -</w:t>
      </w:r>
      <w:r>
        <w:rPr>
          <w:rFonts w:hint="cs"/>
          <w:rtl/>
          <w:lang w:bidi="ar-EG"/>
        </w:rPr>
        <w:tab/>
        <w:t>تحسين وتوسيع نطاق الرعاية الاجتماعية والتأمينات الاجتماعية</w:t>
      </w:r>
      <w:r>
        <w:rPr>
          <w:rFonts w:hint="cs"/>
          <w:vertAlign w:val="superscript"/>
          <w:rtl/>
          <w:lang w:bidi="ar-EG"/>
        </w:rPr>
        <w:t>(18)</w:t>
      </w:r>
      <w:r w:rsidR="003D7EB4">
        <w:rPr>
          <w:rFonts w:hint="cs"/>
          <w:rtl/>
          <w:lang w:bidi="ar-EG"/>
        </w:rPr>
        <w:t>،</w:t>
      </w:r>
    </w:p>
    <w:p w:rsidR="00971AE2" w:rsidRDefault="00971AE2" w:rsidP="00971AE2">
      <w:pPr>
        <w:pStyle w:val="SingleTxt"/>
        <w:rPr>
          <w:rFonts w:hint="cs"/>
          <w:rtl/>
          <w:lang w:bidi="ar-EG"/>
        </w:rPr>
      </w:pPr>
      <w:r>
        <w:rPr>
          <w:rFonts w:hint="cs"/>
          <w:rtl/>
          <w:lang w:bidi="ar-EG"/>
        </w:rPr>
        <w:t>7 -</w:t>
      </w:r>
      <w:r>
        <w:rPr>
          <w:rFonts w:hint="cs"/>
          <w:rtl/>
          <w:lang w:bidi="ar-EG"/>
        </w:rPr>
        <w:tab/>
        <w:t>الإدارة الاشتراكية للريف</w:t>
      </w:r>
      <w:r>
        <w:rPr>
          <w:rFonts w:hint="cs"/>
          <w:vertAlign w:val="superscript"/>
          <w:rtl/>
          <w:lang w:bidi="ar-EG"/>
        </w:rPr>
        <w:t>(19)</w:t>
      </w:r>
      <w:r w:rsidR="003D7EB4">
        <w:rPr>
          <w:rFonts w:hint="cs"/>
          <w:rtl/>
          <w:lang w:bidi="ar-EG"/>
        </w:rPr>
        <w:t>،</w:t>
      </w:r>
    </w:p>
    <w:p w:rsidR="00971AE2" w:rsidRDefault="00971AE2" w:rsidP="00971AE2">
      <w:pPr>
        <w:pStyle w:val="SingleTxt"/>
        <w:rPr>
          <w:rFonts w:hint="cs"/>
          <w:rtl/>
          <w:lang w:bidi="ar-EG"/>
        </w:rPr>
      </w:pPr>
      <w:r>
        <w:rPr>
          <w:rFonts w:hint="cs"/>
          <w:rtl/>
          <w:lang w:bidi="ar-EG"/>
        </w:rPr>
        <w:t>8 -</w:t>
      </w:r>
      <w:r>
        <w:rPr>
          <w:rFonts w:hint="cs"/>
          <w:rtl/>
          <w:lang w:bidi="ar-EG"/>
        </w:rPr>
        <w:tab/>
        <w:t>المرأة صانعة السلم والتنمية</w:t>
      </w:r>
      <w:r>
        <w:rPr>
          <w:rFonts w:hint="cs"/>
          <w:vertAlign w:val="superscript"/>
          <w:rtl/>
          <w:lang w:bidi="ar-EG"/>
        </w:rPr>
        <w:t>(20)</w:t>
      </w:r>
      <w:r>
        <w:rPr>
          <w:rFonts w:hint="cs"/>
          <w:rtl/>
          <w:lang w:bidi="ar-EG"/>
        </w:rPr>
        <w:t>:</w:t>
      </w:r>
    </w:p>
    <w:p w:rsidR="00971AE2" w:rsidRDefault="00971AE2" w:rsidP="00971AE2">
      <w:pPr>
        <w:pStyle w:val="SingleTxt"/>
        <w:rPr>
          <w:rFonts w:hint="cs"/>
          <w:rtl/>
          <w:lang w:bidi="ar-EG"/>
        </w:rPr>
      </w:pPr>
      <w:r>
        <w:rPr>
          <w:rFonts w:hint="cs"/>
          <w:rtl/>
          <w:lang w:bidi="ar-EG"/>
        </w:rPr>
        <w:tab/>
        <w:t>ومن أجل دفع عجلة التنمية مع المساواة بين الجنسين والتكافؤ في الفرص بين الرجل والمرأة تنتهج الحكومة الوطنية سياسة لصالح المرأة عن طريق الهيئة الاستشارية لرئيس الجمهورية فيما يتعلق بالمساواة بين الرجل والمرأة من خلال خطة تدابير إيجابية منسقة مع الوزارات وسائر الهيئات العامة، لإدماج البُعد الجنساني في برامجها ومشاريعها وميزانياتها في إطار الخطة الإنمائية الوطنية</w:t>
      </w:r>
      <w:r w:rsidR="003D7EB4">
        <w:rPr>
          <w:rFonts w:hint="cs"/>
          <w:rtl/>
          <w:lang w:bidi="ar-EG"/>
        </w:rPr>
        <w:t>،</w:t>
      </w:r>
    </w:p>
    <w:p w:rsidR="00971AE2" w:rsidRDefault="00971AE2" w:rsidP="00971AE2">
      <w:pPr>
        <w:pStyle w:val="SingleTxt"/>
        <w:rPr>
          <w:rFonts w:hint="cs"/>
          <w:rtl/>
          <w:lang w:bidi="ar-EG"/>
        </w:rPr>
      </w:pPr>
      <w:r>
        <w:rPr>
          <w:rFonts w:hint="cs"/>
          <w:rtl/>
          <w:lang w:bidi="ar-EG"/>
        </w:rPr>
        <w:tab/>
        <w:t>وتنفذ خطة اتصال عام لنشر البرامج المتعلقة بحقوق الإنسان للمرأة ومكافحة العنف العائلي والجنسي</w:t>
      </w:r>
      <w:r w:rsidR="003D7EB4">
        <w:rPr>
          <w:rFonts w:hint="cs"/>
          <w:rtl/>
          <w:lang w:bidi="ar-EG"/>
        </w:rPr>
        <w:t>،</w:t>
      </w:r>
      <w:r>
        <w:rPr>
          <w:rFonts w:hint="cs"/>
          <w:rtl/>
          <w:lang w:bidi="ar-EG"/>
        </w:rPr>
        <w:t xml:space="preserve"> ويوجد في مرفق لهذه الوثيقة (المرفق رقم 6) سرد لمنجزات الأدوات المختلفة للعدالة الاجتماعية</w:t>
      </w:r>
      <w:r>
        <w:rPr>
          <w:rFonts w:hint="cs"/>
          <w:vertAlign w:val="superscript"/>
          <w:rtl/>
          <w:lang w:bidi="ar-EG"/>
        </w:rPr>
        <w:t>(21)</w:t>
      </w:r>
      <w:r w:rsidR="003D7EB4">
        <w:rPr>
          <w:rFonts w:hint="cs"/>
          <w:rtl/>
          <w:lang w:bidi="ar-EG"/>
        </w:rPr>
        <w:t>،</w:t>
      </w:r>
    </w:p>
    <w:p w:rsidR="00971AE2" w:rsidRDefault="00971AE2" w:rsidP="00971AE2">
      <w:pPr>
        <w:pStyle w:val="SingleTxt"/>
        <w:rPr>
          <w:rFonts w:hint="cs"/>
          <w:rtl/>
          <w:lang w:bidi="ar-EG"/>
        </w:rPr>
      </w:pPr>
      <w:r>
        <w:rPr>
          <w:rFonts w:hint="cs"/>
          <w:rtl/>
          <w:lang w:bidi="ar-EG"/>
        </w:rPr>
        <w:tab/>
        <w:t xml:space="preserve">ومن أجل توطيد المساواة بين الجنسين باعتبارها سياسة للدولة وتحديد إطار للتعاون مع الفرعين التشريعي والقضائي، وُقع في حضور رئيس الجمهورية في 14 تشرين الأول/ أكتوبر 2003 </w:t>
      </w:r>
      <w:r>
        <w:rPr>
          <w:rFonts w:hint="eastAsia"/>
          <w:rtl/>
          <w:lang w:bidi="ar-EG"/>
        </w:rPr>
        <w:t>”اتفاق وطني للمساواة بين الرجل والمرأة</w:t>
      </w:r>
      <w:r>
        <w:rPr>
          <w:rFonts w:hint="cs"/>
          <w:rtl/>
          <w:lang w:bidi="ar-EG"/>
        </w:rPr>
        <w:t>“ من جانب ممثلي أفرع السلطة العامة الثلاثة (الحكومة والكونعرس والمحاكم العليا) والجامعات الحكومية وأجهزة الرقابة وبعض النقابات العمالية في القطاع الخاص</w:t>
      </w:r>
      <w:r w:rsidR="003D7EB4">
        <w:rPr>
          <w:rFonts w:hint="cs"/>
          <w:rtl/>
          <w:lang w:bidi="ar-EG"/>
        </w:rPr>
        <w:t>،</w:t>
      </w:r>
      <w:r>
        <w:rPr>
          <w:rFonts w:hint="cs"/>
          <w:rtl/>
          <w:lang w:bidi="ar-EG"/>
        </w:rPr>
        <w:t xml:space="preserve"> وهذا الاتفاق الوطني للمساواة بين الرجل والمرأة ’1‘ يمثل الركيزة اللازمة لإحراز تقدم في عملية التغيير الثقافي والمؤسسي التي تهيئ الظروف اللازمة للتنمية في ظل المساواة دون تمييز ومع إتاحة الفرص؛ ’2‘ تعبر عن التزام مختلف أفرع وأجهزة السلطة العامة بدعم الهيئة الاستشارية لرئيس الجمهورية فيما يتعلق بالمساواة بين الرجل والمرأة في توطيد السياسة التي ترفع شعار </w:t>
      </w:r>
      <w:r>
        <w:rPr>
          <w:rFonts w:hint="eastAsia"/>
          <w:rtl/>
          <w:lang w:bidi="ar-EG"/>
        </w:rPr>
        <w:t>”المرأة صانعة السل</w:t>
      </w:r>
      <w:r>
        <w:rPr>
          <w:rFonts w:hint="cs"/>
          <w:rtl/>
          <w:lang w:bidi="ar-EG"/>
        </w:rPr>
        <w:t>ا</w:t>
      </w:r>
      <w:r>
        <w:rPr>
          <w:rFonts w:hint="eastAsia"/>
          <w:rtl/>
          <w:lang w:bidi="ar-EG"/>
        </w:rPr>
        <w:t>م والتنمية</w:t>
      </w:r>
      <w:r>
        <w:rPr>
          <w:rFonts w:hint="cs"/>
          <w:rtl/>
          <w:lang w:bidi="ar-EG"/>
        </w:rPr>
        <w:t>“ باعتبارها سياسة الدولة، وتوقيع الاتفاقات المنبثقة عن اجتماعات العمل التي تعقد لهذا الغرض</w:t>
      </w:r>
      <w:r w:rsidR="003D7EB4">
        <w:rPr>
          <w:rFonts w:hint="cs"/>
          <w:rtl/>
          <w:lang w:bidi="ar-EG"/>
        </w:rPr>
        <w:t>،</w:t>
      </w:r>
    </w:p>
    <w:p w:rsidR="00971AE2" w:rsidRDefault="00971AE2" w:rsidP="00971AE2">
      <w:pPr>
        <w:pStyle w:val="SingleTxt"/>
        <w:rPr>
          <w:rFonts w:hint="cs"/>
          <w:rtl/>
          <w:lang w:bidi="ar-EG"/>
        </w:rPr>
      </w:pPr>
      <w:r>
        <w:rPr>
          <w:rFonts w:hint="cs"/>
          <w:rtl/>
          <w:lang w:bidi="ar-EG"/>
        </w:rPr>
        <w:tab/>
        <w:t xml:space="preserve">ولإحراز تقدم في عملية تعميم المنظور الجنساني التي تتيح إدماج النهج الجنساني في السياسات والبرامج والمشاريع والميزانيات وتنفيذ أعمال مشتركة بين القطاعات لصالح المرأة، شُرع بدعم من خبيرة من معهد الأمم المتحدة للنهوض بالمرأة في عملية تنسيق للبرامج المشتركة بين القطاعات لتحديد الالتزامات مع كل كيان من الكيانات: وزارة الزراعة وصندوق الاستثمار من أجل السلم ووزارة الاتصالات و </w:t>
      </w:r>
      <w:r>
        <w:rPr>
          <w:rtl/>
          <w:lang w:bidi="ar-EG"/>
        </w:rPr>
        <w:t>الإدارة الوطنية للإحصاء</w:t>
      </w:r>
      <w:r>
        <w:rPr>
          <w:rFonts w:hint="cs"/>
          <w:rtl/>
          <w:lang w:bidi="ar-EG"/>
        </w:rPr>
        <w:t xml:space="preserve"> ووزارة الداخلية/العدل </w:t>
      </w:r>
      <w:r>
        <w:rPr>
          <w:rFonts w:hint="cs"/>
          <w:rtl/>
        </w:rPr>
        <w:t xml:space="preserve">وشبكة التضامن الاجتماعي </w:t>
      </w:r>
      <w:r>
        <w:rPr>
          <w:rFonts w:hint="cs"/>
          <w:rtl/>
          <w:lang w:bidi="ar-EG"/>
        </w:rPr>
        <w:t xml:space="preserve">ووزارة الرعاية الصحية والعمل ووزارة التجارة ووزارة الثقافة ووزارة التربية و </w:t>
      </w:r>
      <w:r>
        <w:rPr>
          <w:rFonts w:cs="Times New Roman"/>
          <w:szCs w:val="20"/>
          <w:rtl/>
        </w:rPr>
        <w:t>الدائرة الوطنية للتلمذة الصناعية</w:t>
      </w:r>
      <w:r>
        <w:rPr>
          <w:rFonts w:hint="cs"/>
          <w:rtl/>
          <w:lang w:bidi="ar-EG"/>
        </w:rPr>
        <w:t xml:space="preserve"> و </w:t>
      </w:r>
      <w:r>
        <w:t>DANSOCIAL</w:t>
      </w:r>
      <w:r>
        <w:rPr>
          <w:rFonts w:hint="cs"/>
          <w:rtl/>
          <w:lang w:bidi="ar-EG"/>
        </w:rPr>
        <w:t xml:space="preserve"> ووزارة الخارجية والمؤسسة الكولومبية للرعاية الأسرية والهيئة الاستشارية للبرامج الخاصة والبرنامج الرئاسي لشباب كولومبيا ووزارة الدفاع ومكتب نائب الرئيس ومكتب المفوض السامي للسلم</w:t>
      </w:r>
      <w:r w:rsidR="003D7EB4">
        <w:rPr>
          <w:rFonts w:hint="cs"/>
          <w:rtl/>
          <w:lang w:bidi="ar-EG"/>
        </w:rPr>
        <w:t>،</w:t>
      </w:r>
    </w:p>
    <w:p w:rsidR="00971AE2" w:rsidRDefault="00971AE2" w:rsidP="00971AE2">
      <w:pPr>
        <w:pStyle w:val="SingleTxt"/>
        <w:rPr>
          <w:rFonts w:hint="cs"/>
          <w:rtl/>
          <w:lang w:bidi="ar-EG"/>
        </w:rPr>
      </w:pPr>
      <w:r>
        <w:rPr>
          <w:rFonts w:hint="cs"/>
          <w:rtl/>
          <w:lang w:bidi="ar-EG"/>
        </w:rPr>
        <w:tab/>
        <w:t>وتقوم الهيئة الاستشارية لرئيس الجمهورية فيما يتعلق بالمساواة بين الرجل والمرأة بتنسيق عملية وضع اللوائح التنفيذية للقانون رقم 731 لسنة 2002 (المرأة الريفية) والقانون رقم 82 لسنة 1993 (تقديم الدعم إلى رئيسات الأسر) والقانون رقم 823 لسنة 2003 (التكافؤ في الفرص)، بدعم من المنظمات النسائية والمؤسسات الملتزمة بتعزيزها وتنفيذها</w:t>
      </w:r>
      <w:r w:rsidR="003D7EB4">
        <w:rPr>
          <w:rFonts w:hint="cs"/>
          <w:rtl/>
          <w:lang w:bidi="ar-EG"/>
        </w:rPr>
        <w:t>،</w:t>
      </w:r>
    </w:p>
    <w:p w:rsidR="00971AE2" w:rsidRDefault="00971AE2" w:rsidP="00971AE2">
      <w:pPr>
        <w:pStyle w:val="SingleTxt"/>
        <w:rPr>
          <w:rFonts w:hint="cs"/>
          <w:rtl/>
          <w:lang w:bidi="ar-EG"/>
        </w:rPr>
      </w:pPr>
      <w:r>
        <w:rPr>
          <w:rFonts w:hint="cs"/>
          <w:rtl/>
          <w:lang w:bidi="ar-EG"/>
        </w:rPr>
        <w:t>التوصية الخاصة رقم 5: إدراج المرأة في الميزانية العامة للأمة</w:t>
      </w:r>
    </w:p>
    <w:p w:rsidR="00971AE2" w:rsidRDefault="00971AE2" w:rsidP="00971AE2">
      <w:pPr>
        <w:pStyle w:val="SingleTxt"/>
        <w:rPr>
          <w:rFonts w:hint="cs"/>
          <w:rtl/>
          <w:lang w:bidi="ar-EG"/>
        </w:rPr>
      </w:pPr>
      <w:r>
        <w:rPr>
          <w:rFonts w:hint="cs"/>
          <w:rtl/>
          <w:lang w:bidi="ar-EG"/>
        </w:rPr>
        <w:tab/>
        <w:t>من الجدير بالذكر أن المرأة مدرجة في الميزانية العامة للأمة</w:t>
      </w:r>
      <w:r w:rsidR="003D7EB4">
        <w:rPr>
          <w:rFonts w:hint="cs"/>
          <w:rtl/>
          <w:lang w:bidi="ar-EG"/>
        </w:rPr>
        <w:t>،</w:t>
      </w:r>
    </w:p>
    <w:p w:rsidR="00971AE2" w:rsidRDefault="00971AE2" w:rsidP="00971AE2">
      <w:pPr>
        <w:pStyle w:val="SingleTxt"/>
        <w:rPr>
          <w:rFonts w:hint="cs"/>
          <w:rtl/>
          <w:lang w:bidi="ar-EG"/>
        </w:rPr>
      </w:pPr>
      <w:r>
        <w:rPr>
          <w:rFonts w:hint="cs"/>
          <w:rtl/>
          <w:lang w:bidi="ar-EG"/>
        </w:rPr>
        <w:tab/>
        <w:t>وتنقسم الميزانية إلى المستويات المؤسسية والاقتصادية والوظيفية كما تنقسم إلى أوجه الإنفاق</w:t>
      </w:r>
      <w:r w:rsidR="003D7EB4">
        <w:rPr>
          <w:rFonts w:hint="cs"/>
          <w:rtl/>
          <w:lang w:bidi="ar-EG"/>
        </w:rPr>
        <w:t>،</w:t>
      </w:r>
      <w:r>
        <w:rPr>
          <w:rFonts w:hint="cs"/>
          <w:rtl/>
          <w:lang w:bidi="ar-EG"/>
        </w:rPr>
        <w:t xml:space="preserve"> ومن أجل تحديد الاعتمادات الخاصة بالمرأة والبرامج التي تفيد المرأة تصنف نتائج البرامج التي هي جزء من أدوات تحقيق المساواة الاجتماعية حسب الجنس وتوضع باعتبارها ميزانيات استثمارية تؤثر في الرجل والمرأة</w:t>
      </w:r>
      <w:r w:rsidR="003D7EB4">
        <w:rPr>
          <w:rFonts w:hint="cs"/>
          <w:rtl/>
          <w:lang w:bidi="ar-EG"/>
        </w:rPr>
        <w:t>،</w:t>
      </w:r>
    </w:p>
    <w:p w:rsidR="00971AE2" w:rsidRDefault="00971AE2" w:rsidP="00971AE2">
      <w:pPr>
        <w:pStyle w:val="SingleTxt"/>
        <w:rPr>
          <w:rFonts w:hint="cs"/>
          <w:rtl/>
          <w:lang w:bidi="ar-EG"/>
        </w:rPr>
      </w:pPr>
      <w:r>
        <w:rPr>
          <w:rFonts w:hint="cs"/>
          <w:rtl/>
          <w:lang w:bidi="ar-EG"/>
        </w:rPr>
        <w:tab/>
        <w:t xml:space="preserve">وتنص الميزانية الإنمائية الوطنية على أنه </w:t>
      </w:r>
      <w:r>
        <w:rPr>
          <w:rFonts w:hint="eastAsia"/>
          <w:rtl/>
          <w:lang w:bidi="ar-EG"/>
        </w:rPr>
        <w:t>”</w:t>
      </w:r>
      <w:r>
        <w:rPr>
          <w:rFonts w:hint="cs"/>
          <w:rtl/>
          <w:lang w:bidi="ar-EG"/>
        </w:rPr>
        <w:t>ب</w:t>
      </w:r>
      <w:r>
        <w:rPr>
          <w:rFonts w:hint="eastAsia"/>
          <w:rtl/>
          <w:lang w:bidi="ar-EG"/>
        </w:rPr>
        <w:t>تنسيق</w:t>
      </w:r>
      <w:r>
        <w:rPr>
          <w:rFonts w:hint="cs"/>
          <w:rtl/>
          <w:lang w:bidi="ar-EG"/>
        </w:rPr>
        <w:t xml:space="preserve"> من جانب الهيئة الاستشارية لرئيس الجمهورية فيما يتعلق بالمساواة بين الرجل والمرأة، وانطلاقا من عملية التنسيق مع الهيئات التوجيهية للسياسات القطاعية، توضع وتحدد تدابير معينة ومسؤوليات و</w:t>
      </w:r>
      <w:r>
        <w:rPr>
          <w:rFonts w:hint="cs"/>
          <w:u w:val="single"/>
          <w:rtl/>
          <w:lang w:bidi="ar-EG"/>
        </w:rPr>
        <w:t>ميزانية</w:t>
      </w:r>
      <w:r>
        <w:rPr>
          <w:rFonts w:hint="cs"/>
          <w:rtl/>
          <w:lang w:bidi="ar-EG"/>
        </w:rPr>
        <w:t xml:space="preserve"> سياسة </w:t>
      </w:r>
      <w:r>
        <w:rPr>
          <w:rFonts w:hint="eastAsia"/>
          <w:rtl/>
          <w:lang w:bidi="ar-EG"/>
        </w:rPr>
        <w:t>”المرأة صانعة السل</w:t>
      </w:r>
      <w:r>
        <w:rPr>
          <w:rFonts w:hint="cs"/>
          <w:rtl/>
          <w:lang w:bidi="ar-EG"/>
        </w:rPr>
        <w:t>ا</w:t>
      </w:r>
      <w:r>
        <w:rPr>
          <w:rFonts w:hint="eastAsia"/>
          <w:rtl/>
          <w:lang w:bidi="ar-EG"/>
        </w:rPr>
        <w:t>م والتنمية</w:t>
      </w:r>
      <w:r>
        <w:rPr>
          <w:rFonts w:hint="cs"/>
          <w:rtl/>
          <w:lang w:bidi="ar-EG"/>
        </w:rPr>
        <w:t>“</w:t>
      </w:r>
      <w:r w:rsidR="003D7EB4">
        <w:rPr>
          <w:rFonts w:hint="cs"/>
          <w:rtl/>
          <w:lang w:bidi="ar-EG"/>
        </w:rPr>
        <w:t>،</w:t>
      </w:r>
      <w:r>
        <w:rPr>
          <w:rFonts w:hint="cs"/>
          <w:rtl/>
          <w:lang w:bidi="ar-EG"/>
        </w:rPr>
        <w:t xml:space="preserve"> (الخط الموضوع تحت كلمة الميزانية مضاف)</w:t>
      </w:r>
      <w:r w:rsidR="003D7EB4">
        <w:rPr>
          <w:rFonts w:hint="cs"/>
          <w:rtl/>
          <w:lang w:bidi="ar-EG"/>
        </w:rPr>
        <w:t>،</w:t>
      </w:r>
    </w:p>
    <w:p w:rsidR="00971AE2" w:rsidRDefault="00971AE2" w:rsidP="00971AE2">
      <w:pPr>
        <w:pStyle w:val="SingleTxt"/>
        <w:rPr>
          <w:rFonts w:hint="cs"/>
          <w:rtl/>
          <w:lang w:bidi="ar-EG"/>
        </w:rPr>
      </w:pPr>
      <w:r>
        <w:rPr>
          <w:rFonts w:hint="cs"/>
          <w:rtl/>
          <w:lang w:bidi="ar-EG"/>
        </w:rPr>
        <w:tab/>
        <w:t>وتعتمد الهيئة الاستشارية لرئيس الجمهورية فيما يتعلق بالمساواة بين الرجل والمرأة في المجالين الإداري والمالي على إدارة التنظيم التابعة لرئيس الجمهورية ومن أجل تشغيلها تعتمد على ميزانية وظيفية واستثمارية مكونة على النحو التالي</w:t>
      </w:r>
      <w:r w:rsidR="003D7EB4">
        <w:rPr>
          <w:rFonts w:hint="cs"/>
          <w:rtl/>
          <w:lang w:bidi="ar-EG"/>
        </w:rPr>
        <w:t>،</w:t>
      </w:r>
    </w:p>
    <w:p w:rsidR="00426B8B" w:rsidRPr="00426B8B" w:rsidRDefault="00426B8B" w:rsidP="00426B8B">
      <w:pPr>
        <w:pStyle w:val="SingleTxt"/>
        <w:spacing w:after="0" w:line="120" w:lineRule="exact"/>
        <w:rPr>
          <w:rFonts w:hint="cs"/>
          <w:sz w:val="10"/>
          <w:rtl/>
          <w:lang w:bidi="ar-EG"/>
        </w:rPr>
      </w:pPr>
    </w:p>
    <w:p w:rsidR="00971AE2" w:rsidRDefault="00971AE2" w:rsidP="00971AE2">
      <w:pPr>
        <w:pStyle w:val="SingleTxt"/>
        <w:rPr>
          <w:rFonts w:hint="cs"/>
          <w:i/>
          <w:iCs/>
          <w:rtl/>
          <w:lang w:bidi="ar-EG"/>
        </w:rPr>
      </w:pPr>
      <w:r>
        <w:rPr>
          <w:rFonts w:hint="cs"/>
          <w:i/>
          <w:iCs/>
          <w:rtl/>
          <w:lang w:bidi="ar-EG"/>
        </w:rPr>
        <w:t>المنشآت والمعدات</w:t>
      </w:r>
    </w:p>
    <w:p w:rsidR="00971AE2" w:rsidRDefault="00971AE2" w:rsidP="00971AE2">
      <w:pPr>
        <w:pStyle w:val="SingleTxt"/>
        <w:rPr>
          <w:rFonts w:hint="cs"/>
          <w:rtl/>
          <w:lang w:bidi="ar-EG"/>
        </w:rPr>
      </w:pPr>
      <w:r>
        <w:rPr>
          <w:rFonts w:hint="cs"/>
          <w:rtl/>
          <w:lang w:bidi="ar-EG"/>
        </w:rPr>
        <w:tab/>
        <w:t>توجد منشــآت من أجل العمل (دار مكونة من طابقين كائنة في شارع 10 رقم 1-15 في مدينـــة بوغوتـــا، مــزودة بأجهـــزة حاسب وطابعــات وهواتف وفــاكس وأثـــاث لـ 20 موظفا، وتوجد فيها قاعة اجتماعات تسع 30 شخصا)</w:t>
      </w:r>
      <w:r w:rsidR="003D7EB4">
        <w:rPr>
          <w:rFonts w:hint="cs"/>
          <w:rtl/>
          <w:lang w:bidi="ar-EG"/>
        </w:rPr>
        <w:t>،</w:t>
      </w:r>
    </w:p>
    <w:p w:rsidR="00426B8B" w:rsidRPr="00426B8B" w:rsidRDefault="00426B8B" w:rsidP="00426B8B">
      <w:pPr>
        <w:pStyle w:val="SingleTxt"/>
        <w:spacing w:after="0" w:line="120" w:lineRule="exact"/>
        <w:rPr>
          <w:rFonts w:hint="cs"/>
          <w:sz w:val="10"/>
          <w:rtl/>
          <w:lang w:bidi="ar-EG"/>
        </w:rPr>
      </w:pPr>
    </w:p>
    <w:p w:rsidR="00971AE2" w:rsidRDefault="00971AE2" w:rsidP="00971AE2">
      <w:pPr>
        <w:pStyle w:val="SingleTxt"/>
        <w:rPr>
          <w:rFonts w:hint="cs"/>
          <w:i/>
          <w:iCs/>
          <w:rtl/>
          <w:lang w:bidi="ar-EG"/>
        </w:rPr>
      </w:pPr>
      <w:r>
        <w:rPr>
          <w:rFonts w:hint="cs"/>
          <w:i/>
          <w:iCs/>
          <w:rtl/>
          <w:lang w:bidi="ar-EG"/>
        </w:rPr>
        <w:t>1 -</w:t>
      </w:r>
      <w:r>
        <w:rPr>
          <w:rFonts w:hint="cs"/>
          <w:i/>
          <w:iCs/>
          <w:rtl/>
          <w:lang w:bidi="ar-EG"/>
        </w:rPr>
        <w:tab/>
        <w:t>كشف الموظفين</w:t>
      </w:r>
    </w:p>
    <w:p w:rsidR="00971AE2" w:rsidRDefault="00971AE2" w:rsidP="00971AE2">
      <w:pPr>
        <w:pStyle w:val="SingleTxt"/>
        <w:rPr>
          <w:rFonts w:hint="cs"/>
          <w:rtl/>
          <w:lang w:bidi="ar-EG"/>
        </w:rPr>
      </w:pPr>
      <w:r>
        <w:rPr>
          <w:rFonts w:hint="cs"/>
          <w:rtl/>
          <w:lang w:bidi="ar-EG"/>
        </w:rPr>
        <w:tab/>
        <w:t xml:space="preserve">يوجد في الهيئة الاستشارية لرئيس الجمهورية فيما يتعلق بالمساواة بين الرجل والمرأة سبعة موظفين تُدفع مرتباتهم من الموارد المخصصة لإدارة التنظيم التابعة لرئيس الجمهورية </w:t>
      </w:r>
      <w:r w:rsidR="003D7EB4">
        <w:rPr>
          <w:rFonts w:hint="cs"/>
          <w:rtl/>
          <w:lang w:bidi="ar-EG"/>
        </w:rPr>
        <w:t>،</w:t>
      </w:r>
    </w:p>
    <w:p w:rsidR="00971AE2" w:rsidRDefault="00971AE2" w:rsidP="00971AE2">
      <w:pPr>
        <w:pStyle w:val="SingleTxt"/>
        <w:rPr>
          <w:rFonts w:hint="cs"/>
          <w:i/>
          <w:iCs/>
          <w:rtl/>
          <w:lang w:bidi="ar-EG"/>
        </w:rPr>
      </w:pPr>
      <w:r>
        <w:rPr>
          <w:rFonts w:hint="cs"/>
          <w:i/>
          <w:iCs/>
          <w:rtl/>
          <w:lang w:bidi="ar-EG"/>
        </w:rPr>
        <w:t>2 -</w:t>
      </w:r>
      <w:r>
        <w:rPr>
          <w:rFonts w:hint="cs"/>
          <w:i/>
          <w:iCs/>
          <w:rtl/>
          <w:lang w:bidi="ar-EG"/>
        </w:rPr>
        <w:tab/>
        <w:t>فريق الدعم التابع لإدارة التنظيم التابعة لرئيس الجمهورية</w:t>
      </w:r>
    </w:p>
    <w:p w:rsidR="00971AE2" w:rsidRDefault="00971AE2" w:rsidP="00971AE2">
      <w:pPr>
        <w:pStyle w:val="SingleTxt"/>
        <w:rPr>
          <w:rFonts w:hint="cs"/>
          <w:rtl/>
          <w:lang w:bidi="ar-EG"/>
        </w:rPr>
      </w:pPr>
      <w:r>
        <w:rPr>
          <w:rFonts w:hint="cs"/>
          <w:rtl/>
          <w:lang w:bidi="ar-EG"/>
        </w:rPr>
        <w:tab/>
        <w:t>علاوة على ذلك تعتمد الهيئة الاستشارية على دعم تقني من الادارة والإدارة الفرعية والمجال القانوني ومجال التخطيط والرقابة الداخلية والنقل والأمن والموارد البشرية والمجال الإداري والمالي للإدارة التنظيمية التابعة لرئاسة الجمهورية</w:t>
      </w:r>
      <w:r w:rsidR="003D7EB4">
        <w:rPr>
          <w:rFonts w:hint="cs"/>
          <w:rtl/>
          <w:lang w:bidi="ar-EG"/>
        </w:rPr>
        <w:t>،</w:t>
      </w:r>
      <w:r>
        <w:rPr>
          <w:rFonts w:hint="cs"/>
          <w:rtl/>
          <w:lang w:bidi="ar-EG"/>
        </w:rPr>
        <w:t xml:space="preserve">  </w:t>
      </w:r>
    </w:p>
    <w:p w:rsidR="00426B8B" w:rsidRPr="00426B8B" w:rsidRDefault="00426B8B" w:rsidP="00426B8B">
      <w:pPr>
        <w:pStyle w:val="SingleTxt"/>
        <w:spacing w:after="0" w:line="120" w:lineRule="exact"/>
        <w:rPr>
          <w:rFonts w:hint="cs"/>
          <w:sz w:val="10"/>
          <w:rtl/>
          <w:lang w:bidi="ar-EG"/>
        </w:rPr>
      </w:pPr>
    </w:p>
    <w:p w:rsidR="00971AE2" w:rsidRDefault="00971AE2" w:rsidP="00971AE2">
      <w:pPr>
        <w:pStyle w:val="SingleTxt"/>
        <w:rPr>
          <w:rFonts w:hint="cs"/>
          <w:i/>
          <w:iCs/>
          <w:rtl/>
          <w:lang w:bidi="ar-EG"/>
        </w:rPr>
      </w:pPr>
      <w:r>
        <w:rPr>
          <w:rFonts w:hint="cs"/>
          <w:i/>
          <w:iCs/>
          <w:rtl/>
          <w:lang w:bidi="ar-EG"/>
        </w:rPr>
        <w:t>3 -</w:t>
      </w:r>
      <w:r>
        <w:rPr>
          <w:rFonts w:hint="cs"/>
          <w:i/>
          <w:iCs/>
          <w:rtl/>
          <w:lang w:bidi="ar-EG"/>
        </w:rPr>
        <w:tab/>
        <w:t>نفقات التشغيل</w:t>
      </w:r>
    </w:p>
    <w:p w:rsidR="00971AE2" w:rsidRDefault="00971AE2" w:rsidP="00971AE2">
      <w:pPr>
        <w:pStyle w:val="SingleTxt"/>
        <w:rPr>
          <w:rFonts w:hint="cs"/>
          <w:rtl/>
          <w:lang w:bidi="ar-EG"/>
        </w:rPr>
      </w:pPr>
      <w:r>
        <w:rPr>
          <w:rFonts w:hint="cs"/>
          <w:rtl/>
          <w:lang w:bidi="ar-EG"/>
        </w:rPr>
        <w:tab/>
        <w:t>تدعم إدارة التنظيم التابعة لرئيس الجمهورية ماليا النفقات التشغيلية اللازمة لتنقل مستشارة رئيس الجمهورية في أدائها للمهمة المؤسسية للهيئة الاستشارية (توزيع خططها وبرامجها ومشاريعها على المستويين الوطني والدولي، وتق</w:t>
      </w:r>
      <w:r w:rsidR="00426B8B">
        <w:rPr>
          <w:rFonts w:hint="cs"/>
          <w:rtl/>
          <w:lang w:bidi="ar-EG"/>
        </w:rPr>
        <w:t>ديم الدعم إلى المنظمات النسائية</w:t>
      </w:r>
      <w:r w:rsidR="00426B8B">
        <w:rPr>
          <w:rFonts w:hint="eastAsia"/>
          <w:rtl/>
          <w:lang w:bidi="ar-EG"/>
        </w:rPr>
        <w:t> </w:t>
      </w:r>
      <w:r>
        <w:rPr>
          <w:rFonts w:hint="cs"/>
          <w:rtl/>
          <w:lang w:bidi="ar-EG"/>
        </w:rPr>
        <w:t>إلخ)</w:t>
      </w:r>
      <w:r w:rsidR="003D7EB4">
        <w:rPr>
          <w:rFonts w:hint="cs"/>
          <w:rtl/>
          <w:lang w:bidi="ar-EG"/>
        </w:rPr>
        <w:t>،</w:t>
      </w:r>
    </w:p>
    <w:p w:rsidR="00426B8B" w:rsidRPr="00426B8B" w:rsidRDefault="00426B8B" w:rsidP="00426B8B">
      <w:pPr>
        <w:pStyle w:val="SingleTxt"/>
        <w:spacing w:after="0" w:line="120" w:lineRule="exact"/>
        <w:rPr>
          <w:rFonts w:hint="cs"/>
          <w:sz w:val="10"/>
          <w:rtl/>
          <w:lang w:bidi="ar-EG"/>
        </w:rPr>
      </w:pPr>
    </w:p>
    <w:p w:rsidR="00971AE2" w:rsidRDefault="00971AE2" w:rsidP="00971AE2">
      <w:pPr>
        <w:pStyle w:val="SingleTxt"/>
        <w:rPr>
          <w:rFonts w:hint="cs"/>
          <w:i/>
          <w:iCs/>
          <w:rtl/>
          <w:lang w:bidi="ar-EG"/>
        </w:rPr>
      </w:pPr>
      <w:r>
        <w:rPr>
          <w:rFonts w:hint="cs"/>
          <w:i/>
          <w:iCs/>
          <w:rtl/>
          <w:lang w:bidi="ar-EG"/>
        </w:rPr>
        <w:t>4 -</w:t>
      </w:r>
      <w:r>
        <w:rPr>
          <w:rFonts w:hint="cs"/>
          <w:i/>
          <w:iCs/>
          <w:rtl/>
          <w:lang w:bidi="ar-EG"/>
        </w:rPr>
        <w:tab/>
        <w:t>موارد الميزانية الوطنية المخصصة لبرامج معينة</w:t>
      </w:r>
    </w:p>
    <w:p w:rsidR="00971AE2"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w:t>
      </w:r>
      <w:r>
        <w:rPr>
          <w:rFonts w:hint="cs"/>
          <w:rtl/>
          <w:lang w:bidi="ar-EG"/>
        </w:rPr>
        <w:t>ه</w:t>
      </w:r>
      <w:r w:rsidR="00971AE2">
        <w:rPr>
          <w:rFonts w:hint="cs"/>
          <w:rtl/>
          <w:lang w:bidi="ar-EG"/>
        </w:rPr>
        <w:t xml:space="preserve">يئة الاستشارية لرئيس الجمهورية فيما يتعلق بالمساواة بين الرجل والمرأة </w:t>
      </w:r>
    </w:p>
    <w:p w:rsidR="00971AE2" w:rsidRDefault="00426B8B" w:rsidP="00426B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الميزانية الاستثمارية للفترة 1999-2004</w:t>
      </w:r>
    </w:p>
    <w:tbl>
      <w:tblPr>
        <w:bidiVisual/>
        <w:tblW w:w="0" w:type="auto"/>
        <w:jc w:val="center"/>
        <w:tblLayout w:type="fixed"/>
        <w:tblCellMar>
          <w:left w:w="0" w:type="dxa"/>
          <w:right w:w="0" w:type="dxa"/>
        </w:tblCellMar>
        <w:tblLook w:val="0000" w:firstRow="0" w:lastRow="0" w:firstColumn="0" w:lastColumn="0" w:noHBand="0" w:noVBand="0"/>
      </w:tblPr>
      <w:tblGrid>
        <w:gridCol w:w="1545"/>
        <w:gridCol w:w="2678"/>
        <w:gridCol w:w="1751"/>
        <w:gridCol w:w="1751"/>
      </w:tblGrid>
      <w:tr w:rsidR="00971AE2" w:rsidRPr="00ED55AF">
        <w:tblPrEx>
          <w:tblCellMar>
            <w:top w:w="0" w:type="dxa"/>
            <w:bottom w:w="0" w:type="dxa"/>
          </w:tblCellMar>
        </w:tblPrEx>
        <w:trPr>
          <w:cantSplit/>
          <w:tblHeader/>
          <w:jc w:val="center"/>
        </w:trPr>
        <w:tc>
          <w:tcPr>
            <w:tcW w:w="1545"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80" w:after="80" w:line="240" w:lineRule="exact"/>
              <w:ind w:right="40"/>
              <w:jc w:val="left"/>
              <w:rPr>
                <w:rFonts w:hint="cs"/>
                <w:i/>
                <w:iCs/>
                <w:sz w:val="24"/>
                <w:szCs w:val="24"/>
                <w:rtl/>
                <w:lang w:bidi="ar-EG"/>
              </w:rPr>
            </w:pPr>
            <w:r w:rsidRPr="00ED55AF">
              <w:rPr>
                <w:rFonts w:hint="cs"/>
                <w:i/>
                <w:iCs/>
                <w:sz w:val="24"/>
                <w:szCs w:val="24"/>
                <w:rtl/>
                <w:lang w:bidi="ar-EG"/>
              </w:rPr>
              <w:t>القانون</w:t>
            </w:r>
          </w:p>
        </w:tc>
        <w:tc>
          <w:tcPr>
            <w:tcW w:w="2678"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ED55AF">
              <w:rPr>
                <w:rFonts w:hint="cs"/>
                <w:i/>
                <w:iCs/>
                <w:sz w:val="24"/>
                <w:szCs w:val="24"/>
                <w:rtl/>
                <w:lang w:bidi="ar-EG"/>
              </w:rPr>
              <w:t>الموضوع</w:t>
            </w:r>
          </w:p>
        </w:tc>
        <w:tc>
          <w:tcPr>
            <w:tcW w:w="1751"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ED55AF">
              <w:rPr>
                <w:rFonts w:hint="cs"/>
                <w:i/>
                <w:iCs/>
                <w:sz w:val="24"/>
                <w:szCs w:val="24"/>
                <w:rtl/>
                <w:lang w:bidi="ar-EG"/>
              </w:rPr>
              <w:t>الاعتماد النهائي</w:t>
            </w:r>
          </w:p>
        </w:tc>
        <w:tc>
          <w:tcPr>
            <w:tcW w:w="1751"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ED55AF">
              <w:rPr>
                <w:rFonts w:hint="cs"/>
                <w:i/>
                <w:iCs/>
                <w:sz w:val="24"/>
                <w:szCs w:val="24"/>
                <w:rtl/>
                <w:lang w:bidi="ar-EG"/>
              </w:rPr>
              <w:t xml:space="preserve">الالتزامات النهائية في31/12/2004 </w:t>
            </w:r>
          </w:p>
        </w:tc>
      </w:tr>
      <w:tr w:rsidR="00971AE2" w:rsidRPr="00ED55AF">
        <w:tblPrEx>
          <w:tblCellMar>
            <w:top w:w="0" w:type="dxa"/>
            <w:bottom w:w="0" w:type="dxa"/>
          </w:tblCellMar>
        </w:tblPrEx>
        <w:trPr>
          <w:cantSplit/>
          <w:trHeight w:hRule="exact" w:val="115"/>
          <w:tblHeader/>
          <w:jc w:val="center"/>
        </w:trPr>
        <w:tc>
          <w:tcPr>
            <w:tcW w:w="1545"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p>
        </w:tc>
        <w:tc>
          <w:tcPr>
            <w:tcW w:w="2678"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p>
        </w:tc>
        <w:tc>
          <w:tcPr>
            <w:tcW w:w="1751"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p>
        </w:tc>
        <w:tc>
          <w:tcPr>
            <w:tcW w:w="1751"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p>
        </w:tc>
      </w:tr>
      <w:tr w:rsidR="00971AE2" w:rsidRPr="00ED55AF">
        <w:tblPrEx>
          <w:tblCellMar>
            <w:top w:w="0" w:type="dxa"/>
            <w:bottom w:w="0" w:type="dxa"/>
          </w:tblCellMar>
        </w:tblPrEx>
        <w:trPr>
          <w:cantSplit/>
          <w:jc w:val="center"/>
        </w:trPr>
        <w:tc>
          <w:tcPr>
            <w:tcW w:w="1545" w:type="dxa"/>
          </w:tcPr>
          <w:p w:rsidR="00971AE2" w:rsidRPr="00ED55AF"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ED55AF">
              <w:rPr>
                <w:rFonts w:hint="cs"/>
                <w:sz w:val="24"/>
                <w:szCs w:val="24"/>
                <w:rtl/>
                <w:lang w:bidi="ar-EG"/>
              </w:rPr>
              <w:t>5201500613</w:t>
            </w:r>
          </w:p>
        </w:tc>
        <w:tc>
          <w:tcPr>
            <w:tcW w:w="2678" w:type="dxa"/>
          </w:tcPr>
          <w:p w:rsidR="00971AE2" w:rsidRPr="00ED55AF" w:rsidRDefault="00971AE2" w:rsidP="009C0DDD">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ED55AF">
              <w:rPr>
                <w:rFonts w:hint="cs"/>
                <w:sz w:val="24"/>
                <w:szCs w:val="24"/>
                <w:rtl/>
                <w:lang w:bidi="ar-EG"/>
              </w:rPr>
              <w:t>المساعدة التقنية والخبرة الفنية والمتابعة لصياغة وتنفيذ ورصد تقييم السياسات الداعمة للمرأة وخطة تحقيق التكافؤ في الفرص بين الرجل والمرأة</w:t>
            </w:r>
          </w:p>
        </w:tc>
        <w:tc>
          <w:tcPr>
            <w:tcW w:w="1751" w:type="dxa"/>
          </w:tcPr>
          <w:p w:rsidR="00971AE2" w:rsidRPr="00ED55A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r w:rsidRPr="00ED55AF">
              <w:rPr>
                <w:rFonts w:hint="cs"/>
                <w:sz w:val="24"/>
                <w:szCs w:val="24"/>
                <w:rtl/>
                <w:lang w:bidi="ar-EG"/>
              </w:rPr>
              <w:t>000 000 320</w:t>
            </w:r>
          </w:p>
        </w:tc>
        <w:tc>
          <w:tcPr>
            <w:tcW w:w="1751" w:type="dxa"/>
          </w:tcPr>
          <w:p w:rsidR="00971AE2" w:rsidRPr="00ED55A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r w:rsidRPr="00ED55AF">
              <w:rPr>
                <w:rFonts w:hint="cs"/>
                <w:sz w:val="24"/>
                <w:szCs w:val="24"/>
                <w:rtl/>
                <w:lang w:bidi="ar-EG"/>
              </w:rPr>
              <w:t>000 000 320</w:t>
            </w:r>
          </w:p>
        </w:tc>
      </w:tr>
      <w:tr w:rsidR="00971AE2" w:rsidRPr="00ED55AF">
        <w:tblPrEx>
          <w:tblCellMar>
            <w:top w:w="0" w:type="dxa"/>
            <w:bottom w:w="0" w:type="dxa"/>
          </w:tblCellMar>
        </w:tblPrEx>
        <w:trPr>
          <w:cantSplit/>
          <w:jc w:val="center"/>
        </w:trPr>
        <w:tc>
          <w:tcPr>
            <w:tcW w:w="1545" w:type="dxa"/>
            <w:tcBorders>
              <w:bottom w:val="single" w:sz="4" w:space="0" w:color="auto"/>
            </w:tcBorders>
          </w:tcPr>
          <w:p w:rsidR="00971AE2" w:rsidRPr="00ED55AF"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ED55AF">
              <w:rPr>
                <w:rFonts w:hint="cs"/>
                <w:sz w:val="24"/>
                <w:szCs w:val="24"/>
                <w:rtl/>
                <w:lang w:bidi="ar-EG"/>
              </w:rPr>
              <w:t>6401500411</w:t>
            </w:r>
          </w:p>
        </w:tc>
        <w:tc>
          <w:tcPr>
            <w:tcW w:w="2678" w:type="dxa"/>
            <w:tcBorders>
              <w:bottom w:val="single" w:sz="4" w:space="0" w:color="auto"/>
            </w:tcBorders>
          </w:tcPr>
          <w:p w:rsidR="00971AE2" w:rsidRPr="00ED55A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r w:rsidRPr="00ED55AF">
              <w:rPr>
                <w:rFonts w:hint="cs"/>
                <w:sz w:val="24"/>
                <w:szCs w:val="24"/>
                <w:rtl/>
                <w:lang w:bidi="ar-EG"/>
              </w:rPr>
              <w:t>تنفيذ برنامج الدعم المتكامل لرئيسات الأسر</w:t>
            </w:r>
          </w:p>
        </w:tc>
        <w:tc>
          <w:tcPr>
            <w:tcW w:w="1751" w:type="dxa"/>
            <w:tcBorders>
              <w:bottom w:val="single" w:sz="4" w:space="0" w:color="auto"/>
            </w:tcBorders>
          </w:tcPr>
          <w:p w:rsidR="00971AE2" w:rsidRPr="00ED55A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r w:rsidRPr="00ED55AF">
              <w:rPr>
                <w:rFonts w:hint="cs"/>
                <w:sz w:val="24"/>
                <w:szCs w:val="24"/>
                <w:rtl/>
                <w:lang w:bidi="ar-EG"/>
              </w:rPr>
              <w:t>000 000 000 1</w:t>
            </w:r>
          </w:p>
        </w:tc>
        <w:tc>
          <w:tcPr>
            <w:tcW w:w="1751" w:type="dxa"/>
            <w:tcBorders>
              <w:bottom w:val="single" w:sz="4" w:space="0" w:color="auto"/>
            </w:tcBorders>
          </w:tcPr>
          <w:p w:rsidR="00971AE2" w:rsidRPr="00ED55A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r w:rsidRPr="00ED55AF">
              <w:rPr>
                <w:rFonts w:hint="cs"/>
                <w:sz w:val="24"/>
                <w:szCs w:val="24"/>
                <w:rtl/>
                <w:lang w:bidi="ar-EG"/>
              </w:rPr>
              <w:t>000 000 000 1</w:t>
            </w:r>
          </w:p>
        </w:tc>
      </w:tr>
      <w:tr w:rsidR="00971AE2" w:rsidRPr="00ED55AF">
        <w:tblPrEx>
          <w:tblCellMar>
            <w:top w:w="0" w:type="dxa"/>
            <w:bottom w:w="0" w:type="dxa"/>
          </w:tblCellMar>
        </w:tblPrEx>
        <w:trPr>
          <w:cantSplit/>
          <w:jc w:val="center"/>
        </w:trPr>
        <w:tc>
          <w:tcPr>
            <w:tcW w:w="1545" w:type="dxa"/>
            <w:tcBorders>
              <w:top w:val="single" w:sz="4" w:space="0" w:color="auto"/>
              <w:bottom w:val="single" w:sz="12" w:space="0" w:color="auto"/>
            </w:tcBorders>
          </w:tcPr>
          <w:p w:rsidR="00971AE2" w:rsidRPr="00ED55AF" w:rsidRDefault="00971AE2" w:rsidP="00971AE2">
            <w:pPr>
              <w:tabs>
                <w:tab w:val="left" w:pos="288"/>
                <w:tab w:val="left" w:pos="576"/>
                <w:tab w:val="left" w:pos="864"/>
                <w:tab w:val="left" w:pos="1152"/>
              </w:tabs>
              <w:spacing w:before="60" w:after="60" w:line="240" w:lineRule="exact"/>
              <w:ind w:right="40"/>
              <w:jc w:val="left"/>
              <w:rPr>
                <w:rFonts w:hint="cs"/>
                <w:bCs/>
                <w:sz w:val="24"/>
                <w:szCs w:val="24"/>
                <w:rtl/>
                <w:lang w:bidi="ar-EG"/>
              </w:rPr>
            </w:pPr>
          </w:p>
        </w:tc>
        <w:tc>
          <w:tcPr>
            <w:tcW w:w="2678" w:type="dxa"/>
            <w:tcBorders>
              <w:top w:val="single" w:sz="4" w:space="0" w:color="auto"/>
              <w:bottom w:val="single" w:sz="12" w:space="0" w:color="auto"/>
            </w:tcBorders>
          </w:tcPr>
          <w:p w:rsidR="00971AE2" w:rsidRPr="00ED55AF" w:rsidRDefault="00971AE2" w:rsidP="009C0DDD">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ED55AF">
              <w:rPr>
                <w:rFonts w:hint="cs"/>
                <w:bCs/>
                <w:sz w:val="24"/>
                <w:szCs w:val="24"/>
                <w:rtl/>
                <w:lang w:bidi="ar-EG"/>
              </w:rPr>
              <w:t>المجموع الفرعي للهيئة الاستشارية لرئيس الجمهورية فيما يتعلق بالمساواة بين الرجل والمرأة</w:t>
            </w:r>
          </w:p>
        </w:tc>
        <w:tc>
          <w:tcPr>
            <w:tcW w:w="1751" w:type="dxa"/>
            <w:tcBorders>
              <w:top w:val="single" w:sz="4" w:space="0" w:color="auto"/>
              <w:bottom w:val="single" w:sz="12" w:space="0" w:color="auto"/>
            </w:tcBorders>
          </w:tcPr>
          <w:p w:rsidR="00971AE2" w:rsidRPr="00ED55AF" w:rsidRDefault="00971AE2" w:rsidP="00971AE2">
            <w:pPr>
              <w:tabs>
                <w:tab w:val="left" w:pos="288"/>
                <w:tab w:val="left" w:pos="576"/>
                <w:tab w:val="left" w:pos="864"/>
                <w:tab w:val="left" w:pos="1152"/>
              </w:tabs>
              <w:spacing w:before="60" w:after="60" w:line="240" w:lineRule="exact"/>
              <w:ind w:right="144"/>
              <w:jc w:val="left"/>
              <w:rPr>
                <w:rFonts w:hint="cs"/>
                <w:bCs/>
                <w:sz w:val="24"/>
                <w:szCs w:val="24"/>
                <w:rtl/>
                <w:lang w:bidi="ar-EG"/>
              </w:rPr>
            </w:pPr>
            <w:r w:rsidRPr="00ED55AF">
              <w:rPr>
                <w:rFonts w:hint="cs"/>
                <w:bCs/>
                <w:sz w:val="24"/>
                <w:szCs w:val="24"/>
                <w:rtl/>
                <w:lang w:bidi="ar-EG"/>
              </w:rPr>
              <w:t>000 000 320 1</w:t>
            </w:r>
          </w:p>
        </w:tc>
        <w:tc>
          <w:tcPr>
            <w:tcW w:w="1751" w:type="dxa"/>
            <w:tcBorders>
              <w:top w:val="single" w:sz="4" w:space="0" w:color="auto"/>
              <w:bottom w:val="single" w:sz="12" w:space="0" w:color="auto"/>
            </w:tcBorders>
          </w:tcPr>
          <w:p w:rsidR="00971AE2" w:rsidRPr="00ED55AF" w:rsidRDefault="00971AE2" w:rsidP="00971AE2">
            <w:pPr>
              <w:tabs>
                <w:tab w:val="left" w:pos="288"/>
                <w:tab w:val="left" w:pos="576"/>
                <w:tab w:val="left" w:pos="864"/>
                <w:tab w:val="left" w:pos="1152"/>
              </w:tabs>
              <w:spacing w:before="60" w:after="60" w:line="240" w:lineRule="exact"/>
              <w:ind w:right="144"/>
              <w:jc w:val="left"/>
              <w:rPr>
                <w:rFonts w:hint="cs"/>
                <w:bCs/>
                <w:sz w:val="24"/>
                <w:szCs w:val="24"/>
                <w:rtl/>
                <w:lang w:bidi="ar-EG"/>
              </w:rPr>
            </w:pPr>
            <w:r w:rsidRPr="00ED55AF">
              <w:rPr>
                <w:rFonts w:hint="cs"/>
                <w:bCs/>
                <w:sz w:val="24"/>
                <w:szCs w:val="24"/>
                <w:rtl/>
                <w:lang w:bidi="ar-EG"/>
              </w:rPr>
              <w:t>000 000 320 1</w:t>
            </w:r>
          </w:p>
        </w:tc>
      </w:tr>
    </w:tbl>
    <w:p w:rsidR="00971AE2" w:rsidRDefault="00971AE2" w:rsidP="00971AE2">
      <w:pPr>
        <w:pStyle w:val="SingleTxt"/>
        <w:spacing w:after="0" w:line="120" w:lineRule="exact"/>
        <w:jc w:val="left"/>
        <w:rPr>
          <w:sz w:val="10"/>
          <w:szCs w:val="26"/>
          <w:rtl/>
          <w:lang w:bidi="ar-EG"/>
        </w:rPr>
      </w:pPr>
    </w:p>
    <w:p w:rsidR="00971AE2" w:rsidRPr="00DD12F3" w:rsidRDefault="00971AE2" w:rsidP="00971AE2">
      <w:pPr>
        <w:pStyle w:val="SingleTxt"/>
        <w:spacing w:after="0" w:line="120" w:lineRule="exact"/>
        <w:jc w:val="left"/>
        <w:rPr>
          <w:sz w:val="10"/>
          <w:szCs w:val="26"/>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373"/>
        <w:gridCol w:w="2678"/>
        <w:gridCol w:w="1648"/>
        <w:gridCol w:w="1751"/>
      </w:tblGrid>
      <w:tr w:rsidR="00971AE2" w:rsidRPr="00DD12F3">
        <w:tblPrEx>
          <w:tblCellMar>
            <w:top w:w="0" w:type="dxa"/>
            <w:bottom w:w="0" w:type="dxa"/>
          </w:tblCellMar>
        </w:tblPrEx>
        <w:trPr>
          <w:cantSplit/>
          <w:tblHeader/>
        </w:trPr>
        <w:tc>
          <w:tcPr>
            <w:tcW w:w="1373" w:type="dxa"/>
            <w:tcBorders>
              <w:top w:val="single" w:sz="4" w:space="0" w:color="auto"/>
              <w:bottom w:val="single" w:sz="12" w:space="0" w:color="auto"/>
            </w:tcBorders>
            <w:vAlign w:val="bottom"/>
          </w:tcPr>
          <w:p w:rsidR="00971AE2" w:rsidRPr="00DD12F3" w:rsidRDefault="00971AE2" w:rsidP="00971AE2">
            <w:pPr>
              <w:tabs>
                <w:tab w:val="left" w:pos="288"/>
                <w:tab w:val="left" w:pos="576"/>
                <w:tab w:val="left" w:pos="864"/>
                <w:tab w:val="left" w:pos="1152"/>
              </w:tabs>
              <w:spacing w:before="80" w:after="80" w:line="240" w:lineRule="exact"/>
              <w:ind w:right="40"/>
              <w:jc w:val="left"/>
              <w:rPr>
                <w:rFonts w:hint="cs"/>
                <w:i/>
                <w:iCs/>
                <w:sz w:val="26"/>
                <w:szCs w:val="26"/>
                <w:rtl/>
                <w:lang w:bidi="ar-EG"/>
              </w:rPr>
            </w:pPr>
            <w:r w:rsidRPr="00DD12F3">
              <w:rPr>
                <w:rFonts w:hint="cs"/>
                <w:i/>
                <w:iCs/>
                <w:sz w:val="26"/>
                <w:szCs w:val="26"/>
                <w:rtl/>
                <w:lang w:bidi="ar-EG"/>
              </w:rPr>
              <w:t>القانون</w:t>
            </w:r>
          </w:p>
        </w:tc>
        <w:tc>
          <w:tcPr>
            <w:tcW w:w="2678" w:type="dxa"/>
            <w:tcBorders>
              <w:top w:val="single" w:sz="4" w:space="0" w:color="auto"/>
              <w:bottom w:val="single" w:sz="12" w:space="0" w:color="auto"/>
            </w:tcBorders>
            <w:vAlign w:val="bottom"/>
          </w:tcPr>
          <w:p w:rsidR="00971AE2" w:rsidRPr="00DD12F3" w:rsidRDefault="00971AE2" w:rsidP="00971AE2">
            <w:pPr>
              <w:tabs>
                <w:tab w:val="left" w:pos="288"/>
                <w:tab w:val="left" w:pos="576"/>
                <w:tab w:val="left" w:pos="864"/>
                <w:tab w:val="left" w:pos="1152"/>
              </w:tabs>
              <w:spacing w:before="80" w:after="80" w:line="240" w:lineRule="exact"/>
              <w:ind w:right="144"/>
              <w:jc w:val="left"/>
              <w:rPr>
                <w:rFonts w:hint="cs"/>
                <w:i/>
                <w:iCs/>
                <w:sz w:val="26"/>
                <w:szCs w:val="26"/>
                <w:rtl/>
                <w:lang w:bidi="ar-EG"/>
              </w:rPr>
            </w:pPr>
            <w:r w:rsidRPr="00DD12F3">
              <w:rPr>
                <w:rFonts w:hint="cs"/>
                <w:i/>
                <w:iCs/>
                <w:sz w:val="26"/>
                <w:szCs w:val="26"/>
                <w:rtl/>
                <w:lang w:bidi="ar-EG"/>
              </w:rPr>
              <w:t>رصيد ميزانية سنة 1999</w:t>
            </w:r>
          </w:p>
        </w:tc>
        <w:tc>
          <w:tcPr>
            <w:tcW w:w="1648" w:type="dxa"/>
            <w:tcBorders>
              <w:top w:val="single" w:sz="4" w:space="0" w:color="auto"/>
              <w:bottom w:val="single" w:sz="12" w:space="0" w:color="auto"/>
            </w:tcBorders>
            <w:vAlign w:val="bottom"/>
          </w:tcPr>
          <w:p w:rsidR="00971AE2" w:rsidRPr="00DD12F3" w:rsidRDefault="00971AE2" w:rsidP="00971AE2">
            <w:pPr>
              <w:tabs>
                <w:tab w:val="left" w:pos="288"/>
                <w:tab w:val="left" w:pos="576"/>
                <w:tab w:val="left" w:pos="864"/>
                <w:tab w:val="left" w:pos="1152"/>
              </w:tabs>
              <w:spacing w:before="80" w:after="80" w:line="240" w:lineRule="exact"/>
              <w:ind w:right="144"/>
              <w:jc w:val="left"/>
              <w:rPr>
                <w:rFonts w:hint="cs"/>
                <w:i/>
                <w:iCs/>
                <w:sz w:val="26"/>
                <w:szCs w:val="26"/>
                <w:rtl/>
                <w:lang w:bidi="ar-EG"/>
              </w:rPr>
            </w:pPr>
            <w:r w:rsidRPr="00DD12F3">
              <w:rPr>
                <w:rFonts w:hint="cs"/>
                <w:i/>
                <w:iCs/>
                <w:sz w:val="26"/>
                <w:szCs w:val="26"/>
                <w:rtl/>
                <w:lang w:bidi="ar-EG"/>
              </w:rPr>
              <w:t>رصيد الميزانية</w:t>
            </w:r>
          </w:p>
        </w:tc>
        <w:tc>
          <w:tcPr>
            <w:tcW w:w="1751" w:type="dxa"/>
            <w:tcBorders>
              <w:top w:val="single" w:sz="4" w:space="0" w:color="auto"/>
              <w:bottom w:val="single" w:sz="12" w:space="0" w:color="auto"/>
            </w:tcBorders>
            <w:vAlign w:val="bottom"/>
          </w:tcPr>
          <w:p w:rsidR="00971AE2" w:rsidRPr="00DD12F3" w:rsidRDefault="00971AE2" w:rsidP="00971AE2">
            <w:pPr>
              <w:tabs>
                <w:tab w:val="left" w:pos="288"/>
                <w:tab w:val="left" w:pos="576"/>
                <w:tab w:val="left" w:pos="864"/>
                <w:tab w:val="left" w:pos="1152"/>
              </w:tabs>
              <w:spacing w:before="80" w:after="80" w:line="240" w:lineRule="exact"/>
              <w:ind w:right="144"/>
              <w:jc w:val="left"/>
              <w:rPr>
                <w:rFonts w:hint="cs"/>
                <w:i/>
                <w:iCs/>
                <w:sz w:val="26"/>
                <w:szCs w:val="26"/>
                <w:rtl/>
                <w:lang w:bidi="ar-EG"/>
              </w:rPr>
            </w:pPr>
            <w:r w:rsidRPr="00DD12F3">
              <w:rPr>
                <w:rFonts w:hint="cs"/>
                <w:i/>
                <w:iCs/>
                <w:sz w:val="26"/>
                <w:szCs w:val="26"/>
                <w:rtl/>
                <w:lang w:bidi="ar-EG"/>
              </w:rPr>
              <w:t>المدفوع، 27/6/2000</w:t>
            </w:r>
          </w:p>
        </w:tc>
      </w:tr>
      <w:tr w:rsidR="00971AE2" w:rsidRPr="00DD12F3">
        <w:tblPrEx>
          <w:tblCellMar>
            <w:top w:w="0" w:type="dxa"/>
            <w:bottom w:w="0" w:type="dxa"/>
          </w:tblCellMar>
        </w:tblPrEx>
        <w:trPr>
          <w:cantSplit/>
          <w:trHeight w:hRule="exact" w:val="115"/>
          <w:tblHeader/>
        </w:trPr>
        <w:tc>
          <w:tcPr>
            <w:tcW w:w="1373" w:type="dxa"/>
            <w:tcBorders>
              <w:top w:val="single" w:sz="12" w:space="0" w:color="auto"/>
            </w:tcBorders>
            <w:vAlign w:val="bottom"/>
          </w:tcPr>
          <w:p w:rsidR="00971AE2" w:rsidRPr="00DD12F3" w:rsidRDefault="00971AE2" w:rsidP="00971AE2">
            <w:pPr>
              <w:tabs>
                <w:tab w:val="left" w:pos="288"/>
                <w:tab w:val="left" w:pos="576"/>
                <w:tab w:val="left" w:pos="864"/>
                <w:tab w:val="left" w:pos="1152"/>
              </w:tabs>
              <w:spacing w:before="40" w:after="80" w:line="240" w:lineRule="exact"/>
              <w:ind w:right="40"/>
              <w:jc w:val="left"/>
              <w:rPr>
                <w:rFonts w:hint="cs"/>
                <w:sz w:val="26"/>
                <w:szCs w:val="26"/>
                <w:rtl/>
                <w:lang w:bidi="ar-EG"/>
              </w:rPr>
            </w:pPr>
          </w:p>
        </w:tc>
        <w:tc>
          <w:tcPr>
            <w:tcW w:w="2678" w:type="dxa"/>
            <w:tcBorders>
              <w:top w:val="single" w:sz="12" w:space="0" w:color="auto"/>
            </w:tcBorders>
            <w:vAlign w:val="bottom"/>
          </w:tcPr>
          <w:p w:rsidR="00971AE2" w:rsidRPr="00DD12F3" w:rsidRDefault="00971AE2" w:rsidP="00971AE2">
            <w:pPr>
              <w:tabs>
                <w:tab w:val="left" w:pos="288"/>
                <w:tab w:val="left" w:pos="576"/>
                <w:tab w:val="left" w:pos="864"/>
                <w:tab w:val="left" w:pos="1152"/>
              </w:tabs>
              <w:spacing w:before="40" w:after="80" w:line="240" w:lineRule="exact"/>
              <w:ind w:right="144"/>
              <w:jc w:val="left"/>
              <w:rPr>
                <w:rFonts w:hint="cs"/>
                <w:sz w:val="26"/>
                <w:szCs w:val="26"/>
                <w:rtl/>
                <w:lang w:bidi="ar-EG"/>
              </w:rPr>
            </w:pPr>
          </w:p>
        </w:tc>
        <w:tc>
          <w:tcPr>
            <w:tcW w:w="1648" w:type="dxa"/>
            <w:tcBorders>
              <w:top w:val="single" w:sz="12" w:space="0" w:color="auto"/>
            </w:tcBorders>
            <w:vAlign w:val="bottom"/>
          </w:tcPr>
          <w:p w:rsidR="00971AE2" w:rsidRPr="00DD12F3" w:rsidRDefault="00971AE2" w:rsidP="00971AE2">
            <w:pPr>
              <w:tabs>
                <w:tab w:val="left" w:pos="288"/>
                <w:tab w:val="left" w:pos="576"/>
                <w:tab w:val="left" w:pos="864"/>
                <w:tab w:val="left" w:pos="1152"/>
              </w:tabs>
              <w:spacing w:before="40" w:after="80" w:line="240" w:lineRule="exact"/>
              <w:ind w:right="144"/>
              <w:jc w:val="left"/>
              <w:rPr>
                <w:rFonts w:hint="cs"/>
                <w:sz w:val="26"/>
                <w:szCs w:val="26"/>
                <w:rtl/>
                <w:lang w:bidi="ar-EG"/>
              </w:rPr>
            </w:pPr>
          </w:p>
        </w:tc>
        <w:tc>
          <w:tcPr>
            <w:tcW w:w="1751" w:type="dxa"/>
            <w:tcBorders>
              <w:top w:val="single" w:sz="12" w:space="0" w:color="auto"/>
            </w:tcBorders>
            <w:vAlign w:val="bottom"/>
          </w:tcPr>
          <w:p w:rsidR="00971AE2" w:rsidRPr="00DD12F3" w:rsidRDefault="00971AE2" w:rsidP="00971AE2">
            <w:pPr>
              <w:tabs>
                <w:tab w:val="left" w:pos="288"/>
                <w:tab w:val="left" w:pos="576"/>
                <w:tab w:val="left" w:pos="864"/>
                <w:tab w:val="left" w:pos="1152"/>
              </w:tabs>
              <w:spacing w:before="40" w:after="80" w:line="240" w:lineRule="exact"/>
              <w:ind w:right="144"/>
              <w:jc w:val="left"/>
              <w:rPr>
                <w:rFonts w:hint="cs"/>
                <w:sz w:val="26"/>
                <w:szCs w:val="26"/>
                <w:rtl/>
                <w:lang w:bidi="ar-EG"/>
              </w:rPr>
            </w:pPr>
          </w:p>
        </w:tc>
      </w:tr>
      <w:tr w:rsidR="00971AE2" w:rsidRPr="00DD12F3">
        <w:tblPrEx>
          <w:tblCellMar>
            <w:top w:w="0" w:type="dxa"/>
            <w:bottom w:w="0" w:type="dxa"/>
          </w:tblCellMar>
        </w:tblPrEx>
        <w:trPr>
          <w:cantSplit/>
        </w:trPr>
        <w:tc>
          <w:tcPr>
            <w:tcW w:w="1373" w:type="dxa"/>
            <w:tcBorders>
              <w:top w:val="single" w:sz="4" w:space="0" w:color="auto"/>
              <w:bottom w:val="single" w:sz="12" w:space="0" w:color="auto"/>
            </w:tcBorders>
          </w:tcPr>
          <w:p w:rsidR="00971AE2" w:rsidRPr="00DD12F3" w:rsidRDefault="00971AE2" w:rsidP="00971AE2">
            <w:pPr>
              <w:tabs>
                <w:tab w:val="left" w:pos="288"/>
                <w:tab w:val="left" w:pos="576"/>
                <w:tab w:val="left" w:pos="864"/>
                <w:tab w:val="left" w:pos="1152"/>
              </w:tabs>
              <w:spacing w:before="40" w:after="80" w:line="240" w:lineRule="exact"/>
              <w:ind w:right="40"/>
              <w:jc w:val="left"/>
              <w:rPr>
                <w:rFonts w:hint="cs"/>
                <w:sz w:val="26"/>
                <w:szCs w:val="26"/>
                <w:rtl/>
                <w:lang w:bidi="ar-EG"/>
              </w:rPr>
            </w:pPr>
            <w:r w:rsidRPr="00DD12F3">
              <w:rPr>
                <w:rFonts w:hint="cs"/>
                <w:sz w:val="26"/>
                <w:szCs w:val="26"/>
                <w:rtl/>
                <w:lang w:bidi="ar-EG"/>
              </w:rPr>
              <w:t>5201500114</w:t>
            </w:r>
          </w:p>
        </w:tc>
        <w:tc>
          <w:tcPr>
            <w:tcW w:w="2678" w:type="dxa"/>
            <w:tcBorders>
              <w:top w:val="single" w:sz="4" w:space="0" w:color="auto"/>
              <w:bottom w:val="single" w:sz="12" w:space="0" w:color="auto"/>
            </w:tcBorders>
          </w:tcPr>
          <w:p w:rsidR="00971AE2" w:rsidRPr="00DD12F3" w:rsidRDefault="00971AE2" w:rsidP="009C0DDD">
            <w:pPr>
              <w:tabs>
                <w:tab w:val="left" w:pos="288"/>
                <w:tab w:val="left" w:pos="576"/>
                <w:tab w:val="left" w:pos="864"/>
                <w:tab w:val="left" w:pos="1152"/>
              </w:tabs>
              <w:spacing w:before="40" w:after="80" w:line="240" w:lineRule="exact"/>
              <w:ind w:right="144"/>
              <w:jc w:val="lowKashida"/>
              <w:rPr>
                <w:rFonts w:hint="cs"/>
                <w:sz w:val="26"/>
                <w:szCs w:val="26"/>
                <w:rtl/>
                <w:lang w:bidi="ar-EG"/>
              </w:rPr>
            </w:pPr>
            <w:r w:rsidRPr="00DD12F3">
              <w:rPr>
                <w:rFonts w:hint="cs"/>
                <w:sz w:val="26"/>
                <w:szCs w:val="26"/>
                <w:rtl/>
                <w:lang w:bidi="ar-EG"/>
              </w:rPr>
              <w:t>المساعدة التقنية والخبرة الفنية والمتابعة لصياغة وتنفيذ ورصد وتطوير سياسة تحقيق المساواة بين الرجل والمرأة وتنمية مشاركة المرأة</w:t>
            </w:r>
          </w:p>
        </w:tc>
        <w:tc>
          <w:tcPr>
            <w:tcW w:w="1648" w:type="dxa"/>
            <w:tcBorders>
              <w:top w:val="single" w:sz="4" w:space="0" w:color="auto"/>
              <w:bottom w:val="single" w:sz="12" w:space="0" w:color="auto"/>
            </w:tcBorders>
          </w:tcPr>
          <w:p w:rsidR="00971AE2" w:rsidRPr="00DD12F3" w:rsidRDefault="00971AE2" w:rsidP="00971AE2">
            <w:pPr>
              <w:tabs>
                <w:tab w:val="left" w:pos="288"/>
                <w:tab w:val="left" w:pos="576"/>
                <w:tab w:val="left" w:pos="864"/>
                <w:tab w:val="left" w:pos="1152"/>
              </w:tabs>
              <w:spacing w:before="40" w:after="80" w:line="240" w:lineRule="exact"/>
              <w:ind w:right="144"/>
              <w:jc w:val="left"/>
              <w:rPr>
                <w:rFonts w:hint="cs"/>
                <w:sz w:val="26"/>
                <w:szCs w:val="26"/>
                <w:rtl/>
                <w:lang w:bidi="ar-EG"/>
              </w:rPr>
            </w:pPr>
            <w:r w:rsidRPr="00DD12F3">
              <w:rPr>
                <w:rFonts w:hint="cs"/>
                <w:sz w:val="26"/>
                <w:szCs w:val="26"/>
                <w:rtl/>
                <w:lang w:bidi="ar-EG"/>
              </w:rPr>
              <w:t>000 000 000 1</w:t>
            </w:r>
          </w:p>
        </w:tc>
        <w:tc>
          <w:tcPr>
            <w:tcW w:w="1751" w:type="dxa"/>
            <w:tcBorders>
              <w:top w:val="single" w:sz="4" w:space="0" w:color="auto"/>
              <w:bottom w:val="single" w:sz="12" w:space="0" w:color="auto"/>
            </w:tcBorders>
          </w:tcPr>
          <w:p w:rsidR="00971AE2" w:rsidRPr="00DD12F3" w:rsidRDefault="00971AE2" w:rsidP="00971AE2">
            <w:pPr>
              <w:tabs>
                <w:tab w:val="left" w:pos="288"/>
                <w:tab w:val="left" w:pos="576"/>
                <w:tab w:val="left" w:pos="864"/>
                <w:tab w:val="left" w:pos="1152"/>
              </w:tabs>
              <w:spacing w:before="40" w:after="80" w:line="240" w:lineRule="exact"/>
              <w:ind w:right="144"/>
              <w:jc w:val="left"/>
              <w:rPr>
                <w:rFonts w:hint="cs"/>
                <w:sz w:val="26"/>
                <w:szCs w:val="26"/>
                <w:rtl/>
                <w:lang w:bidi="ar-EG"/>
              </w:rPr>
            </w:pPr>
            <w:r w:rsidRPr="00DD12F3">
              <w:rPr>
                <w:rFonts w:hint="cs"/>
                <w:sz w:val="26"/>
                <w:szCs w:val="26"/>
                <w:rtl/>
                <w:lang w:bidi="ar-EG"/>
              </w:rPr>
              <w:t>000 000 000 1</w:t>
            </w:r>
          </w:p>
        </w:tc>
      </w:tr>
    </w:tbl>
    <w:p w:rsidR="00971AE2" w:rsidRPr="00ED55AF" w:rsidRDefault="00971AE2" w:rsidP="00ED55AF">
      <w:pPr>
        <w:pStyle w:val="SingleTxt"/>
        <w:ind w:left="1930" w:hanging="663"/>
        <w:jc w:val="left"/>
        <w:rPr>
          <w:rFonts w:hint="cs"/>
          <w:sz w:val="26"/>
          <w:szCs w:val="26"/>
          <w:rtl/>
          <w:lang w:bidi="ar-EG"/>
        </w:rPr>
      </w:pPr>
      <w:r w:rsidRPr="00ED55AF">
        <w:rPr>
          <w:rFonts w:hint="cs"/>
          <w:b/>
          <w:bCs/>
          <w:sz w:val="26"/>
          <w:szCs w:val="26"/>
          <w:rtl/>
          <w:lang w:bidi="ar-EG"/>
        </w:rPr>
        <w:t>ملاحظة</w:t>
      </w:r>
      <w:r w:rsidRPr="00ED55AF">
        <w:rPr>
          <w:rFonts w:hint="cs"/>
          <w:sz w:val="26"/>
          <w:szCs w:val="26"/>
          <w:rtl/>
          <w:lang w:bidi="ar-EG"/>
        </w:rPr>
        <w:t>:</w:t>
      </w:r>
      <w:r w:rsidR="00ED55AF">
        <w:rPr>
          <w:rFonts w:hint="cs"/>
          <w:sz w:val="26"/>
          <w:szCs w:val="26"/>
          <w:rtl/>
          <w:lang w:bidi="ar-EG"/>
        </w:rPr>
        <w:tab/>
      </w:r>
      <w:r w:rsidRPr="00ED55AF">
        <w:rPr>
          <w:rFonts w:hint="cs"/>
          <w:sz w:val="26"/>
          <w:szCs w:val="26"/>
          <w:rtl/>
          <w:lang w:bidi="ar-EG"/>
        </w:rPr>
        <w:t>استلم مخصص الميزانية المذكور من الهيئة الاستشارية لرئيس الجمهورية فيما يتعلق بالمساواة بين الرجل والمرأة في السنة المالية 1999</w:t>
      </w:r>
      <w:r w:rsidR="003D7EB4">
        <w:rPr>
          <w:rFonts w:hint="cs"/>
          <w:sz w:val="26"/>
          <w:szCs w:val="26"/>
          <w:rtl/>
          <w:lang w:bidi="ar-EG"/>
        </w:rPr>
        <w:t>،</w:t>
      </w:r>
    </w:p>
    <w:p w:rsidR="00971AE2" w:rsidRDefault="00971AE2" w:rsidP="00971AE2">
      <w:pPr>
        <w:pStyle w:val="SingleTxt"/>
        <w:spacing w:after="0" w:line="120" w:lineRule="exact"/>
        <w:jc w:val="left"/>
        <w:rPr>
          <w:rFonts w:hint="cs"/>
          <w:b/>
          <w:bCs/>
          <w:sz w:val="10"/>
          <w:rtl/>
          <w:lang w:bidi="ar-EG"/>
        </w:rPr>
      </w:pPr>
    </w:p>
    <w:p w:rsidR="00971AE2" w:rsidRDefault="00971AE2" w:rsidP="00971AE2">
      <w:pPr>
        <w:pStyle w:val="SingleTxt"/>
        <w:jc w:val="left"/>
        <w:rPr>
          <w:rFonts w:hint="cs"/>
          <w:b/>
          <w:bCs/>
          <w:sz w:val="30"/>
          <w:rtl/>
          <w:lang w:bidi="ar-EG"/>
        </w:rPr>
      </w:pPr>
      <w:r>
        <w:rPr>
          <w:rFonts w:hint="cs"/>
          <w:b/>
          <w:bCs/>
          <w:sz w:val="30"/>
          <w:rtl/>
          <w:lang w:bidi="ar-EG"/>
        </w:rPr>
        <w:t>السنة المالية 2001</w:t>
      </w:r>
    </w:p>
    <w:tbl>
      <w:tblPr>
        <w:bidiVisual/>
        <w:tblW w:w="0" w:type="auto"/>
        <w:tblInd w:w="1095" w:type="dxa"/>
        <w:tblLayout w:type="fixed"/>
        <w:tblCellMar>
          <w:left w:w="0" w:type="dxa"/>
          <w:right w:w="0" w:type="dxa"/>
        </w:tblCellMar>
        <w:tblLook w:val="0000" w:firstRow="0" w:lastRow="0" w:firstColumn="0" w:lastColumn="0" w:noHBand="0" w:noVBand="0"/>
      </w:tblPr>
      <w:tblGrid>
        <w:gridCol w:w="1442"/>
        <w:gridCol w:w="2575"/>
        <w:gridCol w:w="1854"/>
        <w:gridCol w:w="1751"/>
      </w:tblGrid>
      <w:tr w:rsidR="00971AE2" w:rsidRPr="00DD12F3">
        <w:tblPrEx>
          <w:tblCellMar>
            <w:top w:w="0" w:type="dxa"/>
            <w:bottom w:w="0" w:type="dxa"/>
          </w:tblCellMar>
        </w:tblPrEx>
        <w:trPr>
          <w:cantSplit/>
          <w:tblHeader/>
        </w:trPr>
        <w:tc>
          <w:tcPr>
            <w:tcW w:w="1442" w:type="dxa"/>
            <w:tcBorders>
              <w:top w:val="single" w:sz="4" w:space="0" w:color="auto"/>
              <w:bottom w:val="single" w:sz="12" w:space="0" w:color="auto"/>
            </w:tcBorders>
            <w:vAlign w:val="bottom"/>
          </w:tcPr>
          <w:p w:rsidR="00971AE2" w:rsidRPr="00DD12F3" w:rsidRDefault="00971AE2" w:rsidP="00971AE2">
            <w:pPr>
              <w:tabs>
                <w:tab w:val="left" w:pos="288"/>
                <w:tab w:val="left" w:pos="576"/>
                <w:tab w:val="left" w:pos="864"/>
                <w:tab w:val="left" w:pos="1152"/>
              </w:tabs>
              <w:spacing w:before="1" w:after="1" w:line="380" w:lineRule="exact"/>
              <w:ind w:left="72" w:right="72"/>
              <w:rPr>
                <w:rFonts w:hint="cs"/>
                <w:i/>
                <w:iCs/>
                <w:sz w:val="26"/>
                <w:szCs w:val="26"/>
                <w:rtl/>
                <w:lang w:bidi="ar-EG"/>
              </w:rPr>
            </w:pPr>
            <w:r w:rsidRPr="00DD12F3">
              <w:rPr>
                <w:rFonts w:hint="cs"/>
                <w:i/>
                <w:iCs/>
                <w:sz w:val="26"/>
                <w:szCs w:val="26"/>
                <w:rtl/>
                <w:lang w:bidi="ar-EG"/>
              </w:rPr>
              <w:t>القانون</w:t>
            </w:r>
          </w:p>
        </w:tc>
        <w:tc>
          <w:tcPr>
            <w:tcW w:w="2575" w:type="dxa"/>
            <w:tcBorders>
              <w:top w:val="single" w:sz="4" w:space="0" w:color="auto"/>
              <w:bottom w:val="single" w:sz="12" w:space="0" w:color="auto"/>
            </w:tcBorders>
            <w:vAlign w:val="bottom"/>
          </w:tcPr>
          <w:p w:rsidR="00971AE2" w:rsidRPr="00DD12F3" w:rsidRDefault="00971AE2" w:rsidP="00971AE2">
            <w:pPr>
              <w:tabs>
                <w:tab w:val="left" w:pos="288"/>
                <w:tab w:val="left" w:pos="576"/>
                <w:tab w:val="left" w:pos="864"/>
                <w:tab w:val="left" w:pos="1152"/>
              </w:tabs>
              <w:spacing w:before="1" w:after="1" w:line="380" w:lineRule="exact"/>
              <w:ind w:left="72" w:right="72"/>
              <w:rPr>
                <w:rFonts w:hint="cs"/>
                <w:i/>
                <w:iCs/>
                <w:sz w:val="26"/>
                <w:szCs w:val="26"/>
                <w:rtl/>
                <w:lang w:bidi="ar-EG"/>
              </w:rPr>
            </w:pPr>
            <w:r w:rsidRPr="00DD12F3">
              <w:rPr>
                <w:rFonts w:hint="cs"/>
                <w:i/>
                <w:iCs/>
                <w:sz w:val="26"/>
                <w:szCs w:val="26"/>
                <w:rtl/>
                <w:lang w:bidi="ar-EG"/>
              </w:rPr>
              <w:t>الموضوع</w:t>
            </w:r>
          </w:p>
        </w:tc>
        <w:tc>
          <w:tcPr>
            <w:tcW w:w="1854" w:type="dxa"/>
            <w:tcBorders>
              <w:top w:val="single" w:sz="4" w:space="0" w:color="auto"/>
              <w:bottom w:val="single" w:sz="12" w:space="0" w:color="auto"/>
            </w:tcBorders>
            <w:vAlign w:val="bottom"/>
          </w:tcPr>
          <w:p w:rsidR="00971AE2" w:rsidRPr="00DD12F3" w:rsidRDefault="00971AE2" w:rsidP="00971AE2">
            <w:pPr>
              <w:tabs>
                <w:tab w:val="left" w:pos="288"/>
                <w:tab w:val="left" w:pos="576"/>
                <w:tab w:val="left" w:pos="864"/>
                <w:tab w:val="left" w:pos="1152"/>
              </w:tabs>
              <w:spacing w:before="1" w:after="1" w:line="380" w:lineRule="exact"/>
              <w:ind w:left="72" w:right="72"/>
              <w:rPr>
                <w:rFonts w:hint="cs"/>
                <w:i/>
                <w:iCs/>
                <w:sz w:val="26"/>
                <w:szCs w:val="26"/>
                <w:rtl/>
                <w:lang w:bidi="ar-EG"/>
              </w:rPr>
            </w:pPr>
            <w:r w:rsidRPr="00DD12F3">
              <w:rPr>
                <w:rFonts w:hint="cs"/>
                <w:i/>
                <w:iCs/>
                <w:sz w:val="26"/>
                <w:szCs w:val="26"/>
                <w:rtl/>
                <w:lang w:bidi="ar-EG"/>
              </w:rPr>
              <w:t>الاعتماد النهائي</w:t>
            </w:r>
          </w:p>
        </w:tc>
        <w:tc>
          <w:tcPr>
            <w:tcW w:w="1751" w:type="dxa"/>
            <w:tcBorders>
              <w:top w:val="single" w:sz="4" w:space="0" w:color="auto"/>
              <w:bottom w:val="single" w:sz="12" w:space="0" w:color="auto"/>
            </w:tcBorders>
            <w:vAlign w:val="bottom"/>
          </w:tcPr>
          <w:p w:rsidR="00971AE2" w:rsidRPr="00DD12F3" w:rsidRDefault="00971AE2" w:rsidP="00971AE2">
            <w:pPr>
              <w:tabs>
                <w:tab w:val="left" w:pos="288"/>
                <w:tab w:val="left" w:pos="576"/>
                <w:tab w:val="left" w:pos="864"/>
                <w:tab w:val="left" w:pos="1152"/>
              </w:tabs>
              <w:spacing w:before="1" w:after="1" w:line="380" w:lineRule="exact"/>
              <w:ind w:left="72" w:right="72"/>
              <w:rPr>
                <w:rFonts w:hint="cs"/>
                <w:i/>
                <w:iCs/>
                <w:sz w:val="26"/>
                <w:szCs w:val="26"/>
                <w:rtl/>
                <w:lang w:bidi="ar-EG"/>
              </w:rPr>
            </w:pPr>
            <w:r w:rsidRPr="00DD12F3">
              <w:rPr>
                <w:rFonts w:hint="cs"/>
                <w:i/>
                <w:iCs/>
                <w:sz w:val="26"/>
                <w:szCs w:val="26"/>
                <w:rtl/>
                <w:lang w:bidi="ar-EG"/>
              </w:rPr>
              <w:t>الالتزامات النهائية في 31/12/2001</w:t>
            </w:r>
          </w:p>
        </w:tc>
      </w:tr>
      <w:tr w:rsidR="00971AE2" w:rsidRPr="00DD12F3">
        <w:tblPrEx>
          <w:tblCellMar>
            <w:top w:w="0" w:type="dxa"/>
            <w:bottom w:w="0" w:type="dxa"/>
          </w:tblCellMar>
        </w:tblPrEx>
        <w:trPr>
          <w:cantSplit/>
          <w:trHeight w:hRule="exact" w:val="115"/>
          <w:tblHeader/>
        </w:trPr>
        <w:tc>
          <w:tcPr>
            <w:tcW w:w="1442" w:type="dxa"/>
            <w:tcBorders>
              <w:top w:val="single" w:sz="12" w:space="0" w:color="auto"/>
            </w:tcBorders>
            <w:vAlign w:val="bottom"/>
          </w:tcPr>
          <w:p w:rsidR="00971AE2" w:rsidRPr="00DD12F3" w:rsidRDefault="00971AE2" w:rsidP="00971AE2">
            <w:pPr>
              <w:tabs>
                <w:tab w:val="left" w:pos="288"/>
                <w:tab w:val="left" w:pos="576"/>
                <w:tab w:val="left" w:pos="864"/>
                <w:tab w:val="left" w:pos="1152"/>
              </w:tabs>
              <w:spacing w:before="1" w:after="1" w:line="380" w:lineRule="exact"/>
              <w:ind w:left="72" w:right="72"/>
              <w:rPr>
                <w:rFonts w:hint="cs"/>
                <w:sz w:val="26"/>
                <w:szCs w:val="26"/>
                <w:rtl/>
                <w:lang w:bidi="ar-EG"/>
              </w:rPr>
            </w:pPr>
          </w:p>
        </w:tc>
        <w:tc>
          <w:tcPr>
            <w:tcW w:w="2575" w:type="dxa"/>
            <w:tcBorders>
              <w:top w:val="single" w:sz="12" w:space="0" w:color="auto"/>
            </w:tcBorders>
            <w:vAlign w:val="bottom"/>
          </w:tcPr>
          <w:p w:rsidR="00971AE2" w:rsidRPr="00DD12F3" w:rsidRDefault="00971AE2" w:rsidP="00971AE2">
            <w:pPr>
              <w:tabs>
                <w:tab w:val="left" w:pos="288"/>
                <w:tab w:val="left" w:pos="576"/>
                <w:tab w:val="left" w:pos="864"/>
                <w:tab w:val="left" w:pos="1152"/>
              </w:tabs>
              <w:spacing w:before="1" w:after="1" w:line="380" w:lineRule="exact"/>
              <w:ind w:left="72" w:right="72"/>
              <w:rPr>
                <w:rFonts w:hint="cs"/>
                <w:sz w:val="26"/>
                <w:szCs w:val="26"/>
                <w:rtl/>
                <w:lang w:bidi="ar-EG"/>
              </w:rPr>
            </w:pPr>
          </w:p>
        </w:tc>
        <w:tc>
          <w:tcPr>
            <w:tcW w:w="1854" w:type="dxa"/>
            <w:tcBorders>
              <w:top w:val="single" w:sz="12" w:space="0" w:color="auto"/>
            </w:tcBorders>
            <w:vAlign w:val="bottom"/>
          </w:tcPr>
          <w:p w:rsidR="00971AE2" w:rsidRPr="00DD12F3" w:rsidRDefault="00971AE2" w:rsidP="00971AE2">
            <w:pPr>
              <w:tabs>
                <w:tab w:val="left" w:pos="288"/>
                <w:tab w:val="left" w:pos="576"/>
                <w:tab w:val="left" w:pos="864"/>
                <w:tab w:val="left" w:pos="1152"/>
              </w:tabs>
              <w:spacing w:before="1" w:after="1" w:line="380" w:lineRule="exact"/>
              <w:ind w:left="72" w:right="72"/>
              <w:rPr>
                <w:rFonts w:hint="cs"/>
                <w:sz w:val="26"/>
                <w:szCs w:val="26"/>
                <w:rtl/>
                <w:lang w:bidi="ar-EG"/>
              </w:rPr>
            </w:pPr>
          </w:p>
        </w:tc>
        <w:tc>
          <w:tcPr>
            <w:tcW w:w="1751" w:type="dxa"/>
            <w:tcBorders>
              <w:top w:val="single" w:sz="12" w:space="0" w:color="auto"/>
            </w:tcBorders>
            <w:vAlign w:val="bottom"/>
          </w:tcPr>
          <w:p w:rsidR="00971AE2" w:rsidRPr="00DD12F3" w:rsidRDefault="00971AE2" w:rsidP="00971AE2">
            <w:pPr>
              <w:tabs>
                <w:tab w:val="left" w:pos="288"/>
                <w:tab w:val="left" w:pos="576"/>
                <w:tab w:val="left" w:pos="864"/>
                <w:tab w:val="left" w:pos="1152"/>
              </w:tabs>
              <w:spacing w:before="1" w:after="1" w:line="380" w:lineRule="exact"/>
              <w:ind w:left="72" w:right="72"/>
              <w:rPr>
                <w:rFonts w:hint="cs"/>
                <w:sz w:val="26"/>
                <w:szCs w:val="26"/>
                <w:rtl/>
                <w:lang w:bidi="ar-EG"/>
              </w:rPr>
            </w:pPr>
          </w:p>
        </w:tc>
      </w:tr>
      <w:tr w:rsidR="00971AE2" w:rsidRPr="00DD12F3">
        <w:tblPrEx>
          <w:tblCellMar>
            <w:top w:w="0" w:type="dxa"/>
            <w:bottom w:w="0" w:type="dxa"/>
          </w:tblCellMar>
        </w:tblPrEx>
        <w:trPr>
          <w:cantSplit/>
        </w:trPr>
        <w:tc>
          <w:tcPr>
            <w:tcW w:w="1442" w:type="dxa"/>
          </w:tcPr>
          <w:p w:rsidR="00971AE2" w:rsidRPr="00DD12F3" w:rsidRDefault="00971AE2" w:rsidP="00971AE2">
            <w:pPr>
              <w:tabs>
                <w:tab w:val="left" w:pos="288"/>
                <w:tab w:val="left" w:pos="576"/>
                <w:tab w:val="left" w:pos="864"/>
                <w:tab w:val="left" w:pos="1152"/>
              </w:tabs>
              <w:spacing w:before="1" w:after="1" w:line="380" w:lineRule="exact"/>
              <w:ind w:left="72" w:right="72"/>
              <w:rPr>
                <w:rFonts w:hint="cs"/>
                <w:sz w:val="26"/>
                <w:szCs w:val="26"/>
                <w:rtl/>
                <w:lang w:bidi="ar-EG"/>
              </w:rPr>
            </w:pPr>
            <w:r w:rsidRPr="00DD12F3">
              <w:rPr>
                <w:rFonts w:hint="cs"/>
                <w:sz w:val="26"/>
                <w:szCs w:val="26"/>
                <w:rtl/>
                <w:lang w:bidi="ar-EG"/>
              </w:rPr>
              <w:t>6401500310</w:t>
            </w:r>
          </w:p>
        </w:tc>
        <w:tc>
          <w:tcPr>
            <w:tcW w:w="2575" w:type="dxa"/>
          </w:tcPr>
          <w:p w:rsidR="00971AE2" w:rsidRPr="00DD12F3" w:rsidRDefault="00971AE2" w:rsidP="00F348C6">
            <w:pPr>
              <w:tabs>
                <w:tab w:val="left" w:pos="288"/>
                <w:tab w:val="left" w:pos="576"/>
                <w:tab w:val="left" w:pos="864"/>
                <w:tab w:val="left" w:pos="1152"/>
              </w:tabs>
              <w:spacing w:before="1" w:after="1" w:line="380" w:lineRule="exact"/>
              <w:ind w:left="72" w:right="72"/>
              <w:jc w:val="lowKashida"/>
              <w:rPr>
                <w:rFonts w:hint="cs"/>
                <w:sz w:val="26"/>
                <w:szCs w:val="26"/>
                <w:rtl/>
                <w:lang w:bidi="ar-EG"/>
              </w:rPr>
            </w:pPr>
            <w:r w:rsidRPr="00DD12F3">
              <w:rPr>
                <w:rFonts w:hint="cs"/>
                <w:sz w:val="26"/>
                <w:szCs w:val="26"/>
                <w:rtl/>
                <w:lang w:bidi="ar-EG"/>
              </w:rPr>
              <w:t>تنفيذ برنامج الدعم المتكامل لرئيسات الأسر</w:t>
            </w:r>
          </w:p>
        </w:tc>
        <w:tc>
          <w:tcPr>
            <w:tcW w:w="1854" w:type="dxa"/>
          </w:tcPr>
          <w:p w:rsidR="00971AE2" w:rsidRPr="00DD12F3" w:rsidRDefault="00971AE2" w:rsidP="00971AE2">
            <w:pPr>
              <w:tabs>
                <w:tab w:val="left" w:pos="288"/>
                <w:tab w:val="left" w:pos="576"/>
                <w:tab w:val="left" w:pos="864"/>
                <w:tab w:val="left" w:pos="1152"/>
              </w:tabs>
              <w:spacing w:before="1" w:after="1" w:line="380" w:lineRule="exact"/>
              <w:ind w:left="72" w:right="72"/>
              <w:rPr>
                <w:rFonts w:hint="cs"/>
                <w:sz w:val="26"/>
                <w:szCs w:val="26"/>
                <w:rtl/>
                <w:lang w:bidi="ar-EG"/>
              </w:rPr>
            </w:pPr>
            <w:r w:rsidRPr="00DD12F3">
              <w:rPr>
                <w:rFonts w:hint="cs"/>
                <w:sz w:val="26"/>
                <w:szCs w:val="26"/>
                <w:rtl/>
                <w:lang w:bidi="ar-EG"/>
              </w:rPr>
              <w:t>000 000 000 2</w:t>
            </w:r>
          </w:p>
        </w:tc>
        <w:tc>
          <w:tcPr>
            <w:tcW w:w="1751" w:type="dxa"/>
          </w:tcPr>
          <w:p w:rsidR="00971AE2" w:rsidRPr="00DD12F3" w:rsidRDefault="00971AE2" w:rsidP="00971AE2">
            <w:pPr>
              <w:tabs>
                <w:tab w:val="left" w:pos="288"/>
                <w:tab w:val="left" w:pos="576"/>
                <w:tab w:val="left" w:pos="864"/>
                <w:tab w:val="left" w:pos="1152"/>
              </w:tabs>
              <w:spacing w:before="1" w:after="1" w:line="380" w:lineRule="exact"/>
              <w:ind w:left="72" w:right="72"/>
              <w:rPr>
                <w:rFonts w:hint="cs"/>
                <w:sz w:val="26"/>
                <w:szCs w:val="26"/>
                <w:rtl/>
                <w:lang w:bidi="ar-EG"/>
              </w:rPr>
            </w:pPr>
            <w:r w:rsidRPr="00DD12F3">
              <w:rPr>
                <w:rFonts w:hint="cs"/>
                <w:sz w:val="26"/>
                <w:szCs w:val="26"/>
                <w:rtl/>
                <w:lang w:bidi="ar-EG"/>
              </w:rPr>
              <w:t>000 000 000 2</w:t>
            </w:r>
          </w:p>
        </w:tc>
      </w:tr>
      <w:tr w:rsidR="00971AE2" w:rsidRPr="00DD12F3">
        <w:tblPrEx>
          <w:tblCellMar>
            <w:top w:w="0" w:type="dxa"/>
            <w:bottom w:w="0" w:type="dxa"/>
          </w:tblCellMar>
        </w:tblPrEx>
        <w:trPr>
          <w:cantSplit/>
        </w:trPr>
        <w:tc>
          <w:tcPr>
            <w:tcW w:w="1442" w:type="dxa"/>
            <w:tcBorders>
              <w:top w:val="single" w:sz="4" w:space="0" w:color="auto"/>
              <w:bottom w:val="single" w:sz="12" w:space="0" w:color="auto"/>
            </w:tcBorders>
          </w:tcPr>
          <w:p w:rsidR="00971AE2" w:rsidRPr="00DD12F3" w:rsidRDefault="00971AE2" w:rsidP="00971AE2">
            <w:pPr>
              <w:tabs>
                <w:tab w:val="left" w:pos="288"/>
                <w:tab w:val="left" w:pos="576"/>
                <w:tab w:val="left" w:pos="864"/>
                <w:tab w:val="left" w:pos="1152"/>
              </w:tabs>
              <w:spacing w:before="1" w:after="1" w:line="380" w:lineRule="exact"/>
              <w:ind w:left="72" w:right="72"/>
              <w:rPr>
                <w:rFonts w:hint="cs"/>
                <w:bCs/>
                <w:sz w:val="26"/>
                <w:szCs w:val="26"/>
                <w:rtl/>
                <w:lang w:bidi="ar-EG"/>
              </w:rPr>
            </w:pPr>
          </w:p>
        </w:tc>
        <w:tc>
          <w:tcPr>
            <w:tcW w:w="2575" w:type="dxa"/>
            <w:tcBorders>
              <w:top w:val="single" w:sz="4" w:space="0" w:color="auto"/>
              <w:bottom w:val="single" w:sz="12" w:space="0" w:color="auto"/>
            </w:tcBorders>
          </w:tcPr>
          <w:p w:rsidR="00971AE2" w:rsidRPr="00DD12F3" w:rsidRDefault="00971AE2" w:rsidP="00F348C6">
            <w:pPr>
              <w:tabs>
                <w:tab w:val="left" w:pos="288"/>
                <w:tab w:val="left" w:pos="576"/>
                <w:tab w:val="left" w:pos="864"/>
                <w:tab w:val="left" w:pos="1152"/>
              </w:tabs>
              <w:spacing w:before="1" w:after="1" w:line="380" w:lineRule="exact"/>
              <w:ind w:left="72" w:right="72"/>
              <w:jc w:val="lowKashida"/>
              <w:rPr>
                <w:rFonts w:hint="cs"/>
                <w:bCs/>
                <w:sz w:val="26"/>
                <w:szCs w:val="26"/>
                <w:rtl/>
                <w:lang w:bidi="ar-EG"/>
              </w:rPr>
            </w:pPr>
            <w:r w:rsidRPr="00DD12F3">
              <w:rPr>
                <w:rFonts w:hint="cs"/>
                <w:bCs/>
                <w:sz w:val="26"/>
                <w:szCs w:val="26"/>
                <w:rtl/>
                <w:lang w:bidi="ar-EG"/>
              </w:rPr>
              <w:t xml:space="preserve">المجموع الفرعي </w:t>
            </w:r>
            <w:r w:rsidRPr="00DD12F3">
              <w:rPr>
                <w:rFonts w:hint="cs"/>
                <w:sz w:val="26"/>
                <w:szCs w:val="26"/>
                <w:rtl/>
                <w:lang w:bidi="ar-EG"/>
              </w:rPr>
              <w:t>للهيئة الاستشارية لرئيس الجمهورية فيما يتعلق بالمساواة بين الرجل والمرأة</w:t>
            </w:r>
          </w:p>
        </w:tc>
        <w:tc>
          <w:tcPr>
            <w:tcW w:w="1854" w:type="dxa"/>
            <w:tcBorders>
              <w:top w:val="single" w:sz="4" w:space="0" w:color="auto"/>
              <w:bottom w:val="single" w:sz="12" w:space="0" w:color="auto"/>
            </w:tcBorders>
          </w:tcPr>
          <w:p w:rsidR="00971AE2" w:rsidRPr="00DD12F3" w:rsidRDefault="00971AE2" w:rsidP="00971AE2">
            <w:pPr>
              <w:tabs>
                <w:tab w:val="left" w:pos="288"/>
                <w:tab w:val="left" w:pos="576"/>
                <w:tab w:val="left" w:pos="864"/>
                <w:tab w:val="left" w:pos="1152"/>
              </w:tabs>
              <w:spacing w:before="1" w:after="1" w:line="380" w:lineRule="exact"/>
              <w:ind w:left="72" w:right="72"/>
              <w:rPr>
                <w:rFonts w:hint="cs"/>
                <w:bCs/>
                <w:sz w:val="26"/>
                <w:szCs w:val="26"/>
                <w:rtl/>
                <w:lang w:bidi="ar-EG"/>
              </w:rPr>
            </w:pPr>
            <w:r w:rsidRPr="00DD12F3">
              <w:rPr>
                <w:rFonts w:hint="cs"/>
                <w:bCs/>
                <w:sz w:val="26"/>
                <w:szCs w:val="26"/>
                <w:rtl/>
                <w:lang w:bidi="ar-EG"/>
              </w:rPr>
              <w:t>000 000 000 2</w:t>
            </w:r>
          </w:p>
        </w:tc>
        <w:tc>
          <w:tcPr>
            <w:tcW w:w="1751" w:type="dxa"/>
            <w:tcBorders>
              <w:top w:val="single" w:sz="4" w:space="0" w:color="auto"/>
              <w:bottom w:val="single" w:sz="12" w:space="0" w:color="auto"/>
            </w:tcBorders>
          </w:tcPr>
          <w:p w:rsidR="00971AE2" w:rsidRPr="00DD12F3" w:rsidRDefault="00971AE2" w:rsidP="00971AE2">
            <w:pPr>
              <w:tabs>
                <w:tab w:val="left" w:pos="288"/>
                <w:tab w:val="left" w:pos="576"/>
                <w:tab w:val="left" w:pos="864"/>
                <w:tab w:val="left" w:pos="1152"/>
              </w:tabs>
              <w:spacing w:before="1" w:after="1" w:line="380" w:lineRule="exact"/>
              <w:ind w:left="72" w:right="72"/>
              <w:rPr>
                <w:rFonts w:hint="cs"/>
                <w:bCs/>
                <w:sz w:val="26"/>
                <w:szCs w:val="26"/>
                <w:rtl/>
                <w:lang w:bidi="ar-EG"/>
              </w:rPr>
            </w:pPr>
            <w:r w:rsidRPr="00DD12F3">
              <w:rPr>
                <w:rFonts w:hint="cs"/>
                <w:bCs/>
                <w:sz w:val="26"/>
                <w:szCs w:val="26"/>
                <w:rtl/>
                <w:lang w:bidi="ar-EG"/>
              </w:rPr>
              <w:t>000 000 000 2</w:t>
            </w:r>
          </w:p>
        </w:tc>
      </w:tr>
    </w:tbl>
    <w:p w:rsidR="00ED55AF" w:rsidRPr="00ED55AF" w:rsidRDefault="00ED55AF" w:rsidP="00ED55AF">
      <w:pPr>
        <w:pStyle w:val="SingleTxt"/>
        <w:spacing w:after="0" w:line="120" w:lineRule="exact"/>
        <w:ind w:left="72" w:right="72"/>
        <w:jc w:val="both"/>
        <w:rPr>
          <w:sz w:val="10"/>
          <w:szCs w:val="26"/>
          <w:rtl/>
          <w:lang w:bidi="ar-EG"/>
        </w:rPr>
      </w:pPr>
    </w:p>
    <w:p w:rsidR="00971AE2" w:rsidRDefault="00ED55AF" w:rsidP="00971AE2">
      <w:pPr>
        <w:pStyle w:val="SingleTxt"/>
        <w:spacing w:before="1" w:after="1" w:line="380" w:lineRule="exact"/>
        <w:ind w:left="72" w:right="72"/>
        <w:jc w:val="both"/>
        <w:rPr>
          <w:rFonts w:hint="cs"/>
          <w:b/>
          <w:bCs/>
          <w:rtl/>
          <w:lang w:bidi="ar-EG"/>
        </w:rPr>
      </w:pPr>
      <w:r>
        <w:rPr>
          <w:rFonts w:hint="cs"/>
          <w:b/>
          <w:bCs/>
          <w:rtl/>
          <w:lang w:bidi="ar-EG"/>
        </w:rPr>
        <w:tab/>
      </w:r>
      <w:r w:rsidR="00971AE2">
        <w:rPr>
          <w:rFonts w:hint="cs"/>
          <w:b/>
          <w:bCs/>
          <w:rtl/>
          <w:lang w:bidi="ar-EG"/>
        </w:rPr>
        <w:t>السنة المالية 2002</w:t>
      </w:r>
    </w:p>
    <w:p w:rsidR="00ED55AF" w:rsidRPr="00ED55AF" w:rsidRDefault="00ED55AF" w:rsidP="00ED55AF">
      <w:pPr>
        <w:pStyle w:val="SingleTxt"/>
        <w:spacing w:after="0" w:line="120" w:lineRule="exact"/>
        <w:ind w:left="72" w:right="72"/>
        <w:jc w:val="both"/>
        <w:rPr>
          <w:rFonts w:hint="cs"/>
          <w:b/>
          <w:b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270"/>
        <w:gridCol w:w="2781"/>
        <w:gridCol w:w="1648"/>
        <w:gridCol w:w="1621"/>
      </w:tblGrid>
      <w:tr w:rsidR="00971AE2" w:rsidRPr="00ED55AF">
        <w:tblPrEx>
          <w:tblCellMar>
            <w:top w:w="0" w:type="dxa"/>
            <w:bottom w:w="0" w:type="dxa"/>
          </w:tblCellMar>
        </w:tblPrEx>
        <w:trPr>
          <w:cantSplit/>
          <w:tblHeader/>
        </w:trPr>
        <w:tc>
          <w:tcPr>
            <w:tcW w:w="1270"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القانون</w:t>
            </w:r>
          </w:p>
        </w:tc>
        <w:tc>
          <w:tcPr>
            <w:tcW w:w="2781"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الموضوع</w:t>
            </w:r>
          </w:p>
        </w:tc>
        <w:tc>
          <w:tcPr>
            <w:tcW w:w="1648"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الاعتماد النهائي</w:t>
            </w:r>
          </w:p>
        </w:tc>
        <w:tc>
          <w:tcPr>
            <w:tcW w:w="1621"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الالتزامات النهائية في 31/12/2002</w:t>
            </w:r>
          </w:p>
        </w:tc>
      </w:tr>
      <w:tr w:rsidR="00971AE2" w:rsidRPr="00ED55AF">
        <w:tblPrEx>
          <w:tblCellMar>
            <w:top w:w="0" w:type="dxa"/>
            <w:bottom w:w="0" w:type="dxa"/>
          </w:tblCellMar>
        </w:tblPrEx>
        <w:trPr>
          <w:cantSplit/>
          <w:trHeight w:hRule="exact" w:val="115"/>
          <w:tblHeader/>
        </w:trPr>
        <w:tc>
          <w:tcPr>
            <w:tcW w:w="1270"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2781"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1648"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1621"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r>
      <w:tr w:rsidR="00971AE2" w:rsidRPr="00ED55AF">
        <w:tblPrEx>
          <w:tblCellMar>
            <w:top w:w="0" w:type="dxa"/>
            <w:bottom w:w="0" w:type="dxa"/>
          </w:tblCellMar>
        </w:tblPrEx>
        <w:trPr>
          <w:cantSplit/>
        </w:trPr>
        <w:tc>
          <w:tcPr>
            <w:tcW w:w="1270"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6401500310</w:t>
            </w:r>
          </w:p>
        </w:tc>
        <w:tc>
          <w:tcPr>
            <w:tcW w:w="2781" w:type="dxa"/>
          </w:tcPr>
          <w:p w:rsidR="00971AE2" w:rsidRPr="00ED55AF" w:rsidRDefault="00971AE2" w:rsidP="00F348C6">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D55AF">
              <w:rPr>
                <w:rFonts w:hint="cs"/>
                <w:sz w:val="24"/>
                <w:szCs w:val="24"/>
                <w:rtl/>
                <w:lang w:bidi="ar-EG"/>
              </w:rPr>
              <w:t>تنفيذ برنامج الدعم المتكامل لرئيسات الأسر</w:t>
            </w:r>
          </w:p>
        </w:tc>
        <w:tc>
          <w:tcPr>
            <w:tcW w:w="1648"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000 052 223 2</w:t>
            </w:r>
          </w:p>
        </w:tc>
        <w:tc>
          <w:tcPr>
            <w:tcW w:w="1621"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000 052 223 2</w:t>
            </w:r>
          </w:p>
        </w:tc>
      </w:tr>
      <w:tr w:rsidR="00971AE2" w:rsidRPr="00ED55AF">
        <w:tblPrEx>
          <w:tblCellMar>
            <w:top w:w="0" w:type="dxa"/>
            <w:bottom w:w="0" w:type="dxa"/>
          </w:tblCellMar>
        </w:tblPrEx>
        <w:trPr>
          <w:cantSplit/>
        </w:trPr>
        <w:tc>
          <w:tcPr>
            <w:tcW w:w="1270" w:type="dxa"/>
            <w:tcBorders>
              <w:top w:val="single" w:sz="4" w:space="0" w:color="auto"/>
              <w:bottom w:val="single" w:sz="12" w:space="0" w:color="auto"/>
            </w:tcBorders>
          </w:tcPr>
          <w:p w:rsidR="00971AE2" w:rsidRPr="00ED55AF" w:rsidRDefault="00971AE2" w:rsidP="00971AE2">
            <w:pPr>
              <w:tabs>
                <w:tab w:val="left" w:pos="288"/>
                <w:tab w:val="left" w:pos="576"/>
                <w:tab w:val="left" w:pos="864"/>
                <w:tab w:val="left" w:pos="1152"/>
              </w:tabs>
              <w:spacing w:before="1" w:after="1" w:line="380" w:lineRule="exact"/>
              <w:ind w:left="72" w:right="72"/>
              <w:rPr>
                <w:rFonts w:hint="cs"/>
                <w:bCs/>
                <w:sz w:val="24"/>
                <w:szCs w:val="24"/>
                <w:rtl/>
                <w:lang w:bidi="ar-EG"/>
              </w:rPr>
            </w:pPr>
          </w:p>
        </w:tc>
        <w:tc>
          <w:tcPr>
            <w:tcW w:w="2781" w:type="dxa"/>
            <w:tcBorders>
              <w:top w:val="single" w:sz="4" w:space="0" w:color="auto"/>
              <w:bottom w:val="single" w:sz="12" w:space="0" w:color="auto"/>
            </w:tcBorders>
          </w:tcPr>
          <w:p w:rsidR="00971AE2" w:rsidRPr="00ED55AF" w:rsidRDefault="00971AE2" w:rsidP="00F348C6">
            <w:pPr>
              <w:tabs>
                <w:tab w:val="left" w:pos="288"/>
                <w:tab w:val="left" w:pos="576"/>
                <w:tab w:val="left" w:pos="864"/>
                <w:tab w:val="left" w:pos="1152"/>
              </w:tabs>
              <w:spacing w:before="1" w:after="1" w:line="380" w:lineRule="exact"/>
              <w:ind w:left="72" w:right="72"/>
              <w:jc w:val="lowKashida"/>
              <w:rPr>
                <w:rFonts w:hint="cs"/>
                <w:bCs/>
                <w:sz w:val="24"/>
                <w:szCs w:val="24"/>
                <w:rtl/>
                <w:lang w:bidi="ar-EG"/>
              </w:rPr>
            </w:pPr>
            <w:r w:rsidRPr="00ED55AF">
              <w:rPr>
                <w:rFonts w:hint="cs"/>
                <w:bCs/>
                <w:sz w:val="24"/>
                <w:szCs w:val="24"/>
                <w:rtl/>
                <w:lang w:bidi="ar-EG"/>
              </w:rPr>
              <w:t xml:space="preserve">المجموع الفرعي </w:t>
            </w:r>
            <w:r w:rsidRPr="00ED55AF">
              <w:rPr>
                <w:rFonts w:hint="cs"/>
                <w:sz w:val="24"/>
                <w:szCs w:val="24"/>
                <w:rtl/>
                <w:lang w:bidi="ar-EG"/>
              </w:rPr>
              <w:t>للهيئة الاستشارية لرئيس الجمهورية فيما يتعلق بالمساواة بين الرجل والمرأة</w:t>
            </w:r>
          </w:p>
        </w:tc>
        <w:tc>
          <w:tcPr>
            <w:tcW w:w="1648" w:type="dxa"/>
            <w:tcBorders>
              <w:top w:val="single" w:sz="4" w:space="0" w:color="auto"/>
              <w:bottom w:val="single" w:sz="12" w:space="0" w:color="auto"/>
            </w:tcBorders>
          </w:tcPr>
          <w:p w:rsidR="00971AE2" w:rsidRPr="00ED55AF" w:rsidRDefault="00971AE2" w:rsidP="00971AE2">
            <w:pPr>
              <w:tabs>
                <w:tab w:val="left" w:pos="288"/>
                <w:tab w:val="left" w:pos="576"/>
                <w:tab w:val="left" w:pos="864"/>
                <w:tab w:val="left" w:pos="1152"/>
              </w:tabs>
              <w:spacing w:before="1" w:after="1" w:line="380" w:lineRule="exact"/>
              <w:ind w:left="72" w:right="72"/>
              <w:rPr>
                <w:rFonts w:hint="cs"/>
                <w:bCs/>
                <w:sz w:val="24"/>
                <w:szCs w:val="24"/>
                <w:rtl/>
                <w:lang w:bidi="ar-EG"/>
              </w:rPr>
            </w:pPr>
            <w:r w:rsidRPr="00ED55AF">
              <w:rPr>
                <w:rFonts w:hint="cs"/>
                <w:bCs/>
                <w:sz w:val="24"/>
                <w:szCs w:val="24"/>
                <w:rtl/>
                <w:lang w:bidi="ar-EG"/>
              </w:rPr>
              <w:t>000 052 223 2</w:t>
            </w:r>
          </w:p>
        </w:tc>
        <w:tc>
          <w:tcPr>
            <w:tcW w:w="1621" w:type="dxa"/>
            <w:tcBorders>
              <w:top w:val="single" w:sz="4" w:space="0" w:color="auto"/>
              <w:bottom w:val="single" w:sz="12" w:space="0" w:color="auto"/>
            </w:tcBorders>
          </w:tcPr>
          <w:p w:rsidR="00971AE2" w:rsidRPr="00ED55AF" w:rsidRDefault="00971AE2" w:rsidP="00971AE2">
            <w:pPr>
              <w:tabs>
                <w:tab w:val="left" w:pos="288"/>
                <w:tab w:val="left" w:pos="576"/>
                <w:tab w:val="left" w:pos="864"/>
                <w:tab w:val="left" w:pos="1152"/>
              </w:tabs>
              <w:spacing w:before="1" w:after="1" w:line="380" w:lineRule="exact"/>
              <w:ind w:left="72" w:right="72"/>
              <w:rPr>
                <w:rFonts w:hint="cs"/>
                <w:bCs/>
                <w:sz w:val="24"/>
                <w:szCs w:val="24"/>
                <w:rtl/>
                <w:lang w:bidi="ar-EG"/>
              </w:rPr>
            </w:pPr>
            <w:r w:rsidRPr="00ED55AF">
              <w:rPr>
                <w:rFonts w:hint="cs"/>
                <w:bCs/>
                <w:sz w:val="24"/>
                <w:szCs w:val="24"/>
                <w:rtl/>
                <w:lang w:bidi="ar-EG"/>
              </w:rPr>
              <w:t>000 052 223 2</w:t>
            </w:r>
          </w:p>
        </w:tc>
      </w:tr>
    </w:tbl>
    <w:p w:rsidR="00971AE2" w:rsidRPr="00ED55AF" w:rsidRDefault="00971AE2" w:rsidP="00ED55AF">
      <w:pPr>
        <w:pStyle w:val="SingleTxt"/>
        <w:ind w:left="1930" w:hanging="663"/>
        <w:rPr>
          <w:sz w:val="26"/>
          <w:szCs w:val="26"/>
          <w:rtl/>
          <w:lang w:bidi="ar-EG"/>
        </w:rPr>
      </w:pPr>
      <w:r w:rsidRPr="00ED55AF">
        <w:rPr>
          <w:rFonts w:hint="cs"/>
          <w:b/>
          <w:bCs/>
          <w:sz w:val="26"/>
          <w:szCs w:val="26"/>
          <w:rtl/>
          <w:lang w:bidi="ar-EG"/>
        </w:rPr>
        <w:t>ملاحظة</w:t>
      </w:r>
      <w:r w:rsidRPr="00ED55AF">
        <w:rPr>
          <w:rFonts w:hint="cs"/>
          <w:sz w:val="26"/>
          <w:szCs w:val="26"/>
          <w:rtl/>
          <w:lang w:bidi="ar-EG"/>
        </w:rPr>
        <w:t>:</w:t>
      </w:r>
      <w:r w:rsidR="00ED55AF">
        <w:rPr>
          <w:rFonts w:hint="cs"/>
          <w:sz w:val="26"/>
          <w:szCs w:val="26"/>
          <w:rtl/>
          <w:lang w:bidi="ar-EG"/>
        </w:rPr>
        <w:tab/>
      </w:r>
      <w:r w:rsidRPr="00ED55AF">
        <w:rPr>
          <w:rFonts w:hint="cs"/>
          <w:sz w:val="26"/>
          <w:szCs w:val="26"/>
          <w:rtl/>
          <w:lang w:bidi="ar-EG"/>
        </w:rPr>
        <w:t>في السنة المالية 2003 لم ترصد للهيئة الاستشارية لرئيس الجمهورية فيما يتعلق بالمساواة بين الرجل والمرأة موارد لتحقيق المساواة</w:t>
      </w:r>
      <w:r w:rsidR="003D7EB4">
        <w:rPr>
          <w:rFonts w:hint="cs"/>
          <w:sz w:val="26"/>
          <w:szCs w:val="26"/>
          <w:rtl/>
          <w:lang w:bidi="ar-EG"/>
        </w:rPr>
        <w:t>،</w:t>
      </w:r>
    </w:p>
    <w:p w:rsidR="00ED55AF" w:rsidRPr="00ED55AF" w:rsidRDefault="00ED55AF" w:rsidP="00ED55AF">
      <w:pPr>
        <w:pStyle w:val="SingleTxt"/>
        <w:spacing w:after="0" w:line="120" w:lineRule="exact"/>
        <w:rPr>
          <w:rFonts w:hint="cs"/>
          <w:b/>
          <w:bCs/>
          <w:sz w:val="10"/>
          <w:rtl/>
          <w:lang w:bidi="ar-EG"/>
        </w:rPr>
      </w:pPr>
    </w:p>
    <w:p w:rsidR="00ED55AF" w:rsidRPr="00ED55AF" w:rsidRDefault="00ED55AF" w:rsidP="00ED55AF">
      <w:pPr>
        <w:pStyle w:val="SingleTxt"/>
        <w:spacing w:after="0" w:line="120" w:lineRule="exact"/>
        <w:rPr>
          <w:rFonts w:hint="cs"/>
          <w:b/>
          <w:bCs/>
          <w:sz w:val="10"/>
          <w:rtl/>
          <w:lang w:bidi="ar-EG"/>
        </w:rPr>
      </w:pPr>
    </w:p>
    <w:p w:rsidR="00971AE2" w:rsidRDefault="00971AE2" w:rsidP="00971AE2">
      <w:pPr>
        <w:pStyle w:val="SingleTxt"/>
        <w:rPr>
          <w:rFonts w:hint="cs"/>
          <w:b/>
          <w:bCs/>
          <w:rtl/>
          <w:lang w:bidi="ar-EG"/>
        </w:rPr>
      </w:pPr>
      <w:r>
        <w:rPr>
          <w:rFonts w:hint="cs"/>
          <w:b/>
          <w:bCs/>
          <w:rtl/>
          <w:lang w:bidi="ar-EG"/>
        </w:rPr>
        <w:t>السنة المالية 2004</w:t>
      </w:r>
    </w:p>
    <w:tbl>
      <w:tblPr>
        <w:bidiVisual/>
        <w:tblW w:w="0" w:type="auto"/>
        <w:jc w:val="center"/>
        <w:tblLayout w:type="fixed"/>
        <w:tblCellMar>
          <w:left w:w="0" w:type="dxa"/>
          <w:right w:w="0" w:type="dxa"/>
        </w:tblCellMar>
        <w:tblLook w:val="0000" w:firstRow="0" w:lastRow="0" w:firstColumn="0" w:lastColumn="0" w:noHBand="0" w:noVBand="0"/>
      </w:tblPr>
      <w:tblGrid>
        <w:gridCol w:w="1648"/>
        <w:gridCol w:w="2472"/>
        <w:gridCol w:w="1751"/>
        <w:gridCol w:w="1724"/>
      </w:tblGrid>
      <w:tr w:rsidR="00971AE2" w:rsidRPr="00ED55AF">
        <w:tblPrEx>
          <w:tblCellMar>
            <w:top w:w="0" w:type="dxa"/>
            <w:bottom w:w="0" w:type="dxa"/>
          </w:tblCellMar>
        </w:tblPrEx>
        <w:trPr>
          <w:cantSplit/>
          <w:tblHeader/>
          <w:jc w:val="center"/>
        </w:trPr>
        <w:tc>
          <w:tcPr>
            <w:tcW w:w="1648"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القانون</w:t>
            </w:r>
          </w:p>
        </w:tc>
        <w:tc>
          <w:tcPr>
            <w:tcW w:w="2472"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الموضوع</w:t>
            </w:r>
          </w:p>
        </w:tc>
        <w:tc>
          <w:tcPr>
            <w:tcW w:w="1751"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الاعتماد النهائي</w:t>
            </w:r>
          </w:p>
        </w:tc>
        <w:tc>
          <w:tcPr>
            <w:tcW w:w="1724" w:type="dxa"/>
            <w:tcBorders>
              <w:top w:val="single" w:sz="4" w:space="0" w:color="auto"/>
              <w:bottom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D55AF">
              <w:rPr>
                <w:rFonts w:hint="cs"/>
                <w:i/>
                <w:iCs/>
                <w:sz w:val="24"/>
                <w:szCs w:val="24"/>
                <w:rtl/>
                <w:lang w:bidi="ar-EG"/>
              </w:rPr>
              <w:t>الالتزامات النهائية في 31/12/2004</w:t>
            </w:r>
          </w:p>
        </w:tc>
      </w:tr>
      <w:tr w:rsidR="00971AE2" w:rsidRPr="00ED55AF">
        <w:tblPrEx>
          <w:tblCellMar>
            <w:top w:w="0" w:type="dxa"/>
            <w:bottom w:w="0" w:type="dxa"/>
          </w:tblCellMar>
        </w:tblPrEx>
        <w:trPr>
          <w:cantSplit/>
          <w:trHeight w:hRule="exact" w:val="115"/>
          <w:tblHeader/>
          <w:jc w:val="center"/>
        </w:trPr>
        <w:tc>
          <w:tcPr>
            <w:tcW w:w="1648"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2472"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1751"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1724" w:type="dxa"/>
            <w:tcBorders>
              <w:top w:val="single" w:sz="12" w:space="0" w:color="auto"/>
            </w:tcBorders>
            <w:vAlign w:val="bottom"/>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r>
      <w:tr w:rsidR="00971AE2" w:rsidRPr="00ED55AF">
        <w:tblPrEx>
          <w:tblCellMar>
            <w:top w:w="0" w:type="dxa"/>
            <w:bottom w:w="0" w:type="dxa"/>
          </w:tblCellMar>
        </w:tblPrEx>
        <w:trPr>
          <w:cantSplit/>
          <w:jc w:val="center"/>
        </w:trPr>
        <w:tc>
          <w:tcPr>
            <w:tcW w:w="1648"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6401500311</w:t>
            </w:r>
          </w:p>
        </w:tc>
        <w:tc>
          <w:tcPr>
            <w:tcW w:w="2472" w:type="dxa"/>
          </w:tcPr>
          <w:p w:rsidR="00971AE2" w:rsidRPr="00ED55AF" w:rsidRDefault="00971AE2" w:rsidP="00F348C6">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D55AF">
              <w:rPr>
                <w:rFonts w:hint="cs"/>
                <w:sz w:val="24"/>
                <w:szCs w:val="24"/>
                <w:rtl/>
                <w:lang w:bidi="ar-EG"/>
              </w:rPr>
              <w:t>تنفيذ برنامج الدعم المتكامل لرئيسات الأسر</w:t>
            </w:r>
          </w:p>
        </w:tc>
        <w:tc>
          <w:tcPr>
            <w:tcW w:w="1751"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000 000 500</w:t>
            </w:r>
          </w:p>
        </w:tc>
        <w:tc>
          <w:tcPr>
            <w:tcW w:w="1724" w:type="dxa"/>
          </w:tcPr>
          <w:p w:rsidR="00971AE2" w:rsidRPr="00ED55AF"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D55AF">
              <w:rPr>
                <w:rFonts w:hint="cs"/>
                <w:sz w:val="24"/>
                <w:szCs w:val="24"/>
                <w:rtl/>
                <w:lang w:bidi="ar-EG"/>
              </w:rPr>
              <w:t>000 000 500</w:t>
            </w:r>
          </w:p>
        </w:tc>
      </w:tr>
      <w:tr w:rsidR="00971AE2" w:rsidRPr="00ED55AF">
        <w:tblPrEx>
          <w:tblCellMar>
            <w:top w:w="0" w:type="dxa"/>
            <w:bottom w:w="0" w:type="dxa"/>
          </w:tblCellMar>
        </w:tblPrEx>
        <w:trPr>
          <w:cantSplit/>
          <w:jc w:val="center"/>
        </w:trPr>
        <w:tc>
          <w:tcPr>
            <w:tcW w:w="1648" w:type="dxa"/>
            <w:tcBorders>
              <w:top w:val="single" w:sz="4" w:space="0" w:color="auto"/>
              <w:bottom w:val="single" w:sz="12" w:space="0" w:color="auto"/>
            </w:tcBorders>
          </w:tcPr>
          <w:p w:rsidR="00971AE2" w:rsidRPr="00ED55AF" w:rsidRDefault="00971AE2" w:rsidP="00971AE2">
            <w:pPr>
              <w:tabs>
                <w:tab w:val="left" w:pos="288"/>
                <w:tab w:val="left" w:pos="576"/>
                <w:tab w:val="left" w:pos="864"/>
                <w:tab w:val="left" w:pos="1152"/>
              </w:tabs>
              <w:spacing w:before="1" w:after="1" w:line="380" w:lineRule="exact"/>
              <w:ind w:left="72" w:right="72"/>
              <w:rPr>
                <w:rFonts w:hint="cs"/>
                <w:bCs/>
                <w:sz w:val="24"/>
                <w:szCs w:val="24"/>
                <w:rtl/>
                <w:lang w:bidi="ar-EG"/>
              </w:rPr>
            </w:pPr>
          </w:p>
        </w:tc>
        <w:tc>
          <w:tcPr>
            <w:tcW w:w="2472" w:type="dxa"/>
            <w:tcBorders>
              <w:top w:val="single" w:sz="4" w:space="0" w:color="auto"/>
              <w:bottom w:val="single" w:sz="12" w:space="0" w:color="auto"/>
            </w:tcBorders>
          </w:tcPr>
          <w:p w:rsidR="00971AE2" w:rsidRPr="00ED55AF" w:rsidRDefault="00971AE2" w:rsidP="00F348C6">
            <w:pPr>
              <w:tabs>
                <w:tab w:val="left" w:pos="288"/>
                <w:tab w:val="left" w:pos="576"/>
                <w:tab w:val="left" w:pos="864"/>
                <w:tab w:val="left" w:pos="1152"/>
              </w:tabs>
              <w:spacing w:before="1" w:after="1" w:line="380" w:lineRule="exact"/>
              <w:ind w:left="72" w:right="72"/>
              <w:jc w:val="lowKashida"/>
              <w:rPr>
                <w:rFonts w:hint="cs"/>
                <w:bCs/>
                <w:sz w:val="24"/>
                <w:szCs w:val="24"/>
                <w:rtl/>
                <w:lang w:bidi="ar-EG"/>
              </w:rPr>
            </w:pPr>
            <w:r w:rsidRPr="00ED55AF">
              <w:rPr>
                <w:rFonts w:hint="cs"/>
                <w:bCs/>
                <w:sz w:val="24"/>
                <w:szCs w:val="24"/>
                <w:rtl/>
                <w:lang w:bidi="ar-EG"/>
              </w:rPr>
              <w:t>المجموع الفرعي للهيئة</w:t>
            </w:r>
            <w:r w:rsidRPr="00ED55AF">
              <w:rPr>
                <w:rFonts w:hint="cs"/>
                <w:sz w:val="24"/>
                <w:szCs w:val="24"/>
                <w:rtl/>
                <w:lang w:bidi="ar-EG"/>
              </w:rPr>
              <w:t xml:space="preserve"> الاستشارية لرئيس الجمهورية فيما يتعلق بالمساواة بين الرجل والمرأة</w:t>
            </w:r>
          </w:p>
        </w:tc>
        <w:tc>
          <w:tcPr>
            <w:tcW w:w="1751" w:type="dxa"/>
            <w:tcBorders>
              <w:top w:val="single" w:sz="4" w:space="0" w:color="auto"/>
              <w:bottom w:val="single" w:sz="12" w:space="0" w:color="auto"/>
            </w:tcBorders>
          </w:tcPr>
          <w:p w:rsidR="00971AE2" w:rsidRPr="00ED55AF" w:rsidRDefault="00971AE2" w:rsidP="00971AE2">
            <w:pPr>
              <w:tabs>
                <w:tab w:val="left" w:pos="288"/>
                <w:tab w:val="left" w:pos="576"/>
                <w:tab w:val="left" w:pos="864"/>
                <w:tab w:val="left" w:pos="1152"/>
              </w:tabs>
              <w:spacing w:before="1" w:after="1" w:line="380" w:lineRule="exact"/>
              <w:ind w:left="72" w:right="72"/>
              <w:rPr>
                <w:rFonts w:hint="cs"/>
                <w:bCs/>
                <w:sz w:val="24"/>
                <w:szCs w:val="24"/>
                <w:rtl/>
                <w:lang w:bidi="ar-EG"/>
              </w:rPr>
            </w:pPr>
            <w:r w:rsidRPr="00ED55AF">
              <w:rPr>
                <w:rFonts w:hint="cs"/>
                <w:bCs/>
                <w:sz w:val="24"/>
                <w:szCs w:val="24"/>
                <w:rtl/>
                <w:lang w:bidi="ar-EG"/>
              </w:rPr>
              <w:t>000 000 500</w:t>
            </w:r>
          </w:p>
        </w:tc>
        <w:tc>
          <w:tcPr>
            <w:tcW w:w="1724" w:type="dxa"/>
            <w:tcBorders>
              <w:top w:val="single" w:sz="4" w:space="0" w:color="auto"/>
              <w:bottom w:val="single" w:sz="12" w:space="0" w:color="auto"/>
            </w:tcBorders>
          </w:tcPr>
          <w:p w:rsidR="00971AE2" w:rsidRPr="00ED55AF" w:rsidRDefault="00971AE2" w:rsidP="00971AE2">
            <w:pPr>
              <w:tabs>
                <w:tab w:val="left" w:pos="288"/>
                <w:tab w:val="left" w:pos="576"/>
                <w:tab w:val="left" w:pos="864"/>
                <w:tab w:val="left" w:pos="1152"/>
              </w:tabs>
              <w:spacing w:before="1" w:after="1" w:line="380" w:lineRule="exact"/>
              <w:ind w:left="72" w:right="72"/>
              <w:rPr>
                <w:rFonts w:hint="cs"/>
                <w:bCs/>
                <w:sz w:val="24"/>
                <w:szCs w:val="24"/>
                <w:rtl/>
                <w:lang w:bidi="ar-EG"/>
              </w:rPr>
            </w:pPr>
            <w:r w:rsidRPr="00ED55AF">
              <w:rPr>
                <w:rFonts w:hint="cs"/>
                <w:bCs/>
                <w:sz w:val="24"/>
                <w:szCs w:val="24"/>
                <w:rtl/>
                <w:lang w:bidi="ar-EG"/>
              </w:rPr>
              <w:t>000 000 500</w:t>
            </w:r>
          </w:p>
        </w:tc>
      </w:tr>
    </w:tbl>
    <w:p w:rsidR="00640C03" w:rsidRDefault="00971AE2" w:rsidP="00640C03">
      <w:pPr>
        <w:pStyle w:val="SingleTxt"/>
        <w:jc w:val="left"/>
        <w:rPr>
          <w:rFonts w:hint="cs"/>
          <w:rtl/>
          <w:lang w:bidi="ar-EG"/>
        </w:rPr>
      </w:pPr>
      <w:r>
        <w:rPr>
          <w:rFonts w:hint="cs"/>
          <w:b/>
          <w:bCs/>
          <w:sz w:val="24"/>
          <w:rtl/>
          <w:lang w:bidi="ar-EG"/>
        </w:rPr>
        <w:t>المصدر</w:t>
      </w:r>
      <w:r>
        <w:rPr>
          <w:rFonts w:hint="cs"/>
          <w:sz w:val="24"/>
          <w:rtl/>
          <w:lang w:bidi="ar-EG"/>
        </w:rPr>
        <w:t xml:space="preserve">: </w:t>
      </w:r>
      <w:r>
        <w:rPr>
          <w:sz w:val="16"/>
        </w:rPr>
        <w:t>S</w:t>
      </w:r>
      <w:r w:rsidR="003D7EB4">
        <w:rPr>
          <w:sz w:val="16"/>
          <w:rtl/>
        </w:rPr>
        <w:t>،</w:t>
      </w:r>
      <w:r>
        <w:rPr>
          <w:sz w:val="16"/>
        </w:rPr>
        <w:t>I</w:t>
      </w:r>
      <w:r w:rsidR="003D7EB4">
        <w:rPr>
          <w:sz w:val="16"/>
          <w:rtl/>
        </w:rPr>
        <w:t>،</w:t>
      </w:r>
      <w:r>
        <w:rPr>
          <w:sz w:val="16"/>
          <w:lang w:val="fr-FR"/>
        </w:rPr>
        <w:t>V</w:t>
      </w:r>
      <w:r w:rsidR="003D7EB4">
        <w:rPr>
          <w:sz w:val="16"/>
          <w:rtl/>
        </w:rPr>
        <w:t>،</w:t>
      </w:r>
      <w:r>
        <w:rPr>
          <w:sz w:val="16"/>
        </w:rPr>
        <w:t>I</w:t>
      </w:r>
      <w:r w:rsidR="003D7EB4">
        <w:rPr>
          <w:sz w:val="16"/>
          <w:rtl/>
        </w:rPr>
        <w:t>،</w:t>
      </w:r>
      <w:r>
        <w:rPr>
          <w:sz w:val="16"/>
        </w:rPr>
        <w:t>F</w:t>
      </w:r>
      <w:r w:rsidR="003D7EB4">
        <w:rPr>
          <w:sz w:val="16"/>
          <w:rtl/>
        </w:rPr>
        <w:t>،</w:t>
      </w:r>
      <w:r>
        <w:rPr>
          <w:rFonts w:hint="cs"/>
          <w:sz w:val="24"/>
          <w:rtl/>
          <w:lang w:bidi="ar-EG"/>
        </w:rPr>
        <w:t xml:space="preserve"> - بيانات التخطيط</w:t>
      </w:r>
      <w:r w:rsidR="003D7EB4">
        <w:rPr>
          <w:rFonts w:hint="cs"/>
          <w:rtl/>
          <w:lang w:bidi="ar-EG"/>
        </w:rPr>
        <w:t>،</w:t>
      </w:r>
    </w:p>
    <w:p w:rsidR="00971AE2" w:rsidRPr="00640C03" w:rsidRDefault="00971AE2" w:rsidP="00971AE2">
      <w:pPr>
        <w:pStyle w:val="SingleTxt"/>
        <w:rPr>
          <w:rFonts w:hint="cs"/>
          <w:i/>
          <w:iCs/>
          <w:rtl/>
          <w:lang w:bidi="ar-EG"/>
        </w:rPr>
      </w:pPr>
      <w:r w:rsidRPr="00640C03">
        <w:rPr>
          <w:rFonts w:hint="cs"/>
          <w:i/>
          <w:iCs/>
          <w:rtl/>
          <w:lang w:bidi="ar-EG"/>
        </w:rPr>
        <w:t>5 -</w:t>
      </w:r>
      <w:r w:rsidRPr="00640C03">
        <w:rPr>
          <w:rFonts w:hint="cs"/>
          <w:i/>
          <w:iCs/>
          <w:rtl/>
          <w:lang w:bidi="ar-EG"/>
        </w:rPr>
        <w:tab/>
        <w:t>المساعدة التقنية والمالية</w:t>
      </w:r>
    </w:p>
    <w:p w:rsidR="00971AE2" w:rsidRDefault="00971AE2" w:rsidP="00971AE2">
      <w:pPr>
        <w:pStyle w:val="SingleTxt"/>
        <w:rPr>
          <w:rFonts w:hint="cs"/>
          <w:rtl/>
          <w:lang w:bidi="ar-EG"/>
        </w:rPr>
      </w:pPr>
      <w:r>
        <w:rPr>
          <w:rFonts w:hint="cs"/>
          <w:rtl/>
          <w:lang w:bidi="ar-EG"/>
        </w:rPr>
        <w:tab/>
        <w:t>تسهم عدة هيئات في الأعمال التي تقوم بها الهيئة الاستشارية؛</w:t>
      </w:r>
    </w:p>
    <w:p w:rsidR="00971AE2" w:rsidRDefault="00971AE2" w:rsidP="00971AE2">
      <w:pPr>
        <w:pStyle w:val="SingleTxt"/>
        <w:rPr>
          <w:rFonts w:hint="cs"/>
          <w:rtl/>
          <w:lang w:bidi="ar-EG"/>
        </w:rPr>
      </w:pPr>
      <w:r>
        <w:rPr>
          <w:rFonts w:hint="cs"/>
          <w:rtl/>
          <w:lang w:bidi="ar-EG"/>
        </w:rPr>
        <w:tab/>
        <w:t>تقدم وكالات التعاون الدولي مساعدة مالية وتقنية من أجل وضع المشاريع عن طريق التعاقد مع خبراء استشاريين والتبرع بأجهزة والإسهام بموارد على سبيل الهبة</w:t>
      </w:r>
      <w:r w:rsidR="003D7EB4">
        <w:rPr>
          <w:rFonts w:hint="cs"/>
          <w:rtl/>
          <w:lang w:bidi="ar-EG"/>
        </w:rPr>
        <w:t>،</w:t>
      </w:r>
      <w:r>
        <w:rPr>
          <w:rFonts w:hint="cs"/>
          <w:rtl/>
          <w:lang w:bidi="ar-EG"/>
        </w:rPr>
        <w:t xml:space="preserve"> وإدارة الموارد المقدمة على سبيل التعاون الدولي هي إحدى مهام اللجنة الاستشارية وفقا لنص المرسوم رقم 519 لسنة 2003:</w:t>
      </w:r>
    </w:p>
    <w:p w:rsidR="00971AE2" w:rsidRDefault="00971AE2" w:rsidP="00971AE2">
      <w:pPr>
        <w:pStyle w:val="SingleTxt"/>
        <w:rPr>
          <w:rFonts w:hint="cs"/>
          <w:rtl/>
          <w:lang w:bidi="ar-EG"/>
        </w:rPr>
      </w:pPr>
      <w:r>
        <w:rPr>
          <w:rFonts w:hint="cs"/>
          <w:rtl/>
          <w:lang w:bidi="ar-EG"/>
        </w:rPr>
        <w:tab/>
      </w:r>
      <w:r>
        <w:rPr>
          <w:rFonts w:hint="eastAsia"/>
          <w:rtl/>
          <w:lang w:bidi="ar-EG"/>
        </w:rPr>
        <w:t>”توجيه الموارد والأعمال المتأتية من التعاون الدولي لوضع المشاريع الرامية إلى ضمان إدماج البُعد الجنساني ومشاركة المرأة في المجالات الاجتماعية والسياسية والاقتصادية</w:t>
      </w:r>
      <w:r>
        <w:rPr>
          <w:rFonts w:hint="cs"/>
          <w:rtl/>
          <w:lang w:bidi="ar-EG"/>
        </w:rPr>
        <w:t>“</w:t>
      </w:r>
      <w:r w:rsidR="003D7EB4">
        <w:rPr>
          <w:rFonts w:hint="cs"/>
          <w:rtl/>
          <w:lang w:bidi="ar-EG"/>
        </w:rPr>
        <w:t>،</w:t>
      </w:r>
    </w:p>
    <w:p w:rsidR="00971AE2" w:rsidRDefault="00971AE2" w:rsidP="00971AE2">
      <w:pPr>
        <w:pStyle w:val="SingleTxt"/>
        <w:rPr>
          <w:rFonts w:hint="cs"/>
          <w:rtl/>
          <w:lang w:bidi="ar-EG"/>
        </w:rPr>
      </w:pPr>
      <w:r>
        <w:rPr>
          <w:rFonts w:hint="cs"/>
          <w:rtl/>
          <w:lang w:bidi="ar-EG"/>
        </w:rPr>
        <w:tab/>
        <w:t xml:space="preserve">و </w:t>
      </w:r>
      <w:r>
        <w:rPr>
          <w:rFonts w:hint="cs"/>
          <w:rtl/>
        </w:rPr>
        <w:t>الوكالة الكندية للتنمية الدولية ووكالة التعاون الألماني</w:t>
      </w:r>
      <w:r>
        <w:rPr>
          <w:rFonts w:hint="cs"/>
          <w:rtl/>
          <w:lang w:bidi="ar-EG"/>
        </w:rPr>
        <w:t xml:space="preserve"> ومنظمة العمل الدولية ومعهد الأمم المتحدة للنهوض بالمرأة ويرد دعم من وكالات التعاون الدولي، وبصورة رئيسية من برنامج الأمم المتحدة الإنمائي والوكالة الكندية للتنمية الدولية ووكالة التعاون الألماني ومنظمة العمل الدولية ومعهد الأمم المتحدة للنهوض بالمرأة</w:t>
      </w:r>
      <w:r>
        <w:rPr>
          <w:rFonts w:hint="cs"/>
          <w:color w:val="FF0000"/>
          <w:rtl/>
          <w:lang w:bidi="ar-EG"/>
        </w:rPr>
        <w:t xml:space="preserve"> </w:t>
      </w:r>
      <w:r>
        <w:rPr>
          <w:rFonts w:hint="cs"/>
          <w:rtl/>
          <w:lang w:bidi="ar-EG"/>
        </w:rPr>
        <w:t>والوكالة</w:t>
      </w:r>
      <w:r>
        <w:rPr>
          <w:rFonts w:cs="Times New Roman"/>
          <w:szCs w:val="20"/>
          <w:rtl/>
        </w:rPr>
        <w:t>الإسبانية للتعاون الدولي</w:t>
      </w:r>
      <w:r w:rsidR="003D7EB4">
        <w:rPr>
          <w:rFonts w:hint="cs"/>
          <w:rtl/>
          <w:lang w:bidi="ar-EG"/>
        </w:rPr>
        <w:t>،</w:t>
      </w:r>
    </w:p>
    <w:p w:rsidR="00971AE2" w:rsidRDefault="00971AE2" w:rsidP="00971AE2">
      <w:pPr>
        <w:pStyle w:val="SingleTxt"/>
        <w:rPr>
          <w:rFonts w:hint="cs"/>
          <w:rtl/>
          <w:lang w:bidi="ar-EG"/>
        </w:rPr>
      </w:pPr>
      <w:r>
        <w:rPr>
          <w:rFonts w:hint="cs"/>
          <w:rtl/>
          <w:lang w:bidi="ar-EG"/>
        </w:rPr>
        <w:t>6-1</w:t>
      </w:r>
      <w:r>
        <w:rPr>
          <w:rFonts w:hint="cs"/>
          <w:rtl/>
          <w:lang w:bidi="ar-EG"/>
        </w:rPr>
        <w:tab/>
        <w:t>الاتفاقات ومذكرات التفاهم التي وقعتها إدارة التنظيم التابعة لرئيس الجمهورية/ الهيئة الاستشارية لرئيس الجمهورية فيما يتعلق بالمساواة بين الرجل والمرأة من أجل وضع البرامج والأعمال والمشاريع</w:t>
      </w:r>
      <w:r w:rsidR="003D7EB4">
        <w:rPr>
          <w:rFonts w:hint="cs"/>
          <w:rtl/>
          <w:lang w:bidi="ar-EG"/>
        </w:rPr>
        <w:t>،</w:t>
      </w:r>
    </w:p>
    <w:p w:rsidR="00971AE2" w:rsidRDefault="00971AE2" w:rsidP="00971AE2">
      <w:pPr>
        <w:pStyle w:val="SingleTxt"/>
        <w:rPr>
          <w:rFonts w:hint="cs"/>
          <w:rtl/>
          <w:lang w:bidi="ar-EG"/>
        </w:rPr>
      </w:pPr>
      <w:r>
        <w:rPr>
          <w:rFonts w:hint="cs"/>
          <w:rtl/>
          <w:lang w:bidi="ar-EG"/>
        </w:rPr>
        <w:tab/>
        <w:t>في سنة 2003 أُضفيت الصفة الرسمية على الاتفاقات ومذكرات التفاهم التالية الموقعة مع هيئات وطنية ودولية عامة وخاصة</w:t>
      </w:r>
      <w:r w:rsidR="003D7EB4">
        <w:rPr>
          <w:rFonts w:hint="cs"/>
          <w:rtl/>
          <w:lang w:bidi="ar-EG"/>
        </w:rPr>
        <w:t>،</w:t>
      </w:r>
    </w:p>
    <w:p w:rsidR="00971AE2" w:rsidRDefault="00971AE2" w:rsidP="00971AE2">
      <w:pPr>
        <w:pStyle w:val="SingleTxt"/>
        <w:rPr>
          <w:rFonts w:hint="cs"/>
          <w:rtl/>
          <w:lang w:bidi="ar-EG"/>
        </w:rPr>
      </w:pPr>
      <w:r>
        <w:rPr>
          <w:rFonts w:hint="cs"/>
          <w:rtl/>
          <w:lang w:bidi="ar-EG"/>
        </w:rPr>
        <w:t>1-</w:t>
      </w:r>
      <w:r>
        <w:rPr>
          <w:rFonts w:hint="cs"/>
          <w:rtl/>
          <w:lang w:bidi="ar-EG"/>
        </w:rPr>
        <w:tab/>
        <w:t>اتفاق مع برنامج الأمم المتحدة الإنمائي تبلغ قيمته 000 000 422 دولار من أجل التعزيز المؤسسي الذي يشمل عدة أعمال أو أدوات:</w:t>
      </w:r>
    </w:p>
    <w:p w:rsidR="00971AE2" w:rsidRDefault="00971AE2" w:rsidP="00971AE2">
      <w:pPr>
        <w:pStyle w:val="SingleTxt"/>
        <w:rPr>
          <w:rFonts w:hint="cs"/>
          <w:rtl/>
          <w:lang w:bidi="ar-EG"/>
        </w:rPr>
      </w:pPr>
      <w:r>
        <w:rPr>
          <w:rFonts w:hint="cs"/>
          <w:rtl/>
          <w:lang w:bidi="ar-EG"/>
        </w:rPr>
        <w:tab/>
        <w:t xml:space="preserve">مرصد الشؤون الإنسانية، والمحفل الدولي </w:t>
      </w:r>
      <w:r>
        <w:rPr>
          <w:rFonts w:hint="eastAsia"/>
          <w:rtl/>
          <w:lang w:bidi="ar-EG"/>
        </w:rPr>
        <w:t>”المساواة بين الجنسين هي سياسة الدولة</w:t>
      </w:r>
      <w:r>
        <w:rPr>
          <w:rFonts w:hint="cs"/>
          <w:rtl/>
          <w:lang w:bidi="ar-EG"/>
        </w:rPr>
        <w:t xml:space="preserve">“، والعمل مع المناطق، والمنشورات، ومصرف البيانات، والمجلس الاستشاري التقني، ومركز التوفيق والتشاور، والسوق الوطني الأول لصاحبات المؤسسات، وبرنامج التعليم الجنساني والتعددية، ولقاء الكاتبات الكولومبيات </w:t>
      </w:r>
      <w:r>
        <w:rPr>
          <w:rFonts w:hint="eastAsia"/>
          <w:rtl/>
          <w:lang w:bidi="ar-EG"/>
        </w:rPr>
        <w:t>”للنساء أهمية</w:t>
      </w:r>
      <w:r>
        <w:rPr>
          <w:rFonts w:hint="cs"/>
          <w:rtl/>
          <w:lang w:bidi="ar-EG"/>
        </w:rPr>
        <w:t>“</w:t>
      </w:r>
      <w:r w:rsidR="003D7EB4">
        <w:rPr>
          <w:rFonts w:hint="cs"/>
          <w:rtl/>
          <w:lang w:bidi="ar-EG"/>
        </w:rPr>
        <w:t>،</w:t>
      </w:r>
    </w:p>
    <w:p w:rsidR="00971AE2" w:rsidRDefault="00971AE2" w:rsidP="00971AE2">
      <w:pPr>
        <w:pStyle w:val="SingleTxt"/>
        <w:rPr>
          <w:rFonts w:hint="cs"/>
          <w:rtl/>
          <w:lang w:bidi="ar-EG"/>
        </w:rPr>
      </w:pPr>
      <w:r>
        <w:rPr>
          <w:rFonts w:hint="cs"/>
          <w:rtl/>
          <w:lang w:bidi="ar-EG"/>
        </w:rPr>
        <w:t>2 -</w:t>
      </w:r>
      <w:r>
        <w:rPr>
          <w:rFonts w:hint="cs"/>
          <w:rtl/>
          <w:lang w:bidi="ar-EG"/>
        </w:rPr>
        <w:tab/>
        <w:t>اتفاق مع</w:t>
      </w:r>
      <w:r>
        <w:t xml:space="preserve"> </w:t>
      </w:r>
      <w:r>
        <w:rPr>
          <w:rFonts w:hint="cs"/>
          <w:rtl/>
        </w:rPr>
        <w:t>المنظمة الدولية للهجرة</w:t>
      </w:r>
      <w:r>
        <w:rPr>
          <w:rFonts w:hint="cs"/>
          <w:rtl/>
          <w:lang w:bidi="ar-EG"/>
        </w:rPr>
        <w:t xml:space="preserve"> من أجل العمل بصورة مشتركة من أجل منع الاتجار بالأشخاص وبالمهاجرين (يُنتظر تخصيص الموارد)</w:t>
      </w:r>
      <w:r w:rsidR="003D7EB4">
        <w:rPr>
          <w:rFonts w:hint="cs"/>
          <w:rtl/>
          <w:lang w:bidi="ar-EG"/>
        </w:rPr>
        <w:t>،</w:t>
      </w:r>
    </w:p>
    <w:p w:rsidR="00971AE2" w:rsidRDefault="00971AE2" w:rsidP="00971AE2">
      <w:pPr>
        <w:pStyle w:val="SingleTxt"/>
        <w:rPr>
          <w:rFonts w:hint="cs"/>
          <w:rtl/>
          <w:lang w:bidi="ar-EG"/>
        </w:rPr>
      </w:pPr>
      <w:r>
        <w:rPr>
          <w:rFonts w:hint="cs"/>
          <w:rtl/>
          <w:lang w:bidi="ar-EG"/>
        </w:rPr>
        <w:t>3 -</w:t>
      </w:r>
      <w:r>
        <w:rPr>
          <w:rFonts w:hint="cs"/>
          <w:rtl/>
          <w:lang w:bidi="ar-EG"/>
        </w:rPr>
        <w:tab/>
        <w:t>الاتفاق الموقع مع الوكالة الكندية للتنمية الدولية وتبلغ قيمته 000 50 دولار كندي من أجل دعم مرصد الشؤون الجنسانية</w:t>
      </w:r>
      <w:r w:rsidR="003D7EB4">
        <w:rPr>
          <w:rFonts w:hint="cs"/>
          <w:rtl/>
          <w:lang w:bidi="ar-EG"/>
        </w:rPr>
        <w:t>،</w:t>
      </w:r>
    </w:p>
    <w:p w:rsidR="00971AE2" w:rsidRDefault="00971AE2" w:rsidP="00971AE2">
      <w:pPr>
        <w:pStyle w:val="SingleTxt"/>
        <w:rPr>
          <w:rFonts w:hint="cs"/>
          <w:rtl/>
          <w:lang w:bidi="ar-EG"/>
        </w:rPr>
      </w:pPr>
      <w:r>
        <w:rPr>
          <w:rFonts w:hint="cs"/>
          <w:rtl/>
          <w:lang w:bidi="ar-EG"/>
        </w:rPr>
        <w:t>4 -</w:t>
      </w:r>
      <w:r>
        <w:rPr>
          <w:rFonts w:hint="cs"/>
          <w:rtl/>
          <w:lang w:bidi="ar-EG"/>
        </w:rPr>
        <w:tab/>
        <w:t xml:space="preserve">الاتفاق المبرم مع </w:t>
      </w:r>
      <w:r>
        <w:rPr>
          <w:rFonts w:hint="cs"/>
          <w:rtl/>
        </w:rPr>
        <w:t>وكالة التعاون الألماني</w:t>
      </w:r>
      <w:r>
        <w:rPr>
          <w:rFonts w:hint="cs"/>
          <w:rtl/>
          <w:lang w:bidi="ar-EG"/>
        </w:rPr>
        <w:t>/كولومبيا الشابة</w:t>
      </w:r>
      <w:r w:rsidR="003D7EB4">
        <w:rPr>
          <w:rFonts w:hint="cs"/>
          <w:rtl/>
          <w:lang w:bidi="ar-EG"/>
        </w:rPr>
        <w:t>،</w:t>
      </w:r>
      <w:r>
        <w:rPr>
          <w:rFonts w:hint="cs"/>
          <w:rtl/>
          <w:lang w:bidi="ar-EG"/>
        </w:rPr>
        <w:t xml:space="preserve"> مساعدة تقنية لدعم مرصد الشؤون الجنسانية</w:t>
      </w:r>
      <w:r w:rsidR="003D7EB4">
        <w:rPr>
          <w:rFonts w:hint="cs"/>
          <w:rtl/>
          <w:lang w:bidi="ar-EG"/>
        </w:rPr>
        <w:t>،</w:t>
      </w:r>
    </w:p>
    <w:p w:rsidR="00971AE2" w:rsidRDefault="00971AE2" w:rsidP="00971AE2">
      <w:pPr>
        <w:pStyle w:val="SingleTxt"/>
        <w:rPr>
          <w:rFonts w:hint="cs"/>
          <w:rtl/>
          <w:lang w:bidi="ar-EG"/>
        </w:rPr>
      </w:pPr>
      <w:r>
        <w:rPr>
          <w:rFonts w:hint="cs"/>
          <w:rtl/>
          <w:lang w:bidi="ar-EG"/>
        </w:rPr>
        <w:t>5 -</w:t>
      </w:r>
      <w:r>
        <w:rPr>
          <w:rFonts w:hint="cs"/>
          <w:rtl/>
          <w:lang w:bidi="ar-EG"/>
        </w:rPr>
        <w:tab/>
        <w:t xml:space="preserve">الاتفاق المبرم مع </w:t>
      </w:r>
      <w:r>
        <w:rPr>
          <w:rFonts w:hint="cs"/>
          <w:rtl/>
        </w:rPr>
        <w:t>الاتحاد الكولومبي للغرف التجارية</w:t>
      </w:r>
      <w:r>
        <w:rPr>
          <w:rFonts w:hint="cs"/>
          <w:rtl/>
          <w:lang w:bidi="ar-EG"/>
        </w:rPr>
        <w:t xml:space="preserve"> من أجل وضع برنامج </w:t>
      </w:r>
      <w:r>
        <w:rPr>
          <w:rFonts w:hint="eastAsia"/>
          <w:rtl/>
          <w:lang w:bidi="ar-EG"/>
        </w:rPr>
        <w:t>”السوق الوطني الأول لصاحبات المؤسسات</w:t>
      </w:r>
      <w:r>
        <w:rPr>
          <w:rFonts w:hint="cs"/>
          <w:rtl/>
          <w:lang w:bidi="ar-EG"/>
        </w:rPr>
        <w:t>“</w:t>
      </w:r>
      <w:r w:rsidR="003D7EB4">
        <w:rPr>
          <w:rFonts w:hint="cs"/>
          <w:rtl/>
          <w:lang w:bidi="ar-EG"/>
        </w:rPr>
        <w:t>،</w:t>
      </w:r>
    </w:p>
    <w:p w:rsidR="00971AE2" w:rsidRDefault="00971AE2" w:rsidP="00971AE2">
      <w:pPr>
        <w:pStyle w:val="SingleTxt"/>
        <w:rPr>
          <w:rFonts w:hint="cs"/>
          <w:rtl/>
          <w:lang w:bidi="ar-EG"/>
        </w:rPr>
      </w:pPr>
      <w:r>
        <w:rPr>
          <w:rFonts w:hint="cs"/>
          <w:rtl/>
          <w:lang w:bidi="ar-EG"/>
        </w:rPr>
        <w:t>6 -</w:t>
      </w:r>
      <w:r>
        <w:rPr>
          <w:rFonts w:hint="cs"/>
          <w:rtl/>
          <w:lang w:bidi="ar-EG"/>
        </w:rPr>
        <w:tab/>
        <w:t xml:space="preserve">مذكرة التفاهم الموقعة مع معهد الأمم المتحدة للنهوض بالمرأة والوكالة الإقليمية للتنمية وبرنامج الأمم المتحدة الإنمائي من أجل مشروع </w:t>
      </w:r>
      <w:r>
        <w:rPr>
          <w:rFonts w:hint="eastAsia"/>
          <w:rtl/>
          <w:lang w:bidi="ar-EG"/>
        </w:rPr>
        <w:t>”الميزانيات التشاركية المراعية للبُعد الجنساني</w:t>
      </w:r>
      <w:r>
        <w:rPr>
          <w:rFonts w:hint="cs"/>
          <w:rtl/>
          <w:lang w:bidi="ar-EG"/>
        </w:rPr>
        <w:t>“</w:t>
      </w:r>
      <w:r w:rsidR="003D7EB4">
        <w:rPr>
          <w:rFonts w:hint="cs"/>
          <w:rtl/>
          <w:lang w:bidi="ar-EG"/>
        </w:rPr>
        <w:t>،</w:t>
      </w:r>
    </w:p>
    <w:p w:rsidR="00971AE2" w:rsidRDefault="00971AE2" w:rsidP="00971AE2">
      <w:pPr>
        <w:pStyle w:val="SingleTxt"/>
        <w:rPr>
          <w:rFonts w:hint="cs"/>
          <w:rtl/>
          <w:lang w:bidi="ar-EG"/>
        </w:rPr>
      </w:pPr>
      <w:r>
        <w:rPr>
          <w:rFonts w:hint="cs"/>
          <w:rtl/>
          <w:lang w:bidi="ar-EG"/>
        </w:rPr>
        <w:t>7 -</w:t>
      </w:r>
      <w:r>
        <w:rPr>
          <w:rFonts w:hint="cs"/>
          <w:rtl/>
          <w:lang w:bidi="ar-EG"/>
        </w:rPr>
        <w:tab/>
        <w:t>مساعدة تقنية من أجل التدريب وأجهزة مقدمة من منظمة العمل الدولية في إطار البرنامج الخاص لمنظمة العمل الدولية للتعاون التقني من أجل كولومبيا، ولا سيما مشروع منظمة العمل الدولية/</w:t>
      </w:r>
      <w:r>
        <w:rPr>
          <w:rFonts w:hint="cs"/>
          <w:rtl/>
        </w:rPr>
        <w:t>وزارة العمل في الولايات المتحدة</w:t>
      </w:r>
      <w:r>
        <w:rPr>
          <w:rFonts w:hint="cs"/>
          <w:rtl/>
          <w:lang w:bidi="ar-EG"/>
        </w:rPr>
        <w:t xml:space="preserve">، </w:t>
      </w:r>
      <w:r>
        <w:rPr>
          <w:rFonts w:hint="eastAsia"/>
          <w:rtl/>
          <w:lang w:bidi="ar-EG"/>
        </w:rPr>
        <w:t>”</w:t>
      </w:r>
      <w:r>
        <w:rPr>
          <w:rFonts w:hint="cs"/>
          <w:rtl/>
          <w:lang w:bidi="ar-EG"/>
        </w:rPr>
        <w:t>تحسين علاقات العمل وتعزيز المساواة الاقتصادية بين الرجل والمرأة في كولومبيا</w:t>
      </w:r>
      <w:r>
        <w:rPr>
          <w:rFonts w:hint="eastAsia"/>
          <w:rtl/>
          <w:lang w:bidi="ar-EG"/>
        </w:rPr>
        <w:t>“</w:t>
      </w:r>
      <w:r w:rsidR="003D7EB4">
        <w:rPr>
          <w:rFonts w:hint="eastAsia"/>
          <w:rtl/>
          <w:lang w:bidi="ar-EG"/>
        </w:rPr>
        <w:t>،</w:t>
      </w:r>
    </w:p>
    <w:p w:rsidR="00971AE2" w:rsidRDefault="00971AE2" w:rsidP="00971AE2">
      <w:pPr>
        <w:pStyle w:val="SingleTxt"/>
        <w:rPr>
          <w:rFonts w:hint="eastAsia"/>
          <w:rtl/>
          <w:lang w:bidi="ar-EG"/>
        </w:rPr>
      </w:pPr>
      <w:r>
        <w:rPr>
          <w:rFonts w:hint="cs"/>
          <w:rtl/>
          <w:lang w:bidi="ar-EG"/>
        </w:rPr>
        <w:t>8 -</w:t>
      </w:r>
      <w:r>
        <w:rPr>
          <w:rFonts w:hint="cs"/>
          <w:rtl/>
          <w:lang w:bidi="ar-EG"/>
        </w:rPr>
        <w:tab/>
      </w:r>
      <w:r>
        <w:rPr>
          <w:rFonts w:hint="eastAsia"/>
          <w:rtl/>
          <w:lang w:bidi="ar-EG"/>
        </w:rPr>
        <w:t>”</w:t>
      </w:r>
      <w:r>
        <w:rPr>
          <w:rFonts w:hint="cs"/>
          <w:rtl/>
          <w:lang w:bidi="ar-EG"/>
        </w:rPr>
        <w:t>التدابير الإيجابية</w:t>
      </w:r>
      <w:r>
        <w:rPr>
          <w:rFonts w:hint="eastAsia"/>
          <w:rtl/>
          <w:lang w:bidi="ar-EG"/>
        </w:rPr>
        <w:t xml:space="preserve">“ </w:t>
      </w:r>
      <w:r>
        <w:rPr>
          <w:rFonts w:hint="cs"/>
          <w:rtl/>
          <w:lang w:bidi="ar-EG"/>
        </w:rPr>
        <w:t>المعززة</w:t>
      </w:r>
      <w:r>
        <w:rPr>
          <w:rFonts w:hint="eastAsia"/>
          <w:rtl/>
          <w:lang w:bidi="ar-EG"/>
        </w:rPr>
        <w:t xml:space="preserve"> </w:t>
      </w:r>
      <w:r>
        <w:rPr>
          <w:rFonts w:hint="cs"/>
          <w:rtl/>
          <w:lang w:bidi="ar-EG"/>
        </w:rPr>
        <w:t>ل</w:t>
      </w:r>
      <w:r>
        <w:rPr>
          <w:rFonts w:hint="eastAsia"/>
          <w:rtl/>
          <w:lang w:bidi="ar-EG"/>
        </w:rPr>
        <w:t>لمرأة:</w:t>
      </w:r>
    </w:p>
    <w:p w:rsidR="00971AE2" w:rsidRDefault="00971AE2" w:rsidP="00971AE2">
      <w:pPr>
        <w:pStyle w:val="SingleTxt"/>
        <w:rPr>
          <w:rFonts w:hint="cs"/>
          <w:rtl/>
          <w:lang w:bidi="ar-EG"/>
        </w:rPr>
      </w:pPr>
      <w:r>
        <w:rPr>
          <w:rFonts w:hint="cs"/>
          <w:rtl/>
          <w:lang w:bidi="ar-EG"/>
        </w:rPr>
        <w:tab/>
        <w:t xml:space="preserve">فيما يلي أسماء الهيئات الوطنية والدولية، العامة والخاصة، ذات الصلة بـ </w:t>
      </w:r>
      <w:r>
        <w:rPr>
          <w:rFonts w:hint="eastAsia"/>
          <w:rtl/>
          <w:lang w:bidi="ar-EG"/>
        </w:rPr>
        <w:t>”خطة التدابير الإيجابية</w:t>
      </w:r>
      <w:r>
        <w:rPr>
          <w:rFonts w:hint="cs"/>
          <w:rtl/>
          <w:lang w:bidi="ar-EG"/>
        </w:rPr>
        <w:t xml:space="preserve">“ المعززة للمرأة، من أجل تنفيذ </w:t>
      </w:r>
      <w:r>
        <w:rPr>
          <w:rFonts w:hint="eastAsia"/>
          <w:rtl/>
          <w:lang w:bidi="ar-EG"/>
        </w:rPr>
        <w:t>”الاتفاق الوطني للمساواة بين الرجل والمرأة</w:t>
      </w:r>
      <w:r>
        <w:rPr>
          <w:rFonts w:hint="cs"/>
          <w:rtl/>
          <w:lang w:bidi="ar-EG"/>
        </w:rPr>
        <w:t>“</w:t>
      </w:r>
      <w:r w:rsidR="003D7EB4">
        <w:rPr>
          <w:rFonts w:hint="cs"/>
          <w:rtl/>
          <w:lang w:bidi="ar-EG"/>
        </w:rPr>
        <w:t>،</w:t>
      </w:r>
    </w:p>
    <w:p w:rsidR="00B11E4D" w:rsidRPr="00B11E4D" w:rsidRDefault="00B11E4D" w:rsidP="00B11E4D">
      <w:pPr>
        <w:pStyle w:val="SingleTxt"/>
        <w:spacing w:after="0" w:line="120" w:lineRule="exact"/>
        <w:rPr>
          <w:rFonts w:hint="cs"/>
          <w:sz w:val="10"/>
          <w:rtl/>
          <w:lang w:bidi="ar-EG"/>
        </w:rPr>
      </w:pPr>
    </w:p>
    <w:p w:rsidR="00971AE2" w:rsidRDefault="00640C03" w:rsidP="00640C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971AE2">
        <w:rPr>
          <w:rFonts w:hint="cs"/>
          <w:rtl/>
          <w:lang w:bidi="ar-EG"/>
        </w:rPr>
        <w:t>1 -</w:t>
      </w:r>
      <w:r w:rsidR="00971AE2">
        <w:rPr>
          <w:rFonts w:hint="cs"/>
          <w:rtl/>
          <w:lang w:bidi="ar-EG"/>
        </w:rPr>
        <w:tab/>
        <w:t>مجال العمل وتنمية المؤسسات</w:t>
      </w:r>
    </w:p>
    <w:p w:rsidR="00971AE2" w:rsidRDefault="00971AE2" w:rsidP="00971AE2">
      <w:pPr>
        <w:pStyle w:val="SingleTxt"/>
        <w:spacing w:after="0" w:line="120" w:lineRule="exact"/>
        <w:jc w:val="left"/>
        <w:rPr>
          <w:rFonts w:hint="cs"/>
          <w:sz w:val="10"/>
          <w:rtl/>
          <w:lang w:bidi="ar-EG"/>
        </w:rPr>
      </w:pPr>
    </w:p>
    <w:tbl>
      <w:tblPr>
        <w:bidiVisual/>
        <w:tblW w:w="8583" w:type="dxa"/>
        <w:jc w:val="center"/>
        <w:tblLayout w:type="fixed"/>
        <w:tblCellMar>
          <w:left w:w="0" w:type="dxa"/>
          <w:right w:w="0" w:type="dxa"/>
        </w:tblCellMar>
        <w:tblLook w:val="0000" w:firstRow="0" w:lastRow="0" w:firstColumn="0" w:lastColumn="0" w:noHBand="0" w:noVBand="0"/>
      </w:tblPr>
      <w:tblGrid>
        <w:gridCol w:w="3703"/>
        <w:gridCol w:w="2546"/>
        <w:gridCol w:w="2334"/>
      </w:tblGrid>
      <w:tr w:rsidR="00971AE2">
        <w:tblPrEx>
          <w:tblCellMar>
            <w:top w:w="0" w:type="dxa"/>
            <w:bottom w:w="0" w:type="dxa"/>
          </w:tblCellMar>
        </w:tblPrEx>
        <w:trPr>
          <w:cantSplit/>
          <w:tblHeader/>
          <w:jc w:val="center"/>
        </w:trPr>
        <w:tc>
          <w:tcPr>
            <w:tcW w:w="3703" w:type="dxa"/>
            <w:tcBorders>
              <w:top w:val="single" w:sz="4" w:space="0" w:color="auto"/>
              <w:bottom w:val="single" w:sz="12" w:space="0" w:color="auto"/>
            </w:tcBorders>
            <w:vAlign w:val="bottom"/>
          </w:tcPr>
          <w:p w:rsidR="00971AE2" w:rsidRPr="00E95C08"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95C08">
              <w:rPr>
                <w:rFonts w:hint="cs"/>
                <w:i/>
                <w:iCs/>
                <w:sz w:val="24"/>
                <w:szCs w:val="24"/>
                <w:rtl/>
                <w:lang w:bidi="ar-EG"/>
              </w:rPr>
              <w:t>البرنامج</w:t>
            </w:r>
          </w:p>
        </w:tc>
        <w:tc>
          <w:tcPr>
            <w:tcW w:w="2546" w:type="dxa"/>
            <w:tcBorders>
              <w:top w:val="single" w:sz="4" w:space="0" w:color="auto"/>
              <w:bottom w:val="single" w:sz="12" w:space="0" w:color="auto"/>
            </w:tcBorders>
            <w:vAlign w:val="bottom"/>
          </w:tcPr>
          <w:p w:rsidR="00971AE2" w:rsidRPr="00E95C08"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95C08">
              <w:rPr>
                <w:rFonts w:hint="cs"/>
                <w:i/>
                <w:iCs/>
                <w:sz w:val="24"/>
                <w:szCs w:val="24"/>
                <w:rtl/>
                <w:lang w:bidi="ar-EG"/>
              </w:rPr>
              <w:t>الهيئات الملتزمة</w:t>
            </w:r>
          </w:p>
        </w:tc>
        <w:tc>
          <w:tcPr>
            <w:tcW w:w="2334" w:type="dxa"/>
            <w:tcBorders>
              <w:top w:val="single" w:sz="4" w:space="0" w:color="auto"/>
              <w:bottom w:val="single" w:sz="12" w:space="0" w:color="auto"/>
            </w:tcBorders>
            <w:vAlign w:val="bottom"/>
          </w:tcPr>
          <w:p w:rsidR="00971AE2" w:rsidRPr="00E95C08" w:rsidRDefault="00971AE2" w:rsidP="00971AE2">
            <w:pPr>
              <w:tabs>
                <w:tab w:val="left" w:pos="288"/>
                <w:tab w:val="left" w:pos="576"/>
                <w:tab w:val="left" w:pos="864"/>
                <w:tab w:val="left" w:pos="1152"/>
              </w:tabs>
              <w:spacing w:before="1" w:after="1" w:line="380" w:lineRule="exact"/>
              <w:ind w:left="72" w:right="72"/>
              <w:rPr>
                <w:rFonts w:hint="cs"/>
                <w:i/>
                <w:iCs/>
                <w:sz w:val="24"/>
                <w:szCs w:val="24"/>
                <w:rtl/>
                <w:lang w:bidi="ar-EG"/>
              </w:rPr>
            </w:pPr>
            <w:r w:rsidRPr="00E95C08">
              <w:rPr>
                <w:rFonts w:hint="cs"/>
                <w:i/>
                <w:iCs/>
                <w:sz w:val="24"/>
                <w:szCs w:val="24"/>
                <w:rtl/>
                <w:lang w:bidi="ar-EG"/>
              </w:rPr>
              <w:t>التمويل</w:t>
            </w:r>
          </w:p>
        </w:tc>
      </w:tr>
      <w:tr w:rsidR="00971AE2">
        <w:tblPrEx>
          <w:tblCellMar>
            <w:top w:w="0" w:type="dxa"/>
            <w:bottom w:w="0" w:type="dxa"/>
          </w:tblCellMar>
        </w:tblPrEx>
        <w:trPr>
          <w:cantSplit/>
          <w:trHeight w:hRule="exact" w:val="115"/>
          <w:tblHeader/>
          <w:jc w:val="center"/>
        </w:trPr>
        <w:tc>
          <w:tcPr>
            <w:tcW w:w="3703" w:type="dxa"/>
            <w:tcBorders>
              <w:top w:val="single" w:sz="12" w:space="0" w:color="auto"/>
            </w:tcBorders>
            <w:vAlign w:val="bottom"/>
          </w:tcPr>
          <w:p w:rsidR="00971AE2" w:rsidRPr="00E95C08"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2546" w:type="dxa"/>
            <w:tcBorders>
              <w:top w:val="single" w:sz="12" w:space="0" w:color="auto"/>
            </w:tcBorders>
            <w:vAlign w:val="bottom"/>
          </w:tcPr>
          <w:p w:rsidR="00971AE2" w:rsidRPr="00E95C08"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c>
          <w:tcPr>
            <w:tcW w:w="2334" w:type="dxa"/>
            <w:tcBorders>
              <w:top w:val="single" w:sz="12" w:space="0" w:color="auto"/>
            </w:tcBorders>
            <w:vAlign w:val="bottom"/>
          </w:tcPr>
          <w:p w:rsidR="00971AE2" w:rsidRPr="00E95C08"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p>
        </w:tc>
      </w:tr>
      <w:tr w:rsidR="00971AE2">
        <w:tblPrEx>
          <w:tblCellMar>
            <w:top w:w="0" w:type="dxa"/>
            <w:bottom w:w="0" w:type="dxa"/>
          </w:tblCellMar>
        </w:tblPrEx>
        <w:trPr>
          <w:cantSplit/>
          <w:jc w:val="center"/>
        </w:trPr>
        <w:tc>
          <w:tcPr>
            <w:tcW w:w="3703" w:type="dxa"/>
          </w:tcPr>
          <w:p w:rsidR="00971AE2" w:rsidRPr="00E95C08" w:rsidRDefault="00971AE2" w:rsidP="00971AE2">
            <w:pPr>
              <w:tabs>
                <w:tab w:val="left" w:pos="288"/>
                <w:tab w:val="left" w:pos="576"/>
                <w:tab w:val="left" w:pos="864"/>
                <w:tab w:val="left" w:pos="1152"/>
              </w:tabs>
              <w:spacing w:before="1" w:after="1" w:line="380" w:lineRule="exact"/>
              <w:ind w:left="72" w:right="72"/>
              <w:rPr>
                <w:rFonts w:hint="cs"/>
                <w:sz w:val="24"/>
                <w:szCs w:val="24"/>
                <w:rtl/>
                <w:lang w:bidi="ar-EG"/>
              </w:rPr>
            </w:pPr>
            <w:r w:rsidRPr="00E95C08">
              <w:rPr>
                <w:rFonts w:hint="eastAsia"/>
                <w:sz w:val="24"/>
                <w:szCs w:val="24"/>
                <w:rtl/>
                <w:lang w:bidi="ar-EG"/>
              </w:rPr>
              <w:t>”رئيسة الأسرة صاحبة المؤسسة الصغيرة للغاية</w:t>
            </w:r>
            <w:r w:rsidRPr="00E95C08">
              <w:rPr>
                <w:rFonts w:hint="cs"/>
                <w:sz w:val="24"/>
                <w:szCs w:val="24"/>
                <w:rtl/>
                <w:lang w:bidi="ar-EG"/>
              </w:rPr>
              <w:t>“</w:t>
            </w:r>
            <w:r w:rsidR="003D7EB4">
              <w:rPr>
                <w:rFonts w:hint="cs"/>
                <w:sz w:val="24"/>
                <w:szCs w:val="24"/>
                <w:rtl/>
                <w:lang w:bidi="ar-EG"/>
              </w:rPr>
              <w:t>،</w:t>
            </w:r>
          </w:p>
        </w:tc>
        <w:tc>
          <w:tcPr>
            <w:tcW w:w="2546" w:type="dxa"/>
          </w:tcPr>
          <w:p w:rsidR="00971AE2" w:rsidRPr="00E95C08" w:rsidRDefault="00971AE2" w:rsidP="003C2F9E">
            <w:pPr>
              <w:tabs>
                <w:tab w:val="left" w:pos="288"/>
                <w:tab w:val="left" w:pos="576"/>
                <w:tab w:val="left" w:pos="864"/>
                <w:tab w:val="left" w:pos="1152"/>
              </w:tabs>
              <w:spacing w:before="1" w:after="1" w:line="380" w:lineRule="exact"/>
              <w:ind w:left="72" w:right="72"/>
              <w:jc w:val="lowKashida"/>
              <w:rPr>
                <w:rFonts w:hint="cs"/>
                <w:sz w:val="24"/>
                <w:szCs w:val="24"/>
                <w:rtl/>
              </w:rPr>
            </w:pPr>
            <w:r w:rsidRPr="00E95C08">
              <w:rPr>
                <w:rFonts w:hint="cs"/>
                <w:sz w:val="24"/>
                <w:szCs w:val="24"/>
                <w:rtl/>
                <w:lang w:bidi="ar-EG"/>
              </w:rPr>
              <w:t xml:space="preserve">إدارة التنظيم التابعة لرئيس الهيئة  الاستشارية لرئيس الجمهورية فيما يتعلق بالمساواة بين الرجل والمرأة والبنك الزراعي ووزارة الزراعة ووزارة </w:t>
            </w:r>
            <w:r w:rsidRPr="00E95C08">
              <w:rPr>
                <w:rFonts w:hint="cs"/>
                <w:sz w:val="24"/>
                <w:szCs w:val="24"/>
                <w:rtl/>
              </w:rPr>
              <w:t>التجارة ووزارة الصناعة ووزارة السياحة والصندوق الوطني للضمانات وصندوق الضمانات الزراعية والثروة الحيوانية</w:t>
            </w:r>
            <w:r w:rsidR="003D7EB4">
              <w:rPr>
                <w:rFonts w:hint="cs"/>
                <w:sz w:val="24"/>
                <w:szCs w:val="24"/>
                <w:rtl/>
              </w:rPr>
              <w:t>،</w:t>
            </w:r>
          </w:p>
        </w:tc>
        <w:tc>
          <w:tcPr>
            <w:tcW w:w="2334" w:type="dxa"/>
          </w:tcPr>
          <w:p w:rsidR="00971AE2" w:rsidRPr="00E95C08" w:rsidRDefault="00971AE2" w:rsidP="003C2F9E">
            <w:pPr>
              <w:tabs>
                <w:tab w:val="left" w:pos="288"/>
                <w:tab w:val="left" w:pos="576"/>
                <w:tab w:val="left" w:pos="864"/>
                <w:tab w:val="left" w:pos="1152"/>
              </w:tabs>
              <w:spacing w:before="1" w:after="1" w:line="380" w:lineRule="exact"/>
              <w:ind w:left="72" w:right="72"/>
              <w:jc w:val="lowKashida"/>
              <w:rPr>
                <w:rFonts w:hint="cs"/>
                <w:sz w:val="24"/>
                <w:szCs w:val="24"/>
                <w:rtl/>
              </w:rPr>
            </w:pPr>
            <w:r w:rsidRPr="00E95C08">
              <w:rPr>
                <w:rFonts w:hint="cs"/>
                <w:sz w:val="24"/>
                <w:szCs w:val="24"/>
                <w:rtl/>
              </w:rPr>
              <w:t>271 553 643 3 دولارا لإنشاء صندوق يتيح صرف قروض عن طريق البنك الزراعي</w:t>
            </w:r>
            <w:r w:rsidR="003D7EB4">
              <w:rPr>
                <w:rFonts w:hint="cs"/>
                <w:sz w:val="24"/>
                <w:szCs w:val="24"/>
                <w:rtl/>
              </w:rPr>
              <w:t>،</w:t>
            </w:r>
          </w:p>
        </w:tc>
      </w:tr>
      <w:tr w:rsidR="00971AE2">
        <w:tblPrEx>
          <w:tblCellMar>
            <w:top w:w="0" w:type="dxa"/>
            <w:bottom w:w="0" w:type="dxa"/>
          </w:tblCellMar>
        </w:tblPrEx>
        <w:trPr>
          <w:cantSplit/>
          <w:jc w:val="center"/>
        </w:trPr>
        <w:tc>
          <w:tcPr>
            <w:tcW w:w="3703" w:type="dxa"/>
          </w:tcPr>
          <w:p w:rsidR="00971AE2" w:rsidRPr="00E95C08" w:rsidRDefault="00971AE2" w:rsidP="00B11E4D">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95C08">
              <w:rPr>
                <w:rFonts w:hint="eastAsia"/>
                <w:sz w:val="24"/>
                <w:szCs w:val="24"/>
                <w:rtl/>
                <w:lang w:bidi="ar-EG"/>
              </w:rPr>
              <w:t>”السوق الأول لصاحبات المؤسسات الصغيرة للغاية</w:t>
            </w:r>
            <w:r w:rsidRPr="00E95C08">
              <w:rPr>
                <w:rFonts w:hint="cs"/>
                <w:sz w:val="24"/>
                <w:szCs w:val="24"/>
                <w:rtl/>
                <w:lang w:bidi="ar-EG"/>
              </w:rPr>
              <w:t>“</w:t>
            </w:r>
            <w:r w:rsidR="003D7EB4">
              <w:rPr>
                <w:rFonts w:hint="cs"/>
                <w:sz w:val="24"/>
                <w:szCs w:val="24"/>
                <w:rtl/>
                <w:lang w:bidi="ar-EG"/>
              </w:rPr>
              <w:t>،</w:t>
            </w:r>
          </w:p>
        </w:tc>
        <w:tc>
          <w:tcPr>
            <w:tcW w:w="2546" w:type="dxa"/>
          </w:tcPr>
          <w:p w:rsidR="00971AE2" w:rsidRPr="00E95C08" w:rsidRDefault="00971AE2" w:rsidP="003C2F9E">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95C08">
              <w:rPr>
                <w:rFonts w:hint="cs"/>
                <w:sz w:val="24"/>
                <w:szCs w:val="24"/>
                <w:rtl/>
                <w:lang w:bidi="ar-EG"/>
              </w:rPr>
              <w:t xml:space="preserve">الاتحاد الكولومبي للغرف التجارية و </w:t>
            </w:r>
            <w:r w:rsidRPr="00E95C08">
              <w:rPr>
                <w:rFonts w:cs="Times New Roman"/>
                <w:sz w:val="24"/>
                <w:szCs w:val="24"/>
                <w:rtl/>
              </w:rPr>
              <w:t>الدائرة الوطنية للتلمذة الصناعية</w:t>
            </w:r>
            <w:r w:rsidRPr="00E95C08">
              <w:rPr>
                <w:rFonts w:hint="cs"/>
                <w:sz w:val="24"/>
                <w:szCs w:val="24"/>
                <w:rtl/>
                <w:lang w:bidi="ar-EG"/>
              </w:rPr>
              <w:t xml:space="preserve"> والبنك الزراعي صندوق تمويل قطاع الزراعة وتربية الماشية وهيئة ترويج التجارة الاشتراكية لأنتيوكيا والجمهورية وهيئات الحكم المحلي في كساناري وهويلا وبنكولدكس واندوبالما ولابريفيزروا ومؤسسة كورونا ومؤسسة طحن فالييه وانفيا وكمبارتير ومؤسسة النساء الناجحات والكوستو ومؤسسة سان ايسيدورو ومؤسسة كرفاخال وجمعية أزواج وزوجات الدبلوماسيين وافياتور الوكالة الإسبانية للتعاون الدولي والغرف التجارية لأرمينيا وبارانكيليا وبوكارمانغا وكالي وقرطاجنة وايباغه وغواخيرا وكاوكا ومديلين ونيفا وباستو وبيريرا وسنسليخو وتونيا وكولاتا وجمعية التعاون النسائي العالمي - بوكامنغا والمؤسسة العالمية للمرأة - ومديلين والاتحاد الوطني لأصحاب المقاهي ومؤسسة كايسيدو غونسالس ومؤسسة كارفاخال ومؤسسة التقاسم ومؤسسة كورونوا والمؤسسة النسائية العالمية بوبايان وفوندامبريسا ومؤسسة </w:t>
            </w:r>
            <w:r w:rsidRPr="00E95C08">
              <w:rPr>
                <w:sz w:val="24"/>
                <w:szCs w:val="24"/>
              </w:rPr>
              <w:t>WWB-Cali</w:t>
            </w:r>
            <w:r w:rsidRPr="00E95C08">
              <w:rPr>
                <w:rFonts w:hint="cs"/>
                <w:sz w:val="24"/>
                <w:szCs w:val="24"/>
                <w:rtl/>
                <w:lang w:bidi="ar-EG"/>
              </w:rPr>
              <w:t xml:space="preserve"> و </w:t>
            </w:r>
            <w:r w:rsidRPr="00E95C08">
              <w:rPr>
                <w:rFonts w:hint="cs"/>
                <w:sz w:val="24"/>
                <w:szCs w:val="24"/>
                <w:rtl/>
              </w:rPr>
              <w:t>الدائرة الوطنية للتلمذة الصناعية</w:t>
            </w:r>
            <w:r w:rsidRPr="00E95C08">
              <w:rPr>
                <w:rFonts w:hint="cs"/>
                <w:sz w:val="24"/>
                <w:szCs w:val="24"/>
                <w:rtl/>
                <w:lang w:bidi="ar-EG"/>
              </w:rPr>
              <w:t xml:space="preserve"> وكارنا</w:t>
            </w:r>
            <w:r w:rsidR="003D7EB4">
              <w:rPr>
                <w:rFonts w:hint="cs"/>
                <w:sz w:val="24"/>
                <w:szCs w:val="24"/>
                <w:rtl/>
                <w:lang w:bidi="ar-EG"/>
              </w:rPr>
              <w:t>،</w:t>
            </w:r>
          </w:p>
        </w:tc>
        <w:tc>
          <w:tcPr>
            <w:tcW w:w="2334" w:type="dxa"/>
          </w:tcPr>
          <w:p w:rsidR="00971AE2" w:rsidRPr="00E95C08" w:rsidRDefault="00971AE2" w:rsidP="00B11E4D">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95C08">
              <w:rPr>
                <w:rFonts w:hint="cs"/>
                <w:sz w:val="24"/>
                <w:szCs w:val="24"/>
                <w:rtl/>
                <w:lang w:bidi="ar-EG"/>
              </w:rPr>
              <w:t>الاتفاق المشترك بين إدارة التنظيم التابعة لرئيس الجمهورية والاتحاد الكولومبي للغرف التجارية: 320 708 320 دولارا</w:t>
            </w:r>
            <w:r w:rsidR="003D7EB4">
              <w:rPr>
                <w:rFonts w:hint="cs"/>
                <w:sz w:val="24"/>
                <w:szCs w:val="24"/>
                <w:rtl/>
                <w:lang w:bidi="ar-EG"/>
              </w:rPr>
              <w:t>،</w:t>
            </w:r>
          </w:p>
          <w:p w:rsidR="00971AE2" w:rsidRPr="00E95C08" w:rsidRDefault="00971AE2" w:rsidP="00B11E4D">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95C08">
              <w:rPr>
                <w:rFonts w:hint="cs"/>
                <w:sz w:val="24"/>
                <w:szCs w:val="24"/>
                <w:rtl/>
                <w:lang w:bidi="ar-EG"/>
              </w:rPr>
              <w:t>فوميبيمي: 773 177 347 دولارا متشاركتان في المال والمكان</w:t>
            </w:r>
            <w:r w:rsidR="003D7EB4">
              <w:rPr>
                <w:rFonts w:hint="cs"/>
                <w:sz w:val="24"/>
                <w:szCs w:val="24"/>
                <w:rtl/>
                <w:lang w:bidi="ar-EG"/>
              </w:rPr>
              <w:t>،</w:t>
            </w:r>
          </w:p>
        </w:tc>
      </w:tr>
      <w:tr w:rsidR="00971AE2">
        <w:tblPrEx>
          <w:tblCellMar>
            <w:top w:w="0" w:type="dxa"/>
            <w:bottom w:w="0" w:type="dxa"/>
          </w:tblCellMar>
        </w:tblPrEx>
        <w:trPr>
          <w:cantSplit/>
          <w:jc w:val="center"/>
        </w:trPr>
        <w:tc>
          <w:tcPr>
            <w:tcW w:w="3703" w:type="dxa"/>
            <w:tcBorders>
              <w:bottom w:val="single" w:sz="12" w:space="0" w:color="auto"/>
            </w:tcBorders>
          </w:tcPr>
          <w:p w:rsidR="00971AE2" w:rsidRPr="00E95C08" w:rsidRDefault="00971AE2" w:rsidP="00B11E4D">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95C08">
              <w:rPr>
                <w:rFonts w:hint="cs"/>
                <w:sz w:val="24"/>
                <w:szCs w:val="24"/>
                <w:rtl/>
                <w:lang w:bidi="ar-EG"/>
              </w:rPr>
              <w:t>الخطة الوطنية للتدريب</w:t>
            </w:r>
            <w:r w:rsidR="003D7EB4">
              <w:rPr>
                <w:rFonts w:hint="cs"/>
                <w:sz w:val="24"/>
                <w:szCs w:val="24"/>
                <w:rtl/>
                <w:lang w:bidi="ar-EG"/>
              </w:rPr>
              <w:t>،</w:t>
            </w:r>
          </w:p>
        </w:tc>
        <w:tc>
          <w:tcPr>
            <w:tcW w:w="2546" w:type="dxa"/>
            <w:tcBorders>
              <w:bottom w:val="single" w:sz="12" w:space="0" w:color="auto"/>
            </w:tcBorders>
          </w:tcPr>
          <w:p w:rsidR="00971AE2" w:rsidRPr="00E95C08" w:rsidRDefault="00971AE2" w:rsidP="00B11E4D">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95C08">
              <w:rPr>
                <w:rFonts w:hint="cs"/>
                <w:sz w:val="24"/>
                <w:szCs w:val="24"/>
                <w:rtl/>
                <w:lang w:bidi="ar-EG"/>
              </w:rPr>
              <w:t xml:space="preserve">الهيئة الاستشارية لرئيس الجمهورية فيما يتعلق بالمساواة بين الرجل والمرأة ومؤسسة </w:t>
            </w:r>
            <w:r w:rsidRPr="003C2F9E">
              <w:rPr>
                <w:sz w:val="18"/>
                <w:szCs w:val="18"/>
              </w:rPr>
              <w:t>DANSOCIAL</w:t>
            </w:r>
            <w:r w:rsidRPr="00E95C08">
              <w:rPr>
                <w:rFonts w:hint="cs"/>
                <w:sz w:val="24"/>
                <w:szCs w:val="24"/>
                <w:rtl/>
                <w:lang w:bidi="ar-EG"/>
              </w:rPr>
              <w:t xml:space="preserve"> ومنظمة العمل الدولية</w:t>
            </w:r>
            <w:r w:rsidR="003D7EB4">
              <w:rPr>
                <w:rFonts w:hint="cs"/>
                <w:sz w:val="24"/>
                <w:szCs w:val="24"/>
                <w:rtl/>
                <w:lang w:bidi="ar-EG"/>
              </w:rPr>
              <w:t>،</w:t>
            </w:r>
          </w:p>
        </w:tc>
        <w:tc>
          <w:tcPr>
            <w:tcW w:w="2334" w:type="dxa"/>
            <w:tcBorders>
              <w:bottom w:val="single" w:sz="12" w:space="0" w:color="auto"/>
            </w:tcBorders>
          </w:tcPr>
          <w:p w:rsidR="00971AE2" w:rsidRPr="00E95C08" w:rsidRDefault="00971AE2" w:rsidP="00B11E4D">
            <w:pPr>
              <w:tabs>
                <w:tab w:val="left" w:pos="288"/>
                <w:tab w:val="left" w:pos="576"/>
                <w:tab w:val="left" w:pos="864"/>
                <w:tab w:val="left" w:pos="1152"/>
              </w:tabs>
              <w:spacing w:before="1" w:after="1" w:line="380" w:lineRule="exact"/>
              <w:ind w:left="72" w:right="72"/>
              <w:jc w:val="lowKashida"/>
              <w:rPr>
                <w:sz w:val="24"/>
                <w:szCs w:val="24"/>
                <w:rtl/>
                <w:lang w:bidi="ar-EG"/>
              </w:rPr>
            </w:pPr>
            <w:r w:rsidRPr="00E95C08">
              <w:rPr>
                <w:rFonts w:hint="cs"/>
                <w:sz w:val="24"/>
                <w:szCs w:val="24"/>
                <w:rtl/>
                <w:lang w:bidi="ar-EG"/>
              </w:rPr>
              <w:t>البرنامج الخاص للتعاون التقني لصالح كولومبيا التابع لمنظمة العمل الدولية/مشروع منظمة العمل الدولية/</w:t>
            </w:r>
            <w:r w:rsidRPr="00E95C08">
              <w:rPr>
                <w:rFonts w:hint="cs"/>
                <w:sz w:val="24"/>
                <w:szCs w:val="24"/>
                <w:rtl/>
              </w:rPr>
              <w:t>وزارة العمل في الولايات المتحدة</w:t>
            </w:r>
            <w:r w:rsidR="003D7EB4">
              <w:rPr>
                <w:rFonts w:hint="cs"/>
                <w:sz w:val="24"/>
                <w:szCs w:val="24"/>
                <w:rtl/>
                <w:lang w:bidi="ar-EG"/>
              </w:rPr>
              <w:t>،</w:t>
            </w:r>
          </w:p>
          <w:p w:rsidR="00971AE2" w:rsidRPr="00E95C08" w:rsidRDefault="00971AE2" w:rsidP="00B11E4D">
            <w:pPr>
              <w:tabs>
                <w:tab w:val="left" w:pos="288"/>
                <w:tab w:val="left" w:pos="576"/>
                <w:tab w:val="left" w:pos="864"/>
                <w:tab w:val="left" w:pos="1152"/>
              </w:tabs>
              <w:spacing w:before="1" w:after="1" w:line="380" w:lineRule="exact"/>
              <w:ind w:left="72" w:right="72"/>
              <w:jc w:val="lowKashida"/>
              <w:rPr>
                <w:rFonts w:hint="cs"/>
                <w:sz w:val="24"/>
                <w:szCs w:val="24"/>
                <w:rtl/>
                <w:lang w:bidi="ar-EG"/>
              </w:rPr>
            </w:pPr>
            <w:r w:rsidRPr="00E95C08">
              <w:rPr>
                <w:rFonts w:hint="cs"/>
                <w:sz w:val="24"/>
                <w:szCs w:val="24"/>
                <w:rtl/>
                <w:lang w:bidi="ar-EG"/>
              </w:rPr>
              <w:t xml:space="preserve">البرنامج المتعدد القطاعات المشترك بين </w:t>
            </w:r>
            <w:r w:rsidRPr="003C2F9E">
              <w:rPr>
                <w:sz w:val="18"/>
                <w:szCs w:val="18"/>
              </w:rPr>
              <w:t>DANSOCIAL</w:t>
            </w:r>
            <w:r w:rsidRPr="00E95C08">
              <w:rPr>
                <w:rFonts w:hint="cs"/>
                <w:sz w:val="24"/>
                <w:szCs w:val="24"/>
                <w:rtl/>
                <w:lang w:bidi="ar-EG"/>
              </w:rPr>
              <w:t xml:space="preserve"> والهيئة الاستشارية لرئيس الجمهورية فيما يتعلق بالمساواة بين الرجل والمرأة</w:t>
            </w:r>
            <w:r w:rsidR="003D7EB4">
              <w:rPr>
                <w:rFonts w:hint="cs"/>
                <w:sz w:val="24"/>
                <w:szCs w:val="24"/>
                <w:rtl/>
                <w:lang w:bidi="ar-EG"/>
              </w:rPr>
              <w:t>،</w:t>
            </w:r>
          </w:p>
        </w:tc>
      </w:tr>
    </w:tbl>
    <w:p w:rsidR="00B11E4D" w:rsidRPr="00B11E4D" w:rsidRDefault="00B11E4D" w:rsidP="00B11E4D">
      <w:pPr>
        <w:pStyle w:val="SingleTxt"/>
        <w:spacing w:after="0" w:line="120" w:lineRule="exact"/>
        <w:jc w:val="left"/>
        <w:rPr>
          <w:rFonts w:hint="cs"/>
          <w:sz w:val="10"/>
          <w:rtl/>
          <w:lang w:bidi="ar-EG"/>
        </w:rPr>
      </w:pPr>
    </w:p>
    <w:p w:rsidR="00971AE2" w:rsidRDefault="00640C03" w:rsidP="00640C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971AE2">
        <w:rPr>
          <w:rFonts w:hint="cs"/>
          <w:rtl/>
          <w:lang w:bidi="ar-EG"/>
        </w:rPr>
        <w:t>2 -</w:t>
      </w:r>
      <w:r w:rsidR="00971AE2">
        <w:rPr>
          <w:rFonts w:hint="cs"/>
          <w:rtl/>
          <w:lang w:bidi="ar-EG"/>
        </w:rPr>
        <w:tab/>
        <w:t>مجال التعليم والثقافة</w:t>
      </w:r>
    </w:p>
    <w:p w:rsidR="00971AE2" w:rsidRPr="007A42B7" w:rsidRDefault="00971AE2" w:rsidP="00971AE2">
      <w:pPr>
        <w:pStyle w:val="SingleTxt"/>
        <w:spacing w:before="1" w:after="1" w:line="360" w:lineRule="exact"/>
        <w:ind w:left="72" w:right="72"/>
        <w:jc w:val="both"/>
        <w:rPr>
          <w:sz w:val="26"/>
          <w:szCs w:val="26"/>
          <w:rtl/>
          <w:lang w:bidi="ar-EG"/>
        </w:rPr>
      </w:pPr>
    </w:p>
    <w:tbl>
      <w:tblPr>
        <w:bidiVisual/>
        <w:tblW w:w="7320" w:type="dxa"/>
        <w:jc w:val="center"/>
        <w:tblLayout w:type="fixed"/>
        <w:tblCellMar>
          <w:left w:w="0" w:type="dxa"/>
          <w:right w:w="0" w:type="dxa"/>
        </w:tblCellMar>
        <w:tblLook w:val="0000" w:firstRow="0" w:lastRow="0" w:firstColumn="0" w:lastColumn="0" w:noHBand="0" w:noVBand="0"/>
      </w:tblPr>
      <w:tblGrid>
        <w:gridCol w:w="2617"/>
        <w:gridCol w:w="2263"/>
        <w:gridCol w:w="2440"/>
      </w:tblGrid>
      <w:tr w:rsidR="00971AE2" w:rsidRPr="007A42B7">
        <w:tblPrEx>
          <w:tblCellMar>
            <w:top w:w="0" w:type="dxa"/>
            <w:bottom w:w="0" w:type="dxa"/>
          </w:tblCellMar>
        </w:tblPrEx>
        <w:trPr>
          <w:cantSplit/>
          <w:tblHeader/>
          <w:jc w:val="center"/>
        </w:trPr>
        <w:tc>
          <w:tcPr>
            <w:tcW w:w="2617" w:type="dxa"/>
            <w:tcBorders>
              <w:top w:val="single" w:sz="4" w:space="0" w:color="auto"/>
              <w:bottom w:val="single" w:sz="12" w:space="0" w:color="auto"/>
            </w:tcBorders>
            <w:vAlign w:val="bottom"/>
          </w:tcPr>
          <w:p w:rsidR="00971AE2" w:rsidRPr="007A42B7" w:rsidRDefault="00971AE2" w:rsidP="00971AE2">
            <w:pPr>
              <w:tabs>
                <w:tab w:val="left" w:pos="288"/>
                <w:tab w:val="left" w:pos="576"/>
                <w:tab w:val="left" w:pos="864"/>
                <w:tab w:val="left" w:pos="1152"/>
              </w:tabs>
              <w:spacing w:before="1" w:after="1" w:line="360" w:lineRule="exact"/>
              <w:ind w:left="72" w:right="72"/>
              <w:rPr>
                <w:rFonts w:hint="cs"/>
                <w:i/>
                <w:iCs/>
                <w:sz w:val="26"/>
                <w:szCs w:val="26"/>
                <w:rtl/>
                <w:lang w:bidi="ar-EG"/>
              </w:rPr>
            </w:pPr>
            <w:r w:rsidRPr="007A42B7">
              <w:rPr>
                <w:rFonts w:hint="cs"/>
                <w:i/>
                <w:iCs/>
                <w:sz w:val="26"/>
                <w:szCs w:val="26"/>
                <w:rtl/>
                <w:lang w:bidi="ar-EG"/>
              </w:rPr>
              <w:t>البرنامج</w:t>
            </w:r>
          </w:p>
        </w:tc>
        <w:tc>
          <w:tcPr>
            <w:tcW w:w="2263" w:type="dxa"/>
            <w:tcBorders>
              <w:top w:val="single" w:sz="4" w:space="0" w:color="auto"/>
              <w:bottom w:val="single" w:sz="12" w:space="0" w:color="auto"/>
            </w:tcBorders>
            <w:vAlign w:val="bottom"/>
          </w:tcPr>
          <w:p w:rsidR="00971AE2" w:rsidRPr="007A42B7" w:rsidRDefault="00971AE2" w:rsidP="00971AE2">
            <w:pPr>
              <w:tabs>
                <w:tab w:val="left" w:pos="288"/>
                <w:tab w:val="left" w:pos="576"/>
                <w:tab w:val="left" w:pos="864"/>
                <w:tab w:val="left" w:pos="1152"/>
              </w:tabs>
              <w:spacing w:before="1" w:after="1" w:line="360" w:lineRule="exact"/>
              <w:ind w:left="72" w:right="72"/>
              <w:rPr>
                <w:rFonts w:hint="cs"/>
                <w:i/>
                <w:iCs/>
                <w:sz w:val="26"/>
                <w:szCs w:val="26"/>
                <w:rtl/>
                <w:lang w:bidi="ar-EG"/>
              </w:rPr>
            </w:pPr>
            <w:r w:rsidRPr="007A42B7">
              <w:rPr>
                <w:rFonts w:hint="cs"/>
                <w:i/>
                <w:iCs/>
                <w:sz w:val="26"/>
                <w:szCs w:val="26"/>
                <w:rtl/>
                <w:lang w:bidi="ar-EG"/>
              </w:rPr>
              <w:t>الهيئات الملتزمة</w:t>
            </w:r>
          </w:p>
        </w:tc>
        <w:tc>
          <w:tcPr>
            <w:tcW w:w="2440" w:type="dxa"/>
            <w:tcBorders>
              <w:top w:val="single" w:sz="4" w:space="0" w:color="auto"/>
              <w:bottom w:val="single" w:sz="12" w:space="0" w:color="auto"/>
            </w:tcBorders>
            <w:vAlign w:val="bottom"/>
          </w:tcPr>
          <w:p w:rsidR="00971AE2" w:rsidRPr="007A42B7" w:rsidRDefault="00971AE2" w:rsidP="00971AE2">
            <w:pPr>
              <w:tabs>
                <w:tab w:val="left" w:pos="288"/>
                <w:tab w:val="left" w:pos="576"/>
                <w:tab w:val="left" w:pos="864"/>
                <w:tab w:val="left" w:pos="1152"/>
              </w:tabs>
              <w:spacing w:before="1" w:after="1" w:line="360" w:lineRule="exact"/>
              <w:ind w:left="72" w:right="72"/>
              <w:rPr>
                <w:rFonts w:hint="cs"/>
                <w:i/>
                <w:iCs/>
                <w:sz w:val="26"/>
                <w:szCs w:val="26"/>
                <w:rtl/>
                <w:lang w:bidi="ar-EG"/>
              </w:rPr>
            </w:pPr>
            <w:r w:rsidRPr="007A42B7">
              <w:rPr>
                <w:rFonts w:hint="cs"/>
                <w:i/>
                <w:iCs/>
                <w:sz w:val="26"/>
                <w:szCs w:val="26"/>
                <w:rtl/>
                <w:lang w:bidi="ar-EG"/>
              </w:rPr>
              <w:t>التمويل</w:t>
            </w:r>
          </w:p>
        </w:tc>
      </w:tr>
      <w:tr w:rsidR="00971AE2" w:rsidRPr="007A42B7">
        <w:tblPrEx>
          <w:tblCellMar>
            <w:top w:w="0" w:type="dxa"/>
            <w:bottom w:w="0" w:type="dxa"/>
          </w:tblCellMar>
        </w:tblPrEx>
        <w:trPr>
          <w:cantSplit/>
          <w:trHeight w:hRule="exact" w:val="115"/>
          <w:tblHeader/>
          <w:jc w:val="center"/>
        </w:trPr>
        <w:tc>
          <w:tcPr>
            <w:tcW w:w="2617" w:type="dxa"/>
            <w:tcBorders>
              <w:top w:val="single" w:sz="12" w:space="0" w:color="auto"/>
            </w:tcBorders>
            <w:vAlign w:val="bottom"/>
          </w:tcPr>
          <w:p w:rsidR="00971AE2" w:rsidRPr="007A42B7" w:rsidRDefault="00971AE2" w:rsidP="00971AE2">
            <w:pPr>
              <w:tabs>
                <w:tab w:val="left" w:pos="288"/>
                <w:tab w:val="left" w:pos="576"/>
                <w:tab w:val="left" w:pos="864"/>
                <w:tab w:val="left" w:pos="1152"/>
              </w:tabs>
              <w:spacing w:before="1" w:after="1" w:line="360" w:lineRule="exact"/>
              <w:ind w:left="72" w:right="72"/>
              <w:rPr>
                <w:rFonts w:hint="cs"/>
                <w:sz w:val="26"/>
                <w:szCs w:val="26"/>
                <w:rtl/>
                <w:lang w:bidi="ar-EG"/>
              </w:rPr>
            </w:pPr>
          </w:p>
        </w:tc>
        <w:tc>
          <w:tcPr>
            <w:tcW w:w="2263" w:type="dxa"/>
            <w:tcBorders>
              <w:top w:val="single" w:sz="12" w:space="0" w:color="auto"/>
            </w:tcBorders>
            <w:vAlign w:val="bottom"/>
          </w:tcPr>
          <w:p w:rsidR="00971AE2" w:rsidRPr="007A42B7" w:rsidRDefault="00971AE2" w:rsidP="00971AE2">
            <w:pPr>
              <w:tabs>
                <w:tab w:val="left" w:pos="288"/>
                <w:tab w:val="left" w:pos="576"/>
                <w:tab w:val="left" w:pos="864"/>
                <w:tab w:val="left" w:pos="1152"/>
              </w:tabs>
              <w:spacing w:before="1" w:after="1" w:line="360" w:lineRule="exact"/>
              <w:ind w:left="72" w:right="72"/>
              <w:rPr>
                <w:rFonts w:hint="cs"/>
                <w:sz w:val="26"/>
                <w:szCs w:val="26"/>
                <w:rtl/>
                <w:lang w:bidi="ar-EG"/>
              </w:rPr>
            </w:pPr>
          </w:p>
        </w:tc>
        <w:tc>
          <w:tcPr>
            <w:tcW w:w="2440" w:type="dxa"/>
            <w:tcBorders>
              <w:top w:val="single" w:sz="12" w:space="0" w:color="auto"/>
            </w:tcBorders>
            <w:vAlign w:val="bottom"/>
          </w:tcPr>
          <w:p w:rsidR="00971AE2" w:rsidRPr="007A42B7" w:rsidRDefault="00971AE2" w:rsidP="00971AE2">
            <w:pPr>
              <w:tabs>
                <w:tab w:val="left" w:pos="288"/>
                <w:tab w:val="left" w:pos="576"/>
                <w:tab w:val="left" w:pos="864"/>
                <w:tab w:val="left" w:pos="1152"/>
              </w:tabs>
              <w:spacing w:before="1" w:after="1" w:line="360" w:lineRule="exact"/>
              <w:ind w:left="72" w:right="72"/>
              <w:rPr>
                <w:rFonts w:hint="cs"/>
                <w:sz w:val="26"/>
                <w:szCs w:val="26"/>
                <w:rtl/>
                <w:lang w:bidi="ar-EG"/>
              </w:rPr>
            </w:pPr>
          </w:p>
        </w:tc>
      </w:tr>
      <w:tr w:rsidR="00971AE2" w:rsidRPr="007A42B7">
        <w:tblPrEx>
          <w:tblCellMar>
            <w:top w:w="0" w:type="dxa"/>
            <w:bottom w:w="0" w:type="dxa"/>
          </w:tblCellMar>
        </w:tblPrEx>
        <w:trPr>
          <w:cantSplit/>
          <w:jc w:val="center"/>
        </w:trPr>
        <w:tc>
          <w:tcPr>
            <w:tcW w:w="2617" w:type="dxa"/>
          </w:tcPr>
          <w:p w:rsidR="00971AE2" w:rsidRPr="007A42B7" w:rsidRDefault="00971AE2" w:rsidP="00971AE2">
            <w:pPr>
              <w:tabs>
                <w:tab w:val="left" w:pos="288"/>
                <w:tab w:val="left" w:pos="576"/>
                <w:tab w:val="left" w:pos="864"/>
                <w:tab w:val="left" w:pos="1152"/>
              </w:tabs>
              <w:spacing w:before="1" w:after="1" w:line="360" w:lineRule="exact"/>
              <w:ind w:left="72" w:right="72"/>
              <w:rPr>
                <w:rFonts w:hint="cs"/>
                <w:sz w:val="26"/>
                <w:szCs w:val="26"/>
                <w:rtl/>
                <w:lang w:bidi="ar-EG"/>
              </w:rPr>
            </w:pPr>
            <w:r w:rsidRPr="007A42B7">
              <w:rPr>
                <w:rFonts w:hint="eastAsia"/>
                <w:sz w:val="26"/>
                <w:szCs w:val="26"/>
                <w:rtl/>
                <w:lang w:bidi="ar-EG"/>
              </w:rPr>
              <w:t>”التعليم الجنساني والتعددية</w:t>
            </w:r>
            <w:r w:rsidRPr="007A42B7">
              <w:rPr>
                <w:rFonts w:hint="cs"/>
                <w:sz w:val="26"/>
                <w:szCs w:val="26"/>
                <w:rtl/>
                <w:lang w:bidi="ar-EG"/>
              </w:rPr>
              <w:t>“</w:t>
            </w:r>
            <w:r w:rsidR="003D7EB4">
              <w:rPr>
                <w:rFonts w:hint="cs"/>
                <w:sz w:val="26"/>
                <w:szCs w:val="26"/>
                <w:rtl/>
                <w:lang w:bidi="ar-EG"/>
              </w:rPr>
              <w:t>،</w:t>
            </w:r>
          </w:p>
        </w:tc>
        <w:tc>
          <w:tcPr>
            <w:tcW w:w="2263" w:type="dxa"/>
          </w:tcPr>
          <w:p w:rsidR="00971AE2" w:rsidRPr="007A42B7" w:rsidRDefault="00971AE2" w:rsidP="003C2F9E">
            <w:pPr>
              <w:tabs>
                <w:tab w:val="left" w:pos="288"/>
                <w:tab w:val="left" w:pos="576"/>
                <w:tab w:val="left" w:pos="864"/>
                <w:tab w:val="left" w:pos="1152"/>
              </w:tabs>
              <w:spacing w:before="1" w:after="1" w:line="360" w:lineRule="exact"/>
              <w:ind w:left="72" w:right="72"/>
              <w:jc w:val="lowKashida"/>
              <w:rPr>
                <w:rFonts w:hint="cs"/>
                <w:sz w:val="26"/>
                <w:szCs w:val="26"/>
                <w:rtl/>
                <w:lang w:bidi="ar-EG"/>
              </w:rPr>
            </w:pPr>
            <w:r w:rsidRPr="007A42B7">
              <w:rPr>
                <w:rFonts w:hint="cs"/>
                <w:sz w:val="26"/>
                <w:szCs w:val="26"/>
                <w:rtl/>
                <w:lang w:bidi="ar-EG"/>
              </w:rPr>
              <w:t>إدارة التنظيم التابعة لرئيس الجمهورية والهيئة الاستشارية لرئيس الجمهورية فيما يتعلق بالمساواة بين الرجل والمرأة وجامعة يونيفالييه الوطنية شبكة التعليم الشعبي بين نساء أمريكا اللاتينية والكاريبي وبرنامج الأمم المتحدة الإنمائي</w:t>
            </w:r>
            <w:r w:rsidR="003D7EB4">
              <w:rPr>
                <w:rFonts w:hint="cs"/>
                <w:sz w:val="26"/>
                <w:szCs w:val="26"/>
                <w:rtl/>
                <w:lang w:bidi="ar-EG"/>
              </w:rPr>
              <w:t>،</w:t>
            </w:r>
          </w:p>
        </w:tc>
        <w:tc>
          <w:tcPr>
            <w:tcW w:w="2440" w:type="dxa"/>
          </w:tcPr>
          <w:p w:rsidR="00971AE2" w:rsidRPr="007A42B7" w:rsidRDefault="00971AE2" w:rsidP="003C2F9E">
            <w:pPr>
              <w:tabs>
                <w:tab w:val="left" w:pos="288"/>
                <w:tab w:val="left" w:pos="576"/>
                <w:tab w:val="left" w:pos="864"/>
                <w:tab w:val="left" w:pos="1152"/>
              </w:tabs>
              <w:spacing w:before="1" w:after="1" w:line="360" w:lineRule="exact"/>
              <w:ind w:left="72" w:right="72"/>
              <w:jc w:val="lowKashida"/>
              <w:rPr>
                <w:rFonts w:hint="cs"/>
                <w:sz w:val="26"/>
                <w:szCs w:val="26"/>
                <w:rtl/>
                <w:lang w:bidi="ar-EG"/>
              </w:rPr>
            </w:pPr>
            <w:r w:rsidRPr="007A42B7">
              <w:rPr>
                <w:rFonts w:hint="cs"/>
                <w:sz w:val="26"/>
                <w:szCs w:val="26"/>
                <w:rtl/>
                <w:lang w:bidi="ar-EG"/>
              </w:rPr>
              <w:t>الاتفاق المبرم بين إدارة التتنظيم التابعة لرئيس الجمهورية وبرنامج الأمم المتحدة الإنمائي</w:t>
            </w:r>
            <w:r w:rsidR="003D7EB4">
              <w:rPr>
                <w:rFonts w:hint="cs"/>
                <w:sz w:val="26"/>
                <w:szCs w:val="26"/>
                <w:rtl/>
                <w:lang w:bidi="ar-EG"/>
              </w:rPr>
              <w:t>،</w:t>
            </w:r>
          </w:p>
        </w:tc>
      </w:tr>
      <w:tr w:rsidR="00971AE2" w:rsidRPr="007A42B7">
        <w:tblPrEx>
          <w:tblCellMar>
            <w:top w:w="0" w:type="dxa"/>
            <w:bottom w:w="0" w:type="dxa"/>
          </w:tblCellMar>
        </w:tblPrEx>
        <w:trPr>
          <w:cantSplit/>
          <w:jc w:val="center"/>
        </w:trPr>
        <w:tc>
          <w:tcPr>
            <w:tcW w:w="2617" w:type="dxa"/>
            <w:tcBorders>
              <w:bottom w:val="single" w:sz="12" w:space="0" w:color="auto"/>
            </w:tcBorders>
          </w:tcPr>
          <w:p w:rsidR="00971AE2" w:rsidRPr="007A42B7" w:rsidRDefault="00971AE2" w:rsidP="00971AE2">
            <w:pPr>
              <w:tabs>
                <w:tab w:val="left" w:pos="288"/>
                <w:tab w:val="left" w:pos="576"/>
                <w:tab w:val="left" w:pos="864"/>
                <w:tab w:val="left" w:pos="1152"/>
              </w:tabs>
              <w:spacing w:before="1" w:after="1" w:line="360" w:lineRule="exact"/>
              <w:ind w:left="72" w:right="72"/>
              <w:rPr>
                <w:rFonts w:hint="cs"/>
                <w:sz w:val="26"/>
                <w:szCs w:val="26"/>
                <w:rtl/>
                <w:lang w:bidi="ar-EG"/>
              </w:rPr>
            </w:pPr>
          </w:p>
        </w:tc>
        <w:tc>
          <w:tcPr>
            <w:tcW w:w="2263" w:type="dxa"/>
            <w:tcBorders>
              <w:bottom w:val="single" w:sz="12" w:space="0" w:color="auto"/>
            </w:tcBorders>
          </w:tcPr>
          <w:p w:rsidR="00971AE2" w:rsidRPr="007A42B7" w:rsidRDefault="00971AE2" w:rsidP="00B11E4D">
            <w:pPr>
              <w:tabs>
                <w:tab w:val="left" w:pos="288"/>
                <w:tab w:val="left" w:pos="576"/>
                <w:tab w:val="left" w:pos="864"/>
                <w:tab w:val="left" w:pos="1152"/>
              </w:tabs>
              <w:spacing w:before="1" w:after="1" w:line="360" w:lineRule="exact"/>
              <w:ind w:left="72" w:right="72"/>
              <w:jc w:val="lowKashida"/>
              <w:rPr>
                <w:rFonts w:hint="cs"/>
                <w:sz w:val="26"/>
                <w:szCs w:val="26"/>
                <w:rtl/>
                <w:lang w:bidi="ar-EG"/>
              </w:rPr>
            </w:pPr>
            <w:r w:rsidRPr="007A42B7">
              <w:rPr>
                <w:rFonts w:hint="cs"/>
                <w:sz w:val="26"/>
                <w:szCs w:val="26"/>
                <w:rtl/>
                <w:lang w:bidi="ar-EG"/>
              </w:rPr>
              <w:t>الهيئة الاستشارية لرئيس الجمهورية فيما يتعلق بالمساواة بين الرجل والمرأة ووزارة الثقافة وصندوق الثقافة المختلط لفالييه وبرنامج الأمم المتحدة الإنمائي والغرف التجارية لكالي واندوبالما ومسرح هيريديا وفندق سانتا كلارا دي قرطاجنة وفندق الميرانتيه استيلار وشبكة تآخي المدن الوطنية</w:t>
            </w:r>
            <w:r w:rsidR="003D7EB4">
              <w:rPr>
                <w:rFonts w:hint="cs"/>
                <w:sz w:val="26"/>
                <w:szCs w:val="26"/>
                <w:rtl/>
                <w:lang w:bidi="ar-EG"/>
              </w:rPr>
              <w:t>،</w:t>
            </w:r>
          </w:p>
        </w:tc>
        <w:tc>
          <w:tcPr>
            <w:tcW w:w="2440" w:type="dxa"/>
            <w:tcBorders>
              <w:bottom w:val="single" w:sz="12" w:space="0" w:color="auto"/>
            </w:tcBorders>
          </w:tcPr>
          <w:p w:rsidR="00971AE2" w:rsidRPr="007A42B7" w:rsidRDefault="00971AE2" w:rsidP="003C2F9E">
            <w:pPr>
              <w:tabs>
                <w:tab w:val="left" w:pos="288"/>
                <w:tab w:val="left" w:pos="576"/>
                <w:tab w:val="left" w:pos="864"/>
                <w:tab w:val="left" w:pos="1152"/>
              </w:tabs>
              <w:spacing w:before="1" w:after="1" w:line="360" w:lineRule="exact"/>
              <w:ind w:left="72" w:right="72"/>
              <w:jc w:val="lowKashida"/>
              <w:rPr>
                <w:rFonts w:hint="cs"/>
                <w:sz w:val="26"/>
                <w:szCs w:val="26"/>
                <w:rtl/>
                <w:lang w:bidi="ar-EG"/>
              </w:rPr>
            </w:pPr>
            <w:r w:rsidRPr="007A42B7">
              <w:rPr>
                <w:rFonts w:hint="cs"/>
                <w:sz w:val="26"/>
                <w:szCs w:val="26"/>
                <w:rtl/>
                <w:lang w:bidi="ar-EG"/>
              </w:rPr>
              <w:t>الاتفاق المبرم بين إدارة التنظيم التابعة لرئيس الجمهورية وبرنامج الأمم المتحدة الإنمائي</w:t>
            </w:r>
            <w:r w:rsidR="003D7EB4">
              <w:rPr>
                <w:rFonts w:hint="cs"/>
                <w:sz w:val="26"/>
                <w:szCs w:val="26"/>
                <w:rtl/>
                <w:lang w:bidi="ar-EG"/>
              </w:rPr>
              <w:t>،</w:t>
            </w:r>
          </w:p>
          <w:p w:rsidR="00971AE2" w:rsidRPr="007A42B7" w:rsidRDefault="00971AE2" w:rsidP="003C2F9E">
            <w:pPr>
              <w:tabs>
                <w:tab w:val="left" w:pos="288"/>
                <w:tab w:val="left" w:pos="576"/>
                <w:tab w:val="left" w:pos="864"/>
                <w:tab w:val="left" w:pos="1152"/>
              </w:tabs>
              <w:spacing w:before="1" w:after="1" w:line="360" w:lineRule="exact"/>
              <w:ind w:left="72" w:right="72"/>
              <w:jc w:val="lowKashida"/>
              <w:rPr>
                <w:rFonts w:hint="cs"/>
                <w:sz w:val="26"/>
                <w:szCs w:val="26"/>
                <w:rtl/>
                <w:lang w:bidi="ar-EG"/>
              </w:rPr>
            </w:pPr>
            <w:r w:rsidRPr="007A42B7">
              <w:rPr>
                <w:rFonts w:hint="cs"/>
                <w:sz w:val="26"/>
                <w:szCs w:val="26"/>
                <w:rtl/>
                <w:lang w:bidi="ar-EG"/>
              </w:rPr>
              <w:t>البرنامج الثقافي المتعدد القطاعات لوزارة الثقافة والهيئة الاستشارية لرئيس الجمهورية فيما يتعلق بالمساواة بين الرجل والمرأة</w:t>
            </w:r>
            <w:r w:rsidR="003D7EB4">
              <w:rPr>
                <w:rFonts w:hint="cs"/>
                <w:sz w:val="26"/>
                <w:szCs w:val="26"/>
                <w:rtl/>
                <w:lang w:bidi="ar-EG"/>
              </w:rPr>
              <w:t>،</w:t>
            </w:r>
          </w:p>
        </w:tc>
      </w:tr>
    </w:tbl>
    <w:p w:rsidR="00971AE2" w:rsidRPr="007A42B7" w:rsidRDefault="00971AE2" w:rsidP="00971AE2">
      <w:pPr>
        <w:pStyle w:val="SingleTxt"/>
        <w:spacing w:after="0" w:line="120" w:lineRule="exact"/>
        <w:rPr>
          <w:rFonts w:hint="cs"/>
          <w:sz w:val="10"/>
          <w:rtl/>
          <w:lang w:bidi="ar-EG"/>
        </w:rPr>
      </w:pPr>
    </w:p>
    <w:p w:rsidR="00971AE2" w:rsidRPr="007A42B7" w:rsidRDefault="00971AE2" w:rsidP="00971AE2">
      <w:pPr>
        <w:pStyle w:val="SingleTxt"/>
        <w:spacing w:after="0" w:line="120" w:lineRule="exact"/>
        <w:rPr>
          <w:rFonts w:hint="cs"/>
          <w:sz w:val="10"/>
          <w:rtl/>
          <w:lang w:bidi="ar-EG"/>
        </w:rPr>
      </w:pPr>
    </w:p>
    <w:p w:rsidR="00971AE2" w:rsidRDefault="00971AE2" w:rsidP="00971A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Pr="007A42B7">
        <w:rPr>
          <w:rFonts w:hint="cs"/>
          <w:rtl/>
          <w:lang w:bidi="ar-EG"/>
        </w:rPr>
        <w:t>3 -</w:t>
      </w:r>
      <w:r w:rsidRPr="007A42B7">
        <w:rPr>
          <w:rFonts w:hint="cs"/>
          <w:rtl/>
          <w:lang w:bidi="ar-EG"/>
        </w:rPr>
        <w:tab/>
        <w:t>مجال العنف ضد المرأة</w:t>
      </w:r>
    </w:p>
    <w:tbl>
      <w:tblPr>
        <w:bidiVisual/>
        <w:tblW w:w="8579" w:type="dxa"/>
        <w:jc w:val="center"/>
        <w:tblInd w:w="8" w:type="dxa"/>
        <w:tblLayout w:type="fixed"/>
        <w:tblCellMar>
          <w:left w:w="0" w:type="dxa"/>
          <w:right w:w="0" w:type="dxa"/>
        </w:tblCellMar>
        <w:tblLook w:val="0000" w:firstRow="0" w:lastRow="0" w:firstColumn="0" w:lastColumn="0" w:noHBand="0" w:noVBand="0"/>
      </w:tblPr>
      <w:tblGrid>
        <w:gridCol w:w="2440"/>
        <w:gridCol w:w="2440"/>
        <w:gridCol w:w="3699"/>
      </w:tblGrid>
      <w:tr w:rsidR="00971AE2" w:rsidRPr="00F0734D">
        <w:tblPrEx>
          <w:tblCellMar>
            <w:top w:w="0" w:type="dxa"/>
            <w:bottom w:w="0" w:type="dxa"/>
          </w:tblCellMar>
        </w:tblPrEx>
        <w:trPr>
          <w:cantSplit/>
          <w:tblHeader/>
          <w:jc w:val="center"/>
        </w:trPr>
        <w:tc>
          <w:tcPr>
            <w:tcW w:w="2440" w:type="dxa"/>
            <w:tcBorders>
              <w:top w:val="single" w:sz="4" w:space="0" w:color="auto"/>
              <w:bottom w:val="single" w:sz="12" w:space="0" w:color="auto"/>
            </w:tcBorders>
            <w:vAlign w:val="bottom"/>
          </w:tcPr>
          <w:p w:rsidR="00971AE2" w:rsidRPr="00F0734D" w:rsidRDefault="00971AE2" w:rsidP="00971AE2">
            <w:pPr>
              <w:tabs>
                <w:tab w:val="left" w:pos="288"/>
                <w:tab w:val="left" w:pos="576"/>
                <w:tab w:val="left" w:pos="864"/>
                <w:tab w:val="left" w:pos="1152"/>
              </w:tabs>
              <w:spacing w:before="1" w:after="1" w:line="360" w:lineRule="exact"/>
              <w:ind w:left="72" w:right="72"/>
              <w:rPr>
                <w:rFonts w:hint="cs"/>
                <w:i/>
                <w:iCs/>
                <w:sz w:val="24"/>
                <w:szCs w:val="24"/>
                <w:rtl/>
                <w:lang w:bidi="ar-EG"/>
              </w:rPr>
            </w:pPr>
            <w:r w:rsidRPr="00F0734D">
              <w:rPr>
                <w:rFonts w:hint="cs"/>
                <w:i/>
                <w:iCs/>
                <w:sz w:val="24"/>
                <w:szCs w:val="24"/>
                <w:rtl/>
                <w:lang w:bidi="ar-EG"/>
              </w:rPr>
              <w:t>البرنامج</w:t>
            </w:r>
          </w:p>
        </w:tc>
        <w:tc>
          <w:tcPr>
            <w:tcW w:w="2440" w:type="dxa"/>
            <w:tcBorders>
              <w:top w:val="single" w:sz="4" w:space="0" w:color="auto"/>
              <w:bottom w:val="single" w:sz="12" w:space="0" w:color="auto"/>
            </w:tcBorders>
            <w:vAlign w:val="bottom"/>
          </w:tcPr>
          <w:p w:rsidR="00971AE2" w:rsidRPr="00F0734D" w:rsidRDefault="00971AE2" w:rsidP="00971AE2">
            <w:pPr>
              <w:tabs>
                <w:tab w:val="left" w:pos="288"/>
                <w:tab w:val="left" w:pos="576"/>
                <w:tab w:val="left" w:pos="864"/>
                <w:tab w:val="left" w:pos="1152"/>
              </w:tabs>
              <w:spacing w:before="1" w:after="1" w:line="360" w:lineRule="exact"/>
              <w:ind w:left="72" w:right="72"/>
              <w:rPr>
                <w:rFonts w:hint="cs"/>
                <w:i/>
                <w:iCs/>
                <w:sz w:val="24"/>
                <w:szCs w:val="24"/>
                <w:rtl/>
                <w:lang w:bidi="ar-EG"/>
              </w:rPr>
            </w:pPr>
            <w:r w:rsidRPr="00F0734D">
              <w:rPr>
                <w:rFonts w:hint="cs"/>
                <w:i/>
                <w:iCs/>
                <w:sz w:val="24"/>
                <w:szCs w:val="24"/>
                <w:rtl/>
                <w:lang w:bidi="ar-EG"/>
              </w:rPr>
              <w:t>الهيئات الملتزمة</w:t>
            </w:r>
          </w:p>
        </w:tc>
        <w:tc>
          <w:tcPr>
            <w:tcW w:w="3699" w:type="dxa"/>
            <w:tcBorders>
              <w:top w:val="single" w:sz="4" w:space="0" w:color="auto"/>
              <w:bottom w:val="single" w:sz="12" w:space="0" w:color="auto"/>
            </w:tcBorders>
            <w:vAlign w:val="bottom"/>
          </w:tcPr>
          <w:p w:rsidR="00971AE2" w:rsidRPr="00F0734D" w:rsidRDefault="00971AE2" w:rsidP="00971AE2">
            <w:pPr>
              <w:tabs>
                <w:tab w:val="left" w:pos="288"/>
                <w:tab w:val="left" w:pos="576"/>
                <w:tab w:val="left" w:pos="864"/>
                <w:tab w:val="left" w:pos="1152"/>
              </w:tabs>
              <w:spacing w:before="1" w:after="1" w:line="360" w:lineRule="exact"/>
              <w:ind w:left="72" w:right="72"/>
              <w:rPr>
                <w:rFonts w:hint="cs"/>
                <w:i/>
                <w:iCs/>
                <w:sz w:val="24"/>
                <w:szCs w:val="24"/>
                <w:rtl/>
                <w:lang w:bidi="ar-EG"/>
              </w:rPr>
            </w:pPr>
            <w:r w:rsidRPr="00F0734D">
              <w:rPr>
                <w:rFonts w:hint="cs"/>
                <w:i/>
                <w:iCs/>
                <w:sz w:val="24"/>
                <w:szCs w:val="24"/>
                <w:rtl/>
                <w:lang w:bidi="ar-EG"/>
              </w:rPr>
              <w:t>التمويل</w:t>
            </w:r>
          </w:p>
        </w:tc>
      </w:tr>
      <w:tr w:rsidR="00971AE2" w:rsidRPr="00F0734D">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971AE2" w:rsidRPr="00F0734D" w:rsidRDefault="00971AE2" w:rsidP="00971AE2">
            <w:pPr>
              <w:tabs>
                <w:tab w:val="left" w:pos="288"/>
                <w:tab w:val="left" w:pos="576"/>
                <w:tab w:val="left" w:pos="864"/>
                <w:tab w:val="left" w:pos="1152"/>
              </w:tabs>
              <w:spacing w:before="1" w:after="1" w:line="360" w:lineRule="exact"/>
              <w:ind w:left="72" w:right="72"/>
              <w:rPr>
                <w:rFonts w:hint="cs"/>
                <w:sz w:val="24"/>
                <w:szCs w:val="24"/>
                <w:rtl/>
                <w:lang w:bidi="ar-EG"/>
              </w:rPr>
            </w:pPr>
          </w:p>
        </w:tc>
        <w:tc>
          <w:tcPr>
            <w:tcW w:w="2440" w:type="dxa"/>
            <w:tcBorders>
              <w:top w:val="single" w:sz="12" w:space="0" w:color="auto"/>
            </w:tcBorders>
            <w:vAlign w:val="bottom"/>
          </w:tcPr>
          <w:p w:rsidR="00971AE2" w:rsidRPr="00F0734D" w:rsidRDefault="00971AE2" w:rsidP="00971AE2">
            <w:pPr>
              <w:tabs>
                <w:tab w:val="left" w:pos="288"/>
                <w:tab w:val="left" w:pos="576"/>
                <w:tab w:val="left" w:pos="864"/>
                <w:tab w:val="left" w:pos="1152"/>
              </w:tabs>
              <w:spacing w:before="1" w:after="1" w:line="360" w:lineRule="exact"/>
              <w:ind w:left="72" w:right="72"/>
              <w:rPr>
                <w:rFonts w:hint="cs"/>
                <w:sz w:val="24"/>
                <w:szCs w:val="24"/>
                <w:rtl/>
                <w:lang w:bidi="ar-EG"/>
              </w:rPr>
            </w:pPr>
          </w:p>
        </w:tc>
        <w:tc>
          <w:tcPr>
            <w:tcW w:w="3699" w:type="dxa"/>
            <w:tcBorders>
              <w:top w:val="single" w:sz="12" w:space="0" w:color="auto"/>
            </w:tcBorders>
            <w:vAlign w:val="bottom"/>
          </w:tcPr>
          <w:p w:rsidR="00971AE2" w:rsidRPr="00F0734D" w:rsidRDefault="00971AE2" w:rsidP="00971AE2">
            <w:pPr>
              <w:tabs>
                <w:tab w:val="left" w:pos="288"/>
                <w:tab w:val="left" w:pos="576"/>
                <w:tab w:val="left" w:pos="864"/>
                <w:tab w:val="left" w:pos="1152"/>
              </w:tabs>
              <w:spacing w:before="1" w:after="1" w:line="360" w:lineRule="exact"/>
              <w:ind w:left="72" w:right="72"/>
              <w:rPr>
                <w:rFonts w:hint="cs"/>
                <w:sz w:val="24"/>
                <w:szCs w:val="24"/>
                <w:rtl/>
                <w:lang w:bidi="ar-EG"/>
              </w:rPr>
            </w:pPr>
          </w:p>
        </w:tc>
      </w:tr>
      <w:tr w:rsidR="00971AE2" w:rsidRPr="00F0734D">
        <w:tblPrEx>
          <w:tblCellMar>
            <w:top w:w="0" w:type="dxa"/>
            <w:bottom w:w="0" w:type="dxa"/>
          </w:tblCellMar>
        </w:tblPrEx>
        <w:trPr>
          <w:cantSplit/>
          <w:jc w:val="center"/>
        </w:trPr>
        <w:tc>
          <w:tcPr>
            <w:tcW w:w="2440" w:type="dxa"/>
          </w:tcPr>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i/>
                <w:iCs/>
                <w:sz w:val="24"/>
                <w:szCs w:val="24"/>
                <w:rtl/>
                <w:lang w:bidi="ar-EG"/>
              </w:rPr>
              <w:t xml:space="preserve"> طرق اللاعنف</w:t>
            </w:r>
            <w:r w:rsidRPr="00F0734D">
              <w:rPr>
                <w:rFonts w:hint="cs"/>
                <w:sz w:val="24"/>
                <w:szCs w:val="24"/>
                <w:rtl/>
                <w:lang w:bidi="ar-EG"/>
              </w:rPr>
              <w:t>:</w:t>
            </w:r>
          </w:p>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sz w:val="24"/>
                <w:szCs w:val="24"/>
                <w:rtl/>
                <w:lang w:bidi="ar-EG"/>
              </w:rPr>
              <w:t>تصميم نماذج للتدخل</w:t>
            </w:r>
          </w:p>
          <w:p w:rsidR="00971AE2" w:rsidRPr="00F0734D" w:rsidRDefault="00971AE2" w:rsidP="003C2F9E">
            <w:pPr>
              <w:tabs>
                <w:tab w:val="left" w:pos="288"/>
                <w:tab w:val="left" w:pos="576"/>
                <w:tab w:val="left" w:pos="864"/>
                <w:tab w:val="left" w:pos="1152"/>
              </w:tabs>
              <w:spacing w:before="1" w:after="1" w:line="360" w:lineRule="exact"/>
              <w:ind w:left="72" w:right="72" w:hanging="576"/>
              <w:jc w:val="lowKashida"/>
              <w:rPr>
                <w:rFonts w:hint="eastAsia"/>
                <w:sz w:val="24"/>
                <w:szCs w:val="24"/>
                <w:rtl/>
                <w:lang w:bidi="ar-EG"/>
              </w:rPr>
            </w:pPr>
            <w:r w:rsidRPr="00F0734D">
              <w:rPr>
                <w:rFonts w:hint="cs"/>
                <w:sz w:val="24"/>
                <w:szCs w:val="24"/>
                <w:rtl/>
                <w:lang w:bidi="ar-EG"/>
              </w:rPr>
              <w:t>(أ)</w:t>
            </w:r>
            <w:r w:rsidRPr="00F0734D">
              <w:rPr>
                <w:rFonts w:hint="cs"/>
                <w:sz w:val="24"/>
                <w:szCs w:val="24"/>
                <w:rtl/>
                <w:lang w:bidi="ar-EG"/>
              </w:rPr>
              <w:tab/>
            </w:r>
            <w:r w:rsidRPr="00F0734D">
              <w:rPr>
                <w:sz w:val="24"/>
                <w:szCs w:val="24"/>
                <w:rtl/>
                <w:lang w:bidi="ar-EG"/>
              </w:rPr>
              <w:tab/>
            </w:r>
            <w:r w:rsidRPr="00F0734D">
              <w:rPr>
                <w:rFonts w:hint="cs"/>
                <w:sz w:val="24"/>
                <w:szCs w:val="24"/>
                <w:rtl/>
                <w:lang w:bidi="ar-EG"/>
              </w:rPr>
              <w:t>”الشبكة النسائية لمكافحة العنف/المجالس المجتمعية النسائية</w:t>
            </w:r>
            <w:r w:rsidRPr="00F0734D">
              <w:rPr>
                <w:rFonts w:hint="eastAsia"/>
                <w:sz w:val="24"/>
                <w:szCs w:val="24"/>
                <w:rtl/>
                <w:lang w:bidi="ar-EG"/>
              </w:rPr>
              <w:t>“؛</w:t>
            </w:r>
          </w:p>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sz w:val="24"/>
                <w:szCs w:val="24"/>
                <w:rtl/>
                <w:lang w:bidi="ar-EG"/>
              </w:rPr>
              <w:t>(ب)</w:t>
            </w:r>
            <w:r w:rsidRPr="00F0734D">
              <w:rPr>
                <w:sz w:val="24"/>
                <w:szCs w:val="24"/>
                <w:rtl/>
                <w:lang w:bidi="ar-EG"/>
              </w:rPr>
              <w:tab/>
            </w:r>
            <w:r w:rsidRPr="00F0734D">
              <w:rPr>
                <w:rFonts w:hint="cs"/>
                <w:sz w:val="24"/>
                <w:szCs w:val="24"/>
                <w:rtl/>
                <w:lang w:bidi="ar-EG"/>
              </w:rPr>
              <w:t>برنامج الديمقراطية الأسرية*</w:t>
            </w:r>
            <w:r w:rsidR="003D7EB4">
              <w:rPr>
                <w:rFonts w:hint="cs"/>
                <w:sz w:val="24"/>
                <w:szCs w:val="24"/>
                <w:rtl/>
                <w:lang w:bidi="ar-EG"/>
              </w:rPr>
              <w:t>،</w:t>
            </w:r>
          </w:p>
        </w:tc>
        <w:tc>
          <w:tcPr>
            <w:tcW w:w="2440" w:type="dxa"/>
          </w:tcPr>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sz w:val="24"/>
                <w:szCs w:val="24"/>
                <w:rtl/>
                <w:lang w:bidi="ar-EG"/>
              </w:rPr>
              <w:t>إدارة التنظيم التابعة لرئيس الجمهورية والهيئة الاستشارية لرئيس الجمهورية فيما يتعلق بالمساواة بين الرجل والمرأة وبرنامج الأمم المتحدة الإنمائي</w:t>
            </w:r>
            <w:r w:rsidR="003D7EB4">
              <w:rPr>
                <w:rFonts w:hint="cs"/>
                <w:sz w:val="24"/>
                <w:szCs w:val="24"/>
                <w:rtl/>
                <w:lang w:bidi="ar-EG"/>
              </w:rPr>
              <w:t>،</w:t>
            </w:r>
          </w:p>
        </w:tc>
        <w:tc>
          <w:tcPr>
            <w:tcW w:w="3699" w:type="dxa"/>
          </w:tcPr>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sz w:val="24"/>
                <w:szCs w:val="24"/>
                <w:rtl/>
                <w:lang w:bidi="ar-EG"/>
              </w:rPr>
              <w:t>الاتفاق المبرم بين إدارة التنظيم التابعة لرئيس الجمهورية وبرنامج الأمم المتحدة الإنمائي</w:t>
            </w:r>
            <w:r w:rsidR="003D7EB4">
              <w:rPr>
                <w:rFonts w:hint="cs"/>
                <w:sz w:val="24"/>
                <w:szCs w:val="24"/>
                <w:rtl/>
                <w:lang w:bidi="ar-EG"/>
              </w:rPr>
              <w:t>،</w:t>
            </w:r>
          </w:p>
        </w:tc>
      </w:tr>
      <w:tr w:rsidR="00971AE2" w:rsidRPr="00F0734D">
        <w:tblPrEx>
          <w:tblCellMar>
            <w:top w:w="0" w:type="dxa"/>
            <w:bottom w:w="0" w:type="dxa"/>
          </w:tblCellMar>
        </w:tblPrEx>
        <w:trPr>
          <w:cantSplit/>
          <w:jc w:val="center"/>
        </w:trPr>
        <w:tc>
          <w:tcPr>
            <w:tcW w:w="2440" w:type="dxa"/>
          </w:tcPr>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sz w:val="24"/>
                <w:szCs w:val="24"/>
                <w:rtl/>
                <w:lang w:bidi="ar-EG"/>
              </w:rPr>
              <w:t>حملة: أورسولا إغواران للرجوع إلى الأرض</w:t>
            </w:r>
            <w:r w:rsidR="003D7EB4">
              <w:rPr>
                <w:rFonts w:hint="cs"/>
                <w:sz w:val="24"/>
                <w:szCs w:val="24"/>
                <w:rtl/>
                <w:lang w:bidi="ar-EG"/>
              </w:rPr>
              <w:t>،</w:t>
            </w:r>
          </w:p>
        </w:tc>
        <w:tc>
          <w:tcPr>
            <w:tcW w:w="2440" w:type="dxa"/>
          </w:tcPr>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sz w:val="24"/>
                <w:szCs w:val="24"/>
                <w:rtl/>
                <w:lang w:bidi="ar-EG"/>
              </w:rPr>
              <w:t>إدارة التنظيم التابعة لرئيس الجمهورية والهيئة الاستشارية لرئيس الجمهورية فيما يتعلق بالمساواة بين الرجل والمرأة</w:t>
            </w:r>
            <w:r w:rsidR="003D7EB4">
              <w:rPr>
                <w:rFonts w:hint="cs"/>
                <w:sz w:val="24"/>
                <w:szCs w:val="24"/>
                <w:rtl/>
                <w:lang w:bidi="ar-EG"/>
              </w:rPr>
              <w:t>،</w:t>
            </w:r>
          </w:p>
        </w:tc>
        <w:tc>
          <w:tcPr>
            <w:tcW w:w="3699" w:type="dxa"/>
          </w:tcPr>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p>
        </w:tc>
      </w:tr>
      <w:tr w:rsidR="00971AE2" w:rsidRPr="00F0734D">
        <w:tblPrEx>
          <w:tblCellMar>
            <w:top w:w="0" w:type="dxa"/>
            <w:bottom w:w="0" w:type="dxa"/>
          </w:tblCellMar>
        </w:tblPrEx>
        <w:trPr>
          <w:cantSplit/>
          <w:jc w:val="center"/>
        </w:trPr>
        <w:tc>
          <w:tcPr>
            <w:tcW w:w="2440" w:type="dxa"/>
            <w:tcBorders>
              <w:bottom w:val="single" w:sz="12" w:space="0" w:color="auto"/>
            </w:tcBorders>
          </w:tcPr>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sz w:val="24"/>
                <w:szCs w:val="24"/>
                <w:rtl/>
                <w:lang w:bidi="ar-EG"/>
              </w:rPr>
              <w:t>حملة توعية وتدريب لمكافحة الاتجار بالأشخاص</w:t>
            </w:r>
            <w:r w:rsidR="003D7EB4">
              <w:rPr>
                <w:rFonts w:hint="cs"/>
                <w:sz w:val="24"/>
                <w:szCs w:val="24"/>
                <w:rtl/>
                <w:lang w:bidi="ar-EG"/>
              </w:rPr>
              <w:t>،</w:t>
            </w:r>
          </w:p>
        </w:tc>
        <w:tc>
          <w:tcPr>
            <w:tcW w:w="2440" w:type="dxa"/>
            <w:tcBorders>
              <w:bottom w:val="single" w:sz="12" w:space="0" w:color="auto"/>
            </w:tcBorders>
          </w:tcPr>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sz w:val="24"/>
                <w:szCs w:val="24"/>
                <w:rtl/>
                <w:lang w:bidi="ar-EG"/>
              </w:rPr>
              <w:t>إدارة التنظيم التابعة لرئيس الجمهورية والهيئة الاستشارية لرئيس الجمهورية فيما يتعلق بالمساواة بين الرجل والمرأة والمنظمة الدولية للهجرة</w:t>
            </w:r>
            <w:r w:rsidR="003D7EB4">
              <w:rPr>
                <w:rFonts w:hint="cs"/>
                <w:sz w:val="24"/>
                <w:szCs w:val="24"/>
                <w:rtl/>
                <w:lang w:bidi="ar-EG"/>
              </w:rPr>
              <w:t>،</w:t>
            </w:r>
          </w:p>
        </w:tc>
        <w:tc>
          <w:tcPr>
            <w:tcW w:w="3699" w:type="dxa"/>
            <w:tcBorders>
              <w:bottom w:val="single" w:sz="12" w:space="0" w:color="auto"/>
            </w:tcBorders>
          </w:tcPr>
          <w:p w:rsidR="00971AE2" w:rsidRPr="00F0734D" w:rsidRDefault="00971AE2" w:rsidP="003C2F9E">
            <w:pPr>
              <w:tabs>
                <w:tab w:val="left" w:pos="288"/>
                <w:tab w:val="left" w:pos="576"/>
                <w:tab w:val="left" w:pos="864"/>
                <w:tab w:val="left" w:pos="1152"/>
              </w:tabs>
              <w:spacing w:before="1" w:after="1" w:line="360" w:lineRule="exact"/>
              <w:ind w:left="72" w:right="72"/>
              <w:jc w:val="lowKashida"/>
              <w:rPr>
                <w:rFonts w:hint="cs"/>
                <w:sz w:val="24"/>
                <w:szCs w:val="24"/>
                <w:rtl/>
                <w:lang w:bidi="ar-EG"/>
              </w:rPr>
            </w:pPr>
            <w:r w:rsidRPr="00F0734D">
              <w:rPr>
                <w:rFonts w:hint="cs"/>
                <w:sz w:val="24"/>
                <w:szCs w:val="24"/>
                <w:rtl/>
                <w:lang w:bidi="ar-EG"/>
              </w:rPr>
              <w:t>لوازم مادية مقدمة من المنظمة الدولية للهجرة</w:t>
            </w:r>
            <w:r w:rsidR="003D7EB4">
              <w:rPr>
                <w:rFonts w:hint="cs"/>
                <w:sz w:val="24"/>
                <w:szCs w:val="24"/>
                <w:rtl/>
                <w:lang w:bidi="ar-EG"/>
              </w:rPr>
              <w:t>،</w:t>
            </w:r>
          </w:p>
        </w:tc>
      </w:tr>
    </w:tbl>
    <w:p w:rsidR="00F0734D" w:rsidRPr="00F0734D" w:rsidRDefault="00F0734D" w:rsidP="00F0734D">
      <w:pPr>
        <w:pStyle w:val="SingleTxt"/>
        <w:spacing w:after="0" w:line="120" w:lineRule="exact"/>
        <w:rPr>
          <w:rFonts w:hint="cs"/>
          <w:sz w:val="10"/>
          <w:rtl/>
          <w:lang w:bidi="ar-EG"/>
        </w:rPr>
      </w:pPr>
    </w:p>
    <w:p w:rsidR="00971AE2" w:rsidRDefault="00971AE2" w:rsidP="00971AE2">
      <w:pPr>
        <w:pStyle w:val="SingleTxt"/>
        <w:rPr>
          <w:rFonts w:hint="cs"/>
          <w:rtl/>
          <w:lang w:bidi="ar-EG"/>
        </w:rPr>
      </w:pPr>
    </w:p>
    <w:p w:rsidR="00971AE2" w:rsidRDefault="00640C03" w:rsidP="00640C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EG"/>
        </w:rPr>
        <w:tab/>
        <w:t xml:space="preserve">4 </w:t>
      </w:r>
      <w:r w:rsidR="00971AE2">
        <w:rPr>
          <w:rFonts w:hint="cs"/>
          <w:rtl/>
          <w:lang w:bidi="ar-EG"/>
        </w:rPr>
        <w:t>-</w:t>
      </w:r>
      <w:r w:rsidR="00971AE2">
        <w:rPr>
          <w:rFonts w:hint="cs"/>
          <w:rtl/>
          <w:lang w:bidi="ar-EG"/>
        </w:rPr>
        <w:tab/>
        <w:t>مجال المشاركة السياسية</w:t>
      </w:r>
    </w:p>
    <w:p w:rsidR="00971AE2" w:rsidRDefault="00971AE2" w:rsidP="00971AE2">
      <w:pPr>
        <w:pStyle w:val="SingleTxt"/>
        <w:spacing w:after="0" w:line="120" w:lineRule="exact"/>
        <w:jc w:val="left"/>
        <w:rPr>
          <w:sz w:val="10"/>
          <w:rtl/>
          <w:lang w:bidi="ar-EG"/>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3711"/>
        <w:gridCol w:w="2440"/>
        <w:gridCol w:w="2440"/>
      </w:tblGrid>
      <w:tr w:rsidR="00971AE2" w:rsidRPr="00F0734D">
        <w:tblPrEx>
          <w:tblCellMar>
            <w:top w:w="0" w:type="dxa"/>
            <w:bottom w:w="0" w:type="dxa"/>
          </w:tblCellMar>
        </w:tblPrEx>
        <w:trPr>
          <w:tblHeader/>
          <w:jc w:val="center"/>
        </w:trPr>
        <w:tc>
          <w:tcPr>
            <w:tcW w:w="3711" w:type="dxa"/>
          </w:tcPr>
          <w:p w:rsidR="00971AE2" w:rsidRPr="00F0734D" w:rsidRDefault="00971AE2" w:rsidP="00971AE2">
            <w:pPr>
              <w:spacing w:before="80" w:after="80" w:line="240" w:lineRule="exact"/>
              <w:ind w:right="144"/>
              <w:jc w:val="left"/>
              <w:rPr>
                <w:i/>
                <w:iCs/>
                <w:sz w:val="24"/>
                <w:szCs w:val="24"/>
                <w:rtl/>
                <w:lang w:bidi="ar-EG"/>
              </w:rPr>
            </w:pPr>
            <w:r w:rsidRPr="00F0734D">
              <w:rPr>
                <w:rFonts w:hint="cs"/>
                <w:i/>
                <w:iCs/>
                <w:sz w:val="24"/>
                <w:szCs w:val="24"/>
                <w:rtl/>
                <w:lang w:bidi="ar-EG"/>
              </w:rPr>
              <w:t>البرنامج</w:t>
            </w:r>
          </w:p>
        </w:tc>
        <w:tc>
          <w:tcPr>
            <w:tcW w:w="2440" w:type="dxa"/>
          </w:tcPr>
          <w:p w:rsidR="00971AE2" w:rsidRPr="00F0734D" w:rsidRDefault="00971AE2" w:rsidP="00971AE2">
            <w:pPr>
              <w:spacing w:before="80" w:after="80" w:line="240" w:lineRule="exact"/>
              <w:ind w:right="144"/>
              <w:jc w:val="left"/>
              <w:rPr>
                <w:i/>
                <w:iCs/>
                <w:sz w:val="24"/>
                <w:szCs w:val="24"/>
                <w:rtl/>
                <w:lang w:bidi="ar-EG"/>
              </w:rPr>
            </w:pPr>
            <w:r w:rsidRPr="00F0734D">
              <w:rPr>
                <w:rFonts w:hint="cs"/>
                <w:i/>
                <w:iCs/>
                <w:sz w:val="24"/>
                <w:szCs w:val="24"/>
                <w:rtl/>
                <w:lang w:bidi="ar-EG"/>
              </w:rPr>
              <w:t>الهيئات الملتزمة</w:t>
            </w:r>
          </w:p>
        </w:tc>
        <w:tc>
          <w:tcPr>
            <w:tcW w:w="2440" w:type="dxa"/>
          </w:tcPr>
          <w:p w:rsidR="00971AE2" w:rsidRPr="00F0734D" w:rsidRDefault="00971AE2" w:rsidP="00971AE2">
            <w:pPr>
              <w:spacing w:before="80" w:after="80" w:line="240" w:lineRule="exact"/>
              <w:ind w:right="144"/>
              <w:jc w:val="left"/>
              <w:rPr>
                <w:i/>
                <w:iCs/>
                <w:sz w:val="24"/>
                <w:szCs w:val="24"/>
                <w:rtl/>
                <w:lang w:bidi="ar-EG"/>
              </w:rPr>
            </w:pPr>
            <w:r w:rsidRPr="00F0734D">
              <w:rPr>
                <w:rFonts w:hint="cs"/>
                <w:i/>
                <w:iCs/>
                <w:sz w:val="24"/>
                <w:szCs w:val="24"/>
                <w:rtl/>
                <w:lang w:bidi="ar-EG"/>
              </w:rPr>
              <w:t>التمويل</w:t>
            </w:r>
          </w:p>
        </w:tc>
      </w:tr>
      <w:tr w:rsidR="00971AE2" w:rsidRPr="00F0734D">
        <w:tblPrEx>
          <w:tblCellMar>
            <w:top w:w="0" w:type="dxa"/>
            <w:bottom w:w="0" w:type="dxa"/>
          </w:tblCellMar>
        </w:tblPrEx>
        <w:trPr>
          <w:tblHeader/>
          <w:jc w:val="center"/>
        </w:trPr>
        <w:tc>
          <w:tcPr>
            <w:tcW w:w="3711" w:type="dxa"/>
          </w:tcPr>
          <w:p w:rsidR="00971AE2" w:rsidRPr="00F0734D" w:rsidRDefault="00971AE2" w:rsidP="00971AE2">
            <w:pPr>
              <w:spacing w:before="40" w:after="80" w:line="240" w:lineRule="exact"/>
              <w:ind w:right="144"/>
              <w:jc w:val="left"/>
              <w:rPr>
                <w:sz w:val="24"/>
                <w:szCs w:val="24"/>
                <w:rtl/>
                <w:lang w:bidi="ar-EG"/>
              </w:rPr>
            </w:pPr>
          </w:p>
        </w:tc>
        <w:tc>
          <w:tcPr>
            <w:tcW w:w="2440" w:type="dxa"/>
          </w:tcPr>
          <w:p w:rsidR="00971AE2" w:rsidRPr="00F0734D" w:rsidRDefault="00971AE2" w:rsidP="00971AE2">
            <w:pPr>
              <w:spacing w:before="40" w:after="80" w:line="240" w:lineRule="exact"/>
              <w:ind w:right="144"/>
              <w:jc w:val="left"/>
              <w:rPr>
                <w:sz w:val="24"/>
                <w:szCs w:val="24"/>
                <w:rtl/>
                <w:lang w:bidi="ar-EG"/>
              </w:rPr>
            </w:pPr>
          </w:p>
        </w:tc>
        <w:tc>
          <w:tcPr>
            <w:tcW w:w="2440" w:type="dxa"/>
          </w:tcPr>
          <w:p w:rsidR="00971AE2" w:rsidRPr="00F0734D" w:rsidRDefault="00971AE2" w:rsidP="00971AE2">
            <w:pPr>
              <w:spacing w:before="40" w:after="80" w:line="240" w:lineRule="exact"/>
              <w:ind w:right="144"/>
              <w:jc w:val="left"/>
              <w:rPr>
                <w:sz w:val="24"/>
                <w:szCs w:val="24"/>
                <w:rtl/>
                <w:lang w:bidi="ar-EG"/>
              </w:rPr>
            </w:pPr>
          </w:p>
        </w:tc>
      </w:tr>
      <w:tr w:rsidR="00971AE2" w:rsidRPr="00F0734D">
        <w:tblPrEx>
          <w:tblCellMar>
            <w:top w:w="0" w:type="dxa"/>
            <w:bottom w:w="0" w:type="dxa"/>
          </w:tblCellMar>
        </w:tblPrEx>
        <w:trPr>
          <w:tblHeader/>
          <w:jc w:val="center"/>
        </w:trPr>
        <w:tc>
          <w:tcPr>
            <w:tcW w:w="3711" w:type="dxa"/>
          </w:tcPr>
          <w:p w:rsidR="00971AE2" w:rsidRPr="00F0734D" w:rsidRDefault="00971AE2" w:rsidP="00971AE2">
            <w:pPr>
              <w:spacing w:before="40" w:after="80" w:line="240" w:lineRule="exact"/>
              <w:ind w:right="144"/>
              <w:jc w:val="left"/>
              <w:rPr>
                <w:sz w:val="24"/>
                <w:szCs w:val="24"/>
                <w:rtl/>
                <w:lang w:bidi="ar-EG"/>
              </w:rPr>
            </w:pPr>
            <w:r w:rsidRPr="00F0734D">
              <w:rPr>
                <w:rFonts w:hint="cs"/>
                <w:sz w:val="24"/>
                <w:szCs w:val="24"/>
                <w:rtl/>
                <w:lang w:bidi="ar-EG"/>
              </w:rPr>
              <w:t>التعليم المتعلق بالمجالس المجتمعية النسائية</w:t>
            </w:r>
          </w:p>
        </w:tc>
        <w:tc>
          <w:tcPr>
            <w:tcW w:w="2440" w:type="dxa"/>
          </w:tcPr>
          <w:p w:rsidR="00971AE2" w:rsidRPr="00F0734D" w:rsidRDefault="00971AE2" w:rsidP="00F0734D">
            <w:pPr>
              <w:spacing w:before="40" w:after="80" w:line="240" w:lineRule="exact"/>
              <w:ind w:right="144"/>
              <w:jc w:val="lowKashida"/>
              <w:rPr>
                <w:sz w:val="24"/>
                <w:szCs w:val="24"/>
                <w:rtl/>
                <w:lang w:bidi="ar-EG"/>
              </w:rPr>
            </w:pPr>
            <w:r w:rsidRPr="00F0734D">
              <w:rPr>
                <w:rFonts w:hint="cs"/>
                <w:sz w:val="24"/>
                <w:szCs w:val="24"/>
                <w:rtl/>
                <w:lang w:bidi="ar-EG"/>
              </w:rPr>
              <w:t>الإدارة التنظيمية التابعة لرئاسة الجمهورية</w:t>
            </w:r>
          </w:p>
        </w:tc>
        <w:tc>
          <w:tcPr>
            <w:tcW w:w="2440" w:type="dxa"/>
          </w:tcPr>
          <w:p w:rsidR="00971AE2" w:rsidRPr="00F0734D" w:rsidRDefault="00971AE2" w:rsidP="00F0734D">
            <w:pPr>
              <w:spacing w:before="40" w:after="80" w:line="240" w:lineRule="exact"/>
              <w:ind w:right="144"/>
              <w:jc w:val="lowKashida"/>
              <w:rPr>
                <w:sz w:val="24"/>
                <w:szCs w:val="24"/>
                <w:rtl/>
                <w:lang w:bidi="ar-EG"/>
              </w:rPr>
            </w:pPr>
          </w:p>
        </w:tc>
      </w:tr>
      <w:tr w:rsidR="00971AE2" w:rsidRPr="00F0734D">
        <w:tblPrEx>
          <w:tblCellMar>
            <w:top w:w="0" w:type="dxa"/>
            <w:bottom w:w="0" w:type="dxa"/>
          </w:tblCellMar>
        </w:tblPrEx>
        <w:trPr>
          <w:tblHeader/>
          <w:jc w:val="center"/>
        </w:trPr>
        <w:tc>
          <w:tcPr>
            <w:tcW w:w="3711" w:type="dxa"/>
          </w:tcPr>
          <w:p w:rsidR="00971AE2" w:rsidRPr="00F0734D" w:rsidRDefault="00971AE2" w:rsidP="00971AE2">
            <w:pPr>
              <w:spacing w:before="40" w:after="80" w:line="240" w:lineRule="exact"/>
              <w:ind w:right="144"/>
              <w:jc w:val="left"/>
              <w:rPr>
                <w:sz w:val="24"/>
                <w:szCs w:val="24"/>
                <w:rtl/>
                <w:lang w:bidi="ar-EG"/>
              </w:rPr>
            </w:pPr>
          </w:p>
        </w:tc>
        <w:tc>
          <w:tcPr>
            <w:tcW w:w="2440" w:type="dxa"/>
          </w:tcPr>
          <w:p w:rsidR="00971AE2" w:rsidRPr="00F0734D" w:rsidRDefault="00971AE2" w:rsidP="00180789">
            <w:pPr>
              <w:spacing w:before="40" w:after="80" w:line="240" w:lineRule="exact"/>
              <w:ind w:right="144"/>
              <w:jc w:val="lowKashida"/>
              <w:rPr>
                <w:sz w:val="24"/>
                <w:szCs w:val="24"/>
                <w:rtl/>
                <w:lang w:bidi="ar-EG"/>
              </w:rPr>
            </w:pPr>
            <w:r w:rsidRPr="00F0734D">
              <w:rPr>
                <w:rFonts w:hint="cs"/>
                <w:sz w:val="24"/>
                <w:szCs w:val="24"/>
                <w:rtl/>
                <w:lang w:bidi="ar-EG"/>
              </w:rPr>
              <w:t xml:space="preserve"> والهيئة الاستشارية لرئيس الجمهورية فيما يتعلق بالمساواة بين الرجل والمرأة</w:t>
            </w:r>
            <w:r w:rsidR="003D7EB4">
              <w:rPr>
                <w:rFonts w:hint="cs"/>
                <w:sz w:val="24"/>
                <w:szCs w:val="24"/>
                <w:rtl/>
                <w:lang w:bidi="ar-EG"/>
              </w:rPr>
              <w:t>،</w:t>
            </w:r>
          </w:p>
        </w:tc>
        <w:tc>
          <w:tcPr>
            <w:tcW w:w="2440" w:type="dxa"/>
          </w:tcPr>
          <w:p w:rsidR="00971AE2" w:rsidRPr="00F0734D" w:rsidRDefault="00971AE2" w:rsidP="00F0734D">
            <w:pPr>
              <w:spacing w:before="40" w:after="80" w:line="240" w:lineRule="exact"/>
              <w:ind w:right="144"/>
              <w:jc w:val="lowKashida"/>
              <w:rPr>
                <w:sz w:val="24"/>
                <w:szCs w:val="24"/>
                <w:rtl/>
                <w:lang w:bidi="ar-EG"/>
              </w:rPr>
            </w:pPr>
            <w:r w:rsidRPr="00F0734D">
              <w:rPr>
                <w:rFonts w:hint="cs"/>
                <w:sz w:val="24"/>
                <w:szCs w:val="24"/>
                <w:rtl/>
                <w:lang w:bidi="ar-EG"/>
              </w:rPr>
              <w:t>الاتفاق المبرم بين إدارة التنظيم وبرنامج الأمم المتحدة الإنمائي</w:t>
            </w:r>
            <w:r w:rsidR="003D7EB4">
              <w:rPr>
                <w:rFonts w:hint="cs"/>
                <w:sz w:val="24"/>
                <w:szCs w:val="24"/>
                <w:rtl/>
                <w:lang w:bidi="ar-EG"/>
              </w:rPr>
              <w:t>،</w:t>
            </w:r>
          </w:p>
        </w:tc>
      </w:tr>
      <w:tr w:rsidR="00971AE2" w:rsidRPr="00F0734D">
        <w:tblPrEx>
          <w:tblCellMar>
            <w:top w:w="0" w:type="dxa"/>
            <w:bottom w:w="0" w:type="dxa"/>
          </w:tblCellMar>
        </w:tblPrEx>
        <w:trPr>
          <w:tblHeader/>
          <w:jc w:val="center"/>
        </w:trPr>
        <w:tc>
          <w:tcPr>
            <w:tcW w:w="3711" w:type="dxa"/>
          </w:tcPr>
          <w:p w:rsidR="00971AE2" w:rsidRPr="00F0734D" w:rsidRDefault="00971AE2" w:rsidP="00971AE2">
            <w:pPr>
              <w:spacing w:before="40" w:after="80" w:line="240" w:lineRule="exact"/>
              <w:ind w:right="144"/>
              <w:jc w:val="left"/>
              <w:rPr>
                <w:sz w:val="24"/>
                <w:szCs w:val="24"/>
                <w:rtl/>
                <w:lang w:bidi="ar-EG"/>
              </w:rPr>
            </w:pPr>
            <w:r w:rsidRPr="00F0734D">
              <w:rPr>
                <w:rFonts w:hint="cs"/>
                <w:sz w:val="24"/>
                <w:szCs w:val="24"/>
                <w:rtl/>
                <w:lang w:bidi="ar-EG"/>
              </w:rPr>
              <w:t>محافل ولقاءات مع الفاعلين المعنيين بالسياسة والزعماء الاجتماعيين والمجتمعيين</w:t>
            </w:r>
          </w:p>
        </w:tc>
        <w:tc>
          <w:tcPr>
            <w:tcW w:w="2440" w:type="dxa"/>
          </w:tcPr>
          <w:p w:rsidR="00971AE2" w:rsidRPr="00F0734D" w:rsidRDefault="00971AE2" w:rsidP="00F0734D">
            <w:pPr>
              <w:spacing w:before="40" w:after="80" w:line="240" w:lineRule="exact"/>
              <w:ind w:right="144"/>
              <w:jc w:val="lowKashida"/>
              <w:rPr>
                <w:sz w:val="24"/>
                <w:szCs w:val="24"/>
                <w:rtl/>
                <w:lang w:bidi="ar-EG"/>
              </w:rPr>
            </w:pPr>
            <w:r w:rsidRPr="00F0734D">
              <w:rPr>
                <w:rFonts w:hint="cs"/>
                <w:sz w:val="24"/>
                <w:szCs w:val="24"/>
                <w:rtl/>
                <w:lang w:bidi="ar-EG"/>
              </w:rPr>
              <w:t>إدارة التنظيم والهيئة الاستشارية لرئيس الجمهورية فيما يتعلق بالمساواة بين الرجل والمرأة والاتحاد الكولومبي لهيئات الحكم المحلي ومجالس البلديات والعُمد</w:t>
            </w:r>
            <w:r w:rsidR="003D7EB4">
              <w:rPr>
                <w:rFonts w:hint="cs"/>
                <w:sz w:val="24"/>
                <w:szCs w:val="24"/>
                <w:rtl/>
                <w:lang w:bidi="ar-EG"/>
              </w:rPr>
              <w:t>،</w:t>
            </w:r>
          </w:p>
        </w:tc>
        <w:tc>
          <w:tcPr>
            <w:tcW w:w="2440" w:type="dxa"/>
          </w:tcPr>
          <w:p w:rsidR="00971AE2" w:rsidRPr="00F0734D" w:rsidRDefault="00971AE2" w:rsidP="00F0734D">
            <w:pPr>
              <w:spacing w:before="40" w:after="80" w:line="240" w:lineRule="exact"/>
              <w:ind w:right="144"/>
              <w:jc w:val="lowKashida"/>
              <w:rPr>
                <w:sz w:val="24"/>
                <w:szCs w:val="24"/>
                <w:rtl/>
                <w:lang w:bidi="ar-EG"/>
              </w:rPr>
            </w:pPr>
            <w:r w:rsidRPr="00F0734D">
              <w:rPr>
                <w:rFonts w:hint="cs"/>
                <w:sz w:val="24"/>
                <w:szCs w:val="24"/>
                <w:rtl/>
                <w:lang w:bidi="ar-EG"/>
              </w:rPr>
              <w:t>إدارة التنظيم والهيئة الاستشارية لرئيس الجمهورية فيما يتعلق بالمساواة بين الرجل والمرأة</w:t>
            </w:r>
            <w:r w:rsidR="003D7EB4">
              <w:rPr>
                <w:rFonts w:hint="cs"/>
                <w:sz w:val="24"/>
                <w:szCs w:val="24"/>
                <w:rtl/>
                <w:lang w:bidi="ar-EG"/>
              </w:rPr>
              <w:t>،</w:t>
            </w:r>
          </w:p>
        </w:tc>
      </w:tr>
      <w:tr w:rsidR="00971AE2" w:rsidRPr="00F0734D">
        <w:tblPrEx>
          <w:tblCellMar>
            <w:top w:w="0" w:type="dxa"/>
            <w:bottom w:w="0" w:type="dxa"/>
          </w:tblCellMar>
        </w:tblPrEx>
        <w:trPr>
          <w:tblHeader/>
          <w:jc w:val="center"/>
        </w:trPr>
        <w:tc>
          <w:tcPr>
            <w:tcW w:w="3711" w:type="dxa"/>
          </w:tcPr>
          <w:p w:rsidR="00971AE2" w:rsidRPr="00F0734D" w:rsidRDefault="00971AE2" w:rsidP="00971AE2">
            <w:pPr>
              <w:spacing w:before="40" w:after="80" w:line="240" w:lineRule="exact"/>
              <w:ind w:right="144"/>
              <w:jc w:val="left"/>
              <w:rPr>
                <w:sz w:val="24"/>
                <w:szCs w:val="24"/>
                <w:rtl/>
                <w:lang w:bidi="ar-EG"/>
              </w:rPr>
            </w:pPr>
            <w:r w:rsidRPr="00F0734D">
              <w:rPr>
                <w:rFonts w:hint="cs"/>
                <w:sz w:val="24"/>
                <w:szCs w:val="24"/>
                <w:rtl/>
                <w:lang w:bidi="ar-EG"/>
              </w:rPr>
              <w:t>الميزانيات التشاركية المراعيد للبُعد الجنساني</w:t>
            </w:r>
            <w:r w:rsidR="003D7EB4">
              <w:rPr>
                <w:rFonts w:hint="cs"/>
                <w:sz w:val="24"/>
                <w:szCs w:val="24"/>
                <w:rtl/>
                <w:lang w:bidi="ar-EG"/>
              </w:rPr>
              <w:t>،</w:t>
            </w:r>
          </w:p>
        </w:tc>
        <w:tc>
          <w:tcPr>
            <w:tcW w:w="2440" w:type="dxa"/>
          </w:tcPr>
          <w:p w:rsidR="00971AE2" w:rsidRPr="00F0734D" w:rsidRDefault="00971AE2" w:rsidP="00F0734D">
            <w:pPr>
              <w:spacing w:before="40" w:after="80" w:line="240" w:lineRule="exact"/>
              <w:ind w:right="144"/>
              <w:jc w:val="lowKashida"/>
              <w:rPr>
                <w:sz w:val="24"/>
                <w:szCs w:val="24"/>
                <w:rtl/>
                <w:lang w:bidi="ar-EG"/>
              </w:rPr>
            </w:pPr>
            <w:r w:rsidRPr="00F0734D">
              <w:rPr>
                <w:rFonts w:hint="cs"/>
                <w:sz w:val="24"/>
                <w:szCs w:val="24"/>
                <w:rtl/>
                <w:lang w:bidi="ar-EG"/>
              </w:rPr>
              <w:t>إدارة التنظيم والهيئة الاستشارية لرئيس الجمهورية فيما يتعلق بالمساواة بين الرجل والمرأة وهيئات الحكم المحلي ومجالس العُمد وبرنامج الأمم المتحدة الإنمائي والوكالة الاقليمية للتنمية ومعهد الأمم المتحدة للنهوض بالمرأة</w:t>
            </w:r>
            <w:r w:rsidR="003D7EB4">
              <w:rPr>
                <w:rFonts w:hint="cs"/>
                <w:sz w:val="24"/>
                <w:szCs w:val="24"/>
                <w:rtl/>
                <w:lang w:bidi="ar-EG"/>
              </w:rPr>
              <w:t>،</w:t>
            </w:r>
          </w:p>
        </w:tc>
        <w:tc>
          <w:tcPr>
            <w:tcW w:w="2440" w:type="dxa"/>
          </w:tcPr>
          <w:p w:rsidR="00971AE2" w:rsidRPr="00F0734D" w:rsidRDefault="00971AE2" w:rsidP="00F0734D">
            <w:pPr>
              <w:spacing w:before="40" w:after="80" w:line="240" w:lineRule="exact"/>
              <w:ind w:right="144"/>
              <w:jc w:val="lowKashida"/>
              <w:rPr>
                <w:sz w:val="24"/>
                <w:szCs w:val="24"/>
                <w:rtl/>
                <w:lang w:bidi="ar-EG"/>
              </w:rPr>
            </w:pPr>
            <w:r w:rsidRPr="00F0734D">
              <w:rPr>
                <w:rFonts w:hint="cs"/>
                <w:sz w:val="24"/>
                <w:szCs w:val="24"/>
                <w:rtl/>
                <w:lang w:bidi="ar-EG"/>
              </w:rPr>
              <w:t>الاتفاق المبرم بين إدارة التنظيم وبرنامج الأمم المتحدة الإنمائي ومذكرة التفاهم الموقعة بين إدارة التنظيم ومعهد الأمم المتحدة للنهوض بالمرأة و الوكالة الاقليمية للتنمية وبرنامج الأمم المتحدة الإنمائي</w:t>
            </w:r>
            <w:r w:rsidR="003D7EB4">
              <w:rPr>
                <w:rFonts w:hint="cs"/>
                <w:sz w:val="24"/>
                <w:szCs w:val="24"/>
                <w:rtl/>
                <w:lang w:bidi="ar-EG"/>
              </w:rPr>
              <w:t>،</w:t>
            </w:r>
          </w:p>
        </w:tc>
      </w:tr>
    </w:tbl>
    <w:p w:rsidR="00C50A2F" w:rsidRPr="00C50A2F" w:rsidRDefault="00C50A2F" w:rsidP="00C50A2F">
      <w:pPr>
        <w:pStyle w:val="SingleTxt"/>
        <w:spacing w:after="0" w:line="120" w:lineRule="exact"/>
        <w:jc w:val="left"/>
        <w:rPr>
          <w:rFonts w:hint="cs"/>
          <w:sz w:val="10"/>
          <w:rtl/>
          <w:lang w:bidi="ar-EG"/>
        </w:rPr>
      </w:pPr>
    </w:p>
    <w:p w:rsidR="00971AE2" w:rsidRDefault="00C50A2F" w:rsidP="00C50A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EG"/>
        </w:rPr>
        <w:tab/>
      </w:r>
      <w:r w:rsidR="00971AE2">
        <w:rPr>
          <w:rFonts w:hint="cs"/>
          <w:rtl/>
          <w:lang w:bidi="ar-EG"/>
        </w:rPr>
        <w:t>5-</w:t>
      </w:r>
      <w:r w:rsidR="00971AE2">
        <w:rPr>
          <w:rFonts w:hint="cs"/>
          <w:rtl/>
          <w:lang w:bidi="ar-EG"/>
        </w:rPr>
        <w:tab/>
        <w:t>مجال الصحة</w:t>
      </w:r>
    </w:p>
    <w:p w:rsidR="00971AE2" w:rsidRDefault="00971AE2" w:rsidP="00971AE2">
      <w:pPr>
        <w:pStyle w:val="SingleTxt"/>
        <w:spacing w:after="0" w:line="120" w:lineRule="exact"/>
        <w:jc w:val="left"/>
        <w:rPr>
          <w:sz w:val="10"/>
          <w:rtl/>
          <w:lang w:bidi="ar-EG"/>
        </w:rPr>
      </w:pPr>
    </w:p>
    <w:tbl>
      <w:tblPr>
        <w:bidiVisual/>
        <w:tblW w:w="7320" w:type="dxa"/>
        <w:jc w:val="center"/>
        <w:tblLayout w:type="fixed"/>
        <w:tblCellMar>
          <w:left w:w="0" w:type="dxa"/>
          <w:right w:w="0" w:type="dxa"/>
        </w:tblCellMar>
        <w:tblLook w:val="0000" w:firstRow="0" w:lastRow="0" w:firstColumn="0" w:lastColumn="0" w:noHBand="0" w:noVBand="0"/>
      </w:tblPr>
      <w:tblGrid>
        <w:gridCol w:w="2440"/>
        <w:gridCol w:w="2440"/>
        <w:gridCol w:w="2440"/>
      </w:tblGrid>
      <w:tr w:rsidR="00971AE2" w:rsidRPr="00C50A2F">
        <w:tblPrEx>
          <w:tblCellMar>
            <w:top w:w="0" w:type="dxa"/>
            <w:bottom w:w="0" w:type="dxa"/>
          </w:tblCellMar>
        </w:tblPrEx>
        <w:trPr>
          <w:cantSplit/>
          <w:tblHeader/>
          <w:jc w:val="center"/>
        </w:trPr>
        <w:tc>
          <w:tcPr>
            <w:tcW w:w="2440" w:type="dxa"/>
            <w:tcBorders>
              <w:top w:val="single" w:sz="4" w:space="0" w:color="auto"/>
              <w:bottom w:val="single" w:sz="12" w:space="0" w:color="auto"/>
            </w:tcBorders>
            <w:vAlign w:val="bottom"/>
          </w:tcPr>
          <w:p w:rsidR="00971AE2" w:rsidRPr="00C50A2F" w:rsidRDefault="00971AE2" w:rsidP="00971AE2">
            <w:pPr>
              <w:tabs>
                <w:tab w:val="left" w:pos="288"/>
                <w:tab w:val="left" w:pos="576"/>
                <w:tab w:val="left" w:pos="864"/>
                <w:tab w:val="left" w:pos="1152"/>
              </w:tabs>
              <w:spacing w:before="80" w:after="80" w:line="240" w:lineRule="exact"/>
              <w:ind w:right="40"/>
              <w:jc w:val="left"/>
              <w:rPr>
                <w:rFonts w:hint="cs"/>
                <w:i/>
                <w:iCs/>
                <w:sz w:val="24"/>
                <w:szCs w:val="24"/>
                <w:rtl/>
                <w:lang w:bidi="ar-EG"/>
              </w:rPr>
            </w:pPr>
            <w:r w:rsidRPr="00C50A2F">
              <w:rPr>
                <w:rFonts w:hint="cs"/>
                <w:i/>
                <w:iCs/>
                <w:sz w:val="24"/>
                <w:szCs w:val="24"/>
                <w:rtl/>
                <w:lang w:bidi="ar-EG"/>
              </w:rPr>
              <w:t>البرنامج</w:t>
            </w:r>
          </w:p>
        </w:tc>
        <w:tc>
          <w:tcPr>
            <w:tcW w:w="2440" w:type="dxa"/>
            <w:tcBorders>
              <w:top w:val="single" w:sz="4" w:space="0" w:color="auto"/>
              <w:bottom w:val="single" w:sz="12" w:space="0" w:color="auto"/>
            </w:tcBorders>
            <w:vAlign w:val="bottom"/>
          </w:tcPr>
          <w:p w:rsidR="00971AE2" w:rsidRPr="00C50A2F"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C50A2F">
              <w:rPr>
                <w:rFonts w:hint="cs"/>
                <w:i/>
                <w:iCs/>
                <w:sz w:val="24"/>
                <w:szCs w:val="24"/>
                <w:rtl/>
                <w:lang w:bidi="ar-EG"/>
              </w:rPr>
              <w:t>الهيئات الملتزمة</w:t>
            </w:r>
          </w:p>
        </w:tc>
        <w:tc>
          <w:tcPr>
            <w:tcW w:w="2440" w:type="dxa"/>
            <w:tcBorders>
              <w:top w:val="single" w:sz="4" w:space="0" w:color="auto"/>
              <w:bottom w:val="single" w:sz="12" w:space="0" w:color="auto"/>
            </w:tcBorders>
            <w:vAlign w:val="bottom"/>
          </w:tcPr>
          <w:p w:rsidR="00971AE2" w:rsidRPr="00C50A2F"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C50A2F">
              <w:rPr>
                <w:rFonts w:hint="cs"/>
                <w:i/>
                <w:iCs/>
                <w:sz w:val="24"/>
                <w:szCs w:val="24"/>
                <w:rtl/>
                <w:lang w:bidi="ar-EG"/>
              </w:rPr>
              <w:t>التمويل</w:t>
            </w:r>
          </w:p>
        </w:tc>
      </w:tr>
      <w:tr w:rsidR="00971AE2" w:rsidRPr="00C50A2F">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971AE2" w:rsidRPr="00C50A2F"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p>
        </w:tc>
        <w:tc>
          <w:tcPr>
            <w:tcW w:w="2440" w:type="dxa"/>
            <w:tcBorders>
              <w:top w:val="single" w:sz="12" w:space="0" w:color="auto"/>
            </w:tcBorders>
            <w:vAlign w:val="bottom"/>
          </w:tcPr>
          <w:p w:rsidR="00971AE2" w:rsidRPr="00C50A2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p>
        </w:tc>
        <w:tc>
          <w:tcPr>
            <w:tcW w:w="2440" w:type="dxa"/>
            <w:tcBorders>
              <w:top w:val="single" w:sz="12" w:space="0" w:color="auto"/>
            </w:tcBorders>
            <w:vAlign w:val="bottom"/>
          </w:tcPr>
          <w:p w:rsidR="00971AE2" w:rsidRPr="00C50A2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p>
        </w:tc>
      </w:tr>
      <w:tr w:rsidR="00971AE2" w:rsidRPr="00C50A2F">
        <w:tblPrEx>
          <w:tblCellMar>
            <w:top w:w="0" w:type="dxa"/>
            <w:bottom w:w="0" w:type="dxa"/>
          </w:tblCellMar>
        </w:tblPrEx>
        <w:trPr>
          <w:cantSplit/>
          <w:jc w:val="center"/>
        </w:trPr>
        <w:tc>
          <w:tcPr>
            <w:tcW w:w="2440" w:type="dxa"/>
            <w:tcBorders>
              <w:bottom w:val="single" w:sz="12" w:space="0" w:color="auto"/>
            </w:tcBorders>
          </w:tcPr>
          <w:p w:rsidR="00971AE2" w:rsidRPr="00C50A2F" w:rsidRDefault="00971AE2" w:rsidP="0025690D">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50A2F">
              <w:rPr>
                <w:rFonts w:hint="cs"/>
                <w:sz w:val="24"/>
                <w:szCs w:val="24"/>
                <w:rtl/>
                <w:lang w:bidi="ar-EG"/>
              </w:rPr>
              <w:t xml:space="preserve">نشر </w:t>
            </w:r>
            <w:r w:rsidRPr="00C50A2F">
              <w:rPr>
                <w:rFonts w:hint="eastAsia"/>
                <w:sz w:val="24"/>
                <w:szCs w:val="24"/>
                <w:rtl/>
                <w:lang w:bidi="ar-EG"/>
              </w:rPr>
              <w:t>”السياسة الوطنية للصحة الجنسية والتناسلية</w:t>
            </w:r>
            <w:r w:rsidRPr="00C50A2F">
              <w:rPr>
                <w:rFonts w:hint="cs"/>
                <w:sz w:val="24"/>
                <w:szCs w:val="24"/>
                <w:rtl/>
                <w:lang w:bidi="ar-EG"/>
              </w:rPr>
              <w:t>“</w:t>
            </w:r>
            <w:r w:rsidR="003D7EB4">
              <w:rPr>
                <w:rFonts w:hint="cs"/>
                <w:sz w:val="24"/>
                <w:szCs w:val="24"/>
                <w:rtl/>
                <w:lang w:bidi="ar-EG"/>
              </w:rPr>
              <w:t>،</w:t>
            </w:r>
          </w:p>
        </w:tc>
        <w:tc>
          <w:tcPr>
            <w:tcW w:w="2440" w:type="dxa"/>
            <w:tcBorders>
              <w:bottom w:val="single" w:sz="12" w:space="0" w:color="auto"/>
            </w:tcBorders>
          </w:tcPr>
          <w:p w:rsidR="00971AE2" w:rsidRPr="00C50A2F" w:rsidRDefault="00971AE2" w:rsidP="0025690D">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50A2F">
              <w:rPr>
                <w:rFonts w:hint="cs"/>
                <w:sz w:val="24"/>
                <w:szCs w:val="24"/>
                <w:rtl/>
                <w:lang w:bidi="ar-EG"/>
              </w:rPr>
              <w:t>إدارة التنظيم والهيئة الاستشارية لرئيس الجمهورية فيما يتعلق بالمساواة بين الرجل والمرأة ووزارة الرعاية الاجتماعية</w:t>
            </w:r>
            <w:r w:rsidR="003D7EB4">
              <w:rPr>
                <w:rFonts w:hint="cs"/>
                <w:sz w:val="24"/>
                <w:szCs w:val="24"/>
                <w:rtl/>
                <w:lang w:bidi="ar-EG"/>
              </w:rPr>
              <w:t>،</w:t>
            </w:r>
          </w:p>
        </w:tc>
        <w:tc>
          <w:tcPr>
            <w:tcW w:w="2440" w:type="dxa"/>
            <w:tcBorders>
              <w:bottom w:val="single" w:sz="12" w:space="0" w:color="auto"/>
            </w:tcBorders>
          </w:tcPr>
          <w:p w:rsidR="00971AE2" w:rsidRPr="00C50A2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r w:rsidRPr="00C50A2F">
              <w:rPr>
                <w:rFonts w:hint="cs"/>
                <w:sz w:val="24"/>
                <w:szCs w:val="24"/>
                <w:rtl/>
                <w:lang w:bidi="ar-EG"/>
              </w:rPr>
              <w:t>البرنامج المتعدد القطاعات</w:t>
            </w:r>
            <w:r w:rsidR="003D7EB4">
              <w:rPr>
                <w:rFonts w:hint="cs"/>
                <w:sz w:val="24"/>
                <w:szCs w:val="24"/>
                <w:rtl/>
                <w:lang w:bidi="ar-EG"/>
              </w:rPr>
              <w:t>،</w:t>
            </w:r>
          </w:p>
        </w:tc>
      </w:tr>
    </w:tbl>
    <w:p w:rsidR="00C50A2F" w:rsidRPr="00C50A2F" w:rsidRDefault="00C50A2F" w:rsidP="00C50A2F">
      <w:pPr>
        <w:pStyle w:val="SingleTxt"/>
        <w:spacing w:after="0" w:line="120" w:lineRule="exact"/>
        <w:jc w:val="left"/>
        <w:rPr>
          <w:rFonts w:hint="cs"/>
          <w:sz w:val="10"/>
          <w:rtl/>
          <w:lang w:bidi="ar-EG"/>
        </w:rPr>
      </w:pPr>
    </w:p>
    <w:p w:rsidR="00971AE2" w:rsidRDefault="00C50A2F" w:rsidP="00C50A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EG"/>
        </w:rPr>
        <w:tab/>
      </w:r>
      <w:r w:rsidR="00971AE2">
        <w:rPr>
          <w:rFonts w:hint="cs"/>
          <w:rtl/>
          <w:lang w:bidi="ar-EG"/>
        </w:rPr>
        <w:t>6-</w:t>
      </w:r>
      <w:r w:rsidR="00971AE2">
        <w:rPr>
          <w:rFonts w:hint="cs"/>
          <w:rtl/>
          <w:lang w:bidi="ar-EG"/>
        </w:rPr>
        <w:tab/>
        <w:t>مجال التعزيز المؤسسي</w:t>
      </w:r>
    </w:p>
    <w:p w:rsidR="00971AE2" w:rsidRDefault="00971AE2" w:rsidP="00971AE2">
      <w:pPr>
        <w:pStyle w:val="SingleTxt"/>
        <w:spacing w:after="0" w:line="120" w:lineRule="exact"/>
        <w:jc w:val="left"/>
        <w:rPr>
          <w:sz w:val="10"/>
          <w:rtl/>
          <w:lang w:bidi="ar-EG"/>
        </w:rPr>
      </w:pPr>
    </w:p>
    <w:tbl>
      <w:tblPr>
        <w:bidiVisual/>
        <w:tblW w:w="7320" w:type="dxa"/>
        <w:jc w:val="center"/>
        <w:tblLayout w:type="fixed"/>
        <w:tblCellMar>
          <w:left w:w="0" w:type="dxa"/>
          <w:right w:w="0" w:type="dxa"/>
        </w:tblCellMar>
        <w:tblLook w:val="0000" w:firstRow="0" w:lastRow="0" w:firstColumn="0" w:lastColumn="0" w:noHBand="0" w:noVBand="0"/>
      </w:tblPr>
      <w:tblGrid>
        <w:gridCol w:w="2440"/>
        <w:gridCol w:w="2440"/>
        <w:gridCol w:w="2440"/>
      </w:tblGrid>
      <w:tr w:rsidR="00971AE2" w:rsidRPr="00C50A2F">
        <w:tblPrEx>
          <w:tblCellMar>
            <w:top w:w="0" w:type="dxa"/>
            <w:bottom w:w="0" w:type="dxa"/>
          </w:tblCellMar>
        </w:tblPrEx>
        <w:trPr>
          <w:cantSplit/>
          <w:tblHeader/>
          <w:jc w:val="center"/>
        </w:trPr>
        <w:tc>
          <w:tcPr>
            <w:tcW w:w="2440" w:type="dxa"/>
            <w:tcBorders>
              <w:top w:val="single" w:sz="4" w:space="0" w:color="auto"/>
              <w:bottom w:val="single" w:sz="12" w:space="0" w:color="auto"/>
            </w:tcBorders>
            <w:vAlign w:val="bottom"/>
          </w:tcPr>
          <w:p w:rsidR="00971AE2" w:rsidRPr="00C50A2F" w:rsidRDefault="00971AE2" w:rsidP="00971AE2">
            <w:pPr>
              <w:tabs>
                <w:tab w:val="left" w:pos="288"/>
                <w:tab w:val="left" w:pos="576"/>
                <w:tab w:val="left" w:pos="864"/>
                <w:tab w:val="left" w:pos="1152"/>
              </w:tabs>
              <w:spacing w:before="80" w:after="80" w:line="240" w:lineRule="exact"/>
              <w:ind w:right="40"/>
              <w:jc w:val="left"/>
              <w:rPr>
                <w:rFonts w:hint="cs"/>
                <w:i/>
                <w:iCs/>
                <w:sz w:val="24"/>
                <w:szCs w:val="24"/>
                <w:rtl/>
                <w:lang w:bidi="ar-EG"/>
              </w:rPr>
            </w:pPr>
            <w:r w:rsidRPr="00C50A2F">
              <w:rPr>
                <w:rFonts w:hint="cs"/>
                <w:i/>
                <w:iCs/>
                <w:sz w:val="24"/>
                <w:szCs w:val="24"/>
                <w:rtl/>
                <w:lang w:bidi="ar-EG"/>
              </w:rPr>
              <w:t>البرنامج</w:t>
            </w:r>
          </w:p>
        </w:tc>
        <w:tc>
          <w:tcPr>
            <w:tcW w:w="2440" w:type="dxa"/>
            <w:tcBorders>
              <w:top w:val="single" w:sz="4" w:space="0" w:color="auto"/>
              <w:bottom w:val="single" w:sz="12" w:space="0" w:color="auto"/>
            </w:tcBorders>
            <w:vAlign w:val="bottom"/>
          </w:tcPr>
          <w:p w:rsidR="00971AE2" w:rsidRPr="00C50A2F"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C50A2F">
              <w:rPr>
                <w:rFonts w:hint="cs"/>
                <w:i/>
                <w:iCs/>
                <w:sz w:val="24"/>
                <w:szCs w:val="24"/>
                <w:rtl/>
                <w:lang w:bidi="ar-EG"/>
              </w:rPr>
              <w:t>الهيئات الملتزمة</w:t>
            </w:r>
          </w:p>
        </w:tc>
        <w:tc>
          <w:tcPr>
            <w:tcW w:w="2440" w:type="dxa"/>
            <w:tcBorders>
              <w:top w:val="single" w:sz="4" w:space="0" w:color="auto"/>
              <w:bottom w:val="single" w:sz="12" w:space="0" w:color="auto"/>
            </w:tcBorders>
            <w:vAlign w:val="bottom"/>
          </w:tcPr>
          <w:p w:rsidR="00971AE2" w:rsidRPr="00C50A2F"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C50A2F">
              <w:rPr>
                <w:rFonts w:hint="cs"/>
                <w:i/>
                <w:iCs/>
                <w:sz w:val="24"/>
                <w:szCs w:val="24"/>
                <w:rtl/>
                <w:lang w:bidi="ar-EG"/>
              </w:rPr>
              <w:t>التمويل</w:t>
            </w:r>
          </w:p>
        </w:tc>
      </w:tr>
      <w:tr w:rsidR="00971AE2" w:rsidRPr="00C50A2F">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971AE2" w:rsidRPr="00C50A2F"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p>
        </w:tc>
        <w:tc>
          <w:tcPr>
            <w:tcW w:w="2440" w:type="dxa"/>
            <w:tcBorders>
              <w:top w:val="single" w:sz="12" w:space="0" w:color="auto"/>
            </w:tcBorders>
            <w:vAlign w:val="bottom"/>
          </w:tcPr>
          <w:p w:rsidR="00971AE2" w:rsidRPr="00C50A2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p>
        </w:tc>
        <w:tc>
          <w:tcPr>
            <w:tcW w:w="2440" w:type="dxa"/>
            <w:tcBorders>
              <w:top w:val="single" w:sz="12" w:space="0" w:color="auto"/>
            </w:tcBorders>
            <w:vAlign w:val="bottom"/>
          </w:tcPr>
          <w:p w:rsidR="00971AE2" w:rsidRPr="00C50A2F"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p>
        </w:tc>
      </w:tr>
      <w:tr w:rsidR="00971AE2" w:rsidRPr="00C50A2F">
        <w:tblPrEx>
          <w:tblCellMar>
            <w:top w:w="0" w:type="dxa"/>
            <w:bottom w:w="0" w:type="dxa"/>
          </w:tblCellMar>
        </w:tblPrEx>
        <w:trPr>
          <w:cantSplit/>
          <w:jc w:val="center"/>
        </w:trPr>
        <w:tc>
          <w:tcPr>
            <w:tcW w:w="2440" w:type="dxa"/>
          </w:tcPr>
          <w:p w:rsidR="00971AE2" w:rsidRPr="00C50A2F" w:rsidRDefault="00971AE2" w:rsidP="00C851BF">
            <w:pPr>
              <w:tabs>
                <w:tab w:val="left" w:pos="288"/>
                <w:tab w:val="left" w:pos="576"/>
                <w:tab w:val="left" w:pos="864"/>
                <w:tab w:val="left" w:pos="1152"/>
              </w:tabs>
              <w:spacing w:before="40" w:after="80" w:line="300" w:lineRule="exact"/>
              <w:ind w:right="40"/>
              <w:jc w:val="left"/>
              <w:rPr>
                <w:rFonts w:hint="cs"/>
                <w:sz w:val="24"/>
                <w:szCs w:val="24"/>
                <w:rtl/>
                <w:lang w:bidi="ar-EG"/>
              </w:rPr>
            </w:pPr>
            <w:r w:rsidRPr="00C50A2F">
              <w:rPr>
                <w:rFonts w:hint="cs"/>
                <w:sz w:val="24"/>
                <w:szCs w:val="24"/>
                <w:rtl/>
                <w:lang w:bidi="ar-EG"/>
              </w:rPr>
              <w:t>(أ)</w:t>
            </w:r>
            <w:r w:rsidRPr="00C50A2F">
              <w:rPr>
                <w:sz w:val="24"/>
                <w:szCs w:val="24"/>
                <w:rtl/>
                <w:lang w:bidi="ar-EG"/>
              </w:rPr>
              <w:tab/>
            </w:r>
            <w:r w:rsidRPr="00C50A2F">
              <w:rPr>
                <w:rFonts w:hint="cs"/>
                <w:sz w:val="24"/>
                <w:szCs w:val="24"/>
                <w:rtl/>
                <w:lang w:bidi="ar-EG"/>
              </w:rPr>
              <w:tab/>
              <w:t>بنك المشاريع</w:t>
            </w:r>
            <w:r w:rsidR="003D7EB4">
              <w:rPr>
                <w:rFonts w:hint="cs"/>
                <w:sz w:val="24"/>
                <w:szCs w:val="24"/>
                <w:rtl/>
                <w:lang w:bidi="ar-EG"/>
              </w:rPr>
              <w:t>،</w:t>
            </w:r>
          </w:p>
        </w:tc>
        <w:tc>
          <w:tcPr>
            <w:tcW w:w="2440" w:type="dxa"/>
          </w:tcPr>
          <w:p w:rsidR="00971AE2" w:rsidRPr="00C50A2F" w:rsidRDefault="00971AE2" w:rsidP="00180789">
            <w:pPr>
              <w:pStyle w:val="SingleTxt"/>
              <w:spacing w:line="300" w:lineRule="exact"/>
              <w:ind w:left="144" w:right="144"/>
              <w:rPr>
                <w:rFonts w:hint="cs"/>
                <w:sz w:val="24"/>
                <w:szCs w:val="24"/>
                <w:rtl/>
                <w:lang w:bidi="ar-EG"/>
              </w:rPr>
            </w:pPr>
            <w:r w:rsidRPr="00C50A2F">
              <w:rPr>
                <w:rFonts w:hint="cs"/>
                <w:sz w:val="24"/>
                <w:szCs w:val="24"/>
                <w:rtl/>
                <w:lang w:bidi="ar-EG"/>
              </w:rPr>
              <w:t>إدارة التنظيم والهيئة الاستشارية لرئيس الجمهورية فيما يتعلق بالمساواة بين الرجل والمرأة</w:t>
            </w:r>
            <w:r w:rsidR="003D7EB4">
              <w:rPr>
                <w:rFonts w:hint="cs"/>
                <w:sz w:val="24"/>
                <w:szCs w:val="24"/>
                <w:rtl/>
                <w:lang w:bidi="ar-EG"/>
              </w:rPr>
              <w:t>،</w:t>
            </w:r>
          </w:p>
        </w:tc>
        <w:tc>
          <w:tcPr>
            <w:tcW w:w="2440" w:type="dxa"/>
          </w:tcPr>
          <w:p w:rsidR="00971AE2" w:rsidRPr="00C50A2F" w:rsidRDefault="00971AE2" w:rsidP="00180789">
            <w:pPr>
              <w:pStyle w:val="SingleTxt"/>
              <w:spacing w:line="300" w:lineRule="exact"/>
              <w:ind w:left="144" w:right="144"/>
              <w:rPr>
                <w:rFonts w:hint="cs"/>
                <w:sz w:val="24"/>
                <w:szCs w:val="24"/>
                <w:rtl/>
                <w:lang w:bidi="ar-EG"/>
              </w:rPr>
            </w:pPr>
            <w:r w:rsidRPr="00C50A2F">
              <w:rPr>
                <w:rFonts w:hint="cs"/>
                <w:sz w:val="24"/>
                <w:szCs w:val="24"/>
                <w:rtl/>
                <w:lang w:bidi="ar-EG"/>
              </w:rPr>
              <w:t>الاتفاق المبرم بين إدارة التنظيم وبرنامج الأمم المتحدة الإنمائي</w:t>
            </w:r>
            <w:r w:rsidR="003D7EB4">
              <w:rPr>
                <w:rFonts w:hint="cs"/>
                <w:sz w:val="24"/>
                <w:szCs w:val="24"/>
                <w:rtl/>
                <w:lang w:bidi="ar-EG"/>
              </w:rPr>
              <w:t>،</w:t>
            </w:r>
          </w:p>
        </w:tc>
      </w:tr>
      <w:tr w:rsidR="00971AE2" w:rsidRPr="00C50A2F">
        <w:tblPrEx>
          <w:tblCellMar>
            <w:top w:w="0" w:type="dxa"/>
            <w:bottom w:w="0" w:type="dxa"/>
          </w:tblCellMar>
        </w:tblPrEx>
        <w:trPr>
          <w:cantSplit/>
          <w:jc w:val="center"/>
        </w:trPr>
        <w:tc>
          <w:tcPr>
            <w:tcW w:w="2440" w:type="dxa"/>
          </w:tcPr>
          <w:p w:rsidR="00971AE2" w:rsidRPr="00C50A2F" w:rsidRDefault="00971AE2" w:rsidP="00C851BF">
            <w:pPr>
              <w:tabs>
                <w:tab w:val="left" w:pos="288"/>
                <w:tab w:val="left" w:pos="576"/>
                <w:tab w:val="left" w:pos="864"/>
                <w:tab w:val="left" w:pos="1152"/>
              </w:tabs>
              <w:spacing w:before="40" w:after="80" w:line="300" w:lineRule="exact"/>
              <w:ind w:right="40"/>
              <w:jc w:val="left"/>
              <w:rPr>
                <w:rFonts w:hint="cs"/>
                <w:sz w:val="24"/>
                <w:szCs w:val="24"/>
                <w:rtl/>
                <w:lang w:bidi="ar-EG"/>
              </w:rPr>
            </w:pPr>
            <w:r w:rsidRPr="00C50A2F">
              <w:rPr>
                <w:rFonts w:hint="cs"/>
                <w:sz w:val="24"/>
                <w:szCs w:val="24"/>
                <w:rtl/>
                <w:lang w:bidi="ar-EG"/>
              </w:rPr>
              <w:t>(ب)</w:t>
            </w:r>
            <w:r w:rsidRPr="00C50A2F">
              <w:rPr>
                <w:sz w:val="24"/>
                <w:szCs w:val="24"/>
                <w:rtl/>
                <w:lang w:bidi="ar-EG"/>
              </w:rPr>
              <w:tab/>
            </w:r>
            <w:r w:rsidRPr="00C50A2F">
              <w:rPr>
                <w:rFonts w:hint="cs"/>
                <w:sz w:val="24"/>
                <w:szCs w:val="24"/>
                <w:rtl/>
                <w:lang w:bidi="ar-EG"/>
              </w:rPr>
              <w:t>مصرف البيانات</w:t>
            </w:r>
            <w:r w:rsidR="003D7EB4">
              <w:rPr>
                <w:rFonts w:hint="cs"/>
                <w:sz w:val="24"/>
                <w:szCs w:val="24"/>
                <w:rtl/>
                <w:lang w:bidi="ar-EG"/>
              </w:rPr>
              <w:t>،</w:t>
            </w:r>
          </w:p>
        </w:tc>
        <w:tc>
          <w:tcPr>
            <w:tcW w:w="2440" w:type="dxa"/>
          </w:tcPr>
          <w:p w:rsidR="00971AE2" w:rsidRPr="00C50A2F" w:rsidRDefault="00971AE2" w:rsidP="00180789">
            <w:pPr>
              <w:spacing w:before="40" w:after="80" w:line="300" w:lineRule="exact"/>
              <w:ind w:right="144"/>
              <w:jc w:val="lowKashida"/>
              <w:rPr>
                <w:rFonts w:hint="cs"/>
                <w:sz w:val="24"/>
                <w:szCs w:val="24"/>
                <w:rtl/>
                <w:lang w:bidi="ar-EG"/>
              </w:rPr>
            </w:pPr>
            <w:r w:rsidRPr="00C50A2F">
              <w:rPr>
                <w:rFonts w:hint="cs"/>
                <w:sz w:val="24"/>
                <w:szCs w:val="24"/>
                <w:rtl/>
                <w:lang w:bidi="ar-EG"/>
              </w:rPr>
              <w:t>إدارة التنظيم والهيئة الاستشارية لرئيس الجمهورية فيما يتعلق بالمساواة بين الرجل والمرأة</w:t>
            </w:r>
            <w:r w:rsidR="003D7EB4">
              <w:rPr>
                <w:rFonts w:hint="cs"/>
                <w:sz w:val="24"/>
                <w:szCs w:val="24"/>
                <w:rtl/>
                <w:lang w:bidi="ar-EG"/>
              </w:rPr>
              <w:t>،</w:t>
            </w:r>
          </w:p>
        </w:tc>
        <w:tc>
          <w:tcPr>
            <w:tcW w:w="2440" w:type="dxa"/>
          </w:tcPr>
          <w:p w:rsidR="00971AE2" w:rsidRPr="00C50A2F" w:rsidRDefault="00971AE2" w:rsidP="00180789">
            <w:pPr>
              <w:pStyle w:val="SingleTxt"/>
              <w:spacing w:line="300" w:lineRule="exact"/>
              <w:ind w:left="144" w:right="144"/>
              <w:rPr>
                <w:rFonts w:hint="cs"/>
                <w:sz w:val="24"/>
                <w:szCs w:val="24"/>
                <w:rtl/>
                <w:lang w:bidi="ar-EG"/>
              </w:rPr>
            </w:pPr>
            <w:r w:rsidRPr="00C50A2F">
              <w:rPr>
                <w:rFonts w:hint="cs"/>
                <w:sz w:val="24"/>
                <w:szCs w:val="24"/>
                <w:rtl/>
                <w:lang w:bidi="ar-EG"/>
              </w:rPr>
              <w:t>الاتفاق المبرم بين إدارة التنظيم وبرنامج الأمم المتحدة الإنمائي</w:t>
            </w:r>
            <w:r w:rsidR="003D7EB4">
              <w:rPr>
                <w:rFonts w:hint="cs"/>
                <w:sz w:val="24"/>
                <w:szCs w:val="24"/>
                <w:rtl/>
                <w:lang w:bidi="ar-EG"/>
              </w:rPr>
              <w:t>،</w:t>
            </w:r>
          </w:p>
        </w:tc>
      </w:tr>
      <w:tr w:rsidR="00971AE2" w:rsidRPr="00C50A2F">
        <w:tblPrEx>
          <w:tblCellMar>
            <w:top w:w="0" w:type="dxa"/>
            <w:bottom w:w="0" w:type="dxa"/>
          </w:tblCellMar>
        </w:tblPrEx>
        <w:trPr>
          <w:cantSplit/>
          <w:jc w:val="center"/>
        </w:trPr>
        <w:tc>
          <w:tcPr>
            <w:tcW w:w="2440" w:type="dxa"/>
          </w:tcPr>
          <w:p w:rsidR="00971AE2" w:rsidRPr="00C50A2F" w:rsidRDefault="00971AE2" w:rsidP="00C851BF">
            <w:pPr>
              <w:tabs>
                <w:tab w:val="left" w:pos="288"/>
                <w:tab w:val="left" w:pos="576"/>
                <w:tab w:val="left" w:pos="864"/>
                <w:tab w:val="left" w:pos="1152"/>
              </w:tabs>
              <w:spacing w:before="40" w:after="80" w:line="300" w:lineRule="exact"/>
              <w:ind w:right="40"/>
              <w:jc w:val="left"/>
              <w:rPr>
                <w:rFonts w:hint="cs"/>
                <w:sz w:val="24"/>
                <w:szCs w:val="24"/>
                <w:rtl/>
                <w:lang w:bidi="ar-EG"/>
              </w:rPr>
            </w:pPr>
            <w:r w:rsidRPr="00C50A2F">
              <w:rPr>
                <w:rFonts w:hint="cs"/>
                <w:sz w:val="24"/>
                <w:szCs w:val="24"/>
                <w:rtl/>
                <w:lang w:bidi="ar-EG"/>
              </w:rPr>
              <w:t>(ج)</w:t>
            </w:r>
            <w:r w:rsidRPr="00C50A2F">
              <w:rPr>
                <w:sz w:val="24"/>
                <w:szCs w:val="24"/>
                <w:rtl/>
                <w:lang w:bidi="ar-EG"/>
              </w:rPr>
              <w:tab/>
            </w:r>
            <w:r w:rsidRPr="00C50A2F">
              <w:rPr>
                <w:rFonts w:hint="cs"/>
                <w:sz w:val="24"/>
                <w:szCs w:val="24"/>
                <w:rtl/>
                <w:lang w:bidi="ar-EG"/>
              </w:rPr>
              <w:tab/>
              <w:t>مرصد الشؤون الجنسانية</w:t>
            </w:r>
            <w:r w:rsidR="003D7EB4">
              <w:rPr>
                <w:rFonts w:hint="cs"/>
                <w:sz w:val="24"/>
                <w:szCs w:val="24"/>
                <w:rtl/>
                <w:lang w:bidi="ar-EG"/>
              </w:rPr>
              <w:t>،</w:t>
            </w:r>
          </w:p>
        </w:tc>
        <w:tc>
          <w:tcPr>
            <w:tcW w:w="2440" w:type="dxa"/>
          </w:tcPr>
          <w:p w:rsidR="00971AE2" w:rsidRPr="0025690D" w:rsidRDefault="00971AE2" w:rsidP="00180789">
            <w:pPr>
              <w:pStyle w:val="SingleTxt"/>
              <w:spacing w:line="300" w:lineRule="exact"/>
              <w:ind w:left="144" w:right="144"/>
              <w:rPr>
                <w:rFonts w:hint="cs"/>
                <w:sz w:val="24"/>
                <w:szCs w:val="24"/>
                <w:rtl/>
                <w:lang w:bidi="ar-EG"/>
              </w:rPr>
            </w:pPr>
            <w:r w:rsidRPr="0025690D">
              <w:rPr>
                <w:rFonts w:hint="cs"/>
                <w:sz w:val="24"/>
                <w:szCs w:val="24"/>
                <w:rtl/>
                <w:lang w:bidi="ar-EG"/>
              </w:rPr>
              <w:t xml:space="preserve">إدارة والهيئة الاستشارية لرئيس الجمهورية فيما يتعلق بالمساواة بين الرجل والمرأة وبرنامج الأمم المتحدة الإنمائي و </w:t>
            </w:r>
            <w:r w:rsidRPr="0025690D">
              <w:rPr>
                <w:sz w:val="24"/>
                <w:szCs w:val="24"/>
                <w:rtl/>
                <w:lang w:bidi="ar-EG"/>
              </w:rPr>
              <w:t>الوكالة الكندية للتنمية الدولية</w:t>
            </w:r>
            <w:r w:rsidRPr="0025690D">
              <w:rPr>
                <w:rFonts w:hint="cs"/>
                <w:sz w:val="24"/>
                <w:szCs w:val="24"/>
                <w:rtl/>
                <w:lang w:bidi="ar-EG"/>
              </w:rPr>
              <w:t xml:space="preserve"> وكالة التعاون الألماني والوكالة الإسبانية للتعاون الدولي ومعهد الأمم المتحدة للنهوض بالمرأة وجامعة خافيير والنظام الوطني لتقييم نتائج الإدارة الحكومية ونظام برمجة ومتابعة الأهداف الرئاسية</w:t>
            </w:r>
            <w:r w:rsidR="003D7EB4">
              <w:rPr>
                <w:rFonts w:hint="cs"/>
                <w:sz w:val="24"/>
                <w:szCs w:val="24"/>
                <w:rtl/>
                <w:lang w:bidi="ar-EG"/>
              </w:rPr>
              <w:t>،</w:t>
            </w:r>
          </w:p>
        </w:tc>
        <w:tc>
          <w:tcPr>
            <w:tcW w:w="2440" w:type="dxa"/>
          </w:tcPr>
          <w:p w:rsidR="00971AE2" w:rsidRPr="0025690D" w:rsidRDefault="00971AE2" w:rsidP="00180789">
            <w:pPr>
              <w:pStyle w:val="SingleTxt"/>
              <w:spacing w:line="300" w:lineRule="exact"/>
              <w:ind w:left="144" w:right="144"/>
              <w:rPr>
                <w:rFonts w:hint="cs"/>
                <w:sz w:val="24"/>
                <w:szCs w:val="24"/>
                <w:rtl/>
                <w:lang w:bidi="ar-EG"/>
              </w:rPr>
            </w:pPr>
            <w:r w:rsidRPr="0025690D">
              <w:rPr>
                <w:rFonts w:hint="cs"/>
                <w:sz w:val="24"/>
                <w:szCs w:val="24"/>
                <w:rtl/>
                <w:lang w:bidi="ar-EG"/>
              </w:rPr>
              <w:t xml:space="preserve">الاتفاق المبرم بين إدارة التنظيم وبرنامج الأمم المتحدة الإنمائي والاتفاق المبرم بين إدارة التنظيم و </w:t>
            </w:r>
            <w:r w:rsidRPr="0025690D">
              <w:rPr>
                <w:sz w:val="24"/>
                <w:szCs w:val="24"/>
                <w:rtl/>
                <w:lang w:bidi="ar-EG"/>
              </w:rPr>
              <w:t>الوكالة الكندية للتنمية الدولية</w:t>
            </w:r>
            <w:r w:rsidRPr="0025690D">
              <w:rPr>
                <w:rFonts w:hint="cs"/>
                <w:sz w:val="24"/>
                <w:szCs w:val="24"/>
                <w:rtl/>
                <w:lang w:bidi="ar-EG"/>
              </w:rPr>
              <w:t xml:space="preserve"> والاتفاق المبرم بين إدارة التنظيم وشباب كولومبيا/وكالة التعاون الألماني والاتفاق المبرم بين إدارة التنظيم وجامعة خافيير</w:t>
            </w:r>
            <w:r w:rsidR="003D7EB4">
              <w:rPr>
                <w:rFonts w:hint="cs"/>
                <w:sz w:val="24"/>
                <w:szCs w:val="24"/>
                <w:rtl/>
                <w:lang w:bidi="ar-EG"/>
              </w:rPr>
              <w:t>،</w:t>
            </w:r>
          </w:p>
        </w:tc>
      </w:tr>
      <w:tr w:rsidR="00971AE2" w:rsidRPr="00C50A2F">
        <w:tblPrEx>
          <w:tblCellMar>
            <w:top w:w="0" w:type="dxa"/>
            <w:bottom w:w="0" w:type="dxa"/>
          </w:tblCellMar>
        </w:tblPrEx>
        <w:trPr>
          <w:cantSplit/>
          <w:jc w:val="center"/>
        </w:trPr>
        <w:tc>
          <w:tcPr>
            <w:tcW w:w="2440" w:type="dxa"/>
            <w:tcBorders>
              <w:bottom w:val="single" w:sz="12" w:space="0" w:color="auto"/>
            </w:tcBorders>
          </w:tcPr>
          <w:p w:rsidR="00971AE2" w:rsidRPr="00C50A2F" w:rsidRDefault="00971AE2" w:rsidP="00C851BF">
            <w:pPr>
              <w:tabs>
                <w:tab w:val="left" w:pos="288"/>
                <w:tab w:val="left" w:pos="576"/>
                <w:tab w:val="left" w:pos="864"/>
                <w:tab w:val="left" w:pos="1152"/>
              </w:tabs>
              <w:spacing w:before="40" w:after="80" w:line="300" w:lineRule="exact"/>
              <w:ind w:right="40"/>
              <w:jc w:val="left"/>
              <w:rPr>
                <w:rFonts w:hint="cs"/>
                <w:sz w:val="24"/>
                <w:szCs w:val="24"/>
                <w:rtl/>
                <w:lang w:bidi="ar-EG"/>
              </w:rPr>
            </w:pPr>
            <w:r w:rsidRPr="00C50A2F">
              <w:rPr>
                <w:rFonts w:hint="cs"/>
                <w:sz w:val="24"/>
                <w:szCs w:val="24"/>
                <w:rtl/>
                <w:lang w:bidi="ar-EG"/>
              </w:rPr>
              <w:t>(د)</w:t>
            </w:r>
            <w:r w:rsidRPr="00C50A2F">
              <w:rPr>
                <w:sz w:val="24"/>
                <w:szCs w:val="24"/>
                <w:rtl/>
                <w:lang w:bidi="ar-EG"/>
              </w:rPr>
              <w:tab/>
            </w:r>
            <w:r w:rsidRPr="00C50A2F">
              <w:rPr>
                <w:rFonts w:hint="cs"/>
                <w:sz w:val="24"/>
                <w:szCs w:val="24"/>
                <w:rtl/>
                <w:lang w:bidi="ar-EG"/>
              </w:rPr>
              <w:tab/>
              <w:t>المحفل الدولي</w:t>
            </w:r>
            <w:r w:rsidR="003D7EB4">
              <w:rPr>
                <w:rFonts w:hint="cs"/>
                <w:sz w:val="24"/>
                <w:szCs w:val="24"/>
                <w:rtl/>
                <w:lang w:bidi="ar-EG"/>
              </w:rPr>
              <w:t>،</w:t>
            </w:r>
          </w:p>
        </w:tc>
        <w:tc>
          <w:tcPr>
            <w:tcW w:w="2440" w:type="dxa"/>
            <w:tcBorders>
              <w:bottom w:val="single" w:sz="12" w:space="0" w:color="auto"/>
            </w:tcBorders>
          </w:tcPr>
          <w:p w:rsidR="00971AE2" w:rsidRPr="0025690D" w:rsidRDefault="00971AE2" w:rsidP="00180789">
            <w:pPr>
              <w:pStyle w:val="SingleTxt"/>
              <w:spacing w:line="300" w:lineRule="exact"/>
              <w:ind w:left="144" w:right="144"/>
              <w:rPr>
                <w:rFonts w:hint="cs"/>
                <w:sz w:val="24"/>
                <w:szCs w:val="24"/>
                <w:rtl/>
                <w:lang w:bidi="ar-EG"/>
              </w:rPr>
            </w:pPr>
            <w:r w:rsidRPr="0025690D">
              <w:rPr>
                <w:rFonts w:hint="cs"/>
                <w:sz w:val="24"/>
                <w:szCs w:val="24"/>
                <w:rtl/>
                <w:lang w:bidi="ar-EG"/>
              </w:rPr>
              <w:t xml:space="preserve">إدارة التنظيم و </w:t>
            </w:r>
            <w:r w:rsidRPr="0025690D">
              <w:rPr>
                <w:sz w:val="24"/>
                <w:szCs w:val="24"/>
                <w:rtl/>
                <w:lang w:bidi="ar-EG"/>
              </w:rPr>
              <w:t>معهد الإدارة العامة</w:t>
            </w:r>
            <w:r w:rsidRPr="0025690D">
              <w:rPr>
                <w:rFonts w:hint="cs"/>
                <w:sz w:val="24"/>
                <w:szCs w:val="24"/>
                <w:rtl/>
                <w:lang w:bidi="ar-EG"/>
              </w:rPr>
              <w:t xml:space="preserve"> والهيئة الاستشارية لرئيس الجمهورية فيما يتعلق بالمساواة بين الرجل والمرأة ومنظمة العمل الدولية و </w:t>
            </w:r>
            <w:r w:rsidRPr="00C851BF">
              <w:t>FESCOL</w:t>
            </w:r>
            <w:r w:rsidR="003D7EB4">
              <w:rPr>
                <w:rFonts w:hint="cs"/>
                <w:sz w:val="24"/>
                <w:szCs w:val="24"/>
                <w:rtl/>
                <w:lang w:bidi="ar-EG"/>
              </w:rPr>
              <w:t>،</w:t>
            </w:r>
          </w:p>
        </w:tc>
        <w:tc>
          <w:tcPr>
            <w:tcW w:w="2440" w:type="dxa"/>
            <w:tcBorders>
              <w:bottom w:val="single" w:sz="12" w:space="0" w:color="auto"/>
            </w:tcBorders>
          </w:tcPr>
          <w:p w:rsidR="00971AE2" w:rsidRPr="0025690D" w:rsidRDefault="00971AE2" w:rsidP="00180789">
            <w:pPr>
              <w:pStyle w:val="SingleTxt"/>
              <w:spacing w:line="300" w:lineRule="exact"/>
              <w:ind w:left="144" w:right="144"/>
              <w:rPr>
                <w:rFonts w:hint="cs"/>
                <w:sz w:val="24"/>
                <w:szCs w:val="24"/>
                <w:rtl/>
                <w:lang w:bidi="ar-EG"/>
              </w:rPr>
            </w:pPr>
            <w:r w:rsidRPr="0025690D">
              <w:rPr>
                <w:rFonts w:hint="cs"/>
                <w:sz w:val="24"/>
                <w:szCs w:val="24"/>
                <w:rtl/>
                <w:lang w:bidi="ar-EG"/>
              </w:rPr>
              <w:t>الاتفاق المبرم بين إدارة التنظيم وبرنامج الأمم المتحدة الإنمائي</w:t>
            </w:r>
            <w:r w:rsidR="003D7EB4">
              <w:rPr>
                <w:rFonts w:hint="cs"/>
                <w:sz w:val="24"/>
                <w:szCs w:val="24"/>
                <w:rtl/>
                <w:lang w:bidi="ar-EG"/>
              </w:rPr>
              <w:t>،</w:t>
            </w:r>
          </w:p>
          <w:p w:rsidR="00971AE2" w:rsidRPr="0025690D" w:rsidRDefault="00971AE2" w:rsidP="00180789">
            <w:pPr>
              <w:pStyle w:val="SingleTxt"/>
              <w:spacing w:line="300" w:lineRule="exact"/>
              <w:ind w:left="144" w:right="144"/>
              <w:rPr>
                <w:rFonts w:hint="cs"/>
                <w:sz w:val="24"/>
                <w:szCs w:val="24"/>
                <w:rtl/>
              </w:rPr>
            </w:pPr>
            <w:r w:rsidRPr="0025690D">
              <w:rPr>
                <w:rFonts w:hint="cs"/>
                <w:sz w:val="24"/>
                <w:szCs w:val="24"/>
                <w:rtl/>
                <w:lang w:bidi="ar-EG"/>
              </w:rPr>
              <w:t>مذكرة التفاهم الموقعة بين إدارة التنظيم ومنظمة العمل الدولية و</w:t>
            </w:r>
            <w:r w:rsidRPr="0025690D">
              <w:rPr>
                <w:sz w:val="24"/>
                <w:szCs w:val="24"/>
                <w:rtl/>
                <w:lang w:bidi="ar-EG"/>
              </w:rPr>
              <w:t>معهد الإدارة العامة</w:t>
            </w:r>
            <w:r w:rsidRPr="0025690D">
              <w:rPr>
                <w:rFonts w:hint="cs"/>
                <w:sz w:val="24"/>
                <w:szCs w:val="24"/>
                <w:rtl/>
                <w:lang w:bidi="ar-EG"/>
              </w:rPr>
              <w:t xml:space="preserve"> و</w:t>
            </w:r>
            <w:r w:rsidR="00740F38">
              <w:rPr>
                <w:rFonts w:hint="eastAsia"/>
                <w:sz w:val="24"/>
                <w:szCs w:val="24"/>
                <w:rtl/>
                <w:lang w:bidi="ar-EG"/>
              </w:rPr>
              <w:t> </w:t>
            </w:r>
            <w:r w:rsidRPr="00C851BF">
              <w:t>FESCOL</w:t>
            </w:r>
            <w:r w:rsidR="003D7EB4">
              <w:rPr>
                <w:rFonts w:hint="cs"/>
                <w:sz w:val="24"/>
                <w:szCs w:val="24"/>
                <w:rtl/>
                <w:lang w:bidi="ar-EG"/>
              </w:rPr>
              <w:t>،</w:t>
            </w:r>
          </w:p>
        </w:tc>
      </w:tr>
    </w:tbl>
    <w:p w:rsidR="00971AE2" w:rsidRDefault="00971AE2" w:rsidP="00971AE2">
      <w:pPr>
        <w:pStyle w:val="SingleTxt"/>
        <w:jc w:val="left"/>
        <w:rPr>
          <w:sz w:val="24"/>
          <w:rtl/>
          <w:lang w:bidi="ar-EG"/>
        </w:rPr>
      </w:pPr>
      <w:r>
        <w:rPr>
          <w:rFonts w:hint="cs"/>
          <w:sz w:val="24"/>
          <w:rtl/>
          <w:lang w:bidi="ar-EG"/>
        </w:rPr>
        <w:tab/>
        <w:t>*   يجري حاليا تنسيق هذه البرامج مع الهيئات الأخرى حتى يمكن تنفيذها</w:t>
      </w:r>
      <w:r w:rsidR="003D7EB4">
        <w:rPr>
          <w:rFonts w:hint="cs"/>
          <w:sz w:val="24"/>
          <w:rtl/>
          <w:lang w:bidi="ar-EG"/>
        </w:rPr>
        <w:t>،</w:t>
      </w:r>
    </w:p>
    <w:p w:rsidR="00971AE2" w:rsidRDefault="00971AE2" w:rsidP="00971AE2">
      <w:pPr>
        <w:pStyle w:val="SingleTxt"/>
        <w:jc w:val="left"/>
        <w:rPr>
          <w:rFonts w:hint="cs"/>
          <w:rtl/>
          <w:lang w:bidi="ar-EG"/>
        </w:rPr>
      </w:pPr>
      <w:r>
        <w:rPr>
          <w:rFonts w:hint="cs"/>
          <w:rtl/>
          <w:lang w:bidi="ar-EG"/>
        </w:rPr>
        <w:tab/>
        <w:t>تنفيذا لهذه الولاية، قامت الهيئة الاستشارية لرئيس الجمهورية فيما يتعلق بالمساواة بين الرجل والمرأة، بالتنسيق مع برنامج الأمم المتحدة الإنمائي ومعهد الأمم المتحدة للنهوض بالمرأة بتدريب الموظفين المكلفين بالميزانية في الهيئات المختلفة للنظام الوطني والإقليمي حتى تتضمن عملية إعداد الميزانيات المتاحة للمجالات والبرامج المختلفة إدماج المنظور الجنساني</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t>وحتى الآن نظم بالتعاون مع برنامج الأمم المتحدة الإنمائي محفلان للتدريب على الميزانيات المراعية للبُعد الجنساني حضرهما 50 موظفا معننيا بالميزانية والتخطيط في الوزارات وغيرها من الكيانات في النظام الوطني</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t xml:space="preserve">وفي 14 تشرين الأول/أكتوبر 2003، وهو اليوم الذي وقع فيه </w:t>
      </w:r>
      <w:r>
        <w:rPr>
          <w:rFonts w:hint="eastAsia"/>
          <w:rtl/>
          <w:lang w:bidi="ar-EG"/>
        </w:rPr>
        <w:t>”</w:t>
      </w:r>
      <w:r>
        <w:rPr>
          <w:rFonts w:hint="cs"/>
          <w:rtl/>
          <w:lang w:bidi="ar-EG"/>
        </w:rPr>
        <w:t>الاتفاق الوطني للمساواة بين الرجل والمرأة</w:t>
      </w:r>
      <w:r>
        <w:rPr>
          <w:rFonts w:hint="eastAsia"/>
          <w:rtl/>
          <w:lang w:bidi="ar-EG"/>
        </w:rPr>
        <w:t>“،</w:t>
      </w:r>
      <w:r>
        <w:rPr>
          <w:rFonts w:hint="cs"/>
          <w:rtl/>
          <w:lang w:bidi="ar-EG"/>
        </w:rPr>
        <w:t xml:space="preserve"> عُقد مؤتمر عن موضوع الميزانيات المراعية للبُعد الجنساني، حضره عديد من الموظفين في الهيئات والأجهزة المختلفة للسلطة العامة وكذلك الأعضاء في المنظمات النسائية المختلفة وأشخاص مهتمون بهذا الموضوع</w:t>
      </w:r>
      <w:r w:rsidR="003D7EB4">
        <w:rPr>
          <w:rFonts w:hint="cs"/>
          <w:rtl/>
          <w:lang w:bidi="ar-EG"/>
        </w:rPr>
        <w:t>،</w:t>
      </w:r>
    </w:p>
    <w:p w:rsidR="00971AE2" w:rsidRDefault="00971AE2" w:rsidP="00971AE2">
      <w:pPr>
        <w:pStyle w:val="SingleTxt"/>
        <w:jc w:val="left"/>
        <w:rPr>
          <w:rFonts w:hint="cs"/>
          <w:rtl/>
          <w:lang w:bidi="ar-EG"/>
        </w:rPr>
      </w:pPr>
      <w:r>
        <w:rPr>
          <w:b/>
          <w:bCs/>
          <w:rtl/>
          <w:lang w:bidi="ar-EG"/>
        </w:rPr>
        <w:br w:type="page"/>
      </w:r>
      <w:r>
        <w:rPr>
          <w:rFonts w:hint="cs"/>
          <w:b/>
          <w:bCs/>
          <w:rtl/>
          <w:lang w:bidi="ar-EG"/>
        </w:rPr>
        <w:t>التوصية العامة رقم 18: المعوقات</w:t>
      </w:r>
      <w:r>
        <w:rPr>
          <w:rFonts w:hint="cs"/>
          <w:vertAlign w:val="superscript"/>
          <w:rtl/>
          <w:lang w:bidi="ar-EG"/>
        </w:rPr>
        <w:t>(22)</w:t>
      </w:r>
    </w:p>
    <w:p w:rsidR="00971AE2" w:rsidRDefault="00971AE2" w:rsidP="00971AE2">
      <w:pPr>
        <w:pStyle w:val="SingleTxt"/>
        <w:jc w:val="left"/>
        <w:rPr>
          <w:rFonts w:hint="cs"/>
          <w:rtl/>
          <w:lang w:bidi="ar-EG"/>
        </w:rPr>
      </w:pPr>
      <w:r>
        <w:rPr>
          <w:rFonts w:hint="cs"/>
          <w:rtl/>
          <w:lang w:bidi="ar-EG"/>
        </w:rPr>
        <w:tab/>
        <w:t>على الرغم من أنه ما زالت توجد حواجز مختلفة، وبصورة رئيسية من النوع المواقفي، تخفي واقع المعوقات ومن أنه لا يوجد قانون مكرس خصيصا لحالتهن، فقد أُحرزت أوجه تقدم تشريعية مهمة تحمي الحقوق المختلفة للمعوقين</w:t>
      </w:r>
      <w:r>
        <w:rPr>
          <w:rFonts w:hint="cs"/>
          <w:vertAlign w:val="superscript"/>
          <w:rtl/>
          <w:lang w:bidi="ar-EG"/>
        </w:rPr>
        <w:t>(23)</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t xml:space="preserve">ينص </w:t>
      </w:r>
      <w:r>
        <w:rPr>
          <w:rFonts w:hint="cs"/>
          <w:b/>
          <w:bCs/>
          <w:rtl/>
          <w:lang w:bidi="ar-EG"/>
        </w:rPr>
        <w:t>القرار رقم 1515</w:t>
      </w:r>
      <w:r>
        <w:rPr>
          <w:rFonts w:hint="cs"/>
          <w:rtl/>
          <w:lang w:bidi="ar-EG"/>
        </w:rPr>
        <w:t xml:space="preserve"> الصادر في حزيران/يونيه 2000 من وزارة التعليم الوطني عن تقديم الخدمات التعليمية في دورة التعليم الأساسي الابتدائي للصُم من جانب المؤسسات التعليمية الحكومية والخاصة</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t xml:space="preserve">يمنح </w:t>
      </w:r>
      <w:r>
        <w:rPr>
          <w:rFonts w:hint="cs"/>
          <w:b/>
          <w:bCs/>
          <w:rtl/>
          <w:lang w:bidi="ar-EG"/>
        </w:rPr>
        <w:t>القانون رقم 590</w:t>
      </w:r>
      <w:r>
        <w:rPr>
          <w:rFonts w:hint="cs"/>
          <w:rtl/>
          <w:lang w:bidi="ar-EG"/>
        </w:rPr>
        <w:t xml:space="preserve"> لسنة 2000 معاملة خاصة للمرأة من خلال مناظير للمساواة إزاء </w:t>
      </w:r>
      <w:r>
        <w:t>MYPIME</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r>
      <w:r>
        <w:rPr>
          <w:rFonts w:hint="cs"/>
          <w:b/>
          <w:bCs/>
          <w:rtl/>
          <w:lang w:bidi="ar-EG"/>
        </w:rPr>
        <w:t>القانون رقم 582</w:t>
      </w:r>
      <w:r>
        <w:rPr>
          <w:rFonts w:hint="cs"/>
          <w:rtl/>
          <w:lang w:bidi="ar-EG"/>
        </w:rPr>
        <w:t xml:space="preserve"> لسنة 2000: يحدد القانون رقم 582 لسنة 2000 الرياضة بالنسبة إلى الأشخاص المحدودي القدرة بدنيا أو عقليا أو من ناحية الحواس وينظم الأمور المتعلقة باللجنة الكولومبية للشؤون الأوليمبية</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r>
      <w:r>
        <w:rPr>
          <w:rFonts w:hint="cs"/>
          <w:b/>
          <w:bCs/>
          <w:rtl/>
          <w:lang w:bidi="ar-EG"/>
        </w:rPr>
        <w:t>المرسوم رقم 641</w:t>
      </w:r>
      <w:r>
        <w:rPr>
          <w:rFonts w:hint="cs"/>
          <w:rtl/>
          <w:lang w:bidi="ar-EG"/>
        </w:rPr>
        <w:t xml:space="preserve"> لسنة 2001 الذي يقضي بإعادة تشكيل المعهد الكولومبي للرفاهية الأسرية</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t xml:space="preserve">حدد </w:t>
      </w:r>
      <w:r>
        <w:t>INCI</w:t>
      </w:r>
      <w:r>
        <w:rPr>
          <w:rFonts w:hint="cs"/>
          <w:rtl/>
          <w:lang w:bidi="ar-EG"/>
        </w:rPr>
        <w:t>، استنادا إلى تسجيل 823 2 معوقا أن 30</w:t>
      </w:r>
      <w:r w:rsidR="00D96DDE">
        <w:rPr>
          <w:rFonts w:hint="cs"/>
          <w:rtl/>
          <w:lang w:bidi="ar-EG"/>
        </w:rPr>
        <w:t>.</w:t>
      </w:r>
      <w:r>
        <w:rPr>
          <w:rFonts w:hint="cs"/>
          <w:rtl/>
          <w:lang w:bidi="ar-EG"/>
        </w:rPr>
        <w:t>7 في المائة من هؤلاء السكان يندرج في الفئة العمرية 36 إلى 65، و 30</w:t>
      </w:r>
      <w:r w:rsidR="00D96DDE">
        <w:rPr>
          <w:rFonts w:hint="cs"/>
          <w:rtl/>
          <w:lang w:bidi="ar-EG"/>
        </w:rPr>
        <w:t>.</w:t>
      </w:r>
      <w:r>
        <w:rPr>
          <w:rFonts w:hint="cs"/>
          <w:rtl/>
          <w:lang w:bidi="ar-EG"/>
        </w:rPr>
        <w:t>4 في المائة منهم في سن الدراسة بالمدارس 6 إلى 20 سنة</w:t>
      </w:r>
      <w:r w:rsidR="003D7EB4">
        <w:rPr>
          <w:rFonts w:hint="cs"/>
          <w:rtl/>
          <w:lang w:bidi="ar-EG"/>
        </w:rPr>
        <w:t>،</w:t>
      </w:r>
      <w:r>
        <w:rPr>
          <w:rFonts w:hint="cs"/>
          <w:rtl/>
          <w:lang w:bidi="ar-EG"/>
        </w:rPr>
        <w:t xml:space="preserve"> و 55 في المائة منهم ضعيفو البصر و 45 في المائة منهم مكفوفون</w:t>
      </w:r>
      <w:r w:rsidR="003D7EB4">
        <w:rPr>
          <w:rFonts w:hint="cs"/>
          <w:rtl/>
          <w:lang w:bidi="ar-EG"/>
        </w:rPr>
        <w:t>،</w:t>
      </w:r>
      <w:r>
        <w:rPr>
          <w:rFonts w:hint="cs"/>
          <w:rtl/>
          <w:lang w:bidi="ar-EG"/>
        </w:rPr>
        <w:t xml:space="preserve"> و 43 في المائة من المسجلين إناث و 57 في المائة ذكور</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t>ومعظم السكان المعوقين بصريا ذوو مستوى اجتماعي اقتصادي منخفض، لأن 35</w:t>
      </w:r>
      <w:r w:rsidR="00D96DDE">
        <w:rPr>
          <w:rFonts w:hint="cs"/>
          <w:rtl/>
          <w:lang w:bidi="ar-EG"/>
        </w:rPr>
        <w:t>.</w:t>
      </w:r>
      <w:r>
        <w:rPr>
          <w:rFonts w:hint="cs"/>
          <w:rtl/>
          <w:lang w:bidi="ar-EG"/>
        </w:rPr>
        <w:t>78 في المائة من هؤلاء السكان ينتمون إلى الطبقة 2 و 29</w:t>
      </w:r>
      <w:r w:rsidR="00D96DDE">
        <w:rPr>
          <w:rFonts w:hint="cs"/>
          <w:rtl/>
          <w:lang w:bidi="ar-EG"/>
        </w:rPr>
        <w:t>.</w:t>
      </w:r>
      <w:r>
        <w:rPr>
          <w:rFonts w:hint="cs"/>
          <w:rtl/>
          <w:lang w:bidi="ar-EG"/>
        </w:rPr>
        <w:t>72 في المائة منهم ينتمون إلى الطبقة 1</w:t>
      </w:r>
      <w:r w:rsidR="003D7EB4">
        <w:rPr>
          <w:rFonts w:hint="cs"/>
          <w:rtl/>
          <w:lang w:bidi="ar-EG"/>
        </w:rPr>
        <w:t>،</w:t>
      </w:r>
    </w:p>
    <w:p w:rsidR="00971AE2" w:rsidRDefault="00640C03" w:rsidP="00640C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2-4</w:t>
      </w:r>
      <w:r w:rsidR="00971AE2">
        <w:rPr>
          <w:rFonts w:hint="cs"/>
          <w:rtl/>
          <w:lang w:bidi="ar-EG"/>
        </w:rPr>
        <w:tab/>
        <w:t>المادة 4</w:t>
      </w:r>
    </w:p>
    <w:p w:rsidR="00971AE2" w:rsidRDefault="00971AE2" w:rsidP="00971AE2">
      <w:pPr>
        <w:pStyle w:val="SingleTxt"/>
        <w:jc w:val="left"/>
        <w:rPr>
          <w:rFonts w:hint="cs"/>
          <w:b/>
          <w:bCs/>
          <w:rtl/>
          <w:lang w:bidi="ar-EG"/>
        </w:rPr>
      </w:pPr>
      <w:r>
        <w:rPr>
          <w:rFonts w:hint="cs"/>
          <w:b/>
          <w:bCs/>
          <w:rtl/>
          <w:lang w:bidi="ar-EG"/>
        </w:rPr>
        <w:t>التدابير الرامية إلى التعجيل بتحقيق المساواة بين الرجل والمرأة</w:t>
      </w:r>
    </w:p>
    <w:p w:rsidR="00971AE2" w:rsidRDefault="00971AE2" w:rsidP="00971AE2">
      <w:pPr>
        <w:pStyle w:val="SingleTxt"/>
        <w:jc w:val="left"/>
        <w:rPr>
          <w:rFonts w:hint="cs"/>
          <w:b/>
          <w:bCs/>
          <w:rtl/>
          <w:lang w:bidi="ar-EG"/>
        </w:rPr>
      </w:pPr>
      <w:r>
        <w:rPr>
          <w:rFonts w:hint="cs"/>
          <w:b/>
          <w:bCs/>
          <w:rtl/>
          <w:lang w:bidi="ar-EG"/>
        </w:rPr>
        <w:t>المنجزات التشريعية</w:t>
      </w:r>
    </w:p>
    <w:p w:rsidR="00971AE2" w:rsidRDefault="00971AE2" w:rsidP="00971AE2">
      <w:pPr>
        <w:pStyle w:val="SingleTxt"/>
        <w:jc w:val="left"/>
        <w:rPr>
          <w:rFonts w:hint="cs"/>
          <w:rtl/>
          <w:lang w:bidi="ar-EG"/>
        </w:rPr>
      </w:pPr>
      <w:r>
        <w:rPr>
          <w:rFonts w:hint="cs"/>
          <w:b/>
          <w:bCs/>
          <w:rtl/>
          <w:lang w:bidi="ar-EG"/>
        </w:rPr>
        <w:t>التوصية الخاصة رقم 6: التدابير الرئيسية المتخذة من أجل إشراك المرأة</w:t>
      </w:r>
    </w:p>
    <w:p w:rsidR="00971AE2" w:rsidRDefault="00971AE2" w:rsidP="00971AE2">
      <w:pPr>
        <w:pStyle w:val="SingleTxt"/>
        <w:jc w:val="left"/>
        <w:rPr>
          <w:rFonts w:hint="cs"/>
          <w:rtl/>
          <w:lang w:bidi="ar-EG"/>
        </w:rPr>
      </w:pPr>
      <w:r>
        <w:rPr>
          <w:rFonts w:hint="cs"/>
          <w:rtl/>
          <w:lang w:bidi="ar-EG"/>
        </w:rPr>
        <w:tab/>
      </w:r>
      <w:r>
        <w:rPr>
          <w:rFonts w:hint="cs"/>
          <w:rtl/>
        </w:rPr>
        <w:t>عملا</w:t>
      </w:r>
      <w:r>
        <w:rPr>
          <w:rFonts w:hint="cs"/>
          <w:rtl/>
          <w:lang w:bidi="ar-EG"/>
        </w:rPr>
        <w:t xml:space="preserve"> با</w:t>
      </w:r>
      <w:r>
        <w:rPr>
          <w:rFonts w:hint="cs"/>
          <w:b/>
          <w:bCs/>
          <w:rtl/>
          <w:lang w:bidi="ar-EG"/>
        </w:rPr>
        <w:t>لتوصية العامة رقم 5</w:t>
      </w:r>
      <w:r>
        <w:rPr>
          <w:rFonts w:hint="cs"/>
          <w:rtl/>
          <w:lang w:bidi="ar-EG"/>
        </w:rPr>
        <w:t xml:space="preserve"> المتعلقة بالتدابير الخاصة المؤقتة</w:t>
      </w:r>
      <w:r>
        <w:rPr>
          <w:rFonts w:hint="cs"/>
          <w:vertAlign w:val="superscript"/>
          <w:rtl/>
          <w:lang w:bidi="ar-EG"/>
        </w:rPr>
        <w:t>(24)</w:t>
      </w:r>
      <w:r>
        <w:rPr>
          <w:rFonts w:hint="cs"/>
          <w:rtl/>
          <w:lang w:bidi="ar-EG"/>
        </w:rPr>
        <w:t>، اعتمدت الدولة الكولومبية القانون رقم 581 لسنة 2000 بهدف التعجيل بإدماج المرأة بصورة فعالة في جميع مجالات المشاركة واتخاذ القرارات</w:t>
      </w:r>
      <w:r w:rsidR="003D7EB4">
        <w:rPr>
          <w:rFonts w:hint="cs"/>
          <w:rtl/>
          <w:lang w:bidi="ar-EG"/>
        </w:rPr>
        <w:t>،</w:t>
      </w:r>
      <w:r>
        <w:rPr>
          <w:rFonts w:hint="cs"/>
          <w:rtl/>
          <w:lang w:bidi="ar-EG"/>
        </w:rPr>
        <w:t xml:space="preserve"> وهذا التدبير من الأهمية بمكان بحيث أنه سيعاد تناوله فيما بعد عند عرض أوجه التقدم المحرزة فيما يتعلق بالمادة 7 المتعلقة بالحياة السياسية والعامة</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t>وعلاوة على ذلك، تُدمج بعض القواعد التي كانت موجودة قبل عام 1999 لتوضيح حماية وضمان حقوق الفئات الضعيفة:</w:t>
      </w:r>
    </w:p>
    <w:p w:rsidR="00971AE2" w:rsidRDefault="00971AE2" w:rsidP="00971AE2">
      <w:pPr>
        <w:pStyle w:val="SingleTxt"/>
        <w:spacing w:after="0" w:line="120" w:lineRule="exact"/>
        <w:jc w:val="lef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971AE2" w:rsidRPr="00AE0ECD">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971AE2" w:rsidRPr="00AE0ECD" w:rsidRDefault="00971AE2" w:rsidP="00971AE2">
            <w:pPr>
              <w:tabs>
                <w:tab w:val="left" w:pos="288"/>
                <w:tab w:val="left" w:pos="576"/>
                <w:tab w:val="left" w:pos="864"/>
                <w:tab w:val="left" w:pos="1152"/>
              </w:tabs>
              <w:spacing w:before="80" w:after="80" w:line="240" w:lineRule="exact"/>
              <w:ind w:right="40"/>
              <w:jc w:val="left"/>
              <w:rPr>
                <w:rFonts w:hint="cs"/>
                <w:i/>
                <w:iCs/>
                <w:sz w:val="24"/>
                <w:szCs w:val="24"/>
                <w:rtl/>
              </w:rPr>
            </w:pPr>
            <w:r w:rsidRPr="00AE0ECD">
              <w:rPr>
                <w:rFonts w:hint="cs"/>
                <w:i/>
                <w:iCs/>
                <w:sz w:val="24"/>
                <w:szCs w:val="24"/>
                <w:rtl/>
                <w:lang w:bidi="ar-EG"/>
              </w:rPr>
              <w:t>القاعدة</w:t>
            </w:r>
          </w:p>
        </w:tc>
        <w:tc>
          <w:tcPr>
            <w:tcW w:w="4917" w:type="dxa"/>
            <w:tcBorders>
              <w:top w:val="single" w:sz="4" w:space="0" w:color="auto"/>
              <w:bottom w:val="single" w:sz="12" w:space="0" w:color="auto"/>
            </w:tcBorders>
            <w:vAlign w:val="bottom"/>
          </w:tcPr>
          <w:p w:rsidR="00971AE2" w:rsidRPr="00AE0ECD"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AE0ECD">
              <w:rPr>
                <w:rFonts w:hint="cs"/>
                <w:i/>
                <w:iCs/>
                <w:sz w:val="24"/>
                <w:szCs w:val="24"/>
                <w:rtl/>
                <w:lang w:bidi="ar-EG"/>
              </w:rPr>
              <w:t>الموضوع</w:t>
            </w:r>
          </w:p>
        </w:tc>
      </w:tr>
      <w:tr w:rsidR="00971AE2" w:rsidRPr="00AE0ECD">
        <w:tblPrEx>
          <w:tblCellMar>
            <w:top w:w="0" w:type="dxa"/>
            <w:bottom w:w="0" w:type="dxa"/>
          </w:tblCellMar>
        </w:tblPrEx>
        <w:trPr>
          <w:cantSplit/>
          <w:trHeight w:hRule="exact" w:val="115"/>
          <w:tblHeader/>
        </w:trPr>
        <w:tc>
          <w:tcPr>
            <w:tcW w:w="2403" w:type="dxa"/>
            <w:tcBorders>
              <w:top w:val="single" w:sz="12" w:space="0" w:color="auto"/>
            </w:tcBorders>
            <w:vAlign w:val="bottom"/>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p>
        </w:tc>
        <w:tc>
          <w:tcPr>
            <w:tcW w:w="4917" w:type="dxa"/>
            <w:tcBorders>
              <w:top w:val="single" w:sz="12" w:space="0" w:color="auto"/>
            </w:tcBorders>
            <w:vAlign w:val="bottom"/>
          </w:tcPr>
          <w:p w:rsidR="00971AE2" w:rsidRPr="00AE0ECD" w:rsidRDefault="00971AE2" w:rsidP="00971AE2">
            <w:pPr>
              <w:tabs>
                <w:tab w:val="left" w:pos="288"/>
                <w:tab w:val="left" w:pos="576"/>
                <w:tab w:val="left" w:pos="864"/>
                <w:tab w:val="left" w:pos="1152"/>
              </w:tabs>
              <w:spacing w:before="40" w:after="80" w:line="240" w:lineRule="exact"/>
              <w:ind w:right="144"/>
              <w:jc w:val="left"/>
              <w:rPr>
                <w:rFonts w:hint="cs"/>
                <w:sz w:val="24"/>
                <w:szCs w:val="24"/>
                <w:rtl/>
              </w:rPr>
            </w:pP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509 لسنة 1999</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يستحدث مستحقات للنساء المجتمعيات في مجال التأمينات الاجتماعية ويمنحهن إعانة تقاعدية</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581 لسنة 2000</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ينظم الإشراك الوافي والفعال للمرأة في مستويات اتخاذ القرارات في مختلف أفرع وأجهزة السلطات العامة، وفقا للمواد 13 و 40 و 43 من الدستور الوطني</w:t>
            </w:r>
            <w:r w:rsidR="003D7EB4">
              <w:rPr>
                <w:rFonts w:hint="cs"/>
                <w:sz w:val="24"/>
                <w:szCs w:val="24"/>
                <w:rtl/>
                <w:lang w:bidi="ar-EG"/>
              </w:rPr>
              <w:t>،</w:t>
            </w:r>
            <w:r w:rsidRPr="00AE0ECD">
              <w:rPr>
                <w:rFonts w:hint="cs"/>
                <w:sz w:val="24"/>
                <w:szCs w:val="24"/>
                <w:rtl/>
                <w:lang w:bidi="ar-EG"/>
              </w:rPr>
              <w:t xml:space="preserve"> ويضمن حصول المرأة على 30 في المائة على الأقل من المناصب  الحكومية التي تتم التسمية لها والإقالة منها بحرية، على أعلى مستوى لاتخاذ القرارات والمستويات الأخرى التي تمارس الإدارة في كل كيان من الكيانات الحكومية</w:t>
            </w:r>
            <w:r w:rsidRPr="00AE0ECD">
              <w:rPr>
                <w:rFonts w:hint="cs"/>
                <w:sz w:val="24"/>
                <w:szCs w:val="24"/>
                <w:vertAlign w:val="superscript"/>
                <w:rtl/>
                <w:lang w:bidi="ar-EG"/>
              </w:rPr>
              <w:t>(25)</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590 لسنة 2000</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 xml:space="preserve">يمنح المرأة معاملة خاصة من خلال مناظير المساواة في </w:t>
            </w:r>
            <w:r w:rsidRPr="00AE0ECD">
              <w:t>MYPIME</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المرسوم رقم 1133 لسنة 2000</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ينظم جزئيا القوانين 49 لسنة 1990 و 3 لسنة 1991 و 546 لسنة 1999</w:t>
            </w:r>
            <w:r w:rsidR="003D7EB4">
              <w:rPr>
                <w:rFonts w:hint="cs"/>
                <w:sz w:val="24"/>
                <w:szCs w:val="24"/>
                <w:rtl/>
                <w:lang w:bidi="ar-EG"/>
              </w:rPr>
              <w:t>،</w:t>
            </w:r>
            <w:r w:rsidRPr="00AE0ECD">
              <w:rPr>
                <w:rFonts w:hint="cs"/>
                <w:sz w:val="24"/>
                <w:szCs w:val="24"/>
                <w:rtl/>
                <w:lang w:bidi="ar-EG"/>
              </w:rPr>
              <w:t xml:space="preserve"> وينص على </w:t>
            </w:r>
            <w:r w:rsidRPr="00AE0ECD">
              <w:rPr>
                <w:rFonts w:hint="cs"/>
                <w:sz w:val="24"/>
                <w:szCs w:val="24"/>
                <w:rtl/>
              </w:rPr>
              <w:t xml:space="preserve">رئاسة المرأة للأسرة </w:t>
            </w:r>
            <w:r w:rsidRPr="00AE0ECD">
              <w:rPr>
                <w:rFonts w:hint="cs"/>
                <w:sz w:val="24"/>
                <w:szCs w:val="24"/>
                <w:rtl/>
                <w:lang w:bidi="ar-EG"/>
              </w:rPr>
              <w:t>باعتبارها معيارا لمنح إعانة السكن الأسرية من أجل المصلحة الاجتماعية الريفية</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691 لسنة 2001</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ينظم إشراك الطوائف الإثنية في النظام العام للتأمينات الاجتماعية</w:t>
            </w:r>
            <w:r w:rsidR="003D7EB4">
              <w:rPr>
                <w:rFonts w:hint="cs"/>
                <w:sz w:val="24"/>
                <w:szCs w:val="24"/>
                <w:rtl/>
                <w:lang w:bidi="ar-EG"/>
              </w:rPr>
              <w:t>،</w:t>
            </w:r>
            <w:r w:rsidRPr="00AE0ECD">
              <w:rPr>
                <w:rFonts w:hint="cs"/>
                <w:sz w:val="24"/>
                <w:szCs w:val="24"/>
                <w:rtl/>
                <w:lang w:bidi="ar-EG"/>
              </w:rPr>
              <w:t xml:space="preserve"> ويرمي هذا القانون إلى توفير الحماية الفعالة لحق السكان الأصليين في الصحة مع ضمان الهوية الثقافية بحيث تُصان الاستمرارية الاجتماعية والثقافية، وفقا للأحكام الواردة في الدستور الوطني وفي المعاهدات الدولية وفي سائر القوانين المتعلقة بالسكان الأصليين</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731 لسنة 2002</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قانون المرأة الريفية</w:t>
            </w:r>
            <w:r w:rsidR="003D7EB4">
              <w:rPr>
                <w:rFonts w:hint="cs"/>
                <w:sz w:val="24"/>
                <w:szCs w:val="24"/>
                <w:rtl/>
                <w:lang w:bidi="ar-EG"/>
              </w:rPr>
              <w:t>،</w:t>
            </w:r>
            <w:r w:rsidRPr="00AE0ECD">
              <w:rPr>
                <w:rFonts w:hint="cs"/>
                <w:sz w:val="24"/>
                <w:szCs w:val="24"/>
                <w:rtl/>
                <w:lang w:bidi="ar-EG"/>
              </w:rPr>
              <w:t xml:space="preserve"> تنص المادة 22 على إشراك المرأة الأفروكولومبية الريفية في الهيئات المعنية باتخاذ القرارات وفي المجالس المجتمعية</w:t>
            </w:r>
            <w:r w:rsidR="003D7EB4">
              <w:rPr>
                <w:rFonts w:hint="cs"/>
                <w:sz w:val="24"/>
                <w:szCs w:val="24"/>
                <w:rtl/>
                <w:lang w:bidi="ar-EG"/>
              </w:rPr>
              <w:t>،</w:t>
            </w:r>
            <w:r w:rsidRPr="00AE0ECD">
              <w:rPr>
                <w:rFonts w:hint="cs"/>
                <w:sz w:val="24"/>
                <w:szCs w:val="24"/>
                <w:rtl/>
                <w:lang w:bidi="ar-EG"/>
              </w:rPr>
              <w:t xml:space="preserve"> وفي الجمعيات العامة وفي مجالس إدارة المجالس المجتمعية التي تضم مجتمعات محلية أفروكولومبية وكذلك في اللجان الاستشارية للمقاطعات واللجان الاستشارية الإقليمية والرفيعة المستوى وينبغي ألا تقل مشاركة المرأة عن 30 في المائة</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750 لسنة 2002</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يدعم المرأة بصفة خاصة في مجال الحبس المنزلي والعمل المجتمعي</w:t>
            </w:r>
            <w:r w:rsidR="003D7EB4">
              <w:rPr>
                <w:rFonts w:hint="cs"/>
                <w:sz w:val="24"/>
                <w:szCs w:val="24"/>
                <w:rtl/>
                <w:lang w:bidi="ar-EG"/>
              </w:rPr>
              <w:t>،</w:t>
            </w:r>
            <w:r w:rsidRPr="00AE0ECD">
              <w:rPr>
                <w:rFonts w:hint="cs"/>
                <w:sz w:val="24"/>
                <w:szCs w:val="24"/>
                <w:rtl/>
                <w:lang w:bidi="ar-EG"/>
              </w:rPr>
              <w:t xml:space="preserve"> ويسمح بالحبس المنزلي باعتباره تدبيرا إيجابيا</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762 لسنة 2002</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يعتمد اتفاقية البلدان الأمريكية للقضاء على جميع أشكال التمييز ضد المعوقين، الموقعة في مدينة غواتيمالا، في 7 حزيران/يونيه 1999</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790 لسنة 2002</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 xml:space="preserve">يوفر بموجب المادة 12 حماية خاصة باسم </w:t>
            </w:r>
            <w:r w:rsidRPr="00AE0ECD">
              <w:rPr>
                <w:rFonts w:hint="eastAsia"/>
                <w:sz w:val="24"/>
                <w:szCs w:val="24"/>
                <w:rtl/>
                <w:lang w:bidi="ar-EG"/>
              </w:rPr>
              <w:t>”الاستبقاء الاجتماعي</w:t>
            </w:r>
            <w:r w:rsidRPr="00AE0ECD">
              <w:rPr>
                <w:rFonts w:hint="cs"/>
                <w:sz w:val="24"/>
                <w:szCs w:val="24"/>
                <w:rtl/>
                <w:lang w:bidi="ar-EG"/>
              </w:rPr>
              <w:t>“ تتمثل في عدم السماح في تنفيذ برنامج تجديد الإدارة العامة بالاستغناء عن رئيسات الأسر دون أن يوفر لهم بديل مالي ولا بالاستغناء عن الأشخاص ذوي الإعاقات البدنية أو العقلية أو البصرية أو السمعية ولا عن العاملين المستوفين لشرطي السن ومدة الخدمة اللازمين للحصول على المعاش التقاعدي أو معاش الشيخوخة</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812 لسنة 2003</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ينص على سياسة دعم الطوائف الإثنية</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القانون رقم 823 لسنة 2003</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يضع الإطار المؤسسي ويوجه السياسات والإجراءات التي تتخذها الحكومة لضمان المساواة والتكافؤ في الفرص بين الرجل والمرأة في المجالين العام والخاص</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الاتفاق رقم 79 لسنة 2003</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قانون شرطة بوغوتا</w:t>
            </w:r>
            <w:r w:rsidR="003D7EB4">
              <w:rPr>
                <w:rFonts w:hint="cs"/>
                <w:sz w:val="24"/>
                <w:szCs w:val="24"/>
                <w:rtl/>
                <w:lang w:bidi="ar-EG"/>
              </w:rPr>
              <w:t>،</w:t>
            </w:r>
            <w:r w:rsidRPr="00AE0ECD">
              <w:rPr>
                <w:rFonts w:hint="cs"/>
                <w:sz w:val="24"/>
                <w:szCs w:val="24"/>
                <w:rtl/>
                <w:lang w:bidi="ar-EG"/>
              </w:rPr>
              <w:t xml:space="preserve"> القسم الرابع الخاص بحماية السكان الضعفاء يتضمن فصلا مكرسا للأطفال وآخر يتعلق بالراشدين وفصلا يتعلق بالأشخاص المحدودي القدرة على التنقل أو ذوي القدرات العقلية المحدودة أو ذوي القدرات المحدودة من ناحية الحواس</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المرسوم رقم 1042 لسنة 2003</w:t>
            </w:r>
          </w:p>
        </w:tc>
        <w:tc>
          <w:tcPr>
            <w:tcW w:w="4917" w:type="dxa"/>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يدعم رئيسات الأسر بأحكام تماثل أحكام المرسوم رقم 1133 لسنة 2000، وينص على الارتباط بمشروع إنتاجي في مجال الزراعة أو الثروة الحيوانية أو البرامج الجماعية البيئية في مناطق المنتزهات الوطنية أو البرامج التعاونية للصناعات القائمة على الزراعة والبرامج التعاونية النسائية باعتباره معيارا إضافيا ييسر منح إعانة السكن الأسرية من أجل المصلحة الاجتماعية الريفية</w:t>
            </w:r>
            <w:r w:rsidR="003D7EB4">
              <w:rPr>
                <w:rFonts w:hint="cs"/>
                <w:sz w:val="24"/>
                <w:szCs w:val="24"/>
                <w:rtl/>
                <w:lang w:bidi="ar-EG"/>
              </w:rPr>
              <w:t>،</w:t>
            </w:r>
          </w:p>
        </w:tc>
      </w:tr>
      <w:tr w:rsidR="00971AE2" w:rsidRPr="00AE0ECD">
        <w:tblPrEx>
          <w:tblCellMar>
            <w:top w:w="0" w:type="dxa"/>
            <w:bottom w:w="0" w:type="dxa"/>
          </w:tblCellMar>
        </w:tblPrEx>
        <w:trPr>
          <w:cantSplit/>
        </w:trPr>
        <w:tc>
          <w:tcPr>
            <w:tcW w:w="2403" w:type="dxa"/>
            <w:tcBorders>
              <w:bottom w:val="single" w:sz="12" w:space="0" w:color="auto"/>
            </w:tcBorders>
          </w:tcPr>
          <w:p w:rsidR="00971AE2" w:rsidRPr="00AE0ECD"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AE0ECD">
              <w:rPr>
                <w:rFonts w:hint="cs"/>
                <w:sz w:val="24"/>
                <w:szCs w:val="24"/>
                <w:rtl/>
                <w:lang w:bidi="ar-EG"/>
              </w:rPr>
              <w:t>المرسوم رقم 2998 لسنة 2003</w:t>
            </w:r>
          </w:p>
        </w:tc>
        <w:tc>
          <w:tcPr>
            <w:tcW w:w="4917" w:type="dxa"/>
            <w:tcBorders>
              <w:bottom w:val="single" w:sz="12" w:space="0" w:color="auto"/>
            </w:tcBorders>
            <w:vAlign w:val="bottom"/>
          </w:tcPr>
          <w:p w:rsidR="00971AE2" w:rsidRPr="00AE0ECD" w:rsidRDefault="00971AE2" w:rsidP="00D860DA">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AE0ECD">
              <w:rPr>
                <w:rFonts w:hint="cs"/>
                <w:sz w:val="24"/>
                <w:szCs w:val="24"/>
                <w:rtl/>
                <w:lang w:bidi="ar-EG"/>
              </w:rPr>
              <w:t>مستحقات للمرأة الريفية فيما يتعلق بتملك الأراضي</w:t>
            </w:r>
            <w:r w:rsidR="003D7EB4">
              <w:rPr>
                <w:rFonts w:hint="cs"/>
                <w:sz w:val="24"/>
                <w:szCs w:val="24"/>
                <w:rtl/>
                <w:lang w:bidi="ar-EG"/>
              </w:rPr>
              <w:t>،</w:t>
            </w:r>
          </w:p>
        </w:tc>
      </w:tr>
    </w:tbl>
    <w:p w:rsidR="00971AE2" w:rsidRDefault="00971AE2" w:rsidP="00971AE2">
      <w:pPr>
        <w:pStyle w:val="SingleTxt"/>
        <w:spacing w:after="0" w:line="120" w:lineRule="exact"/>
        <w:jc w:val="left"/>
        <w:rPr>
          <w:sz w:val="10"/>
          <w:rtl/>
          <w:lang w:bidi="ar-EG"/>
        </w:rPr>
      </w:pPr>
    </w:p>
    <w:p w:rsidR="00971AE2" w:rsidRDefault="00971AE2" w:rsidP="00971AE2">
      <w:pPr>
        <w:pStyle w:val="SingleTxt"/>
        <w:jc w:val="left"/>
        <w:rPr>
          <w:rFonts w:hint="cs"/>
          <w:rtl/>
          <w:lang w:bidi="ar-EG"/>
        </w:rPr>
      </w:pPr>
      <w:r>
        <w:rPr>
          <w:rFonts w:hint="cs"/>
          <w:rtl/>
          <w:lang w:bidi="ar-EG"/>
        </w:rPr>
        <w:tab/>
        <w:t>تتضمن المادتان 11 و 12 من التقرير المتعلق بالعمالة والصحة إشارة صريحة إلى حماية الأمومة، التي تعتبر تدبيرا إيجابيا لصالح المرأة</w:t>
      </w:r>
      <w:r w:rsidR="003D7EB4">
        <w:rPr>
          <w:rFonts w:hint="cs"/>
          <w:rtl/>
          <w:lang w:bidi="ar-EG"/>
        </w:rPr>
        <w:t>،</w:t>
      </w:r>
    </w:p>
    <w:p w:rsidR="00971AE2" w:rsidRDefault="00971AE2" w:rsidP="00971AE2">
      <w:pPr>
        <w:pStyle w:val="SingleTxt"/>
        <w:spacing w:after="0" w:line="120" w:lineRule="exact"/>
        <w:jc w:val="left"/>
        <w:rPr>
          <w:rFonts w:hint="cs"/>
          <w:sz w:val="10"/>
          <w:rtl/>
          <w:lang w:bidi="ar-EG"/>
        </w:rPr>
      </w:pPr>
    </w:p>
    <w:p w:rsidR="00971AE2" w:rsidRDefault="00971AE2" w:rsidP="00971AE2">
      <w:pPr>
        <w:pStyle w:val="SingleTxt"/>
        <w:jc w:val="left"/>
        <w:rPr>
          <w:rFonts w:hint="cs"/>
          <w:b/>
          <w:bCs/>
          <w:rtl/>
          <w:lang w:bidi="ar-EG"/>
        </w:rPr>
      </w:pPr>
      <w:r>
        <w:rPr>
          <w:rFonts w:hint="cs"/>
          <w:b/>
          <w:bCs/>
          <w:rtl/>
          <w:lang w:bidi="ar-EG"/>
        </w:rPr>
        <w:t>المنجزات القضائية</w:t>
      </w:r>
    </w:p>
    <w:p w:rsidR="00971AE2" w:rsidRDefault="00971AE2" w:rsidP="00971AE2">
      <w:pPr>
        <w:pStyle w:val="SingleTxt"/>
        <w:jc w:val="left"/>
        <w:rPr>
          <w:rFonts w:hint="cs"/>
          <w:rtl/>
          <w:lang w:bidi="ar-EG"/>
        </w:rPr>
      </w:pPr>
      <w:r>
        <w:rPr>
          <w:rFonts w:hint="cs"/>
          <w:rtl/>
          <w:lang w:bidi="ar-EG"/>
        </w:rPr>
        <w:tab/>
        <w:t>تحمي دائرة العمل في محكمة العدل العليا وفي مجلس الدولة الاستقرار الإلزامي لعمل الحامل سواء في مرحلة الحمل أو بعد الولادة</w:t>
      </w:r>
      <w:r w:rsidR="003D7EB4">
        <w:rPr>
          <w:rFonts w:hint="cs"/>
          <w:rtl/>
          <w:lang w:bidi="ar-EG"/>
        </w:rPr>
        <w:t>،</w:t>
      </w:r>
      <w:r>
        <w:rPr>
          <w:rFonts w:hint="cs"/>
          <w:rtl/>
          <w:lang w:bidi="ar-EG"/>
        </w:rPr>
        <w:t xml:space="preserve"> وقد صدرت في هذا الشأن أحكام عديدة</w:t>
      </w:r>
      <w:r w:rsidR="003D7EB4">
        <w:rPr>
          <w:rFonts w:hint="cs"/>
          <w:rtl/>
          <w:lang w:bidi="ar-EG"/>
        </w:rPr>
        <w:t>،</w:t>
      </w:r>
    </w:p>
    <w:p w:rsidR="00971AE2" w:rsidRDefault="00971AE2" w:rsidP="00971AE2">
      <w:pPr>
        <w:pStyle w:val="SingleTxt"/>
        <w:spacing w:after="0" w:line="120" w:lineRule="exact"/>
        <w:jc w:val="left"/>
        <w:rPr>
          <w:rFonts w:hint="cs"/>
          <w:sz w:val="10"/>
          <w:rtl/>
          <w:lang w:bidi="ar-EG"/>
        </w:rPr>
      </w:pPr>
    </w:p>
    <w:tbl>
      <w:tblPr>
        <w:bidiVisual/>
        <w:tblW w:w="7320" w:type="dxa"/>
        <w:jc w:val="center"/>
        <w:tblLayout w:type="fixed"/>
        <w:tblCellMar>
          <w:left w:w="0" w:type="dxa"/>
          <w:right w:w="0" w:type="dxa"/>
        </w:tblCellMar>
        <w:tblLook w:val="0000" w:firstRow="0" w:lastRow="0" w:firstColumn="0" w:lastColumn="0" w:noHBand="0" w:noVBand="0"/>
      </w:tblPr>
      <w:tblGrid>
        <w:gridCol w:w="2403"/>
        <w:gridCol w:w="4917"/>
      </w:tblGrid>
      <w:tr w:rsidR="00971AE2" w:rsidRPr="0054327C">
        <w:tblPrEx>
          <w:tblCellMar>
            <w:top w:w="0" w:type="dxa"/>
            <w:bottom w:w="0" w:type="dxa"/>
          </w:tblCellMar>
        </w:tblPrEx>
        <w:trPr>
          <w:cantSplit/>
          <w:tblHeader/>
          <w:jc w:val="center"/>
        </w:trPr>
        <w:tc>
          <w:tcPr>
            <w:tcW w:w="2403" w:type="dxa"/>
            <w:tcBorders>
              <w:top w:val="single" w:sz="4" w:space="0" w:color="auto"/>
              <w:bottom w:val="single" w:sz="12" w:space="0" w:color="auto"/>
            </w:tcBorders>
            <w:vAlign w:val="bottom"/>
          </w:tcPr>
          <w:p w:rsidR="00971AE2" w:rsidRPr="0054327C" w:rsidRDefault="00971AE2" w:rsidP="00971AE2">
            <w:pPr>
              <w:tabs>
                <w:tab w:val="left" w:pos="288"/>
                <w:tab w:val="left" w:pos="576"/>
                <w:tab w:val="left" w:pos="864"/>
                <w:tab w:val="left" w:pos="1152"/>
              </w:tabs>
              <w:spacing w:before="80" w:after="80" w:line="240" w:lineRule="exact"/>
              <w:ind w:right="40"/>
              <w:jc w:val="left"/>
              <w:rPr>
                <w:rFonts w:hint="cs"/>
                <w:i/>
                <w:iCs/>
                <w:sz w:val="24"/>
                <w:szCs w:val="24"/>
                <w:rtl/>
                <w:lang w:bidi="ar-EG"/>
              </w:rPr>
            </w:pPr>
            <w:r w:rsidRPr="0054327C">
              <w:rPr>
                <w:rFonts w:hint="cs"/>
                <w:i/>
                <w:iCs/>
                <w:sz w:val="24"/>
                <w:szCs w:val="24"/>
                <w:rtl/>
                <w:lang w:bidi="ar-EG"/>
              </w:rPr>
              <w:t>الحكم</w:t>
            </w:r>
          </w:p>
        </w:tc>
        <w:tc>
          <w:tcPr>
            <w:tcW w:w="4917" w:type="dxa"/>
            <w:tcBorders>
              <w:top w:val="single" w:sz="4" w:space="0" w:color="auto"/>
              <w:bottom w:val="single" w:sz="12" w:space="0" w:color="auto"/>
            </w:tcBorders>
            <w:vAlign w:val="bottom"/>
          </w:tcPr>
          <w:p w:rsidR="00971AE2" w:rsidRPr="0054327C"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54327C">
              <w:rPr>
                <w:rFonts w:hint="cs"/>
                <w:i/>
                <w:iCs/>
                <w:sz w:val="24"/>
                <w:szCs w:val="24"/>
                <w:rtl/>
                <w:lang w:bidi="ar-EG"/>
              </w:rPr>
              <w:t>الموضوع</w:t>
            </w:r>
          </w:p>
        </w:tc>
      </w:tr>
      <w:tr w:rsidR="00971AE2" w:rsidRPr="0054327C">
        <w:tblPrEx>
          <w:tblCellMar>
            <w:top w:w="0" w:type="dxa"/>
            <w:bottom w:w="0" w:type="dxa"/>
          </w:tblCellMar>
        </w:tblPrEx>
        <w:trPr>
          <w:cantSplit/>
          <w:trHeight w:hRule="exact" w:val="115"/>
          <w:tblHeader/>
          <w:jc w:val="center"/>
        </w:trPr>
        <w:tc>
          <w:tcPr>
            <w:tcW w:w="2403" w:type="dxa"/>
            <w:tcBorders>
              <w:top w:val="single" w:sz="12" w:space="0" w:color="auto"/>
            </w:tcBorders>
            <w:vAlign w:val="bottom"/>
          </w:tcPr>
          <w:p w:rsidR="00971AE2" w:rsidRPr="0054327C"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p>
        </w:tc>
        <w:tc>
          <w:tcPr>
            <w:tcW w:w="4917" w:type="dxa"/>
            <w:tcBorders>
              <w:top w:val="single" w:sz="12" w:space="0" w:color="auto"/>
            </w:tcBorders>
            <w:vAlign w:val="bottom"/>
          </w:tcPr>
          <w:p w:rsidR="00971AE2" w:rsidRPr="0054327C"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p>
        </w:tc>
      </w:tr>
      <w:tr w:rsidR="00971AE2" w:rsidRPr="0054327C">
        <w:tblPrEx>
          <w:tblCellMar>
            <w:top w:w="0" w:type="dxa"/>
            <w:bottom w:w="0" w:type="dxa"/>
          </w:tblCellMar>
        </w:tblPrEx>
        <w:trPr>
          <w:cantSplit/>
          <w:jc w:val="center"/>
        </w:trPr>
        <w:tc>
          <w:tcPr>
            <w:tcW w:w="2403" w:type="dxa"/>
          </w:tcPr>
          <w:p w:rsidR="00971AE2" w:rsidRPr="0054327C"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54327C">
              <w:rPr>
                <w:rFonts w:hint="cs"/>
                <w:sz w:val="24"/>
                <w:szCs w:val="24"/>
                <w:rtl/>
                <w:lang w:bidi="ar-EG"/>
              </w:rPr>
              <w:t>الحكم C - 371 لسنة 2000</w:t>
            </w:r>
          </w:p>
        </w:tc>
        <w:tc>
          <w:tcPr>
            <w:tcW w:w="4917" w:type="dxa"/>
            <w:vAlign w:val="bottom"/>
          </w:tcPr>
          <w:p w:rsidR="00971AE2" w:rsidRPr="0054327C"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r w:rsidRPr="0054327C">
              <w:rPr>
                <w:rFonts w:hint="cs"/>
                <w:sz w:val="24"/>
                <w:szCs w:val="24"/>
                <w:rtl/>
                <w:lang w:bidi="ar-EG"/>
              </w:rPr>
              <w:t>أعلن دستورية قانون الحصص</w:t>
            </w:r>
            <w:r w:rsidR="003D7EB4">
              <w:rPr>
                <w:rFonts w:hint="cs"/>
                <w:sz w:val="24"/>
                <w:szCs w:val="24"/>
                <w:rtl/>
                <w:lang w:bidi="ar-EG"/>
              </w:rPr>
              <w:t>،</w:t>
            </w:r>
          </w:p>
        </w:tc>
      </w:tr>
      <w:tr w:rsidR="00971AE2" w:rsidRPr="0054327C">
        <w:tblPrEx>
          <w:tblCellMar>
            <w:top w:w="0" w:type="dxa"/>
            <w:bottom w:w="0" w:type="dxa"/>
          </w:tblCellMar>
        </w:tblPrEx>
        <w:trPr>
          <w:cantSplit/>
          <w:jc w:val="center"/>
        </w:trPr>
        <w:tc>
          <w:tcPr>
            <w:tcW w:w="2403" w:type="dxa"/>
          </w:tcPr>
          <w:p w:rsidR="00971AE2" w:rsidRPr="0054327C"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54327C">
              <w:rPr>
                <w:rFonts w:hint="cs"/>
                <w:sz w:val="24"/>
                <w:szCs w:val="24"/>
                <w:rtl/>
                <w:lang w:bidi="ar-EG"/>
              </w:rPr>
              <w:t xml:space="preserve">الحكم </w:t>
            </w:r>
            <w:r w:rsidRPr="0054327C">
              <w:rPr>
                <w:sz w:val="24"/>
                <w:szCs w:val="24"/>
              </w:rPr>
              <w:t>T</w:t>
            </w:r>
            <w:r w:rsidRPr="0054327C">
              <w:rPr>
                <w:rFonts w:hint="cs"/>
                <w:sz w:val="24"/>
                <w:szCs w:val="24"/>
                <w:rtl/>
                <w:lang w:bidi="ar-EG"/>
              </w:rPr>
              <w:t xml:space="preserve"> - 1127 لسنة 2001</w:t>
            </w:r>
          </w:p>
        </w:tc>
        <w:tc>
          <w:tcPr>
            <w:tcW w:w="4917" w:type="dxa"/>
            <w:vAlign w:val="bottom"/>
          </w:tcPr>
          <w:p w:rsidR="00971AE2" w:rsidRPr="0054327C"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r w:rsidRPr="0054327C">
              <w:rPr>
                <w:rFonts w:hint="cs"/>
                <w:sz w:val="24"/>
                <w:szCs w:val="24"/>
                <w:rtl/>
                <w:lang w:bidi="ar-EG"/>
              </w:rPr>
              <w:t>يعترف بالتعدد الثقافي ويوفر له الحماية</w:t>
            </w:r>
            <w:r w:rsidR="003D7EB4">
              <w:rPr>
                <w:rFonts w:hint="cs"/>
                <w:sz w:val="24"/>
                <w:szCs w:val="24"/>
                <w:rtl/>
                <w:lang w:bidi="ar-EG"/>
              </w:rPr>
              <w:t>،</w:t>
            </w:r>
          </w:p>
        </w:tc>
      </w:tr>
      <w:tr w:rsidR="00971AE2" w:rsidRPr="0054327C">
        <w:tblPrEx>
          <w:tblCellMar>
            <w:top w:w="0" w:type="dxa"/>
            <w:bottom w:w="0" w:type="dxa"/>
          </w:tblCellMar>
        </w:tblPrEx>
        <w:trPr>
          <w:cantSplit/>
          <w:jc w:val="center"/>
        </w:trPr>
        <w:tc>
          <w:tcPr>
            <w:tcW w:w="2403" w:type="dxa"/>
          </w:tcPr>
          <w:p w:rsidR="00971AE2" w:rsidRPr="0054327C"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54327C">
              <w:rPr>
                <w:rFonts w:hint="cs"/>
                <w:sz w:val="24"/>
                <w:szCs w:val="24"/>
                <w:rtl/>
                <w:lang w:bidi="ar-EG"/>
              </w:rPr>
              <w:t xml:space="preserve">الحكم </w:t>
            </w:r>
            <w:r w:rsidRPr="0054327C">
              <w:rPr>
                <w:sz w:val="24"/>
                <w:szCs w:val="24"/>
              </w:rPr>
              <w:t>T</w:t>
            </w:r>
            <w:r w:rsidRPr="0054327C">
              <w:rPr>
                <w:rFonts w:hint="cs"/>
                <w:sz w:val="24"/>
                <w:szCs w:val="24"/>
                <w:rtl/>
                <w:lang w:bidi="ar-EG"/>
              </w:rPr>
              <w:t xml:space="preserve"> - 522 لسنة 2001</w:t>
            </w:r>
          </w:p>
        </w:tc>
        <w:tc>
          <w:tcPr>
            <w:tcW w:w="4917" w:type="dxa"/>
            <w:vAlign w:val="bottom"/>
          </w:tcPr>
          <w:p w:rsidR="00971AE2" w:rsidRPr="0054327C" w:rsidRDefault="00971AE2" w:rsidP="0054327C">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54327C">
              <w:rPr>
                <w:rFonts w:hint="cs"/>
                <w:sz w:val="24"/>
                <w:szCs w:val="24"/>
                <w:rtl/>
                <w:lang w:bidi="ar-EG"/>
              </w:rPr>
              <w:t>يحمي الحق في المساواة الحقيقية والحق في الحرية والتدابير الإيجابية لصالح المرأة المسجونة ويقضيي بنقلها إلى الحبس المنزلي</w:t>
            </w:r>
            <w:r w:rsidR="003D7EB4">
              <w:rPr>
                <w:rFonts w:hint="cs"/>
                <w:sz w:val="24"/>
                <w:szCs w:val="24"/>
                <w:rtl/>
                <w:lang w:bidi="ar-EG"/>
              </w:rPr>
              <w:t>،</w:t>
            </w:r>
          </w:p>
        </w:tc>
      </w:tr>
      <w:tr w:rsidR="00971AE2" w:rsidRPr="0054327C">
        <w:tblPrEx>
          <w:tblCellMar>
            <w:top w:w="0" w:type="dxa"/>
            <w:bottom w:w="0" w:type="dxa"/>
          </w:tblCellMar>
        </w:tblPrEx>
        <w:trPr>
          <w:cantSplit/>
          <w:jc w:val="center"/>
        </w:trPr>
        <w:tc>
          <w:tcPr>
            <w:tcW w:w="2403" w:type="dxa"/>
          </w:tcPr>
          <w:p w:rsidR="00971AE2" w:rsidRPr="0054327C"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54327C">
              <w:rPr>
                <w:rFonts w:hint="cs"/>
                <w:sz w:val="24"/>
                <w:szCs w:val="24"/>
                <w:rtl/>
                <w:lang w:bidi="ar-EG"/>
              </w:rPr>
              <w:t>الحكم C - 157 لسنة 2002</w:t>
            </w:r>
          </w:p>
        </w:tc>
        <w:tc>
          <w:tcPr>
            <w:tcW w:w="4917" w:type="dxa"/>
            <w:vAlign w:val="bottom"/>
          </w:tcPr>
          <w:p w:rsidR="00971AE2" w:rsidRPr="0054327C" w:rsidRDefault="00971AE2" w:rsidP="0054327C">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54327C">
              <w:rPr>
                <w:rFonts w:hint="cs"/>
                <w:sz w:val="24"/>
                <w:szCs w:val="24"/>
                <w:rtl/>
                <w:lang w:bidi="ar-EG"/>
              </w:rPr>
              <w:t>يحمي بقاء الأطفال دون الثالثة من العمر مع أمهاتهم السجينات، ويشير إلى وجوب أن يتخذ هذا القرار قاضي الشؤون الأسرية وليس المفتش</w:t>
            </w:r>
            <w:r w:rsidR="003D7EB4">
              <w:rPr>
                <w:rFonts w:hint="cs"/>
                <w:sz w:val="24"/>
                <w:szCs w:val="24"/>
                <w:rtl/>
                <w:lang w:bidi="ar-EG"/>
              </w:rPr>
              <w:t>،</w:t>
            </w:r>
          </w:p>
        </w:tc>
      </w:tr>
      <w:tr w:rsidR="00971AE2" w:rsidRPr="0054327C">
        <w:tblPrEx>
          <w:tblCellMar>
            <w:top w:w="0" w:type="dxa"/>
            <w:bottom w:w="0" w:type="dxa"/>
          </w:tblCellMar>
        </w:tblPrEx>
        <w:trPr>
          <w:cantSplit/>
          <w:jc w:val="center"/>
        </w:trPr>
        <w:tc>
          <w:tcPr>
            <w:tcW w:w="2403" w:type="dxa"/>
          </w:tcPr>
          <w:p w:rsidR="00971AE2" w:rsidRPr="0054327C"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54327C">
              <w:rPr>
                <w:rFonts w:hint="cs"/>
                <w:sz w:val="24"/>
                <w:szCs w:val="24"/>
                <w:rtl/>
                <w:lang w:bidi="ar-EG"/>
              </w:rPr>
              <w:t xml:space="preserve">الحكم </w:t>
            </w:r>
            <w:r w:rsidRPr="0054327C">
              <w:rPr>
                <w:sz w:val="24"/>
                <w:szCs w:val="24"/>
              </w:rPr>
              <w:t>T</w:t>
            </w:r>
            <w:r w:rsidRPr="0054327C">
              <w:rPr>
                <w:rFonts w:hint="cs"/>
                <w:sz w:val="24"/>
                <w:szCs w:val="24"/>
                <w:rtl/>
                <w:lang w:bidi="ar-EG"/>
              </w:rPr>
              <w:t xml:space="preserve"> </w:t>
            </w:r>
            <w:r w:rsidRPr="0054327C">
              <w:rPr>
                <w:sz w:val="24"/>
                <w:szCs w:val="24"/>
                <w:rtl/>
                <w:lang w:bidi="ar-EG"/>
              </w:rPr>
              <w:t>–</w:t>
            </w:r>
            <w:r w:rsidRPr="0054327C">
              <w:rPr>
                <w:rFonts w:hint="cs"/>
                <w:sz w:val="24"/>
                <w:szCs w:val="24"/>
                <w:rtl/>
                <w:lang w:bidi="ar-EG"/>
              </w:rPr>
              <w:t xml:space="preserve"> 219 لسنة 2002</w:t>
            </w:r>
          </w:p>
        </w:tc>
        <w:tc>
          <w:tcPr>
            <w:tcW w:w="4917" w:type="dxa"/>
            <w:vAlign w:val="bottom"/>
          </w:tcPr>
          <w:p w:rsidR="00971AE2" w:rsidRPr="0054327C" w:rsidRDefault="00971AE2" w:rsidP="0054327C">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54327C">
              <w:rPr>
                <w:rFonts w:hint="cs"/>
                <w:sz w:val="24"/>
                <w:szCs w:val="24"/>
                <w:rtl/>
                <w:lang w:bidi="ar-EG"/>
              </w:rPr>
              <w:t>ينبغي أن يكون الوصول إلى الدائرة العامة للضمان الاجتماعي والرعاية الصحية أكثر فعالية عندما يكون ذلك ضروريا للذين يعانون من أي نوع من الإعاقة، ومن ثم فإن سياسات الدولة في هذه المجالات تراعي مبادئ الكفاءة والشمول والتضامن</w:t>
            </w:r>
            <w:r w:rsidR="003D7EB4">
              <w:rPr>
                <w:rFonts w:hint="cs"/>
                <w:sz w:val="24"/>
                <w:szCs w:val="24"/>
                <w:rtl/>
                <w:lang w:bidi="ar-EG"/>
              </w:rPr>
              <w:t>،</w:t>
            </w:r>
          </w:p>
        </w:tc>
      </w:tr>
      <w:tr w:rsidR="00971AE2" w:rsidRPr="0054327C">
        <w:tblPrEx>
          <w:tblCellMar>
            <w:top w:w="0" w:type="dxa"/>
            <w:bottom w:w="0" w:type="dxa"/>
          </w:tblCellMar>
        </w:tblPrEx>
        <w:trPr>
          <w:cantSplit/>
          <w:jc w:val="center"/>
        </w:trPr>
        <w:tc>
          <w:tcPr>
            <w:tcW w:w="2403" w:type="dxa"/>
          </w:tcPr>
          <w:p w:rsidR="00971AE2" w:rsidRPr="0054327C"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54327C">
              <w:rPr>
                <w:rFonts w:hint="cs"/>
                <w:sz w:val="24"/>
                <w:szCs w:val="24"/>
                <w:rtl/>
                <w:lang w:bidi="ar-EG"/>
              </w:rPr>
              <w:t>الحكم C - 184 لسنة 2003</w:t>
            </w:r>
          </w:p>
        </w:tc>
        <w:tc>
          <w:tcPr>
            <w:tcW w:w="4917" w:type="dxa"/>
            <w:vAlign w:val="bottom"/>
          </w:tcPr>
          <w:p w:rsidR="00971AE2" w:rsidRPr="0054327C" w:rsidRDefault="00971AE2" w:rsidP="0054327C">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54327C">
              <w:rPr>
                <w:rFonts w:hint="cs"/>
                <w:sz w:val="24"/>
                <w:szCs w:val="24"/>
                <w:rtl/>
                <w:lang w:bidi="ar-EG"/>
              </w:rPr>
              <w:t>يحدد شروط مد الحق في الحبس المنزلي الممنوح لرئيسات الأسر إلى الآباء رؤساء الأسر أيضا</w:t>
            </w:r>
            <w:r w:rsidR="003D7EB4">
              <w:rPr>
                <w:rFonts w:hint="cs"/>
                <w:sz w:val="24"/>
                <w:szCs w:val="24"/>
                <w:rtl/>
                <w:lang w:bidi="ar-EG"/>
              </w:rPr>
              <w:t>،</w:t>
            </w:r>
          </w:p>
        </w:tc>
      </w:tr>
      <w:tr w:rsidR="00971AE2" w:rsidRPr="0054327C">
        <w:tblPrEx>
          <w:tblCellMar>
            <w:top w:w="0" w:type="dxa"/>
            <w:bottom w:w="0" w:type="dxa"/>
          </w:tblCellMar>
        </w:tblPrEx>
        <w:trPr>
          <w:cantSplit/>
          <w:jc w:val="center"/>
        </w:trPr>
        <w:tc>
          <w:tcPr>
            <w:tcW w:w="2403" w:type="dxa"/>
            <w:tcBorders>
              <w:bottom w:val="single" w:sz="12" w:space="0" w:color="auto"/>
            </w:tcBorders>
          </w:tcPr>
          <w:p w:rsidR="00971AE2" w:rsidRPr="0054327C"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54327C">
              <w:rPr>
                <w:rFonts w:hint="cs"/>
                <w:sz w:val="24"/>
                <w:szCs w:val="24"/>
                <w:rtl/>
                <w:lang w:bidi="ar-EG"/>
              </w:rPr>
              <w:t>الحكم C - 401 لسنة 2003</w:t>
            </w:r>
          </w:p>
        </w:tc>
        <w:tc>
          <w:tcPr>
            <w:tcW w:w="4917" w:type="dxa"/>
            <w:tcBorders>
              <w:bottom w:val="single" w:sz="12" w:space="0" w:color="auto"/>
            </w:tcBorders>
            <w:vAlign w:val="bottom"/>
          </w:tcPr>
          <w:p w:rsidR="00971AE2" w:rsidRPr="0054327C" w:rsidRDefault="00971AE2" w:rsidP="0054327C">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54327C">
              <w:rPr>
                <w:rFonts w:hint="cs"/>
                <w:sz w:val="24"/>
                <w:szCs w:val="24"/>
                <w:rtl/>
                <w:lang w:bidi="ar-EG"/>
              </w:rPr>
              <w:t>يعلن دستورية اتفاقية البلدان الأمريكية للقضاء على جميع أشكال التمييز ضد المعوقين والقانون المعتمد لها</w:t>
            </w:r>
            <w:r w:rsidR="003D7EB4">
              <w:rPr>
                <w:rFonts w:hint="cs"/>
                <w:sz w:val="24"/>
                <w:szCs w:val="24"/>
                <w:rtl/>
                <w:lang w:bidi="ar-EG"/>
              </w:rPr>
              <w:t>،</w:t>
            </w:r>
          </w:p>
        </w:tc>
      </w:tr>
    </w:tbl>
    <w:p w:rsidR="00971AE2" w:rsidRDefault="00971AE2" w:rsidP="00971AE2">
      <w:pPr>
        <w:pStyle w:val="SingleTxt"/>
        <w:jc w:val="left"/>
        <w:rPr>
          <w:rFonts w:hint="cs"/>
          <w:b/>
          <w:bCs/>
          <w:rtl/>
          <w:lang w:bidi="ar-EG"/>
        </w:rPr>
      </w:pPr>
      <w:r>
        <w:rPr>
          <w:rFonts w:hint="cs"/>
          <w:b/>
          <w:bCs/>
          <w:rtl/>
          <w:lang w:bidi="ar-EG"/>
        </w:rPr>
        <w:t>المنجزات الإدارية</w:t>
      </w:r>
    </w:p>
    <w:p w:rsidR="00971AE2" w:rsidRDefault="00971AE2" w:rsidP="00E5138A">
      <w:pPr>
        <w:pStyle w:val="SingleTxt"/>
        <w:rPr>
          <w:rFonts w:hint="cs"/>
          <w:rtl/>
          <w:lang w:bidi="ar-EG"/>
        </w:rPr>
      </w:pPr>
      <w:r>
        <w:rPr>
          <w:rFonts w:hint="cs"/>
          <w:rtl/>
          <w:lang w:bidi="ar-EG"/>
        </w:rPr>
        <w:tab/>
        <w:t>تمثل المنجزات الإدارية الوارد سردها فيما يلي في مجموعها تدابير إيجابية اتخذتها الدولة من أجل المساواة بين الرجل والمرأة التي تنتمي إلى فئات تتسم بضعف خاص</w:t>
      </w:r>
      <w:r w:rsidR="003D7EB4">
        <w:rPr>
          <w:rFonts w:hint="cs"/>
          <w:rtl/>
          <w:lang w:bidi="ar-EG"/>
        </w:rPr>
        <w:t>،</w:t>
      </w:r>
      <w:r>
        <w:rPr>
          <w:rFonts w:hint="cs"/>
          <w:rtl/>
          <w:lang w:bidi="ar-EG"/>
        </w:rPr>
        <w:t xml:space="preserve"> </w:t>
      </w:r>
      <w:r>
        <w:rPr>
          <w:rFonts w:hint="cs"/>
          <w:color w:val="FF0000"/>
          <w:rtl/>
          <w:lang w:bidi="ar-EG"/>
        </w:rPr>
        <w:t xml:space="preserve">وسوف </w:t>
      </w:r>
      <w:r>
        <w:rPr>
          <w:rFonts w:hint="cs"/>
          <w:rtl/>
          <w:lang w:bidi="ar-EG"/>
        </w:rPr>
        <w:t>يعمل في مجاله الخاص كل منن المنجزات التي تحققت في مجالات العمالة وتنمية تنظيم</w:t>
      </w:r>
      <w:r>
        <w:rPr>
          <w:rFonts w:hint="cs"/>
          <w:color w:val="FF0000"/>
          <w:rtl/>
          <w:lang w:bidi="ar-EG"/>
        </w:rPr>
        <w:t xml:space="preserve"> المشاريع</w:t>
      </w:r>
      <w:r>
        <w:rPr>
          <w:rFonts w:hint="cs"/>
          <w:rtl/>
          <w:lang w:bidi="ar-EG"/>
        </w:rPr>
        <w:t xml:space="preserve"> والتعليم والثقافة والصحة والضمان الاجتماعي والمشاركة والتدريب والتوعية الجنسانية، التي يمكن أيضا اعتبارها تدابير إيجابية</w:t>
      </w:r>
      <w:r w:rsidR="003D7EB4">
        <w:rPr>
          <w:rFonts w:hint="cs"/>
          <w:rtl/>
          <w:lang w:bidi="ar-EG"/>
        </w:rPr>
        <w:t>،</w:t>
      </w:r>
    </w:p>
    <w:p w:rsidR="00971AE2" w:rsidRDefault="00971AE2" w:rsidP="00E5138A">
      <w:pPr>
        <w:pStyle w:val="SingleTxt"/>
        <w:rPr>
          <w:rFonts w:hint="cs"/>
          <w:rtl/>
          <w:lang w:bidi="ar-EG"/>
        </w:rPr>
      </w:pPr>
      <w:r>
        <w:rPr>
          <w:rFonts w:hint="cs"/>
          <w:rtl/>
          <w:lang w:bidi="ar-EG"/>
        </w:rPr>
        <w:tab/>
        <w:t xml:space="preserve">النساء الأفريقيات الكولومبيات: </w:t>
      </w:r>
      <w:r>
        <w:rPr>
          <w:rFonts w:hint="eastAsia"/>
          <w:b/>
          <w:bCs/>
          <w:rtl/>
          <w:lang w:bidi="ar-EG"/>
        </w:rPr>
        <w:t>”تنف</w:t>
      </w:r>
      <w:r>
        <w:rPr>
          <w:rFonts w:hint="cs"/>
          <w:b/>
          <w:bCs/>
          <w:rtl/>
          <w:lang w:bidi="ar-EG"/>
        </w:rPr>
        <w:t>ذ</w:t>
      </w:r>
      <w:r>
        <w:rPr>
          <w:rFonts w:hint="eastAsia"/>
          <w:b/>
          <w:bCs/>
          <w:rtl/>
          <w:lang w:bidi="ar-EG"/>
        </w:rPr>
        <w:t>“</w:t>
      </w:r>
      <w:r>
        <w:rPr>
          <w:rFonts w:hint="cs"/>
          <w:b/>
          <w:bCs/>
          <w:rtl/>
          <w:lang w:bidi="ar-EG"/>
        </w:rPr>
        <w:t xml:space="preserve"> الإدارة العامة للطوائف الإثنية،</w:t>
      </w:r>
      <w:r>
        <w:rPr>
          <w:rFonts w:hint="cs"/>
          <w:rtl/>
          <w:lang w:bidi="ar-EG"/>
        </w:rPr>
        <w:t xml:space="preserve"> التابعة لوزارة الداخلية والعدل، </w:t>
      </w:r>
      <w:r>
        <w:rPr>
          <w:rFonts w:hint="cs"/>
          <w:b/>
          <w:bCs/>
          <w:rtl/>
          <w:lang w:bidi="ar-EG"/>
        </w:rPr>
        <w:t>مهامها وفقا للمنصوص عليه في القانون رقم 70 لسنة 1993</w:t>
      </w:r>
      <w:r w:rsidR="003D7EB4">
        <w:rPr>
          <w:rFonts w:hint="cs"/>
          <w:b/>
          <w:bCs/>
          <w:rtl/>
          <w:lang w:bidi="ar-EG"/>
        </w:rPr>
        <w:t>،</w:t>
      </w:r>
      <w:r>
        <w:rPr>
          <w:rFonts w:hint="cs"/>
          <w:b/>
          <w:bCs/>
          <w:rtl/>
          <w:lang w:bidi="ar-EG"/>
        </w:rPr>
        <w:t xml:space="preserve"> ومن أهدافها الاعتراف بالنساء السود في ظل مساواة حقيقية وإتاحة فرص حقيقية لعرقهن ومجتمعهن بصورة عامة</w:t>
      </w:r>
      <w:r w:rsidR="003D7EB4">
        <w:rPr>
          <w:rFonts w:hint="cs"/>
          <w:b/>
          <w:bCs/>
          <w:rtl/>
          <w:lang w:bidi="ar-EG"/>
        </w:rPr>
        <w:t>،</w:t>
      </w:r>
      <w:r>
        <w:rPr>
          <w:rFonts w:hint="cs"/>
          <w:b/>
          <w:bCs/>
          <w:rtl/>
          <w:lang w:bidi="ar-EG"/>
        </w:rPr>
        <w:t xml:space="preserve"> ومن أجل </w:t>
      </w:r>
      <w:r>
        <w:rPr>
          <w:rFonts w:hint="cs"/>
          <w:rtl/>
          <w:lang w:bidi="ar-EG"/>
        </w:rPr>
        <w:t>ذ</w:t>
      </w:r>
      <w:r>
        <w:rPr>
          <w:rFonts w:hint="cs"/>
          <w:b/>
          <w:bCs/>
          <w:rtl/>
          <w:lang w:bidi="ar-EG"/>
        </w:rPr>
        <w:t>لك تنفذ عدة برامج</w:t>
      </w:r>
      <w:r>
        <w:rPr>
          <w:rFonts w:hint="cs"/>
          <w:vertAlign w:val="superscript"/>
          <w:rtl/>
          <w:lang w:bidi="ar-EG"/>
        </w:rPr>
        <w:t>(26)</w:t>
      </w:r>
      <w:r w:rsidR="003D7EB4">
        <w:rPr>
          <w:rFonts w:hint="cs"/>
          <w:rtl/>
          <w:lang w:bidi="ar-EG"/>
        </w:rPr>
        <w:t>،</w:t>
      </w:r>
    </w:p>
    <w:p w:rsidR="00971AE2" w:rsidRDefault="00971AE2" w:rsidP="00E5138A">
      <w:pPr>
        <w:pStyle w:val="SingleTxt"/>
        <w:rPr>
          <w:rFonts w:hint="cs"/>
          <w:rtl/>
          <w:lang w:bidi="ar-EG"/>
        </w:rPr>
      </w:pPr>
      <w:r>
        <w:rPr>
          <w:rFonts w:hint="cs"/>
          <w:rtl/>
          <w:lang w:bidi="ar-EG"/>
        </w:rPr>
        <w:tab/>
      </w:r>
      <w:r>
        <w:rPr>
          <w:rFonts w:hint="cs"/>
          <w:b/>
          <w:bCs/>
          <w:rtl/>
          <w:lang w:bidi="ar-EG"/>
        </w:rPr>
        <w:t>السجون</w:t>
      </w:r>
      <w:r>
        <w:rPr>
          <w:rFonts w:hint="cs"/>
          <w:rtl/>
          <w:lang w:bidi="ar-EG"/>
        </w:rPr>
        <w:t>: تشتمل الإدارة الفرعية للمعالجة والتنمية للمؤسسة الوطنية للسجون والإصلاحيات</w:t>
      </w:r>
      <w:r>
        <w:rPr>
          <w:rFonts w:hint="cs"/>
          <w:vertAlign w:val="superscript"/>
          <w:rtl/>
          <w:lang w:bidi="ar-EG"/>
        </w:rPr>
        <w:t>(27)</w:t>
      </w:r>
      <w:r>
        <w:rPr>
          <w:rFonts w:hint="cs"/>
          <w:rtl/>
          <w:lang w:bidi="ar-EG"/>
        </w:rPr>
        <w:t xml:space="preserve"> على ثلاث شُعب تحمي وتعزز حقوق المرأة المحرومة من حريتها:</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Pr>
          <w:rFonts w:hint="cs"/>
          <w:rtl/>
          <w:lang w:bidi="ar-EG"/>
        </w:rPr>
        <w:t>-</w:t>
      </w:r>
      <w:r>
        <w:rPr>
          <w:rFonts w:hint="cs"/>
          <w:rtl/>
          <w:lang w:bidi="ar-EG"/>
        </w:rPr>
        <w:tab/>
      </w:r>
      <w:r>
        <w:rPr>
          <w:rFonts w:hint="cs"/>
          <w:b/>
          <w:bCs/>
          <w:rtl/>
          <w:lang w:bidi="ar-EG"/>
        </w:rPr>
        <w:t>شعبة التنمية الاجتماعية: تتدخل في رفاهية النزيلات وتنميتهن البشرية المتكاملة والمستدامة</w:t>
      </w:r>
      <w:r>
        <w:rPr>
          <w:rFonts w:hint="cs"/>
          <w:vertAlign w:val="superscript"/>
          <w:rtl/>
          <w:lang w:bidi="ar-EG"/>
        </w:rPr>
        <w:t>(28)</w:t>
      </w:r>
      <w:r w:rsidR="003D7EB4">
        <w:rPr>
          <w:rFonts w:hint="cs"/>
          <w:rtl/>
          <w:lang w:bidi="ar-EG"/>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شعبة الدعم والتدريب على العمل: تدعم إنشاء وتنظيم برامج تدريبية وعمليات إنتاجية لإكساب النزيلات مهارات عمالية</w:t>
      </w:r>
      <w:r>
        <w:rPr>
          <w:rFonts w:hint="cs"/>
          <w:vertAlign w:val="superscript"/>
          <w:rtl/>
          <w:lang w:bidi="ar-EG"/>
        </w:rPr>
        <w:t>(29)</w:t>
      </w:r>
      <w:r w:rsidR="003D7EB4">
        <w:rPr>
          <w:rFonts w:hint="cs"/>
          <w:rtl/>
          <w:lang w:bidi="ar-EG"/>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b/>
          <w:bCs/>
          <w:rtl/>
          <w:lang w:bidi="ar-EG"/>
        </w:rPr>
        <w:t>الشعبة الصحية: تخطط وتنفذ برامج ترمي إلى تلبية احتياجات النزيلات فيما يتعلق بالصحة المتكاملة، تحت ولاية المؤسسة الوطنية للسجون والإصلاحيات</w:t>
      </w:r>
      <w:r>
        <w:rPr>
          <w:rFonts w:hint="cs"/>
          <w:vertAlign w:val="superscript"/>
          <w:rtl/>
          <w:lang w:bidi="ar-EG"/>
        </w:rPr>
        <w:t>(30)</w:t>
      </w:r>
      <w:r w:rsidR="003D7EB4">
        <w:rPr>
          <w:rFonts w:hint="cs"/>
          <w:rtl/>
          <w:lang w:bidi="ar-EG"/>
        </w:rPr>
        <w:t>،</w:t>
      </w:r>
    </w:p>
    <w:p w:rsidR="00971AE2" w:rsidRDefault="00971AE2" w:rsidP="00E5138A">
      <w:pPr>
        <w:pStyle w:val="SingleTxt"/>
        <w:rPr>
          <w:rFonts w:hint="cs"/>
          <w:b/>
          <w:bCs/>
          <w:rtl/>
          <w:lang w:bidi="ar-EG"/>
        </w:rPr>
      </w:pPr>
      <w:r>
        <w:rPr>
          <w:rFonts w:hint="cs"/>
          <w:rtl/>
          <w:lang w:bidi="ar-EG"/>
        </w:rPr>
        <w:tab/>
      </w:r>
      <w:r>
        <w:rPr>
          <w:rFonts w:hint="cs"/>
          <w:b/>
          <w:bCs/>
          <w:rtl/>
          <w:lang w:bidi="ar-EG"/>
        </w:rPr>
        <w:t>رئيسات الأسر</w:t>
      </w:r>
      <w:r>
        <w:rPr>
          <w:rFonts w:hint="cs"/>
          <w:rtl/>
          <w:lang w:bidi="ar-EG"/>
        </w:rPr>
        <w:t xml:space="preserve">: </w:t>
      </w:r>
      <w:r>
        <w:rPr>
          <w:rFonts w:hint="cs"/>
          <w:b/>
          <w:bCs/>
          <w:rtl/>
          <w:lang w:bidi="ar-EG"/>
        </w:rPr>
        <w:t>تابع مكتب المدعية المفوضة لشؤون القصر والأسرة هيئات الحكم المحلي ومجالس العمد في 24 مقاطعة في البلد للتحقق من تنفيذ البرامج التي تعزز تطبيق القانون رقم 82 لسنة 1993</w:t>
      </w:r>
      <w:r w:rsidR="003D7EB4">
        <w:rPr>
          <w:rFonts w:hint="cs"/>
          <w:b/>
          <w:bCs/>
          <w:rtl/>
          <w:lang w:bidi="ar-EG"/>
        </w:rPr>
        <w:t>،</w:t>
      </w:r>
    </w:p>
    <w:p w:rsidR="00971AE2" w:rsidRDefault="00971AE2" w:rsidP="00E5138A">
      <w:pPr>
        <w:pStyle w:val="SingleTxt"/>
        <w:rPr>
          <w:rFonts w:hint="cs"/>
          <w:rtl/>
          <w:lang w:bidi="ar-EG"/>
        </w:rPr>
      </w:pPr>
      <w:r>
        <w:rPr>
          <w:rFonts w:hint="cs"/>
          <w:b/>
          <w:bCs/>
          <w:rtl/>
          <w:lang w:bidi="ar-EG"/>
        </w:rPr>
        <w:tab/>
        <w:t>الراشدات</w:t>
      </w:r>
      <w:r>
        <w:rPr>
          <w:rFonts w:hint="cs"/>
          <w:rtl/>
          <w:lang w:bidi="ar-EG"/>
        </w:rPr>
        <w:t>: يوجد لدى الحكومة الوطنية برنامج الرعاية الاجتماعية للراشدين، الذي يستهدف أفقر الراشدين وتقديم المساعدة إليهم عن طريق منحهم إعانات مالية</w:t>
      </w:r>
      <w:r w:rsidR="003D7EB4">
        <w:rPr>
          <w:rFonts w:hint="cs"/>
          <w:rtl/>
          <w:lang w:bidi="ar-EG"/>
        </w:rPr>
        <w:t>،</w:t>
      </w:r>
      <w:r>
        <w:rPr>
          <w:rFonts w:hint="cs"/>
          <w:rtl/>
          <w:lang w:bidi="ar-EG"/>
        </w:rPr>
        <w:t xml:space="preserve"> وقد وصل هذا البرنامج إلى 95 في المائة من بلديات البلد وفاق شمول المستفيدين الهدف الأصلي الذي حددته الحكومة الوطنية (000 125)</w:t>
      </w:r>
      <w:r w:rsidR="003D7EB4">
        <w:rPr>
          <w:rFonts w:hint="cs"/>
          <w:rtl/>
          <w:lang w:bidi="ar-EG"/>
        </w:rPr>
        <w:t>،</w:t>
      </w:r>
    </w:p>
    <w:p w:rsidR="00971AE2" w:rsidRDefault="00971AE2" w:rsidP="00971AE2">
      <w:pPr>
        <w:pStyle w:val="SingleTxt"/>
        <w:jc w:val="left"/>
        <w:rPr>
          <w:rFonts w:hint="cs"/>
          <w:rtl/>
          <w:lang w:bidi="ar-EG"/>
        </w:rPr>
      </w:pPr>
      <w:r>
        <w:rPr>
          <w:rFonts w:hint="cs"/>
          <w:b/>
          <w:bCs/>
          <w:rtl/>
          <w:lang w:bidi="ar-EG"/>
        </w:rPr>
        <w:tab/>
        <w:t>نساء السكان الأصليين</w:t>
      </w:r>
      <w:r>
        <w:rPr>
          <w:rFonts w:hint="cs"/>
          <w:rtl/>
          <w:lang w:bidi="ar-EG"/>
        </w:rPr>
        <w:t>: نسقت الإدارة العامة لشؤون نساء السكان الأصليين، في جملة أمور، مشروع نساء السكان الأصليين المشردات</w:t>
      </w:r>
      <w:r w:rsidR="003D7EB4">
        <w:rPr>
          <w:rFonts w:hint="cs"/>
          <w:rtl/>
          <w:lang w:bidi="ar-EG"/>
        </w:rPr>
        <w:t>،</w:t>
      </w:r>
    </w:p>
    <w:p w:rsidR="00971AE2" w:rsidRDefault="00971AE2" w:rsidP="00E5138A">
      <w:pPr>
        <w:pStyle w:val="SingleTxt"/>
        <w:rPr>
          <w:rFonts w:hint="cs"/>
          <w:rtl/>
          <w:lang w:bidi="ar-EG"/>
        </w:rPr>
      </w:pPr>
      <w:r>
        <w:rPr>
          <w:rFonts w:hint="cs"/>
          <w:b/>
          <w:bCs/>
          <w:rtl/>
          <w:lang w:bidi="ar-EG"/>
        </w:rPr>
        <w:tab/>
        <w:t>يرمي برنامج التعليم الإثني التابع لوزارة التعليم الوطني إلى التحرير الثقافي والمادي والروحي للطوائف الإثنية بتكنولوجيات مناسبة لكل منطقة من المناطق (الأندية والأمازونية والشرقية) باللغة الأصلية واللغة الثانية والحرف والزراعة وتربية الماشية</w:t>
      </w:r>
      <w:r w:rsidR="003D7EB4">
        <w:rPr>
          <w:rFonts w:hint="cs"/>
          <w:rtl/>
          <w:lang w:bidi="ar-EG"/>
        </w:rPr>
        <w:t>،</w:t>
      </w:r>
      <w:r>
        <w:rPr>
          <w:rFonts w:hint="cs"/>
          <w:b/>
          <w:bCs/>
          <w:rtl/>
          <w:lang w:bidi="ar-EG"/>
        </w:rPr>
        <w:t xml:space="preserve"> ويجري العمل مع الفتيات والشابات والنساء في صناعة حقائب الظهرالصوفية</w:t>
      </w:r>
      <w:r w:rsidR="003D7EB4">
        <w:rPr>
          <w:rFonts w:hint="cs"/>
          <w:b/>
          <w:bCs/>
          <w:rtl/>
          <w:lang w:bidi="ar-EG"/>
        </w:rPr>
        <w:t>،</w:t>
      </w:r>
    </w:p>
    <w:p w:rsidR="00971AE2" w:rsidRDefault="00971AE2" w:rsidP="00E5138A">
      <w:pPr>
        <w:pStyle w:val="SingleTxt"/>
        <w:rPr>
          <w:rFonts w:hint="cs"/>
          <w:b/>
          <w:bCs/>
          <w:rtl/>
          <w:lang w:bidi="ar-EG"/>
        </w:rPr>
      </w:pPr>
      <w:r>
        <w:rPr>
          <w:rFonts w:hint="cs"/>
          <w:b/>
          <w:bCs/>
          <w:rtl/>
          <w:lang w:bidi="ar-EG"/>
        </w:rPr>
        <w:t>الإحصاءات</w:t>
      </w:r>
    </w:p>
    <w:p w:rsidR="00971AE2" w:rsidRDefault="00971AE2" w:rsidP="00971AE2">
      <w:pPr>
        <w:pStyle w:val="SingleTxt"/>
        <w:jc w:val="left"/>
        <w:rPr>
          <w:rFonts w:hint="cs"/>
          <w:rtl/>
          <w:lang w:bidi="ar-EG"/>
        </w:rPr>
      </w:pPr>
      <w:r>
        <w:rPr>
          <w:rFonts w:hint="cs"/>
          <w:b/>
          <w:bCs/>
          <w:rtl/>
          <w:lang w:bidi="ar-EG"/>
        </w:rPr>
        <w:t>نزلاء السجون</w:t>
      </w:r>
    </w:p>
    <w:p w:rsidR="00971AE2" w:rsidRPr="00640C03" w:rsidRDefault="00971AE2" w:rsidP="00640C03">
      <w:pPr>
        <w:pStyle w:val="SingleTxt"/>
        <w:rPr>
          <w:rFonts w:hint="cs"/>
          <w:rtl/>
          <w:lang w:bidi="ar-EG"/>
        </w:rPr>
      </w:pPr>
      <w:r w:rsidRPr="00640C03">
        <w:rPr>
          <w:rFonts w:hint="cs"/>
          <w:rtl/>
          <w:lang w:bidi="ar-EG"/>
        </w:rPr>
        <w:tab/>
        <w:t>وفقا لمكتب التخطيط التابع للمؤسسة الوطنية للسجون والإصلاحيات كانت توجد من بين مجموع عدد نزلاء السجون في كولومبيا (951 61 شخصا) 135 4 امرأة في تشرين الأول/أكتوبر 2003</w:t>
      </w:r>
      <w:r w:rsidR="003D7EB4">
        <w:rPr>
          <w:rFonts w:hint="cs"/>
          <w:rtl/>
          <w:lang w:bidi="ar-EG"/>
        </w:rPr>
        <w:t>،</w:t>
      </w:r>
    </w:p>
    <w:p w:rsidR="00971AE2" w:rsidRPr="00640C03" w:rsidRDefault="00971AE2" w:rsidP="00640C03">
      <w:pPr>
        <w:pStyle w:val="SingleTxt"/>
        <w:rPr>
          <w:rFonts w:hint="cs"/>
          <w:u w:val="single"/>
          <w:rtl/>
          <w:lang w:bidi="ar-EG"/>
        </w:rPr>
      </w:pPr>
      <w:r>
        <w:rPr>
          <w:rFonts w:hint="cs"/>
          <w:rtl/>
          <w:lang w:bidi="ar-EG"/>
        </w:rPr>
        <w:tab/>
      </w:r>
      <w:r w:rsidRPr="00640C03">
        <w:rPr>
          <w:rFonts w:hint="cs"/>
          <w:u w:val="single"/>
          <w:rtl/>
          <w:lang w:bidi="ar-EG"/>
        </w:rPr>
        <w:t>وخلال عام 2003 دُرب ما متوسطه 619 امرأة</w:t>
      </w:r>
      <w:r w:rsidR="003D7EB4">
        <w:rPr>
          <w:rFonts w:hint="cs"/>
          <w:u w:val="single"/>
          <w:rtl/>
          <w:lang w:bidi="ar-EG"/>
        </w:rPr>
        <w:t>،</w:t>
      </w:r>
      <w:r w:rsidRPr="00640C03">
        <w:rPr>
          <w:rFonts w:hint="cs"/>
          <w:u w:val="single"/>
          <w:rtl/>
          <w:lang w:bidi="ar-EG"/>
        </w:rPr>
        <w:t xml:space="preserve"> كما استُنسبت 384 1 سجينة لأعمال مختلفة: الصناعة و/أو الورش - مخابز أو ورش نجارة أو أعمال الديكور أو صناعة الأحذية أو الزراعة وتربية الماشية أو العمل في المزارع أو الخدمات الزراعية أو تربية الخنازير أو تنظيف السيارات أو غسل الملابس أو العمل في المقاهي أو في صالونات تصفيف الشعر أو العمل بعقود خارج المباني في شركات خاصة أو مؤسسات عامة أو العمل المجتمعي أو الأشغال العامة أو أعمال الزخرفة</w:t>
      </w:r>
      <w:r w:rsidR="003D7EB4">
        <w:rPr>
          <w:rFonts w:hint="cs"/>
          <w:u w:val="single"/>
          <w:rtl/>
          <w:lang w:bidi="ar-EG"/>
        </w:rPr>
        <w:t>،</w:t>
      </w:r>
      <w:r w:rsidRPr="00640C03">
        <w:rPr>
          <w:rFonts w:hint="cs"/>
          <w:u w:val="single"/>
          <w:rtl/>
          <w:lang w:bidi="ar-EG"/>
        </w:rPr>
        <w:t xml:space="preserve"> وترعى المجموعة التعليمية في فصول محو الأمية 114 نزيلة، وفي المرحلة الابتدائية 305، وفي المرحلة الثانوية 349، وفي التعليم العالي 9، وفي المؤتمرات 931، وفي المكتبات 485، وفي الأنشطة الثقافية 764، وفي الأنشطة الرياضية 748، بميزانية تبلغ 000 100 19 دولار (تسعة عشر مليونا ومائة ألف بيزو كولومبي)</w:t>
      </w:r>
      <w:r w:rsidR="003D7EB4">
        <w:rPr>
          <w:rFonts w:hint="cs"/>
          <w:u w:val="single"/>
          <w:rtl/>
          <w:lang w:bidi="ar-EG"/>
        </w:rPr>
        <w:t>،</w:t>
      </w:r>
    </w:p>
    <w:p w:rsidR="00971AE2" w:rsidRDefault="00971AE2" w:rsidP="00640C03">
      <w:pPr>
        <w:pStyle w:val="SingleTxt"/>
        <w:rPr>
          <w:rFonts w:hint="cs"/>
          <w:u w:val="single"/>
          <w:rtl/>
          <w:lang w:bidi="ar-EG"/>
        </w:rPr>
      </w:pPr>
      <w:r w:rsidRPr="00640C03">
        <w:rPr>
          <w:rFonts w:hint="cs"/>
          <w:rtl/>
          <w:lang w:bidi="ar-EG"/>
        </w:rPr>
        <w:tab/>
      </w:r>
      <w:r w:rsidRPr="00640C03">
        <w:rPr>
          <w:rFonts w:hint="cs"/>
          <w:u w:val="single"/>
          <w:rtl/>
          <w:lang w:bidi="ar-EG"/>
        </w:rPr>
        <w:t xml:space="preserve">ويقدم مكتب العمل الاجتماعي </w:t>
      </w:r>
      <w:r w:rsidRPr="00640C03">
        <w:rPr>
          <w:rFonts w:hint="cs"/>
          <w:u w:val="single"/>
          <w:rtl/>
        </w:rPr>
        <w:t>التابع للمؤسسة الكولومبية للرعاية الأسرية</w:t>
      </w:r>
      <w:r w:rsidRPr="00640C03">
        <w:rPr>
          <w:rFonts w:hint="cs"/>
          <w:u w:val="single"/>
          <w:rtl/>
          <w:lang w:bidi="ar-EG"/>
        </w:rPr>
        <w:t xml:space="preserve"> إلى ما</w:t>
      </w:r>
      <w:r w:rsidR="00E5138A">
        <w:rPr>
          <w:rFonts w:hint="eastAsia"/>
          <w:u w:val="single"/>
          <w:rtl/>
          <w:lang w:bidi="ar-EG"/>
        </w:rPr>
        <w:t> </w:t>
      </w:r>
      <w:r w:rsidRPr="00640C03">
        <w:rPr>
          <w:rFonts w:hint="cs"/>
          <w:u w:val="single"/>
          <w:rtl/>
          <w:lang w:bidi="ar-EG"/>
        </w:rPr>
        <w:t>متوسطه 972 أسرة ’1‘ الرعاية النفسية والاجتماعية المباشرة و ’2‘ الربط بالشبكة الاجتماعية للدعم في مجالات الصحة والإسكان والتعليم</w:t>
      </w:r>
      <w:r w:rsidR="003D7EB4">
        <w:rPr>
          <w:rFonts w:hint="cs"/>
          <w:u w:val="single"/>
          <w:rtl/>
          <w:lang w:bidi="ar-EG"/>
        </w:rPr>
        <w:t>،</w:t>
      </w:r>
      <w:r w:rsidRPr="00640C03">
        <w:rPr>
          <w:rFonts w:hint="cs"/>
          <w:u w:val="single"/>
          <w:rtl/>
          <w:lang w:bidi="ar-EG"/>
        </w:rPr>
        <w:t xml:space="preserve"> وأُجريت عمليات تدريب وتأهيل لسبع من نساء السكان الأصليين و 88 نزيلا في المرحلة العمرية الثالثة ولمعوقين إثنين و 16 أجنبيا و 64 حاملا و 46 مرضعا ببرامج مصممة خصيصا لكل مجموعة من المجموعات وقدمت الرعاية الاجتماعية المباشرة إلى 774 1 نزيلا</w:t>
      </w:r>
      <w:r w:rsidR="003D7EB4">
        <w:rPr>
          <w:rFonts w:hint="cs"/>
          <w:u w:val="single"/>
          <w:rtl/>
          <w:lang w:bidi="ar-EG"/>
        </w:rPr>
        <w:t>،</w:t>
      </w:r>
      <w:r w:rsidRPr="00640C03">
        <w:rPr>
          <w:rFonts w:hint="cs"/>
          <w:u w:val="single"/>
          <w:rtl/>
          <w:lang w:bidi="ar-EG"/>
        </w:rPr>
        <w:t xml:space="preserve"> وفي المجال النفسي قدمت الرعاية إلى  ما متوسطه 700 نزيل في برامج التنمية الشخصية و 215 سجينة في الرعاية النفسية المباشرة، بميزانية للرعاية الاجتماعية تبلغ 000 300 8 دولار</w:t>
      </w:r>
      <w:r w:rsidR="003D7EB4">
        <w:rPr>
          <w:rFonts w:hint="cs"/>
          <w:u w:val="single"/>
          <w:rtl/>
          <w:lang w:bidi="ar-EG"/>
        </w:rPr>
        <w:t>،</w:t>
      </w:r>
      <w:r w:rsidRPr="00640C03">
        <w:rPr>
          <w:rFonts w:hint="cs"/>
          <w:u w:val="single"/>
          <w:rtl/>
          <w:lang w:bidi="ar-EG"/>
        </w:rPr>
        <w:t xml:space="preserve"> ووفقا لتحليل تقارير السجون النسائية المختلفة على المستوى الوطني تبلغ نسبة النزيلات المشمولات برعاية الصحة العقلية 10 في المائة</w:t>
      </w:r>
      <w:r w:rsidR="003D7EB4">
        <w:rPr>
          <w:rFonts w:hint="cs"/>
          <w:u w:val="single"/>
          <w:rtl/>
          <w:lang w:bidi="ar-EG"/>
        </w:rPr>
        <w:t>،</w:t>
      </w:r>
    </w:p>
    <w:p w:rsidR="00640C03" w:rsidRDefault="00640C03" w:rsidP="00640C03">
      <w:pPr>
        <w:pStyle w:val="SingleTxt"/>
        <w:rPr>
          <w:rFonts w:hint="cs"/>
          <w:rtl/>
          <w:lang w:bidi="ar-EG"/>
        </w:rPr>
      </w:pPr>
    </w:p>
    <w:p w:rsidR="00971AE2" w:rsidRDefault="00971AE2" w:rsidP="00971AE2">
      <w:pPr>
        <w:pStyle w:val="SingleTxt"/>
        <w:jc w:val="left"/>
        <w:rPr>
          <w:rFonts w:hint="cs"/>
          <w:b/>
          <w:bCs/>
          <w:rtl/>
          <w:lang w:bidi="ar-EG"/>
        </w:rPr>
      </w:pPr>
      <w:r>
        <w:rPr>
          <w:rFonts w:hint="cs"/>
          <w:b/>
          <w:bCs/>
          <w:rtl/>
          <w:lang w:bidi="ar-EG"/>
        </w:rPr>
        <w:t>الطوائف الإثنية</w:t>
      </w:r>
    </w:p>
    <w:p w:rsidR="00971AE2" w:rsidRDefault="00971AE2" w:rsidP="00971AE2">
      <w:pPr>
        <w:pStyle w:val="SingleTxt"/>
        <w:jc w:val="left"/>
        <w:rPr>
          <w:rFonts w:hint="cs"/>
          <w:rtl/>
          <w:lang w:bidi="ar-EG"/>
        </w:rPr>
      </w:pPr>
      <w:r>
        <w:rPr>
          <w:rFonts w:hint="cs"/>
          <w:rtl/>
          <w:lang w:bidi="ar-EG"/>
        </w:rPr>
        <w:tab/>
        <w:t>توجد اختلافات في المعلومات التي استُخدمت فيما يتعلق بالقاعدة السكانية للأفريقيين الكولومبيين وتحديد مؤشرات نوعية المعيشة</w:t>
      </w:r>
      <w:r w:rsidR="003D7EB4">
        <w:rPr>
          <w:rFonts w:hint="cs"/>
          <w:rtl/>
          <w:lang w:bidi="ar-EG"/>
        </w:rPr>
        <w:t>،</w:t>
      </w:r>
    </w:p>
    <w:p w:rsidR="00971AE2" w:rsidRDefault="00971AE2" w:rsidP="00640C03">
      <w:pPr>
        <w:pStyle w:val="SingleTxt"/>
        <w:rPr>
          <w:rFonts w:hint="cs"/>
          <w:rtl/>
          <w:lang w:bidi="ar-EG"/>
        </w:rPr>
      </w:pPr>
      <w:r>
        <w:rPr>
          <w:rFonts w:hint="cs"/>
          <w:rtl/>
          <w:lang w:bidi="ar-EG"/>
        </w:rPr>
        <w:tab/>
      </w:r>
      <w:r w:rsidRPr="00640C03">
        <w:rPr>
          <w:rFonts w:hint="cs"/>
          <w:u w:val="single"/>
          <w:rtl/>
          <w:lang w:bidi="ar-EG"/>
        </w:rPr>
        <w:t xml:space="preserve">في شوكو، حيث يمثل السود أغلبية السكان، يفوق </w:t>
      </w:r>
      <w:r w:rsidRPr="00640C03">
        <w:rPr>
          <w:u w:val="single"/>
        </w:rPr>
        <w:t>IPH</w:t>
      </w:r>
      <w:r w:rsidRPr="00640C03">
        <w:rPr>
          <w:rFonts w:hint="cs"/>
          <w:u w:val="single"/>
          <w:rtl/>
          <w:lang w:bidi="ar-EG"/>
        </w:rPr>
        <w:t xml:space="preserve"> المتوسط الوطني بعشر نقاط مئوية</w:t>
      </w:r>
      <w:r w:rsidR="003D7EB4">
        <w:rPr>
          <w:rFonts w:hint="cs"/>
          <w:u w:val="single"/>
          <w:rtl/>
          <w:lang w:bidi="ar-EG"/>
        </w:rPr>
        <w:t>،</w:t>
      </w:r>
      <w:r w:rsidRPr="00640C03">
        <w:rPr>
          <w:rFonts w:hint="cs"/>
          <w:u w:val="single"/>
          <w:rtl/>
          <w:lang w:bidi="ar-EG"/>
        </w:rPr>
        <w:t xml:space="preserve"> وتبلغ نسبة السكان الأميين الذين تجاوزا سن الخامسة عشرة 26</w:t>
      </w:r>
      <w:r w:rsidR="00D96DDE">
        <w:rPr>
          <w:rFonts w:hint="cs"/>
          <w:u w:val="single"/>
          <w:rtl/>
          <w:lang w:bidi="ar-EG"/>
        </w:rPr>
        <w:t>.</w:t>
      </w:r>
      <w:r w:rsidRPr="00640C03">
        <w:rPr>
          <w:rFonts w:hint="cs"/>
          <w:u w:val="single"/>
          <w:rtl/>
          <w:lang w:bidi="ar-EG"/>
        </w:rPr>
        <w:t>30 في المائة مقارنة بـ 9</w:t>
      </w:r>
      <w:r w:rsidR="00D96DDE">
        <w:rPr>
          <w:rFonts w:hint="cs"/>
          <w:u w:val="single"/>
          <w:rtl/>
          <w:lang w:bidi="ar-EG"/>
        </w:rPr>
        <w:t>.</w:t>
      </w:r>
      <w:r w:rsidRPr="00640C03">
        <w:rPr>
          <w:rFonts w:hint="cs"/>
          <w:u w:val="single"/>
          <w:rtl/>
          <w:lang w:bidi="ar-EG"/>
        </w:rPr>
        <w:t>9 في المائة على المستوى الوطني، وتبلغ نسبة السكان الذين يفتقرون إلى الخدمات الصحية أو الذين تتوافر لهم خدمات صحية غير كافية 74 في المائة مقارنة بالمتوسط الوطني الذي يبلغ 24</w:t>
      </w:r>
      <w:r w:rsidR="00D96DDE">
        <w:rPr>
          <w:rFonts w:hint="cs"/>
          <w:u w:val="single"/>
          <w:rtl/>
          <w:lang w:bidi="ar-EG"/>
        </w:rPr>
        <w:t>.</w:t>
      </w:r>
      <w:r w:rsidRPr="00640C03">
        <w:rPr>
          <w:rFonts w:hint="cs"/>
          <w:u w:val="single"/>
          <w:rtl/>
          <w:lang w:bidi="ar-EG"/>
        </w:rPr>
        <w:t>36 في المائة</w:t>
      </w:r>
      <w:r w:rsidR="003D7EB4">
        <w:rPr>
          <w:rFonts w:hint="cs"/>
          <w:u w:val="single"/>
          <w:rtl/>
          <w:lang w:bidi="ar-EG"/>
        </w:rPr>
        <w:t>،</w:t>
      </w:r>
      <w:r w:rsidRPr="00640C03">
        <w:rPr>
          <w:rFonts w:hint="cs"/>
          <w:u w:val="single"/>
          <w:rtl/>
          <w:lang w:bidi="ar-EG"/>
        </w:rPr>
        <w:t xml:space="preserve"> ومن أجل تمويل البرامج التعليمية للمجتمعات الأفريقية الكولومبية أصدرت المؤسسة الكولومبية للقروض التعليمية والدراسات التقنية في الخارج نداءين، الأول في سنة 1996 بلغ عدد المستفيدين فيه 494 1 والثاني في سنة 2000 وبلغ عدد المستفيدين فيه 070 1</w:t>
      </w:r>
      <w:r w:rsidR="003D7EB4">
        <w:rPr>
          <w:rFonts w:hint="cs"/>
          <w:u w:val="single"/>
          <w:rtl/>
          <w:lang w:bidi="ar-EG"/>
        </w:rPr>
        <w:t>،</w:t>
      </w:r>
      <w:r w:rsidRPr="00640C03">
        <w:rPr>
          <w:rFonts w:hint="cs"/>
          <w:u w:val="single"/>
          <w:rtl/>
          <w:lang w:bidi="ar-EG"/>
        </w:rPr>
        <w:t xml:space="preserve"> وكان بين المستفيدين الذين بلغ عددهم 564 2 شخصا 154 1 امرأة (45 في المائة)</w:t>
      </w:r>
      <w:r w:rsidRPr="00640C03">
        <w:rPr>
          <w:rFonts w:hint="cs"/>
          <w:u w:val="single"/>
          <w:vertAlign w:val="superscript"/>
          <w:rtl/>
          <w:lang w:bidi="ar-EG"/>
        </w:rPr>
        <w:t>(31)</w:t>
      </w:r>
      <w:r w:rsidR="003D7EB4">
        <w:rPr>
          <w:rFonts w:hint="cs"/>
          <w:u w:val="single"/>
          <w:rtl/>
          <w:lang w:bidi="ar-EG"/>
        </w:rPr>
        <w:t>،</w:t>
      </w:r>
      <w:r w:rsidRPr="00640C03">
        <w:rPr>
          <w:rFonts w:hint="cs"/>
          <w:u w:val="single"/>
          <w:rtl/>
          <w:lang w:bidi="ar-EG"/>
        </w:rPr>
        <w:t xml:space="preserve"> ومن جهة أخرى وُقعت منذ عام 1996 اتفاقات أفادت شباب أفريقي كولومبي بالحصول على حصص</w:t>
      </w:r>
      <w:r w:rsidRPr="00640C03">
        <w:rPr>
          <w:rFonts w:hint="cs"/>
          <w:u w:val="single"/>
          <w:vertAlign w:val="superscript"/>
          <w:rtl/>
          <w:lang w:bidi="ar-EG"/>
        </w:rPr>
        <w:t>(32)</w:t>
      </w:r>
      <w:r w:rsidRPr="00640C03">
        <w:rPr>
          <w:rFonts w:hint="cs"/>
          <w:u w:val="single"/>
          <w:rtl/>
          <w:lang w:bidi="ar-EG"/>
        </w:rPr>
        <w:t xml:space="preserve"> استفاد بموجبها ما متوسطه 650 1 أفريقيا كولومبيا وكانت نسبة الإناث بينهم نحو 45 في المائة</w:t>
      </w:r>
      <w:r>
        <w:rPr>
          <w:rFonts w:hint="cs"/>
          <w:vertAlign w:val="superscript"/>
          <w:rtl/>
          <w:lang w:bidi="ar-EG"/>
        </w:rPr>
        <w:t>(33)</w:t>
      </w:r>
      <w:r w:rsidR="003D7EB4">
        <w:rPr>
          <w:rFonts w:hint="cs"/>
          <w:rtl/>
          <w:lang w:bidi="ar-EG"/>
        </w:rPr>
        <w:t>،</w:t>
      </w:r>
    </w:p>
    <w:p w:rsidR="00971AE2" w:rsidRDefault="00971AE2" w:rsidP="00640C03">
      <w:pPr>
        <w:pStyle w:val="SingleTxt"/>
        <w:rPr>
          <w:rFonts w:hint="cs"/>
          <w:rtl/>
          <w:lang w:bidi="ar-EG"/>
        </w:rPr>
      </w:pPr>
      <w:r>
        <w:rPr>
          <w:rFonts w:hint="cs"/>
          <w:rtl/>
          <w:lang w:bidi="ar-EG"/>
        </w:rPr>
        <w:tab/>
        <w:t>وبلغ عدد السكان الأصليين المسجلين في التعداد 356 785 نسمة</w:t>
      </w:r>
      <w:r w:rsidR="003D7EB4">
        <w:rPr>
          <w:rFonts w:hint="cs"/>
          <w:rtl/>
          <w:lang w:bidi="ar-EG"/>
        </w:rPr>
        <w:t>،</w:t>
      </w:r>
      <w:r>
        <w:rPr>
          <w:rFonts w:hint="cs"/>
          <w:rtl/>
          <w:lang w:bidi="ar-EG"/>
        </w:rPr>
        <w:t xml:space="preserve"> وهم يتألفون من 82 شعبا أو جماعة تتكلم 64 لغة مختلفة وتعيش أغلبيتهم في مقاطعات البلد</w:t>
      </w:r>
      <w:r w:rsidR="003D7EB4">
        <w:rPr>
          <w:rFonts w:hint="cs"/>
          <w:rtl/>
          <w:lang w:bidi="ar-EG"/>
        </w:rPr>
        <w:t>،</w:t>
      </w:r>
      <w:r>
        <w:rPr>
          <w:rFonts w:hint="cs"/>
          <w:rtl/>
          <w:lang w:bidi="ar-EG"/>
        </w:rPr>
        <w:t xml:space="preserve"> وتشغل الـ 638 محمية</w:t>
      </w:r>
      <w:r>
        <w:rPr>
          <w:rFonts w:hint="cs"/>
          <w:vertAlign w:val="superscript"/>
          <w:rtl/>
          <w:lang w:bidi="ar-EG"/>
        </w:rPr>
        <w:t>(34)</w:t>
      </w:r>
      <w:r>
        <w:rPr>
          <w:rFonts w:hint="cs"/>
          <w:rtl/>
          <w:lang w:bidi="ar-EG"/>
        </w:rPr>
        <w:t xml:space="preserve"> المنشأة بصورة شرعية 27 في المائة من الإقليم الوطني مما مجموعه 31</w:t>
      </w:r>
      <w:r w:rsidR="00D96DDE">
        <w:rPr>
          <w:rFonts w:hint="cs"/>
          <w:rtl/>
          <w:lang w:bidi="ar-EG"/>
        </w:rPr>
        <w:t>.</w:t>
      </w:r>
      <w:r>
        <w:rPr>
          <w:rFonts w:hint="cs"/>
          <w:rtl/>
          <w:lang w:bidi="ar-EG"/>
        </w:rPr>
        <w:t>3 مليون هكتار</w:t>
      </w:r>
      <w:r w:rsidR="003D7EB4">
        <w:rPr>
          <w:rFonts w:hint="cs"/>
          <w:rtl/>
          <w:lang w:bidi="ar-EG"/>
        </w:rPr>
        <w:t>،</w:t>
      </w:r>
      <w:r>
        <w:rPr>
          <w:rFonts w:hint="cs"/>
          <w:rtl/>
          <w:lang w:bidi="ar-EG"/>
        </w:rPr>
        <w:t xml:space="preserve"> ويعيش 13 في المائة فقط من السكان الأصليين في أراض ليس لها صفة المحمية</w:t>
      </w:r>
      <w:r>
        <w:rPr>
          <w:rFonts w:hint="cs"/>
          <w:vertAlign w:val="superscript"/>
          <w:rtl/>
          <w:lang w:bidi="ar-EG"/>
        </w:rPr>
        <w:t>(35)</w:t>
      </w:r>
      <w:r w:rsidR="003D7EB4">
        <w:rPr>
          <w:rFonts w:hint="cs"/>
          <w:rtl/>
          <w:lang w:bidi="ar-EG"/>
        </w:rPr>
        <w:t>،</w:t>
      </w:r>
      <w:r>
        <w:rPr>
          <w:rFonts w:hint="cs"/>
          <w:rtl/>
          <w:lang w:bidi="ar-EG"/>
        </w:rPr>
        <w:t xml:space="preserve"> وفي عهد الحكومة الحالية أُنشئت 71 محمية ووُسعت 26 محمية يصل مجموع مساحتها إلى 237 182 1 هكتارا لصالح 185 15 أسرة</w:t>
      </w:r>
      <w:r w:rsidR="003D7EB4">
        <w:rPr>
          <w:rFonts w:hint="cs"/>
          <w:rtl/>
          <w:lang w:bidi="ar-EG"/>
        </w:rPr>
        <w:t>،</w:t>
      </w:r>
    </w:p>
    <w:p w:rsidR="00971AE2" w:rsidRDefault="00971AE2" w:rsidP="00640C03">
      <w:pPr>
        <w:pStyle w:val="SingleTxt"/>
        <w:rPr>
          <w:rFonts w:hint="cs"/>
          <w:rtl/>
          <w:lang w:bidi="ar-EG"/>
        </w:rPr>
      </w:pPr>
      <w:r>
        <w:rPr>
          <w:rFonts w:hint="cs"/>
          <w:rtl/>
          <w:lang w:bidi="ar-EG"/>
        </w:rPr>
        <w:tab/>
        <w:t>ووفقا لتعداد سنة 1993 لم يبلغ 45</w:t>
      </w:r>
      <w:r w:rsidR="00D96DDE">
        <w:rPr>
          <w:rFonts w:hint="cs"/>
          <w:rtl/>
          <w:lang w:bidi="ar-EG"/>
        </w:rPr>
        <w:t>.</w:t>
      </w:r>
      <w:r>
        <w:rPr>
          <w:rFonts w:hint="cs"/>
          <w:rtl/>
          <w:lang w:bidi="ar-EG"/>
        </w:rPr>
        <w:t>2 في المائة من السكان الأصليين الخامسة عشرة من العمر، وتتراوح أعمار 13</w:t>
      </w:r>
      <w:r w:rsidR="00D96DDE">
        <w:rPr>
          <w:rFonts w:hint="cs"/>
          <w:rtl/>
          <w:lang w:bidi="ar-EG"/>
        </w:rPr>
        <w:t>.</w:t>
      </w:r>
      <w:r>
        <w:rPr>
          <w:rFonts w:hint="cs"/>
          <w:rtl/>
          <w:lang w:bidi="ar-EG"/>
        </w:rPr>
        <w:t>3 في المائة منهم بين 15 و 24 سنة، و 12</w:t>
      </w:r>
      <w:r w:rsidR="00D96DDE">
        <w:rPr>
          <w:rFonts w:hint="cs"/>
          <w:rtl/>
          <w:lang w:bidi="ar-EG"/>
        </w:rPr>
        <w:t>.</w:t>
      </w:r>
      <w:r>
        <w:rPr>
          <w:rFonts w:hint="cs"/>
          <w:rtl/>
          <w:lang w:bidi="ar-EG"/>
        </w:rPr>
        <w:t>6 في المائة منهم بين 25 و 34 سنة، و 9</w:t>
      </w:r>
      <w:r w:rsidR="00D96DDE">
        <w:rPr>
          <w:rFonts w:hint="cs"/>
          <w:rtl/>
          <w:lang w:bidi="ar-EG"/>
        </w:rPr>
        <w:t>.</w:t>
      </w:r>
      <w:r>
        <w:rPr>
          <w:rFonts w:hint="cs"/>
          <w:rtl/>
          <w:lang w:bidi="ar-EG"/>
        </w:rPr>
        <w:t>1 في المائة بين 35 و 44 سنة، و تجاوز سن الخامسة والأربعين 13</w:t>
      </w:r>
      <w:r w:rsidR="00D96DDE">
        <w:rPr>
          <w:rFonts w:hint="cs"/>
          <w:rtl/>
          <w:lang w:bidi="ar-EG"/>
        </w:rPr>
        <w:t>.</w:t>
      </w:r>
      <w:r>
        <w:rPr>
          <w:rFonts w:hint="cs"/>
          <w:rtl/>
          <w:lang w:bidi="ar-EG"/>
        </w:rPr>
        <w:t>9 في المائة فقط</w:t>
      </w:r>
      <w:r w:rsidR="003D7EB4">
        <w:rPr>
          <w:rFonts w:hint="cs"/>
          <w:rtl/>
          <w:lang w:bidi="ar-EG"/>
        </w:rPr>
        <w:t>،</w:t>
      </w:r>
      <w:r>
        <w:rPr>
          <w:rFonts w:hint="cs"/>
          <w:rtl/>
          <w:lang w:bidi="ar-EG"/>
        </w:rPr>
        <w:t xml:space="preserve"> و</w:t>
      </w:r>
      <w:r>
        <w:rPr>
          <w:rFonts w:hint="eastAsia"/>
          <w:rtl/>
          <w:lang w:bidi="ar-EG"/>
        </w:rPr>
        <w:t> </w:t>
      </w:r>
      <w:r>
        <w:rPr>
          <w:rFonts w:hint="cs"/>
          <w:rtl/>
          <w:lang w:bidi="ar-EG"/>
        </w:rPr>
        <w:t>56</w:t>
      </w:r>
      <w:r w:rsidR="00D96DDE">
        <w:rPr>
          <w:rFonts w:hint="cs"/>
          <w:rtl/>
          <w:lang w:bidi="ar-EG"/>
        </w:rPr>
        <w:t>.</w:t>
      </w:r>
      <w:r>
        <w:rPr>
          <w:rFonts w:hint="cs"/>
          <w:rtl/>
          <w:lang w:bidi="ar-EG"/>
        </w:rPr>
        <w:t>4 في المائة من النساء ربات بيوت، و 13</w:t>
      </w:r>
      <w:r w:rsidR="00D96DDE">
        <w:rPr>
          <w:rFonts w:hint="cs"/>
          <w:rtl/>
          <w:lang w:bidi="ar-EG"/>
        </w:rPr>
        <w:t>.</w:t>
      </w:r>
      <w:r>
        <w:rPr>
          <w:rFonts w:hint="cs"/>
          <w:rtl/>
          <w:lang w:bidi="ar-EG"/>
        </w:rPr>
        <w:t>7 في المائة يعملن في مجال الزراعة، و 11</w:t>
      </w:r>
      <w:r w:rsidR="00D96DDE">
        <w:rPr>
          <w:rFonts w:hint="cs"/>
          <w:rtl/>
          <w:lang w:bidi="ar-EG"/>
        </w:rPr>
        <w:t>.</w:t>
      </w:r>
      <w:r>
        <w:rPr>
          <w:rFonts w:hint="cs"/>
          <w:rtl/>
          <w:lang w:bidi="ar-EG"/>
        </w:rPr>
        <w:t>9 في المائة يدرسن، و 6</w:t>
      </w:r>
      <w:r w:rsidR="00D96DDE">
        <w:rPr>
          <w:rFonts w:hint="cs"/>
          <w:rtl/>
          <w:lang w:bidi="ar-EG"/>
        </w:rPr>
        <w:t>.</w:t>
      </w:r>
      <w:r>
        <w:rPr>
          <w:rFonts w:hint="cs"/>
          <w:rtl/>
          <w:lang w:bidi="ar-EG"/>
        </w:rPr>
        <w:t>8 في المائة حرفيات، و 6</w:t>
      </w:r>
      <w:r w:rsidR="00D96DDE">
        <w:rPr>
          <w:rFonts w:hint="cs"/>
          <w:rtl/>
          <w:lang w:bidi="ar-EG"/>
        </w:rPr>
        <w:t>.</w:t>
      </w:r>
      <w:r>
        <w:rPr>
          <w:rFonts w:hint="cs"/>
          <w:rtl/>
          <w:lang w:bidi="ar-EG"/>
        </w:rPr>
        <w:t>7 في المائة يزاولن أعمالا مختلفة، وقالت 4</w:t>
      </w:r>
      <w:r w:rsidR="00D96DDE">
        <w:rPr>
          <w:rFonts w:hint="cs"/>
          <w:rtl/>
          <w:lang w:bidi="ar-EG"/>
        </w:rPr>
        <w:t>.</w:t>
      </w:r>
      <w:r>
        <w:rPr>
          <w:rFonts w:hint="cs"/>
          <w:rtl/>
          <w:lang w:bidi="ar-EG"/>
        </w:rPr>
        <w:t>6 في المائة منهن إنهن لا يفعلن شيئا</w:t>
      </w:r>
      <w:r>
        <w:rPr>
          <w:rFonts w:hint="cs"/>
          <w:vertAlign w:val="superscript"/>
          <w:rtl/>
          <w:lang w:bidi="ar-EG"/>
        </w:rPr>
        <w:t>(36)</w:t>
      </w:r>
      <w:r w:rsidR="003D7EB4">
        <w:rPr>
          <w:rFonts w:hint="cs"/>
          <w:rtl/>
          <w:lang w:bidi="ar-EG"/>
        </w:rPr>
        <w:t>،</w:t>
      </w:r>
    </w:p>
    <w:p w:rsidR="00971AE2" w:rsidRDefault="00971AE2" w:rsidP="00640C03">
      <w:pPr>
        <w:pStyle w:val="SingleTxt"/>
        <w:rPr>
          <w:rFonts w:hint="cs"/>
          <w:b/>
          <w:bCs/>
          <w:rtl/>
          <w:lang w:bidi="ar-EG"/>
        </w:rPr>
      </w:pPr>
      <w:r>
        <w:rPr>
          <w:rFonts w:hint="cs"/>
          <w:b/>
          <w:bCs/>
          <w:rtl/>
          <w:lang w:bidi="ar-EG"/>
        </w:rPr>
        <w:t>المجتمعات الأولية</w:t>
      </w:r>
    </w:p>
    <w:p w:rsidR="00971AE2" w:rsidRDefault="00971AE2" w:rsidP="00640C03">
      <w:pPr>
        <w:pStyle w:val="SingleTxt"/>
        <w:rPr>
          <w:rFonts w:hint="cs"/>
          <w:rtl/>
          <w:lang w:bidi="ar-EG"/>
        </w:rPr>
      </w:pPr>
      <w:r>
        <w:rPr>
          <w:rFonts w:hint="cs"/>
          <w:rtl/>
          <w:lang w:bidi="ar-EG"/>
        </w:rPr>
        <w:tab/>
        <w:t>تمثل المجتمعات المحلية الأولية جماعة إثنية أخرى، وهي مؤلفة من سكان أرخبيل سان أندريس وبروفيدينسيا، الذين ينتمون إلى الثقافة الأفريقية الانكليزية الأنتيلية، وهم يحتفظون بهوية كاريبية خاصة، ولهم سمات اجتماعية ثقافية ولغوية كثيرة تختلف عن سائر السكان الأفريقيين الكولومبيين</w:t>
      </w:r>
      <w:r w:rsidR="003D7EB4">
        <w:rPr>
          <w:rFonts w:hint="cs"/>
          <w:rtl/>
          <w:lang w:bidi="ar-EG"/>
        </w:rPr>
        <w:t>،</w:t>
      </w:r>
      <w:r>
        <w:rPr>
          <w:rFonts w:hint="cs"/>
          <w:rtl/>
          <w:lang w:bidi="ar-EG"/>
        </w:rPr>
        <w:t xml:space="preserve"> وفي 31 أيار/مايو 1999 وضعت الإ</w:t>
      </w:r>
      <w:r>
        <w:rPr>
          <w:rFonts w:hint="cs"/>
          <w:rtl/>
        </w:rPr>
        <w:t>دارة الوطنية للإحصاء</w:t>
      </w:r>
      <w:r>
        <w:rPr>
          <w:rFonts w:hint="cs"/>
          <w:rtl/>
          <w:lang w:bidi="ar-EG"/>
        </w:rPr>
        <w:t>، بالتعاون مع الهيئات المحلية، سجلا للسكان والمساكن (تعدادا رائدا) لهذه الجماعة الإثنية تضمن سؤالا عن الانتماء الإثني، وبينت النتائج أن هذا السجل قد شمل 324 57 شخصا، وصف 42</w:t>
      </w:r>
      <w:r w:rsidR="00D96DDE">
        <w:rPr>
          <w:rFonts w:hint="cs"/>
          <w:rtl/>
          <w:lang w:bidi="ar-EG"/>
        </w:rPr>
        <w:t>.</w:t>
      </w:r>
      <w:r>
        <w:rPr>
          <w:rFonts w:hint="cs"/>
          <w:rtl/>
          <w:lang w:bidi="ar-EG"/>
        </w:rPr>
        <w:t>6 في المائة منهم أنفسهم بأنهم سكان أوليون</w:t>
      </w:r>
      <w:r w:rsidR="003D7EB4">
        <w:rPr>
          <w:rFonts w:hint="cs"/>
          <w:rtl/>
          <w:lang w:bidi="ar-EG"/>
        </w:rPr>
        <w:t>،</w:t>
      </w:r>
      <w:r>
        <w:rPr>
          <w:rFonts w:hint="cs"/>
          <w:rtl/>
          <w:lang w:bidi="ar-EG"/>
        </w:rPr>
        <w:t xml:space="preserve"> وقال 42</w:t>
      </w:r>
      <w:r w:rsidR="00D96DDE">
        <w:rPr>
          <w:rFonts w:hint="cs"/>
          <w:rtl/>
          <w:lang w:bidi="ar-EG"/>
        </w:rPr>
        <w:t>.</w:t>
      </w:r>
      <w:r>
        <w:rPr>
          <w:rFonts w:hint="cs"/>
          <w:rtl/>
          <w:lang w:bidi="ar-EG"/>
        </w:rPr>
        <w:t>7 في المائة أنهم قد وُلدوا في جزء آخر</w:t>
      </w:r>
      <w:r w:rsidR="003D7EB4">
        <w:rPr>
          <w:rFonts w:hint="cs"/>
          <w:rtl/>
          <w:lang w:bidi="ar-EG"/>
        </w:rPr>
        <w:t>،</w:t>
      </w:r>
      <w:r>
        <w:rPr>
          <w:rFonts w:hint="cs"/>
          <w:rtl/>
          <w:lang w:bidi="ar-EG"/>
        </w:rPr>
        <w:t xml:space="preserve"> وحسب التقديرات الرسمية يبلغ عدد هؤلاء السكان في هذه السنة 474 73 شخصا</w:t>
      </w:r>
      <w:r w:rsidR="003D7EB4">
        <w:rPr>
          <w:rFonts w:hint="cs"/>
          <w:rtl/>
          <w:lang w:bidi="ar-EG"/>
        </w:rPr>
        <w:t>،</w:t>
      </w:r>
      <w:r>
        <w:rPr>
          <w:rFonts w:hint="cs"/>
          <w:rtl/>
          <w:lang w:bidi="ar-EG"/>
        </w:rPr>
        <w:t xml:space="preserve"> وتبلغ نسبة الذكور 51 في المائة ونسبة الإناث 49 في المائة، وتتناقض هاتان النسبتان مع البيانات الوطنية، 49</w:t>
      </w:r>
      <w:r w:rsidR="00D96DDE">
        <w:rPr>
          <w:rFonts w:hint="cs"/>
          <w:rtl/>
          <w:lang w:bidi="ar-EG"/>
        </w:rPr>
        <w:t>.</w:t>
      </w:r>
      <w:r>
        <w:rPr>
          <w:rFonts w:hint="cs"/>
          <w:rtl/>
          <w:lang w:bidi="ar-EG"/>
        </w:rPr>
        <w:t>2 في المائة و 50</w:t>
      </w:r>
      <w:r w:rsidR="00D96DDE">
        <w:rPr>
          <w:rFonts w:hint="cs"/>
          <w:rtl/>
          <w:lang w:bidi="ar-EG"/>
        </w:rPr>
        <w:t>.</w:t>
      </w:r>
      <w:r>
        <w:rPr>
          <w:rFonts w:hint="cs"/>
          <w:rtl/>
          <w:lang w:bidi="ar-EG"/>
        </w:rPr>
        <w:t>8 في المائة، على التوالي</w:t>
      </w:r>
      <w:r>
        <w:rPr>
          <w:rFonts w:hint="cs"/>
          <w:vertAlign w:val="superscript"/>
          <w:rtl/>
          <w:lang w:bidi="ar-EG"/>
        </w:rPr>
        <w:t>(37)</w:t>
      </w:r>
      <w:r w:rsidR="003D7EB4">
        <w:rPr>
          <w:rFonts w:hint="cs"/>
          <w:rtl/>
          <w:lang w:bidi="ar-EG"/>
        </w:rPr>
        <w:t>،</w:t>
      </w:r>
    </w:p>
    <w:p w:rsidR="003E65DC" w:rsidRPr="003E65DC" w:rsidRDefault="003E65DC" w:rsidP="003E65DC">
      <w:pPr>
        <w:pStyle w:val="SingleTxt"/>
        <w:spacing w:after="0" w:line="120" w:lineRule="exact"/>
        <w:rPr>
          <w:rFonts w:hint="cs"/>
          <w:sz w:val="10"/>
          <w:rtl/>
          <w:lang w:bidi="ar-EG"/>
        </w:rPr>
      </w:pPr>
    </w:p>
    <w:p w:rsidR="00971AE2" w:rsidRDefault="003E65DC" w:rsidP="003E65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2-5</w:t>
      </w:r>
      <w:r w:rsidR="00971AE2">
        <w:rPr>
          <w:rFonts w:hint="cs"/>
          <w:rtl/>
          <w:lang w:bidi="ar-EG"/>
        </w:rPr>
        <w:tab/>
        <w:t>المادة 5</w:t>
      </w:r>
    </w:p>
    <w:p w:rsidR="00971AE2" w:rsidRDefault="00971AE2" w:rsidP="00640C03">
      <w:pPr>
        <w:pStyle w:val="SingleTxt"/>
        <w:rPr>
          <w:rFonts w:hint="cs"/>
          <w:b/>
          <w:bCs/>
          <w:rtl/>
          <w:lang w:bidi="ar-EG"/>
        </w:rPr>
      </w:pPr>
      <w:r>
        <w:rPr>
          <w:rFonts w:hint="cs"/>
          <w:b/>
          <w:bCs/>
          <w:rtl/>
          <w:lang w:bidi="ar-EG"/>
        </w:rPr>
        <w:t>القضاء على القوالب الاجتماعية الثقافية والأنماط التمييزية</w:t>
      </w:r>
    </w:p>
    <w:p w:rsidR="00971AE2" w:rsidRDefault="00971AE2" w:rsidP="00640C03">
      <w:pPr>
        <w:pStyle w:val="SingleTxt"/>
        <w:rPr>
          <w:rFonts w:hint="cs"/>
          <w:rtl/>
          <w:lang w:bidi="ar-EG"/>
        </w:rPr>
      </w:pPr>
      <w:r>
        <w:rPr>
          <w:rFonts w:hint="cs"/>
          <w:b/>
          <w:bCs/>
          <w:rtl/>
          <w:lang w:bidi="ar-EG"/>
        </w:rPr>
        <w:t>المنجزات التشريعية</w:t>
      </w:r>
    </w:p>
    <w:p w:rsidR="00971AE2" w:rsidRDefault="00971AE2" w:rsidP="00640C03">
      <w:pPr>
        <w:pStyle w:val="SingleTxt"/>
        <w:rPr>
          <w:rFonts w:hint="cs"/>
          <w:b/>
          <w:bCs/>
          <w:rtl/>
          <w:lang w:bidi="ar-EG"/>
        </w:rPr>
      </w:pPr>
      <w:r>
        <w:rPr>
          <w:rFonts w:hint="cs"/>
          <w:b/>
          <w:bCs/>
          <w:rtl/>
          <w:lang w:bidi="ar-EG"/>
        </w:rPr>
        <w:tab/>
        <w:t>تتعلق جميع القوانين المشار إليها في المادة السابقة تماما بالقضاء على القوالب الاجتماعية الثقافية والأنماط المقولبة، ولذا فإنه ينبغي إعادة قراءة هذه المادة</w:t>
      </w:r>
      <w:r w:rsidR="003D7EB4">
        <w:rPr>
          <w:rFonts w:hint="cs"/>
          <w:b/>
          <w:bCs/>
          <w:rtl/>
          <w:lang w:bidi="ar-EG"/>
        </w:rPr>
        <w:t>،</w:t>
      </w:r>
      <w:r>
        <w:rPr>
          <w:rFonts w:hint="cs"/>
          <w:b/>
          <w:bCs/>
          <w:rtl/>
          <w:lang w:bidi="ar-EG"/>
        </w:rPr>
        <w:t xml:space="preserve"> وتجدر بنا الإشارة إلى قانون الحصص والميزانية الإنمائية الوطنية وقانون التكافؤ في الفرص بين الرجل والمرأة بآثارهما البعيدة المدى في إدماج المرأة بصورة فعالة في الميدانين العام والخاص والقضاء على الأنماط المقولبة</w:t>
      </w:r>
      <w:r w:rsidR="003D7EB4">
        <w:rPr>
          <w:rFonts w:hint="cs"/>
          <w:b/>
          <w:bCs/>
          <w:rtl/>
          <w:lang w:bidi="ar-EG"/>
        </w:rPr>
        <w:t>،</w:t>
      </w:r>
    </w:p>
    <w:p w:rsidR="00971AE2" w:rsidRDefault="00971AE2" w:rsidP="00971AE2">
      <w:pPr>
        <w:pStyle w:val="SingleTxt"/>
        <w:jc w:val="left"/>
        <w:rPr>
          <w:rFonts w:hint="cs"/>
          <w:rtl/>
          <w:lang w:bidi="ar-EG"/>
        </w:rPr>
      </w:pPr>
      <w:r>
        <w:rPr>
          <w:rFonts w:hint="cs"/>
          <w:b/>
          <w:bCs/>
          <w:rtl/>
          <w:lang w:bidi="ar-EG"/>
        </w:rPr>
        <w:t>المنجزات القضائية</w:t>
      </w:r>
    </w:p>
    <w:p w:rsidR="00971AE2" w:rsidRDefault="00971AE2" w:rsidP="00971AE2">
      <w:pPr>
        <w:pStyle w:val="SingleTxt"/>
        <w:spacing w:after="0" w:line="120" w:lineRule="exact"/>
        <w:jc w:val="left"/>
        <w:rPr>
          <w:rFonts w:hint="cs"/>
          <w:sz w:val="10"/>
          <w:rtl/>
          <w:lang w:bidi="ar-EG"/>
        </w:rPr>
      </w:pPr>
    </w:p>
    <w:tbl>
      <w:tblPr>
        <w:bidiVisual/>
        <w:tblW w:w="7320" w:type="dxa"/>
        <w:jc w:val="center"/>
        <w:tblLayout w:type="fixed"/>
        <w:tblCellMar>
          <w:left w:w="0" w:type="dxa"/>
          <w:right w:w="0" w:type="dxa"/>
        </w:tblCellMar>
        <w:tblLook w:val="0000" w:firstRow="0" w:lastRow="0" w:firstColumn="0" w:lastColumn="0" w:noHBand="0" w:noVBand="0"/>
      </w:tblPr>
      <w:tblGrid>
        <w:gridCol w:w="2403"/>
        <w:gridCol w:w="4917"/>
      </w:tblGrid>
      <w:tr w:rsidR="00971AE2" w:rsidRPr="00117536">
        <w:tblPrEx>
          <w:tblCellMar>
            <w:top w:w="0" w:type="dxa"/>
            <w:bottom w:w="0" w:type="dxa"/>
          </w:tblCellMar>
        </w:tblPrEx>
        <w:trPr>
          <w:cantSplit/>
          <w:tblHeader/>
          <w:jc w:val="center"/>
        </w:trPr>
        <w:tc>
          <w:tcPr>
            <w:tcW w:w="2403" w:type="dxa"/>
            <w:tcBorders>
              <w:top w:val="single" w:sz="4" w:space="0" w:color="auto"/>
              <w:bottom w:val="single" w:sz="12" w:space="0" w:color="auto"/>
            </w:tcBorders>
            <w:vAlign w:val="bottom"/>
          </w:tcPr>
          <w:p w:rsidR="00971AE2" w:rsidRPr="00117536" w:rsidRDefault="00971AE2" w:rsidP="00971AE2">
            <w:pPr>
              <w:tabs>
                <w:tab w:val="left" w:pos="288"/>
                <w:tab w:val="left" w:pos="576"/>
                <w:tab w:val="left" w:pos="864"/>
                <w:tab w:val="left" w:pos="1152"/>
              </w:tabs>
              <w:spacing w:before="80" w:after="80" w:line="240" w:lineRule="exact"/>
              <w:ind w:right="40"/>
              <w:jc w:val="left"/>
              <w:rPr>
                <w:rFonts w:hint="cs"/>
                <w:i/>
                <w:iCs/>
                <w:sz w:val="24"/>
                <w:szCs w:val="24"/>
                <w:rtl/>
                <w:lang w:bidi="ar-EG"/>
              </w:rPr>
            </w:pPr>
            <w:r w:rsidRPr="00117536">
              <w:rPr>
                <w:rFonts w:hint="cs"/>
                <w:i/>
                <w:iCs/>
                <w:sz w:val="24"/>
                <w:szCs w:val="24"/>
                <w:rtl/>
                <w:lang w:bidi="ar-EG"/>
              </w:rPr>
              <w:t>الحكم</w:t>
            </w:r>
          </w:p>
        </w:tc>
        <w:tc>
          <w:tcPr>
            <w:tcW w:w="4917" w:type="dxa"/>
            <w:tcBorders>
              <w:top w:val="single" w:sz="4" w:space="0" w:color="auto"/>
              <w:bottom w:val="single" w:sz="12" w:space="0" w:color="auto"/>
            </w:tcBorders>
            <w:vAlign w:val="bottom"/>
          </w:tcPr>
          <w:p w:rsidR="00971AE2" w:rsidRPr="00117536" w:rsidRDefault="00971AE2" w:rsidP="00971AE2">
            <w:pPr>
              <w:tabs>
                <w:tab w:val="left" w:pos="288"/>
                <w:tab w:val="left" w:pos="576"/>
                <w:tab w:val="left" w:pos="864"/>
                <w:tab w:val="left" w:pos="1152"/>
              </w:tabs>
              <w:spacing w:before="80" w:after="80" w:line="240" w:lineRule="exact"/>
              <w:ind w:right="144"/>
              <w:jc w:val="left"/>
              <w:rPr>
                <w:rFonts w:hint="cs"/>
                <w:i/>
                <w:iCs/>
                <w:sz w:val="24"/>
                <w:szCs w:val="24"/>
                <w:rtl/>
                <w:lang w:bidi="ar-EG"/>
              </w:rPr>
            </w:pPr>
            <w:r w:rsidRPr="00117536">
              <w:rPr>
                <w:rFonts w:hint="cs"/>
                <w:i/>
                <w:iCs/>
                <w:sz w:val="24"/>
                <w:szCs w:val="24"/>
                <w:rtl/>
                <w:lang w:bidi="ar-EG"/>
              </w:rPr>
              <w:t>الموضوع</w:t>
            </w:r>
          </w:p>
        </w:tc>
      </w:tr>
      <w:tr w:rsidR="00971AE2" w:rsidRPr="00117536">
        <w:tblPrEx>
          <w:tblCellMar>
            <w:top w:w="0" w:type="dxa"/>
            <w:bottom w:w="0" w:type="dxa"/>
          </w:tblCellMar>
        </w:tblPrEx>
        <w:trPr>
          <w:cantSplit/>
          <w:trHeight w:hRule="exact" w:val="115"/>
          <w:tblHeader/>
          <w:jc w:val="center"/>
        </w:trPr>
        <w:tc>
          <w:tcPr>
            <w:tcW w:w="2403" w:type="dxa"/>
            <w:tcBorders>
              <w:top w:val="single" w:sz="12" w:space="0" w:color="auto"/>
            </w:tcBorders>
            <w:vAlign w:val="bottom"/>
          </w:tcPr>
          <w:p w:rsidR="00971AE2" w:rsidRPr="00117536"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p>
        </w:tc>
        <w:tc>
          <w:tcPr>
            <w:tcW w:w="4917" w:type="dxa"/>
            <w:tcBorders>
              <w:top w:val="single" w:sz="12" w:space="0" w:color="auto"/>
            </w:tcBorders>
            <w:vAlign w:val="bottom"/>
          </w:tcPr>
          <w:p w:rsidR="00971AE2" w:rsidRPr="00117536" w:rsidRDefault="00971AE2" w:rsidP="00971AE2">
            <w:pPr>
              <w:tabs>
                <w:tab w:val="left" w:pos="288"/>
                <w:tab w:val="left" w:pos="576"/>
                <w:tab w:val="left" w:pos="864"/>
                <w:tab w:val="left" w:pos="1152"/>
              </w:tabs>
              <w:spacing w:before="40" w:after="80" w:line="240" w:lineRule="exact"/>
              <w:ind w:right="144"/>
              <w:jc w:val="left"/>
              <w:rPr>
                <w:rFonts w:hint="cs"/>
                <w:sz w:val="24"/>
                <w:szCs w:val="24"/>
                <w:rtl/>
                <w:lang w:bidi="ar-EG"/>
              </w:rPr>
            </w:pPr>
          </w:p>
        </w:tc>
      </w:tr>
      <w:tr w:rsidR="00971AE2" w:rsidRPr="00117536">
        <w:tblPrEx>
          <w:tblCellMar>
            <w:top w:w="0" w:type="dxa"/>
            <w:bottom w:w="0" w:type="dxa"/>
          </w:tblCellMar>
        </w:tblPrEx>
        <w:trPr>
          <w:cantSplit/>
          <w:jc w:val="center"/>
        </w:trPr>
        <w:tc>
          <w:tcPr>
            <w:tcW w:w="2403" w:type="dxa"/>
          </w:tcPr>
          <w:p w:rsidR="00971AE2" w:rsidRPr="00117536"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117536">
              <w:rPr>
                <w:rFonts w:hint="cs"/>
                <w:sz w:val="24"/>
                <w:szCs w:val="24"/>
                <w:rtl/>
                <w:lang w:bidi="ar-EG"/>
              </w:rPr>
              <w:t>الحكم 12772 لسنة 2000،</w:t>
            </w:r>
          </w:p>
          <w:p w:rsidR="00971AE2" w:rsidRPr="00117536"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117536">
              <w:rPr>
                <w:rFonts w:hint="cs"/>
                <w:sz w:val="24"/>
                <w:szCs w:val="24"/>
                <w:rtl/>
                <w:lang w:bidi="ar-EG"/>
              </w:rPr>
              <w:t>محكمة العدل العليا</w:t>
            </w:r>
          </w:p>
        </w:tc>
        <w:tc>
          <w:tcPr>
            <w:tcW w:w="4917" w:type="dxa"/>
            <w:vAlign w:val="bottom"/>
          </w:tcPr>
          <w:p w:rsidR="00971AE2" w:rsidRPr="00117536" w:rsidRDefault="00971AE2" w:rsidP="00117536">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17536">
              <w:rPr>
                <w:rFonts w:hint="cs"/>
                <w:sz w:val="24"/>
                <w:szCs w:val="24"/>
                <w:rtl/>
                <w:lang w:bidi="ar-EG"/>
              </w:rPr>
              <w:t>طلب شخص أُدين بارتكاب جريمة اغتصاب قاصر تبلغ من العمر 14 سنة عدم تشديد العقوبة عليه لأنه كان يبدو على القاصر أنها قد تجاوزت سن الرابعة عشرة؛ ورجحت المحكمة دليل السجل المدني الذي أثبت سن القاصر</w:t>
            </w:r>
            <w:r w:rsidR="003D7EB4">
              <w:rPr>
                <w:rFonts w:hint="cs"/>
                <w:sz w:val="24"/>
                <w:szCs w:val="24"/>
                <w:rtl/>
                <w:lang w:bidi="ar-EG"/>
              </w:rPr>
              <w:t>،</w:t>
            </w:r>
          </w:p>
        </w:tc>
      </w:tr>
      <w:tr w:rsidR="00971AE2" w:rsidRPr="00117536">
        <w:tblPrEx>
          <w:tblCellMar>
            <w:top w:w="0" w:type="dxa"/>
            <w:bottom w:w="0" w:type="dxa"/>
          </w:tblCellMar>
        </w:tblPrEx>
        <w:trPr>
          <w:cantSplit/>
          <w:jc w:val="center"/>
        </w:trPr>
        <w:tc>
          <w:tcPr>
            <w:tcW w:w="2403" w:type="dxa"/>
          </w:tcPr>
          <w:p w:rsidR="00971AE2" w:rsidRPr="00117536"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117536">
              <w:rPr>
                <w:rFonts w:hint="cs"/>
                <w:sz w:val="24"/>
                <w:szCs w:val="24"/>
                <w:rtl/>
                <w:lang w:bidi="ar-EG"/>
              </w:rPr>
              <w:t>الحكم 12733 لسنة 2000</w:t>
            </w:r>
          </w:p>
          <w:p w:rsidR="00971AE2" w:rsidRPr="00117536"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117536">
              <w:rPr>
                <w:rFonts w:hint="cs"/>
                <w:sz w:val="24"/>
                <w:szCs w:val="24"/>
                <w:rtl/>
                <w:lang w:bidi="ar-EG"/>
              </w:rPr>
              <w:t>محكمة العدل العليا</w:t>
            </w:r>
          </w:p>
        </w:tc>
        <w:tc>
          <w:tcPr>
            <w:tcW w:w="4917" w:type="dxa"/>
            <w:vAlign w:val="bottom"/>
          </w:tcPr>
          <w:p w:rsidR="00971AE2" w:rsidRPr="00117536" w:rsidRDefault="00971AE2" w:rsidP="00117536">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17536">
              <w:rPr>
                <w:rFonts w:hint="cs"/>
                <w:sz w:val="24"/>
                <w:szCs w:val="24"/>
                <w:rtl/>
                <w:lang w:bidi="ar-EG"/>
              </w:rPr>
              <w:t>أكدت المحكمة أنه في حالة تهمة الاعتداء الجنسي على قاصر مقيدة اليدين والقدمين تكون الجناية في جميع الأحوال هي الاغتصاب دون ضرورة إثبات أن الفتاة كانت مقيدة بحيث صارت عاجزة عن المقاومة</w:t>
            </w:r>
            <w:r w:rsidR="003D7EB4">
              <w:rPr>
                <w:rFonts w:hint="cs"/>
                <w:sz w:val="24"/>
                <w:szCs w:val="24"/>
                <w:rtl/>
                <w:lang w:bidi="ar-EG"/>
              </w:rPr>
              <w:t>،</w:t>
            </w:r>
          </w:p>
        </w:tc>
      </w:tr>
      <w:tr w:rsidR="00971AE2" w:rsidRPr="00117536">
        <w:tblPrEx>
          <w:tblCellMar>
            <w:top w:w="0" w:type="dxa"/>
            <w:bottom w:w="0" w:type="dxa"/>
          </w:tblCellMar>
        </w:tblPrEx>
        <w:trPr>
          <w:cantSplit/>
          <w:jc w:val="center"/>
        </w:trPr>
        <w:tc>
          <w:tcPr>
            <w:tcW w:w="2403" w:type="dxa"/>
          </w:tcPr>
          <w:p w:rsidR="00971AE2" w:rsidRPr="00117536"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117536">
              <w:rPr>
                <w:rFonts w:hint="cs"/>
                <w:sz w:val="24"/>
                <w:szCs w:val="24"/>
                <w:rtl/>
                <w:lang w:bidi="ar-EG"/>
              </w:rPr>
              <w:t>الحكم 13466 لسنة 2000</w:t>
            </w:r>
          </w:p>
          <w:p w:rsidR="00971AE2" w:rsidRPr="00117536"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117536">
              <w:rPr>
                <w:rFonts w:hint="cs"/>
                <w:sz w:val="24"/>
                <w:szCs w:val="24"/>
                <w:rtl/>
                <w:lang w:bidi="ar-EG"/>
              </w:rPr>
              <w:t>محكمة العدل العليا</w:t>
            </w:r>
          </w:p>
        </w:tc>
        <w:tc>
          <w:tcPr>
            <w:tcW w:w="4917" w:type="dxa"/>
            <w:vAlign w:val="bottom"/>
          </w:tcPr>
          <w:p w:rsidR="00971AE2" w:rsidRPr="00117536" w:rsidRDefault="00971AE2" w:rsidP="00117536">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17536">
              <w:rPr>
                <w:rFonts w:hint="cs"/>
                <w:sz w:val="24"/>
                <w:szCs w:val="24"/>
                <w:rtl/>
                <w:lang w:bidi="ar-EG"/>
              </w:rPr>
              <w:t>أكدت المحكمة أنه في حالة اغتصاب قاصر تبلغ الرابعة عشرة من العمر لا</w:t>
            </w:r>
            <w:r w:rsidRPr="00117536">
              <w:rPr>
                <w:rFonts w:hint="eastAsia"/>
                <w:sz w:val="24"/>
                <w:szCs w:val="24"/>
                <w:rtl/>
                <w:lang w:bidi="ar-EG"/>
              </w:rPr>
              <w:t> </w:t>
            </w:r>
            <w:r w:rsidRPr="00117536">
              <w:rPr>
                <w:rFonts w:hint="cs"/>
                <w:sz w:val="24"/>
                <w:szCs w:val="24"/>
                <w:rtl/>
                <w:lang w:bidi="ar-EG"/>
              </w:rPr>
              <w:t>يسمح افتراض عدم الأهلية بإثبات العكس، ولذا أعتمد السن بالدليل الممكن</w:t>
            </w:r>
            <w:r w:rsidR="003D7EB4">
              <w:rPr>
                <w:rFonts w:hint="cs"/>
                <w:sz w:val="24"/>
                <w:szCs w:val="24"/>
                <w:rtl/>
                <w:lang w:bidi="ar-EG"/>
              </w:rPr>
              <w:t>،</w:t>
            </w:r>
            <w:r w:rsidRPr="00117536">
              <w:rPr>
                <w:rFonts w:hint="cs"/>
                <w:sz w:val="24"/>
                <w:szCs w:val="24"/>
                <w:rtl/>
                <w:lang w:bidi="ar-EG"/>
              </w:rPr>
              <w:t xml:space="preserve"> ولا يمكن نفي وقوع الجريمة</w:t>
            </w:r>
            <w:r w:rsidR="003D7EB4">
              <w:rPr>
                <w:rFonts w:hint="cs"/>
                <w:sz w:val="24"/>
                <w:szCs w:val="24"/>
                <w:rtl/>
                <w:lang w:bidi="ar-EG"/>
              </w:rPr>
              <w:t>،</w:t>
            </w:r>
          </w:p>
        </w:tc>
      </w:tr>
      <w:tr w:rsidR="00971AE2" w:rsidRPr="00117536">
        <w:tblPrEx>
          <w:tblCellMar>
            <w:top w:w="0" w:type="dxa"/>
            <w:bottom w:w="0" w:type="dxa"/>
          </w:tblCellMar>
        </w:tblPrEx>
        <w:trPr>
          <w:cantSplit/>
          <w:jc w:val="center"/>
        </w:trPr>
        <w:tc>
          <w:tcPr>
            <w:tcW w:w="2403" w:type="dxa"/>
            <w:tcBorders>
              <w:bottom w:val="single" w:sz="12" w:space="0" w:color="auto"/>
            </w:tcBorders>
          </w:tcPr>
          <w:p w:rsidR="00971AE2" w:rsidRPr="00117536" w:rsidRDefault="00971AE2" w:rsidP="00971AE2">
            <w:pPr>
              <w:tabs>
                <w:tab w:val="left" w:pos="288"/>
                <w:tab w:val="left" w:pos="576"/>
                <w:tab w:val="left" w:pos="864"/>
                <w:tab w:val="left" w:pos="1152"/>
              </w:tabs>
              <w:spacing w:before="40" w:after="80" w:line="240" w:lineRule="exact"/>
              <w:ind w:right="40"/>
              <w:jc w:val="left"/>
              <w:rPr>
                <w:rFonts w:hint="cs"/>
                <w:sz w:val="24"/>
                <w:szCs w:val="24"/>
                <w:rtl/>
                <w:lang w:bidi="ar-EG"/>
              </w:rPr>
            </w:pPr>
            <w:r w:rsidRPr="00117536">
              <w:rPr>
                <w:rFonts w:hint="cs"/>
                <w:sz w:val="24"/>
                <w:szCs w:val="24"/>
                <w:rtl/>
                <w:lang w:bidi="ar-EG"/>
              </w:rPr>
              <w:t>الحكم T - 554 لسنة 2003</w:t>
            </w:r>
          </w:p>
        </w:tc>
        <w:tc>
          <w:tcPr>
            <w:tcW w:w="4917" w:type="dxa"/>
            <w:tcBorders>
              <w:bottom w:val="single" w:sz="12" w:space="0" w:color="auto"/>
            </w:tcBorders>
            <w:vAlign w:val="bottom"/>
          </w:tcPr>
          <w:p w:rsidR="00971AE2" w:rsidRPr="00117536" w:rsidRDefault="00971AE2" w:rsidP="00117536">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117536">
              <w:rPr>
                <w:rFonts w:hint="cs"/>
                <w:sz w:val="24"/>
                <w:szCs w:val="24"/>
                <w:rtl/>
                <w:lang w:bidi="ar-EG"/>
              </w:rPr>
              <w:t>احتجت جدة قاصر اغتصبها والدها بالوصاية للحيلولة دون إجراء مزيد من الفحوص للفتاة</w:t>
            </w:r>
            <w:r w:rsidR="003D7EB4">
              <w:rPr>
                <w:rFonts w:hint="cs"/>
                <w:sz w:val="24"/>
                <w:szCs w:val="24"/>
                <w:rtl/>
                <w:lang w:bidi="ar-EG"/>
              </w:rPr>
              <w:t>،</w:t>
            </w:r>
            <w:r w:rsidRPr="00117536">
              <w:rPr>
                <w:rFonts w:hint="cs"/>
                <w:sz w:val="24"/>
                <w:szCs w:val="24"/>
                <w:rtl/>
                <w:lang w:bidi="ar-EG"/>
              </w:rPr>
              <w:t xml:space="preserve"> وصدر أمر بإعادة النظر في كل الدعوى الجنائية للاغتصاب، وأُعلن أن الفتاة معرضة للخطر وخُصصت مرافقة للفتاة والجدة من جانب </w:t>
            </w:r>
            <w:r w:rsidRPr="00117536">
              <w:rPr>
                <w:rFonts w:hint="cs"/>
                <w:sz w:val="24"/>
                <w:szCs w:val="24"/>
                <w:rtl/>
              </w:rPr>
              <w:t>المؤسسة الكولومبية للرعاية الأسرية أ</w:t>
            </w:r>
            <w:r w:rsidRPr="00117536">
              <w:rPr>
                <w:rFonts w:hint="cs"/>
                <w:sz w:val="24"/>
                <w:szCs w:val="24"/>
                <w:rtl/>
                <w:lang w:bidi="ar-EG"/>
              </w:rPr>
              <w:t>ثناء سير التحقيق الجنائي</w:t>
            </w:r>
            <w:r w:rsidR="003D7EB4">
              <w:rPr>
                <w:rFonts w:hint="cs"/>
                <w:sz w:val="24"/>
                <w:szCs w:val="24"/>
                <w:rtl/>
                <w:lang w:bidi="ar-EG"/>
              </w:rPr>
              <w:t>،</w:t>
            </w:r>
          </w:p>
        </w:tc>
      </w:tr>
    </w:tbl>
    <w:p w:rsidR="00971AE2" w:rsidRDefault="00971AE2" w:rsidP="00971AE2">
      <w:pPr>
        <w:pStyle w:val="SingleTxt"/>
        <w:spacing w:after="0" w:line="120" w:lineRule="exact"/>
        <w:jc w:val="left"/>
        <w:rPr>
          <w:sz w:val="10"/>
          <w:rtl/>
          <w:lang w:bidi="ar-EG"/>
        </w:rPr>
      </w:pPr>
    </w:p>
    <w:p w:rsidR="00971AE2" w:rsidRDefault="00971AE2" w:rsidP="00971AE2">
      <w:pPr>
        <w:pStyle w:val="SingleTxt"/>
        <w:jc w:val="left"/>
        <w:rPr>
          <w:rFonts w:hint="cs"/>
          <w:b/>
          <w:bCs/>
          <w:rtl/>
          <w:lang w:bidi="ar-EG"/>
        </w:rPr>
      </w:pPr>
      <w:r>
        <w:rPr>
          <w:rFonts w:hint="cs"/>
          <w:b/>
          <w:bCs/>
          <w:rtl/>
          <w:lang w:bidi="ar-EG"/>
        </w:rPr>
        <w:t>المنجزات الإدارية</w:t>
      </w:r>
    </w:p>
    <w:p w:rsidR="00971AE2" w:rsidRDefault="003E65DC" w:rsidP="003E65DC">
      <w:pPr>
        <w:pStyle w:val="SingleTxt"/>
        <w:rPr>
          <w:sz w:val="24"/>
          <w:rtl/>
        </w:rPr>
      </w:pPr>
      <w:r>
        <w:rPr>
          <w:rFonts w:hint="cs"/>
          <w:rtl/>
          <w:lang w:bidi="ar-EG"/>
        </w:rPr>
        <w:tab/>
      </w:r>
      <w:r w:rsidR="00971AE2">
        <w:rPr>
          <w:rFonts w:hint="cs"/>
          <w:rtl/>
          <w:lang w:bidi="ar-EG"/>
        </w:rPr>
        <w:t xml:space="preserve">وفقا للمبادئ التوجيهية التي وضعتها </w:t>
      </w:r>
      <w:r w:rsidR="00971AE2">
        <w:rPr>
          <w:rFonts w:hint="cs"/>
          <w:b/>
          <w:bCs/>
          <w:rtl/>
          <w:lang w:bidi="ar-EG"/>
        </w:rPr>
        <w:t>التوصية العامة رقم 3</w:t>
      </w:r>
      <w:r w:rsidR="00971AE2">
        <w:rPr>
          <w:rFonts w:hint="cs"/>
          <w:vertAlign w:val="superscript"/>
          <w:rtl/>
          <w:lang w:bidi="ar-EG"/>
        </w:rPr>
        <w:t>(38)</w:t>
      </w:r>
      <w:r w:rsidR="00971AE2">
        <w:rPr>
          <w:rFonts w:hint="cs"/>
          <w:rtl/>
          <w:lang w:bidi="ar-EG"/>
        </w:rPr>
        <w:t>، التي ووفق فيها صراحة توجد أفكار مسبقة عن المرأة</w:t>
      </w:r>
      <w:r w:rsidR="00971AE2">
        <w:rPr>
          <w:rFonts w:hint="cs"/>
          <w:vertAlign w:val="superscript"/>
          <w:rtl/>
          <w:lang w:bidi="ar-EG"/>
        </w:rPr>
        <w:t>(39)</w:t>
      </w:r>
      <w:r w:rsidR="00971AE2">
        <w:rPr>
          <w:rFonts w:hint="cs"/>
          <w:rtl/>
          <w:lang w:bidi="ar-EG"/>
        </w:rPr>
        <w:t>، ومراعاة بصفة خاصة للتوصية الخاصة رقم 12 المتعلقة بالتقرير الرابع المقدم من كولومبيا إلى اللجنة المعنية بالقضاء على التمييز ضد المرأة، اتُخ</w:t>
      </w:r>
      <w:r w:rsidR="00971AE2">
        <w:rPr>
          <w:rFonts w:hint="cs"/>
          <w:rtl/>
        </w:rPr>
        <w:t>ذت التدابير التالية:</w:t>
      </w:r>
    </w:p>
    <w:p w:rsidR="00971AE2" w:rsidRDefault="00971AE2" w:rsidP="003E65DC">
      <w:pPr>
        <w:pStyle w:val="SingleTxt"/>
        <w:rPr>
          <w:rFonts w:hint="cs"/>
          <w:rtl/>
        </w:rPr>
      </w:pPr>
      <w:r>
        <w:rPr>
          <w:rFonts w:hint="cs"/>
          <w:rtl/>
          <w:lang w:bidi="ar-EG"/>
        </w:rPr>
        <w:tab/>
        <w:t>وقادت الهيئة الاستشارية لرئيس الجمهورية فيما يتعلق بالمساواة بين الرجل والمرأة برنامجا للتعليم الجنساني والتعددية لتعزيز تغيير التصورات والممارسات المتحيزة جنسيا والتقدم نحو تحقيق التكافؤ في الفرص بين الجنسين والمساواة الجنسانية وك</w:t>
      </w:r>
      <w:r>
        <w:rPr>
          <w:rFonts w:hint="cs"/>
          <w:rtl/>
        </w:rPr>
        <w:t>ذلك الإسهام من زاوية جنسانية في تحقيق السلم والتنمية في ظل التعددية باعتبارهما هدفين مشتركين للدولة والمجتمع المدني (اقتراح تعليمي من أجل التعليم النظامي وغير النظامي)</w:t>
      </w:r>
      <w:r w:rsidR="003D7EB4">
        <w:rPr>
          <w:rFonts w:hint="cs"/>
          <w:rtl/>
        </w:rPr>
        <w:t>،</w:t>
      </w:r>
    </w:p>
    <w:p w:rsidR="00971AE2" w:rsidRDefault="00971AE2" w:rsidP="003E65DC">
      <w:pPr>
        <w:pStyle w:val="SingleTxt"/>
        <w:rPr>
          <w:rFonts w:hint="cs"/>
          <w:rtl/>
        </w:rPr>
      </w:pPr>
      <w:r>
        <w:rPr>
          <w:rFonts w:hint="cs"/>
          <w:rtl/>
        </w:rPr>
        <w:tab/>
        <w:t>وسوف يوضع في المرحلة الأولى، التي ستصمم بالاشتراك مع مركزين للبحوث المتعلقة بالمرأة والبُعد الجنساني تابعين لجامعتين في البلد وشبكة تعليمية نسائية، نموذج تعليمي للتدريب على هذه المواضيع</w:t>
      </w:r>
      <w:r w:rsidR="003D7EB4">
        <w:rPr>
          <w:rFonts w:hint="cs"/>
          <w:rtl/>
        </w:rPr>
        <w:t>،</w:t>
      </w:r>
      <w:r>
        <w:rPr>
          <w:rFonts w:hint="cs"/>
          <w:rtl/>
        </w:rPr>
        <w:t xml:space="preserve"> وسوف يدرب مباشرة في هذه المرحلة التجريبية الأولى 175 شخصا وسوف يستفيد من المعارف والاقتراحات في التعليم غير النظامي نحو 750 1 شخصا</w:t>
      </w:r>
      <w:r w:rsidR="003D7EB4">
        <w:rPr>
          <w:rFonts w:hint="cs"/>
          <w:rtl/>
        </w:rPr>
        <w:t>،</w:t>
      </w:r>
      <w:r>
        <w:rPr>
          <w:rFonts w:hint="cs"/>
          <w:rtl/>
        </w:rPr>
        <w:t xml:space="preserve"> وفي إطار هدف سياسة </w:t>
      </w:r>
      <w:r>
        <w:rPr>
          <w:rFonts w:hint="eastAsia"/>
          <w:rtl/>
        </w:rPr>
        <w:t>”المرأة صانعة السلام والت</w:t>
      </w:r>
      <w:r>
        <w:rPr>
          <w:rFonts w:hint="cs"/>
          <w:rtl/>
        </w:rPr>
        <w:t>نمية“ الذي يتمثل في تعميم المساواة الجنسانية في إدارة الدولة نفذ اقتراح التعليم غير النظامي لتوعية وتدريب الموظفين الحكوميين في النظام الوطني</w:t>
      </w:r>
      <w:r w:rsidR="003D7EB4">
        <w:rPr>
          <w:rFonts w:hint="cs"/>
          <w:rtl/>
        </w:rPr>
        <w:t>،</w:t>
      </w:r>
      <w:r>
        <w:rPr>
          <w:rFonts w:hint="cs"/>
          <w:rtl/>
        </w:rPr>
        <w:t xml:space="preserve"> وسوف يُشرع في إطار هذا الاقتراح ذاته في التنسيق في المقاطعات والبلديات التي أُدمجت فيها المساواة بين الجنسين في الخطط الإنمائية لإدماج الاعتراف بحقوق المرأة</w:t>
      </w:r>
      <w:r w:rsidR="003D7EB4">
        <w:rPr>
          <w:rFonts w:hint="cs"/>
          <w:rtl/>
        </w:rPr>
        <w:t>،</w:t>
      </w:r>
      <w:r>
        <w:rPr>
          <w:rFonts w:hint="cs"/>
          <w:rtl/>
        </w:rPr>
        <w:t xml:space="preserve"> وأوجد مجال آخر لتنفيذ البرنامج التعليمي غير النظامي مع المنظمات والمشاريع النسائية الإقليمية والمحلية في مناطق العمل ذات الأولوية للهيئة الاستشارية لرئيس الجمهوية فيما يتعلق بتحقيق المساواة بين الرجل والمرأة</w:t>
      </w:r>
      <w:r w:rsidR="003D7EB4">
        <w:rPr>
          <w:rFonts w:hint="cs"/>
          <w:rtl/>
        </w:rPr>
        <w:t>،</w:t>
      </w:r>
    </w:p>
    <w:p w:rsidR="00971AE2" w:rsidRDefault="00971AE2" w:rsidP="003E65DC">
      <w:pPr>
        <w:pStyle w:val="SingleTxt"/>
        <w:rPr>
          <w:rFonts w:hint="cs"/>
          <w:rtl/>
        </w:rPr>
      </w:pPr>
      <w:r>
        <w:rPr>
          <w:rFonts w:hint="cs"/>
          <w:rtl/>
        </w:rPr>
        <w:tab/>
        <w:t>وفي ميدان التعليم النظامي المتمثل في النظام المدرسي اقترحت وزارة التعليم الوطني كبديل لإدماج هذا المنظور في المقرر الرسمي وغير الرسمي وفي الممارسات المدرسية في المدرسة إدماج التعليم الجنساني في السنوات من الأولى إلى الحاد</w:t>
      </w:r>
      <w:r>
        <w:rPr>
          <w:rFonts w:hint="cs"/>
          <w:rtl/>
          <w:lang w:bidi="ar-EG"/>
        </w:rPr>
        <w:t>ية عشرة</w:t>
      </w:r>
      <w:r w:rsidR="003D7EB4">
        <w:rPr>
          <w:rFonts w:hint="cs"/>
          <w:rtl/>
          <w:lang w:bidi="ar-EG"/>
        </w:rPr>
        <w:t>،</w:t>
      </w:r>
      <w:r>
        <w:rPr>
          <w:rFonts w:hint="cs"/>
          <w:rtl/>
          <w:lang w:bidi="ar-EG"/>
        </w:rPr>
        <w:t xml:space="preserve"> كما شُرع في عملية لتنفي</w:t>
      </w:r>
      <w:r>
        <w:rPr>
          <w:rFonts w:hint="cs"/>
          <w:rtl/>
        </w:rPr>
        <w:t>ذ الاتفاق الوطني لتحقيق المساواة عن طريق التليفزيون</w:t>
      </w:r>
      <w:r w:rsidR="003D7EB4">
        <w:rPr>
          <w:rFonts w:hint="cs"/>
          <w:rtl/>
        </w:rPr>
        <w:t>،</w:t>
      </w:r>
      <w:r>
        <w:rPr>
          <w:rFonts w:hint="cs"/>
          <w:rtl/>
        </w:rPr>
        <w:t xml:space="preserve"> ويتمثل عنصر رئيسي في هذا العمل في الاتفاق المبرم بين مكتب محامي الشعب ووزارة التعليم الوطني لتنفيذ البرنامج الوطني لتدريس حقوق الإنسان ابتداء من المدرسة، الذي سيطبق فيه المنظور الجنساني</w:t>
      </w:r>
      <w:r w:rsidR="003D7EB4">
        <w:rPr>
          <w:rFonts w:hint="cs"/>
          <w:rtl/>
        </w:rPr>
        <w:t>،</w:t>
      </w:r>
      <w:r>
        <w:rPr>
          <w:rFonts w:hint="cs"/>
          <w:rtl/>
        </w:rPr>
        <w:t xml:space="preserve"> وتحقيقا لنفس هذا الهدف تعمل الهيئة الاستشارية لرئيس الجمهورية فيما يتعلق بالمساواة بين الرجل والمرأة على إدماج التزام من هذا النوع في مجال التعليم في الخطط الإنمائية للمقاطعات والمجتمعات المحلية وكذلك تنفيذ تدابير إيجابية لتضييق الفروق بين الرجل والمرأة ولا سيما في المناطق الريفية في مجال محو أمية الراشدات وتدريبهن على العمل</w:t>
      </w:r>
      <w:r w:rsidR="003D7EB4">
        <w:rPr>
          <w:rFonts w:hint="cs"/>
          <w:rtl/>
        </w:rPr>
        <w:t>،</w:t>
      </w:r>
    </w:p>
    <w:p w:rsidR="00971AE2" w:rsidRDefault="00971AE2" w:rsidP="003E65DC">
      <w:pPr>
        <w:pStyle w:val="SingleTxt"/>
        <w:rPr>
          <w:rFonts w:hint="cs"/>
          <w:rtl/>
        </w:rPr>
      </w:pPr>
      <w:r>
        <w:rPr>
          <w:rFonts w:hint="cs"/>
          <w:rtl/>
        </w:rPr>
        <w:tab/>
        <w:t xml:space="preserve">وقامت وزارة التعليم الوطني والهيئة الاستشارية لرئيس الجمهورية فيما يتعلق بالمساواة بين الرجل والمرأة في السنوات الأخيرة، برعاية منظمة الأمم المتحدة للتربية والعلم والثقافة (اليونسكو) وكدعم للمنشآت التعليمية، بإنتاج 000 10 نسخة من </w:t>
      </w:r>
      <w:r>
        <w:rPr>
          <w:rFonts w:hint="eastAsia"/>
          <w:rtl/>
        </w:rPr>
        <w:t>”دليل التعليم المختلط</w:t>
      </w:r>
      <w:r>
        <w:rPr>
          <w:rFonts w:hint="cs"/>
          <w:rtl/>
        </w:rPr>
        <w:t>“</w:t>
      </w:r>
      <w:r>
        <w:rPr>
          <w:rFonts w:hint="cs"/>
          <w:vertAlign w:val="superscript"/>
          <w:rtl/>
        </w:rPr>
        <w:t>(40)</w:t>
      </w:r>
      <w:r>
        <w:rPr>
          <w:rFonts w:hint="cs"/>
          <w:rtl/>
        </w:rPr>
        <w:t>، وهو ناتج عملية بحث أجراه في كونديناماركا وسانتاندر وأتلانتيكو معلمون في المناطق الحضرية والريفية يرمي إلى الكشف عن القوالب النمطية المتحيزة جنسيا في المؤسسات التعليمية وتغييرها</w:t>
      </w:r>
      <w:r w:rsidR="003D7EB4">
        <w:rPr>
          <w:rFonts w:hint="cs"/>
          <w:rtl/>
        </w:rPr>
        <w:t>،</w:t>
      </w:r>
      <w:r>
        <w:rPr>
          <w:rFonts w:hint="cs"/>
          <w:rtl/>
        </w:rPr>
        <w:t xml:space="preserve"> ويشمل المشروع التفكير التشاركي مع المعلمين عن طريق التحليل الجنساني واستخدام منهجيات لإجراء تشخيصات للقوالب النمطية المتحيزة جنسيا وإعداد خطط للتعليم المختلط وتطبيق استراتيجيات لإدماجها في المشاريع التعليمية المؤسسية</w:t>
      </w:r>
      <w:r w:rsidR="003D7EB4">
        <w:rPr>
          <w:rFonts w:hint="cs"/>
          <w:rtl/>
        </w:rPr>
        <w:t>،</w:t>
      </w:r>
      <w:r>
        <w:rPr>
          <w:rFonts w:hint="cs"/>
          <w:rtl/>
        </w:rPr>
        <w:t xml:space="preserve"> وسوف يُعاد تناول نتائج البحث لتصميم كل فصل من فصول الدليل الذي يستهدف نشره التعريف في البلديات والمقاطعات الأخرى بالأعمال المنجزة وعمليات التدريب الصناعي المحرزة</w:t>
      </w:r>
      <w:r w:rsidR="003D7EB4">
        <w:rPr>
          <w:rFonts w:hint="cs"/>
          <w:rtl/>
        </w:rPr>
        <w:t>،</w:t>
      </w:r>
    </w:p>
    <w:p w:rsidR="00971AE2" w:rsidRDefault="00971AE2" w:rsidP="003E65DC">
      <w:pPr>
        <w:pStyle w:val="SingleTxt"/>
        <w:rPr>
          <w:rFonts w:hint="cs"/>
          <w:rtl/>
        </w:rPr>
      </w:pPr>
      <w:r>
        <w:rPr>
          <w:rFonts w:hint="cs"/>
          <w:rtl/>
        </w:rPr>
        <w:tab/>
        <w:t xml:space="preserve">وفي صياغة سياسة </w:t>
      </w:r>
      <w:r>
        <w:rPr>
          <w:rFonts w:hint="eastAsia"/>
          <w:rtl/>
        </w:rPr>
        <w:t>”المرأة صانعة السلام والتنمية</w:t>
      </w:r>
      <w:r>
        <w:rPr>
          <w:rFonts w:hint="cs"/>
          <w:rtl/>
        </w:rPr>
        <w:t>“ تقوم الهيئة الاستشارية لرئيس الجمهورية فيما يتعلق بالمساواة بين الرجل والمرأة ووزارة التعليم الوطني بتنسيق برنامج عمل تتمثل أنشطته الرسمية فيما يلي:</w:t>
      </w:r>
    </w:p>
    <w:p w:rsidR="00971AE2" w:rsidRDefault="00971AE2" w:rsidP="003E65DC">
      <w:pPr>
        <w:pStyle w:val="SingleTxt"/>
        <w:rPr>
          <w:rFonts w:hint="cs"/>
          <w:rtl/>
          <w:lang w:bidi="ar-EG"/>
        </w:rPr>
      </w:pPr>
      <w:r>
        <w:rPr>
          <w:rFonts w:hint="cs"/>
          <w:rtl/>
        </w:rPr>
        <w:tab/>
        <w:t>-</w:t>
      </w:r>
      <w:r>
        <w:rPr>
          <w:rFonts w:hint="cs"/>
          <w:rtl/>
        </w:rPr>
        <w:tab/>
        <w:t>دعم مجال التعليم في</w:t>
      </w:r>
      <w:r>
        <w:rPr>
          <w:rFonts w:hint="cs"/>
          <w:u w:val="single"/>
          <w:rtl/>
          <w:lang w:bidi="ar-EG"/>
        </w:rPr>
        <w:t xml:space="preserve"> </w:t>
      </w:r>
      <w:r>
        <w:rPr>
          <w:rFonts w:hint="cs"/>
          <w:rtl/>
        </w:rPr>
        <w:t>مرصد الشؤون الجنسانية</w:t>
      </w:r>
      <w:r>
        <w:rPr>
          <w:rFonts w:hint="cs"/>
          <w:rtl/>
          <w:lang w:bidi="ar-EG"/>
        </w:rPr>
        <w:t xml:space="preserve"> في جوانب مثل جمع المعلومات وتحليلها ونشرها</w:t>
      </w:r>
      <w:r w:rsidR="003D7EB4">
        <w:rPr>
          <w:rFonts w:hint="cs"/>
          <w:rtl/>
          <w:lang w:bidi="ar-EG"/>
        </w:rPr>
        <w:t>،</w:t>
      </w:r>
    </w:p>
    <w:p w:rsidR="00971AE2" w:rsidRDefault="00971AE2" w:rsidP="003E65DC">
      <w:pPr>
        <w:pStyle w:val="SingleTxt"/>
        <w:rPr>
          <w:rFonts w:hint="cs"/>
          <w:rtl/>
        </w:rPr>
      </w:pPr>
      <w:r>
        <w:rPr>
          <w:rFonts w:hint="cs"/>
          <w:rtl/>
          <w:lang w:bidi="ar-EG"/>
        </w:rPr>
        <w:tab/>
        <w:t>-</w:t>
      </w:r>
      <w:r>
        <w:rPr>
          <w:rFonts w:hint="cs"/>
          <w:rtl/>
          <w:lang w:bidi="ar-EG"/>
        </w:rPr>
        <w:tab/>
        <w:t>إدماج سياسة المساواة بين الجنسين في المشاريع الإنمائية في مجال التعليم النظامي، مثل الصحة الجنسية والتناسلية وحقوق الإنسان والتعايش والبيئة ومعايير النوعية بالنسبة إلى كفاءة المواطنات والتدريب المعياري وتقييم المعلمين وإدماج أبناء وبنات السكان ال</w:t>
      </w:r>
      <w:r>
        <w:rPr>
          <w:rFonts w:hint="cs"/>
          <w:rtl/>
        </w:rPr>
        <w:t>ذين يعيشون في ظروف صعبة في النظام التعليمي (التعليم الإثني والمعوقين والمشردين والذين يعيشون في مناطق الحدود)</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وتعزيز برامج تدريب المدربين بوسائل حاسوبية</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التنسيق مع المحررين لصياغة نصوص لا تتسم بالتحيز الجنسي</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إبرام اتفاقات مع الجامعات في مجالات اهتمام الهيئة الاستشارية لرئيس الجمهورية فيما يتعلق بالمساواة بين الرجل والمرأة</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البُعد الجنساني في التعليم غير النظامي</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حث وسائل الاتصال الجماهيري على تلافي التحيزات الجنسية</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تصميم وتنفيذ البرنامج الوطني للتعليم الجنساني والتعددية</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 xml:space="preserve">أجرت وزارة الثقافة باعتبارها الهيئة التي تقوم بتوجيه وتنسيق السياسة الحكومية للتنمية الثقافية للرجال والنساء مشاورات لصياغة الخطة الوطنية للثقافة </w:t>
      </w:r>
      <w:r>
        <w:rPr>
          <w:rFonts w:hint="eastAsia"/>
          <w:rtl/>
        </w:rPr>
        <w:t>”</w:t>
      </w:r>
      <w:r>
        <w:rPr>
          <w:rFonts w:hint="cs"/>
          <w:rtl/>
        </w:rPr>
        <w:t>نحو مواطَنة ديمقراطية ثقافية</w:t>
      </w:r>
      <w:r>
        <w:rPr>
          <w:rFonts w:hint="eastAsia"/>
          <w:rtl/>
        </w:rPr>
        <w:t>“ حتى سنة 2010 تنف</w:t>
      </w:r>
      <w:r>
        <w:rPr>
          <w:rFonts w:hint="cs"/>
          <w:rtl/>
        </w:rPr>
        <w:t>ذ عن طريق عملية تشاركية (بمساهمة 000 25 كولومبي) والاعتراف بالتعددية وتفضيلها، بما يتيح اشتمال السياسة الحكومية على المنظور الجنساني</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مواصلة ضمان المساواة في الاجتماعات التي تُعقد لوضع البرنامج الوطني للحوافز، من أجل مشاركة الرجال والنساء</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المساواة بين الجنسين باعتبارها موضوعا معمما في البرمجة الثقافية لرمز كولومبيا</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تعميق إدماج البُعد الجنساني في جميع الأعمال التي تضطلع بها إدارات الوزارات (الاتصالات والرعاية والثقافة الإثنية والطفولة والشباب وصناعة السينما والتراث)</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سؤالين أو ثلاثة أسئلة تتيح تحديد مشاركة المرأة، في صيغة عرض مشاريع البرنامج الوطني للتنسيق</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البرنامج الوطني للتعليم الجنساني والتعددية وحملات احترام حقوق الإنسان</w:t>
      </w:r>
      <w:r w:rsidR="003D7EB4">
        <w:rPr>
          <w:rFonts w:hint="cs"/>
          <w:rtl/>
        </w:rPr>
        <w:t>،</w:t>
      </w:r>
    </w:p>
    <w:p w:rsidR="00971AE2" w:rsidRDefault="00971AE2" w:rsidP="00E513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النشر عن التقدم الذي أحرزته المرأة في ممارسة حقوقها السياسية والاقتصادية والاجتماعية والثقافية</w:t>
      </w:r>
      <w:r w:rsidR="003D7EB4">
        <w:rPr>
          <w:rFonts w:hint="cs"/>
          <w:rtl/>
        </w:rPr>
        <w:t>،</w:t>
      </w:r>
    </w:p>
    <w:p w:rsidR="00971AE2" w:rsidRDefault="00971AE2" w:rsidP="003E65DC">
      <w:pPr>
        <w:pStyle w:val="SingleTxt"/>
        <w:rPr>
          <w:rFonts w:hint="cs"/>
          <w:rtl/>
        </w:rPr>
      </w:pPr>
      <w:r>
        <w:rPr>
          <w:rFonts w:hint="cs"/>
          <w:rtl/>
        </w:rPr>
        <w:tab/>
        <w:t xml:space="preserve">وتنفيذا لهذا البرنامج قامت الهيئة الاستشارية المعنية بتحقيق المساواة ووزارة الثقافة في شهر آذار/مارس 2004 بعقد لقاء للكاتبات الكولومبيات </w:t>
      </w:r>
      <w:r>
        <w:rPr>
          <w:rFonts w:hint="eastAsia"/>
          <w:rtl/>
        </w:rPr>
        <w:t>”</w:t>
      </w:r>
      <w:r>
        <w:rPr>
          <w:rFonts w:hint="cs"/>
          <w:rtl/>
        </w:rPr>
        <w:t>للنساء أهمية</w:t>
      </w:r>
      <w:r>
        <w:rPr>
          <w:rFonts w:hint="eastAsia"/>
          <w:rtl/>
        </w:rPr>
        <w:t>“، تحية للكاتبة مارفيل مورينو، بهدف إبراز مساهمة النساء في الآداب والثقافة وإدماج المن</w:t>
      </w:r>
      <w:r>
        <w:rPr>
          <w:rFonts w:hint="cs"/>
          <w:rtl/>
        </w:rPr>
        <w:t>ظور الجنساني في الثقافة</w:t>
      </w:r>
      <w:r w:rsidR="003D7EB4">
        <w:rPr>
          <w:rFonts w:hint="cs"/>
          <w:rtl/>
        </w:rPr>
        <w:t>،</w:t>
      </w:r>
      <w:r>
        <w:rPr>
          <w:rFonts w:hint="cs"/>
          <w:rtl/>
        </w:rPr>
        <w:t xml:space="preserve"> وقد شاركت في ذلك اللقاء 30 كاتبة من مناطق وأجيال وألوان أدائية مختلفة</w:t>
      </w:r>
      <w:r w:rsidR="003D7EB4">
        <w:rPr>
          <w:rFonts w:hint="cs"/>
          <w:rtl/>
        </w:rPr>
        <w:t>،</w:t>
      </w:r>
    </w:p>
    <w:p w:rsidR="00971AE2" w:rsidRDefault="00971AE2" w:rsidP="003E65DC">
      <w:pPr>
        <w:pStyle w:val="SingleTxt"/>
        <w:rPr>
          <w:rFonts w:hint="cs"/>
          <w:b/>
          <w:bCs/>
          <w:rtl/>
        </w:rPr>
      </w:pPr>
      <w:r>
        <w:rPr>
          <w:rFonts w:hint="cs"/>
          <w:b/>
          <w:bCs/>
          <w:rtl/>
        </w:rPr>
        <w:t>التوصية الخاصة رقم 12: التدابير الرامية إلى القضاء على القوالب النمطية في وسائط الاتصال</w:t>
      </w:r>
    </w:p>
    <w:p w:rsidR="00971AE2" w:rsidRDefault="00971AE2" w:rsidP="003E65DC">
      <w:pPr>
        <w:pStyle w:val="SingleTxt"/>
        <w:rPr>
          <w:rFonts w:hint="cs"/>
          <w:rtl/>
        </w:rPr>
      </w:pPr>
      <w:r>
        <w:rPr>
          <w:rFonts w:hint="cs"/>
          <w:rtl/>
        </w:rPr>
        <w:tab/>
        <w:t xml:space="preserve">في سياق سياسة </w:t>
      </w:r>
      <w:r>
        <w:rPr>
          <w:rFonts w:hint="eastAsia"/>
          <w:rtl/>
        </w:rPr>
        <w:t>”المرأة صانعة السلام والتنمية</w:t>
      </w:r>
      <w:r>
        <w:rPr>
          <w:rFonts w:hint="cs"/>
          <w:rtl/>
        </w:rPr>
        <w:t>“ قامت الهيئة الاستشارية المعنية بتحقيق المساواة ووزارة الاتصالات بتنسيق برنامج عمل للاضطلاع بالأنشطة التالية:</w:t>
      </w:r>
    </w:p>
    <w:p w:rsidR="00971AE2" w:rsidRDefault="00971AE2" w:rsidP="00C47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إيجاد موقف أكثر تقدما في وزارة الاتصالات لإبراز الأوضاع المختلفة التي تؤثر في المرأة مثل العنف الذي تواجهه في البيئة الأسرية وخارجها ويوم العمل المضاعف وعبء العمل المنزلي وعدم ظهور نجاحها وعدم ظهورها في اللغة ومكانة المرأة في عالم الشركات وفي المجال السياسي</w:t>
      </w:r>
      <w:r w:rsidR="003D7EB4">
        <w:rPr>
          <w:rFonts w:hint="cs"/>
          <w:rtl/>
        </w:rPr>
        <w:t>،</w:t>
      </w:r>
    </w:p>
    <w:p w:rsidR="00971AE2" w:rsidRDefault="00971AE2" w:rsidP="00C47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الحث على نشر وشمول الشؤون المتعلقة بالمرأة على نطاق أوسع: سياسة الحكومة الداعمة للمرأة، والاحتفال بالتواريخ المهمة مثل 8 آذار/مارس (اليوم الدولي للمرأة) و 25 تشرين الثاني/نوفمبر (يوم مكافحة العنف ضد المرأة)، والجوائز وأشكال التقدير الممنوحة لعمل المرأة في المجالات المختلفة؛ والقواعد التي تحمي وتضمن حقوق المرأة</w:t>
      </w:r>
      <w:r w:rsidR="003D7EB4">
        <w:rPr>
          <w:rFonts w:hint="cs"/>
          <w:rtl/>
        </w:rPr>
        <w:t>،</w:t>
      </w:r>
    </w:p>
    <w:p w:rsidR="00971AE2" w:rsidRDefault="00971AE2" w:rsidP="00C47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إيجاد وسائل اتصال غير تقليدية تسهم في تعزيز وتعديل مشاركة المجتمع المحلي، والاعتراف بدور المرأة في الأسرة وفي المجتمع وتقديره، والطعن في الأنماط المقولبة لإبلاغ رسائل موضوعية وناقدة وتغييرية لحالة وظروف وفرص كل من الرجل والمرأة في مختلف مجالات المشاركة الاجتماعية</w:t>
      </w:r>
      <w:r w:rsidR="003D7EB4">
        <w:rPr>
          <w:rFonts w:hint="cs"/>
          <w:rtl/>
        </w:rPr>
        <w:t>،</w:t>
      </w:r>
    </w:p>
    <w:p w:rsidR="00971AE2" w:rsidRDefault="00971AE2" w:rsidP="00C47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استراتيجية تركز على دعم وصول المرأة إلى استعمال التكنولوجيات الجديدة للمعلومات والاتصال</w:t>
      </w:r>
      <w:r w:rsidR="003D7EB4">
        <w:rPr>
          <w:rFonts w:hint="cs"/>
          <w:rtl/>
        </w:rPr>
        <w:t>،</w:t>
      </w:r>
    </w:p>
    <w:p w:rsidR="00971AE2" w:rsidRDefault="00971AE2" w:rsidP="00C47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الإذاعات المجتمعية</w:t>
      </w:r>
      <w:r w:rsidR="003D7EB4">
        <w:rPr>
          <w:rFonts w:hint="cs"/>
          <w:rtl/>
        </w:rPr>
        <w:t>،</w:t>
      </w:r>
    </w:p>
    <w:p w:rsidR="00971AE2" w:rsidRDefault="00971AE2" w:rsidP="00C47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دراسة متعمقة لأهداف ومضامين وآثار الأجزاء والبرامج المتعلقة بالمرأة</w:t>
      </w:r>
      <w:r w:rsidR="003D7EB4">
        <w:rPr>
          <w:rFonts w:hint="cs"/>
          <w:rtl/>
        </w:rPr>
        <w:t>،</w:t>
      </w:r>
    </w:p>
    <w:p w:rsidR="00971AE2" w:rsidRDefault="00971AE2" w:rsidP="00C47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البرنامج الوطني للتعليم الجنساني والتعددية وشن حملات من أجل احترام حقوق الإنسان للمرأة مع إبراز العنف العائلي باعتباره مشكلة اعتداء على حقوق الإنسان</w:t>
      </w:r>
      <w:r w:rsidR="003D7EB4">
        <w:rPr>
          <w:rFonts w:hint="cs"/>
          <w:rtl/>
        </w:rPr>
        <w:t>،</w:t>
      </w:r>
    </w:p>
    <w:p w:rsidR="00971AE2" w:rsidRDefault="00971AE2" w:rsidP="00C47A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النشر عن طريق مرصد الشؤون الجنسانية عن منجزات المرأة في ممارسة حقوقها</w:t>
      </w:r>
      <w:r w:rsidR="003D7EB4">
        <w:rPr>
          <w:rFonts w:hint="cs"/>
          <w:rtl/>
        </w:rPr>
        <w:t>،</w:t>
      </w:r>
      <w:r>
        <w:rPr>
          <w:rFonts w:hint="cs"/>
          <w:rtl/>
        </w:rPr>
        <w:t xml:space="preserve"> وترمي جميع هذه الأنشطة التي تقودها الهيئة الاستشارية لرئيس الجمهورية فيما يتعلق بالمساواة بين الرجل والمرأة إلى تنفيذ الاتفاق الوطني من أجل المساواة، الذي يعبر عن التزام الحكومة الوطنية والفرعين التشريعي والقضائي بتقوية دور المرأة عن طريق إشراكها في جميع مجالات المجتمع على قدم المساواة مع الرجل، والقضاء على جميع أشكال التمييز العنصري ضد المرأة، بما في ذلك أشكال التمييز التي تظهر في الأنماط المقولبة والقوالب الاجتماعية الثقافية</w:t>
      </w:r>
      <w:r w:rsidR="003D7EB4">
        <w:rPr>
          <w:rFonts w:hint="cs"/>
          <w:rtl/>
        </w:rPr>
        <w:t>،</w:t>
      </w:r>
    </w:p>
    <w:p w:rsidR="00971AE2" w:rsidRDefault="00971AE2" w:rsidP="003E65DC">
      <w:pPr>
        <w:pStyle w:val="SingleTxt"/>
        <w:rPr>
          <w:rFonts w:hint="cs"/>
          <w:b/>
          <w:bCs/>
          <w:rtl/>
        </w:rPr>
      </w:pPr>
      <w:r>
        <w:rPr>
          <w:rFonts w:hint="cs"/>
          <w:b/>
          <w:bCs/>
          <w:rtl/>
        </w:rPr>
        <w:t>استراتيجية الاتصال التي تتبعها الهيئة الاستشارية لرئيس الجمهورية فيما يتعلق بالمساواة بين الرجل والمرأة</w:t>
      </w:r>
    </w:p>
    <w:p w:rsidR="00971AE2" w:rsidRDefault="00971AE2" w:rsidP="003E65DC">
      <w:pPr>
        <w:pStyle w:val="SingleTxt"/>
        <w:rPr>
          <w:rFonts w:hint="cs"/>
          <w:rtl/>
        </w:rPr>
      </w:pPr>
      <w:r>
        <w:rPr>
          <w:rFonts w:hint="cs"/>
          <w:rtl/>
        </w:rPr>
        <w:tab/>
        <w:t>سجلت استراتيجية الاتصال، التي اتُبعت في مختلف وسائط الاتصال خلال الفترة من كانون الثاني/يناير 2003 إلى تموز/يوليه 2004، 920 منشورا ومقابلة، أسهمت في جملة أمور في إبراز حالة وحقوق المرأة في كولومبيا</w:t>
      </w:r>
      <w:r>
        <w:rPr>
          <w:rFonts w:hint="cs"/>
          <w:vertAlign w:val="superscript"/>
          <w:rtl/>
        </w:rPr>
        <w:t>(41)</w:t>
      </w:r>
      <w:r>
        <w:rPr>
          <w:rFonts w:hint="cs"/>
          <w:rtl/>
        </w:rPr>
        <w:t xml:space="preserve"> والبرامج التي تنفذها الحكومة لصالح المرأة</w:t>
      </w:r>
      <w:r w:rsidR="003D7EB4">
        <w:rPr>
          <w:rFonts w:hint="cs"/>
          <w:rtl/>
        </w:rPr>
        <w:t>،</w:t>
      </w:r>
    </w:p>
    <w:p w:rsidR="005A6409" w:rsidRPr="005A6409" w:rsidRDefault="005A6409" w:rsidP="005A6409">
      <w:pPr>
        <w:pStyle w:val="SingleTxt"/>
        <w:spacing w:after="0" w:line="120" w:lineRule="exact"/>
        <w:rPr>
          <w:rFonts w:hint="cs"/>
          <w:sz w:val="10"/>
          <w:rtl/>
        </w:rPr>
      </w:pPr>
    </w:p>
    <w:p w:rsidR="00971AE2" w:rsidRDefault="005A6409" w:rsidP="005A64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71AE2">
        <w:rPr>
          <w:rFonts w:hint="cs"/>
          <w:rtl/>
        </w:rPr>
        <w:t>2-6</w:t>
      </w:r>
      <w:r w:rsidR="00971AE2">
        <w:rPr>
          <w:rFonts w:hint="cs"/>
          <w:rtl/>
        </w:rPr>
        <w:tab/>
        <w:t>المادة 6</w:t>
      </w:r>
    </w:p>
    <w:p w:rsidR="00971AE2" w:rsidRDefault="00971AE2" w:rsidP="003E65DC">
      <w:pPr>
        <w:pStyle w:val="SingleTxt"/>
        <w:rPr>
          <w:rFonts w:hint="cs"/>
          <w:rtl/>
        </w:rPr>
      </w:pPr>
      <w:r>
        <w:rPr>
          <w:rFonts w:hint="cs"/>
          <w:b/>
          <w:bCs/>
          <w:rtl/>
        </w:rPr>
        <w:t>قمع الاتجار بالنساء واستغلالهن في مجال الدعارة</w:t>
      </w:r>
    </w:p>
    <w:p w:rsidR="00971AE2" w:rsidRDefault="00971AE2" w:rsidP="003E65DC">
      <w:pPr>
        <w:pStyle w:val="SingleTxt"/>
        <w:rPr>
          <w:rFonts w:hint="cs"/>
          <w:rtl/>
        </w:rPr>
      </w:pPr>
      <w:r>
        <w:rPr>
          <w:rFonts w:hint="cs"/>
          <w:rtl/>
        </w:rPr>
        <w:tab/>
        <w:t xml:space="preserve">وفقا </w:t>
      </w:r>
      <w:r>
        <w:rPr>
          <w:rFonts w:hint="cs"/>
          <w:b/>
          <w:bCs/>
          <w:rtl/>
        </w:rPr>
        <w:t>للتوصية العامة رقم 19</w:t>
      </w:r>
      <w:r>
        <w:rPr>
          <w:rFonts w:hint="cs"/>
          <w:rtl/>
        </w:rPr>
        <w:t>، التي تتعلق بالمادة 2، يمثل الاتجار بالأشخاص واستغلالهم في أغراض البغاء شكلين من أشكال العنف ضد المرأة</w:t>
      </w:r>
      <w:r>
        <w:rPr>
          <w:rFonts w:hint="cs"/>
          <w:vertAlign w:val="superscript"/>
          <w:rtl/>
        </w:rPr>
        <w:t>(42)</w:t>
      </w:r>
      <w:r w:rsidR="003D7EB4">
        <w:rPr>
          <w:rFonts w:hint="cs"/>
          <w:rtl/>
        </w:rPr>
        <w:t>،</w:t>
      </w:r>
    </w:p>
    <w:p w:rsidR="00971AE2" w:rsidRDefault="00971AE2" w:rsidP="00971AE2">
      <w:pPr>
        <w:pStyle w:val="SingleTxt"/>
        <w:jc w:val="left"/>
        <w:rPr>
          <w:rFonts w:hint="cs"/>
          <w:rtl/>
        </w:rPr>
      </w:pPr>
      <w:r>
        <w:rPr>
          <w:rFonts w:hint="cs"/>
          <w:b/>
          <w:bCs/>
          <w:rtl/>
        </w:rPr>
        <w:t>المنجزات التشريعية</w:t>
      </w:r>
      <w:r>
        <w:rPr>
          <w:rFonts w:hint="cs"/>
          <w:vertAlign w:val="superscript"/>
          <w:rtl/>
        </w:rPr>
        <w:t>(43)</w:t>
      </w:r>
    </w:p>
    <w:p w:rsidR="00971AE2" w:rsidRDefault="00971AE2" w:rsidP="00971AE2">
      <w:pPr>
        <w:pStyle w:val="SingleTxt"/>
        <w:spacing w:after="0" w:line="120" w:lineRule="exact"/>
        <w:jc w:val="lef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971AE2" w:rsidRPr="00254039">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971AE2" w:rsidRPr="00254039" w:rsidRDefault="00971AE2" w:rsidP="00971AE2">
            <w:pPr>
              <w:tabs>
                <w:tab w:val="left" w:pos="288"/>
                <w:tab w:val="left" w:pos="576"/>
                <w:tab w:val="left" w:pos="864"/>
                <w:tab w:val="left" w:pos="1152"/>
              </w:tabs>
              <w:spacing w:before="80" w:after="80" w:line="240" w:lineRule="exact"/>
              <w:ind w:right="40"/>
              <w:jc w:val="left"/>
              <w:rPr>
                <w:rFonts w:hint="cs"/>
                <w:i/>
                <w:iCs/>
                <w:sz w:val="22"/>
                <w:szCs w:val="22"/>
                <w:rtl/>
                <w:lang w:bidi="ar-EG"/>
              </w:rPr>
            </w:pPr>
            <w:r w:rsidRPr="00254039">
              <w:rPr>
                <w:rFonts w:hint="cs"/>
                <w:i/>
                <w:iCs/>
                <w:sz w:val="22"/>
                <w:szCs w:val="22"/>
                <w:rtl/>
                <w:lang w:bidi="ar-EG"/>
              </w:rPr>
              <w:t>القاعدة</w:t>
            </w:r>
          </w:p>
        </w:tc>
        <w:tc>
          <w:tcPr>
            <w:tcW w:w="4917" w:type="dxa"/>
            <w:tcBorders>
              <w:top w:val="single" w:sz="4" w:space="0" w:color="auto"/>
              <w:bottom w:val="single" w:sz="12" w:space="0" w:color="auto"/>
            </w:tcBorders>
            <w:vAlign w:val="bottom"/>
          </w:tcPr>
          <w:p w:rsidR="00971AE2" w:rsidRPr="00254039" w:rsidRDefault="00971AE2" w:rsidP="00971AE2">
            <w:pPr>
              <w:tabs>
                <w:tab w:val="left" w:pos="288"/>
                <w:tab w:val="left" w:pos="576"/>
                <w:tab w:val="left" w:pos="864"/>
                <w:tab w:val="left" w:pos="1152"/>
              </w:tabs>
              <w:spacing w:before="80" w:after="80" w:line="240" w:lineRule="exact"/>
              <w:ind w:right="144"/>
              <w:jc w:val="left"/>
              <w:rPr>
                <w:i/>
                <w:iCs/>
                <w:sz w:val="22"/>
                <w:szCs w:val="22"/>
                <w:rtl/>
                <w:lang w:bidi="ar-EG"/>
              </w:rPr>
            </w:pPr>
            <w:r w:rsidRPr="00254039">
              <w:rPr>
                <w:rFonts w:hint="cs"/>
                <w:i/>
                <w:iCs/>
                <w:sz w:val="22"/>
                <w:szCs w:val="22"/>
                <w:rtl/>
                <w:lang w:bidi="ar-EG"/>
              </w:rPr>
              <w:t>الموضوع</w:t>
            </w:r>
          </w:p>
        </w:tc>
      </w:tr>
      <w:tr w:rsidR="00971AE2" w:rsidRPr="00254039">
        <w:tblPrEx>
          <w:tblCellMar>
            <w:top w:w="0" w:type="dxa"/>
            <w:bottom w:w="0" w:type="dxa"/>
          </w:tblCellMar>
        </w:tblPrEx>
        <w:trPr>
          <w:cantSplit/>
          <w:trHeight w:hRule="exact" w:val="115"/>
          <w:tblHeader/>
        </w:trPr>
        <w:tc>
          <w:tcPr>
            <w:tcW w:w="2403" w:type="dxa"/>
            <w:tcBorders>
              <w:top w:val="single" w:sz="12" w:space="0" w:color="auto"/>
            </w:tcBorders>
            <w:vAlign w:val="bottom"/>
          </w:tcPr>
          <w:p w:rsidR="00971AE2" w:rsidRPr="00254039" w:rsidRDefault="00971AE2" w:rsidP="00971AE2">
            <w:pPr>
              <w:tabs>
                <w:tab w:val="left" w:pos="288"/>
                <w:tab w:val="left" w:pos="576"/>
                <w:tab w:val="left" w:pos="864"/>
                <w:tab w:val="left" w:pos="1152"/>
              </w:tabs>
              <w:spacing w:before="40" w:after="80" w:line="240" w:lineRule="exact"/>
              <w:ind w:right="40"/>
              <w:jc w:val="left"/>
              <w:rPr>
                <w:rFonts w:hint="cs"/>
                <w:sz w:val="22"/>
                <w:szCs w:val="22"/>
                <w:rtl/>
                <w:lang w:bidi="ar-EG"/>
              </w:rPr>
            </w:pPr>
          </w:p>
        </w:tc>
        <w:tc>
          <w:tcPr>
            <w:tcW w:w="4917" w:type="dxa"/>
            <w:tcBorders>
              <w:top w:val="single" w:sz="12" w:space="0" w:color="auto"/>
            </w:tcBorders>
            <w:vAlign w:val="bottom"/>
          </w:tcPr>
          <w:p w:rsidR="00971AE2" w:rsidRPr="00254039" w:rsidRDefault="00971AE2" w:rsidP="00971AE2">
            <w:pPr>
              <w:tabs>
                <w:tab w:val="left" w:pos="288"/>
                <w:tab w:val="left" w:pos="576"/>
                <w:tab w:val="left" w:pos="864"/>
                <w:tab w:val="left" w:pos="1152"/>
              </w:tabs>
              <w:spacing w:before="40" w:after="80" w:line="240" w:lineRule="exact"/>
              <w:ind w:right="144"/>
              <w:jc w:val="left"/>
              <w:rPr>
                <w:rFonts w:hint="cs"/>
                <w:sz w:val="22"/>
                <w:szCs w:val="22"/>
                <w:rtl/>
                <w:lang w:bidi="ar-EG"/>
              </w:rPr>
            </w:pPr>
          </w:p>
        </w:tc>
      </w:tr>
      <w:tr w:rsidR="00971AE2" w:rsidRPr="00254039">
        <w:tblPrEx>
          <w:tblCellMar>
            <w:top w:w="0" w:type="dxa"/>
            <w:bottom w:w="0" w:type="dxa"/>
          </w:tblCellMar>
        </w:tblPrEx>
        <w:trPr>
          <w:cantSplit/>
        </w:trPr>
        <w:tc>
          <w:tcPr>
            <w:tcW w:w="2403" w:type="dxa"/>
          </w:tcPr>
          <w:p w:rsidR="00971AE2" w:rsidRPr="00254039" w:rsidRDefault="00971AE2" w:rsidP="00971AE2">
            <w:pPr>
              <w:tabs>
                <w:tab w:val="left" w:pos="288"/>
                <w:tab w:val="left" w:pos="576"/>
                <w:tab w:val="left" w:pos="864"/>
                <w:tab w:val="left" w:pos="1152"/>
              </w:tabs>
              <w:spacing w:before="40" w:after="80" w:line="240" w:lineRule="exact"/>
              <w:ind w:right="40"/>
              <w:jc w:val="left"/>
              <w:rPr>
                <w:rFonts w:hint="cs"/>
                <w:sz w:val="22"/>
                <w:szCs w:val="22"/>
                <w:rtl/>
                <w:lang w:bidi="ar-EG"/>
              </w:rPr>
            </w:pPr>
            <w:r w:rsidRPr="00254039">
              <w:rPr>
                <w:rFonts w:hint="cs"/>
                <w:sz w:val="22"/>
                <w:szCs w:val="22"/>
                <w:rtl/>
                <w:lang w:bidi="ar-EG"/>
              </w:rPr>
              <w:t>القانون رقم 679 لسنة 2001</w:t>
            </w:r>
          </w:p>
        </w:tc>
        <w:tc>
          <w:tcPr>
            <w:tcW w:w="4917" w:type="dxa"/>
            <w:vAlign w:val="bottom"/>
          </w:tcPr>
          <w:p w:rsidR="00971AE2" w:rsidRPr="00254039" w:rsidRDefault="00971AE2" w:rsidP="00254039">
            <w:pPr>
              <w:tabs>
                <w:tab w:val="left" w:pos="288"/>
                <w:tab w:val="left" w:pos="576"/>
                <w:tab w:val="left" w:pos="864"/>
                <w:tab w:val="left" w:pos="1152"/>
              </w:tabs>
              <w:spacing w:before="40" w:after="80" w:line="240" w:lineRule="exact"/>
              <w:ind w:right="144"/>
              <w:jc w:val="lowKashida"/>
              <w:rPr>
                <w:rFonts w:hint="cs"/>
                <w:sz w:val="22"/>
                <w:szCs w:val="22"/>
                <w:rtl/>
                <w:lang w:bidi="ar-EG"/>
              </w:rPr>
            </w:pPr>
            <w:r w:rsidRPr="00254039">
              <w:rPr>
                <w:rFonts w:hint="cs"/>
                <w:sz w:val="22"/>
                <w:szCs w:val="22"/>
                <w:rtl/>
                <w:lang w:bidi="ar-EG"/>
              </w:rPr>
              <w:t>النظام الأساسي لحظر ومكافحة الاستغلال الجنسي للقصر والتصوير الإباحي لهم والسياحة الجنسية</w:t>
            </w:r>
            <w:r w:rsidR="003D7EB4">
              <w:rPr>
                <w:rFonts w:hint="cs"/>
                <w:sz w:val="22"/>
                <w:szCs w:val="22"/>
                <w:rtl/>
                <w:lang w:bidi="ar-EG"/>
              </w:rPr>
              <w:t>،</w:t>
            </w:r>
          </w:p>
        </w:tc>
      </w:tr>
      <w:tr w:rsidR="00971AE2" w:rsidRPr="00254039">
        <w:tblPrEx>
          <w:tblCellMar>
            <w:top w:w="0" w:type="dxa"/>
            <w:bottom w:w="0" w:type="dxa"/>
          </w:tblCellMar>
        </w:tblPrEx>
        <w:trPr>
          <w:cantSplit/>
        </w:trPr>
        <w:tc>
          <w:tcPr>
            <w:tcW w:w="2403" w:type="dxa"/>
          </w:tcPr>
          <w:p w:rsidR="00971AE2" w:rsidRPr="00254039" w:rsidRDefault="00971AE2" w:rsidP="00971AE2">
            <w:pPr>
              <w:tabs>
                <w:tab w:val="left" w:pos="288"/>
                <w:tab w:val="left" w:pos="576"/>
                <w:tab w:val="left" w:pos="864"/>
                <w:tab w:val="left" w:pos="1152"/>
              </w:tabs>
              <w:spacing w:before="40" w:after="80" w:line="240" w:lineRule="exact"/>
              <w:ind w:right="40"/>
              <w:jc w:val="left"/>
              <w:rPr>
                <w:rFonts w:hint="cs"/>
                <w:sz w:val="22"/>
                <w:szCs w:val="22"/>
                <w:rtl/>
                <w:lang w:bidi="ar-EG"/>
              </w:rPr>
            </w:pPr>
            <w:r w:rsidRPr="00254039">
              <w:rPr>
                <w:rFonts w:hint="cs"/>
                <w:sz w:val="22"/>
                <w:szCs w:val="22"/>
                <w:rtl/>
                <w:lang w:bidi="ar-EG"/>
              </w:rPr>
              <w:t>المرسوم رقم 2107 لسنة 2001</w:t>
            </w:r>
          </w:p>
        </w:tc>
        <w:tc>
          <w:tcPr>
            <w:tcW w:w="4917" w:type="dxa"/>
            <w:vAlign w:val="bottom"/>
          </w:tcPr>
          <w:p w:rsidR="00971AE2" w:rsidRPr="00254039" w:rsidRDefault="00971AE2" w:rsidP="00254039">
            <w:pPr>
              <w:tabs>
                <w:tab w:val="left" w:pos="288"/>
                <w:tab w:val="left" w:pos="576"/>
                <w:tab w:val="left" w:pos="864"/>
                <w:tab w:val="left" w:pos="1152"/>
              </w:tabs>
              <w:spacing w:before="40" w:after="80" w:line="240" w:lineRule="exact"/>
              <w:ind w:right="144"/>
              <w:jc w:val="lowKashida"/>
              <w:rPr>
                <w:rFonts w:hint="cs"/>
                <w:sz w:val="22"/>
                <w:szCs w:val="22"/>
                <w:rtl/>
                <w:lang w:bidi="ar-EG"/>
              </w:rPr>
            </w:pPr>
            <w:r w:rsidRPr="00254039">
              <w:rPr>
                <w:rFonts w:hint="cs"/>
                <w:sz w:val="22"/>
                <w:szCs w:val="22"/>
                <w:rtl/>
                <w:lang w:bidi="ar-EG"/>
              </w:rPr>
              <w:t>المكمل بالمرسوم رقم 1384 لسنة 2002 بشأن منح التأشيرات للأجانب ومراقبته وتنظيمه، وسُنت أحكام أخرى في مجال الهجرة إلى كولومبيا</w:t>
            </w:r>
            <w:r w:rsidR="003D7EB4">
              <w:rPr>
                <w:rFonts w:hint="cs"/>
                <w:sz w:val="22"/>
                <w:szCs w:val="22"/>
                <w:rtl/>
                <w:lang w:bidi="ar-EG"/>
              </w:rPr>
              <w:t>،</w:t>
            </w:r>
            <w:r w:rsidRPr="00254039">
              <w:rPr>
                <w:rFonts w:hint="cs"/>
                <w:sz w:val="22"/>
                <w:szCs w:val="22"/>
                <w:rtl/>
                <w:lang w:bidi="ar-EG"/>
              </w:rPr>
              <w:t xml:space="preserve"> ويحظر هذا المرسوم دخول الأجانب المشاركين في الاتجار بالأشخاص إلى البلد</w:t>
            </w:r>
            <w:r w:rsidR="003D7EB4">
              <w:rPr>
                <w:rFonts w:hint="cs"/>
                <w:sz w:val="22"/>
                <w:szCs w:val="22"/>
                <w:rtl/>
                <w:lang w:bidi="ar-EG"/>
              </w:rPr>
              <w:t>،</w:t>
            </w:r>
          </w:p>
        </w:tc>
      </w:tr>
      <w:tr w:rsidR="00971AE2" w:rsidRPr="00254039">
        <w:tblPrEx>
          <w:tblCellMar>
            <w:top w:w="0" w:type="dxa"/>
            <w:bottom w:w="0" w:type="dxa"/>
          </w:tblCellMar>
        </w:tblPrEx>
        <w:trPr>
          <w:cantSplit/>
        </w:trPr>
        <w:tc>
          <w:tcPr>
            <w:tcW w:w="2403" w:type="dxa"/>
          </w:tcPr>
          <w:p w:rsidR="00971AE2" w:rsidRPr="00254039" w:rsidRDefault="00971AE2" w:rsidP="00971AE2">
            <w:pPr>
              <w:tabs>
                <w:tab w:val="left" w:pos="288"/>
                <w:tab w:val="left" w:pos="576"/>
                <w:tab w:val="left" w:pos="864"/>
                <w:tab w:val="left" w:pos="1152"/>
              </w:tabs>
              <w:spacing w:before="40" w:after="80" w:line="240" w:lineRule="exact"/>
              <w:ind w:right="40"/>
              <w:jc w:val="left"/>
              <w:rPr>
                <w:rFonts w:hint="cs"/>
                <w:sz w:val="22"/>
                <w:szCs w:val="22"/>
                <w:rtl/>
                <w:lang w:bidi="ar-EG"/>
              </w:rPr>
            </w:pPr>
            <w:r w:rsidRPr="00254039">
              <w:rPr>
                <w:rFonts w:hint="cs"/>
                <w:sz w:val="22"/>
                <w:szCs w:val="22"/>
                <w:rtl/>
                <w:lang w:bidi="ar-EG"/>
              </w:rPr>
              <w:t>القانون رقم 599 لسنة 2000</w:t>
            </w:r>
          </w:p>
        </w:tc>
        <w:tc>
          <w:tcPr>
            <w:tcW w:w="4917" w:type="dxa"/>
            <w:vAlign w:val="bottom"/>
          </w:tcPr>
          <w:p w:rsidR="00971AE2" w:rsidRPr="00254039" w:rsidRDefault="00971AE2" w:rsidP="00254039">
            <w:pPr>
              <w:tabs>
                <w:tab w:val="left" w:pos="288"/>
                <w:tab w:val="left" w:pos="576"/>
                <w:tab w:val="left" w:pos="864"/>
                <w:tab w:val="left" w:pos="1152"/>
              </w:tabs>
              <w:spacing w:before="40" w:after="80" w:line="240" w:lineRule="exact"/>
              <w:ind w:right="144"/>
              <w:jc w:val="lowKashida"/>
              <w:rPr>
                <w:rFonts w:hint="cs"/>
                <w:sz w:val="22"/>
                <w:szCs w:val="22"/>
                <w:rtl/>
                <w:lang w:bidi="ar-EG"/>
              </w:rPr>
            </w:pPr>
            <w:r w:rsidRPr="00254039">
              <w:rPr>
                <w:rFonts w:hint="cs"/>
                <w:sz w:val="22"/>
                <w:szCs w:val="22"/>
                <w:rtl/>
                <w:lang w:bidi="ar-EG"/>
              </w:rPr>
              <w:t>القانون الجنائي</w:t>
            </w:r>
            <w:r w:rsidR="003D7EB4">
              <w:rPr>
                <w:rFonts w:hint="cs"/>
                <w:sz w:val="22"/>
                <w:szCs w:val="22"/>
                <w:rtl/>
                <w:lang w:bidi="ar-EG"/>
              </w:rPr>
              <w:t>،</w:t>
            </w:r>
            <w:r w:rsidRPr="00254039">
              <w:rPr>
                <w:rFonts w:hint="cs"/>
                <w:sz w:val="22"/>
                <w:szCs w:val="22"/>
                <w:rtl/>
                <w:lang w:bidi="ar-EG"/>
              </w:rPr>
              <w:t xml:space="preserve"> ينص على أن جريمة </w:t>
            </w:r>
            <w:r w:rsidRPr="00254039">
              <w:rPr>
                <w:rFonts w:hint="eastAsia"/>
                <w:sz w:val="22"/>
                <w:szCs w:val="22"/>
                <w:rtl/>
                <w:lang w:bidi="ar-EG"/>
              </w:rPr>
              <w:t>”الاتجار بالأشخاص</w:t>
            </w:r>
            <w:r w:rsidRPr="00254039">
              <w:rPr>
                <w:rFonts w:hint="cs"/>
                <w:sz w:val="22"/>
                <w:szCs w:val="22"/>
                <w:rtl/>
                <w:lang w:bidi="ar-EG"/>
              </w:rPr>
              <w:t xml:space="preserve">“، المعدلة فيما بعد بموجب القانون رقم 747 إلى </w:t>
            </w:r>
            <w:r w:rsidRPr="00254039">
              <w:rPr>
                <w:rFonts w:hint="eastAsia"/>
                <w:sz w:val="22"/>
                <w:szCs w:val="22"/>
                <w:rtl/>
                <w:lang w:bidi="ar-EG"/>
              </w:rPr>
              <w:t>”الاتجار بالمهاجرين</w:t>
            </w:r>
            <w:r w:rsidRPr="00254039">
              <w:rPr>
                <w:rFonts w:hint="cs"/>
                <w:sz w:val="22"/>
                <w:szCs w:val="22"/>
                <w:rtl/>
                <w:lang w:bidi="ar-EG"/>
              </w:rPr>
              <w:t>“</w:t>
            </w:r>
            <w:r w:rsidRPr="00254039">
              <w:rPr>
                <w:rFonts w:hint="cs"/>
                <w:sz w:val="22"/>
                <w:szCs w:val="22"/>
                <w:vertAlign w:val="superscript"/>
                <w:rtl/>
                <w:lang w:bidi="ar-EG"/>
              </w:rPr>
              <w:t>(44)</w:t>
            </w:r>
            <w:r w:rsidRPr="00254039">
              <w:rPr>
                <w:rFonts w:hint="cs"/>
                <w:sz w:val="22"/>
                <w:szCs w:val="22"/>
                <w:rtl/>
                <w:lang w:bidi="ar-EG"/>
              </w:rPr>
              <w:t xml:space="preserve"> هي جريمة ضد الاستقلال الشخصي</w:t>
            </w:r>
            <w:r w:rsidR="003D7EB4">
              <w:rPr>
                <w:rFonts w:hint="cs"/>
                <w:sz w:val="22"/>
                <w:szCs w:val="22"/>
                <w:rtl/>
                <w:lang w:bidi="ar-EG"/>
              </w:rPr>
              <w:t>،</w:t>
            </w:r>
          </w:p>
        </w:tc>
      </w:tr>
      <w:tr w:rsidR="00971AE2" w:rsidRPr="00254039">
        <w:tblPrEx>
          <w:tblCellMar>
            <w:top w:w="0" w:type="dxa"/>
            <w:bottom w:w="0" w:type="dxa"/>
          </w:tblCellMar>
        </w:tblPrEx>
        <w:trPr>
          <w:cantSplit/>
        </w:trPr>
        <w:tc>
          <w:tcPr>
            <w:tcW w:w="2403" w:type="dxa"/>
          </w:tcPr>
          <w:p w:rsidR="00971AE2" w:rsidRPr="00254039" w:rsidRDefault="00971AE2" w:rsidP="00971AE2">
            <w:pPr>
              <w:tabs>
                <w:tab w:val="left" w:pos="288"/>
                <w:tab w:val="left" w:pos="576"/>
                <w:tab w:val="left" w:pos="864"/>
                <w:tab w:val="left" w:pos="1152"/>
              </w:tabs>
              <w:spacing w:before="40" w:after="80" w:line="240" w:lineRule="exact"/>
              <w:ind w:right="40"/>
              <w:jc w:val="left"/>
              <w:rPr>
                <w:rFonts w:hint="cs"/>
                <w:sz w:val="22"/>
                <w:szCs w:val="22"/>
                <w:rtl/>
                <w:lang w:bidi="ar-EG"/>
              </w:rPr>
            </w:pPr>
            <w:r w:rsidRPr="00254039">
              <w:rPr>
                <w:rFonts w:hint="cs"/>
                <w:sz w:val="22"/>
                <w:szCs w:val="22"/>
                <w:rtl/>
                <w:lang w:bidi="ar-EG"/>
              </w:rPr>
              <w:t>القانون رقم 747 لسنة 2002</w:t>
            </w:r>
          </w:p>
        </w:tc>
        <w:tc>
          <w:tcPr>
            <w:tcW w:w="4917" w:type="dxa"/>
            <w:vAlign w:val="bottom"/>
          </w:tcPr>
          <w:p w:rsidR="00971AE2" w:rsidRPr="00254039" w:rsidRDefault="00971AE2" w:rsidP="00254039">
            <w:pPr>
              <w:tabs>
                <w:tab w:val="left" w:pos="288"/>
                <w:tab w:val="left" w:pos="576"/>
                <w:tab w:val="left" w:pos="864"/>
                <w:tab w:val="left" w:pos="1152"/>
              </w:tabs>
              <w:spacing w:before="40" w:after="80" w:line="240" w:lineRule="exact"/>
              <w:ind w:right="144"/>
              <w:jc w:val="lowKashida"/>
              <w:rPr>
                <w:rFonts w:hint="cs"/>
                <w:sz w:val="22"/>
                <w:szCs w:val="22"/>
                <w:rtl/>
                <w:lang w:bidi="ar-EG"/>
              </w:rPr>
            </w:pPr>
            <w:r w:rsidRPr="00254039">
              <w:rPr>
                <w:rFonts w:hint="cs"/>
                <w:sz w:val="22"/>
                <w:szCs w:val="22"/>
                <w:rtl/>
                <w:lang w:bidi="ar-EG"/>
              </w:rPr>
              <w:t>ينشئ النص الجنائي للاتجار بالأشخاص ويعدل المادة 188 من القانون الجنائي المتعلقة بالاتجار بالمهاجرين</w:t>
            </w:r>
            <w:r w:rsidRPr="00254039">
              <w:rPr>
                <w:rFonts w:hint="cs"/>
                <w:sz w:val="22"/>
                <w:szCs w:val="22"/>
                <w:vertAlign w:val="superscript"/>
                <w:rtl/>
                <w:lang w:bidi="ar-EG"/>
              </w:rPr>
              <w:t>(45)</w:t>
            </w:r>
            <w:r w:rsidR="003D7EB4">
              <w:rPr>
                <w:rFonts w:hint="cs"/>
                <w:sz w:val="22"/>
                <w:szCs w:val="22"/>
                <w:rtl/>
                <w:lang w:bidi="ar-EG"/>
              </w:rPr>
              <w:t>،</w:t>
            </w:r>
            <w:r w:rsidRPr="00254039">
              <w:rPr>
                <w:rFonts w:hint="cs"/>
                <w:sz w:val="22"/>
                <w:szCs w:val="22"/>
                <w:rtl/>
                <w:lang w:bidi="ar-EG"/>
              </w:rPr>
              <w:t xml:space="preserve"> ويكرس مادة متعلقة بغسل الأموال تمكن من مصادرة أي أموال والحجز عليها الخ عندما تكون قد اكتُسبت باعتبارها عائدات لتلك الجريمة</w:t>
            </w:r>
            <w:r w:rsidRPr="00254039">
              <w:rPr>
                <w:rFonts w:hint="cs"/>
                <w:sz w:val="22"/>
                <w:szCs w:val="22"/>
                <w:vertAlign w:val="superscript"/>
                <w:rtl/>
                <w:lang w:bidi="ar-EG"/>
              </w:rPr>
              <w:t>(46)</w:t>
            </w:r>
            <w:r w:rsidR="003D7EB4">
              <w:rPr>
                <w:rFonts w:hint="cs"/>
                <w:sz w:val="22"/>
                <w:szCs w:val="22"/>
                <w:rtl/>
                <w:lang w:bidi="ar-EG"/>
              </w:rPr>
              <w:t>،</w:t>
            </w:r>
          </w:p>
        </w:tc>
      </w:tr>
      <w:tr w:rsidR="00971AE2" w:rsidRPr="00254039">
        <w:tblPrEx>
          <w:tblCellMar>
            <w:top w:w="0" w:type="dxa"/>
            <w:bottom w:w="0" w:type="dxa"/>
          </w:tblCellMar>
        </w:tblPrEx>
        <w:trPr>
          <w:cantSplit/>
        </w:trPr>
        <w:tc>
          <w:tcPr>
            <w:tcW w:w="2403" w:type="dxa"/>
          </w:tcPr>
          <w:p w:rsidR="00971AE2" w:rsidRPr="00254039" w:rsidRDefault="00971AE2" w:rsidP="00971AE2">
            <w:pPr>
              <w:tabs>
                <w:tab w:val="left" w:pos="288"/>
                <w:tab w:val="left" w:pos="576"/>
                <w:tab w:val="left" w:pos="864"/>
                <w:tab w:val="left" w:pos="1152"/>
              </w:tabs>
              <w:spacing w:before="40" w:after="80" w:line="240" w:lineRule="exact"/>
              <w:ind w:right="40"/>
              <w:jc w:val="left"/>
              <w:rPr>
                <w:rFonts w:hint="cs"/>
                <w:sz w:val="22"/>
                <w:szCs w:val="22"/>
                <w:rtl/>
                <w:lang w:bidi="ar-EG"/>
              </w:rPr>
            </w:pPr>
            <w:r w:rsidRPr="00254039">
              <w:rPr>
                <w:rFonts w:hint="cs"/>
                <w:sz w:val="22"/>
                <w:szCs w:val="22"/>
                <w:rtl/>
                <w:lang w:bidi="ar-EG"/>
              </w:rPr>
              <w:t>القانون رقم 765 لسنة 2002</w:t>
            </w:r>
          </w:p>
        </w:tc>
        <w:tc>
          <w:tcPr>
            <w:tcW w:w="4917" w:type="dxa"/>
            <w:vAlign w:val="bottom"/>
          </w:tcPr>
          <w:p w:rsidR="00971AE2" w:rsidRPr="00254039" w:rsidRDefault="00971AE2" w:rsidP="00254039">
            <w:pPr>
              <w:tabs>
                <w:tab w:val="left" w:pos="288"/>
                <w:tab w:val="left" w:pos="576"/>
                <w:tab w:val="left" w:pos="864"/>
                <w:tab w:val="left" w:pos="1152"/>
              </w:tabs>
              <w:spacing w:before="40" w:after="80" w:line="240" w:lineRule="exact"/>
              <w:ind w:right="144"/>
              <w:jc w:val="lowKashida"/>
              <w:rPr>
                <w:rFonts w:hint="cs"/>
                <w:sz w:val="22"/>
                <w:szCs w:val="22"/>
                <w:rtl/>
                <w:lang w:bidi="ar-EG"/>
              </w:rPr>
            </w:pPr>
            <w:r w:rsidRPr="00254039">
              <w:rPr>
                <w:rFonts w:hint="cs"/>
                <w:sz w:val="22"/>
                <w:szCs w:val="22"/>
                <w:rtl/>
                <w:lang w:bidi="ar-EG"/>
              </w:rPr>
              <w:t>يعتمد البروتوكول الاختياري لاتفاقية حقوق الطفل المتعلق ببيع الأطفال ودعارة الأطفال واستخدام الأطفال في التصوير الإباحي</w:t>
            </w:r>
            <w:r w:rsidR="003D7EB4">
              <w:rPr>
                <w:rFonts w:hint="cs"/>
                <w:sz w:val="22"/>
                <w:szCs w:val="22"/>
                <w:rtl/>
                <w:lang w:bidi="ar-EG"/>
              </w:rPr>
              <w:t>،</w:t>
            </w:r>
          </w:p>
        </w:tc>
      </w:tr>
      <w:tr w:rsidR="00971AE2" w:rsidRPr="00254039">
        <w:tblPrEx>
          <w:tblCellMar>
            <w:top w:w="0" w:type="dxa"/>
            <w:bottom w:w="0" w:type="dxa"/>
          </w:tblCellMar>
        </w:tblPrEx>
        <w:trPr>
          <w:cantSplit/>
        </w:trPr>
        <w:tc>
          <w:tcPr>
            <w:tcW w:w="2403" w:type="dxa"/>
          </w:tcPr>
          <w:p w:rsidR="00971AE2" w:rsidRPr="00254039" w:rsidRDefault="00971AE2" w:rsidP="00971AE2">
            <w:pPr>
              <w:tabs>
                <w:tab w:val="left" w:pos="288"/>
                <w:tab w:val="left" w:pos="576"/>
                <w:tab w:val="left" w:pos="864"/>
                <w:tab w:val="left" w:pos="1152"/>
              </w:tabs>
              <w:spacing w:before="40" w:after="80" w:line="240" w:lineRule="exact"/>
              <w:ind w:right="40"/>
              <w:jc w:val="left"/>
              <w:rPr>
                <w:rFonts w:hint="cs"/>
                <w:sz w:val="22"/>
                <w:szCs w:val="22"/>
                <w:rtl/>
                <w:lang w:bidi="ar-EG"/>
              </w:rPr>
            </w:pPr>
            <w:r w:rsidRPr="00254039">
              <w:rPr>
                <w:rFonts w:hint="cs"/>
                <w:sz w:val="22"/>
                <w:szCs w:val="22"/>
                <w:rtl/>
                <w:lang w:bidi="ar-EG"/>
              </w:rPr>
              <w:t>القانون رقم 800 لسنة 2003</w:t>
            </w:r>
          </w:p>
        </w:tc>
        <w:tc>
          <w:tcPr>
            <w:tcW w:w="4917" w:type="dxa"/>
            <w:vAlign w:val="bottom"/>
          </w:tcPr>
          <w:p w:rsidR="00971AE2" w:rsidRPr="00254039" w:rsidRDefault="00971AE2" w:rsidP="00254039">
            <w:pPr>
              <w:tabs>
                <w:tab w:val="left" w:pos="288"/>
                <w:tab w:val="left" w:pos="576"/>
                <w:tab w:val="left" w:pos="864"/>
                <w:tab w:val="left" w:pos="1152"/>
              </w:tabs>
              <w:spacing w:before="40" w:after="80" w:line="240" w:lineRule="exact"/>
              <w:ind w:right="144"/>
              <w:jc w:val="lowKashida"/>
              <w:rPr>
                <w:rFonts w:hint="cs"/>
                <w:sz w:val="22"/>
                <w:szCs w:val="22"/>
                <w:rtl/>
                <w:lang w:bidi="ar-EG"/>
              </w:rPr>
            </w:pPr>
            <w:r w:rsidRPr="00254039">
              <w:rPr>
                <w:rFonts w:hint="cs"/>
                <w:sz w:val="22"/>
                <w:szCs w:val="22"/>
                <w:rtl/>
                <w:lang w:bidi="ar-EG"/>
              </w:rPr>
              <w:t>يعتمد اتفاقية مكافحة الجريمة المنظمة عبر الحدود الوطنية وبروتوكول حظر وقمع ومعاقبة الاتجار بالأشخاص ولا سيما النساء والأطفال</w:t>
            </w:r>
            <w:r w:rsidR="003D7EB4">
              <w:rPr>
                <w:rFonts w:hint="cs"/>
                <w:sz w:val="22"/>
                <w:szCs w:val="22"/>
                <w:rtl/>
                <w:lang w:bidi="ar-EG"/>
              </w:rPr>
              <w:t>،</w:t>
            </w:r>
          </w:p>
        </w:tc>
      </w:tr>
      <w:tr w:rsidR="00971AE2" w:rsidRPr="00254039">
        <w:tblPrEx>
          <w:tblCellMar>
            <w:top w:w="0" w:type="dxa"/>
            <w:bottom w:w="0" w:type="dxa"/>
          </w:tblCellMar>
        </w:tblPrEx>
        <w:trPr>
          <w:cantSplit/>
        </w:trPr>
        <w:tc>
          <w:tcPr>
            <w:tcW w:w="2403" w:type="dxa"/>
          </w:tcPr>
          <w:p w:rsidR="00971AE2" w:rsidRPr="00254039" w:rsidRDefault="00971AE2" w:rsidP="00971AE2">
            <w:pPr>
              <w:tabs>
                <w:tab w:val="left" w:pos="288"/>
                <w:tab w:val="left" w:pos="576"/>
                <w:tab w:val="left" w:pos="864"/>
                <w:tab w:val="left" w:pos="1152"/>
              </w:tabs>
              <w:spacing w:before="40" w:after="80" w:line="240" w:lineRule="exact"/>
              <w:ind w:right="40"/>
              <w:jc w:val="left"/>
              <w:rPr>
                <w:rFonts w:hint="cs"/>
                <w:sz w:val="22"/>
                <w:szCs w:val="22"/>
                <w:rtl/>
                <w:lang w:bidi="ar-EG"/>
              </w:rPr>
            </w:pPr>
            <w:r w:rsidRPr="00254039">
              <w:rPr>
                <w:rFonts w:hint="cs"/>
                <w:sz w:val="22"/>
                <w:szCs w:val="22"/>
                <w:rtl/>
                <w:lang w:bidi="ar-EG"/>
              </w:rPr>
              <w:t>الاتفاق رقم 79 لسنة 2003</w:t>
            </w:r>
          </w:p>
        </w:tc>
        <w:tc>
          <w:tcPr>
            <w:tcW w:w="4917" w:type="dxa"/>
            <w:vAlign w:val="bottom"/>
          </w:tcPr>
          <w:p w:rsidR="00971AE2" w:rsidRPr="00254039" w:rsidRDefault="00971AE2" w:rsidP="00254039">
            <w:pPr>
              <w:tabs>
                <w:tab w:val="left" w:pos="288"/>
                <w:tab w:val="left" w:pos="576"/>
                <w:tab w:val="left" w:pos="864"/>
                <w:tab w:val="left" w:pos="1152"/>
              </w:tabs>
              <w:spacing w:before="40" w:after="80" w:line="240" w:lineRule="exact"/>
              <w:ind w:right="144"/>
              <w:jc w:val="lowKashida"/>
              <w:rPr>
                <w:rFonts w:hint="cs"/>
                <w:sz w:val="22"/>
                <w:szCs w:val="22"/>
                <w:rtl/>
                <w:lang w:bidi="ar-EG"/>
              </w:rPr>
            </w:pPr>
            <w:r w:rsidRPr="00254039">
              <w:rPr>
                <w:rFonts w:hint="cs"/>
                <w:sz w:val="22"/>
                <w:szCs w:val="22"/>
                <w:rtl/>
                <w:lang w:bidi="ar-EG"/>
              </w:rPr>
              <w:t>قانون شرطة بوغوتا</w:t>
            </w:r>
            <w:r w:rsidR="003D7EB4">
              <w:rPr>
                <w:rFonts w:hint="cs"/>
                <w:sz w:val="22"/>
                <w:szCs w:val="22"/>
                <w:rtl/>
                <w:lang w:bidi="ar-EG"/>
              </w:rPr>
              <w:t>،</w:t>
            </w:r>
            <w:r w:rsidRPr="00254039">
              <w:rPr>
                <w:rFonts w:hint="cs"/>
                <w:sz w:val="22"/>
                <w:szCs w:val="22"/>
                <w:rtl/>
                <w:lang w:bidi="ar-EG"/>
              </w:rPr>
              <w:t xml:space="preserve"> والدعارة لا تعتبر سلوكا إجراميا في كولومبيا</w:t>
            </w:r>
            <w:r w:rsidR="003D7EB4">
              <w:rPr>
                <w:rFonts w:hint="cs"/>
                <w:sz w:val="22"/>
                <w:szCs w:val="22"/>
                <w:rtl/>
                <w:lang w:bidi="ar-EG"/>
              </w:rPr>
              <w:t>،</w:t>
            </w:r>
            <w:r w:rsidRPr="00254039">
              <w:rPr>
                <w:rFonts w:hint="cs"/>
                <w:sz w:val="22"/>
                <w:szCs w:val="22"/>
                <w:rtl/>
                <w:lang w:bidi="ar-EG"/>
              </w:rPr>
              <w:t xml:space="preserve"> ويؤكد الفصل الرابع أنه ينبغي احترام الأشخاص الذين يمارسون البغاء، ويكرس مدونة سلوك الأشخاص الذين يمارسون البغاء والذين يستعملون خدماتهم</w:t>
            </w:r>
            <w:r w:rsidR="003D7EB4">
              <w:rPr>
                <w:rFonts w:hint="cs"/>
                <w:sz w:val="22"/>
                <w:szCs w:val="22"/>
                <w:rtl/>
                <w:lang w:bidi="ar-EG"/>
              </w:rPr>
              <w:t>،</w:t>
            </w:r>
            <w:r w:rsidRPr="00254039">
              <w:rPr>
                <w:rFonts w:hint="cs"/>
                <w:sz w:val="22"/>
                <w:szCs w:val="22"/>
                <w:rtl/>
                <w:lang w:bidi="ar-EG"/>
              </w:rPr>
              <w:t xml:space="preserve"> ويكرس مسؤولية مؤسسة التأمينات الاجتماعية والشروط التي ينبغي أن تستوفيها المنشآت التي يمارس فيها البغاء</w:t>
            </w:r>
            <w:r w:rsidRPr="00254039">
              <w:rPr>
                <w:rFonts w:hint="cs"/>
                <w:sz w:val="22"/>
                <w:szCs w:val="22"/>
                <w:vertAlign w:val="superscript"/>
                <w:rtl/>
                <w:lang w:bidi="ar-EG"/>
              </w:rPr>
              <w:t>(47)</w:t>
            </w:r>
            <w:r w:rsidR="003D7EB4">
              <w:rPr>
                <w:rFonts w:hint="cs"/>
                <w:sz w:val="22"/>
                <w:szCs w:val="22"/>
                <w:rtl/>
                <w:lang w:bidi="ar-EG"/>
              </w:rPr>
              <w:t>،</w:t>
            </w:r>
          </w:p>
        </w:tc>
      </w:tr>
      <w:tr w:rsidR="00971AE2" w:rsidRPr="00254039">
        <w:tblPrEx>
          <w:tblCellMar>
            <w:top w:w="0" w:type="dxa"/>
            <w:bottom w:w="0" w:type="dxa"/>
          </w:tblCellMar>
        </w:tblPrEx>
        <w:trPr>
          <w:cantSplit/>
        </w:trPr>
        <w:tc>
          <w:tcPr>
            <w:tcW w:w="2403" w:type="dxa"/>
            <w:tcBorders>
              <w:bottom w:val="single" w:sz="12" w:space="0" w:color="auto"/>
            </w:tcBorders>
          </w:tcPr>
          <w:p w:rsidR="00971AE2" w:rsidRPr="00254039" w:rsidRDefault="00971AE2" w:rsidP="00971AE2">
            <w:pPr>
              <w:tabs>
                <w:tab w:val="left" w:pos="288"/>
                <w:tab w:val="left" w:pos="576"/>
                <w:tab w:val="left" w:pos="864"/>
                <w:tab w:val="left" w:pos="1152"/>
              </w:tabs>
              <w:spacing w:before="40" w:after="80" w:line="240" w:lineRule="exact"/>
              <w:ind w:right="40"/>
              <w:jc w:val="left"/>
              <w:rPr>
                <w:rFonts w:hint="cs"/>
                <w:sz w:val="22"/>
                <w:szCs w:val="22"/>
                <w:rtl/>
                <w:lang w:bidi="ar-EG"/>
              </w:rPr>
            </w:pPr>
            <w:r w:rsidRPr="00254039">
              <w:rPr>
                <w:rFonts w:hint="cs"/>
                <w:sz w:val="22"/>
                <w:szCs w:val="22"/>
                <w:rtl/>
                <w:lang w:bidi="ar-EG"/>
              </w:rPr>
              <w:t>القانون رقم 880 لسنة 2004</w:t>
            </w:r>
          </w:p>
        </w:tc>
        <w:tc>
          <w:tcPr>
            <w:tcW w:w="4917" w:type="dxa"/>
            <w:tcBorders>
              <w:bottom w:val="single" w:sz="12" w:space="0" w:color="auto"/>
            </w:tcBorders>
            <w:vAlign w:val="bottom"/>
          </w:tcPr>
          <w:p w:rsidR="00971AE2" w:rsidRPr="00254039" w:rsidRDefault="00971AE2" w:rsidP="00254039">
            <w:pPr>
              <w:tabs>
                <w:tab w:val="left" w:pos="288"/>
                <w:tab w:val="left" w:pos="576"/>
                <w:tab w:val="left" w:pos="864"/>
                <w:tab w:val="left" w:pos="1152"/>
              </w:tabs>
              <w:spacing w:before="40" w:after="80" w:line="240" w:lineRule="exact"/>
              <w:ind w:right="144"/>
              <w:jc w:val="lowKashida"/>
              <w:rPr>
                <w:rFonts w:hint="cs"/>
                <w:sz w:val="22"/>
                <w:szCs w:val="22"/>
                <w:rtl/>
                <w:lang w:bidi="ar-EG"/>
              </w:rPr>
            </w:pPr>
            <w:r w:rsidRPr="00254039">
              <w:rPr>
                <w:rFonts w:hint="cs"/>
                <w:sz w:val="22"/>
                <w:szCs w:val="22"/>
                <w:rtl/>
                <w:lang w:bidi="ar-EG"/>
              </w:rPr>
              <w:t>يعتمد اتفاقية البلدان الأمريكية المتعلقة بالإعادة الدولية للقصر</w:t>
            </w:r>
            <w:r w:rsidR="003D7EB4">
              <w:rPr>
                <w:rFonts w:hint="cs"/>
                <w:sz w:val="22"/>
                <w:szCs w:val="22"/>
                <w:rtl/>
                <w:lang w:bidi="ar-EG"/>
              </w:rPr>
              <w:t>،</w:t>
            </w:r>
          </w:p>
        </w:tc>
      </w:tr>
    </w:tbl>
    <w:p w:rsidR="00971AE2" w:rsidRDefault="00971AE2" w:rsidP="00971AE2">
      <w:pPr>
        <w:pStyle w:val="SingleTxt"/>
        <w:spacing w:after="0" w:line="120" w:lineRule="exact"/>
        <w:jc w:val="left"/>
        <w:rPr>
          <w:sz w:val="10"/>
          <w:rtl/>
          <w:lang w:bidi="ar-EG"/>
        </w:rPr>
      </w:pPr>
    </w:p>
    <w:p w:rsidR="00971AE2" w:rsidRDefault="00580CE6" w:rsidP="00971AE2">
      <w:pPr>
        <w:pStyle w:val="SingleTxt"/>
        <w:jc w:val="left"/>
        <w:rPr>
          <w:rFonts w:hint="cs"/>
          <w:b/>
          <w:bCs/>
          <w:rtl/>
          <w:lang w:bidi="ar-EG"/>
        </w:rPr>
      </w:pPr>
      <w:r>
        <w:rPr>
          <w:b/>
          <w:bCs/>
          <w:rtl/>
          <w:lang w:bidi="ar-EG"/>
        </w:rPr>
        <w:br w:type="page"/>
      </w:r>
      <w:r w:rsidR="00971AE2">
        <w:rPr>
          <w:rFonts w:hint="cs"/>
          <w:b/>
          <w:bCs/>
          <w:rtl/>
          <w:lang w:bidi="ar-EG"/>
        </w:rPr>
        <w:t>المنجزات القضائية</w:t>
      </w:r>
    </w:p>
    <w:p w:rsidR="00971AE2" w:rsidRDefault="00971AE2" w:rsidP="00971AE2">
      <w:pPr>
        <w:pStyle w:val="SingleTxt"/>
        <w:jc w:val="left"/>
        <w:rPr>
          <w:rFonts w:hint="cs"/>
          <w:rtl/>
          <w:lang w:bidi="ar-EG"/>
        </w:rPr>
      </w:pPr>
      <w:r>
        <w:rPr>
          <w:rFonts w:hint="cs"/>
          <w:b/>
          <w:bCs/>
          <w:rtl/>
          <w:lang w:bidi="ar-EG"/>
        </w:rPr>
        <w:t xml:space="preserve">الحكم </w:t>
      </w:r>
      <w:r w:rsidRPr="00414A06">
        <w:rPr>
          <w:rFonts w:hint="cs"/>
          <w:rtl/>
        </w:rPr>
        <w:t xml:space="preserve">T </w:t>
      </w:r>
      <w:r>
        <w:rPr>
          <w:rFonts w:hint="cs"/>
          <w:b/>
          <w:bCs/>
          <w:rtl/>
          <w:lang w:bidi="ar-EG"/>
        </w:rPr>
        <w:t>- 342 لسنة 2003</w:t>
      </w:r>
      <w:r>
        <w:rPr>
          <w:rFonts w:hint="cs"/>
          <w:rtl/>
          <w:lang w:bidi="ar-EG"/>
        </w:rPr>
        <w:t>: المتعلق بجرائم اغتصاب فتيات قصر مصابات بأمراض جنسية، ولوالدهم الحق في الصحة لكنه لم يستوف شروط حصولهن على الحقوق وهن محرومات من هذا الحق؛ ومع ذلك فإن هذا يبين حالة فتيات قصر كثيرات معرضات للخطر في كولومبيا يعشن أيامهن مع أمهاتهن في بيوت للدعارة</w:t>
      </w:r>
      <w:r w:rsidR="003D7EB4">
        <w:rPr>
          <w:rFonts w:hint="cs"/>
          <w:rtl/>
          <w:lang w:bidi="ar-EG"/>
        </w:rPr>
        <w:t>،</w:t>
      </w:r>
    </w:p>
    <w:p w:rsidR="00971AE2" w:rsidRDefault="00971AE2" w:rsidP="00971AE2">
      <w:pPr>
        <w:pStyle w:val="SingleTxt"/>
        <w:jc w:val="left"/>
        <w:rPr>
          <w:rFonts w:hint="cs"/>
          <w:rtl/>
          <w:lang w:bidi="ar-EG"/>
        </w:rPr>
      </w:pPr>
      <w:r>
        <w:rPr>
          <w:rFonts w:hint="cs"/>
          <w:b/>
          <w:bCs/>
          <w:rtl/>
          <w:lang w:bidi="ar-EG"/>
        </w:rPr>
        <w:t xml:space="preserve">الحكم </w:t>
      </w:r>
      <w:r w:rsidRPr="00414A06">
        <w:rPr>
          <w:rFonts w:hint="cs"/>
          <w:rtl/>
        </w:rPr>
        <w:t>C -</w:t>
      </w:r>
      <w:r>
        <w:rPr>
          <w:rFonts w:hint="cs"/>
          <w:b/>
          <w:bCs/>
          <w:rtl/>
          <w:lang w:bidi="ar-EG"/>
        </w:rPr>
        <w:t xml:space="preserve"> 318 لسنة 2003</w:t>
      </w:r>
      <w:r>
        <w:rPr>
          <w:rFonts w:hint="cs"/>
          <w:rtl/>
          <w:lang w:bidi="ar-EG"/>
        </w:rPr>
        <w:t>: أعلن دستورية القانون رقم 765 لسنة 2002 والبروتوكول الاختياري لاتفاقية حقوق الطفل</w:t>
      </w:r>
      <w:r w:rsidR="003D7EB4">
        <w:rPr>
          <w:rFonts w:hint="cs"/>
          <w:rtl/>
          <w:lang w:bidi="ar-EG"/>
        </w:rPr>
        <w:t>،</w:t>
      </w:r>
      <w:r>
        <w:rPr>
          <w:rFonts w:hint="cs"/>
          <w:rtl/>
          <w:lang w:bidi="ar-EG"/>
        </w:rPr>
        <w:t xml:space="preserve"> والاعتبارات الواردة في التحليل المادي للبروتوكول في غاية الأهمية فيما يتعلق بالجرائم المرتكبة ضد القصر</w:t>
      </w:r>
      <w:r w:rsidR="003D7EB4">
        <w:rPr>
          <w:rFonts w:hint="cs"/>
          <w:rtl/>
          <w:lang w:bidi="ar-EG"/>
        </w:rPr>
        <w:t>،</w:t>
      </w:r>
    </w:p>
    <w:p w:rsidR="00580CE6" w:rsidRPr="00580CE6" w:rsidRDefault="00580CE6" w:rsidP="00580CE6">
      <w:pPr>
        <w:pStyle w:val="SingleTxt"/>
        <w:spacing w:after="0" w:line="120" w:lineRule="exact"/>
        <w:jc w:val="left"/>
        <w:rPr>
          <w:b/>
          <w:bCs/>
          <w:sz w:val="10"/>
          <w:rtl/>
          <w:lang w:bidi="ar-EG"/>
        </w:rPr>
      </w:pPr>
    </w:p>
    <w:p w:rsidR="00580CE6" w:rsidRPr="00580CE6" w:rsidRDefault="00580CE6" w:rsidP="00580CE6">
      <w:pPr>
        <w:pStyle w:val="SingleTxt"/>
        <w:spacing w:after="0" w:line="120" w:lineRule="exact"/>
        <w:jc w:val="left"/>
        <w:rPr>
          <w:b/>
          <w:bCs/>
          <w:sz w:val="10"/>
          <w:rtl/>
          <w:lang w:bidi="ar-EG"/>
        </w:rPr>
      </w:pPr>
    </w:p>
    <w:p w:rsidR="00971AE2" w:rsidRDefault="00971AE2" w:rsidP="00971AE2">
      <w:pPr>
        <w:pStyle w:val="SingleTxt"/>
        <w:jc w:val="left"/>
        <w:rPr>
          <w:rFonts w:hint="cs"/>
          <w:b/>
          <w:bCs/>
          <w:u w:val="single"/>
          <w:rtl/>
          <w:lang w:bidi="ar-EG"/>
        </w:rPr>
      </w:pPr>
      <w:r>
        <w:rPr>
          <w:rFonts w:hint="cs"/>
          <w:b/>
          <w:bCs/>
          <w:u w:val="single"/>
          <w:rtl/>
          <w:lang w:bidi="ar-EG"/>
        </w:rPr>
        <w:t>التوصية الخاصة رقم 10: اللجنة المشتركة بين المؤسسات لمكافحة الاتجار بالنساء والأطفال</w:t>
      </w:r>
    </w:p>
    <w:p w:rsidR="00971AE2" w:rsidRDefault="00971AE2" w:rsidP="00A343DF">
      <w:pPr>
        <w:pStyle w:val="SingleTxt"/>
        <w:rPr>
          <w:rFonts w:hint="cs"/>
          <w:rtl/>
          <w:lang w:bidi="ar-EG"/>
        </w:rPr>
      </w:pPr>
      <w:r>
        <w:rPr>
          <w:rFonts w:hint="cs"/>
          <w:rtl/>
          <w:lang w:bidi="ar-EG"/>
        </w:rPr>
        <w:tab/>
        <w:t>أنشئت اللجنة المشتركة بين المؤسسات لمكافحة الاتجار بالنساء والأطفال بموجب المرسوم 1974 لسنة 1996، بوصفها هيئة استشارية للحكومة الوطنية وجهازا لتنسيق الإجراءات التي تتخذها الدولة الكولومبية لمكافحة الاتجار بالنساء والأطفال واستغلالهم والاعتداء الجنسي عليهم</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t>وتتألف اللجنة المشتركة بين المؤسسات لمكافحة الاتجار مما يلي:</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وزير العدل والقانون أو نائبه، الذي يرأس اللجنة</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 xml:space="preserve">رئيس مجلس إدارة </w:t>
      </w:r>
      <w:r>
        <w:rPr>
          <w:rFonts w:hint="cs"/>
          <w:rtl/>
        </w:rPr>
        <w:t>المؤسسة الكولومبية للرعاية الأسرية</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r>
      <w:r>
        <w:rPr>
          <w:rFonts w:hint="cs"/>
          <w:rtl/>
        </w:rPr>
        <w:t>وزير الخارجية أو نائب وزير الخارجية المعني بالمجتمعات الكولومبية في الخارج وبالشؤون القنصلية</w:t>
      </w:r>
      <w:r w:rsidR="003D7EB4">
        <w:rPr>
          <w:rFonts w:hint="cs"/>
          <w:rtl/>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المدير العام ل</w:t>
      </w:r>
      <w:r>
        <w:rPr>
          <w:rtl/>
          <w:lang w:bidi="ar-EG"/>
        </w:rPr>
        <w:t>لإدارة التنظيمية للشؤون الأمنية</w:t>
      </w:r>
      <w:r>
        <w:rPr>
          <w:rFonts w:hint="cs"/>
          <w:rtl/>
          <w:lang w:bidi="ar-EG"/>
        </w:rPr>
        <w:t xml:space="preserve"> أو نائب المدير العام</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المدير العام أو المفتش العام للشرطة الوطنية</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المدعي العام للأمة أو مدير مكتب الشؤون الدولية أو المدير القطاعي للمدعين في بوغوتا</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المدعي العام للأمة أو المدعية المفوضة لشؤون الطفولة والأسرة</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محامي الشعب أو المحامي المفوض لشؤون الطفولة والمرأة والمسنين</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المسجل الوطني للأحوال المدنية أو الأمين العام للأحوال المدنية</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مدير البرنامج الرئاسي للدفاع عن الحرية الشخصية أو الأمين الفني</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المدير العام لمكتب المنظمة الدولية للشرطة الجنائية في كولومبيا</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المدير العام للمؤسسة الكولومبية للرعاية الأسرية أو نائب المدير المعني بالحماية</w:t>
      </w:r>
      <w:r w:rsidR="003D7EB4">
        <w:rPr>
          <w:rFonts w:hint="cs"/>
          <w:rtl/>
          <w:lang w:bidi="ar-EG"/>
        </w:rPr>
        <w:t>،</w:t>
      </w:r>
    </w:p>
    <w:p w:rsidR="00971AE2" w:rsidRDefault="00971AE2" w:rsidP="00971A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jc w:val="left"/>
        <w:rPr>
          <w:rFonts w:hint="cs"/>
          <w:rtl/>
          <w:lang w:bidi="ar-EG"/>
        </w:rPr>
      </w:pPr>
      <w:r>
        <w:rPr>
          <w:rFonts w:hint="cs"/>
          <w:rtl/>
          <w:lang w:bidi="ar-EG"/>
        </w:rPr>
        <w:tab/>
        <w:t>-</w:t>
      </w:r>
      <w:r>
        <w:rPr>
          <w:rFonts w:hint="cs"/>
          <w:rtl/>
          <w:lang w:bidi="ar-EG"/>
        </w:rPr>
        <w:tab/>
        <w:t>مستشارة رئيس الجمهورية المعنية بالمساواة بين الرجل والمرأة أو القائم بأعمالها</w:t>
      </w:r>
      <w:r w:rsidR="003D7EB4">
        <w:rPr>
          <w:rFonts w:hint="cs"/>
          <w:rtl/>
          <w:lang w:bidi="ar-EG"/>
        </w:rPr>
        <w:t>،</w:t>
      </w:r>
    </w:p>
    <w:p w:rsidR="00971AE2" w:rsidRDefault="00971AE2" w:rsidP="00971AE2">
      <w:pPr>
        <w:pStyle w:val="SingleTxt"/>
        <w:jc w:val="left"/>
        <w:rPr>
          <w:rFonts w:hint="cs"/>
          <w:rtl/>
          <w:lang w:bidi="ar-EG"/>
        </w:rPr>
      </w:pPr>
      <w:r>
        <w:rPr>
          <w:rFonts w:hint="cs"/>
          <w:rtl/>
        </w:rPr>
        <w:tab/>
        <w:t>وتعمل اللجنة على رسم استراتيجية وطنية لمكافحة الاتجار بالأشخاص</w:t>
      </w:r>
      <w:r w:rsidR="003D7EB4">
        <w:rPr>
          <w:rFonts w:hint="cs"/>
          <w:rtl/>
        </w:rPr>
        <w:t>،</w:t>
      </w:r>
      <w:r>
        <w:rPr>
          <w:rFonts w:hint="cs"/>
          <w:rtl/>
        </w:rPr>
        <w:t xml:space="preserve"> وكولومبيا والبرازيل والجمهورية الدومينيكية هي البلدان الثلاثة الأكثر تضررا بالاتجار بالأشخاص في المنطقة، ومع ذلك فإنها أيضا أحد البلدان الأكثر تقدما في مكافحة هذه الجريمة</w:t>
      </w:r>
      <w:r w:rsidR="003D7EB4">
        <w:rPr>
          <w:rFonts w:hint="cs"/>
          <w:rtl/>
        </w:rPr>
        <w:t>،</w:t>
      </w:r>
      <w:r>
        <w:rPr>
          <w:rFonts w:hint="cs"/>
          <w:rtl/>
        </w:rPr>
        <w:t xml:space="preserve"> وقد أكد التقرير السنوي لوزارة خارجية الولايات المتحدة الصادر في 12 تموز/يوليه 2001 أنه على الرغم من أن كولومبيا لا تملك الموارد والمؤسسات الكافية فإنها هي البلد الوحيد في المنطقة الذي يطبق المعايير المقررة للكفاح من أجل القضاء على الاتجار بالأشخاص</w:t>
      </w:r>
      <w:r>
        <w:rPr>
          <w:rFonts w:hint="cs"/>
          <w:vertAlign w:val="superscript"/>
          <w:rtl/>
          <w:lang w:bidi="ar-EG"/>
        </w:rPr>
        <w:t>(48)</w:t>
      </w:r>
      <w:r>
        <w:rPr>
          <w:rFonts w:hint="cs"/>
          <w:rtl/>
          <w:lang w:bidi="ar-EG"/>
        </w:rPr>
        <w:t xml:space="preserve"> </w:t>
      </w:r>
    </w:p>
    <w:p w:rsidR="00971AE2" w:rsidRDefault="00971AE2" w:rsidP="00A343DF">
      <w:pPr>
        <w:pStyle w:val="SingleTxt"/>
        <w:rPr>
          <w:rFonts w:hint="cs"/>
          <w:rtl/>
          <w:lang w:bidi="ar-EG"/>
        </w:rPr>
      </w:pPr>
      <w:r>
        <w:rPr>
          <w:rFonts w:hint="cs"/>
          <w:rtl/>
          <w:lang w:bidi="ar-EG"/>
        </w:rPr>
        <w:tab/>
      </w:r>
      <w:r>
        <w:rPr>
          <w:rFonts w:hint="cs"/>
          <w:u w:val="single"/>
          <w:rtl/>
          <w:lang w:bidi="ar-EG"/>
        </w:rPr>
        <w:t>ومكتب المدعي العام</w:t>
      </w:r>
      <w:r>
        <w:rPr>
          <w:rFonts w:hint="cs"/>
          <w:u w:val="single"/>
          <w:vertAlign w:val="superscript"/>
          <w:rtl/>
          <w:lang w:bidi="ar-EG"/>
        </w:rPr>
        <w:t>(49)</w:t>
      </w:r>
      <w:r>
        <w:rPr>
          <w:rFonts w:hint="cs"/>
          <w:u w:val="single"/>
          <w:rtl/>
          <w:lang w:bidi="ar-EG"/>
        </w:rPr>
        <w:t xml:space="preserve"> على اتصال مستمر، عن طريق مكتب الشؤون الدولية و</w:t>
      </w:r>
      <w:r>
        <w:rPr>
          <w:u w:val="single"/>
          <w:rtl/>
          <w:lang w:bidi="ar-EG"/>
        </w:rPr>
        <w:t>الإدارة التنظيمية للشؤون الأمنية</w:t>
      </w:r>
      <w:r>
        <w:rPr>
          <w:rFonts w:hint="cs"/>
          <w:u w:val="single"/>
          <w:rtl/>
          <w:lang w:bidi="ar-EG"/>
        </w:rPr>
        <w:t>/ المنظمة الدولية للشرطة الجنائية</w:t>
      </w:r>
      <w:r>
        <w:rPr>
          <w:rFonts w:hint="cs"/>
          <w:u w:val="single"/>
          <w:vertAlign w:val="superscript"/>
          <w:rtl/>
          <w:lang w:bidi="ar-EG"/>
        </w:rPr>
        <w:t>(50)</w:t>
      </w:r>
      <w:r>
        <w:rPr>
          <w:rFonts w:hint="cs"/>
          <w:u w:val="single"/>
          <w:rtl/>
          <w:lang w:bidi="ar-EG"/>
        </w:rPr>
        <w:t>، وله قنوات اتصال مباشر بـ 180 بلدا من البلدان الأعضاء في المنظمة الدولية للشرطة الجنائية بهدف تبادل المعلومات البوليسية والقضائية مع هذه السلطات في البلدان الأعضاء</w:t>
      </w:r>
      <w:r w:rsidR="003D7EB4">
        <w:rPr>
          <w:rFonts w:hint="cs"/>
          <w:rtl/>
          <w:lang w:bidi="ar-EG"/>
        </w:rPr>
        <w:t>،</w:t>
      </w:r>
    </w:p>
    <w:p w:rsidR="00971AE2" w:rsidRDefault="00971AE2" w:rsidP="00971AE2">
      <w:pPr>
        <w:pStyle w:val="SingleTxt"/>
        <w:jc w:val="left"/>
        <w:rPr>
          <w:rFonts w:hint="cs"/>
          <w:rtl/>
          <w:lang w:bidi="ar-EG"/>
        </w:rPr>
      </w:pPr>
      <w:r>
        <w:rPr>
          <w:rFonts w:hint="cs"/>
          <w:rtl/>
          <w:lang w:bidi="ar-EG"/>
        </w:rPr>
        <w:tab/>
        <w:t>ويعد مكتب المدعي العام سجلا خاصا لقضايا الاتجار بالأشخاص ويعقد دورات تدريبية عن الأدلة الفنية والإدارة العلمية للقرارات القضائية</w:t>
      </w:r>
      <w:r w:rsidR="003D7EB4">
        <w:rPr>
          <w:rFonts w:hint="cs"/>
          <w:rtl/>
          <w:lang w:bidi="ar-EG"/>
        </w:rPr>
        <w:t>،</w:t>
      </w:r>
      <w:r>
        <w:rPr>
          <w:rFonts w:hint="cs"/>
          <w:rtl/>
          <w:lang w:bidi="ar-EG"/>
        </w:rPr>
        <w:t xml:space="preserve"> ويمكن إبلاغ مكتب المدعي العام بجرائم الاتجار بالأشخاص أو تهريبهم، ولبدء التحقيقات ذات الصلة</w:t>
      </w:r>
      <w:r w:rsidR="003D7EB4">
        <w:rPr>
          <w:rFonts w:hint="cs"/>
          <w:rtl/>
          <w:lang w:bidi="ar-EG"/>
        </w:rPr>
        <w:t>،</w:t>
      </w:r>
    </w:p>
    <w:p w:rsidR="00971AE2" w:rsidRDefault="00971AE2" w:rsidP="00A343DF">
      <w:pPr>
        <w:pStyle w:val="SingleTxt"/>
        <w:rPr>
          <w:rFonts w:hint="cs"/>
          <w:rtl/>
          <w:lang w:bidi="ar-EG"/>
        </w:rPr>
      </w:pPr>
      <w:r>
        <w:rPr>
          <w:rFonts w:hint="cs"/>
          <w:rtl/>
          <w:lang w:bidi="ar-EG"/>
        </w:rPr>
        <w:tab/>
      </w:r>
      <w:r>
        <w:rPr>
          <w:rFonts w:hint="cs"/>
          <w:u w:val="single"/>
          <w:rtl/>
          <w:lang w:bidi="ar-EG"/>
        </w:rPr>
        <w:t xml:space="preserve">بدأت </w:t>
      </w:r>
      <w:r>
        <w:rPr>
          <w:u w:val="single"/>
          <w:rtl/>
          <w:lang w:bidi="ar-EG"/>
        </w:rPr>
        <w:t>الإدارة التنظيمية للشؤون الأمنية</w:t>
      </w:r>
      <w:r>
        <w:rPr>
          <w:rFonts w:hint="cs"/>
          <w:u w:val="single"/>
          <w:rtl/>
          <w:lang w:bidi="ar-EG"/>
        </w:rPr>
        <w:t>/ المنظمة الدولية للشرطة الجنائية حملات للتوعية في مختلف مناطق البلد وفي المؤسسات التعليمية والهيئات الحكومية</w:t>
      </w:r>
      <w:r w:rsidR="003D7EB4">
        <w:rPr>
          <w:rFonts w:hint="cs"/>
          <w:u w:val="single"/>
          <w:rtl/>
          <w:lang w:bidi="ar-EG"/>
        </w:rPr>
        <w:t>،</w:t>
      </w:r>
      <w:r>
        <w:rPr>
          <w:rFonts w:hint="cs"/>
          <w:u w:val="single"/>
          <w:rtl/>
          <w:lang w:bidi="ar-EG"/>
        </w:rPr>
        <w:t xml:space="preserve"> وفي سنة 1999 بدأت استراتيجية لشن حملات وقائية على المستوى الوطني، لا سيما في المناطق التي حُددت باعتبارها الأشد تعرضا للخطر</w:t>
      </w:r>
      <w:r w:rsidR="003D7EB4">
        <w:rPr>
          <w:rFonts w:hint="cs"/>
          <w:u w:val="single"/>
          <w:rtl/>
          <w:lang w:bidi="ar-EG"/>
        </w:rPr>
        <w:t>،</w:t>
      </w:r>
      <w:r>
        <w:rPr>
          <w:rFonts w:hint="cs"/>
          <w:u w:val="single"/>
          <w:rtl/>
          <w:lang w:bidi="ar-EG"/>
        </w:rPr>
        <w:t xml:space="preserve"> وذلك الحديث عن الاعتداء الجنسي على القصر والاتجار بالأشخاص موجه بصورة رئيسية إلى المعلمين ومندوبي مفوضيات شؤون الأسرة والموجهين والأمهات المجتمعيات وبصورة رئيسية إلى طلبة الجامعات الذين على وشك التخرج</w:t>
      </w:r>
      <w:r w:rsidR="003D7EB4">
        <w:rPr>
          <w:rFonts w:hint="cs"/>
          <w:u w:val="single"/>
          <w:rtl/>
          <w:lang w:bidi="ar-EG"/>
        </w:rPr>
        <w:t>،</w:t>
      </w:r>
      <w:r>
        <w:rPr>
          <w:rFonts w:hint="cs"/>
          <w:u w:val="single"/>
          <w:rtl/>
          <w:lang w:bidi="ar-EG"/>
        </w:rPr>
        <w:t xml:space="preserve"> وفي هذه الدورات تم أيضا إلى جانب توعية السكان الحصول على معلومات ذات صلة لإحراز تقدم في التحقيقات لإنقاذ الضحايا والقضاء على شبكات الاتجار بالأشخاص</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ab/>
        <w:t xml:space="preserve">وقد قامت الهيئة الاستشارية لرئيس الجمهورية فيما يتعلق بالمساواة بين الرجل والمرأة بعملية توعية وتدريب بالاتفاق مع </w:t>
      </w:r>
      <w:r>
        <w:rPr>
          <w:rFonts w:hint="cs"/>
          <w:b/>
          <w:bCs/>
          <w:rtl/>
        </w:rPr>
        <w:t>المنظمة الدولية للهجرة</w:t>
      </w:r>
      <w:r w:rsidR="003D7EB4">
        <w:rPr>
          <w:rFonts w:hint="cs"/>
          <w:b/>
          <w:bCs/>
          <w:rtl/>
          <w:lang w:bidi="ar-EG"/>
        </w:rPr>
        <w:t>،</w:t>
      </w:r>
      <w:r>
        <w:rPr>
          <w:rFonts w:hint="cs"/>
          <w:b/>
          <w:bCs/>
          <w:rtl/>
          <w:lang w:bidi="ar-EG"/>
        </w:rPr>
        <w:t xml:space="preserve"> وفي تنفيذ عملية النشر أُرسلت معلومات (قرص مضغوط) إلى 095 1 عمدة و 32 هيئة من هيئات الحكم المحلي</w:t>
      </w:r>
      <w:r w:rsidR="003D7EB4">
        <w:rPr>
          <w:rFonts w:hint="cs"/>
          <w:b/>
          <w:bCs/>
          <w:rtl/>
          <w:lang w:bidi="ar-EG"/>
        </w:rPr>
        <w:t>،</w:t>
      </w:r>
      <w:r>
        <w:rPr>
          <w:rFonts w:hint="cs"/>
          <w:b/>
          <w:bCs/>
          <w:rtl/>
          <w:lang w:bidi="ar-EG"/>
        </w:rPr>
        <w:t xml:space="preserve"> ويوجد في 9 مدن برنامج تدريب منسق بشأن هذا الموضوع</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ومنذ نيسان/أبريل 2001 قامت وزارة العدل والقانون (وزارة الداخلية/العدل حاليا) ومؤسسة الأمل ومعهد الأمم المتحدة للنهوض بالمرأة بتنفيذ مشروع وقائي لتدريب الموظفين الحكوميين والزعماء المجتمعيين فيما يتعلق بموضوع الاتجار بالأشخاص</w:t>
      </w:r>
      <w:r w:rsidR="003D7EB4">
        <w:rPr>
          <w:rFonts w:hint="cs"/>
          <w:b/>
          <w:bCs/>
          <w:rtl/>
          <w:lang w:bidi="ar-EG"/>
        </w:rPr>
        <w:t>،</w:t>
      </w:r>
      <w:r>
        <w:rPr>
          <w:rFonts w:hint="cs"/>
          <w:b/>
          <w:bCs/>
          <w:rtl/>
          <w:lang w:bidi="ar-EG"/>
        </w:rPr>
        <w:t xml:space="preserve"> والهدف من هذا المشروع هو الدفاع عن حقوق الإنسان، ولا سيما حقوق الإنسان للنساء والأطفال، حتى لا يقعوا ضحايا للاتجار بالأشخاص، وكذلك صون كرامة وحقوق الأشخاص ضحايا الاتجار</w:t>
      </w:r>
      <w:r>
        <w:rPr>
          <w:rFonts w:hint="cs"/>
          <w:b/>
          <w:bCs/>
          <w:vertAlign w:val="superscript"/>
          <w:rtl/>
          <w:lang w:bidi="ar-EG"/>
        </w:rPr>
        <w:t>(51)</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ووُقع اتفاق بين وزارة الداخلية/العدل ومكتب الأمم المتحدة المعني بالمخدرات والجريمة بهدف مساعدة السلطات الكولومبية على وضع وتنفيذ استراتيجية وطنية متكاملة لمكافحة الاتجار بالأشخاص ودعم النظام القضائي في جميع هذه الحالات والتحقيق والفصل في هذه القضايا</w:t>
      </w:r>
      <w:r w:rsidR="003D7EB4">
        <w:rPr>
          <w:rFonts w:hint="cs"/>
          <w:rtl/>
          <w:lang w:bidi="ar-EG"/>
        </w:rPr>
        <w:t>،</w:t>
      </w:r>
      <w:r>
        <w:rPr>
          <w:rFonts w:hint="cs"/>
          <w:rtl/>
          <w:lang w:bidi="ar-EG"/>
        </w:rPr>
        <w:t xml:space="preserve"> وبالمثل يرمي هذا المشروع إلى وضع وتنفيذ اتفاقات تعاون إقليمي ودولي وكذلك تدريب السلطات المختصة في مجالات مثل الحظر والتحقيق وحماية الضحايا والشهود، وشن حملات توعية ووقاية في المناطق الشديدة التعرض للخطر في البلد</w:t>
      </w:r>
      <w:r>
        <w:rPr>
          <w:rFonts w:hint="cs"/>
          <w:vertAlign w:val="superscript"/>
          <w:rtl/>
          <w:lang w:bidi="ar-EG"/>
        </w:rPr>
        <w:t>(52)</w:t>
      </w:r>
      <w:r w:rsidR="003D7EB4">
        <w:rPr>
          <w:rFonts w:hint="cs"/>
          <w:rtl/>
          <w:lang w:bidi="ar-EG"/>
        </w:rPr>
        <w:t>،</w:t>
      </w:r>
      <w:r>
        <w:rPr>
          <w:rFonts w:hint="cs"/>
          <w:rtl/>
          <w:lang w:bidi="ar-EG"/>
        </w:rPr>
        <w:t xml:space="preserve"> وقامت مفوضة شؤون القصر والأسرة التابعة لمكتب المدعي العام بالاشتراك مع مكتب الأمم المتحدة لمكافحة المخدرات والمنظمة الدولية للهجرة بتدريب عدة مهنيين ومساعدين للمفوضة وممثلي الإدعاء  في محاكم شؤون الأسرة في موضوع الاتجار بالأشخاص</w:t>
      </w:r>
      <w:r w:rsidR="003D7EB4">
        <w:rPr>
          <w:rFonts w:hint="cs"/>
          <w:rtl/>
          <w:lang w:bidi="ar-EG"/>
        </w:rPr>
        <w:t>،</w:t>
      </w:r>
      <w:r>
        <w:rPr>
          <w:rFonts w:hint="cs"/>
          <w:rtl/>
          <w:lang w:bidi="ar-EG"/>
        </w:rPr>
        <w:t xml:space="preserve"> كما جرى التنسيق مع </w:t>
      </w:r>
      <w:r>
        <w:rPr>
          <w:rFonts w:hint="cs"/>
          <w:rtl/>
        </w:rPr>
        <w:t xml:space="preserve">المنظمة الدولية للهجرة </w:t>
      </w:r>
      <w:r>
        <w:rPr>
          <w:rFonts w:hint="cs"/>
          <w:rtl/>
          <w:lang w:bidi="ar-EG"/>
        </w:rPr>
        <w:t>بشأن عقد حلقات تدريبية إقليمية عن هذا الموضوع لصالح وكلاء النيابة و </w:t>
      </w:r>
      <w:r>
        <w:t>CTI</w:t>
      </w:r>
      <w:r>
        <w:rPr>
          <w:rFonts w:hint="cs"/>
          <w:rtl/>
          <w:lang w:bidi="ar-EG"/>
        </w:rPr>
        <w:t xml:space="preserve"> وممثلي الإدعاء في محاكم شؤون الأسرة وفي المحاكم الجنائية ووكالاء الخصوم ومحاميي الشؤون الأسرية والقضاة والشرطة و </w:t>
      </w:r>
      <w:r>
        <w:rPr>
          <w:rtl/>
          <w:lang w:bidi="ar-EG"/>
        </w:rPr>
        <w:t>الإدارة التنظيمية للشؤون الأمنية</w:t>
      </w:r>
      <w:r w:rsidR="003D7EB4">
        <w:rPr>
          <w:rFonts w:hint="cs"/>
          <w:rtl/>
          <w:lang w:bidi="ar-EG"/>
        </w:rPr>
        <w:t>،</w:t>
      </w:r>
    </w:p>
    <w:p w:rsidR="00971AE2" w:rsidRDefault="00971AE2" w:rsidP="00A343DF">
      <w:pPr>
        <w:pStyle w:val="SingleTxt"/>
        <w:rPr>
          <w:rFonts w:hint="cs"/>
          <w:rtl/>
          <w:lang w:bidi="ar-EG"/>
        </w:rPr>
      </w:pPr>
      <w:r>
        <w:rPr>
          <w:rFonts w:hint="cs"/>
          <w:rtl/>
          <w:lang w:bidi="ar-EG"/>
        </w:rPr>
        <w:tab/>
        <w:t>وفي 6 تشرين الثاني/نوفمبر 2003، وُقع اتفاق فني بين مكتب المحامي العام والمنظمة الدولية للهجرة بهدف تقوية ما تقوم به المؤسسات الكولومبية من أعمال المنع وتقديم المساعدة وتوفير الحماية والتدريب وإعادة إدماج ضحايا الاتجار بالأشخاص في المجتمع وكذلك أعمال الكشف عن هذه الجريمة والتحقيق فيها وقمعها، كما وُقع اتفاق إضافي للتنسيق بين المؤسسات لكي يقدم المحامي العام للأمة الرعاية المتكاملة لضحايا العنف الجنسي</w:t>
      </w:r>
      <w:r w:rsidR="003D7EB4">
        <w:rPr>
          <w:rFonts w:hint="cs"/>
          <w:rtl/>
          <w:lang w:bidi="ar-EG"/>
        </w:rPr>
        <w:t>،</w:t>
      </w:r>
    </w:p>
    <w:p w:rsidR="00971AE2" w:rsidRDefault="00971AE2" w:rsidP="00A343DF">
      <w:pPr>
        <w:pStyle w:val="SingleTxt"/>
        <w:rPr>
          <w:rFonts w:hint="cs"/>
          <w:b/>
          <w:bCs/>
          <w:rtl/>
          <w:lang w:bidi="ar-EG"/>
        </w:rPr>
      </w:pPr>
      <w:r>
        <w:rPr>
          <w:rFonts w:hint="cs"/>
          <w:rtl/>
          <w:lang w:bidi="ar-EG"/>
        </w:rPr>
        <w:tab/>
      </w:r>
      <w:r>
        <w:rPr>
          <w:rFonts w:hint="cs"/>
          <w:b/>
          <w:bCs/>
          <w:rtl/>
          <w:lang w:bidi="ar-EG"/>
        </w:rPr>
        <w:t xml:space="preserve">وأُنشئ بالاشتراك بين وزارة الرعاية الاجتماعية ووزارة الخارجية </w:t>
      </w:r>
      <w:r>
        <w:rPr>
          <w:rFonts w:hint="cs"/>
          <w:rtl/>
          <w:lang w:bidi="ar-EG"/>
        </w:rPr>
        <w:t>والمنظمة الدولية للهجرة</w:t>
      </w:r>
      <w:r>
        <w:rPr>
          <w:rFonts w:hint="cs"/>
          <w:b/>
          <w:bCs/>
          <w:rtl/>
          <w:lang w:bidi="ar-EG"/>
        </w:rPr>
        <w:t xml:space="preserve"> والهيئة الاستشارية لرئيس الجمهورية فيما يتعلق بالمساواة بين الرجل والمرأة مكتب عمل أصدر عدة توصيات بشأن الاتجار بالأشخاص</w:t>
      </w:r>
      <w:r>
        <w:rPr>
          <w:rFonts w:hint="cs"/>
          <w:b/>
          <w:bCs/>
          <w:vertAlign w:val="superscript"/>
          <w:rtl/>
          <w:lang w:bidi="ar-EG"/>
        </w:rPr>
        <w:t>(53)</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 xml:space="preserve">وتقوم </w:t>
      </w:r>
      <w:r>
        <w:rPr>
          <w:rFonts w:hint="eastAsia"/>
          <w:rtl/>
          <w:lang w:bidi="ar-EG"/>
        </w:rPr>
        <w:t xml:space="preserve">الجمعية الإنسانية </w:t>
      </w:r>
      <w:r>
        <w:rPr>
          <w:rFonts w:hint="cs"/>
          <w:rtl/>
          <w:lang w:bidi="ar-EG"/>
        </w:rPr>
        <w:t>باستمرار برصد الإعلانات المبوبة التي تُنشر في الصحف وصالات الرقص والمراكز التعليمية وصالات القمار ووكالات الزواج والدعارة الشخصية وجميع أنواع الأنشطة التي تُستخدم كواجهة تخفي وراءها المتاجرين بالأشخاص</w:t>
      </w:r>
      <w:r>
        <w:rPr>
          <w:rFonts w:hint="cs"/>
          <w:vertAlign w:val="superscript"/>
          <w:rtl/>
          <w:lang w:bidi="ar-EG"/>
        </w:rPr>
        <w:t>(54)</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ومن أجل العناية بالبلاغات المتعلقة بحالات استخدام الأطفال في التصوير الإباحي توجد صفحة على الشبكة العالمية </w:t>
      </w:r>
      <w:r>
        <w:t>(www</w:t>
      </w:r>
      <w:r w:rsidR="003D7EB4">
        <w:rPr>
          <w:rtl/>
        </w:rPr>
        <w:t>،</w:t>
      </w:r>
      <w:r>
        <w:t>dignidadinfatil</w:t>
      </w:r>
      <w:r w:rsidR="003D7EB4">
        <w:rPr>
          <w:rtl/>
        </w:rPr>
        <w:t>،</w:t>
      </w:r>
      <w:r>
        <w:t>gov</w:t>
      </w:r>
      <w:r w:rsidR="003D7EB4">
        <w:rPr>
          <w:rtl/>
        </w:rPr>
        <w:t>،</w:t>
      </w:r>
      <w:r>
        <w:t>co)</w:t>
      </w:r>
      <w:r>
        <w:rPr>
          <w:rFonts w:hint="cs"/>
          <w:rtl/>
          <w:lang w:bidi="ar-EG"/>
        </w:rPr>
        <w:t xml:space="preserve"> تابعة لوزارة الاتصالات</w:t>
      </w:r>
      <w:r w:rsidR="003D7EB4">
        <w:rPr>
          <w:rFonts w:hint="cs"/>
          <w:rtl/>
          <w:lang w:bidi="ar-EG"/>
        </w:rPr>
        <w:t>،</w:t>
      </w:r>
    </w:p>
    <w:p w:rsidR="00971AE2" w:rsidRDefault="00971AE2" w:rsidP="00A343DF">
      <w:pPr>
        <w:pStyle w:val="SingleTxt"/>
        <w:rPr>
          <w:rFonts w:hint="cs"/>
          <w:rtl/>
          <w:lang w:bidi="ar-EG"/>
        </w:rPr>
      </w:pPr>
      <w:r>
        <w:rPr>
          <w:rFonts w:hint="cs"/>
          <w:rtl/>
          <w:lang w:bidi="ar-EG"/>
        </w:rPr>
        <w:tab/>
        <w:t>ووُضعت خطة أحياء بوغوتا للعناية بمشكلة الاستغلال الجنسي للقصر ووُضع بروتوكول لتوفير الاهتمام الوافي بالبلاغات الواردة عن الجرائم الجنسية ودليل العناية بالجرائم الجنسية المحتملة وتحديدها، من جانب مجلس أحياء بوغوتا من أجل الرعاية المتكاملة للأطفال ضحايا الاعتداء الجنسي والاستغلال الجنسي</w:t>
      </w:r>
      <w:r w:rsidR="003D7EB4">
        <w:rPr>
          <w:rFonts w:hint="cs"/>
          <w:rtl/>
          <w:lang w:bidi="ar-EG"/>
        </w:rPr>
        <w:t>،</w:t>
      </w:r>
    </w:p>
    <w:p w:rsidR="00971AE2" w:rsidRDefault="00971AE2" w:rsidP="00A343DF">
      <w:pPr>
        <w:pStyle w:val="SingleTxt"/>
        <w:rPr>
          <w:rFonts w:hint="cs"/>
          <w:b/>
          <w:bCs/>
          <w:u w:val="single"/>
          <w:rtl/>
          <w:lang w:bidi="ar-EG"/>
        </w:rPr>
      </w:pPr>
      <w:r>
        <w:rPr>
          <w:rFonts w:hint="cs"/>
          <w:b/>
          <w:bCs/>
          <w:u w:val="single"/>
          <w:rtl/>
          <w:lang w:bidi="ar-EG"/>
        </w:rPr>
        <w:t>الإحصاءات</w:t>
      </w:r>
    </w:p>
    <w:p w:rsidR="00971AE2" w:rsidRDefault="00971AE2" w:rsidP="00A343DF">
      <w:pPr>
        <w:pStyle w:val="SingleTxt"/>
        <w:rPr>
          <w:rFonts w:hint="cs"/>
          <w:rtl/>
          <w:lang w:bidi="ar-EG"/>
        </w:rPr>
      </w:pPr>
      <w:r>
        <w:rPr>
          <w:rFonts w:hint="cs"/>
          <w:rtl/>
          <w:lang w:bidi="ar-EG"/>
        </w:rPr>
        <w:tab/>
        <w:t>النساء اللائي في سن الإنجاب هن أضعف المجموعات السكانية أمام الاتجار بالأشخاص</w:t>
      </w:r>
      <w:r w:rsidR="003D7EB4">
        <w:rPr>
          <w:rFonts w:hint="cs"/>
          <w:rtl/>
          <w:lang w:bidi="ar-EG"/>
        </w:rPr>
        <w:t>،</w:t>
      </w:r>
      <w:r>
        <w:rPr>
          <w:rFonts w:hint="cs"/>
          <w:rtl/>
          <w:lang w:bidi="ar-EG"/>
        </w:rPr>
        <w:t xml:space="preserve"> وتقدر </w:t>
      </w:r>
      <w:r>
        <w:rPr>
          <w:rtl/>
          <w:lang w:bidi="ar-EG"/>
        </w:rPr>
        <w:t>الإدارة التنظيمية للشؤون الأمنية</w:t>
      </w:r>
      <w:r>
        <w:rPr>
          <w:rFonts w:hint="cs"/>
          <w:rtl/>
          <w:lang w:bidi="ar-EG"/>
        </w:rPr>
        <w:t xml:space="preserve"> أنه يوجد في الخارج ما بين 000 45 و 000 50 امرأة ضحية للاتجار</w:t>
      </w:r>
      <w:r w:rsidR="003D7EB4">
        <w:rPr>
          <w:rFonts w:hint="cs"/>
          <w:rtl/>
          <w:lang w:bidi="ar-EG"/>
        </w:rPr>
        <w:t>،</w:t>
      </w:r>
    </w:p>
    <w:p w:rsidR="00971AE2" w:rsidRDefault="00971AE2" w:rsidP="00A343DF">
      <w:pPr>
        <w:pStyle w:val="SingleTxt"/>
        <w:rPr>
          <w:rFonts w:hint="cs"/>
          <w:rtl/>
          <w:lang w:bidi="ar-EG"/>
        </w:rPr>
      </w:pPr>
      <w:r>
        <w:rPr>
          <w:rFonts w:hint="cs"/>
          <w:rtl/>
          <w:lang w:bidi="ar-EG"/>
        </w:rPr>
        <w:tab/>
        <w:t>ووفقا لليونيسيف فإن 000 25 قاصر تتراوح أعمارهم بين 8 و 12 سنة ضحايا للاستغلال الجنسي</w:t>
      </w:r>
      <w:r w:rsidR="003D7EB4">
        <w:rPr>
          <w:rFonts w:hint="cs"/>
          <w:rtl/>
          <w:lang w:bidi="ar-EG"/>
        </w:rPr>
        <w:t>،</w:t>
      </w:r>
      <w:r>
        <w:rPr>
          <w:rFonts w:hint="cs"/>
          <w:rtl/>
          <w:lang w:bidi="ar-EG"/>
        </w:rPr>
        <w:t xml:space="preserve"> وتقدر المؤسسة الكولومبية للرعاية الأسرية أن 200 10 فتاة و 800 صبي متورطون في بغاء الأطفال في بوغوتا</w:t>
      </w:r>
      <w:r w:rsidR="003D7EB4">
        <w:rPr>
          <w:rFonts w:hint="cs"/>
          <w:rtl/>
          <w:lang w:bidi="ar-EG"/>
        </w:rPr>
        <w:t>،</w:t>
      </w:r>
    </w:p>
    <w:p w:rsidR="00971AE2" w:rsidRDefault="00971AE2" w:rsidP="00A343DF">
      <w:pPr>
        <w:pStyle w:val="SingleTxt"/>
        <w:rPr>
          <w:rFonts w:hint="cs"/>
          <w:rtl/>
          <w:lang w:bidi="ar-EG"/>
        </w:rPr>
      </w:pPr>
      <w:r>
        <w:rPr>
          <w:rFonts w:hint="cs"/>
          <w:rtl/>
          <w:lang w:bidi="ar-EG"/>
        </w:rPr>
        <w:tab/>
        <w:t>وبلدان المقصد الرئيسية لضحايا الاتجار هي: اليابان 40 في المائة، واسبانيا 30 في المائة، وهولندا 20 في المائة، واليونان وألمانيا وسنغافورة وهونغ كونغ والمكسيك وبلجيكا والولايات المتحدة وانكلترا وإيطاليا وإكوادر وبنما مجتمعة 10 في المائة</w:t>
      </w:r>
      <w:r w:rsidR="003D7EB4">
        <w:rPr>
          <w:rFonts w:hint="cs"/>
          <w:rtl/>
          <w:lang w:bidi="ar-EG"/>
        </w:rPr>
        <w:t>،</w:t>
      </w:r>
    </w:p>
    <w:p w:rsidR="00971AE2" w:rsidRDefault="00971AE2" w:rsidP="00A343DF">
      <w:pPr>
        <w:pStyle w:val="SingleTxt"/>
        <w:rPr>
          <w:rFonts w:hint="cs"/>
          <w:rtl/>
          <w:lang w:bidi="ar-EG"/>
        </w:rPr>
      </w:pPr>
      <w:r>
        <w:rPr>
          <w:rFonts w:hint="cs"/>
          <w:rtl/>
          <w:lang w:bidi="ar-EG"/>
        </w:rPr>
        <w:tab/>
        <w:t>وأضعف المناطق في كولومبيا من حيث منشأ الأشخاص ضحايا الاتجار هي: ريسارالدا وكوينديو وكالداس وكالي وتولوا وبوينافينتورا وبالميرا وقرطاج وميديلين ومنطقتها الحضرية وفاليا دي أبورا وبوغوتا وضواحيها</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ومنذ عام 1998 نفذت حتى الآن </w:t>
      </w:r>
      <w:r>
        <w:rPr>
          <w:rtl/>
          <w:lang w:bidi="ar-EG"/>
        </w:rPr>
        <w:t>الإدارة التنظيمية للشؤون الأمنية</w:t>
      </w:r>
      <w:r>
        <w:rPr>
          <w:rFonts w:hint="cs"/>
          <w:rtl/>
          <w:lang w:bidi="ar-EG"/>
        </w:rPr>
        <w:t>/المنظمة الدولية للشرطة الجنائية 21 عملية دولية بالاشتراك مع بلدان أخرى، وأنقذت 269 امرأة ضحية للاتجار</w:t>
      </w:r>
      <w:r>
        <w:rPr>
          <w:rFonts w:hint="cs"/>
          <w:vertAlign w:val="superscript"/>
          <w:rtl/>
          <w:lang w:bidi="ar-EG"/>
        </w:rPr>
        <w:t>(55)</w:t>
      </w:r>
      <w:r>
        <w:rPr>
          <w:rFonts w:hint="cs"/>
          <w:rtl/>
          <w:lang w:bidi="ar-EG"/>
        </w:rPr>
        <w:t xml:space="preserve"> وأُلقي القبض على 108 مجرمين ينتمون إلى هذه الشبكات وجماعات المافيا الدولية</w:t>
      </w:r>
      <w:r w:rsidR="003D7EB4">
        <w:rPr>
          <w:rFonts w:hint="cs"/>
          <w:rtl/>
          <w:lang w:bidi="ar-EG"/>
        </w:rPr>
        <w:t>،</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971AE2" w:rsidRPr="00414A06">
        <w:tblPrEx>
          <w:tblCellMar>
            <w:top w:w="0" w:type="dxa"/>
            <w:bottom w:w="0" w:type="dxa"/>
          </w:tblCellMar>
        </w:tblPrEx>
        <w:trPr>
          <w:cantSplit/>
          <w:tblHeader/>
        </w:trPr>
        <w:tc>
          <w:tcPr>
            <w:tcW w:w="2440" w:type="dxa"/>
            <w:tcBorders>
              <w:top w:val="single" w:sz="4" w:space="0" w:color="auto"/>
              <w:bottom w:val="single" w:sz="12" w:space="0" w:color="auto"/>
            </w:tcBorders>
            <w:vAlign w:val="bottom"/>
          </w:tcPr>
          <w:p w:rsidR="00971AE2" w:rsidRPr="00414A06"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414A06">
              <w:rPr>
                <w:rFonts w:hint="cs"/>
                <w:i/>
                <w:iCs/>
                <w:sz w:val="24"/>
                <w:szCs w:val="24"/>
                <w:rtl/>
                <w:lang w:bidi="ar-EG"/>
              </w:rPr>
              <w:t>البلد</w:t>
            </w:r>
          </w:p>
        </w:tc>
        <w:tc>
          <w:tcPr>
            <w:tcW w:w="2440" w:type="dxa"/>
            <w:tcBorders>
              <w:top w:val="single" w:sz="4" w:space="0" w:color="auto"/>
              <w:bottom w:val="single" w:sz="12" w:space="0" w:color="auto"/>
            </w:tcBorders>
            <w:vAlign w:val="bottom"/>
          </w:tcPr>
          <w:p w:rsidR="00971AE2" w:rsidRPr="00414A06"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14A06">
              <w:rPr>
                <w:rFonts w:hint="cs"/>
                <w:i/>
                <w:iCs/>
                <w:sz w:val="24"/>
                <w:szCs w:val="24"/>
                <w:rtl/>
                <w:lang w:bidi="ar-EG"/>
              </w:rPr>
              <w:t>عدد الضحايا (جميعهم من النساء)</w:t>
            </w:r>
          </w:p>
        </w:tc>
        <w:tc>
          <w:tcPr>
            <w:tcW w:w="2440" w:type="dxa"/>
            <w:tcBorders>
              <w:top w:val="single" w:sz="4" w:space="0" w:color="auto"/>
              <w:bottom w:val="single" w:sz="12" w:space="0" w:color="auto"/>
            </w:tcBorders>
            <w:vAlign w:val="bottom"/>
          </w:tcPr>
          <w:p w:rsidR="00971AE2" w:rsidRPr="00414A06"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14A06">
              <w:rPr>
                <w:rFonts w:hint="cs"/>
                <w:i/>
                <w:iCs/>
                <w:sz w:val="24"/>
                <w:szCs w:val="24"/>
                <w:rtl/>
                <w:lang w:bidi="ar-EG"/>
              </w:rPr>
              <w:t>عدد السجناء</w:t>
            </w:r>
          </w:p>
        </w:tc>
      </w:tr>
      <w:tr w:rsidR="00971AE2" w:rsidRPr="00414A06">
        <w:tblPrEx>
          <w:tblCellMar>
            <w:top w:w="0" w:type="dxa"/>
            <w:bottom w:w="0" w:type="dxa"/>
          </w:tblCellMar>
        </w:tblPrEx>
        <w:trPr>
          <w:cantSplit/>
          <w:trHeight w:hRule="exact" w:val="115"/>
          <w:tblHeader/>
        </w:trPr>
        <w:tc>
          <w:tcPr>
            <w:tcW w:w="2440" w:type="dxa"/>
            <w:tcBorders>
              <w:top w:val="single" w:sz="12" w:space="0" w:color="auto"/>
            </w:tcBorders>
            <w:vAlign w:val="bottom"/>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440" w:type="dxa"/>
            <w:tcBorders>
              <w:top w:val="single" w:sz="12" w:space="0" w:color="auto"/>
            </w:tcBorders>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2440" w:type="dxa"/>
            <w:tcBorders>
              <w:top w:val="single" w:sz="12" w:space="0" w:color="auto"/>
            </w:tcBorders>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414A06">
        <w:tblPrEx>
          <w:tblCellMar>
            <w:top w:w="0" w:type="dxa"/>
            <w:bottom w:w="0" w:type="dxa"/>
          </w:tblCellMar>
        </w:tblPrEx>
        <w:trPr>
          <w:cantSplit/>
        </w:trPr>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اليابان</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17</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13</w:t>
            </w:r>
          </w:p>
        </w:tc>
      </w:tr>
      <w:tr w:rsidR="00971AE2" w:rsidRPr="00414A06">
        <w:tblPrEx>
          <w:tblCellMar>
            <w:top w:w="0" w:type="dxa"/>
            <w:bottom w:w="0" w:type="dxa"/>
          </w:tblCellMar>
        </w:tblPrEx>
        <w:trPr>
          <w:cantSplit/>
        </w:trPr>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اسبانيا</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145</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41</w:t>
            </w:r>
          </w:p>
        </w:tc>
      </w:tr>
      <w:tr w:rsidR="00971AE2" w:rsidRPr="00414A06">
        <w:tblPrEx>
          <w:tblCellMar>
            <w:top w:w="0" w:type="dxa"/>
            <w:bottom w:w="0" w:type="dxa"/>
          </w:tblCellMar>
        </w:tblPrEx>
        <w:trPr>
          <w:cantSplit/>
        </w:trPr>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هولندا</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35</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18</w:t>
            </w:r>
          </w:p>
        </w:tc>
      </w:tr>
      <w:tr w:rsidR="00971AE2" w:rsidRPr="00414A06">
        <w:tblPrEx>
          <w:tblCellMar>
            <w:top w:w="0" w:type="dxa"/>
            <w:bottom w:w="0" w:type="dxa"/>
          </w:tblCellMar>
        </w:tblPrEx>
        <w:trPr>
          <w:cantSplit/>
        </w:trPr>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كولومبيا</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64</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27</w:t>
            </w:r>
          </w:p>
        </w:tc>
      </w:tr>
      <w:tr w:rsidR="00971AE2" w:rsidRPr="00414A06">
        <w:tblPrEx>
          <w:tblCellMar>
            <w:top w:w="0" w:type="dxa"/>
            <w:bottom w:w="0" w:type="dxa"/>
          </w:tblCellMar>
        </w:tblPrEx>
        <w:trPr>
          <w:cantSplit/>
        </w:trPr>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إكوادور</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3</w:t>
            </w:r>
          </w:p>
        </w:tc>
        <w:tc>
          <w:tcPr>
            <w:tcW w:w="2440" w:type="dxa"/>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4</w:t>
            </w:r>
          </w:p>
        </w:tc>
      </w:tr>
      <w:tr w:rsidR="00971AE2" w:rsidRPr="00414A06">
        <w:tblPrEx>
          <w:tblCellMar>
            <w:top w:w="0" w:type="dxa"/>
            <w:bottom w:w="0" w:type="dxa"/>
          </w:tblCellMar>
        </w:tblPrEx>
        <w:trPr>
          <w:cantSplit/>
        </w:trPr>
        <w:tc>
          <w:tcPr>
            <w:tcW w:w="2440" w:type="dxa"/>
            <w:tcBorders>
              <w:bottom w:val="single" w:sz="12" w:space="0" w:color="auto"/>
            </w:tcBorders>
            <w:vAlign w:val="bottom"/>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الولايات المتحدة الأمريكية</w:t>
            </w:r>
          </w:p>
        </w:tc>
        <w:tc>
          <w:tcPr>
            <w:tcW w:w="2440" w:type="dxa"/>
            <w:tcBorders>
              <w:bottom w:val="single" w:sz="12" w:space="0" w:color="auto"/>
            </w:tcBorders>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1</w:t>
            </w:r>
          </w:p>
        </w:tc>
        <w:tc>
          <w:tcPr>
            <w:tcW w:w="2440" w:type="dxa"/>
            <w:tcBorders>
              <w:bottom w:val="single" w:sz="12" w:space="0" w:color="auto"/>
            </w:tcBorders>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2</w:t>
            </w:r>
          </w:p>
        </w:tc>
      </w:tr>
    </w:tbl>
    <w:p w:rsidR="00971AE2" w:rsidRDefault="00971AE2" w:rsidP="00A343DF">
      <w:pPr>
        <w:pStyle w:val="SingleTxt"/>
        <w:spacing w:after="0" w:line="120" w:lineRule="exact"/>
        <w:rPr>
          <w:sz w:val="10"/>
          <w:rtl/>
          <w:lang w:bidi="ar-EG"/>
        </w:rPr>
      </w:pPr>
    </w:p>
    <w:p w:rsidR="00971AE2" w:rsidRDefault="00971AE2" w:rsidP="00A343DF">
      <w:pPr>
        <w:pStyle w:val="SingleTxt"/>
        <w:rPr>
          <w:rFonts w:hint="cs"/>
          <w:rtl/>
          <w:lang w:bidi="ar-EG"/>
        </w:rPr>
      </w:pPr>
      <w:r>
        <w:rPr>
          <w:rFonts w:hint="cs"/>
          <w:rtl/>
          <w:lang w:bidi="ar-EG"/>
        </w:rPr>
        <w:tab/>
        <w:t>يرد فيما يلي سرد لبعض العمليات التي قامت بها منظمة الشرطة الجنائية الدولية (الإنتربول):</w:t>
      </w:r>
    </w:p>
    <w:p w:rsidR="00971AE2" w:rsidRDefault="00971AE2" w:rsidP="00A343DF">
      <w:pPr>
        <w:pStyle w:val="SingleTxt"/>
        <w:rPr>
          <w:rFonts w:hint="cs"/>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652"/>
        <w:gridCol w:w="1236"/>
        <w:gridCol w:w="5432"/>
      </w:tblGrid>
      <w:tr w:rsidR="00971AE2" w:rsidRPr="00414A06">
        <w:tblPrEx>
          <w:tblCellMar>
            <w:top w:w="0" w:type="dxa"/>
            <w:bottom w:w="0" w:type="dxa"/>
          </w:tblCellMar>
        </w:tblPrEx>
        <w:trPr>
          <w:cantSplit/>
          <w:tblHeader/>
        </w:trPr>
        <w:tc>
          <w:tcPr>
            <w:tcW w:w="652" w:type="dxa"/>
            <w:tcBorders>
              <w:top w:val="single" w:sz="4" w:space="0" w:color="auto"/>
              <w:bottom w:val="single" w:sz="12" w:space="0" w:color="auto"/>
            </w:tcBorders>
            <w:vAlign w:val="bottom"/>
          </w:tcPr>
          <w:p w:rsidR="00971AE2" w:rsidRPr="00414A06"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414A06">
              <w:rPr>
                <w:rFonts w:hint="cs"/>
                <w:i/>
                <w:iCs/>
                <w:sz w:val="24"/>
                <w:szCs w:val="24"/>
                <w:rtl/>
                <w:lang w:bidi="ar-EG"/>
              </w:rPr>
              <w:t>السنة</w:t>
            </w:r>
          </w:p>
        </w:tc>
        <w:tc>
          <w:tcPr>
            <w:tcW w:w="1236" w:type="dxa"/>
            <w:tcBorders>
              <w:top w:val="single" w:sz="4" w:space="0" w:color="auto"/>
              <w:bottom w:val="single" w:sz="12" w:space="0" w:color="auto"/>
            </w:tcBorders>
            <w:vAlign w:val="bottom"/>
          </w:tcPr>
          <w:p w:rsidR="00971AE2" w:rsidRPr="00414A06"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14A06">
              <w:rPr>
                <w:rFonts w:hint="cs"/>
                <w:i/>
                <w:iCs/>
                <w:sz w:val="24"/>
                <w:szCs w:val="24"/>
                <w:rtl/>
                <w:lang w:bidi="ar-EG"/>
              </w:rPr>
              <w:t>العملية</w:t>
            </w:r>
          </w:p>
        </w:tc>
        <w:tc>
          <w:tcPr>
            <w:tcW w:w="5432" w:type="dxa"/>
            <w:tcBorders>
              <w:top w:val="single" w:sz="4" w:space="0" w:color="auto"/>
              <w:bottom w:val="single" w:sz="12" w:space="0" w:color="auto"/>
            </w:tcBorders>
            <w:vAlign w:val="bottom"/>
          </w:tcPr>
          <w:p w:rsidR="00971AE2" w:rsidRPr="00414A06"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14A06">
              <w:rPr>
                <w:rFonts w:hint="cs"/>
                <w:i/>
                <w:iCs/>
                <w:sz w:val="24"/>
                <w:szCs w:val="24"/>
                <w:rtl/>
                <w:lang w:bidi="ar-EG"/>
              </w:rPr>
              <w:t>التفاصيل</w:t>
            </w:r>
          </w:p>
        </w:tc>
      </w:tr>
      <w:tr w:rsidR="00971AE2" w:rsidRPr="00414A06">
        <w:tblPrEx>
          <w:tblCellMar>
            <w:top w:w="0" w:type="dxa"/>
            <w:bottom w:w="0" w:type="dxa"/>
          </w:tblCellMar>
        </w:tblPrEx>
        <w:trPr>
          <w:cantSplit/>
          <w:trHeight w:hRule="exact" w:val="115"/>
          <w:tblHeader/>
        </w:trPr>
        <w:tc>
          <w:tcPr>
            <w:tcW w:w="652" w:type="dxa"/>
            <w:tcBorders>
              <w:top w:val="single" w:sz="12" w:space="0" w:color="auto"/>
            </w:tcBorders>
            <w:vAlign w:val="bottom"/>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1236" w:type="dxa"/>
            <w:tcBorders>
              <w:top w:val="single" w:sz="12" w:space="0" w:color="auto"/>
            </w:tcBorders>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5432" w:type="dxa"/>
            <w:tcBorders>
              <w:top w:val="single" w:sz="12" w:space="0" w:color="auto"/>
            </w:tcBorders>
            <w:vAlign w:val="bottom"/>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414A06">
        <w:tblPrEx>
          <w:tblCellMar>
            <w:top w:w="0" w:type="dxa"/>
            <w:bottom w:w="0" w:type="dxa"/>
          </w:tblCellMar>
        </w:tblPrEx>
        <w:trPr>
          <w:cantSplit/>
        </w:trPr>
        <w:tc>
          <w:tcPr>
            <w:tcW w:w="652" w:type="dxa"/>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1998</w:t>
            </w:r>
          </w:p>
        </w:tc>
        <w:tc>
          <w:tcPr>
            <w:tcW w:w="1236"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عملية تليبان</w:t>
            </w:r>
          </w:p>
        </w:tc>
        <w:tc>
          <w:tcPr>
            <w:tcW w:w="5432"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 xml:space="preserve">نفذت في 20/1/98 بالتنسيق مع الإنتربول/هولندا وشرطة أمستردام والإنتربول/كولومبيا و </w:t>
            </w:r>
            <w:r w:rsidRPr="00414A06">
              <w:rPr>
                <w:sz w:val="24"/>
                <w:szCs w:val="24"/>
                <w:rtl/>
                <w:lang w:bidi="ar-EG"/>
              </w:rPr>
              <w:t>الإدارة التنظيمية للشؤون الأمنية</w:t>
            </w:r>
            <w:r w:rsidR="003D7EB4">
              <w:rPr>
                <w:rFonts w:hint="cs"/>
                <w:sz w:val="24"/>
                <w:szCs w:val="24"/>
                <w:rtl/>
                <w:lang w:bidi="ar-EG"/>
              </w:rPr>
              <w:t>،</w:t>
            </w:r>
            <w:r w:rsidRPr="00414A06">
              <w:rPr>
                <w:rFonts w:hint="cs"/>
                <w:sz w:val="24"/>
                <w:szCs w:val="24"/>
                <w:rtl/>
                <w:lang w:bidi="ar-EG"/>
              </w:rPr>
              <w:t xml:space="preserve"> وكانت الأعمال متزامنة ونفذت العملية في أمستردام ولاهاي وروتردام وكالي وبوغوتا</w:t>
            </w:r>
            <w:r w:rsidR="003D7EB4">
              <w:rPr>
                <w:rFonts w:hint="cs"/>
                <w:sz w:val="24"/>
                <w:szCs w:val="24"/>
                <w:rtl/>
                <w:lang w:bidi="ar-EG"/>
              </w:rPr>
              <w:t>،</w:t>
            </w:r>
            <w:r w:rsidRPr="00414A06">
              <w:rPr>
                <w:rFonts w:hint="cs"/>
                <w:sz w:val="24"/>
                <w:szCs w:val="24"/>
                <w:rtl/>
                <w:lang w:bidi="ar-EG"/>
              </w:rPr>
              <w:t xml:space="preserve"> وخلال الإجراءات المسجلة أُلقي القبض في هولندا على 4 أشخاص من بينهم امرأة كولومبية وفي كولومبيا على مندوبة الشبكة المكلفة بإغواء وتوريد نساء من فالييه دل كاوكا وإيخيه كافيتيرو</w:t>
            </w:r>
            <w:r w:rsidR="003D7EB4">
              <w:rPr>
                <w:rFonts w:hint="cs"/>
                <w:sz w:val="24"/>
                <w:szCs w:val="24"/>
                <w:rtl/>
                <w:lang w:bidi="ar-EG"/>
              </w:rPr>
              <w:t>،</w:t>
            </w:r>
            <w:r w:rsidRPr="00414A06">
              <w:rPr>
                <w:rFonts w:hint="cs"/>
                <w:sz w:val="24"/>
                <w:szCs w:val="24"/>
                <w:rtl/>
                <w:lang w:bidi="ar-EG"/>
              </w:rPr>
              <w:t xml:space="preserve"> كما أنفذت من هذه الشبكة 5 نساء كولومبيات</w:t>
            </w:r>
            <w:r w:rsidR="003D7EB4">
              <w:rPr>
                <w:rFonts w:hint="cs"/>
                <w:sz w:val="24"/>
                <w:szCs w:val="24"/>
                <w:rtl/>
                <w:lang w:bidi="ar-EG"/>
              </w:rPr>
              <w:t>،</w:t>
            </w:r>
          </w:p>
        </w:tc>
      </w:tr>
      <w:tr w:rsidR="00971AE2" w:rsidRPr="00414A06">
        <w:tblPrEx>
          <w:tblCellMar>
            <w:top w:w="0" w:type="dxa"/>
            <w:bottom w:w="0" w:type="dxa"/>
          </w:tblCellMar>
        </w:tblPrEx>
        <w:trPr>
          <w:cantSplit/>
        </w:trPr>
        <w:tc>
          <w:tcPr>
            <w:tcW w:w="652" w:type="dxa"/>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1999</w:t>
            </w:r>
          </w:p>
        </w:tc>
        <w:tc>
          <w:tcPr>
            <w:tcW w:w="1236"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عملية نينييرا</w:t>
            </w:r>
          </w:p>
        </w:tc>
        <w:tc>
          <w:tcPr>
            <w:tcW w:w="5432"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 xml:space="preserve">نفذت في سنسناتي، أوهايو، في الولايات المتحدة، بالتعاون مع </w:t>
            </w:r>
            <w:r w:rsidRPr="00414A06">
              <w:rPr>
                <w:rFonts w:hint="cs"/>
                <w:sz w:val="24"/>
                <w:szCs w:val="24"/>
                <w:rtl/>
              </w:rPr>
              <w:t>الشرطة الدولية في</w:t>
            </w:r>
            <w:r w:rsidRPr="00414A06">
              <w:rPr>
                <w:rFonts w:hint="cs"/>
                <w:sz w:val="24"/>
                <w:szCs w:val="24"/>
                <w:rtl/>
                <w:lang w:bidi="ar-EG"/>
              </w:rPr>
              <w:t xml:space="preserve"> واشنطن، وانقذت امرأة كولومبية كانت ضحية اتجار لأغراض الاستعباد، وألقي القبض على شخصين كولومبيين كانا يحتجزانها</w:t>
            </w:r>
            <w:r w:rsidR="003D7EB4">
              <w:rPr>
                <w:rFonts w:hint="cs"/>
                <w:sz w:val="24"/>
                <w:szCs w:val="24"/>
                <w:rtl/>
                <w:lang w:bidi="ar-EG"/>
              </w:rPr>
              <w:t>،</w:t>
            </w:r>
          </w:p>
        </w:tc>
      </w:tr>
      <w:tr w:rsidR="00971AE2" w:rsidRPr="00414A06">
        <w:tblPrEx>
          <w:tblCellMar>
            <w:top w:w="0" w:type="dxa"/>
            <w:bottom w:w="0" w:type="dxa"/>
          </w:tblCellMar>
        </w:tblPrEx>
        <w:trPr>
          <w:cantSplit/>
        </w:trPr>
        <w:tc>
          <w:tcPr>
            <w:tcW w:w="652" w:type="dxa"/>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2000</w:t>
            </w:r>
          </w:p>
        </w:tc>
        <w:tc>
          <w:tcPr>
            <w:tcW w:w="1236"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عملية غاليسيا</w:t>
            </w:r>
          </w:p>
        </w:tc>
        <w:tc>
          <w:tcPr>
            <w:tcW w:w="5432"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 xml:space="preserve">نفذت في لوغو بولاية غاليسيا في اسبانيا، بالتعاون مع </w:t>
            </w:r>
            <w:r w:rsidRPr="00414A06">
              <w:rPr>
                <w:rFonts w:hint="cs"/>
                <w:sz w:val="24"/>
                <w:szCs w:val="24"/>
                <w:rtl/>
              </w:rPr>
              <w:t xml:space="preserve">الشرطة الدولية في </w:t>
            </w:r>
            <w:r w:rsidRPr="00414A06">
              <w:rPr>
                <w:rFonts w:hint="cs"/>
                <w:sz w:val="24"/>
                <w:szCs w:val="24"/>
                <w:rtl/>
                <w:lang w:bidi="ar-EG"/>
              </w:rPr>
              <w:t>مدريد، بناء على معلومات قدمها هذا المكتب</w:t>
            </w:r>
            <w:r w:rsidR="003D7EB4">
              <w:rPr>
                <w:rFonts w:hint="cs"/>
                <w:sz w:val="24"/>
                <w:szCs w:val="24"/>
                <w:rtl/>
                <w:lang w:bidi="ar-EG"/>
              </w:rPr>
              <w:t>،</w:t>
            </w:r>
            <w:r w:rsidRPr="00414A06">
              <w:rPr>
                <w:rFonts w:hint="cs"/>
                <w:sz w:val="24"/>
                <w:szCs w:val="24"/>
                <w:rtl/>
                <w:lang w:bidi="ar-EG"/>
              </w:rPr>
              <w:t xml:space="preserve"> وأنقذت 18 امرأة كولومبية وقبض على ستة أفراد في تلك الشبكة كانوا يرغموهن على الدعارة ضد رغبتهن</w:t>
            </w:r>
            <w:r w:rsidR="003D7EB4">
              <w:rPr>
                <w:rFonts w:hint="cs"/>
                <w:sz w:val="24"/>
                <w:szCs w:val="24"/>
                <w:rtl/>
                <w:lang w:bidi="ar-EG"/>
              </w:rPr>
              <w:t>،</w:t>
            </w:r>
          </w:p>
        </w:tc>
      </w:tr>
      <w:tr w:rsidR="00971AE2" w:rsidRPr="00414A06">
        <w:tblPrEx>
          <w:tblCellMar>
            <w:top w:w="0" w:type="dxa"/>
            <w:bottom w:w="0" w:type="dxa"/>
          </w:tblCellMar>
        </w:tblPrEx>
        <w:trPr>
          <w:cantSplit/>
        </w:trPr>
        <w:tc>
          <w:tcPr>
            <w:tcW w:w="652" w:type="dxa"/>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2001</w:t>
            </w:r>
          </w:p>
        </w:tc>
        <w:tc>
          <w:tcPr>
            <w:tcW w:w="1236"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عملية مامي</w:t>
            </w:r>
          </w:p>
        </w:tc>
        <w:tc>
          <w:tcPr>
            <w:tcW w:w="5432"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اتخذت السلطة الاسبانية، بناء على طلب من فرع الإنتربول في بوغوتا، إجراءات في عدة نوادي اسبانية في مقاطعات توليدو وكوينكا ومدينة ريال وبالنسيا ومدريد أسفرت عن القبض على خمسة أفراد ينتمون إلى شبكة للاتجار بالنساء، ثلاثة منهم يحملون الجنسية الكولومبية</w:t>
            </w:r>
            <w:r w:rsidR="003D7EB4">
              <w:rPr>
                <w:rFonts w:hint="cs"/>
                <w:sz w:val="24"/>
                <w:szCs w:val="24"/>
                <w:rtl/>
                <w:lang w:bidi="ar-EG"/>
              </w:rPr>
              <w:t>،</w:t>
            </w:r>
            <w:r w:rsidRPr="00414A06">
              <w:rPr>
                <w:rFonts w:hint="cs"/>
                <w:sz w:val="24"/>
                <w:szCs w:val="24"/>
                <w:rtl/>
                <w:lang w:bidi="ar-EG"/>
              </w:rPr>
              <w:t xml:space="preserve"> كما انقذت 32 امرأة كولومبية وامرأتان تحملان الجنسية الإكوادورية</w:t>
            </w:r>
            <w:r w:rsidR="003D7EB4">
              <w:rPr>
                <w:rFonts w:hint="cs"/>
                <w:sz w:val="24"/>
                <w:szCs w:val="24"/>
                <w:rtl/>
                <w:lang w:bidi="ar-EG"/>
              </w:rPr>
              <w:t>،</w:t>
            </w:r>
          </w:p>
        </w:tc>
      </w:tr>
      <w:tr w:rsidR="00971AE2" w:rsidRPr="00414A06">
        <w:tblPrEx>
          <w:tblCellMar>
            <w:top w:w="0" w:type="dxa"/>
            <w:bottom w:w="0" w:type="dxa"/>
          </w:tblCellMar>
        </w:tblPrEx>
        <w:trPr>
          <w:cantSplit/>
        </w:trPr>
        <w:tc>
          <w:tcPr>
            <w:tcW w:w="652" w:type="dxa"/>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2002</w:t>
            </w:r>
          </w:p>
        </w:tc>
        <w:tc>
          <w:tcPr>
            <w:tcW w:w="1236"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414A06">
              <w:rPr>
                <w:rFonts w:hint="cs"/>
                <w:sz w:val="24"/>
                <w:szCs w:val="24"/>
                <w:rtl/>
                <w:lang w:bidi="ar-EG"/>
              </w:rPr>
              <w:t>عملية روجر</w:t>
            </w:r>
          </w:p>
        </w:tc>
        <w:tc>
          <w:tcPr>
            <w:tcW w:w="5432"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نجحت سلطات مدريد في شهر آذار/مارس من هذه السنة، استنادا إلى معلومات من مكتب الإنتربول في بوغوتا، في القبض على ثلاثة أفراد في شبكة لتهريب المهاجرين، تستعمل طريقة توجيه رسائل دعوة إلى مواطنين كولومبيين تطلب منهم دفع 70 ألف ليرة عن كل شخص، ومن بين هؤلاء الأفراد امرأتان كولومبيتان وامرأة اسبانية</w:t>
            </w:r>
            <w:r w:rsidR="003D7EB4">
              <w:rPr>
                <w:rFonts w:hint="cs"/>
                <w:sz w:val="24"/>
                <w:szCs w:val="24"/>
                <w:rtl/>
                <w:lang w:bidi="ar-EG"/>
              </w:rPr>
              <w:t>،</w:t>
            </w:r>
          </w:p>
        </w:tc>
      </w:tr>
      <w:tr w:rsidR="00971AE2" w:rsidRPr="00414A06">
        <w:tblPrEx>
          <w:tblCellMar>
            <w:top w:w="0" w:type="dxa"/>
            <w:bottom w:w="0" w:type="dxa"/>
          </w:tblCellMar>
        </w:tblPrEx>
        <w:trPr>
          <w:cantSplit/>
        </w:trPr>
        <w:tc>
          <w:tcPr>
            <w:tcW w:w="652" w:type="dxa"/>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2003</w:t>
            </w:r>
          </w:p>
        </w:tc>
        <w:tc>
          <w:tcPr>
            <w:tcW w:w="1236"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عملية بروجيهي</w:t>
            </w:r>
          </w:p>
        </w:tc>
        <w:tc>
          <w:tcPr>
            <w:tcW w:w="5432" w:type="dxa"/>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بدأت تحريات منذ عام 2001 انتهت في كانون الثاني/يناير 2003 بالقبض على لوس داري سرنا المكلفة بتوريد نساء من منطقة فالييه دل كاوكا أرسلن إلى اليابان حيث استقبلتهن ابنتها كلاوديا ميلينا سرنا المكلفة بإخضاع واستغلال هؤلاء النسوة جنسيا وإرسالهن إلى مافيا ياكوزا</w:t>
            </w:r>
            <w:r w:rsidR="003D7EB4">
              <w:rPr>
                <w:rFonts w:hint="cs"/>
                <w:sz w:val="24"/>
                <w:szCs w:val="24"/>
                <w:rtl/>
                <w:lang w:bidi="ar-EG"/>
              </w:rPr>
              <w:t>،</w:t>
            </w:r>
            <w:r w:rsidRPr="00414A06">
              <w:rPr>
                <w:rFonts w:hint="cs"/>
                <w:sz w:val="24"/>
                <w:szCs w:val="24"/>
                <w:rtl/>
                <w:lang w:bidi="ar-EG"/>
              </w:rPr>
              <w:t xml:space="preserve"> وبالتنسيق مع مكتب الإنتربول في طوكيو، طُردت كلاوديا وعند وصولها إلى مطار الدورادو الدولي قبض عليها أفراد الإدارة التنظيمية للأمن/الإنتربول</w:t>
            </w:r>
            <w:r w:rsidR="003D7EB4">
              <w:rPr>
                <w:rFonts w:hint="cs"/>
                <w:sz w:val="24"/>
                <w:szCs w:val="24"/>
                <w:rtl/>
                <w:lang w:bidi="ar-EG"/>
              </w:rPr>
              <w:t>،</w:t>
            </w:r>
          </w:p>
        </w:tc>
      </w:tr>
      <w:tr w:rsidR="00971AE2" w:rsidRPr="00414A06">
        <w:tblPrEx>
          <w:tblCellMar>
            <w:top w:w="0" w:type="dxa"/>
            <w:bottom w:w="0" w:type="dxa"/>
          </w:tblCellMar>
        </w:tblPrEx>
        <w:trPr>
          <w:cantSplit/>
        </w:trPr>
        <w:tc>
          <w:tcPr>
            <w:tcW w:w="652" w:type="dxa"/>
            <w:tcBorders>
              <w:bottom w:val="single" w:sz="12" w:space="0" w:color="auto"/>
            </w:tcBorders>
          </w:tcPr>
          <w:p w:rsidR="00971AE2" w:rsidRPr="00414A06"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14A06">
              <w:rPr>
                <w:rFonts w:hint="cs"/>
                <w:sz w:val="24"/>
                <w:szCs w:val="24"/>
                <w:rtl/>
                <w:lang w:bidi="ar-EG"/>
              </w:rPr>
              <w:t>2003</w:t>
            </w:r>
          </w:p>
        </w:tc>
        <w:tc>
          <w:tcPr>
            <w:tcW w:w="1236" w:type="dxa"/>
            <w:tcBorders>
              <w:bottom w:val="single" w:sz="12" w:space="0" w:color="auto"/>
            </w:tcBorders>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عملية برازرز</w:t>
            </w:r>
          </w:p>
        </w:tc>
        <w:tc>
          <w:tcPr>
            <w:tcW w:w="5432" w:type="dxa"/>
            <w:tcBorders>
              <w:bottom w:val="single" w:sz="12" w:space="0" w:color="auto"/>
            </w:tcBorders>
          </w:tcPr>
          <w:p w:rsidR="00971AE2" w:rsidRPr="00414A06"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14A06">
              <w:rPr>
                <w:rFonts w:hint="cs"/>
                <w:sz w:val="24"/>
                <w:szCs w:val="24"/>
                <w:rtl/>
                <w:lang w:bidi="ar-EG"/>
              </w:rPr>
              <w:t>استنادا إلى معلومات نسقت بين مكتبي الإنتربول في كولومبيا واليابان بالاشتراك مع قنصلية كولومبيا في ذلك البلد، قبضت السلطات اليابانية في شهر كانون الأول/ديسمبر 2002 على الكولومبية بياترس إلينا نارفانس ميسا المنتمية مباشرة إلى مافيا ياكوزا المكلفة بأن تستقبل في اليابان النساء المرسلات إليها من قبل أشقائها في كولومبيا لاستغلالهن وإرسالهن فيما بعد إلى سوني صاحب الاسم االمستعار</w:t>
            </w:r>
            <w:r w:rsidR="00C1093F">
              <w:rPr>
                <w:rFonts w:hint="cs"/>
                <w:sz w:val="24"/>
                <w:szCs w:val="24"/>
                <w:rtl/>
                <w:lang w:bidi="ar-EG"/>
              </w:rPr>
              <w:t xml:space="preserve"> </w:t>
            </w:r>
            <w:r w:rsidRPr="00414A06">
              <w:rPr>
                <w:rFonts w:hint="cs"/>
                <w:sz w:val="24"/>
                <w:szCs w:val="24"/>
                <w:rtl/>
                <w:lang w:bidi="ar-EG"/>
              </w:rPr>
              <w:t xml:space="preserve"> وفي 5 حزيران/يونيه قبض عليها بعد ترحيلها موظفون في الإدارة التنظيمية للأمن/الإنتربول في مطار الدورادو</w:t>
            </w:r>
            <w:r w:rsidR="003D7EB4">
              <w:rPr>
                <w:rFonts w:hint="cs"/>
                <w:sz w:val="24"/>
                <w:szCs w:val="24"/>
                <w:rtl/>
                <w:lang w:bidi="ar-EG"/>
              </w:rPr>
              <w:t>،</w:t>
            </w:r>
            <w:r w:rsidRPr="00414A06">
              <w:rPr>
                <w:rFonts w:hint="cs"/>
                <w:sz w:val="24"/>
                <w:szCs w:val="24"/>
                <w:rtl/>
                <w:lang w:bidi="ar-EG"/>
              </w:rPr>
              <w:t xml:space="preserve"> ومن اليابان كانت بياترس إلينا قد وردت</w:t>
            </w:r>
            <w:r w:rsidRPr="00414A06">
              <w:rPr>
                <w:rFonts w:hint="cs"/>
                <w:color w:val="FF6600"/>
                <w:sz w:val="24"/>
                <w:szCs w:val="24"/>
                <w:rtl/>
                <w:lang w:bidi="ar-EG"/>
              </w:rPr>
              <w:t xml:space="preserve"> </w:t>
            </w:r>
            <w:r w:rsidRPr="00414A06">
              <w:rPr>
                <w:rFonts w:hint="cs"/>
                <w:sz w:val="24"/>
                <w:szCs w:val="24"/>
                <w:rtl/>
                <w:lang w:bidi="ar-EG"/>
              </w:rPr>
              <w:t>بالاشتراك مع سوني صاحب المستعار 400 امرأة كولومبية لممارسة الدعارة في اليابان</w:t>
            </w:r>
            <w:r w:rsidR="003D7EB4">
              <w:rPr>
                <w:rFonts w:hint="cs"/>
                <w:sz w:val="24"/>
                <w:szCs w:val="24"/>
                <w:rtl/>
                <w:lang w:bidi="ar-EG"/>
              </w:rPr>
              <w:t>،</w:t>
            </w:r>
          </w:p>
        </w:tc>
      </w:tr>
    </w:tbl>
    <w:p w:rsidR="00971AE2" w:rsidRDefault="00971AE2" w:rsidP="00A343DF">
      <w:pPr>
        <w:pStyle w:val="SingleTxt"/>
        <w:spacing w:after="0" w:line="120" w:lineRule="exact"/>
        <w:rPr>
          <w:sz w:val="10"/>
          <w:rtl/>
          <w:lang w:bidi="ar-EG"/>
        </w:rPr>
      </w:pPr>
    </w:p>
    <w:p w:rsidR="00971AE2" w:rsidRDefault="00971AE2" w:rsidP="00A343DF">
      <w:pPr>
        <w:pStyle w:val="SingleTxt"/>
        <w:rPr>
          <w:rFonts w:hint="cs"/>
          <w:rtl/>
          <w:lang w:bidi="ar-EG"/>
        </w:rPr>
      </w:pPr>
      <w:r>
        <w:rPr>
          <w:rFonts w:hint="cs"/>
          <w:rtl/>
          <w:lang w:bidi="ar-EG"/>
        </w:rPr>
        <w:tab/>
        <w:t>وفيما يتعلق بالتصوير الإباحي للقصر، سجل مكتب المدعي العام 126 حالة في 28 عاصمة في البلد بين عامي 2000 و 2002</w:t>
      </w:r>
      <w:r>
        <w:rPr>
          <w:rFonts w:hint="cs"/>
          <w:vertAlign w:val="superscript"/>
          <w:rtl/>
          <w:lang w:bidi="ar-EG"/>
        </w:rPr>
        <w:t>(56)</w:t>
      </w:r>
      <w:r w:rsidR="003D7EB4">
        <w:rPr>
          <w:rFonts w:hint="cs"/>
          <w:rtl/>
          <w:lang w:bidi="ar-EG"/>
        </w:rPr>
        <w:t>،</w:t>
      </w:r>
      <w:r>
        <w:rPr>
          <w:rFonts w:hint="cs"/>
          <w:rtl/>
          <w:lang w:bidi="ar-EG"/>
        </w:rPr>
        <w:t xml:space="preserve"> وقضي على حالات مهمة للتصوير الإباحي، مثل عملية تاديو</w:t>
      </w:r>
      <w:r>
        <w:rPr>
          <w:rFonts w:hint="cs"/>
          <w:vertAlign w:val="superscript"/>
          <w:rtl/>
          <w:lang w:bidi="ar-EG"/>
        </w:rPr>
        <w:t>(57)</w:t>
      </w:r>
      <w:r>
        <w:rPr>
          <w:rFonts w:hint="cs"/>
          <w:rtl/>
          <w:lang w:bidi="ar-EG"/>
        </w:rPr>
        <w:t>، التي نفذتها الإنتربول وانتهت بالقبض على أوريغو أونياتيه</w:t>
      </w:r>
      <w:r w:rsidR="003D7EB4">
        <w:rPr>
          <w:rFonts w:hint="cs"/>
          <w:rtl/>
          <w:lang w:bidi="ar-EG"/>
        </w:rPr>
        <w:t>،</w:t>
      </w:r>
      <w:r>
        <w:rPr>
          <w:rFonts w:hint="cs"/>
          <w:rtl/>
          <w:lang w:bidi="ar-EG"/>
        </w:rPr>
        <w:t xml:space="preserve"> ويواصل هذا المكتب التحقيق بغرض تحديد طريقة تسويق هذه المواد وكذلك القضاء على كل شبكة التصوير الإباحي للقصر التي كان هذا الشخص أحد أفرادها</w:t>
      </w:r>
      <w:r w:rsidR="003D7EB4">
        <w:rPr>
          <w:rFonts w:hint="cs"/>
          <w:rtl/>
          <w:lang w:bidi="ar-EG"/>
        </w:rPr>
        <w:t>،</w:t>
      </w:r>
      <w:r>
        <w:rPr>
          <w:rFonts w:hint="cs"/>
          <w:rtl/>
          <w:lang w:bidi="ar-EG"/>
        </w:rPr>
        <w:t xml:space="preserve"> ونجحت أيضا عملية كانو بولانيوس، التي قادها القسم الأطلسي للإدارة التنظيمية للأمن، في القبض على لويس ألفونسو كانو بولانيوس بتهمة ارتكاب جريمة التصوير الإباحي للقصر</w:t>
      </w:r>
      <w:r w:rsidR="003D7EB4">
        <w:rPr>
          <w:rFonts w:hint="cs"/>
          <w:rtl/>
          <w:lang w:bidi="ar-EG"/>
        </w:rPr>
        <w:t>،</w:t>
      </w:r>
      <w:r>
        <w:rPr>
          <w:rFonts w:hint="cs"/>
          <w:rtl/>
          <w:lang w:bidi="ar-EG"/>
        </w:rPr>
        <w:t xml:space="preserve"> وكان هذا الشخص يقوم بإنتاج وتوزيع مواد التصوير الإباحي في الخارج عن طريق البريد الإلكتروني والجوي</w:t>
      </w:r>
      <w:r>
        <w:rPr>
          <w:rFonts w:hint="cs"/>
          <w:vertAlign w:val="superscript"/>
          <w:rtl/>
          <w:lang w:bidi="ar-EG"/>
        </w:rPr>
        <w:t>(58)</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2-7</w:t>
      </w:r>
      <w:r>
        <w:rPr>
          <w:rFonts w:hint="cs"/>
          <w:b/>
          <w:bCs/>
          <w:rtl/>
          <w:lang w:bidi="ar-EG"/>
        </w:rPr>
        <w:tab/>
        <w:t>المادة 7</w:t>
      </w:r>
    </w:p>
    <w:p w:rsidR="00971AE2" w:rsidRDefault="00971AE2" w:rsidP="00A343DF">
      <w:pPr>
        <w:pStyle w:val="SingleTxt"/>
        <w:rPr>
          <w:rFonts w:hint="cs"/>
          <w:rtl/>
          <w:lang w:bidi="ar-EG"/>
        </w:rPr>
      </w:pPr>
      <w:r>
        <w:rPr>
          <w:rFonts w:hint="cs"/>
          <w:b/>
          <w:bCs/>
          <w:rtl/>
          <w:lang w:bidi="ar-EG"/>
        </w:rPr>
        <w:t>الحياة السياسية والعامة</w:t>
      </w:r>
    </w:p>
    <w:p w:rsidR="00971AE2" w:rsidRDefault="00971AE2" w:rsidP="00A343DF">
      <w:pPr>
        <w:pStyle w:val="SingleTxt"/>
        <w:rPr>
          <w:rFonts w:hint="cs"/>
          <w:rtl/>
          <w:lang w:bidi="ar-EG"/>
        </w:rPr>
      </w:pPr>
      <w:r>
        <w:rPr>
          <w:rFonts w:hint="cs"/>
          <w:rtl/>
          <w:lang w:bidi="ar-EG"/>
        </w:rPr>
        <w:tab/>
        <w:t xml:space="preserve">تتفق هذه المادة تماما مع </w:t>
      </w:r>
      <w:r>
        <w:rPr>
          <w:rFonts w:hint="cs"/>
          <w:b/>
          <w:bCs/>
          <w:rtl/>
          <w:lang w:bidi="ar-EG"/>
        </w:rPr>
        <w:t>التوصية العامة رقم 5 والتوصية العامة رقم 23</w:t>
      </w:r>
      <w:r>
        <w:rPr>
          <w:rFonts w:hint="cs"/>
          <w:rtl/>
          <w:lang w:bidi="ar-EG"/>
        </w:rPr>
        <w:t xml:space="preserve"> بشأن الحياة السياسية والعامة</w:t>
      </w:r>
      <w:r>
        <w:rPr>
          <w:rFonts w:hint="cs"/>
          <w:vertAlign w:val="superscript"/>
          <w:rtl/>
          <w:lang w:bidi="ar-EG"/>
        </w:rPr>
        <w:t>(59)</w:t>
      </w:r>
      <w:r>
        <w:rPr>
          <w:rFonts w:hint="cs"/>
          <w:rtl/>
          <w:lang w:bidi="ar-EG"/>
        </w:rPr>
        <w:t xml:space="preserve"> ومع المادة 4 الواردة آنفا، ولذا فإنه ينبغي عند قراءتها مراعاة النصوص المذكورة</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التوصية الخاصة رقم 13: الإحصاءات وتدابير ضمان إشراك المرأة بصورة أكبر في أجهزة الإدارة واتخاذ القرارات</w:t>
      </w:r>
    </w:p>
    <w:p w:rsidR="001A2DC6" w:rsidRDefault="001A2DC6" w:rsidP="00A343DF">
      <w:pPr>
        <w:pStyle w:val="SingleTxt"/>
        <w:rPr>
          <w:rFonts w:hint="cs"/>
          <w:b/>
          <w:bCs/>
          <w:rtl/>
          <w:lang w:bidi="ar-EG"/>
        </w:rPr>
      </w:pPr>
    </w:p>
    <w:p w:rsidR="00971AE2" w:rsidRDefault="00971AE2" w:rsidP="00A343DF">
      <w:pPr>
        <w:pStyle w:val="SingleTxt"/>
        <w:rPr>
          <w:rFonts w:hint="cs"/>
          <w:rtl/>
          <w:lang w:bidi="ar-EG"/>
        </w:rPr>
      </w:pPr>
      <w:r>
        <w:rPr>
          <w:rFonts w:hint="cs"/>
          <w:b/>
          <w:bCs/>
          <w:rtl/>
          <w:lang w:bidi="ar-EG"/>
        </w:rPr>
        <w:t>المنجزات التشريعية</w:t>
      </w:r>
    </w:p>
    <w:p w:rsidR="00971AE2" w:rsidRDefault="00971AE2" w:rsidP="00A343DF">
      <w:pPr>
        <w:pStyle w:val="SingleTxt"/>
        <w:rPr>
          <w:rFonts w:hint="cs"/>
          <w:rtl/>
          <w:lang w:bidi="ar-EG"/>
        </w:rPr>
      </w:pPr>
      <w:r>
        <w:rPr>
          <w:rFonts w:hint="cs"/>
          <w:rtl/>
          <w:lang w:bidi="ar-EG"/>
        </w:rPr>
        <w:tab/>
      </w:r>
      <w:r>
        <w:rPr>
          <w:rFonts w:hint="cs"/>
          <w:b/>
          <w:bCs/>
          <w:rtl/>
          <w:lang w:bidi="ar-EG"/>
        </w:rPr>
        <w:t>القانون رقم 581 لسنة 2000</w:t>
      </w:r>
      <w:r>
        <w:rPr>
          <w:rFonts w:hint="cs"/>
          <w:rtl/>
          <w:lang w:bidi="ar-EG"/>
        </w:rPr>
        <w:t>: ينظم مشاركة المرأة بصورة كبيرة وفعالة على مستويات اتخاذ القرارات في مختلف أفرع وأجهزة السلطات العامة</w:t>
      </w:r>
      <w:r w:rsidR="003D7EB4">
        <w:rPr>
          <w:rFonts w:hint="cs"/>
          <w:rtl/>
          <w:lang w:bidi="ar-EG"/>
        </w:rPr>
        <w:t>،</w:t>
      </w:r>
      <w:r>
        <w:rPr>
          <w:rFonts w:hint="cs"/>
          <w:rtl/>
          <w:lang w:bidi="ar-EG"/>
        </w:rPr>
        <w:t xml:space="preserve"> وهو يرمي إلى ضمان تمثيل المرأة بصورة أكبر في إدارة كيانات الدولة على المستويات الوطنية والإقليمية والبلدية والقروية وعلى مستويي المقاطعات والأحياء، وينص على وصول المرأة إلى 30 في المائة على الأقل من المناصب العامة الخاضعة للتسمية الحرة والإقالة على أعلى مستوى لاتخاذ القرارات والمستويات الأخرى التي تمارس فيها إدارة كل هيئة من الهيئات العامة</w:t>
      </w:r>
      <w:r>
        <w:rPr>
          <w:rFonts w:hint="cs"/>
          <w:vertAlign w:val="superscript"/>
          <w:rtl/>
          <w:lang w:bidi="ar-EG"/>
        </w:rPr>
        <w:t>(60)</w:t>
      </w:r>
      <w:r w:rsidR="003D7EB4">
        <w:rPr>
          <w:rFonts w:hint="cs"/>
          <w:rtl/>
          <w:lang w:bidi="ar-EG"/>
        </w:rPr>
        <w:t>،</w:t>
      </w:r>
    </w:p>
    <w:p w:rsidR="00971AE2" w:rsidRDefault="00971AE2" w:rsidP="00A343DF">
      <w:pPr>
        <w:pStyle w:val="SingleTxt"/>
        <w:rPr>
          <w:rFonts w:hint="cs"/>
          <w:rtl/>
          <w:lang w:bidi="ar-EG"/>
        </w:rPr>
      </w:pPr>
      <w:r>
        <w:rPr>
          <w:rFonts w:hint="cs"/>
          <w:rtl/>
          <w:lang w:bidi="ar-EG"/>
        </w:rPr>
        <w:tab/>
      </w:r>
      <w:r>
        <w:rPr>
          <w:rFonts w:hint="cs"/>
          <w:b/>
          <w:bCs/>
          <w:rtl/>
          <w:lang w:bidi="ar-EG"/>
        </w:rPr>
        <w:t>القانون رقم 823 لسنة 2003</w:t>
      </w:r>
      <w:r>
        <w:rPr>
          <w:rFonts w:hint="cs"/>
          <w:rtl/>
          <w:lang w:bidi="ar-EG"/>
        </w:rPr>
        <w:t>: تدابير لإشراك المرأة بصورة أكبر في اتخاذ القرارات سواء في المجال العام أو في المجال الخاص</w:t>
      </w:r>
      <w:r w:rsidR="003D7EB4">
        <w:rPr>
          <w:rFonts w:hint="cs"/>
          <w:rtl/>
          <w:lang w:bidi="ar-EG"/>
        </w:rPr>
        <w:t>،</w:t>
      </w:r>
      <w:r>
        <w:rPr>
          <w:rFonts w:hint="cs"/>
          <w:rtl/>
          <w:lang w:bidi="ar-EG"/>
        </w:rPr>
        <w:t xml:space="preserve"> وفي البند 3 من المادة 4 تتعهد الحكومة بوضع مؤشرات جنسانية في إعداد إحصاءات الهيئات والمؤسسات العامة والخاصة</w:t>
      </w:r>
      <w:r w:rsidR="003D7EB4">
        <w:rPr>
          <w:rFonts w:hint="cs"/>
          <w:rtl/>
          <w:lang w:bidi="ar-EG"/>
        </w:rPr>
        <w:t>،</w:t>
      </w:r>
    </w:p>
    <w:p w:rsidR="00971AE2" w:rsidRDefault="00971AE2" w:rsidP="00A343DF">
      <w:pPr>
        <w:pStyle w:val="SingleTxt"/>
        <w:rPr>
          <w:rFonts w:hint="cs"/>
          <w:rtl/>
          <w:lang w:bidi="ar-EG"/>
        </w:rPr>
      </w:pPr>
      <w:r>
        <w:rPr>
          <w:rFonts w:hint="cs"/>
          <w:b/>
          <w:bCs/>
          <w:rtl/>
          <w:lang w:bidi="ar-EG"/>
        </w:rPr>
        <w:tab/>
        <w:t>المنشور رقم 1000-011 لسنة 2003</w:t>
      </w:r>
      <w:r>
        <w:rPr>
          <w:rFonts w:hint="cs"/>
          <w:rtl/>
          <w:lang w:bidi="ar-EG"/>
        </w:rPr>
        <w:t xml:space="preserve"> للخدمة</w:t>
      </w:r>
      <w:r>
        <w:rPr>
          <w:rFonts w:hint="cs"/>
          <w:rtl/>
        </w:rPr>
        <w:t xml:space="preserve"> التنظيمية الحكومية</w:t>
      </w:r>
      <w:r>
        <w:rPr>
          <w:rFonts w:hint="cs"/>
          <w:rtl/>
          <w:lang w:bidi="ar-EG"/>
        </w:rPr>
        <w:t xml:space="preserve"> الموجه إلى عمدة بوغوتا والمحافظين بشأن تطبيق الأحكام الواردة في القانون رقم 581 لسنة 2000 بشأن إشراك المرأة بصورة كبيرة وفعالة في الإدارة العامة على مستويات اتخاذ القرارات</w:t>
      </w:r>
      <w:r w:rsidR="003D7EB4">
        <w:rPr>
          <w:rFonts w:hint="cs"/>
          <w:rtl/>
          <w:lang w:bidi="ar-EG"/>
        </w:rPr>
        <w:t>،</w:t>
      </w:r>
    </w:p>
    <w:p w:rsidR="00971AE2" w:rsidRPr="001A2DC6" w:rsidRDefault="00971AE2" w:rsidP="00A343DF">
      <w:pPr>
        <w:pStyle w:val="SingleTxt"/>
        <w:rPr>
          <w:rFonts w:hint="cs"/>
          <w:b/>
          <w:bCs/>
          <w:rtl/>
          <w:lang w:bidi="ar-EG"/>
        </w:rPr>
      </w:pPr>
      <w:r w:rsidRPr="001A2DC6">
        <w:rPr>
          <w:rFonts w:hint="cs"/>
          <w:b/>
          <w:bCs/>
          <w:rtl/>
          <w:lang w:bidi="ar-EG"/>
        </w:rPr>
        <w:t>المنجزات القضائية</w:t>
      </w:r>
    </w:p>
    <w:p w:rsidR="00971AE2" w:rsidRDefault="00971AE2" w:rsidP="00A343DF">
      <w:pPr>
        <w:pStyle w:val="SingleTxt"/>
        <w:rPr>
          <w:rFonts w:hint="cs"/>
          <w:rtl/>
          <w:lang w:bidi="ar-EG"/>
        </w:rPr>
      </w:pPr>
      <w:r>
        <w:rPr>
          <w:rFonts w:hint="cs"/>
          <w:b/>
          <w:bCs/>
          <w:rtl/>
          <w:lang w:bidi="ar-EG"/>
        </w:rPr>
        <w:tab/>
        <w:t xml:space="preserve">الحكم </w:t>
      </w:r>
      <w:r w:rsidRPr="001A2DC6">
        <w:rPr>
          <w:rFonts w:hint="cs"/>
          <w:rtl/>
        </w:rPr>
        <w:t>C</w:t>
      </w:r>
      <w:r>
        <w:rPr>
          <w:rFonts w:hint="cs"/>
          <w:b/>
          <w:bCs/>
          <w:rtl/>
          <w:lang w:bidi="ar-EG"/>
        </w:rPr>
        <w:t xml:space="preserve"> - 371 لسنة 2000:</w:t>
      </w:r>
      <w:r>
        <w:rPr>
          <w:rFonts w:hint="cs"/>
          <w:rtl/>
          <w:lang w:bidi="ar-EG"/>
        </w:rPr>
        <w:t xml:space="preserve"> أعلن دستورية قانون الحصص وأجرى تحليلا متعمقا لهذا القانون باعتباره تدبيرا إيجابيا</w:t>
      </w:r>
      <w:r w:rsidR="003D7EB4">
        <w:rPr>
          <w:rFonts w:hint="cs"/>
          <w:rtl/>
          <w:lang w:bidi="ar-EG"/>
        </w:rPr>
        <w:t>،</w:t>
      </w:r>
    </w:p>
    <w:p w:rsidR="00971AE2" w:rsidRPr="001A2DC6" w:rsidRDefault="00971AE2" w:rsidP="00A343DF">
      <w:pPr>
        <w:pStyle w:val="SingleTxt"/>
        <w:rPr>
          <w:rFonts w:hint="cs"/>
          <w:b/>
          <w:bCs/>
          <w:rtl/>
          <w:lang w:bidi="ar-EG"/>
        </w:rPr>
      </w:pPr>
      <w:r w:rsidRPr="001A2DC6">
        <w:rPr>
          <w:rFonts w:hint="cs"/>
          <w:b/>
          <w:bCs/>
          <w:rtl/>
          <w:lang w:bidi="ar-EG"/>
        </w:rPr>
        <w:t>المنجزات الإدارية</w:t>
      </w:r>
    </w:p>
    <w:p w:rsidR="00971AE2" w:rsidRDefault="00971AE2" w:rsidP="00A343DF">
      <w:pPr>
        <w:pStyle w:val="SingleTxt"/>
        <w:rPr>
          <w:rFonts w:hint="cs"/>
          <w:rtl/>
          <w:lang w:bidi="ar-EG"/>
        </w:rPr>
      </w:pPr>
      <w:r>
        <w:rPr>
          <w:rFonts w:hint="cs"/>
          <w:rtl/>
          <w:lang w:bidi="ar-EG"/>
        </w:rPr>
        <w:tab/>
        <w:t xml:space="preserve">قامت وزارة الداخلية/العدل بتنسيق استراتيجية مع الهيئة الاستشارية لرئيس الجمهورية فيما يتعلق بالمساواة بين الرجل والمرأة، في سياق سياسة </w:t>
      </w:r>
      <w:r>
        <w:rPr>
          <w:rFonts w:hint="eastAsia"/>
          <w:rtl/>
          <w:lang w:bidi="ar-EG"/>
        </w:rPr>
        <w:t>”المرأة صانعة السلام وال</w:t>
      </w:r>
      <w:r>
        <w:rPr>
          <w:rFonts w:hint="cs"/>
          <w:rtl/>
          <w:lang w:bidi="ar-EG"/>
        </w:rPr>
        <w:t>ت</w:t>
      </w:r>
      <w:r>
        <w:rPr>
          <w:rFonts w:hint="eastAsia"/>
          <w:rtl/>
          <w:lang w:bidi="ar-EG"/>
        </w:rPr>
        <w:t>ن</w:t>
      </w:r>
      <w:r>
        <w:rPr>
          <w:rFonts w:hint="cs"/>
          <w:rtl/>
          <w:lang w:bidi="ar-EG"/>
        </w:rPr>
        <w:t>مية</w:t>
      </w:r>
      <w:r>
        <w:rPr>
          <w:rFonts w:hint="eastAsia"/>
          <w:rtl/>
          <w:lang w:bidi="ar-EG"/>
        </w:rPr>
        <w:t xml:space="preserve">“ لدعم وزيادة مشاركة المرأة في الأحزاب </w:t>
      </w:r>
      <w:r>
        <w:rPr>
          <w:rFonts w:hint="cs"/>
          <w:rtl/>
          <w:lang w:bidi="ar-EG"/>
        </w:rPr>
        <w:t>و</w:t>
      </w:r>
      <w:r>
        <w:rPr>
          <w:rFonts w:hint="eastAsia"/>
          <w:rtl/>
          <w:lang w:bidi="ar-EG"/>
        </w:rPr>
        <w:t xml:space="preserve">الحركات السياسية، </w:t>
      </w:r>
      <w:r>
        <w:rPr>
          <w:rFonts w:hint="cs"/>
          <w:rtl/>
          <w:lang w:bidi="ar-EG"/>
        </w:rPr>
        <w:t>و</w:t>
      </w:r>
      <w:r>
        <w:rPr>
          <w:rFonts w:hint="eastAsia"/>
          <w:rtl/>
          <w:lang w:bidi="ar-EG"/>
        </w:rPr>
        <w:t>في المناصب التي تُشغل بالاقتراع الشعبي، وفي المناصب العامة، وبصورة رئيسية في المناصب المعنية باتخا</w:t>
      </w:r>
      <w:r>
        <w:rPr>
          <w:rFonts w:hint="cs"/>
          <w:rtl/>
          <w:lang w:bidi="ar-EG"/>
        </w:rPr>
        <w:t>ذ القرارات - وفي المنظمات الاجتماعية، لمتابعة تنفيذ قانون الحصص والتدريب لتطبيقه على نحو صحيح</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ab/>
        <w:t>وتقوم الهيئة الاستشارية لرئيس الجمهورية فيما يتعلق بالمساواة، بدعم من المحافظين والعُمد، بتشجيع مشاركة المرأة عن طريق المجالس النسائية المجتمعية</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 xml:space="preserve">وتنفذ المجالس النسائية المجتمعية، المنشأة لتعزيز وتيسير تنفيذ وممارسة السياسة الوطنية </w:t>
      </w:r>
      <w:r>
        <w:rPr>
          <w:rFonts w:hint="eastAsia"/>
          <w:b/>
          <w:bCs/>
          <w:rtl/>
          <w:lang w:bidi="ar-EG"/>
        </w:rPr>
        <w:t>”المرأة صانعة السلام والتنمية</w:t>
      </w:r>
      <w:r>
        <w:rPr>
          <w:rFonts w:hint="cs"/>
          <w:b/>
          <w:bCs/>
          <w:rtl/>
          <w:lang w:bidi="ar-EG"/>
        </w:rPr>
        <w:t>“، مجالا للحوار بين المرأة والدولة في المقاطعات والبلديات</w:t>
      </w:r>
      <w:r w:rsidR="003D7EB4">
        <w:rPr>
          <w:rFonts w:hint="cs"/>
          <w:b/>
          <w:bCs/>
          <w:rtl/>
          <w:lang w:bidi="ar-EG"/>
        </w:rPr>
        <w:t>،</w:t>
      </w:r>
      <w:r>
        <w:rPr>
          <w:rFonts w:hint="cs"/>
          <w:b/>
          <w:bCs/>
          <w:rtl/>
          <w:lang w:bidi="ar-EG"/>
        </w:rPr>
        <w:t xml:space="preserve"> وهذه المجالس مؤلفة من قادة المنظمات والجماعات السكانية المختلفة وحرم المحافظ أو العمدة أو المسؤولة المختصة، والمندوبة للقطاع النسائي في المجلس الإقليمي للتخطيط وممثلات الأفريقيات الكولومبيات والريفيات والأكاديميات أو المعلمات، ومنظمات المشاريع ونساء السكان الأصليين وممثلات القطاع العمالي (العام أو الخاص)، والنساء المنتخبات بالاقتراع الشعبي (مجلس العمل المجتمعي والمسؤولة البلدية والمستشارة والعمدة)، وجمعيات رئيسات الأسر ومنظمات الشباب</w:t>
      </w:r>
      <w:r>
        <w:rPr>
          <w:rFonts w:hint="cs"/>
          <w:b/>
          <w:bCs/>
          <w:vertAlign w:val="superscript"/>
          <w:rtl/>
          <w:lang w:bidi="ar-EG"/>
        </w:rPr>
        <w:t>(61)</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 xml:space="preserve">وقام مكتب محامي الشعب بالاتفاق مع </w:t>
      </w:r>
      <w:r>
        <w:rPr>
          <w:rFonts w:hint="cs"/>
          <w:b/>
          <w:bCs/>
          <w:rtl/>
          <w:lang w:bidi="ar-EG"/>
        </w:rPr>
        <w:t>الهيئة الاستشارية لرئيس الجمهورية فيما يتعلق بالمساواة</w:t>
      </w:r>
      <w:r>
        <w:rPr>
          <w:rFonts w:hint="cs"/>
          <w:rtl/>
          <w:lang w:bidi="ar-EG"/>
        </w:rPr>
        <w:t xml:space="preserve"> و </w:t>
      </w:r>
      <w:r>
        <w:t>FESCOL</w:t>
      </w:r>
      <w:r>
        <w:rPr>
          <w:rFonts w:hint="cs"/>
          <w:rtl/>
          <w:lang w:bidi="ar-EG"/>
        </w:rPr>
        <w:t>، بإنشاء آلية متابعة لتنفيذ قانون الحصص في البلديات (1098) ونفذت عملية تثقيفية عن طريق كراسات وملصقات واتصالات بالعمد وسائر مديري الهيئات العامة</w:t>
      </w:r>
      <w:r>
        <w:rPr>
          <w:rFonts w:hint="cs"/>
          <w:vertAlign w:val="superscript"/>
          <w:rtl/>
          <w:lang w:bidi="ar-EG"/>
        </w:rPr>
        <w:t>(62)</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ab/>
        <w:t>ومن أجل حملة تعزيز القانون رقم 581 لسنة 2000 في المقاطعات والبلديات التي كانت توجد فيها إدارات جديدة في 1 كانون الثاني/يناير 2004، أُرسلت كراسة تفسيرية كاملة للقانون</w:t>
      </w:r>
      <w:r w:rsidR="003D7EB4">
        <w:rPr>
          <w:rFonts w:hint="cs"/>
          <w:b/>
          <w:bCs/>
          <w:rtl/>
          <w:lang w:bidi="ar-EG"/>
        </w:rPr>
        <w:t>،</w:t>
      </w:r>
      <w:r>
        <w:rPr>
          <w:rFonts w:hint="cs"/>
          <w:b/>
          <w:bCs/>
          <w:rtl/>
          <w:lang w:bidi="ar-EG"/>
        </w:rPr>
        <w:t xml:space="preserve"> كما أُبلغ العمد والمحافظون والمساعدون شفويا في الاجتماعات المشتركة بالقانون المذكور والعقوبات المفروضة على عدم امتثاله ووُزعت كراسات تشتمل على ملخص لمضمونه ووُصفت طريقة تنفيذ القانون</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 xml:space="preserve">ولغرض تحديد مدى شغل النساء للمناصب العامة يوجد لدى </w:t>
      </w:r>
      <w:r>
        <w:rPr>
          <w:b/>
          <w:bCs/>
          <w:rtl/>
          <w:lang w:bidi="ar-EG"/>
        </w:rPr>
        <w:t>الإدارة التنظيمية للخدمة العامة</w:t>
      </w:r>
      <w:r>
        <w:rPr>
          <w:rFonts w:hint="cs"/>
          <w:b/>
          <w:bCs/>
          <w:rtl/>
          <w:lang w:bidi="ar-EG"/>
        </w:rPr>
        <w:t xml:space="preserve"> نظام للمعلومات الإدارية يغذى بالبيانات التي تقدمها هيئات الأفرع الثلاثة للسلطات العامة والهيئات المستقلة وأجهزة الرقابة والرصد وهيئة الانتخابات</w:t>
      </w:r>
      <w:r w:rsidR="003D7EB4">
        <w:rPr>
          <w:rFonts w:hint="cs"/>
          <w:b/>
          <w:bCs/>
          <w:rtl/>
          <w:lang w:bidi="ar-EG"/>
        </w:rPr>
        <w:t>،</w:t>
      </w:r>
      <w:r>
        <w:rPr>
          <w:rFonts w:hint="cs"/>
          <w:b/>
          <w:bCs/>
          <w:rtl/>
          <w:lang w:bidi="ar-EG"/>
        </w:rPr>
        <w:t xml:space="preserve"> وتقدم </w:t>
      </w:r>
      <w:r>
        <w:rPr>
          <w:b/>
          <w:bCs/>
          <w:rtl/>
          <w:lang w:bidi="ar-EG"/>
        </w:rPr>
        <w:t>الإدارة التنظيمية للخدمة العامة</w:t>
      </w:r>
      <w:r>
        <w:rPr>
          <w:rFonts w:hint="cs"/>
          <w:b/>
          <w:bCs/>
          <w:rtl/>
          <w:lang w:bidi="ar-EG"/>
        </w:rPr>
        <w:t xml:space="preserve"> تقرير المنجزات المحرزة في مجال المشاركة في أيار/مايو 2004</w:t>
      </w:r>
      <w:r w:rsidR="003D7EB4">
        <w:rPr>
          <w:rFonts w:hint="cs"/>
          <w:b/>
          <w:bCs/>
          <w:rtl/>
          <w:lang w:bidi="ar-EG"/>
        </w:rPr>
        <w:t>،</w:t>
      </w:r>
    </w:p>
    <w:p w:rsidR="00971AE2" w:rsidRDefault="00971AE2" w:rsidP="00A343DF">
      <w:pPr>
        <w:pStyle w:val="SingleTxt"/>
        <w:rPr>
          <w:rFonts w:hint="cs"/>
          <w:rtl/>
          <w:lang w:bidi="ar-EG"/>
        </w:rPr>
      </w:pPr>
      <w:r>
        <w:rPr>
          <w:rFonts w:hint="cs"/>
          <w:b/>
          <w:bCs/>
          <w:rtl/>
          <w:lang w:bidi="ar-EG"/>
        </w:rPr>
        <w:tab/>
        <w:t>وتنسق الهيئة الاستشارية لرئيس الجمهورية فيما يتعلق بالمساواة عمليات إصدار اللوائح التنفيذية للقانون رقم 82 لسنة 1993 والقانون رقم 731 لسنة 2002، اللذين دعيت فيهما مختلف المنظمات النسائية المعنية بهذا الموضوع إلى المشاركة بصورة إيجابية</w:t>
      </w:r>
      <w:r w:rsidR="003D7EB4">
        <w:rPr>
          <w:rFonts w:hint="cs"/>
          <w:b/>
          <w:bCs/>
          <w:rtl/>
          <w:lang w:bidi="ar-EG"/>
        </w:rPr>
        <w:t>،</w:t>
      </w:r>
    </w:p>
    <w:p w:rsidR="00971AE2" w:rsidRDefault="00971AE2" w:rsidP="00A343DF">
      <w:pPr>
        <w:pStyle w:val="SingleTxt"/>
        <w:rPr>
          <w:rFonts w:hint="cs"/>
          <w:rtl/>
          <w:lang w:bidi="ar-EG"/>
        </w:rPr>
      </w:pPr>
      <w:r>
        <w:rPr>
          <w:rFonts w:hint="cs"/>
          <w:b/>
          <w:bCs/>
          <w:rtl/>
          <w:lang w:bidi="ar-EG"/>
        </w:rPr>
        <w:tab/>
        <w:t>و</w:t>
      </w:r>
      <w:r>
        <w:rPr>
          <w:rFonts w:hint="cs"/>
          <w:rtl/>
          <w:lang w:bidi="ar-EG"/>
        </w:rPr>
        <w:t>تقوم وزارة الخارجية و</w:t>
      </w:r>
      <w:r>
        <w:rPr>
          <w:rFonts w:hint="cs"/>
          <w:b/>
          <w:bCs/>
          <w:rtl/>
          <w:lang w:bidi="ar-EG"/>
        </w:rPr>
        <w:t>الهيئة الاستشارية لرئيس الجمهورية فيما يتعلق بالمساواة</w:t>
      </w:r>
      <w:r>
        <w:rPr>
          <w:rFonts w:hint="cs"/>
          <w:rtl/>
          <w:lang w:bidi="ar-EG"/>
        </w:rPr>
        <w:t xml:space="preserve"> بتنسيق برنامج مشترك بين القطاعات لتنسيق عملية تنفيذ ونشر قرار الأمم المتحدة رقم 1325 الصادر في سنة 2000، على المستوى الداخلي</w:t>
      </w:r>
      <w:r w:rsidR="003D7EB4">
        <w:rPr>
          <w:rFonts w:hint="cs"/>
          <w:rtl/>
          <w:lang w:bidi="ar-EG"/>
        </w:rPr>
        <w:t>،</w:t>
      </w:r>
      <w:r>
        <w:rPr>
          <w:rFonts w:hint="cs"/>
          <w:rtl/>
          <w:lang w:bidi="ar-EG"/>
        </w:rPr>
        <w:t xml:space="preserve"> وتحقيقا لهذه الغاية أُنشئ المكتب المعني بالمرأة والسلم والأمن بهدف تنسيق الجهود بشأن موضوع المرأة ومساهمتها في إقرار وصيانة السلم والأمن</w:t>
      </w:r>
      <w:r>
        <w:rPr>
          <w:rFonts w:hint="cs"/>
          <w:vertAlign w:val="superscript"/>
          <w:rtl/>
          <w:lang w:bidi="ar-EG"/>
        </w:rPr>
        <w:t>(63)</w:t>
      </w:r>
      <w:r w:rsidR="003D7EB4">
        <w:rPr>
          <w:rFonts w:hint="cs"/>
          <w:rtl/>
          <w:lang w:bidi="ar-EG"/>
        </w:rPr>
        <w:t>،</w:t>
      </w:r>
      <w:r>
        <w:rPr>
          <w:rFonts w:hint="cs"/>
          <w:rtl/>
          <w:lang w:bidi="ar-EG"/>
        </w:rPr>
        <w:t xml:space="preserve"> وفي 24 تشرين الثاني/نوفمبر 2003 عُقد محفل معني بالقرار رقم 1325 الصادر في سنة 2000 شارك فيه معهد الأمم المتحدة للنهوض بالمرأة ومفوضية السلم وبعض وكالات التعاون الدولي وبعض الأكاديميين والموظفين الحكوميين وأعضاء المنظمات النسائية الذين عملوا في صياغة برامج السلم، بهدف بدء عملية تفكير في القرار رقم 1325</w:t>
      </w:r>
      <w:r w:rsidR="003D7EB4">
        <w:rPr>
          <w:rFonts w:hint="cs"/>
          <w:rtl/>
          <w:lang w:bidi="ar-EG"/>
        </w:rPr>
        <w:t>،</w:t>
      </w:r>
    </w:p>
    <w:p w:rsidR="00971AE2" w:rsidRDefault="00971AE2" w:rsidP="00A343DF">
      <w:pPr>
        <w:pStyle w:val="SingleTxt"/>
        <w:rPr>
          <w:rFonts w:hint="cs"/>
          <w:b/>
          <w:bCs/>
          <w:rtl/>
          <w:lang w:bidi="ar-EG"/>
        </w:rPr>
      </w:pPr>
      <w:r>
        <w:rPr>
          <w:rFonts w:hint="cs"/>
          <w:rtl/>
          <w:lang w:bidi="ar-EG"/>
        </w:rPr>
        <w:tab/>
        <w:t>و</w:t>
      </w:r>
      <w:r>
        <w:rPr>
          <w:rFonts w:hint="cs"/>
          <w:b/>
          <w:bCs/>
          <w:rtl/>
          <w:lang w:bidi="ar-EG"/>
        </w:rPr>
        <w:t>أعدت الهيئة الاستشارية لرئيس الجمهورية فيما يتعلق بالمساواة التقرير الذي يسرد تنفيذ القرار 1325</w:t>
      </w:r>
      <w:r w:rsidR="003D7EB4">
        <w:rPr>
          <w:rFonts w:hint="cs"/>
          <w:b/>
          <w:bCs/>
          <w:rtl/>
          <w:lang w:bidi="ar-EG"/>
        </w:rPr>
        <w:t>،</w:t>
      </w:r>
      <w:r>
        <w:rPr>
          <w:rFonts w:hint="cs"/>
          <w:b/>
          <w:bCs/>
          <w:rtl/>
          <w:lang w:bidi="ar-EG"/>
        </w:rPr>
        <w:t xml:space="preserve"> ووفقا للمعلومات الواردة من 112 هيئة من هيئات النظام العام في النظام الوحيد للمعلومات المتعلقة بالموظفين كان يوجد في 31 كانون الأول/ديسمبر 2003، 414 2 وظيفة على المستوى الإداري، كانت النساء تشغل منها 682 وظيفة، وهذا العدد يعني أن مشاركة المرأة على المستويات الإدارية كانت تبلغ نحو 28 في المائة</w:t>
      </w:r>
      <w:r>
        <w:rPr>
          <w:rFonts w:hint="cs"/>
          <w:b/>
          <w:bCs/>
          <w:vertAlign w:val="superscript"/>
          <w:rtl/>
          <w:lang w:bidi="ar-EG"/>
        </w:rPr>
        <w:t>(64)</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 xml:space="preserve">وفيما يتعلق بهيئات النظام العام أصدرت </w:t>
      </w:r>
      <w:r>
        <w:rPr>
          <w:b/>
          <w:bCs/>
          <w:rtl/>
          <w:lang w:bidi="ar-EG"/>
        </w:rPr>
        <w:t>الإدارة التنظيمية للخدمة العامة</w:t>
      </w:r>
      <w:r>
        <w:rPr>
          <w:rFonts w:hint="cs"/>
          <w:b/>
          <w:bCs/>
          <w:rtl/>
          <w:lang w:bidi="ar-EG"/>
        </w:rPr>
        <w:t xml:space="preserve"> إلى مكتب كبير عُمد بوغوتا والمحافظين المنشور رقم 1000-011 الصادر في 1 كانون الأول/ديسمبر 2003، الذي طلبت فيه تقديم معلومات في هذا الشأن</w:t>
      </w:r>
      <w:r w:rsidR="003D7EB4">
        <w:rPr>
          <w:rFonts w:hint="cs"/>
          <w:b/>
          <w:bCs/>
          <w:rtl/>
          <w:lang w:bidi="ar-EG"/>
        </w:rPr>
        <w:t>،</w:t>
      </w:r>
      <w:r>
        <w:rPr>
          <w:rFonts w:hint="cs"/>
          <w:b/>
          <w:bCs/>
          <w:rtl/>
          <w:lang w:bidi="ar-EG"/>
        </w:rPr>
        <w:t xml:space="preserve"> وبناء على الأرقام الواردة من 11 هيئة إقليمية (10 مقاطعات والعاصمة) وُجد أن النسبة المئوية العامة لمشاركة المرأة تبلغ 53</w:t>
      </w:r>
      <w:r w:rsidR="00FC46DD">
        <w:rPr>
          <w:rFonts w:hint="cs"/>
          <w:b/>
          <w:bCs/>
          <w:rtl/>
          <w:lang w:bidi="ar-EG"/>
        </w:rPr>
        <w:t>.</w:t>
      </w:r>
      <w:r>
        <w:rPr>
          <w:rFonts w:hint="cs"/>
          <w:b/>
          <w:bCs/>
          <w:rtl/>
          <w:lang w:bidi="ar-EG"/>
        </w:rPr>
        <w:t>81 في المائة</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وقد ازدادت مشاركة المرأة في المناصب المعنية باتخاذ القرارات في الفرع التنفيذي والفرع القضائي من السلطات العامة ازديادا كبيرا بعد صدور القانون رقم 581 لسنة 2000</w:t>
      </w:r>
      <w:r w:rsidR="003D7EB4">
        <w:rPr>
          <w:rFonts w:hint="cs"/>
          <w:rtl/>
          <w:lang w:bidi="ar-EG"/>
        </w:rPr>
        <w:t>،</w:t>
      </w:r>
      <w:r>
        <w:rPr>
          <w:rFonts w:hint="cs"/>
          <w:rtl/>
          <w:lang w:bidi="ar-EG"/>
        </w:rPr>
        <w:t xml:space="preserve"> وكانت زيادة مشاركة المرأة في المناصب التي تُشغل بالاقتراع الشعبي مطردة بشكل تدريجي، وإن كانت أبطأ</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ولمعرفة سلوك المتغير الجنساني في توفير المناصب العامة في النظامين الوطني والإقليمي اتخذت </w:t>
      </w:r>
      <w:r>
        <w:rPr>
          <w:rFonts w:hint="cs"/>
          <w:b/>
          <w:bCs/>
          <w:rtl/>
          <w:lang w:bidi="ar-EG"/>
        </w:rPr>
        <w:t>الإدارة التنظيمية للخدمة الحكومية</w:t>
      </w:r>
      <w:r>
        <w:rPr>
          <w:rFonts w:hint="cs"/>
          <w:rtl/>
          <w:lang w:bidi="ar-EG"/>
        </w:rPr>
        <w:t xml:space="preserve"> إجراءات ترمي إلى جمع معلومات من داخل الهيئات، وهي إجراءات تسهم في استرعاء انتباه المسؤولين القائمين بالتسمية إلى هذا الموضوع وإلى التعرف على الدور الذي يمكن أن تؤديه المرأة في الإدارة وإلى زيادة إشراك المرأة بصورة تدريجية في الإدارة العامة</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ab/>
        <w:t>وفيما يتعلق بأحكام القانون رقم 581 لسنة 2000، وبالإشارة إلى أن الحد الأدنى لشغل المرأة للوظائف على المستوى الإداري هو 30 في المائة، فإن الأرقام الموجودة تبين أن مشاركة المرأة في أجهزة الرقابة والرصد أكبر (49</w:t>
      </w:r>
      <w:r w:rsidR="00FC46DD">
        <w:rPr>
          <w:rFonts w:hint="cs"/>
          <w:b/>
          <w:bCs/>
          <w:rtl/>
          <w:lang w:bidi="ar-EG"/>
        </w:rPr>
        <w:t>.</w:t>
      </w:r>
      <w:r>
        <w:rPr>
          <w:rFonts w:hint="cs"/>
          <w:b/>
          <w:bCs/>
          <w:rtl/>
          <w:lang w:bidi="ar-EG"/>
        </w:rPr>
        <w:t>74 في المائة) وفي الفرع التشريعي أصغر (15</w:t>
      </w:r>
      <w:r w:rsidR="00FC46DD">
        <w:rPr>
          <w:rFonts w:hint="cs"/>
          <w:b/>
          <w:bCs/>
          <w:rtl/>
          <w:lang w:bidi="ar-EG"/>
        </w:rPr>
        <w:t>.</w:t>
      </w:r>
      <w:r>
        <w:rPr>
          <w:rFonts w:hint="cs"/>
          <w:b/>
          <w:bCs/>
          <w:rtl/>
          <w:lang w:bidi="ar-EG"/>
        </w:rPr>
        <w:t>79 في المائة)</w:t>
      </w:r>
      <w:r w:rsidR="003D7EB4">
        <w:rPr>
          <w:rFonts w:hint="cs"/>
          <w:b/>
          <w:bCs/>
          <w:rtl/>
          <w:lang w:bidi="ar-EG"/>
        </w:rPr>
        <w:t>،</w:t>
      </w:r>
    </w:p>
    <w:p w:rsidR="00971AE2" w:rsidRDefault="00971AE2" w:rsidP="00A343DF">
      <w:pPr>
        <w:pStyle w:val="SingleTxt"/>
        <w:rPr>
          <w:rFonts w:hint="cs"/>
          <w:rtl/>
          <w:lang w:bidi="ar-EG"/>
        </w:rPr>
      </w:pPr>
      <w:r>
        <w:rPr>
          <w:rFonts w:hint="cs"/>
          <w:b/>
          <w:bCs/>
          <w:rtl/>
          <w:lang w:bidi="ar-EG"/>
        </w:rPr>
        <w:tab/>
        <w:t>وإذا جُمعت المستويات الهرمية في الفئات العليا (الإدارية والتنفيذية وفئة الخبراء) والمتوسطة (المهنية والفنية) والمساعدة نجد أن مشاركة المرأة في الفرع التنفيذي للسلطات العامة هي كما يلي: المستوى العلوي (32</w:t>
      </w:r>
      <w:r w:rsidR="00FC46DD">
        <w:rPr>
          <w:rFonts w:hint="cs"/>
          <w:b/>
          <w:bCs/>
          <w:rtl/>
          <w:lang w:bidi="ar-EG"/>
        </w:rPr>
        <w:t>.</w:t>
      </w:r>
      <w:r>
        <w:rPr>
          <w:rFonts w:hint="cs"/>
          <w:b/>
          <w:bCs/>
          <w:rtl/>
          <w:lang w:bidi="ar-EG"/>
        </w:rPr>
        <w:t>24 في المائة): 363 1 منصبا من 228 4، والمستوى المتوسط (37</w:t>
      </w:r>
      <w:r w:rsidR="00FC46DD">
        <w:rPr>
          <w:rFonts w:hint="cs"/>
          <w:b/>
          <w:bCs/>
          <w:rtl/>
          <w:lang w:bidi="ar-EG"/>
        </w:rPr>
        <w:t>.</w:t>
      </w:r>
      <w:r>
        <w:rPr>
          <w:rFonts w:hint="cs"/>
          <w:b/>
          <w:bCs/>
          <w:rtl/>
          <w:lang w:bidi="ar-EG"/>
        </w:rPr>
        <w:t>76 في المائة)؛ 385 13 وظيفة من 452 35؛ والفئة المساعدة (34</w:t>
      </w:r>
      <w:r w:rsidR="00FC46DD">
        <w:rPr>
          <w:rFonts w:hint="cs"/>
          <w:b/>
          <w:bCs/>
          <w:rtl/>
          <w:lang w:bidi="ar-EG"/>
        </w:rPr>
        <w:t>.</w:t>
      </w:r>
      <w:r>
        <w:rPr>
          <w:rFonts w:hint="cs"/>
          <w:b/>
          <w:bCs/>
          <w:rtl/>
          <w:lang w:bidi="ar-EG"/>
        </w:rPr>
        <w:t>63 في المائة)؛ 346 11 وظيفة من 768 32</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ونقدم في الجداول التالية الأرقام الموحدة للنظام الوطني</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المشاركة السياسية للمرأة في مناصب الإدارة العامة في النظام الوطني، 2003</w:t>
      </w:r>
    </w:p>
    <w:p w:rsidR="00971AE2" w:rsidRDefault="00971AE2" w:rsidP="00A343DF">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300"/>
        <w:gridCol w:w="618"/>
        <w:gridCol w:w="824"/>
        <w:gridCol w:w="1030"/>
        <w:gridCol w:w="824"/>
        <w:gridCol w:w="721"/>
        <w:gridCol w:w="1005"/>
      </w:tblGrid>
      <w:tr w:rsidR="00971AE2" w:rsidRPr="004D6A9B">
        <w:tblPrEx>
          <w:tblCellMar>
            <w:top w:w="0" w:type="dxa"/>
            <w:bottom w:w="0" w:type="dxa"/>
          </w:tblCellMar>
        </w:tblPrEx>
        <w:trPr>
          <w:cantSplit/>
          <w:tblHeader/>
        </w:trPr>
        <w:tc>
          <w:tcPr>
            <w:tcW w:w="2300" w:type="dxa"/>
            <w:tcBorders>
              <w:top w:val="single" w:sz="4"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p>
        </w:tc>
        <w:tc>
          <w:tcPr>
            <w:tcW w:w="2472" w:type="dxa"/>
            <w:gridSpan w:val="3"/>
            <w:tcBorders>
              <w:top w:val="single" w:sz="4"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المستوى الإداري</w:t>
            </w:r>
          </w:p>
        </w:tc>
        <w:tc>
          <w:tcPr>
            <w:tcW w:w="2550" w:type="dxa"/>
            <w:gridSpan w:val="3"/>
            <w:tcBorders>
              <w:top w:val="single" w:sz="4"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المستوى التنفيذي</w:t>
            </w:r>
          </w:p>
        </w:tc>
      </w:tr>
      <w:tr w:rsidR="00971AE2" w:rsidRPr="004D6A9B">
        <w:tblPrEx>
          <w:tblCellMar>
            <w:top w:w="0" w:type="dxa"/>
            <w:bottom w:w="0" w:type="dxa"/>
          </w:tblCellMar>
        </w:tblPrEx>
        <w:trPr>
          <w:cantSplit/>
          <w:tblHeader/>
        </w:trPr>
        <w:tc>
          <w:tcPr>
            <w:tcW w:w="2300"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after="80" w:line="240" w:lineRule="exact"/>
              <w:ind w:right="40"/>
              <w:jc w:val="lowKashida"/>
              <w:rPr>
                <w:rFonts w:hint="cs"/>
                <w:i/>
                <w:iCs/>
                <w:sz w:val="24"/>
                <w:szCs w:val="24"/>
                <w:rtl/>
                <w:lang w:bidi="ar-EG"/>
              </w:rPr>
            </w:pPr>
            <w:r w:rsidRPr="004D6A9B">
              <w:rPr>
                <w:rFonts w:hint="cs"/>
                <w:i/>
                <w:iCs/>
                <w:sz w:val="24"/>
                <w:szCs w:val="24"/>
                <w:rtl/>
                <w:lang w:bidi="ar-EG"/>
              </w:rPr>
              <w:t>الكيان</w:t>
            </w:r>
          </w:p>
        </w:tc>
        <w:tc>
          <w:tcPr>
            <w:tcW w:w="618"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after="80" w:line="240" w:lineRule="exact"/>
              <w:ind w:right="144"/>
              <w:jc w:val="lowKashida"/>
              <w:rPr>
                <w:rFonts w:hint="cs"/>
                <w:i/>
                <w:iCs/>
                <w:sz w:val="24"/>
                <w:szCs w:val="24"/>
                <w:rtl/>
                <w:lang w:bidi="ar-EG"/>
              </w:rPr>
            </w:pPr>
            <w:r w:rsidRPr="004D6A9B">
              <w:rPr>
                <w:rFonts w:hint="cs"/>
                <w:i/>
                <w:iCs/>
                <w:sz w:val="24"/>
                <w:szCs w:val="24"/>
                <w:rtl/>
                <w:lang w:bidi="ar-EG"/>
              </w:rPr>
              <w:t>مجموع النساء</w:t>
            </w:r>
          </w:p>
        </w:tc>
        <w:tc>
          <w:tcPr>
            <w:tcW w:w="824"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after="80" w:line="240" w:lineRule="exact"/>
              <w:ind w:right="144"/>
              <w:jc w:val="lowKashida"/>
              <w:rPr>
                <w:rFonts w:hint="cs"/>
                <w:i/>
                <w:iCs/>
                <w:sz w:val="24"/>
                <w:szCs w:val="24"/>
                <w:rtl/>
                <w:lang w:bidi="ar-EG"/>
              </w:rPr>
            </w:pPr>
            <w:r w:rsidRPr="004D6A9B">
              <w:rPr>
                <w:rFonts w:hint="cs"/>
                <w:i/>
                <w:iCs/>
                <w:sz w:val="24"/>
                <w:szCs w:val="24"/>
                <w:rtl/>
                <w:lang w:bidi="ar-EG"/>
              </w:rPr>
              <w:t>مجموع الموظفين</w:t>
            </w:r>
          </w:p>
        </w:tc>
        <w:tc>
          <w:tcPr>
            <w:tcW w:w="1030"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after="80" w:line="240" w:lineRule="exact"/>
              <w:ind w:right="144"/>
              <w:jc w:val="lowKashida"/>
              <w:rPr>
                <w:rFonts w:hint="cs"/>
                <w:i/>
                <w:iCs/>
                <w:sz w:val="24"/>
                <w:szCs w:val="24"/>
                <w:rtl/>
                <w:lang w:bidi="ar-EG"/>
              </w:rPr>
            </w:pPr>
            <w:r w:rsidRPr="004D6A9B">
              <w:rPr>
                <w:rFonts w:hint="cs"/>
                <w:i/>
                <w:iCs/>
                <w:sz w:val="24"/>
                <w:szCs w:val="24"/>
                <w:rtl/>
                <w:lang w:bidi="ar-EG"/>
              </w:rPr>
              <w:t>النسبة المئوية للنساء</w:t>
            </w:r>
          </w:p>
        </w:tc>
        <w:tc>
          <w:tcPr>
            <w:tcW w:w="824"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after="80" w:line="240" w:lineRule="exact"/>
              <w:ind w:right="144"/>
              <w:jc w:val="lowKashida"/>
              <w:rPr>
                <w:rFonts w:hint="cs"/>
                <w:i/>
                <w:iCs/>
                <w:sz w:val="24"/>
                <w:szCs w:val="24"/>
                <w:rtl/>
                <w:lang w:bidi="ar-EG"/>
              </w:rPr>
            </w:pPr>
            <w:r w:rsidRPr="004D6A9B">
              <w:rPr>
                <w:rFonts w:hint="cs"/>
                <w:i/>
                <w:iCs/>
                <w:sz w:val="24"/>
                <w:szCs w:val="24"/>
                <w:rtl/>
                <w:lang w:bidi="ar-EG"/>
              </w:rPr>
              <w:t>مجموع النساء</w:t>
            </w:r>
          </w:p>
        </w:tc>
        <w:tc>
          <w:tcPr>
            <w:tcW w:w="721"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after="80" w:line="240" w:lineRule="exact"/>
              <w:ind w:right="144"/>
              <w:jc w:val="lowKashida"/>
              <w:rPr>
                <w:rFonts w:hint="cs"/>
                <w:i/>
                <w:iCs/>
                <w:sz w:val="24"/>
                <w:szCs w:val="24"/>
                <w:rtl/>
                <w:lang w:bidi="ar-EG"/>
              </w:rPr>
            </w:pPr>
            <w:r w:rsidRPr="004D6A9B">
              <w:rPr>
                <w:rFonts w:hint="cs"/>
                <w:i/>
                <w:iCs/>
                <w:sz w:val="24"/>
                <w:szCs w:val="24"/>
                <w:rtl/>
                <w:lang w:bidi="ar-EG"/>
              </w:rPr>
              <w:t>مجموع الموظفين</w:t>
            </w:r>
          </w:p>
        </w:tc>
        <w:tc>
          <w:tcPr>
            <w:tcW w:w="1005"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after="80" w:line="240" w:lineRule="exact"/>
              <w:ind w:right="144"/>
              <w:jc w:val="lowKashida"/>
              <w:rPr>
                <w:rFonts w:hint="cs"/>
                <w:i/>
                <w:iCs/>
                <w:sz w:val="24"/>
                <w:szCs w:val="24"/>
                <w:rtl/>
                <w:lang w:bidi="ar-EG"/>
              </w:rPr>
            </w:pPr>
            <w:r w:rsidRPr="004D6A9B">
              <w:rPr>
                <w:rFonts w:hint="cs"/>
                <w:i/>
                <w:iCs/>
                <w:sz w:val="24"/>
                <w:szCs w:val="24"/>
                <w:rtl/>
                <w:lang w:bidi="ar-EG"/>
              </w:rPr>
              <w:t>النسبة المئوية للنساء</w:t>
            </w:r>
          </w:p>
        </w:tc>
      </w:tr>
      <w:tr w:rsidR="00971AE2" w:rsidRPr="004D6A9B">
        <w:tblPrEx>
          <w:tblCellMar>
            <w:top w:w="0" w:type="dxa"/>
            <w:bottom w:w="0" w:type="dxa"/>
          </w:tblCellMar>
        </w:tblPrEx>
        <w:trPr>
          <w:cantSplit/>
          <w:trHeight w:hRule="exact" w:val="115"/>
          <w:tblHeader/>
        </w:trPr>
        <w:tc>
          <w:tcPr>
            <w:tcW w:w="2300"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618"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1030"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1005"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الوزارات</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80</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235</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34</w:t>
            </w:r>
            <w:r w:rsidR="00FC46DD">
              <w:rPr>
                <w:rFonts w:hint="cs"/>
                <w:sz w:val="24"/>
                <w:szCs w:val="24"/>
                <w:rtl/>
                <w:lang w:bidi="ar-EG"/>
              </w:rPr>
              <w:t>.</w:t>
            </w:r>
            <w:r w:rsidRPr="004D6A9B">
              <w:rPr>
                <w:rFonts w:hint="cs"/>
                <w:sz w:val="24"/>
                <w:szCs w:val="24"/>
                <w:rtl/>
                <w:lang w:bidi="ar-EG"/>
              </w:rPr>
              <w:t>04</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36</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36</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الإدارات التنظيمية</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11</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44</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25</w:t>
            </w:r>
            <w:r w:rsidR="00FC46DD">
              <w:rPr>
                <w:rFonts w:hint="cs"/>
                <w:sz w:val="24"/>
                <w:szCs w:val="24"/>
                <w:rtl/>
                <w:lang w:bidi="ar-EG"/>
              </w:rPr>
              <w:t>.</w:t>
            </w:r>
            <w:r w:rsidRPr="004D6A9B">
              <w:rPr>
                <w:rFonts w:hint="cs"/>
                <w:sz w:val="24"/>
                <w:szCs w:val="24"/>
                <w:rtl/>
                <w:lang w:bidi="ar-EG"/>
              </w:rPr>
              <w:t>00</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30</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الهيئات الاشرافية</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116</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21</w:t>
            </w:r>
            <w:r w:rsidR="00FC46DD">
              <w:rPr>
                <w:rFonts w:hint="cs"/>
                <w:sz w:val="24"/>
                <w:szCs w:val="24"/>
                <w:rtl/>
                <w:lang w:bidi="ar-EG"/>
              </w:rPr>
              <w:t>.</w:t>
            </w:r>
            <w:r w:rsidRPr="004D6A9B">
              <w:rPr>
                <w:rFonts w:hint="cs"/>
                <w:sz w:val="24"/>
                <w:szCs w:val="24"/>
                <w:rtl/>
                <w:lang w:bidi="ar-EG"/>
              </w:rPr>
              <w:t>55</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123</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78</w:t>
            </w:r>
            <w:r w:rsidR="00FC46DD">
              <w:rPr>
                <w:rFonts w:hint="cs"/>
                <w:sz w:val="24"/>
                <w:szCs w:val="24"/>
                <w:rtl/>
                <w:lang w:bidi="ar-EG"/>
              </w:rPr>
              <w:t>.</w:t>
            </w:r>
            <w:r w:rsidRPr="004D6A9B">
              <w:rPr>
                <w:rFonts w:hint="cs"/>
                <w:sz w:val="24"/>
                <w:szCs w:val="24"/>
                <w:rtl/>
                <w:lang w:bidi="ar-EG"/>
              </w:rPr>
              <w:t>86</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المؤسسات الاجتماعية للدولة</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66</w:t>
            </w:r>
            <w:r w:rsidR="00FC46DD">
              <w:rPr>
                <w:rFonts w:hint="cs"/>
                <w:sz w:val="24"/>
                <w:szCs w:val="24"/>
                <w:rtl/>
                <w:lang w:bidi="ar-EG"/>
              </w:rPr>
              <w:t>.</w:t>
            </w:r>
            <w:r w:rsidRPr="004D6A9B">
              <w:rPr>
                <w:rFonts w:hint="cs"/>
                <w:sz w:val="24"/>
                <w:szCs w:val="24"/>
                <w:rtl/>
                <w:lang w:bidi="ar-EG"/>
              </w:rPr>
              <w:t>67</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الشركات الصناعية والتجارية</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49</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214</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22</w:t>
            </w:r>
            <w:r w:rsidR="00FC46DD">
              <w:rPr>
                <w:rFonts w:hint="cs"/>
                <w:sz w:val="24"/>
                <w:szCs w:val="24"/>
                <w:rtl/>
                <w:lang w:bidi="ar-EG"/>
              </w:rPr>
              <w:t>.</w:t>
            </w:r>
            <w:r w:rsidRPr="004D6A9B">
              <w:rPr>
                <w:rFonts w:hint="cs"/>
                <w:sz w:val="24"/>
                <w:szCs w:val="24"/>
                <w:rtl/>
                <w:lang w:bidi="ar-EG"/>
              </w:rPr>
              <w:t>90</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42</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202</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20</w:t>
            </w:r>
            <w:r w:rsidR="00FC46DD">
              <w:rPr>
                <w:rFonts w:hint="cs"/>
                <w:sz w:val="24"/>
                <w:szCs w:val="24"/>
                <w:rtl/>
                <w:lang w:bidi="ar-EG"/>
              </w:rPr>
              <w:t>.</w:t>
            </w:r>
            <w:r w:rsidRPr="004D6A9B">
              <w:rPr>
                <w:rFonts w:hint="cs"/>
                <w:sz w:val="24"/>
                <w:szCs w:val="24"/>
                <w:rtl/>
                <w:lang w:bidi="ar-EG"/>
              </w:rPr>
              <w:t>79</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المؤسسات العامة</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86</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257</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33</w:t>
            </w:r>
            <w:r w:rsidR="00FC46DD">
              <w:rPr>
                <w:rFonts w:hint="cs"/>
                <w:sz w:val="24"/>
                <w:szCs w:val="24"/>
                <w:rtl/>
                <w:lang w:bidi="ar-EG"/>
              </w:rPr>
              <w:t>.</w:t>
            </w:r>
            <w:r w:rsidRPr="004D6A9B">
              <w:rPr>
                <w:rFonts w:hint="cs"/>
                <w:sz w:val="24"/>
                <w:szCs w:val="24"/>
                <w:rtl/>
                <w:lang w:bidi="ar-EG"/>
              </w:rPr>
              <w:t>46</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197</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663</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29</w:t>
            </w:r>
            <w:r w:rsidR="00FC46DD">
              <w:rPr>
                <w:rFonts w:hint="cs"/>
                <w:sz w:val="24"/>
                <w:szCs w:val="24"/>
                <w:rtl/>
                <w:lang w:bidi="ar-EG"/>
              </w:rPr>
              <w:t>.</w:t>
            </w:r>
            <w:r w:rsidRPr="004D6A9B">
              <w:rPr>
                <w:rFonts w:hint="cs"/>
                <w:sz w:val="24"/>
                <w:szCs w:val="24"/>
                <w:rtl/>
                <w:lang w:bidi="ar-EG"/>
              </w:rPr>
              <w:t>71</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الوحدات الإدارية الخاصة</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46</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152</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30</w:t>
            </w:r>
            <w:r w:rsidR="00FC46DD">
              <w:rPr>
                <w:rFonts w:hint="cs"/>
                <w:sz w:val="24"/>
                <w:szCs w:val="24"/>
                <w:rtl/>
                <w:lang w:bidi="ar-EG"/>
              </w:rPr>
              <w:t>.</w:t>
            </w:r>
            <w:r w:rsidRPr="004D6A9B">
              <w:rPr>
                <w:rFonts w:hint="cs"/>
                <w:sz w:val="24"/>
                <w:szCs w:val="24"/>
                <w:rtl/>
                <w:lang w:bidi="ar-EG"/>
              </w:rPr>
              <w:t>26</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22</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36</w:t>
            </w:r>
            <w:r w:rsidR="00FC46DD">
              <w:rPr>
                <w:rFonts w:hint="cs"/>
                <w:sz w:val="24"/>
                <w:szCs w:val="24"/>
                <w:rtl/>
                <w:lang w:bidi="ar-EG"/>
              </w:rPr>
              <w:t>.</w:t>
            </w:r>
            <w:r w:rsidRPr="004D6A9B">
              <w:rPr>
                <w:rFonts w:hint="cs"/>
                <w:sz w:val="24"/>
                <w:szCs w:val="24"/>
                <w:rtl/>
                <w:lang w:bidi="ar-EG"/>
              </w:rPr>
              <w:t>36</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شركات الاقتصاد المختلط</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44</w:t>
            </w:r>
            <w:r w:rsidR="00FC46DD">
              <w:rPr>
                <w:rFonts w:hint="cs"/>
                <w:sz w:val="24"/>
                <w:szCs w:val="24"/>
                <w:rtl/>
                <w:lang w:bidi="ar-EG"/>
              </w:rPr>
              <w:t>.</w:t>
            </w:r>
            <w:r w:rsidRPr="004D6A9B">
              <w:rPr>
                <w:rFonts w:hint="cs"/>
                <w:sz w:val="24"/>
                <w:szCs w:val="24"/>
                <w:rtl/>
                <w:lang w:bidi="ar-EG"/>
              </w:rPr>
              <w:t>44</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50</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الفرع التشريعي</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38</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15</w:t>
            </w:r>
            <w:r w:rsidR="00FC46DD">
              <w:rPr>
                <w:rFonts w:hint="cs"/>
                <w:sz w:val="24"/>
                <w:szCs w:val="24"/>
                <w:rtl/>
                <w:lang w:bidi="ar-EG"/>
              </w:rPr>
              <w:t>.</w:t>
            </w:r>
            <w:r w:rsidRPr="004D6A9B">
              <w:rPr>
                <w:rFonts w:hint="cs"/>
                <w:sz w:val="24"/>
                <w:szCs w:val="24"/>
                <w:rtl/>
                <w:lang w:bidi="ar-EG"/>
              </w:rPr>
              <w:t>79</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12</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28</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42</w:t>
            </w:r>
            <w:r w:rsidR="00FC46DD">
              <w:rPr>
                <w:rFonts w:hint="cs"/>
                <w:sz w:val="24"/>
                <w:szCs w:val="24"/>
                <w:rtl/>
                <w:lang w:bidi="ar-EG"/>
              </w:rPr>
              <w:t>.</w:t>
            </w:r>
            <w:r w:rsidRPr="004D6A9B">
              <w:rPr>
                <w:rFonts w:hint="cs"/>
                <w:sz w:val="24"/>
                <w:szCs w:val="24"/>
                <w:rtl/>
                <w:lang w:bidi="ar-EG"/>
              </w:rPr>
              <w:t>86</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الفرع التنفيذي</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303</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030 1</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29</w:t>
            </w:r>
            <w:r w:rsidR="00FC46DD">
              <w:rPr>
                <w:rFonts w:hint="cs"/>
                <w:sz w:val="24"/>
                <w:szCs w:val="24"/>
                <w:rtl/>
                <w:lang w:bidi="ar-EG"/>
              </w:rPr>
              <w:t>.</w:t>
            </w:r>
            <w:r w:rsidRPr="004D6A9B">
              <w:rPr>
                <w:rFonts w:hint="cs"/>
                <w:sz w:val="24"/>
                <w:szCs w:val="24"/>
                <w:rtl/>
                <w:lang w:bidi="ar-EG"/>
              </w:rPr>
              <w:t>42</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391</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150 1</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34</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الفرع القضائي</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185</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509</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36</w:t>
            </w:r>
            <w:r w:rsidR="00FC46DD">
              <w:rPr>
                <w:rFonts w:hint="cs"/>
                <w:sz w:val="24"/>
                <w:szCs w:val="24"/>
                <w:rtl/>
                <w:lang w:bidi="ar-EG"/>
              </w:rPr>
              <w:t>.</w:t>
            </w:r>
            <w:r w:rsidRPr="004D6A9B">
              <w:rPr>
                <w:rFonts w:hint="cs"/>
                <w:sz w:val="24"/>
                <w:szCs w:val="24"/>
                <w:rtl/>
                <w:lang w:bidi="ar-EG"/>
              </w:rPr>
              <w:t>35</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184 1</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667 2</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44</w:t>
            </w:r>
            <w:r w:rsidR="00FC46DD">
              <w:rPr>
                <w:rFonts w:hint="cs"/>
                <w:sz w:val="24"/>
                <w:szCs w:val="24"/>
                <w:rtl/>
                <w:lang w:bidi="ar-EG"/>
              </w:rPr>
              <w:t>.</w:t>
            </w:r>
            <w:r w:rsidRPr="004D6A9B">
              <w:rPr>
                <w:rFonts w:hint="cs"/>
                <w:sz w:val="24"/>
                <w:szCs w:val="24"/>
                <w:rtl/>
                <w:lang w:bidi="ar-EG"/>
              </w:rPr>
              <w:t>39</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هيئة الانتخابات</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36</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92</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39</w:t>
            </w:r>
            <w:r w:rsidR="00FC46DD">
              <w:rPr>
                <w:rFonts w:hint="cs"/>
                <w:sz w:val="24"/>
                <w:szCs w:val="24"/>
                <w:rtl/>
                <w:lang w:bidi="ar-EG"/>
              </w:rPr>
              <w:t>.</w:t>
            </w:r>
            <w:r w:rsidRPr="004D6A9B">
              <w:rPr>
                <w:rFonts w:hint="cs"/>
                <w:sz w:val="24"/>
                <w:szCs w:val="24"/>
                <w:rtl/>
                <w:lang w:bidi="ar-EG"/>
              </w:rPr>
              <w:t>13</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0</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230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الهيئات المستقلة</w:t>
            </w:r>
          </w:p>
        </w:tc>
        <w:tc>
          <w:tcPr>
            <w:tcW w:w="61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55</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201</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27</w:t>
            </w:r>
            <w:r w:rsidR="00FC46DD">
              <w:rPr>
                <w:rFonts w:hint="cs"/>
                <w:sz w:val="24"/>
                <w:szCs w:val="24"/>
                <w:rtl/>
                <w:lang w:bidi="ar-EG"/>
              </w:rPr>
              <w:t>.</w:t>
            </w:r>
            <w:r w:rsidRPr="004D6A9B">
              <w:rPr>
                <w:rFonts w:hint="cs"/>
                <w:sz w:val="24"/>
                <w:szCs w:val="24"/>
                <w:rtl/>
                <w:lang w:bidi="ar-EG"/>
              </w:rPr>
              <w:t>36</w:t>
            </w:r>
          </w:p>
        </w:tc>
        <w:tc>
          <w:tcPr>
            <w:tcW w:w="824"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68</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196</w:t>
            </w:r>
          </w:p>
        </w:tc>
        <w:tc>
          <w:tcPr>
            <w:tcW w:w="100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34</w:t>
            </w:r>
            <w:r w:rsidR="00FC46DD">
              <w:rPr>
                <w:rFonts w:hint="cs"/>
                <w:sz w:val="24"/>
                <w:szCs w:val="24"/>
                <w:rtl/>
                <w:lang w:bidi="ar-EG"/>
              </w:rPr>
              <w:t>.</w:t>
            </w:r>
            <w:r w:rsidRPr="004D6A9B">
              <w:rPr>
                <w:rFonts w:hint="cs"/>
                <w:sz w:val="24"/>
                <w:szCs w:val="24"/>
                <w:rtl/>
                <w:lang w:bidi="ar-EG"/>
              </w:rPr>
              <w:t>69</w:t>
            </w:r>
          </w:p>
        </w:tc>
      </w:tr>
      <w:tr w:rsidR="00971AE2" w:rsidRPr="004D6A9B">
        <w:tblPrEx>
          <w:tblCellMar>
            <w:top w:w="0" w:type="dxa"/>
            <w:bottom w:w="0" w:type="dxa"/>
          </w:tblCellMar>
        </w:tblPrEx>
        <w:trPr>
          <w:cantSplit/>
        </w:trPr>
        <w:tc>
          <w:tcPr>
            <w:tcW w:w="2300" w:type="dxa"/>
            <w:tcBorders>
              <w:bottom w:val="single" w:sz="4"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أجهزة الرقابة والرصد</w:t>
            </w:r>
          </w:p>
        </w:tc>
        <w:tc>
          <w:tcPr>
            <w:tcW w:w="618" w:type="dxa"/>
            <w:tcBorders>
              <w:bottom w:val="single" w:sz="4"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97</w:t>
            </w:r>
          </w:p>
        </w:tc>
        <w:tc>
          <w:tcPr>
            <w:tcW w:w="824" w:type="dxa"/>
            <w:tcBorders>
              <w:bottom w:val="single" w:sz="4"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195</w:t>
            </w:r>
          </w:p>
        </w:tc>
        <w:tc>
          <w:tcPr>
            <w:tcW w:w="1030" w:type="dxa"/>
            <w:tcBorders>
              <w:bottom w:val="single" w:sz="4"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49</w:t>
            </w:r>
            <w:r w:rsidR="00FC46DD">
              <w:rPr>
                <w:rFonts w:hint="cs"/>
                <w:sz w:val="24"/>
                <w:szCs w:val="24"/>
                <w:rtl/>
                <w:lang w:bidi="ar-EG"/>
              </w:rPr>
              <w:t>.</w:t>
            </w:r>
            <w:r w:rsidRPr="004D6A9B">
              <w:rPr>
                <w:rFonts w:hint="cs"/>
                <w:sz w:val="24"/>
                <w:szCs w:val="24"/>
                <w:rtl/>
                <w:lang w:bidi="ar-EG"/>
              </w:rPr>
              <w:t>74</w:t>
            </w:r>
          </w:p>
        </w:tc>
        <w:tc>
          <w:tcPr>
            <w:tcW w:w="824" w:type="dxa"/>
            <w:tcBorders>
              <w:bottom w:val="single" w:sz="4"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68</w:t>
            </w:r>
          </w:p>
        </w:tc>
        <w:tc>
          <w:tcPr>
            <w:tcW w:w="721" w:type="dxa"/>
            <w:tcBorders>
              <w:bottom w:val="single" w:sz="4"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160</w:t>
            </w:r>
          </w:p>
        </w:tc>
        <w:tc>
          <w:tcPr>
            <w:tcW w:w="1005" w:type="dxa"/>
            <w:tcBorders>
              <w:bottom w:val="single" w:sz="4"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42</w:t>
            </w:r>
            <w:r w:rsidR="00FC46DD">
              <w:rPr>
                <w:rFonts w:hint="cs"/>
                <w:sz w:val="24"/>
                <w:szCs w:val="24"/>
                <w:rtl/>
                <w:lang w:bidi="ar-EG"/>
              </w:rPr>
              <w:t>.</w:t>
            </w:r>
            <w:r w:rsidRPr="004D6A9B">
              <w:rPr>
                <w:rFonts w:hint="cs"/>
                <w:sz w:val="24"/>
                <w:szCs w:val="24"/>
                <w:rtl/>
                <w:lang w:bidi="ar-EG"/>
              </w:rPr>
              <w:t>50</w:t>
            </w:r>
          </w:p>
        </w:tc>
      </w:tr>
      <w:tr w:rsidR="00971AE2" w:rsidRPr="004D6A9B">
        <w:tblPrEx>
          <w:tblCellMar>
            <w:top w:w="0" w:type="dxa"/>
            <w:bottom w:w="0" w:type="dxa"/>
          </w:tblCellMar>
        </w:tblPrEx>
        <w:trPr>
          <w:cantSplit/>
        </w:trPr>
        <w:tc>
          <w:tcPr>
            <w:tcW w:w="2300"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b/>
                <w:bCs/>
                <w:sz w:val="24"/>
                <w:szCs w:val="24"/>
                <w:rtl/>
                <w:lang w:bidi="ar-EG"/>
              </w:rPr>
            </w:pPr>
            <w:r w:rsidRPr="004D6A9B">
              <w:rPr>
                <w:rFonts w:hint="cs"/>
                <w:b/>
                <w:bCs/>
                <w:sz w:val="24"/>
                <w:szCs w:val="24"/>
                <w:rtl/>
                <w:lang w:bidi="ar-EG"/>
              </w:rPr>
              <w:t>إجمالي مشاركة المرأة</w:t>
            </w:r>
          </w:p>
        </w:tc>
        <w:tc>
          <w:tcPr>
            <w:tcW w:w="618"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4D6A9B">
              <w:rPr>
                <w:rFonts w:hint="cs"/>
                <w:bCs/>
                <w:sz w:val="24"/>
                <w:szCs w:val="24"/>
                <w:rtl/>
                <w:lang w:bidi="ar-EG"/>
              </w:rPr>
              <w:t>960</w:t>
            </w:r>
          </w:p>
        </w:tc>
        <w:tc>
          <w:tcPr>
            <w:tcW w:w="824"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4D6A9B">
              <w:rPr>
                <w:rFonts w:hint="cs"/>
                <w:bCs/>
                <w:sz w:val="24"/>
                <w:szCs w:val="24"/>
                <w:rtl/>
                <w:lang w:bidi="ar-EG"/>
              </w:rPr>
              <w:t>095 3</w:t>
            </w:r>
          </w:p>
        </w:tc>
        <w:tc>
          <w:tcPr>
            <w:tcW w:w="1030"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4D6A9B">
              <w:rPr>
                <w:rFonts w:hint="cs"/>
                <w:bCs/>
                <w:sz w:val="24"/>
                <w:szCs w:val="24"/>
                <w:rtl/>
                <w:lang w:bidi="ar-EG"/>
              </w:rPr>
              <w:t>34</w:t>
            </w:r>
            <w:r w:rsidR="00FC46DD">
              <w:rPr>
                <w:rFonts w:hint="cs"/>
                <w:bCs/>
                <w:sz w:val="24"/>
                <w:szCs w:val="24"/>
                <w:rtl/>
                <w:lang w:bidi="ar-EG"/>
              </w:rPr>
              <w:t>.</w:t>
            </w:r>
            <w:r w:rsidRPr="004D6A9B">
              <w:rPr>
                <w:rFonts w:hint="cs"/>
                <w:bCs/>
                <w:sz w:val="24"/>
                <w:szCs w:val="24"/>
                <w:rtl/>
                <w:lang w:bidi="ar-EG"/>
              </w:rPr>
              <w:t>37</w:t>
            </w:r>
          </w:p>
        </w:tc>
        <w:tc>
          <w:tcPr>
            <w:tcW w:w="824"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4D6A9B">
              <w:rPr>
                <w:rFonts w:hint="cs"/>
                <w:bCs/>
                <w:sz w:val="24"/>
                <w:szCs w:val="24"/>
                <w:rtl/>
                <w:lang w:bidi="ar-EG"/>
              </w:rPr>
              <w:t>017 2</w:t>
            </w:r>
          </w:p>
        </w:tc>
        <w:tc>
          <w:tcPr>
            <w:tcW w:w="721"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4D6A9B">
              <w:rPr>
                <w:rFonts w:hint="cs"/>
                <w:bCs/>
                <w:sz w:val="24"/>
                <w:szCs w:val="24"/>
                <w:rtl/>
                <w:lang w:bidi="ar-EG"/>
              </w:rPr>
              <w:t>351 5</w:t>
            </w:r>
          </w:p>
        </w:tc>
        <w:tc>
          <w:tcPr>
            <w:tcW w:w="1005"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4D6A9B">
              <w:rPr>
                <w:rFonts w:hint="cs"/>
                <w:bCs/>
                <w:sz w:val="24"/>
                <w:szCs w:val="24"/>
                <w:rtl/>
                <w:lang w:bidi="ar-EG"/>
              </w:rPr>
              <w:t>43</w:t>
            </w:r>
            <w:r w:rsidR="00FC46DD">
              <w:rPr>
                <w:rFonts w:hint="cs"/>
                <w:bCs/>
                <w:sz w:val="24"/>
                <w:szCs w:val="24"/>
                <w:rtl/>
                <w:lang w:bidi="ar-EG"/>
              </w:rPr>
              <w:t>.</w:t>
            </w:r>
            <w:r w:rsidRPr="004D6A9B">
              <w:rPr>
                <w:rFonts w:hint="cs"/>
                <w:bCs/>
                <w:sz w:val="24"/>
                <w:szCs w:val="24"/>
                <w:rtl/>
                <w:lang w:bidi="ar-EG"/>
              </w:rPr>
              <w:t>089</w:t>
            </w:r>
          </w:p>
        </w:tc>
      </w:tr>
    </w:tbl>
    <w:p w:rsidR="00971AE2" w:rsidRDefault="00971AE2" w:rsidP="00A343DF">
      <w:pPr>
        <w:pStyle w:val="SingleTxt"/>
        <w:spacing w:after="0" w:line="120" w:lineRule="exact"/>
        <w:rPr>
          <w:sz w:val="10"/>
          <w:rtl/>
          <w:lang w:bidi="ar-EG"/>
        </w:rPr>
      </w:pPr>
    </w:p>
    <w:p w:rsidR="00971AE2" w:rsidRDefault="00971AE2" w:rsidP="00A343DF">
      <w:pPr>
        <w:pStyle w:val="SingleTxt"/>
        <w:rPr>
          <w:rFonts w:hint="cs"/>
          <w:b/>
          <w:bCs/>
          <w:rtl/>
          <w:lang w:bidi="ar-EG"/>
        </w:rPr>
      </w:pPr>
      <w:r>
        <w:rPr>
          <w:rFonts w:hint="cs"/>
          <w:b/>
          <w:bCs/>
          <w:rtl/>
          <w:lang w:bidi="ar-EG"/>
        </w:rPr>
        <w:t>تقرير تخصيص الوظائف على المستوى الإداري في كيانات النظام الإقليمي، مقارنة بين السنتين 2003 و 2004</w:t>
      </w:r>
    </w:p>
    <w:p w:rsidR="00971AE2" w:rsidRDefault="00971AE2" w:rsidP="00A343DF">
      <w:pPr>
        <w:pStyle w:val="SingleTxt"/>
        <w:spacing w:after="0" w:line="120" w:lineRule="exact"/>
        <w:rPr>
          <w:rFonts w:hint="cs"/>
          <w:sz w:val="10"/>
          <w:rtl/>
          <w:lang w:bidi="ar-EG"/>
        </w:rPr>
      </w:pPr>
    </w:p>
    <w:tbl>
      <w:tblPr>
        <w:bidiVisual/>
        <w:tblW w:w="7801" w:type="dxa"/>
        <w:tblInd w:w="786" w:type="dxa"/>
        <w:tblLayout w:type="fixed"/>
        <w:tblCellMar>
          <w:left w:w="0" w:type="dxa"/>
          <w:right w:w="0" w:type="dxa"/>
        </w:tblCellMar>
        <w:tblLook w:val="0000" w:firstRow="0" w:lastRow="0" w:firstColumn="0" w:lastColumn="0" w:noHBand="0" w:noVBand="0"/>
      </w:tblPr>
      <w:tblGrid>
        <w:gridCol w:w="1339"/>
        <w:gridCol w:w="2266"/>
        <w:gridCol w:w="1442"/>
        <w:gridCol w:w="927"/>
        <w:gridCol w:w="927"/>
        <w:gridCol w:w="900"/>
      </w:tblGrid>
      <w:tr w:rsidR="00971AE2" w:rsidRPr="004D6A9B">
        <w:tblPrEx>
          <w:tblCellMar>
            <w:top w:w="0" w:type="dxa"/>
            <w:bottom w:w="0" w:type="dxa"/>
          </w:tblCellMar>
        </w:tblPrEx>
        <w:trPr>
          <w:cantSplit/>
          <w:tblHeader/>
        </w:trPr>
        <w:tc>
          <w:tcPr>
            <w:tcW w:w="1339"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4D6A9B">
              <w:rPr>
                <w:rFonts w:hint="cs"/>
                <w:i/>
                <w:iCs/>
                <w:sz w:val="24"/>
                <w:szCs w:val="24"/>
                <w:rtl/>
                <w:lang w:bidi="ar-EG"/>
              </w:rPr>
              <w:t>الكيان</w:t>
            </w:r>
          </w:p>
        </w:tc>
        <w:tc>
          <w:tcPr>
            <w:tcW w:w="2266"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البنود/السنوات</w:t>
            </w:r>
          </w:p>
        </w:tc>
        <w:tc>
          <w:tcPr>
            <w:tcW w:w="2369" w:type="dxa"/>
            <w:gridSpan w:val="2"/>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بيانات تشرين الثاني/نوفمبر 2003</w:t>
            </w:r>
          </w:p>
        </w:tc>
        <w:tc>
          <w:tcPr>
            <w:tcW w:w="1827" w:type="dxa"/>
            <w:gridSpan w:val="2"/>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بيانات آذار/مارس 2004</w:t>
            </w:r>
          </w:p>
        </w:tc>
      </w:tr>
      <w:tr w:rsidR="00971AE2" w:rsidRPr="004D6A9B">
        <w:tblPrEx>
          <w:tblCellMar>
            <w:top w:w="0" w:type="dxa"/>
            <w:bottom w:w="0" w:type="dxa"/>
          </w:tblCellMar>
        </w:tblPrEx>
        <w:trPr>
          <w:cantSplit/>
          <w:trHeight w:hRule="exact" w:val="115"/>
          <w:tblHeader/>
        </w:trPr>
        <w:tc>
          <w:tcPr>
            <w:tcW w:w="1339"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1442"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927"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927"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900"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العاصمة</w:t>
            </w: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مجموع وظائف المستوى الإداري</w:t>
            </w:r>
          </w:p>
        </w:tc>
        <w:tc>
          <w:tcPr>
            <w:tcW w:w="144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397</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Pr="00833A64">
              <w:rPr>
                <w:rFonts w:cs="Akhbar MT" w:hint="cs"/>
                <w:sz w:val="24"/>
                <w:szCs w:val="24"/>
                <w:rtl/>
                <w:lang w:bidi="ar-EG"/>
              </w:rPr>
              <w:t>%</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456</w:t>
            </w:r>
          </w:p>
        </w:tc>
        <w:tc>
          <w:tcPr>
            <w:tcW w:w="90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AD1F49" w:rsidRPr="00833A64">
              <w:rPr>
                <w:rFonts w:cs="Akhbar MT" w:hint="cs"/>
                <w:sz w:val="24"/>
                <w:szCs w:val="24"/>
                <w:rtl/>
                <w:lang w:bidi="ar-EG"/>
              </w:rPr>
              <w:t>%</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المقررة</w:t>
            </w:r>
          </w:p>
        </w:tc>
        <w:tc>
          <w:tcPr>
            <w:tcW w:w="144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395</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99</w:t>
            </w:r>
            <w:r w:rsidR="00FC46DD">
              <w:rPr>
                <w:rFonts w:hint="cs"/>
                <w:sz w:val="24"/>
                <w:szCs w:val="24"/>
                <w:rtl/>
                <w:lang w:bidi="ar-EG"/>
              </w:rPr>
              <w:t>.</w:t>
            </w:r>
            <w:r w:rsidRPr="004D6A9B">
              <w:rPr>
                <w:rFonts w:hint="cs"/>
                <w:sz w:val="24"/>
                <w:szCs w:val="24"/>
                <w:rtl/>
                <w:lang w:bidi="ar-EG"/>
              </w:rPr>
              <w:t>50</w:t>
            </w:r>
            <w:r w:rsidR="00AD1F49" w:rsidRPr="00833A64">
              <w:rPr>
                <w:rFonts w:cs="Akhbar MT" w:hint="cs"/>
                <w:sz w:val="24"/>
                <w:szCs w:val="24"/>
                <w:rtl/>
                <w:lang w:bidi="ar-EG"/>
              </w:rPr>
              <w:t>%</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434</w:t>
            </w:r>
          </w:p>
        </w:tc>
        <w:tc>
          <w:tcPr>
            <w:tcW w:w="90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95</w:t>
            </w:r>
            <w:r w:rsidR="00FC46DD">
              <w:rPr>
                <w:rFonts w:hint="cs"/>
                <w:sz w:val="24"/>
                <w:szCs w:val="24"/>
                <w:rtl/>
                <w:lang w:bidi="ar-EG"/>
              </w:rPr>
              <w:t>.</w:t>
            </w:r>
            <w:r w:rsidRPr="004D6A9B">
              <w:rPr>
                <w:rFonts w:hint="cs"/>
                <w:sz w:val="24"/>
                <w:szCs w:val="24"/>
                <w:rtl/>
                <w:lang w:bidi="ar-EG"/>
              </w:rPr>
              <w:t>18</w:t>
            </w:r>
            <w:r w:rsidR="00AD1F49" w:rsidRPr="00833A64">
              <w:rPr>
                <w:rFonts w:cs="Akhbar MT" w:hint="cs"/>
                <w:sz w:val="24"/>
                <w:szCs w:val="24"/>
                <w:rtl/>
                <w:lang w:bidi="ar-EG"/>
              </w:rPr>
              <w:t>%</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التي تشغلها نساء</w:t>
            </w:r>
          </w:p>
        </w:tc>
        <w:tc>
          <w:tcPr>
            <w:tcW w:w="144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191</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48</w:t>
            </w:r>
            <w:r w:rsidR="00FC46DD">
              <w:rPr>
                <w:rFonts w:hint="cs"/>
                <w:sz w:val="24"/>
                <w:szCs w:val="24"/>
                <w:rtl/>
                <w:lang w:bidi="ar-EG"/>
              </w:rPr>
              <w:t>.</w:t>
            </w:r>
            <w:r w:rsidRPr="004D6A9B">
              <w:rPr>
                <w:rFonts w:hint="cs"/>
                <w:sz w:val="24"/>
                <w:szCs w:val="24"/>
                <w:rtl/>
                <w:lang w:bidi="ar-EG"/>
              </w:rPr>
              <w:t>35</w:t>
            </w:r>
            <w:r w:rsidR="00AD1F49" w:rsidRPr="00833A64">
              <w:rPr>
                <w:rFonts w:cs="Akhbar MT" w:hint="cs"/>
                <w:sz w:val="24"/>
                <w:szCs w:val="24"/>
                <w:rtl/>
                <w:lang w:bidi="ar-EG"/>
              </w:rPr>
              <w:t>%</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191</w:t>
            </w:r>
          </w:p>
        </w:tc>
        <w:tc>
          <w:tcPr>
            <w:tcW w:w="90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44</w:t>
            </w:r>
            <w:r w:rsidR="00FC46DD">
              <w:rPr>
                <w:rFonts w:hint="cs"/>
                <w:sz w:val="24"/>
                <w:szCs w:val="24"/>
                <w:rtl/>
                <w:lang w:bidi="ar-EG"/>
              </w:rPr>
              <w:t>.</w:t>
            </w:r>
            <w:r w:rsidRPr="004D6A9B">
              <w:rPr>
                <w:rFonts w:hint="cs"/>
                <w:sz w:val="24"/>
                <w:szCs w:val="24"/>
                <w:rtl/>
                <w:lang w:bidi="ar-EG"/>
              </w:rPr>
              <w:t>01</w:t>
            </w:r>
            <w:r w:rsidR="00AD1F49" w:rsidRPr="00833A64">
              <w:rPr>
                <w:rFonts w:cs="Akhbar MT" w:hint="cs"/>
                <w:sz w:val="24"/>
                <w:szCs w:val="24"/>
                <w:rtl/>
                <w:lang w:bidi="ar-EG"/>
              </w:rPr>
              <w:t>%</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عدد الكيانات المبلغة</w:t>
            </w:r>
          </w:p>
        </w:tc>
        <w:tc>
          <w:tcPr>
            <w:tcW w:w="2369" w:type="dxa"/>
            <w:gridSpan w:val="2"/>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33</w:t>
            </w:r>
          </w:p>
        </w:tc>
        <w:tc>
          <w:tcPr>
            <w:tcW w:w="1827" w:type="dxa"/>
            <w:gridSpan w:val="2"/>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54</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هيئات الحكم المحلي</w:t>
            </w: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مجموع وظائف المستوى الإداري</w:t>
            </w:r>
          </w:p>
        </w:tc>
        <w:tc>
          <w:tcPr>
            <w:tcW w:w="144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166</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DE2973" w:rsidRPr="00833A64">
              <w:rPr>
                <w:rFonts w:cs="Akhbar MT" w:hint="cs"/>
                <w:sz w:val="24"/>
                <w:szCs w:val="24"/>
                <w:rtl/>
                <w:lang w:bidi="ar-EG"/>
              </w:rPr>
              <w:t>%</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279</w:t>
            </w:r>
          </w:p>
        </w:tc>
        <w:tc>
          <w:tcPr>
            <w:tcW w:w="90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DE2973" w:rsidRPr="00833A64">
              <w:rPr>
                <w:rFonts w:cs="Akhbar MT" w:hint="cs"/>
                <w:sz w:val="24"/>
                <w:szCs w:val="24"/>
                <w:rtl/>
                <w:lang w:bidi="ar-EG"/>
              </w:rPr>
              <w:t>%</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المقررة</w:t>
            </w:r>
          </w:p>
        </w:tc>
        <w:tc>
          <w:tcPr>
            <w:tcW w:w="144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164</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98</w:t>
            </w:r>
            <w:r w:rsidR="00FC46DD">
              <w:rPr>
                <w:rFonts w:hint="cs"/>
                <w:sz w:val="24"/>
                <w:szCs w:val="24"/>
                <w:rtl/>
                <w:lang w:bidi="ar-EG"/>
              </w:rPr>
              <w:t>.</w:t>
            </w:r>
            <w:r w:rsidRPr="004D6A9B">
              <w:rPr>
                <w:rFonts w:hint="cs"/>
                <w:sz w:val="24"/>
                <w:szCs w:val="24"/>
                <w:rtl/>
                <w:lang w:bidi="ar-EG"/>
              </w:rPr>
              <w:t>80</w:t>
            </w:r>
            <w:r w:rsidR="00DE2973" w:rsidRPr="00833A64">
              <w:rPr>
                <w:rFonts w:cs="Akhbar MT" w:hint="cs"/>
                <w:sz w:val="24"/>
                <w:szCs w:val="24"/>
                <w:rtl/>
                <w:lang w:bidi="ar-EG"/>
              </w:rPr>
              <w:t>%</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270</w:t>
            </w:r>
          </w:p>
        </w:tc>
        <w:tc>
          <w:tcPr>
            <w:tcW w:w="90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96</w:t>
            </w:r>
            <w:r w:rsidR="00FC46DD">
              <w:rPr>
                <w:rFonts w:hint="cs"/>
                <w:sz w:val="24"/>
                <w:szCs w:val="24"/>
                <w:rtl/>
                <w:lang w:bidi="ar-EG"/>
              </w:rPr>
              <w:t>.</w:t>
            </w:r>
            <w:r w:rsidRPr="004D6A9B">
              <w:rPr>
                <w:rFonts w:hint="cs"/>
                <w:sz w:val="24"/>
                <w:szCs w:val="24"/>
                <w:rtl/>
                <w:lang w:bidi="ar-EG"/>
              </w:rPr>
              <w:t>77</w:t>
            </w:r>
            <w:r w:rsidR="00DE2973" w:rsidRPr="00833A64">
              <w:rPr>
                <w:rFonts w:cs="Akhbar MT" w:hint="cs"/>
                <w:sz w:val="24"/>
                <w:szCs w:val="24"/>
                <w:rtl/>
                <w:lang w:bidi="ar-EG"/>
              </w:rPr>
              <w:t>%</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التي تشغلها نساء</w:t>
            </w:r>
          </w:p>
        </w:tc>
        <w:tc>
          <w:tcPr>
            <w:tcW w:w="144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67</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40</w:t>
            </w:r>
            <w:r w:rsidR="00FC46DD">
              <w:rPr>
                <w:rFonts w:hint="cs"/>
                <w:sz w:val="24"/>
                <w:szCs w:val="24"/>
                <w:rtl/>
                <w:lang w:bidi="ar-EG"/>
              </w:rPr>
              <w:t>.</w:t>
            </w:r>
            <w:r w:rsidRPr="004D6A9B">
              <w:rPr>
                <w:rFonts w:hint="cs"/>
                <w:sz w:val="24"/>
                <w:szCs w:val="24"/>
                <w:rtl/>
                <w:lang w:bidi="ar-EG"/>
              </w:rPr>
              <w:t>85</w:t>
            </w:r>
            <w:r w:rsidR="00DE2973" w:rsidRPr="00833A64">
              <w:rPr>
                <w:rFonts w:cs="Akhbar MT" w:hint="cs"/>
                <w:sz w:val="24"/>
                <w:szCs w:val="24"/>
                <w:rtl/>
                <w:lang w:bidi="ar-EG"/>
              </w:rPr>
              <w:t>%</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99</w:t>
            </w:r>
          </w:p>
        </w:tc>
        <w:tc>
          <w:tcPr>
            <w:tcW w:w="90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36</w:t>
            </w:r>
            <w:r w:rsidR="00FC46DD">
              <w:rPr>
                <w:rFonts w:hint="cs"/>
                <w:sz w:val="24"/>
                <w:szCs w:val="24"/>
                <w:rtl/>
                <w:lang w:bidi="ar-EG"/>
              </w:rPr>
              <w:t>.</w:t>
            </w:r>
            <w:r w:rsidRPr="004D6A9B">
              <w:rPr>
                <w:rFonts w:hint="cs"/>
                <w:sz w:val="24"/>
                <w:szCs w:val="24"/>
                <w:rtl/>
                <w:lang w:bidi="ar-EG"/>
              </w:rPr>
              <w:t>67</w:t>
            </w:r>
            <w:r w:rsidR="00DE2973" w:rsidRPr="00833A64">
              <w:rPr>
                <w:rFonts w:cs="Akhbar MT" w:hint="cs"/>
                <w:sz w:val="24"/>
                <w:szCs w:val="24"/>
                <w:rtl/>
                <w:lang w:bidi="ar-EG"/>
              </w:rPr>
              <w:t>%</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عدد الكيانات المبلغة</w:t>
            </w:r>
          </w:p>
        </w:tc>
        <w:tc>
          <w:tcPr>
            <w:tcW w:w="2369" w:type="dxa"/>
            <w:gridSpan w:val="2"/>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1827" w:type="dxa"/>
            <w:gridSpan w:val="2"/>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18</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الهيئات الإقليمية</w:t>
            </w: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مجموع وظائف المستوى الإداري</w:t>
            </w:r>
          </w:p>
        </w:tc>
        <w:tc>
          <w:tcPr>
            <w:tcW w:w="144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289</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DE2973" w:rsidRPr="00833A64">
              <w:rPr>
                <w:rFonts w:cs="Akhbar MT" w:hint="cs"/>
                <w:sz w:val="24"/>
                <w:szCs w:val="24"/>
                <w:rtl/>
                <w:lang w:bidi="ar-EG"/>
              </w:rPr>
              <w:t>%</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742</w:t>
            </w:r>
          </w:p>
        </w:tc>
        <w:tc>
          <w:tcPr>
            <w:tcW w:w="90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DE2973" w:rsidRPr="00833A64">
              <w:rPr>
                <w:rFonts w:cs="Akhbar MT" w:hint="cs"/>
                <w:sz w:val="24"/>
                <w:szCs w:val="24"/>
                <w:rtl/>
                <w:lang w:bidi="ar-EG"/>
              </w:rPr>
              <w:t>%</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المقررة</w:t>
            </w:r>
          </w:p>
        </w:tc>
        <w:tc>
          <w:tcPr>
            <w:tcW w:w="144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287</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99</w:t>
            </w:r>
            <w:r w:rsidR="00FC46DD">
              <w:rPr>
                <w:rFonts w:hint="cs"/>
                <w:sz w:val="24"/>
                <w:szCs w:val="24"/>
                <w:rtl/>
                <w:lang w:bidi="ar-EG"/>
              </w:rPr>
              <w:t>.</w:t>
            </w:r>
            <w:r w:rsidRPr="004D6A9B">
              <w:rPr>
                <w:rFonts w:hint="cs"/>
                <w:sz w:val="24"/>
                <w:szCs w:val="24"/>
                <w:rtl/>
                <w:lang w:bidi="ar-EG"/>
              </w:rPr>
              <w:t>31</w:t>
            </w:r>
            <w:r w:rsidR="00DE2973" w:rsidRPr="00833A64">
              <w:rPr>
                <w:rFonts w:cs="Akhbar MT" w:hint="cs"/>
                <w:sz w:val="24"/>
                <w:szCs w:val="24"/>
                <w:rtl/>
                <w:lang w:bidi="ar-EG"/>
              </w:rPr>
              <w:t>%</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715</w:t>
            </w:r>
          </w:p>
        </w:tc>
        <w:tc>
          <w:tcPr>
            <w:tcW w:w="90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96</w:t>
            </w:r>
            <w:r w:rsidR="00FC46DD">
              <w:rPr>
                <w:rFonts w:hint="cs"/>
                <w:sz w:val="24"/>
                <w:szCs w:val="24"/>
                <w:rtl/>
                <w:lang w:bidi="ar-EG"/>
              </w:rPr>
              <w:t>.</w:t>
            </w:r>
            <w:r w:rsidRPr="004D6A9B">
              <w:rPr>
                <w:rFonts w:hint="cs"/>
                <w:sz w:val="24"/>
                <w:szCs w:val="24"/>
                <w:rtl/>
                <w:lang w:bidi="ar-EG"/>
              </w:rPr>
              <w:t>36</w:t>
            </w:r>
            <w:r w:rsidR="00DE2973" w:rsidRPr="00833A64">
              <w:rPr>
                <w:rFonts w:cs="Akhbar MT" w:hint="cs"/>
                <w:sz w:val="24"/>
                <w:szCs w:val="24"/>
                <w:rtl/>
                <w:lang w:bidi="ar-EG"/>
              </w:rPr>
              <w:t>%</w:t>
            </w:r>
          </w:p>
        </w:tc>
      </w:tr>
      <w:tr w:rsidR="00971AE2" w:rsidRPr="004D6A9B">
        <w:tblPrEx>
          <w:tblCellMar>
            <w:top w:w="0" w:type="dxa"/>
            <w:bottom w:w="0" w:type="dxa"/>
          </w:tblCellMar>
        </w:tblPrEx>
        <w:trPr>
          <w:cantSplit/>
        </w:trPr>
        <w:tc>
          <w:tcPr>
            <w:tcW w:w="1339"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التي تشغلها نساء</w:t>
            </w:r>
          </w:p>
        </w:tc>
        <w:tc>
          <w:tcPr>
            <w:tcW w:w="144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124</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43</w:t>
            </w:r>
            <w:r w:rsidR="00FC46DD">
              <w:rPr>
                <w:rFonts w:hint="cs"/>
                <w:sz w:val="24"/>
                <w:szCs w:val="24"/>
                <w:rtl/>
                <w:lang w:bidi="ar-EG"/>
              </w:rPr>
              <w:t>.</w:t>
            </w:r>
            <w:r w:rsidRPr="004D6A9B">
              <w:rPr>
                <w:rFonts w:hint="cs"/>
                <w:sz w:val="24"/>
                <w:szCs w:val="24"/>
                <w:rtl/>
                <w:lang w:bidi="ar-EG"/>
              </w:rPr>
              <w:t>21</w:t>
            </w:r>
            <w:r w:rsidR="00DE2973" w:rsidRPr="00833A64">
              <w:rPr>
                <w:rFonts w:cs="Akhbar MT" w:hint="cs"/>
                <w:sz w:val="24"/>
                <w:szCs w:val="24"/>
                <w:rtl/>
                <w:lang w:bidi="ar-EG"/>
              </w:rPr>
              <w:t>%</w:t>
            </w:r>
          </w:p>
        </w:tc>
        <w:tc>
          <w:tcPr>
            <w:tcW w:w="927"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316</w:t>
            </w:r>
          </w:p>
        </w:tc>
        <w:tc>
          <w:tcPr>
            <w:tcW w:w="90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44</w:t>
            </w:r>
            <w:r w:rsidR="00FC46DD">
              <w:rPr>
                <w:rFonts w:hint="cs"/>
                <w:sz w:val="24"/>
                <w:szCs w:val="24"/>
                <w:rtl/>
                <w:lang w:bidi="ar-EG"/>
              </w:rPr>
              <w:t>.</w:t>
            </w:r>
            <w:r w:rsidRPr="004D6A9B">
              <w:rPr>
                <w:rFonts w:hint="cs"/>
                <w:sz w:val="24"/>
                <w:szCs w:val="24"/>
                <w:rtl/>
                <w:lang w:bidi="ar-EG"/>
              </w:rPr>
              <w:t>20</w:t>
            </w:r>
            <w:r w:rsidR="00DE2973" w:rsidRPr="00833A64">
              <w:rPr>
                <w:rFonts w:cs="Akhbar MT" w:hint="cs"/>
                <w:sz w:val="24"/>
                <w:szCs w:val="24"/>
                <w:rtl/>
                <w:lang w:bidi="ar-EG"/>
              </w:rPr>
              <w:t>%</w:t>
            </w:r>
          </w:p>
        </w:tc>
      </w:tr>
      <w:tr w:rsidR="00971AE2" w:rsidRPr="004D6A9B">
        <w:tblPrEx>
          <w:tblCellMar>
            <w:top w:w="0" w:type="dxa"/>
            <w:bottom w:w="0" w:type="dxa"/>
          </w:tblCellMar>
        </w:tblPrEx>
        <w:trPr>
          <w:cantSplit/>
        </w:trPr>
        <w:tc>
          <w:tcPr>
            <w:tcW w:w="1339"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266"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عدد الكيانات المبلغة</w:t>
            </w:r>
          </w:p>
        </w:tc>
        <w:tc>
          <w:tcPr>
            <w:tcW w:w="2369" w:type="dxa"/>
            <w:gridSpan w:val="2"/>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48</w:t>
            </w:r>
          </w:p>
        </w:tc>
        <w:tc>
          <w:tcPr>
            <w:tcW w:w="1827" w:type="dxa"/>
            <w:gridSpan w:val="2"/>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152</w:t>
            </w:r>
          </w:p>
        </w:tc>
      </w:tr>
    </w:tbl>
    <w:p w:rsidR="00971AE2" w:rsidRDefault="00971AE2" w:rsidP="00A343DF">
      <w:pPr>
        <w:pStyle w:val="SingleTxt"/>
        <w:spacing w:after="0" w:line="120" w:lineRule="exact"/>
        <w:rPr>
          <w:sz w:val="10"/>
          <w:rtl/>
          <w:lang w:bidi="ar-EG"/>
        </w:rPr>
      </w:pPr>
    </w:p>
    <w:p w:rsidR="00971AE2" w:rsidRDefault="00971AE2" w:rsidP="00A343DF">
      <w:pPr>
        <w:pStyle w:val="SingleTxt"/>
        <w:rPr>
          <w:rFonts w:hint="cs"/>
          <w:b/>
          <w:bCs/>
          <w:rtl/>
          <w:lang w:bidi="ar-EG"/>
        </w:rPr>
      </w:pPr>
      <w:r>
        <w:rPr>
          <w:rFonts w:hint="cs"/>
          <w:b/>
          <w:bCs/>
          <w:rtl/>
          <w:lang w:bidi="ar-EG"/>
        </w:rPr>
        <w:t>تقرير تخصيص وظائف المستوى الإداري في كيانات النظام الإقليمي، الأداء في سنة 2004</w:t>
      </w:r>
    </w:p>
    <w:p w:rsidR="00971AE2" w:rsidRDefault="00971AE2" w:rsidP="00A343DF">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2633"/>
        <w:gridCol w:w="1648"/>
        <w:gridCol w:w="1209"/>
      </w:tblGrid>
      <w:tr w:rsidR="00971AE2" w:rsidRPr="004D6A9B">
        <w:tblPrEx>
          <w:tblCellMar>
            <w:top w:w="0" w:type="dxa"/>
            <w:bottom w:w="0" w:type="dxa"/>
          </w:tblCellMar>
        </w:tblPrEx>
        <w:trPr>
          <w:cantSplit/>
          <w:tblHeader/>
        </w:trPr>
        <w:tc>
          <w:tcPr>
            <w:tcW w:w="1830"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4D6A9B">
              <w:rPr>
                <w:rFonts w:hint="cs"/>
                <w:i/>
                <w:iCs/>
                <w:sz w:val="24"/>
                <w:szCs w:val="24"/>
                <w:rtl/>
                <w:lang w:bidi="ar-EG"/>
              </w:rPr>
              <w:t>الكيان</w:t>
            </w:r>
          </w:p>
        </w:tc>
        <w:tc>
          <w:tcPr>
            <w:tcW w:w="2633"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البنود/السنوات</w:t>
            </w:r>
          </w:p>
        </w:tc>
        <w:tc>
          <w:tcPr>
            <w:tcW w:w="2857" w:type="dxa"/>
            <w:gridSpan w:val="2"/>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بيانات آذار/مارس 2004</w:t>
            </w:r>
          </w:p>
        </w:tc>
      </w:tr>
      <w:tr w:rsidR="00971AE2" w:rsidRPr="004D6A9B">
        <w:tblPrEx>
          <w:tblCellMar>
            <w:top w:w="0" w:type="dxa"/>
            <w:bottom w:w="0" w:type="dxa"/>
          </w:tblCellMar>
        </w:tblPrEx>
        <w:trPr>
          <w:cantSplit/>
          <w:trHeight w:hRule="exact" w:val="115"/>
          <w:tblHeader/>
        </w:trPr>
        <w:tc>
          <w:tcPr>
            <w:tcW w:w="1830"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633"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1648"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1209"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عاصمة المقاطعة</w:t>
            </w: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مجموع وظائف المستوى الإداري</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297</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المقررة</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293</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98</w:t>
            </w:r>
            <w:r w:rsidR="00FC46DD">
              <w:rPr>
                <w:rFonts w:hint="cs"/>
                <w:sz w:val="24"/>
                <w:szCs w:val="24"/>
                <w:rtl/>
                <w:lang w:bidi="ar-EG"/>
              </w:rPr>
              <w:t>.</w:t>
            </w:r>
            <w:r w:rsidRPr="004D6A9B">
              <w:rPr>
                <w:rFonts w:hint="cs"/>
                <w:sz w:val="24"/>
                <w:szCs w:val="24"/>
                <w:rtl/>
                <w:lang w:bidi="ar-EG"/>
              </w:rPr>
              <w:t>65</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التي تشغلها نساء</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118</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40</w:t>
            </w:r>
            <w:r w:rsidR="00FC46DD">
              <w:rPr>
                <w:rFonts w:hint="cs"/>
                <w:sz w:val="24"/>
                <w:szCs w:val="24"/>
                <w:rtl/>
                <w:lang w:bidi="ar-EG"/>
              </w:rPr>
              <w:t>.</w:t>
            </w:r>
            <w:r w:rsidRPr="004D6A9B">
              <w:rPr>
                <w:rFonts w:hint="cs"/>
                <w:sz w:val="24"/>
                <w:szCs w:val="24"/>
                <w:rtl/>
                <w:lang w:bidi="ar-EG"/>
              </w:rPr>
              <w:t>27</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عدد الكيانات المبلغة</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17</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53</w:t>
            </w:r>
            <w:r w:rsidR="00FC46DD">
              <w:rPr>
                <w:rFonts w:hint="cs"/>
                <w:sz w:val="24"/>
                <w:szCs w:val="24"/>
                <w:rtl/>
                <w:lang w:bidi="ar-EG"/>
              </w:rPr>
              <w:t>.</w:t>
            </w:r>
            <w:r w:rsidRPr="004D6A9B">
              <w:rPr>
                <w:rFonts w:hint="cs"/>
                <w:sz w:val="24"/>
                <w:szCs w:val="24"/>
                <w:rtl/>
                <w:lang w:bidi="ar-EG"/>
              </w:rPr>
              <w:t>12</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البلديات</w:t>
            </w: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مجموع وظائف المستوى الإداري</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777</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المقررة</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767</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98</w:t>
            </w:r>
            <w:r w:rsidR="00FC46DD">
              <w:rPr>
                <w:rFonts w:hint="cs"/>
                <w:sz w:val="24"/>
                <w:szCs w:val="24"/>
                <w:rtl/>
                <w:lang w:bidi="ar-EG"/>
              </w:rPr>
              <w:t>.</w:t>
            </w:r>
            <w:r w:rsidRPr="004D6A9B">
              <w:rPr>
                <w:rFonts w:hint="cs"/>
                <w:sz w:val="24"/>
                <w:szCs w:val="24"/>
                <w:rtl/>
                <w:lang w:bidi="ar-EG"/>
              </w:rPr>
              <w:t>71</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التي تشغلها نساء</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339</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44</w:t>
            </w:r>
            <w:r w:rsidR="00FC46DD">
              <w:rPr>
                <w:rFonts w:hint="cs"/>
                <w:sz w:val="24"/>
                <w:szCs w:val="24"/>
                <w:rtl/>
                <w:lang w:bidi="ar-EG"/>
              </w:rPr>
              <w:t>.</w:t>
            </w:r>
            <w:r w:rsidRPr="004D6A9B">
              <w:rPr>
                <w:rFonts w:hint="cs"/>
                <w:sz w:val="24"/>
                <w:szCs w:val="24"/>
                <w:rtl/>
                <w:lang w:bidi="ar-EG"/>
              </w:rPr>
              <w:t>20</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عدد الكيانات المبلغة</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103</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w:t>
            </w:r>
            <w:r w:rsidR="00FC46DD">
              <w:rPr>
                <w:rFonts w:hint="cs"/>
                <w:sz w:val="24"/>
                <w:szCs w:val="24"/>
                <w:rtl/>
                <w:lang w:bidi="ar-EG"/>
              </w:rPr>
              <w:t>.</w:t>
            </w:r>
            <w:r w:rsidRPr="004D6A9B">
              <w:rPr>
                <w:rFonts w:hint="cs"/>
                <w:sz w:val="24"/>
                <w:szCs w:val="24"/>
                <w:rtl/>
                <w:lang w:bidi="ar-EG"/>
              </w:rPr>
              <w:t>40</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b/>
                <w:bCs/>
                <w:sz w:val="24"/>
                <w:szCs w:val="24"/>
                <w:rtl/>
                <w:lang w:bidi="ar-EG"/>
              </w:rPr>
            </w:pPr>
            <w:r w:rsidRPr="004D6A9B">
              <w:rPr>
                <w:rFonts w:hint="cs"/>
                <w:b/>
                <w:bCs/>
                <w:sz w:val="24"/>
                <w:szCs w:val="24"/>
                <w:rtl/>
                <w:lang w:bidi="ar-EG"/>
              </w:rPr>
              <w:t>الهيئات اللامركزية (القاعدة: 3333 هيئة)</w:t>
            </w: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مجموع وظائف المستوى الإداري</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742</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color w:val="FF0000"/>
                <w:sz w:val="24"/>
                <w:szCs w:val="24"/>
                <w:rtl/>
                <w:lang w:bidi="ar-EG"/>
              </w:rPr>
            </w:pP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المقررة</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715</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96</w:t>
            </w:r>
            <w:r w:rsidR="00FC46DD">
              <w:rPr>
                <w:rFonts w:hint="cs"/>
                <w:sz w:val="24"/>
                <w:szCs w:val="24"/>
                <w:rtl/>
                <w:lang w:bidi="ar-EG"/>
              </w:rPr>
              <w:t>.</w:t>
            </w:r>
            <w:r w:rsidRPr="004D6A9B">
              <w:rPr>
                <w:rFonts w:hint="cs"/>
                <w:sz w:val="24"/>
                <w:szCs w:val="24"/>
                <w:rtl/>
                <w:lang w:bidi="ar-EG"/>
              </w:rPr>
              <w:t>36</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63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الوظائف التي تشغلها نساء</w:t>
            </w:r>
          </w:p>
        </w:tc>
        <w:tc>
          <w:tcPr>
            <w:tcW w:w="1648"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316</w:t>
            </w:r>
          </w:p>
        </w:tc>
        <w:tc>
          <w:tcPr>
            <w:tcW w:w="1209"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44</w:t>
            </w:r>
            <w:r w:rsidR="00FC46DD">
              <w:rPr>
                <w:rFonts w:hint="cs"/>
                <w:sz w:val="24"/>
                <w:szCs w:val="24"/>
                <w:rtl/>
                <w:lang w:bidi="ar-EG"/>
              </w:rPr>
              <w:t>.</w:t>
            </w:r>
            <w:r w:rsidRPr="004D6A9B">
              <w:rPr>
                <w:rFonts w:hint="cs"/>
                <w:sz w:val="24"/>
                <w:szCs w:val="24"/>
                <w:rtl/>
                <w:lang w:bidi="ar-EG"/>
              </w:rPr>
              <w:t>20</w:t>
            </w:r>
            <w:r w:rsidR="005D624E" w:rsidRPr="00833A64">
              <w:rPr>
                <w:rFonts w:cs="Akhbar MT" w:hint="cs"/>
                <w:sz w:val="24"/>
                <w:szCs w:val="24"/>
                <w:rtl/>
                <w:lang w:bidi="ar-EG"/>
              </w:rPr>
              <w:t>%</w:t>
            </w:r>
          </w:p>
        </w:tc>
      </w:tr>
      <w:tr w:rsidR="00971AE2" w:rsidRPr="004D6A9B">
        <w:tblPrEx>
          <w:tblCellMar>
            <w:top w:w="0" w:type="dxa"/>
            <w:bottom w:w="0" w:type="dxa"/>
          </w:tblCellMar>
        </w:tblPrEx>
        <w:trPr>
          <w:cantSplit/>
        </w:trPr>
        <w:tc>
          <w:tcPr>
            <w:tcW w:w="1830"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sz w:val="24"/>
                <w:szCs w:val="24"/>
                <w:rtl/>
                <w:lang w:bidi="ar-EG"/>
              </w:rPr>
            </w:pPr>
          </w:p>
        </w:tc>
        <w:tc>
          <w:tcPr>
            <w:tcW w:w="2633"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عدد الكيانات المبلغة</w:t>
            </w:r>
          </w:p>
        </w:tc>
        <w:tc>
          <w:tcPr>
            <w:tcW w:w="1648"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152</w:t>
            </w:r>
          </w:p>
        </w:tc>
        <w:tc>
          <w:tcPr>
            <w:tcW w:w="1209" w:type="dxa"/>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w:t>
            </w:r>
            <w:r w:rsidR="00FC46DD">
              <w:rPr>
                <w:rFonts w:hint="cs"/>
                <w:sz w:val="24"/>
                <w:szCs w:val="24"/>
                <w:rtl/>
                <w:lang w:bidi="ar-EG"/>
              </w:rPr>
              <w:t>.</w:t>
            </w:r>
            <w:r w:rsidRPr="004D6A9B">
              <w:rPr>
                <w:rFonts w:hint="cs"/>
                <w:sz w:val="24"/>
                <w:szCs w:val="24"/>
                <w:rtl/>
                <w:lang w:bidi="ar-EG"/>
              </w:rPr>
              <w:t>50</w:t>
            </w:r>
            <w:r w:rsidR="005D624E" w:rsidRPr="00833A64">
              <w:rPr>
                <w:rFonts w:cs="Akhbar MT" w:hint="cs"/>
                <w:sz w:val="24"/>
                <w:szCs w:val="24"/>
                <w:rtl/>
                <w:lang w:bidi="ar-EG"/>
              </w:rPr>
              <w:t>%</w:t>
            </w:r>
          </w:p>
        </w:tc>
      </w:tr>
    </w:tbl>
    <w:p w:rsidR="00971AE2" w:rsidRDefault="00971AE2" w:rsidP="00A343DF">
      <w:pPr>
        <w:pStyle w:val="SingleTxt"/>
        <w:rPr>
          <w:rFonts w:hint="cs"/>
          <w:color w:val="FF0000"/>
          <w:sz w:val="24"/>
          <w:rtl/>
          <w:lang w:bidi="ar-EG"/>
        </w:rPr>
      </w:pPr>
      <w:r>
        <w:rPr>
          <w:rFonts w:hint="cs"/>
          <w:sz w:val="24"/>
          <w:rtl/>
          <w:lang w:bidi="ar-EG"/>
        </w:rPr>
        <w:t>دائرة التعليم الشعبي/</w:t>
      </w:r>
      <w:r>
        <w:rPr>
          <w:sz w:val="16"/>
        </w:rPr>
        <w:t>CEPG</w:t>
      </w:r>
      <w:r>
        <w:rPr>
          <w:rFonts w:hint="cs"/>
          <w:sz w:val="16"/>
          <w:rtl/>
        </w:rPr>
        <w:t>،</w:t>
      </w:r>
      <w:r>
        <w:rPr>
          <w:rFonts w:hint="cs"/>
          <w:sz w:val="24"/>
          <w:rtl/>
          <w:lang w:bidi="ar-EG"/>
        </w:rPr>
        <w:t xml:space="preserve"> 7 أيار/مايو 2004</w:t>
      </w:r>
      <w:r w:rsidR="003D7EB4">
        <w:rPr>
          <w:rFonts w:hint="cs"/>
          <w:sz w:val="24"/>
          <w:rtl/>
          <w:lang w:bidi="ar-EG"/>
        </w:rPr>
        <w:t>،</w:t>
      </w:r>
    </w:p>
    <w:p w:rsidR="00971AE2" w:rsidRDefault="00971AE2" w:rsidP="00A343DF">
      <w:pPr>
        <w:pStyle w:val="SingleTxt"/>
        <w:spacing w:after="0" w:line="120" w:lineRule="exact"/>
        <w:rPr>
          <w:sz w:val="10"/>
        </w:rPr>
      </w:pPr>
    </w:p>
    <w:p w:rsidR="00971AE2" w:rsidRDefault="001A2DC6" w:rsidP="00A343DF">
      <w:pPr>
        <w:pStyle w:val="SingleTxt"/>
        <w:rPr>
          <w:rFonts w:hint="cs"/>
          <w:b/>
          <w:bCs/>
          <w:rtl/>
          <w:lang w:bidi="ar-EG"/>
        </w:rPr>
      </w:pPr>
      <w:r>
        <w:rPr>
          <w:b/>
          <w:bCs/>
          <w:rtl/>
          <w:lang w:bidi="ar-EG"/>
        </w:rPr>
        <w:br w:type="page"/>
      </w:r>
      <w:r w:rsidR="00971AE2">
        <w:rPr>
          <w:rFonts w:hint="cs"/>
          <w:b/>
          <w:bCs/>
          <w:rtl/>
          <w:lang w:bidi="ar-EG"/>
        </w:rPr>
        <w:t>تقرير تخصيص وظائف المستوى الإداري في كيانات النظام الإقليمي، مختصر حتى 30</w:t>
      </w:r>
      <w:r w:rsidR="00971AE2">
        <w:rPr>
          <w:rFonts w:hint="eastAsia"/>
          <w:b/>
          <w:bCs/>
          <w:rtl/>
          <w:lang w:bidi="ar-EG"/>
        </w:rPr>
        <w:t> </w:t>
      </w:r>
      <w:r w:rsidR="00971AE2">
        <w:rPr>
          <w:rFonts w:hint="cs"/>
          <w:b/>
          <w:bCs/>
          <w:rtl/>
          <w:lang w:bidi="ar-EG"/>
        </w:rPr>
        <w:t>آذار/مارس 2004</w:t>
      </w:r>
    </w:p>
    <w:p w:rsidR="00971AE2" w:rsidRDefault="00971AE2" w:rsidP="00A343DF">
      <w:pPr>
        <w:pStyle w:val="SingleTxt"/>
        <w:spacing w:after="0" w:line="120" w:lineRule="exact"/>
        <w:rPr>
          <w:rFonts w:hint="cs"/>
          <w:b/>
          <w:b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373"/>
        <w:gridCol w:w="721"/>
        <w:gridCol w:w="721"/>
        <w:gridCol w:w="845"/>
        <w:gridCol w:w="915"/>
        <w:gridCol w:w="712"/>
        <w:gridCol w:w="1030"/>
        <w:gridCol w:w="1003"/>
      </w:tblGrid>
      <w:tr w:rsidR="00971AE2" w:rsidRPr="004D6A9B">
        <w:tblPrEx>
          <w:tblCellMar>
            <w:top w:w="0" w:type="dxa"/>
            <w:bottom w:w="0" w:type="dxa"/>
          </w:tblCellMar>
        </w:tblPrEx>
        <w:trPr>
          <w:cantSplit/>
          <w:tblHeader/>
        </w:trPr>
        <w:tc>
          <w:tcPr>
            <w:tcW w:w="1373"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4D6A9B">
              <w:rPr>
                <w:rFonts w:hint="cs"/>
                <w:i/>
                <w:iCs/>
                <w:sz w:val="24"/>
                <w:szCs w:val="24"/>
                <w:rtl/>
                <w:lang w:bidi="ar-EG"/>
              </w:rPr>
              <w:t>المحافظات</w:t>
            </w:r>
          </w:p>
        </w:tc>
        <w:tc>
          <w:tcPr>
            <w:tcW w:w="721"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مجموع الوظائف</w:t>
            </w:r>
          </w:p>
        </w:tc>
        <w:tc>
          <w:tcPr>
            <w:tcW w:w="721"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الوظائف الشاغرة</w:t>
            </w:r>
          </w:p>
        </w:tc>
        <w:tc>
          <w:tcPr>
            <w:tcW w:w="845"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الوظائف المقررة</w:t>
            </w:r>
          </w:p>
        </w:tc>
        <w:tc>
          <w:tcPr>
            <w:tcW w:w="915"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النساء</w:t>
            </w:r>
          </w:p>
        </w:tc>
        <w:tc>
          <w:tcPr>
            <w:tcW w:w="712"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الرجال</w:t>
            </w:r>
          </w:p>
        </w:tc>
        <w:tc>
          <w:tcPr>
            <w:tcW w:w="1030"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النسبة المئوية للنساء</w:t>
            </w:r>
          </w:p>
        </w:tc>
        <w:tc>
          <w:tcPr>
            <w:tcW w:w="1003" w:type="dxa"/>
            <w:tcBorders>
              <w:top w:val="single" w:sz="4" w:space="0" w:color="auto"/>
              <w:bottom w:val="single" w:sz="12" w:space="0" w:color="auto"/>
            </w:tcBorders>
            <w:vAlign w:val="bottom"/>
          </w:tcPr>
          <w:p w:rsidR="00971AE2" w:rsidRPr="004D6A9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4D6A9B">
              <w:rPr>
                <w:rFonts w:hint="cs"/>
                <w:i/>
                <w:iCs/>
                <w:sz w:val="24"/>
                <w:szCs w:val="24"/>
                <w:rtl/>
                <w:lang w:bidi="ar-EG"/>
              </w:rPr>
              <w:t>النسبة المئوية للرجال</w:t>
            </w:r>
          </w:p>
        </w:tc>
      </w:tr>
      <w:tr w:rsidR="00971AE2" w:rsidRPr="004D6A9B">
        <w:tblPrEx>
          <w:tblCellMar>
            <w:top w:w="0" w:type="dxa"/>
            <w:bottom w:w="0" w:type="dxa"/>
          </w:tblCellMar>
        </w:tblPrEx>
        <w:trPr>
          <w:cantSplit/>
          <w:trHeight w:hRule="exact" w:val="115"/>
          <w:tblHeader/>
        </w:trPr>
        <w:tc>
          <w:tcPr>
            <w:tcW w:w="1373"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721"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45"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915"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12"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1030"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1003" w:type="dxa"/>
            <w:tcBorders>
              <w:top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الأمازون</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37</w:t>
            </w:r>
            <w:r w:rsidR="00FC46DD">
              <w:rPr>
                <w:rFonts w:hint="cs"/>
                <w:sz w:val="24"/>
                <w:szCs w:val="24"/>
                <w:rtl/>
                <w:lang w:bidi="ar-EG"/>
              </w:rPr>
              <w:t>.</w:t>
            </w:r>
            <w:r w:rsidRPr="004D6A9B">
              <w:rPr>
                <w:rFonts w:hint="cs"/>
                <w:sz w:val="24"/>
                <w:szCs w:val="24"/>
                <w:rtl/>
                <w:lang w:bidi="ar-EG"/>
              </w:rPr>
              <w:t>50</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62</w:t>
            </w:r>
            <w:r w:rsidR="00FC46DD">
              <w:rPr>
                <w:rFonts w:hint="cs"/>
                <w:sz w:val="24"/>
                <w:szCs w:val="24"/>
                <w:rtl/>
                <w:lang w:bidi="ar-EG"/>
              </w:rPr>
              <w:t>.</w:t>
            </w:r>
            <w:r w:rsidRPr="004D6A9B">
              <w:rPr>
                <w:rFonts w:hint="cs"/>
                <w:sz w:val="24"/>
                <w:szCs w:val="24"/>
                <w:rtl/>
                <w:lang w:bidi="ar-EG"/>
              </w:rPr>
              <w:t>50</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أراوكا</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30</w:t>
            </w:r>
            <w:r w:rsidR="00FC46DD">
              <w:rPr>
                <w:rFonts w:hint="cs"/>
                <w:sz w:val="24"/>
                <w:szCs w:val="24"/>
                <w:rtl/>
                <w:lang w:bidi="ar-EG"/>
              </w:rPr>
              <w:t>.</w:t>
            </w:r>
            <w:r w:rsidRPr="004D6A9B">
              <w:rPr>
                <w:rFonts w:hint="cs"/>
                <w:sz w:val="24"/>
                <w:szCs w:val="24"/>
                <w:rtl/>
                <w:lang w:bidi="ar-EG"/>
              </w:rPr>
              <w:t>00</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70</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بوليفار</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15</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15</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11</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26</w:t>
            </w:r>
            <w:r w:rsidR="00FC46DD">
              <w:rPr>
                <w:rFonts w:hint="cs"/>
                <w:sz w:val="24"/>
                <w:szCs w:val="24"/>
                <w:rtl/>
                <w:lang w:bidi="ar-EG"/>
              </w:rPr>
              <w:t>.</w:t>
            </w:r>
            <w:r w:rsidRPr="004D6A9B">
              <w:rPr>
                <w:rFonts w:hint="cs"/>
                <w:sz w:val="24"/>
                <w:szCs w:val="24"/>
                <w:rtl/>
                <w:lang w:bidi="ar-EG"/>
              </w:rPr>
              <w:t>67</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73</w:t>
            </w:r>
            <w:r w:rsidR="00FC46DD">
              <w:rPr>
                <w:rFonts w:hint="cs"/>
                <w:sz w:val="24"/>
                <w:szCs w:val="24"/>
                <w:rtl/>
                <w:lang w:bidi="ar-EG"/>
              </w:rPr>
              <w:t>.</w:t>
            </w:r>
            <w:r w:rsidRPr="004D6A9B">
              <w:rPr>
                <w:rFonts w:hint="cs"/>
                <w:sz w:val="24"/>
                <w:szCs w:val="24"/>
                <w:rtl/>
                <w:lang w:bidi="ar-EG"/>
              </w:rPr>
              <w:t>33</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كاكويتا</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25</w:t>
            </w:r>
            <w:r w:rsidR="00FC46DD">
              <w:rPr>
                <w:rFonts w:hint="cs"/>
                <w:sz w:val="24"/>
                <w:szCs w:val="24"/>
                <w:rtl/>
                <w:lang w:bidi="ar-EG"/>
              </w:rPr>
              <w:t>.</w:t>
            </w:r>
            <w:r w:rsidRPr="004D6A9B">
              <w:rPr>
                <w:rFonts w:hint="cs"/>
                <w:sz w:val="24"/>
                <w:szCs w:val="24"/>
                <w:rtl/>
                <w:lang w:bidi="ar-EG"/>
              </w:rPr>
              <w:t>00</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75</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كاساناريه</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30</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30</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21</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30</w:t>
            </w:r>
            <w:r w:rsidR="00FC46DD">
              <w:rPr>
                <w:rFonts w:hint="cs"/>
                <w:sz w:val="24"/>
                <w:szCs w:val="24"/>
                <w:rtl/>
                <w:lang w:bidi="ar-EG"/>
              </w:rPr>
              <w:t>.</w:t>
            </w:r>
            <w:r w:rsidRPr="004D6A9B">
              <w:rPr>
                <w:rFonts w:hint="cs"/>
                <w:sz w:val="24"/>
                <w:szCs w:val="24"/>
                <w:rtl/>
                <w:lang w:bidi="ar-EG"/>
              </w:rPr>
              <w:t>00</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70</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قرطبة</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50</w:t>
            </w:r>
            <w:r w:rsidR="00FC46DD">
              <w:rPr>
                <w:rFonts w:hint="cs"/>
                <w:sz w:val="24"/>
                <w:szCs w:val="24"/>
                <w:rtl/>
                <w:lang w:bidi="ar-EG"/>
              </w:rPr>
              <w:t>.</w:t>
            </w:r>
            <w:r w:rsidRPr="004D6A9B">
              <w:rPr>
                <w:rFonts w:hint="cs"/>
                <w:sz w:val="24"/>
                <w:szCs w:val="24"/>
                <w:rtl/>
                <w:lang w:bidi="ar-EG"/>
              </w:rPr>
              <w:t>00</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50</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غواهيرا</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20</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17</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58</w:t>
            </w:r>
            <w:r w:rsidR="00FC46DD">
              <w:rPr>
                <w:rFonts w:hint="cs"/>
                <w:sz w:val="24"/>
                <w:szCs w:val="24"/>
                <w:rtl/>
                <w:lang w:bidi="ar-EG"/>
              </w:rPr>
              <w:t>.</w:t>
            </w:r>
            <w:r w:rsidRPr="004D6A9B">
              <w:rPr>
                <w:rFonts w:hint="cs"/>
                <w:sz w:val="24"/>
                <w:szCs w:val="24"/>
                <w:rtl/>
                <w:lang w:bidi="ar-EG"/>
              </w:rPr>
              <w:t>82</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41</w:t>
            </w:r>
            <w:r w:rsidR="00FC46DD">
              <w:rPr>
                <w:rFonts w:hint="cs"/>
                <w:sz w:val="24"/>
                <w:szCs w:val="24"/>
                <w:rtl/>
                <w:lang w:bidi="ar-EG"/>
              </w:rPr>
              <w:t>.</w:t>
            </w:r>
            <w:r w:rsidRPr="004D6A9B">
              <w:rPr>
                <w:rFonts w:hint="cs"/>
                <w:sz w:val="24"/>
                <w:szCs w:val="24"/>
                <w:rtl/>
                <w:lang w:bidi="ar-EG"/>
              </w:rPr>
              <w:t>18</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غوافياريه</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30</w:t>
            </w:r>
            <w:r w:rsidR="00FC46DD">
              <w:rPr>
                <w:rFonts w:hint="cs"/>
                <w:sz w:val="24"/>
                <w:szCs w:val="24"/>
                <w:rtl/>
                <w:lang w:bidi="ar-EG"/>
              </w:rPr>
              <w:t>.</w:t>
            </w:r>
            <w:r w:rsidRPr="004D6A9B">
              <w:rPr>
                <w:rFonts w:hint="cs"/>
                <w:sz w:val="24"/>
                <w:szCs w:val="24"/>
                <w:rtl/>
                <w:lang w:bidi="ar-EG"/>
              </w:rPr>
              <w:t>00</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70</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ميتا</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14</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14</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28</w:t>
            </w:r>
            <w:r w:rsidR="00FC46DD">
              <w:rPr>
                <w:rFonts w:hint="cs"/>
                <w:sz w:val="24"/>
                <w:szCs w:val="24"/>
                <w:rtl/>
                <w:lang w:bidi="ar-EG"/>
              </w:rPr>
              <w:t>.</w:t>
            </w:r>
            <w:r w:rsidRPr="004D6A9B">
              <w:rPr>
                <w:rFonts w:hint="cs"/>
                <w:sz w:val="24"/>
                <w:szCs w:val="24"/>
                <w:rtl/>
                <w:lang w:bidi="ar-EG"/>
              </w:rPr>
              <w:t>57</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71</w:t>
            </w:r>
            <w:r w:rsidR="00FC46DD">
              <w:rPr>
                <w:rFonts w:hint="cs"/>
                <w:sz w:val="24"/>
                <w:szCs w:val="24"/>
                <w:rtl/>
                <w:lang w:bidi="ar-EG"/>
              </w:rPr>
              <w:t>.</w:t>
            </w:r>
            <w:r w:rsidRPr="004D6A9B">
              <w:rPr>
                <w:rFonts w:hint="cs"/>
                <w:sz w:val="24"/>
                <w:szCs w:val="24"/>
                <w:rtl/>
                <w:lang w:bidi="ar-EG"/>
              </w:rPr>
              <w:t>43</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نارينيو</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24</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24</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16</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33</w:t>
            </w:r>
            <w:r w:rsidR="00FC46DD">
              <w:rPr>
                <w:rFonts w:hint="cs"/>
                <w:sz w:val="24"/>
                <w:szCs w:val="24"/>
                <w:rtl/>
                <w:lang w:bidi="ar-EG"/>
              </w:rPr>
              <w:t>.</w:t>
            </w:r>
            <w:r w:rsidRPr="004D6A9B">
              <w:rPr>
                <w:rFonts w:hint="cs"/>
                <w:sz w:val="24"/>
                <w:szCs w:val="24"/>
                <w:rtl/>
                <w:lang w:bidi="ar-EG"/>
              </w:rPr>
              <w:t>33</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66</w:t>
            </w:r>
            <w:r w:rsidR="00FC46DD">
              <w:rPr>
                <w:rFonts w:hint="cs"/>
                <w:sz w:val="24"/>
                <w:szCs w:val="24"/>
                <w:rtl/>
                <w:lang w:bidi="ar-EG"/>
              </w:rPr>
              <w:t>.</w:t>
            </w:r>
            <w:r w:rsidRPr="004D6A9B">
              <w:rPr>
                <w:rFonts w:hint="cs"/>
                <w:sz w:val="24"/>
                <w:szCs w:val="24"/>
                <w:rtl/>
                <w:lang w:bidi="ar-EG"/>
              </w:rPr>
              <w:t>67</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كوينديو</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23</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23</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12</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11</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52</w:t>
            </w:r>
            <w:r w:rsidR="00FC46DD">
              <w:rPr>
                <w:rFonts w:hint="cs"/>
                <w:sz w:val="24"/>
                <w:szCs w:val="24"/>
                <w:rtl/>
                <w:lang w:bidi="ar-EG"/>
              </w:rPr>
              <w:t>.</w:t>
            </w:r>
            <w:r w:rsidRPr="004D6A9B">
              <w:rPr>
                <w:rFonts w:hint="cs"/>
                <w:sz w:val="24"/>
                <w:szCs w:val="24"/>
                <w:rtl/>
                <w:lang w:bidi="ar-EG"/>
              </w:rPr>
              <w:t>17</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47</w:t>
            </w:r>
            <w:r w:rsidR="00FC46DD">
              <w:rPr>
                <w:rFonts w:hint="cs"/>
                <w:sz w:val="24"/>
                <w:szCs w:val="24"/>
                <w:rtl/>
                <w:lang w:bidi="ar-EG"/>
              </w:rPr>
              <w:t>.</w:t>
            </w:r>
            <w:r w:rsidRPr="004D6A9B">
              <w:rPr>
                <w:rFonts w:hint="cs"/>
                <w:sz w:val="24"/>
                <w:szCs w:val="24"/>
                <w:rtl/>
                <w:lang w:bidi="ar-EG"/>
              </w:rPr>
              <w:t>83</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ريسارلدا</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36</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32</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22</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31</w:t>
            </w:r>
            <w:r w:rsidR="00FC46DD">
              <w:rPr>
                <w:rFonts w:hint="cs"/>
                <w:sz w:val="24"/>
                <w:szCs w:val="24"/>
                <w:rtl/>
                <w:lang w:bidi="ar-EG"/>
              </w:rPr>
              <w:t>.</w:t>
            </w:r>
            <w:r w:rsidRPr="004D6A9B">
              <w:rPr>
                <w:rFonts w:hint="cs"/>
                <w:sz w:val="24"/>
                <w:szCs w:val="24"/>
                <w:rtl/>
                <w:lang w:bidi="ar-EG"/>
              </w:rPr>
              <w:t>25</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68</w:t>
            </w:r>
            <w:r w:rsidR="00FC46DD">
              <w:rPr>
                <w:rFonts w:hint="cs"/>
                <w:sz w:val="24"/>
                <w:szCs w:val="24"/>
                <w:rtl/>
                <w:lang w:bidi="ar-EG"/>
              </w:rPr>
              <w:t>.</w:t>
            </w:r>
            <w:r w:rsidRPr="004D6A9B">
              <w:rPr>
                <w:rFonts w:hint="cs"/>
                <w:sz w:val="24"/>
                <w:szCs w:val="24"/>
                <w:rtl/>
                <w:lang w:bidi="ar-EG"/>
              </w:rPr>
              <w:t>75</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جزيرة سان أندريس</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13</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13</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38</w:t>
            </w:r>
            <w:r w:rsidR="00FC46DD">
              <w:rPr>
                <w:rFonts w:hint="cs"/>
                <w:sz w:val="24"/>
                <w:szCs w:val="24"/>
                <w:rtl/>
                <w:lang w:bidi="ar-EG"/>
              </w:rPr>
              <w:t>.</w:t>
            </w:r>
            <w:r w:rsidRPr="004D6A9B">
              <w:rPr>
                <w:rFonts w:hint="cs"/>
                <w:sz w:val="24"/>
                <w:szCs w:val="24"/>
                <w:rtl/>
                <w:lang w:bidi="ar-EG"/>
              </w:rPr>
              <w:t>46</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61</w:t>
            </w:r>
            <w:r w:rsidR="00FC46DD">
              <w:rPr>
                <w:rFonts w:hint="cs"/>
                <w:sz w:val="24"/>
                <w:szCs w:val="24"/>
                <w:rtl/>
                <w:lang w:bidi="ar-EG"/>
              </w:rPr>
              <w:t>.</w:t>
            </w:r>
            <w:r w:rsidRPr="004D6A9B">
              <w:rPr>
                <w:rFonts w:hint="cs"/>
                <w:sz w:val="24"/>
                <w:szCs w:val="24"/>
                <w:rtl/>
                <w:lang w:bidi="ar-EG"/>
              </w:rPr>
              <w:t>54</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سانتاندير</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14</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13</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30</w:t>
            </w:r>
            <w:r w:rsidR="00FC46DD">
              <w:rPr>
                <w:rFonts w:hint="cs"/>
                <w:sz w:val="24"/>
                <w:szCs w:val="24"/>
                <w:rtl/>
                <w:lang w:bidi="ar-EG"/>
              </w:rPr>
              <w:t>.</w:t>
            </w:r>
            <w:r w:rsidRPr="004D6A9B">
              <w:rPr>
                <w:rFonts w:hint="cs"/>
                <w:sz w:val="24"/>
                <w:szCs w:val="24"/>
                <w:rtl/>
                <w:lang w:bidi="ar-EG"/>
              </w:rPr>
              <w:t>77</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69</w:t>
            </w:r>
            <w:r w:rsidR="00FC46DD">
              <w:rPr>
                <w:rFonts w:hint="cs"/>
                <w:sz w:val="24"/>
                <w:szCs w:val="24"/>
                <w:rtl/>
                <w:lang w:bidi="ar-EG"/>
              </w:rPr>
              <w:t>.</w:t>
            </w:r>
            <w:r w:rsidRPr="004D6A9B">
              <w:rPr>
                <w:rFonts w:hint="cs"/>
                <w:sz w:val="24"/>
                <w:szCs w:val="24"/>
                <w:rtl/>
                <w:lang w:bidi="ar-EG"/>
              </w:rPr>
              <w:t>23</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سوكريه</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9</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33</w:t>
            </w:r>
            <w:r w:rsidR="00FC46DD">
              <w:rPr>
                <w:rFonts w:hint="cs"/>
                <w:sz w:val="24"/>
                <w:szCs w:val="24"/>
                <w:rtl/>
                <w:lang w:bidi="ar-EG"/>
              </w:rPr>
              <w:t>.</w:t>
            </w:r>
            <w:r w:rsidRPr="004D6A9B">
              <w:rPr>
                <w:rFonts w:hint="cs"/>
                <w:sz w:val="24"/>
                <w:szCs w:val="24"/>
                <w:rtl/>
                <w:lang w:bidi="ar-EG"/>
              </w:rPr>
              <w:t>33</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66</w:t>
            </w:r>
            <w:r w:rsidR="00FC46DD">
              <w:rPr>
                <w:rFonts w:hint="cs"/>
                <w:sz w:val="24"/>
                <w:szCs w:val="24"/>
                <w:rtl/>
                <w:lang w:bidi="ar-EG"/>
              </w:rPr>
              <w:t>.</w:t>
            </w:r>
            <w:r w:rsidRPr="004D6A9B">
              <w:rPr>
                <w:rFonts w:hint="cs"/>
                <w:sz w:val="24"/>
                <w:szCs w:val="24"/>
                <w:rtl/>
                <w:lang w:bidi="ar-EG"/>
              </w:rPr>
              <w:t>67</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توليما</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26</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25</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12</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13</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48</w:t>
            </w:r>
            <w:r w:rsidR="00FC46DD">
              <w:rPr>
                <w:rFonts w:hint="cs"/>
                <w:sz w:val="24"/>
                <w:szCs w:val="24"/>
                <w:rtl/>
                <w:lang w:bidi="ar-EG"/>
              </w:rPr>
              <w:t>.</w:t>
            </w:r>
            <w:r w:rsidRPr="004D6A9B">
              <w:rPr>
                <w:rFonts w:hint="cs"/>
                <w:sz w:val="24"/>
                <w:szCs w:val="24"/>
                <w:rtl/>
                <w:lang w:bidi="ar-EG"/>
              </w:rPr>
              <w:t>00</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52</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فاويبس</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8</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6</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25</w:t>
            </w:r>
            <w:r w:rsidR="00FC46DD">
              <w:rPr>
                <w:rFonts w:hint="cs"/>
                <w:sz w:val="24"/>
                <w:szCs w:val="24"/>
                <w:rtl/>
                <w:lang w:bidi="ar-EG"/>
              </w:rPr>
              <w:t>.</w:t>
            </w:r>
            <w:r w:rsidRPr="004D6A9B">
              <w:rPr>
                <w:rFonts w:hint="cs"/>
                <w:sz w:val="24"/>
                <w:szCs w:val="24"/>
                <w:rtl/>
                <w:lang w:bidi="ar-EG"/>
              </w:rPr>
              <w:t>00</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75</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فيتشادا</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صفر</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0</w:t>
            </w:r>
            <w:r w:rsidR="00FC46DD">
              <w:rPr>
                <w:rFonts w:hint="cs"/>
                <w:sz w:val="24"/>
                <w:szCs w:val="24"/>
                <w:rtl/>
                <w:lang w:bidi="ar-EG"/>
              </w:rPr>
              <w:t>.</w:t>
            </w:r>
            <w:r w:rsidRPr="004D6A9B">
              <w:rPr>
                <w:rFonts w:hint="cs"/>
                <w:sz w:val="24"/>
                <w:szCs w:val="24"/>
                <w:rtl/>
                <w:lang w:bidi="ar-EG"/>
              </w:rPr>
              <w:t>00</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100</w:t>
            </w:r>
            <w:r w:rsidR="00FC46DD">
              <w:rPr>
                <w:rFonts w:hint="cs"/>
                <w:sz w:val="24"/>
                <w:szCs w:val="24"/>
                <w:rtl/>
                <w:lang w:bidi="ar-EG"/>
              </w:rPr>
              <w:t>.</w:t>
            </w:r>
            <w:r w:rsidRPr="004D6A9B">
              <w:rPr>
                <w:rFonts w:hint="cs"/>
                <w:sz w:val="24"/>
                <w:szCs w:val="24"/>
                <w:rtl/>
                <w:lang w:bidi="ar-EG"/>
              </w:rPr>
              <w:t>00</w:t>
            </w:r>
          </w:p>
        </w:tc>
      </w:tr>
      <w:tr w:rsidR="00971AE2" w:rsidRPr="004D6A9B">
        <w:tblPrEx>
          <w:tblCellMar>
            <w:top w:w="0" w:type="dxa"/>
            <w:bottom w:w="0" w:type="dxa"/>
          </w:tblCellMar>
        </w:tblPrEx>
        <w:trPr>
          <w:cantSplit/>
        </w:trPr>
        <w:tc>
          <w:tcPr>
            <w:tcW w:w="1373" w:type="dxa"/>
            <w:vAlign w:val="bottom"/>
          </w:tcPr>
          <w:p w:rsidR="00971AE2" w:rsidRPr="004D6A9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4D6A9B">
              <w:rPr>
                <w:rFonts w:hint="cs"/>
                <w:sz w:val="24"/>
                <w:szCs w:val="24"/>
                <w:rtl/>
                <w:lang w:bidi="ar-EG"/>
              </w:rPr>
              <w:t>المجموع الكلي</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4D6A9B">
              <w:rPr>
                <w:rFonts w:hint="cs"/>
                <w:b/>
                <w:bCs/>
                <w:sz w:val="24"/>
                <w:szCs w:val="24"/>
                <w:rtl/>
                <w:lang w:bidi="ar-EG"/>
              </w:rPr>
              <w:t>279</w:t>
            </w:r>
          </w:p>
        </w:tc>
        <w:tc>
          <w:tcPr>
            <w:tcW w:w="721"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4D6A9B">
              <w:rPr>
                <w:rFonts w:hint="cs"/>
                <w:b/>
                <w:bCs/>
                <w:sz w:val="24"/>
                <w:szCs w:val="24"/>
                <w:rtl/>
                <w:lang w:bidi="ar-EG"/>
              </w:rPr>
              <w:t>9</w:t>
            </w:r>
          </w:p>
        </w:tc>
        <w:tc>
          <w:tcPr>
            <w:tcW w:w="84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4D6A9B">
              <w:rPr>
                <w:rFonts w:hint="cs"/>
                <w:b/>
                <w:bCs/>
                <w:sz w:val="24"/>
                <w:szCs w:val="24"/>
                <w:rtl/>
                <w:lang w:bidi="ar-EG"/>
              </w:rPr>
              <w:t>270</w:t>
            </w:r>
          </w:p>
        </w:tc>
        <w:tc>
          <w:tcPr>
            <w:tcW w:w="915"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4D6A9B">
              <w:rPr>
                <w:rFonts w:hint="cs"/>
                <w:b/>
                <w:bCs/>
                <w:sz w:val="24"/>
                <w:szCs w:val="24"/>
                <w:rtl/>
                <w:lang w:bidi="ar-EG"/>
              </w:rPr>
              <w:t>99</w:t>
            </w:r>
          </w:p>
        </w:tc>
        <w:tc>
          <w:tcPr>
            <w:tcW w:w="712"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4D6A9B">
              <w:rPr>
                <w:rFonts w:hint="cs"/>
                <w:b/>
                <w:bCs/>
                <w:sz w:val="24"/>
                <w:szCs w:val="24"/>
                <w:rtl/>
                <w:lang w:bidi="ar-EG"/>
              </w:rPr>
              <w:t>171</w:t>
            </w:r>
          </w:p>
        </w:tc>
        <w:tc>
          <w:tcPr>
            <w:tcW w:w="1030"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4D6A9B">
              <w:rPr>
                <w:rFonts w:hint="cs"/>
                <w:b/>
                <w:bCs/>
                <w:sz w:val="24"/>
                <w:szCs w:val="24"/>
                <w:rtl/>
                <w:lang w:bidi="ar-EG"/>
              </w:rPr>
              <w:t>36</w:t>
            </w:r>
            <w:r w:rsidR="00FC46DD">
              <w:rPr>
                <w:rFonts w:hint="cs"/>
                <w:b/>
                <w:bCs/>
                <w:sz w:val="24"/>
                <w:szCs w:val="24"/>
                <w:rtl/>
                <w:lang w:bidi="ar-EG"/>
              </w:rPr>
              <w:t>.</w:t>
            </w:r>
            <w:r w:rsidRPr="004D6A9B">
              <w:rPr>
                <w:rFonts w:hint="cs"/>
                <w:b/>
                <w:bCs/>
                <w:sz w:val="24"/>
                <w:szCs w:val="24"/>
                <w:rtl/>
                <w:lang w:bidi="ar-EG"/>
              </w:rPr>
              <w:t>67</w:t>
            </w:r>
          </w:p>
        </w:tc>
        <w:tc>
          <w:tcPr>
            <w:tcW w:w="1003" w:type="dxa"/>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4D6A9B">
              <w:rPr>
                <w:rFonts w:hint="cs"/>
                <w:b/>
                <w:bCs/>
                <w:sz w:val="24"/>
                <w:szCs w:val="24"/>
                <w:rtl/>
                <w:lang w:bidi="ar-EG"/>
              </w:rPr>
              <w:t>63</w:t>
            </w:r>
            <w:r w:rsidR="00FC46DD">
              <w:rPr>
                <w:rFonts w:hint="cs"/>
                <w:b/>
                <w:bCs/>
                <w:sz w:val="24"/>
                <w:szCs w:val="24"/>
                <w:rtl/>
                <w:lang w:bidi="ar-EG"/>
              </w:rPr>
              <w:t>.</w:t>
            </w:r>
            <w:r w:rsidRPr="004D6A9B">
              <w:rPr>
                <w:rFonts w:hint="cs"/>
                <w:b/>
                <w:bCs/>
                <w:sz w:val="24"/>
                <w:szCs w:val="24"/>
                <w:rtl/>
                <w:lang w:bidi="ar-EG"/>
              </w:rPr>
              <w:t>33</w:t>
            </w:r>
          </w:p>
        </w:tc>
      </w:tr>
      <w:tr w:rsidR="00971AE2" w:rsidRPr="004D6A9B">
        <w:tblPrEx>
          <w:tblCellMar>
            <w:top w:w="0" w:type="dxa"/>
            <w:bottom w:w="0" w:type="dxa"/>
          </w:tblCellMar>
        </w:tblPrEx>
        <w:trPr>
          <w:cantSplit/>
        </w:trPr>
        <w:tc>
          <w:tcPr>
            <w:tcW w:w="3660" w:type="dxa"/>
            <w:gridSpan w:val="4"/>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الكيان الإقليمي: مقاطعة</w:t>
            </w:r>
          </w:p>
        </w:tc>
        <w:tc>
          <w:tcPr>
            <w:tcW w:w="3660" w:type="dxa"/>
            <w:gridSpan w:val="4"/>
            <w:tcBorders>
              <w:bottom w:val="single" w:sz="12" w:space="0" w:color="auto"/>
            </w:tcBorders>
            <w:vAlign w:val="bottom"/>
          </w:tcPr>
          <w:p w:rsidR="00971AE2" w:rsidRPr="004D6A9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4D6A9B">
              <w:rPr>
                <w:rFonts w:hint="cs"/>
                <w:sz w:val="24"/>
                <w:szCs w:val="24"/>
                <w:rtl/>
                <w:lang w:bidi="ar-EG"/>
              </w:rPr>
              <w:t>النسبة المئوية للاستجابة 56</w:t>
            </w:r>
            <w:r w:rsidR="00FC46DD">
              <w:rPr>
                <w:rFonts w:hint="cs"/>
                <w:sz w:val="24"/>
                <w:szCs w:val="24"/>
                <w:rtl/>
                <w:lang w:bidi="ar-EG"/>
              </w:rPr>
              <w:t>.</w:t>
            </w:r>
            <w:r w:rsidRPr="004D6A9B">
              <w:rPr>
                <w:rFonts w:hint="cs"/>
                <w:sz w:val="24"/>
                <w:szCs w:val="24"/>
                <w:rtl/>
                <w:lang w:bidi="ar-EG"/>
              </w:rPr>
              <w:t>25 في المائة</w:t>
            </w:r>
          </w:p>
        </w:tc>
      </w:tr>
    </w:tbl>
    <w:p w:rsidR="00CC18AF" w:rsidRPr="00CC18AF" w:rsidRDefault="00CC18AF" w:rsidP="00A343DF">
      <w:pPr>
        <w:pStyle w:val="SingleTxt"/>
        <w:spacing w:after="0" w:line="120" w:lineRule="exact"/>
        <w:rPr>
          <w:rFonts w:hint="cs"/>
          <w:sz w:val="10"/>
          <w:rtl/>
        </w:rPr>
      </w:pPr>
    </w:p>
    <w:p w:rsidR="00CC18AF" w:rsidRPr="00CC18AF" w:rsidRDefault="00CC18AF" w:rsidP="00A343DF">
      <w:pPr>
        <w:pStyle w:val="SingleTxt"/>
        <w:spacing w:after="0" w:line="120" w:lineRule="exact"/>
        <w:rPr>
          <w:rFonts w:hint="cs"/>
          <w:sz w:val="10"/>
          <w:rtl/>
        </w:rPr>
      </w:pPr>
    </w:p>
    <w:p w:rsidR="00971AE2" w:rsidRDefault="00CC18AF" w:rsidP="00A343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sz w:val="16"/>
          <w:rtl/>
        </w:rPr>
        <w:tab/>
      </w:r>
      <w:r w:rsidR="00971AE2">
        <w:rPr>
          <w:sz w:val="16"/>
        </w:rPr>
        <w:tab/>
      </w:r>
      <w:r w:rsidR="00971AE2">
        <w:rPr>
          <w:rFonts w:hint="cs"/>
          <w:rtl/>
        </w:rPr>
        <w:t>دائرة التعليم الشعبي/</w:t>
      </w:r>
      <w:r w:rsidR="00971AE2">
        <w:rPr>
          <w:sz w:val="16"/>
        </w:rPr>
        <w:t>CEPG</w:t>
      </w:r>
      <w:r w:rsidR="00971AE2">
        <w:rPr>
          <w:rFonts w:hint="cs"/>
          <w:rtl/>
          <w:lang w:bidi="ar-EG"/>
        </w:rPr>
        <w:t>، 7 أيار/مايو 2004</w:t>
      </w:r>
      <w:r w:rsidR="003D7EB4">
        <w:rPr>
          <w:rFonts w:hint="cs"/>
          <w:rtl/>
          <w:lang w:bidi="ar-EG"/>
        </w:rPr>
        <w:t>،</w:t>
      </w:r>
    </w:p>
    <w:p w:rsidR="00CC18AF" w:rsidRDefault="00CC18AF" w:rsidP="00A343DF">
      <w:pPr>
        <w:pStyle w:val="SingleTxt"/>
        <w:spacing w:after="0" w:line="120" w:lineRule="exact"/>
        <w:rPr>
          <w:rFonts w:hint="cs"/>
          <w:sz w:val="10"/>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785"/>
        <w:gridCol w:w="824"/>
        <w:gridCol w:w="721"/>
        <w:gridCol w:w="721"/>
        <w:gridCol w:w="618"/>
        <w:gridCol w:w="618"/>
        <w:gridCol w:w="1030"/>
        <w:gridCol w:w="1003"/>
      </w:tblGrid>
      <w:tr w:rsidR="00971AE2" w:rsidRPr="00BD5524">
        <w:tblPrEx>
          <w:tblCellMar>
            <w:top w:w="0" w:type="dxa"/>
            <w:bottom w:w="0" w:type="dxa"/>
          </w:tblCellMar>
        </w:tblPrEx>
        <w:trPr>
          <w:cantSplit/>
          <w:tblHeader/>
        </w:trPr>
        <w:tc>
          <w:tcPr>
            <w:tcW w:w="1785" w:type="dxa"/>
            <w:tcBorders>
              <w:top w:val="single" w:sz="4" w:space="0" w:color="auto"/>
              <w:bottom w:val="single" w:sz="12" w:space="0" w:color="auto"/>
            </w:tcBorders>
            <w:vAlign w:val="bottom"/>
          </w:tcPr>
          <w:p w:rsidR="00971AE2" w:rsidRPr="00BD5524" w:rsidRDefault="00971AE2" w:rsidP="00A343DF">
            <w:pPr>
              <w:tabs>
                <w:tab w:val="left" w:pos="288"/>
                <w:tab w:val="left" w:pos="576"/>
                <w:tab w:val="left" w:pos="864"/>
                <w:tab w:val="left" w:pos="1152"/>
              </w:tabs>
              <w:spacing w:before="80" w:after="80" w:line="240" w:lineRule="exact"/>
              <w:ind w:right="40"/>
              <w:jc w:val="lowKashida"/>
              <w:rPr>
                <w:i/>
                <w:iCs/>
                <w:sz w:val="24"/>
                <w:szCs w:val="24"/>
                <w:rtl/>
                <w:lang w:bidi="ar-EG"/>
              </w:rPr>
            </w:pPr>
            <w:r w:rsidRPr="00BD5524">
              <w:rPr>
                <w:rFonts w:hint="cs"/>
                <w:i/>
                <w:iCs/>
                <w:sz w:val="24"/>
                <w:szCs w:val="24"/>
                <w:rtl/>
                <w:lang w:bidi="ar-EG"/>
              </w:rPr>
              <w:t>القرى الرئيسية</w:t>
            </w:r>
          </w:p>
        </w:tc>
        <w:tc>
          <w:tcPr>
            <w:tcW w:w="824" w:type="dxa"/>
            <w:tcBorders>
              <w:top w:val="single" w:sz="4" w:space="0" w:color="auto"/>
              <w:bottom w:val="single" w:sz="12" w:space="0" w:color="auto"/>
            </w:tcBorders>
            <w:vAlign w:val="bottom"/>
          </w:tcPr>
          <w:p w:rsidR="00971AE2" w:rsidRPr="00BD5524"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BD5524">
              <w:rPr>
                <w:rFonts w:hint="cs"/>
                <w:i/>
                <w:iCs/>
                <w:sz w:val="24"/>
                <w:szCs w:val="24"/>
                <w:rtl/>
                <w:lang w:bidi="ar-EG"/>
              </w:rPr>
              <w:t>مجموع الوظائف</w:t>
            </w:r>
          </w:p>
        </w:tc>
        <w:tc>
          <w:tcPr>
            <w:tcW w:w="721" w:type="dxa"/>
            <w:tcBorders>
              <w:top w:val="single" w:sz="4" w:space="0" w:color="auto"/>
              <w:bottom w:val="single" w:sz="12" w:space="0" w:color="auto"/>
            </w:tcBorders>
            <w:vAlign w:val="bottom"/>
          </w:tcPr>
          <w:p w:rsidR="00971AE2" w:rsidRPr="00BD5524"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BD5524">
              <w:rPr>
                <w:rFonts w:hint="cs"/>
                <w:i/>
                <w:iCs/>
                <w:sz w:val="24"/>
                <w:szCs w:val="24"/>
                <w:rtl/>
                <w:lang w:bidi="ar-EG"/>
              </w:rPr>
              <w:t>الوظائف الشاغرة</w:t>
            </w:r>
          </w:p>
        </w:tc>
        <w:tc>
          <w:tcPr>
            <w:tcW w:w="721" w:type="dxa"/>
            <w:tcBorders>
              <w:top w:val="single" w:sz="4" w:space="0" w:color="auto"/>
              <w:bottom w:val="single" w:sz="12" w:space="0" w:color="auto"/>
            </w:tcBorders>
            <w:vAlign w:val="bottom"/>
          </w:tcPr>
          <w:p w:rsidR="00971AE2" w:rsidRPr="00BD5524"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BD5524">
              <w:rPr>
                <w:rFonts w:hint="cs"/>
                <w:i/>
                <w:iCs/>
                <w:sz w:val="24"/>
                <w:szCs w:val="24"/>
                <w:rtl/>
                <w:lang w:bidi="ar-EG"/>
              </w:rPr>
              <w:t>الوظائف المقررة</w:t>
            </w:r>
          </w:p>
        </w:tc>
        <w:tc>
          <w:tcPr>
            <w:tcW w:w="618" w:type="dxa"/>
            <w:tcBorders>
              <w:top w:val="single" w:sz="4" w:space="0" w:color="auto"/>
              <w:bottom w:val="single" w:sz="12" w:space="0" w:color="auto"/>
            </w:tcBorders>
            <w:vAlign w:val="bottom"/>
          </w:tcPr>
          <w:p w:rsidR="00971AE2" w:rsidRPr="00BD5524"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BD5524">
              <w:rPr>
                <w:rFonts w:hint="cs"/>
                <w:i/>
                <w:iCs/>
                <w:sz w:val="24"/>
                <w:szCs w:val="24"/>
                <w:rtl/>
                <w:lang w:bidi="ar-EG"/>
              </w:rPr>
              <w:t>عدد النساء</w:t>
            </w:r>
          </w:p>
        </w:tc>
        <w:tc>
          <w:tcPr>
            <w:tcW w:w="618" w:type="dxa"/>
            <w:tcBorders>
              <w:top w:val="single" w:sz="4" w:space="0" w:color="auto"/>
              <w:bottom w:val="single" w:sz="12" w:space="0" w:color="auto"/>
            </w:tcBorders>
            <w:vAlign w:val="bottom"/>
          </w:tcPr>
          <w:p w:rsidR="00971AE2" w:rsidRPr="00BD5524"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BD5524">
              <w:rPr>
                <w:rFonts w:hint="cs"/>
                <w:i/>
                <w:iCs/>
                <w:sz w:val="24"/>
                <w:szCs w:val="24"/>
                <w:rtl/>
                <w:lang w:bidi="ar-EG"/>
              </w:rPr>
              <w:t>عدد الرجال</w:t>
            </w:r>
          </w:p>
        </w:tc>
        <w:tc>
          <w:tcPr>
            <w:tcW w:w="1030" w:type="dxa"/>
            <w:tcBorders>
              <w:top w:val="single" w:sz="4" w:space="0" w:color="auto"/>
              <w:bottom w:val="single" w:sz="12" w:space="0" w:color="auto"/>
            </w:tcBorders>
            <w:vAlign w:val="bottom"/>
          </w:tcPr>
          <w:p w:rsidR="00971AE2" w:rsidRPr="00BD5524"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BD5524">
              <w:rPr>
                <w:rFonts w:hint="cs"/>
                <w:i/>
                <w:iCs/>
                <w:sz w:val="24"/>
                <w:szCs w:val="24"/>
                <w:rtl/>
                <w:lang w:bidi="ar-EG"/>
              </w:rPr>
              <w:t>النسبة المئوية للنساء</w:t>
            </w:r>
          </w:p>
        </w:tc>
        <w:tc>
          <w:tcPr>
            <w:tcW w:w="1003" w:type="dxa"/>
            <w:tcBorders>
              <w:top w:val="single" w:sz="4" w:space="0" w:color="auto"/>
              <w:bottom w:val="single" w:sz="12" w:space="0" w:color="auto"/>
            </w:tcBorders>
            <w:vAlign w:val="bottom"/>
          </w:tcPr>
          <w:p w:rsidR="00971AE2" w:rsidRPr="00BD5524"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BD5524">
              <w:rPr>
                <w:rFonts w:hint="cs"/>
                <w:i/>
                <w:iCs/>
                <w:sz w:val="24"/>
                <w:szCs w:val="24"/>
                <w:rtl/>
                <w:lang w:bidi="ar-EG"/>
              </w:rPr>
              <w:t>النسبة المئوية للرجال</w:t>
            </w:r>
          </w:p>
        </w:tc>
      </w:tr>
      <w:tr w:rsidR="00971AE2" w:rsidRPr="00BD5524">
        <w:tblPrEx>
          <w:tblCellMar>
            <w:top w:w="0" w:type="dxa"/>
            <w:bottom w:w="0" w:type="dxa"/>
          </w:tblCellMar>
        </w:tblPrEx>
        <w:trPr>
          <w:cantSplit/>
          <w:trHeight w:hRule="exact" w:val="115"/>
          <w:tblHeader/>
        </w:trPr>
        <w:tc>
          <w:tcPr>
            <w:tcW w:w="1785" w:type="dxa"/>
            <w:tcBorders>
              <w:top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824" w:type="dxa"/>
            <w:tcBorders>
              <w:top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618" w:type="dxa"/>
            <w:tcBorders>
              <w:top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618" w:type="dxa"/>
            <w:tcBorders>
              <w:top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1030" w:type="dxa"/>
            <w:tcBorders>
              <w:top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1003" w:type="dxa"/>
            <w:tcBorders>
              <w:top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ليتسيا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33</w:t>
            </w:r>
            <w:r w:rsidR="00FC46DD">
              <w:rPr>
                <w:rFonts w:hint="cs"/>
                <w:sz w:val="24"/>
                <w:szCs w:val="24"/>
                <w:rtl/>
                <w:lang w:bidi="ar-EG"/>
              </w:rPr>
              <w:t>.</w:t>
            </w:r>
            <w:r w:rsidRPr="00BD5524">
              <w:rPr>
                <w:rFonts w:hint="cs"/>
                <w:sz w:val="24"/>
                <w:szCs w:val="24"/>
                <w:rtl/>
                <w:lang w:bidi="ar-EG"/>
              </w:rPr>
              <w:t>33</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66</w:t>
            </w:r>
            <w:r w:rsidR="00FC46DD">
              <w:rPr>
                <w:rFonts w:hint="cs"/>
                <w:sz w:val="24"/>
                <w:szCs w:val="24"/>
                <w:rtl/>
                <w:lang w:bidi="ar-EG"/>
              </w:rPr>
              <w:t>.</w:t>
            </w:r>
            <w:r w:rsidRPr="00BD5524">
              <w:rPr>
                <w:rFonts w:hint="cs"/>
                <w:sz w:val="24"/>
                <w:szCs w:val="24"/>
                <w:rtl/>
                <w:lang w:bidi="ar-EG"/>
              </w:rPr>
              <w:t>67</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اراوكا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9</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9</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33</w:t>
            </w:r>
            <w:r w:rsidR="00FC46DD">
              <w:rPr>
                <w:rFonts w:hint="cs"/>
                <w:sz w:val="24"/>
                <w:szCs w:val="24"/>
                <w:rtl/>
                <w:lang w:bidi="ar-EG"/>
              </w:rPr>
              <w:t>.</w:t>
            </w:r>
            <w:r w:rsidRPr="00BD5524">
              <w:rPr>
                <w:rFonts w:hint="cs"/>
                <w:sz w:val="24"/>
                <w:szCs w:val="24"/>
                <w:rtl/>
                <w:lang w:bidi="ar-EG"/>
              </w:rPr>
              <w:t>33</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66</w:t>
            </w:r>
            <w:r w:rsidR="00FC46DD">
              <w:rPr>
                <w:rFonts w:hint="cs"/>
                <w:sz w:val="24"/>
                <w:szCs w:val="24"/>
                <w:rtl/>
                <w:lang w:bidi="ar-EG"/>
              </w:rPr>
              <w:t>.</w:t>
            </w:r>
            <w:r w:rsidRPr="00BD5524">
              <w:rPr>
                <w:rFonts w:hint="cs"/>
                <w:sz w:val="24"/>
                <w:szCs w:val="24"/>
                <w:rtl/>
                <w:lang w:bidi="ar-EG"/>
              </w:rPr>
              <w:t>67</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ارمينيا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25</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25</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18</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72</w:t>
            </w:r>
            <w:r w:rsidR="00FC46DD">
              <w:rPr>
                <w:rFonts w:hint="cs"/>
                <w:sz w:val="24"/>
                <w:szCs w:val="24"/>
                <w:rtl/>
                <w:lang w:bidi="ar-EG"/>
              </w:rPr>
              <w:t>.</w:t>
            </w:r>
            <w:r w:rsidRPr="00BD5524">
              <w:rPr>
                <w:rFonts w:hint="cs"/>
                <w:sz w:val="24"/>
                <w:szCs w:val="24"/>
                <w:rtl/>
                <w:lang w:bidi="ar-EG"/>
              </w:rPr>
              <w:t>00</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sz w:val="24"/>
                <w:szCs w:val="24"/>
              </w:rPr>
              <w:t>H</w:t>
            </w:r>
            <w:r w:rsidRPr="00BD5524">
              <w:rPr>
                <w:rFonts w:hint="cs"/>
                <w:sz w:val="24"/>
                <w:szCs w:val="24"/>
                <w:rtl/>
                <w:lang w:bidi="ar-EG"/>
              </w:rPr>
              <w:t>8</w:t>
            </w:r>
            <w:r w:rsidR="00FC46DD">
              <w:rPr>
                <w:rFonts w:hint="cs"/>
                <w:sz w:val="24"/>
                <w:szCs w:val="24"/>
                <w:rtl/>
                <w:lang w:bidi="ar-EG"/>
              </w:rPr>
              <w:t>.</w:t>
            </w:r>
            <w:r w:rsidRPr="00BD5524">
              <w:rPr>
                <w:rFonts w:hint="cs"/>
                <w:sz w:val="24"/>
                <w:szCs w:val="24"/>
                <w:rtl/>
                <w:lang w:bidi="ar-EG"/>
              </w:rPr>
              <w:t>00</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بارانكويا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9</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9</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33</w:t>
            </w:r>
            <w:r w:rsidR="00FC46DD">
              <w:rPr>
                <w:rFonts w:hint="cs"/>
                <w:sz w:val="24"/>
                <w:szCs w:val="24"/>
                <w:rtl/>
                <w:lang w:bidi="ar-EG"/>
              </w:rPr>
              <w:t>.</w:t>
            </w:r>
            <w:r w:rsidRPr="00BD5524">
              <w:rPr>
                <w:rFonts w:hint="cs"/>
                <w:sz w:val="24"/>
                <w:szCs w:val="24"/>
                <w:rtl/>
                <w:lang w:bidi="ar-EG"/>
              </w:rPr>
              <w:t>33</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66</w:t>
            </w:r>
            <w:r w:rsidR="00FC46DD">
              <w:rPr>
                <w:rFonts w:hint="cs"/>
                <w:sz w:val="24"/>
                <w:szCs w:val="24"/>
                <w:rtl/>
                <w:lang w:bidi="ar-EG"/>
              </w:rPr>
              <w:t>.</w:t>
            </w:r>
            <w:r w:rsidRPr="00BD5524">
              <w:rPr>
                <w:rFonts w:hint="cs"/>
                <w:sz w:val="24"/>
                <w:szCs w:val="24"/>
                <w:rtl/>
                <w:lang w:bidi="ar-EG"/>
              </w:rPr>
              <w:t>67</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بوغوتا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456</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22</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434</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191</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243</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44</w:t>
            </w:r>
            <w:r w:rsidR="00FC46DD">
              <w:rPr>
                <w:rFonts w:hint="cs"/>
                <w:sz w:val="24"/>
                <w:szCs w:val="24"/>
                <w:rtl/>
                <w:lang w:bidi="ar-EG"/>
              </w:rPr>
              <w:t>.</w:t>
            </w:r>
            <w:r w:rsidRPr="00BD5524">
              <w:rPr>
                <w:rFonts w:hint="cs"/>
                <w:sz w:val="24"/>
                <w:szCs w:val="24"/>
                <w:rtl/>
                <w:lang w:bidi="ar-EG"/>
              </w:rPr>
              <w:t>01</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55</w:t>
            </w:r>
            <w:r w:rsidR="00FC46DD">
              <w:rPr>
                <w:rFonts w:hint="cs"/>
                <w:sz w:val="24"/>
                <w:szCs w:val="24"/>
                <w:rtl/>
                <w:lang w:bidi="ar-EG"/>
              </w:rPr>
              <w:t>.</w:t>
            </w:r>
            <w:r w:rsidRPr="00BD5524">
              <w:rPr>
                <w:rFonts w:hint="cs"/>
                <w:sz w:val="24"/>
                <w:szCs w:val="24"/>
                <w:rtl/>
                <w:lang w:bidi="ar-EG"/>
              </w:rPr>
              <w:t>99</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بوكارمنغا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17</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16</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8</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8</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50</w:t>
            </w:r>
            <w:r w:rsidR="00FC46DD">
              <w:rPr>
                <w:rFonts w:hint="cs"/>
                <w:sz w:val="24"/>
                <w:szCs w:val="24"/>
                <w:rtl/>
                <w:lang w:bidi="ar-EG"/>
              </w:rPr>
              <w:t>.</w:t>
            </w:r>
            <w:r w:rsidRPr="00BD5524">
              <w:rPr>
                <w:rFonts w:hint="cs"/>
                <w:sz w:val="24"/>
                <w:szCs w:val="24"/>
                <w:rtl/>
                <w:lang w:bidi="ar-EG"/>
              </w:rPr>
              <w:t>00</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50</w:t>
            </w:r>
            <w:r w:rsidR="00FC46DD">
              <w:rPr>
                <w:rFonts w:hint="cs"/>
                <w:sz w:val="24"/>
                <w:szCs w:val="24"/>
                <w:rtl/>
                <w:lang w:bidi="ar-EG"/>
              </w:rPr>
              <w:t>.</w:t>
            </w:r>
            <w:r w:rsidRPr="00BD5524">
              <w:rPr>
                <w:rFonts w:hint="cs"/>
                <w:sz w:val="24"/>
                <w:szCs w:val="24"/>
                <w:rtl/>
                <w:lang w:bidi="ar-EG"/>
              </w:rPr>
              <w:t>00</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فلورنسيا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9</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9</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33</w:t>
            </w:r>
            <w:r w:rsidR="00FC46DD">
              <w:rPr>
                <w:rFonts w:hint="cs"/>
                <w:sz w:val="24"/>
                <w:szCs w:val="24"/>
                <w:rtl/>
                <w:lang w:bidi="ar-EG"/>
              </w:rPr>
              <w:t>.</w:t>
            </w:r>
            <w:r w:rsidRPr="00BD5524">
              <w:rPr>
                <w:rFonts w:hint="cs"/>
                <w:sz w:val="24"/>
                <w:szCs w:val="24"/>
                <w:rtl/>
                <w:lang w:bidi="ar-EG"/>
              </w:rPr>
              <w:t>33</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66</w:t>
            </w:r>
            <w:r w:rsidR="00FC46DD">
              <w:rPr>
                <w:rFonts w:hint="cs"/>
                <w:sz w:val="24"/>
                <w:szCs w:val="24"/>
                <w:rtl/>
                <w:lang w:bidi="ar-EG"/>
              </w:rPr>
              <w:t>.</w:t>
            </w:r>
            <w:r w:rsidRPr="00BD5524">
              <w:rPr>
                <w:rFonts w:hint="cs"/>
                <w:sz w:val="24"/>
                <w:szCs w:val="24"/>
                <w:rtl/>
                <w:lang w:bidi="ar-EG"/>
              </w:rPr>
              <w:t>67</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ايباغويه</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39</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39</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11</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28</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28</w:t>
            </w:r>
            <w:r w:rsidR="00FC46DD">
              <w:rPr>
                <w:rFonts w:hint="cs"/>
                <w:sz w:val="24"/>
                <w:szCs w:val="24"/>
                <w:rtl/>
                <w:lang w:bidi="ar-EG"/>
              </w:rPr>
              <w:t>.</w:t>
            </w:r>
            <w:r w:rsidRPr="00BD5524">
              <w:rPr>
                <w:rFonts w:hint="cs"/>
                <w:sz w:val="24"/>
                <w:szCs w:val="24"/>
                <w:rtl/>
                <w:lang w:bidi="ar-EG"/>
              </w:rPr>
              <w:t>21</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71</w:t>
            </w:r>
            <w:r w:rsidR="00FC46DD">
              <w:rPr>
                <w:rFonts w:hint="cs"/>
                <w:sz w:val="24"/>
                <w:szCs w:val="24"/>
                <w:rtl/>
                <w:lang w:bidi="ar-EG"/>
              </w:rPr>
              <w:t>.</w:t>
            </w:r>
            <w:r w:rsidRPr="00BD5524">
              <w:rPr>
                <w:rFonts w:hint="cs"/>
                <w:sz w:val="24"/>
                <w:szCs w:val="24"/>
                <w:rtl/>
                <w:lang w:bidi="ar-EG"/>
              </w:rPr>
              <w:t>79</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نيفا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19</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19</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12</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36</w:t>
            </w:r>
            <w:r w:rsidR="00FC46DD">
              <w:rPr>
                <w:rFonts w:hint="cs"/>
                <w:sz w:val="24"/>
                <w:szCs w:val="24"/>
                <w:rtl/>
                <w:lang w:bidi="ar-EG"/>
              </w:rPr>
              <w:t>.</w:t>
            </w:r>
            <w:r w:rsidRPr="00BD5524">
              <w:rPr>
                <w:rFonts w:hint="cs"/>
                <w:sz w:val="24"/>
                <w:szCs w:val="24"/>
                <w:rtl/>
                <w:lang w:bidi="ar-EG"/>
              </w:rPr>
              <w:t>84</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63</w:t>
            </w:r>
            <w:r w:rsidR="00FC46DD">
              <w:rPr>
                <w:rFonts w:hint="cs"/>
                <w:sz w:val="24"/>
                <w:szCs w:val="24"/>
                <w:rtl/>
                <w:lang w:bidi="ar-EG"/>
              </w:rPr>
              <w:t>.</w:t>
            </w:r>
            <w:r w:rsidRPr="00BD5524">
              <w:rPr>
                <w:rFonts w:hint="cs"/>
                <w:sz w:val="24"/>
                <w:szCs w:val="24"/>
                <w:rtl/>
                <w:lang w:bidi="ar-EG"/>
              </w:rPr>
              <w:t>16</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باستو</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40</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40</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18</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22</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45</w:t>
            </w:r>
            <w:r w:rsidR="00FC46DD">
              <w:rPr>
                <w:rFonts w:hint="cs"/>
                <w:sz w:val="24"/>
                <w:szCs w:val="24"/>
                <w:rtl/>
                <w:lang w:bidi="ar-EG"/>
              </w:rPr>
              <w:t>.</w:t>
            </w:r>
            <w:r w:rsidRPr="00BD5524">
              <w:rPr>
                <w:rFonts w:hint="cs"/>
                <w:sz w:val="24"/>
                <w:szCs w:val="24"/>
                <w:rtl/>
                <w:lang w:bidi="ar-EG"/>
              </w:rPr>
              <w:t>00</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55</w:t>
            </w:r>
            <w:r w:rsidR="00FC46DD">
              <w:rPr>
                <w:rFonts w:hint="cs"/>
                <w:sz w:val="24"/>
                <w:szCs w:val="24"/>
                <w:rtl/>
                <w:lang w:bidi="ar-EG"/>
              </w:rPr>
              <w:t>.</w:t>
            </w:r>
            <w:r w:rsidRPr="00BD5524">
              <w:rPr>
                <w:rFonts w:hint="cs"/>
                <w:sz w:val="24"/>
                <w:szCs w:val="24"/>
                <w:rtl/>
                <w:lang w:bidi="ar-EG"/>
              </w:rPr>
              <w:t>00</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بيريرا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36</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36</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16</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20</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44</w:t>
            </w:r>
            <w:r w:rsidR="00FC46DD">
              <w:rPr>
                <w:rFonts w:hint="cs"/>
                <w:sz w:val="24"/>
                <w:szCs w:val="24"/>
                <w:rtl/>
                <w:lang w:bidi="ar-EG"/>
              </w:rPr>
              <w:t>.</w:t>
            </w:r>
            <w:r w:rsidRPr="00BD5524">
              <w:rPr>
                <w:rFonts w:hint="cs"/>
                <w:sz w:val="24"/>
                <w:szCs w:val="24"/>
                <w:rtl/>
                <w:lang w:bidi="ar-EG"/>
              </w:rPr>
              <w:t>44</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55</w:t>
            </w:r>
            <w:r w:rsidR="00FC46DD">
              <w:rPr>
                <w:rFonts w:hint="cs"/>
                <w:sz w:val="24"/>
                <w:szCs w:val="24"/>
                <w:rtl/>
                <w:lang w:bidi="ar-EG"/>
              </w:rPr>
              <w:t>.</w:t>
            </w:r>
            <w:r w:rsidRPr="00BD5524">
              <w:rPr>
                <w:rFonts w:hint="cs"/>
                <w:sz w:val="24"/>
                <w:szCs w:val="24"/>
                <w:rtl/>
                <w:lang w:bidi="ar-EG"/>
              </w:rPr>
              <w:t>56</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كويبدو</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20</w:t>
            </w:r>
            <w:r w:rsidR="00FC46DD">
              <w:rPr>
                <w:rFonts w:hint="cs"/>
                <w:sz w:val="24"/>
                <w:szCs w:val="24"/>
                <w:rtl/>
                <w:lang w:bidi="ar-EG"/>
              </w:rPr>
              <w:t>.</w:t>
            </w:r>
            <w:r w:rsidRPr="00BD5524">
              <w:rPr>
                <w:rFonts w:hint="cs"/>
                <w:sz w:val="24"/>
                <w:szCs w:val="24"/>
                <w:rtl/>
                <w:lang w:bidi="ar-EG"/>
              </w:rPr>
              <w:t>00</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80</w:t>
            </w:r>
            <w:r w:rsidR="00FC46DD">
              <w:rPr>
                <w:rFonts w:hint="cs"/>
                <w:sz w:val="24"/>
                <w:szCs w:val="24"/>
                <w:rtl/>
                <w:lang w:bidi="ar-EG"/>
              </w:rPr>
              <w:t>.</w:t>
            </w:r>
            <w:r w:rsidRPr="00BD5524">
              <w:rPr>
                <w:rFonts w:hint="cs"/>
                <w:sz w:val="24"/>
                <w:szCs w:val="24"/>
                <w:rtl/>
                <w:lang w:bidi="ar-EG"/>
              </w:rPr>
              <w:t>00</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ريوهاتشا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28</w:t>
            </w:r>
            <w:r w:rsidR="00FC46DD">
              <w:rPr>
                <w:rFonts w:hint="cs"/>
                <w:sz w:val="24"/>
                <w:szCs w:val="24"/>
                <w:rtl/>
                <w:lang w:bidi="ar-EG"/>
              </w:rPr>
              <w:t>.</w:t>
            </w:r>
            <w:r w:rsidRPr="00BD5524">
              <w:rPr>
                <w:rFonts w:hint="cs"/>
                <w:sz w:val="24"/>
                <w:szCs w:val="24"/>
                <w:rtl/>
                <w:lang w:bidi="ar-EG"/>
              </w:rPr>
              <w:t>57</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71</w:t>
            </w:r>
            <w:r w:rsidR="00FC46DD">
              <w:rPr>
                <w:rFonts w:hint="cs"/>
                <w:sz w:val="24"/>
                <w:szCs w:val="24"/>
                <w:rtl/>
                <w:lang w:bidi="ar-EG"/>
              </w:rPr>
              <w:t>.</w:t>
            </w:r>
            <w:r w:rsidRPr="00BD5524">
              <w:rPr>
                <w:rFonts w:hint="cs"/>
                <w:sz w:val="24"/>
                <w:szCs w:val="24"/>
                <w:rtl/>
                <w:lang w:bidi="ar-EG"/>
              </w:rPr>
              <w:t>43</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سان هوزيه دي كوكوتا</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26</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26</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10</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16</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38</w:t>
            </w:r>
            <w:r w:rsidR="00FC46DD">
              <w:rPr>
                <w:rFonts w:hint="cs"/>
                <w:sz w:val="24"/>
                <w:szCs w:val="24"/>
                <w:rtl/>
                <w:lang w:bidi="ar-EG"/>
              </w:rPr>
              <w:t>.</w:t>
            </w:r>
            <w:r w:rsidRPr="00BD5524">
              <w:rPr>
                <w:rFonts w:hint="cs"/>
                <w:sz w:val="24"/>
                <w:szCs w:val="24"/>
                <w:rtl/>
                <w:lang w:bidi="ar-EG"/>
              </w:rPr>
              <w:t>46</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61</w:t>
            </w:r>
            <w:r w:rsidR="00FC46DD">
              <w:rPr>
                <w:rFonts w:hint="cs"/>
                <w:sz w:val="24"/>
                <w:szCs w:val="24"/>
                <w:rtl/>
                <w:lang w:bidi="ar-EG"/>
              </w:rPr>
              <w:t>.</w:t>
            </w:r>
            <w:r w:rsidRPr="00BD5524">
              <w:rPr>
                <w:rFonts w:hint="cs"/>
                <w:sz w:val="24"/>
                <w:szCs w:val="24"/>
                <w:rtl/>
                <w:lang w:bidi="ar-EG"/>
              </w:rPr>
              <w:t>54</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سان هوزيه دل غوافياريه</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14</w:t>
            </w:r>
            <w:r w:rsidR="00FC46DD">
              <w:rPr>
                <w:rFonts w:hint="cs"/>
                <w:sz w:val="24"/>
                <w:szCs w:val="24"/>
                <w:rtl/>
                <w:lang w:bidi="ar-EG"/>
              </w:rPr>
              <w:t>.</w:t>
            </w:r>
            <w:r w:rsidRPr="00BD5524">
              <w:rPr>
                <w:rFonts w:hint="cs"/>
                <w:sz w:val="24"/>
                <w:szCs w:val="24"/>
                <w:rtl/>
                <w:lang w:bidi="ar-EG"/>
              </w:rPr>
              <w:t>29</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85</w:t>
            </w:r>
            <w:r w:rsidR="00FC46DD">
              <w:rPr>
                <w:rFonts w:hint="cs"/>
                <w:sz w:val="24"/>
                <w:szCs w:val="24"/>
                <w:rtl/>
                <w:lang w:bidi="ar-EG"/>
              </w:rPr>
              <w:t>.</w:t>
            </w:r>
            <w:r w:rsidRPr="00BD5524">
              <w:rPr>
                <w:rFonts w:hint="cs"/>
                <w:sz w:val="24"/>
                <w:szCs w:val="24"/>
                <w:rtl/>
                <w:lang w:bidi="ar-EG"/>
              </w:rPr>
              <w:t>71</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فيليافيسنسيو</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27</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27</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12</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15</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44</w:t>
            </w:r>
            <w:r w:rsidR="00FC46DD">
              <w:rPr>
                <w:rFonts w:hint="cs"/>
                <w:sz w:val="24"/>
                <w:szCs w:val="24"/>
                <w:rtl/>
                <w:lang w:bidi="ar-EG"/>
              </w:rPr>
              <w:t>.</w:t>
            </w:r>
            <w:r w:rsidRPr="00BD5524">
              <w:rPr>
                <w:rFonts w:hint="cs"/>
                <w:sz w:val="24"/>
                <w:szCs w:val="24"/>
                <w:rtl/>
                <w:lang w:bidi="ar-EG"/>
              </w:rPr>
              <w:t>44</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55</w:t>
            </w:r>
            <w:r w:rsidR="00FC46DD">
              <w:rPr>
                <w:rFonts w:hint="cs"/>
                <w:sz w:val="24"/>
                <w:szCs w:val="24"/>
                <w:rtl/>
                <w:lang w:bidi="ar-EG"/>
              </w:rPr>
              <w:t>.</w:t>
            </w:r>
            <w:r w:rsidRPr="00BD5524">
              <w:rPr>
                <w:rFonts w:hint="cs"/>
                <w:sz w:val="24"/>
                <w:szCs w:val="24"/>
                <w:rtl/>
                <w:lang w:bidi="ar-EG"/>
              </w:rPr>
              <w:t>56</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يوبال</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8</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صفر</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8</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12</w:t>
            </w:r>
            <w:r w:rsidR="00FC46DD">
              <w:rPr>
                <w:rFonts w:hint="cs"/>
                <w:sz w:val="24"/>
                <w:szCs w:val="24"/>
                <w:rtl/>
                <w:lang w:bidi="ar-EG"/>
              </w:rPr>
              <w:t>.</w:t>
            </w:r>
            <w:r w:rsidRPr="00BD5524">
              <w:rPr>
                <w:rFonts w:hint="cs"/>
                <w:sz w:val="24"/>
                <w:szCs w:val="24"/>
                <w:rtl/>
                <w:lang w:bidi="ar-EG"/>
              </w:rPr>
              <w:t>50</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87</w:t>
            </w:r>
            <w:r w:rsidR="00FC46DD">
              <w:rPr>
                <w:rFonts w:hint="cs"/>
                <w:sz w:val="24"/>
                <w:szCs w:val="24"/>
                <w:rtl/>
                <w:lang w:bidi="ar-EG"/>
              </w:rPr>
              <w:t>.</w:t>
            </w:r>
            <w:r w:rsidRPr="00BD5524">
              <w:rPr>
                <w:rFonts w:hint="cs"/>
                <w:sz w:val="24"/>
                <w:szCs w:val="24"/>
                <w:rtl/>
                <w:lang w:bidi="ar-EG"/>
              </w:rPr>
              <w:t>50</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ميتو</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7</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2</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3</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40</w:t>
            </w:r>
            <w:r w:rsidR="00FC46DD">
              <w:rPr>
                <w:rFonts w:hint="cs"/>
                <w:sz w:val="24"/>
                <w:szCs w:val="24"/>
                <w:rtl/>
                <w:lang w:bidi="ar-EG"/>
              </w:rPr>
              <w:t>.</w:t>
            </w:r>
            <w:r w:rsidRPr="00BD5524">
              <w:rPr>
                <w:rFonts w:hint="cs"/>
                <w:sz w:val="24"/>
                <w:szCs w:val="24"/>
                <w:rtl/>
                <w:lang w:bidi="ar-EG"/>
              </w:rPr>
              <w:t>00</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60</w:t>
            </w:r>
            <w:r w:rsidR="00FC46DD">
              <w:rPr>
                <w:rFonts w:hint="cs"/>
                <w:sz w:val="24"/>
                <w:szCs w:val="24"/>
                <w:rtl/>
                <w:lang w:bidi="ar-EG"/>
              </w:rPr>
              <w:t>.</w:t>
            </w:r>
            <w:r w:rsidRPr="00BD5524">
              <w:rPr>
                <w:rFonts w:hint="cs"/>
                <w:sz w:val="24"/>
                <w:szCs w:val="24"/>
                <w:rtl/>
                <w:lang w:bidi="ar-EG"/>
              </w:rPr>
              <w:t>00</w:t>
            </w:r>
          </w:p>
        </w:tc>
      </w:tr>
      <w:tr w:rsidR="00971AE2" w:rsidRPr="00BD5524">
        <w:tblPrEx>
          <w:tblCellMar>
            <w:top w:w="0" w:type="dxa"/>
            <w:bottom w:w="0" w:type="dxa"/>
          </w:tblCellMar>
        </w:tblPrEx>
        <w:trPr>
          <w:cantSplit/>
        </w:trPr>
        <w:tc>
          <w:tcPr>
            <w:tcW w:w="1785" w:type="dxa"/>
            <w:vAlign w:val="bottom"/>
          </w:tcPr>
          <w:p w:rsidR="00971AE2" w:rsidRPr="00BD5524"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BD5524">
              <w:rPr>
                <w:rFonts w:hint="cs"/>
                <w:sz w:val="24"/>
                <w:szCs w:val="24"/>
                <w:rtl/>
                <w:lang w:bidi="ar-EG"/>
              </w:rPr>
              <w:t>المجموع الكلي</w:t>
            </w:r>
          </w:p>
        </w:tc>
        <w:tc>
          <w:tcPr>
            <w:tcW w:w="824"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BD5524">
              <w:rPr>
                <w:rFonts w:hint="cs"/>
                <w:b/>
                <w:bCs/>
                <w:sz w:val="24"/>
                <w:szCs w:val="24"/>
                <w:rtl/>
                <w:lang w:bidi="ar-EG"/>
              </w:rPr>
              <w:t>753</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BD5524">
              <w:rPr>
                <w:rFonts w:hint="cs"/>
                <w:b/>
                <w:bCs/>
                <w:sz w:val="24"/>
                <w:szCs w:val="24"/>
                <w:rtl/>
                <w:lang w:bidi="ar-EG"/>
              </w:rPr>
              <w:t>26</w:t>
            </w:r>
          </w:p>
        </w:tc>
        <w:tc>
          <w:tcPr>
            <w:tcW w:w="721"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BD5524">
              <w:rPr>
                <w:rFonts w:hint="cs"/>
                <w:b/>
                <w:bCs/>
                <w:sz w:val="24"/>
                <w:szCs w:val="24"/>
                <w:rtl/>
                <w:lang w:bidi="ar-EG"/>
              </w:rPr>
              <w:t>727</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BD5524">
              <w:rPr>
                <w:rFonts w:hint="cs"/>
                <w:b/>
                <w:bCs/>
                <w:sz w:val="24"/>
                <w:szCs w:val="24"/>
                <w:rtl/>
                <w:lang w:bidi="ar-EG"/>
              </w:rPr>
              <w:t>309</w:t>
            </w:r>
          </w:p>
        </w:tc>
        <w:tc>
          <w:tcPr>
            <w:tcW w:w="618"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BD5524">
              <w:rPr>
                <w:rFonts w:hint="cs"/>
                <w:b/>
                <w:bCs/>
                <w:sz w:val="24"/>
                <w:szCs w:val="24"/>
                <w:rtl/>
                <w:lang w:bidi="ar-EG"/>
              </w:rPr>
              <w:t>418</w:t>
            </w:r>
          </w:p>
        </w:tc>
        <w:tc>
          <w:tcPr>
            <w:tcW w:w="1030"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BD5524">
              <w:rPr>
                <w:rFonts w:hint="cs"/>
                <w:b/>
                <w:bCs/>
                <w:sz w:val="24"/>
                <w:szCs w:val="24"/>
                <w:rtl/>
                <w:lang w:bidi="ar-EG"/>
              </w:rPr>
              <w:t>42</w:t>
            </w:r>
            <w:r w:rsidR="00FC46DD">
              <w:rPr>
                <w:rFonts w:hint="cs"/>
                <w:b/>
                <w:bCs/>
                <w:sz w:val="24"/>
                <w:szCs w:val="24"/>
                <w:rtl/>
                <w:lang w:bidi="ar-EG"/>
              </w:rPr>
              <w:t>.</w:t>
            </w:r>
            <w:r w:rsidRPr="00BD5524">
              <w:rPr>
                <w:rFonts w:hint="cs"/>
                <w:b/>
                <w:bCs/>
                <w:sz w:val="24"/>
                <w:szCs w:val="24"/>
                <w:rtl/>
                <w:lang w:bidi="ar-EG"/>
              </w:rPr>
              <w:t>50</w:t>
            </w:r>
          </w:p>
        </w:tc>
        <w:tc>
          <w:tcPr>
            <w:tcW w:w="1003" w:type="dxa"/>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BD5524">
              <w:rPr>
                <w:rFonts w:hint="cs"/>
                <w:b/>
                <w:bCs/>
                <w:sz w:val="24"/>
                <w:szCs w:val="24"/>
                <w:rtl/>
                <w:lang w:bidi="ar-EG"/>
              </w:rPr>
              <w:t>57</w:t>
            </w:r>
            <w:r w:rsidR="00FC46DD">
              <w:rPr>
                <w:rFonts w:hint="cs"/>
                <w:b/>
                <w:bCs/>
                <w:sz w:val="24"/>
                <w:szCs w:val="24"/>
                <w:rtl/>
                <w:lang w:bidi="ar-EG"/>
              </w:rPr>
              <w:t>.</w:t>
            </w:r>
            <w:r w:rsidRPr="00BD5524">
              <w:rPr>
                <w:rFonts w:hint="cs"/>
                <w:b/>
                <w:bCs/>
                <w:sz w:val="24"/>
                <w:szCs w:val="24"/>
                <w:rtl/>
                <w:lang w:bidi="ar-EG"/>
              </w:rPr>
              <w:t>50</w:t>
            </w:r>
          </w:p>
        </w:tc>
      </w:tr>
      <w:tr w:rsidR="00971AE2" w:rsidRPr="00BD5524">
        <w:tblPrEx>
          <w:tblCellMar>
            <w:top w:w="0" w:type="dxa"/>
            <w:bottom w:w="0" w:type="dxa"/>
          </w:tblCellMar>
        </w:tblPrEx>
        <w:trPr>
          <w:cantSplit/>
        </w:trPr>
        <w:tc>
          <w:tcPr>
            <w:tcW w:w="2609" w:type="dxa"/>
            <w:gridSpan w:val="2"/>
            <w:tcBorders>
              <w:bottom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BD5524">
              <w:rPr>
                <w:rFonts w:hint="cs"/>
                <w:b/>
                <w:bCs/>
                <w:sz w:val="24"/>
                <w:szCs w:val="24"/>
                <w:rtl/>
                <w:lang w:bidi="ar-EG"/>
              </w:rPr>
              <w:t>النسبة المئوية للاستجابة</w:t>
            </w:r>
          </w:p>
        </w:tc>
        <w:tc>
          <w:tcPr>
            <w:tcW w:w="1442" w:type="dxa"/>
            <w:gridSpan w:val="2"/>
            <w:tcBorders>
              <w:bottom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BD5524">
              <w:rPr>
                <w:rFonts w:hint="cs"/>
                <w:sz w:val="24"/>
                <w:szCs w:val="24"/>
                <w:rtl/>
                <w:lang w:bidi="ar-EG"/>
              </w:rPr>
              <w:t>55</w:t>
            </w:r>
            <w:r w:rsidR="007B5EA5" w:rsidRPr="00833A64">
              <w:rPr>
                <w:rFonts w:cs="Akhbar MT" w:hint="cs"/>
                <w:sz w:val="24"/>
                <w:szCs w:val="24"/>
                <w:rtl/>
                <w:lang w:bidi="ar-EG"/>
              </w:rPr>
              <w:t>%</w:t>
            </w:r>
          </w:p>
        </w:tc>
        <w:tc>
          <w:tcPr>
            <w:tcW w:w="3269" w:type="dxa"/>
            <w:gridSpan w:val="4"/>
            <w:tcBorders>
              <w:bottom w:val="single" w:sz="12" w:space="0" w:color="auto"/>
            </w:tcBorders>
            <w:vAlign w:val="bottom"/>
          </w:tcPr>
          <w:p w:rsidR="00971AE2" w:rsidRPr="00BD5524" w:rsidRDefault="00971AE2" w:rsidP="00A343DF">
            <w:pPr>
              <w:tabs>
                <w:tab w:val="left" w:pos="288"/>
                <w:tab w:val="left" w:pos="576"/>
                <w:tab w:val="left" w:pos="864"/>
                <w:tab w:val="left" w:pos="1152"/>
              </w:tabs>
              <w:spacing w:before="40" w:after="80" w:line="240" w:lineRule="exact"/>
              <w:ind w:right="144"/>
              <w:jc w:val="lowKashida"/>
              <w:rPr>
                <w:rFonts w:hint="cs"/>
                <w:b/>
                <w:bCs/>
                <w:sz w:val="24"/>
                <w:szCs w:val="24"/>
                <w:rtl/>
                <w:lang w:bidi="ar-EG"/>
              </w:rPr>
            </w:pPr>
            <w:r w:rsidRPr="00BD5524">
              <w:rPr>
                <w:rFonts w:hint="cs"/>
                <w:b/>
                <w:bCs/>
                <w:sz w:val="24"/>
                <w:szCs w:val="24"/>
                <w:rtl/>
                <w:lang w:bidi="ar-EG"/>
              </w:rPr>
              <w:t>الهيئة الإقليمية: عاصمة المقاطعة</w:t>
            </w:r>
          </w:p>
        </w:tc>
      </w:tr>
    </w:tbl>
    <w:p w:rsidR="00CC18AF" w:rsidRPr="00CC18AF" w:rsidRDefault="00CC18AF" w:rsidP="00A343DF">
      <w:pPr>
        <w:pStyle w:val="SingleTxt"/>
        <w:spacing w:after="0" w:line="120" w:lineRule="exact"/>
        <w:rPr>
          <w:rFonts w:hint="cs"/>
          <w:sz w:val="10"/>
          <w:rtl/>
          <w:lang w:bidi="ar-EG"/>
        </w:rPr>
      </w:pPr>
    </w:p>
    <w:p w:rsidR="00971AE2" w:rsidRDefault="00971AE2" w:rsidP="00A343DF">
      <w:pPr>
        <w:pStyle w:val="SingleTxt"/>
        <w:rPr>
          <w:rFonts w:hint="cs"/>
          <w:rtl/>
          <w:lang w:bidi="ar-EG"/>
        </w:rPr>
      </w:pPr>
      <w:r>
        <w:rPr>
          <w:rFonts w:hint="cs"/>
          <w:rtl/>
          <w:lang w:bidi="ar-EG"/>
        </w:rPr>
        <w:tab/>
        <w:t>لم تكن أعداد النساء المنتخبات في سنة 2003 (الجمعيات ومناصب العمد والمحافظين والمجالس) هي النتيجة المنشودة، وذلك لقلة المرشحات للمشاركة في التنافس الانتخابي</w:t>
      </w:r>
      <w:r w:rsidR="003D7EB4">
        <w:rPr>
          <w:rFonts w:hint="cs"/>
          <w:rtl/>
          <w:lang w:bidi="ar-EG"/>
        </w:rPr>
        <w:t>،</w:t>
      </w:r>
    </w:p>
    <w:p w:rsidR="001A2DC6" w:rsidRPr="001A2DC6" w:rsidRDefault="001A2DC6" w:rsidP="00A343DF">
      <w:pPr>
        <w:pStyle w:val="SingleTxt"/>
        <w:spacing w:after="0" w:line="120" w:lineRule="exact"/>
        <w:rPr>
          <w:rFonts w:hint="cs"/>
          <w:b/>
          <w:bCs/>
          <w:sz w:val="10"/>
          <w:rtl/>
          <w:lang w:bidi="ar-EG"/>
        </w:rPr>
      </w:pPr>
    </w:p>
    <w:p w:rsidR="00971AE2" w:rsidRDefault="0033055A" w:rsidP="00A343DF">
      <w:pPr>
        <w:pStyle w:val="SingleTxt"/>
        <w:spacing w:line="240" w:lineRule="exact"/>
        <w:rPr>
          <w:rFonts w:hint="cs"/>
          <w:b/>
          <w:bCs/>
          <w:rtl/>
          <w:lang w:bidi="ar-EG"/>
        </w:rPr>
      </w:pPr>
      <w:r>
        <w:rPr>
          <w:b/>
          <w:bCs/>
          <w:rtl/>
          <w:lang w:bidi="ar-EG"/>
        </w:rPr>
        <w:br w:type="page"/>
      </w:r>
      <w:r w:rsidR="00971AE2">
        <w:rPr>
          <w:rFonts w:hint="cs"/>
          <w:b/>
          <w:bCs/>
          <w:rtl/>
          <w:lang w:bidi="ar-EG"/>
        </w:rPr>
        <w:t>انتخابات 26 تشرين الأول/أكتوبر 2003</w:t>
      </w:r>
      <w:r w:rsidR="00971AE2">
        <w:rPr>
          <w:rFonts w:hint="cs"/>
          <w:b/>
          <w:bCs/>
          <w:vertAlign w:val="superscript"/>
          <w:rtl/>
          <w:lang w:bidi="ar-EG"/>
        </w:rPr>
        <w:t>(65)</w:t>
      </w:r>
    </w:p>
    <w:tbl>
      <w:tblPr>
        <w:bidiVisual/>
        <w:tblW w:w="8240" w:type="dxa"/>
        <w:tblInd w:w="889" w:type="dxa"/>
        <w:tblLayout w:type="fixed"/>
        <w:tblCellMar>
          <w:left w:w="0" w:type="dxa"/>
          <w:right w:w="0" w:type="dxa"/>
        </w:tblCellMar>
        <w:tblLook w:val="0000" w:firstRow="0" w:lastRow="0" w:firstColumn="0" w:lastColumn="0" w:noHBand="0" w:noVBand="0"/>
      </w:tblPr>
      <w:tblGrid>
        <w:gridCol w:w="721"/>
        <w:gridCol w:w="824"/>
        <w:gridCol w:w="721"/>
        <w:gridCol w:w="824"/>
        <w:gridCol w:w="824"/>
        <w:gridCol w:w="721"/>
        <w:gridCol w:w="618"/>
        <w:gridCol w:w="824"/>
        <w:gridCol w:w="721"/>
        <w:gridCol w:w="721"/>
        <w:gridCol w:w="721"/>
      </w:tblGrid>
      <w:tr w:rsidR="00971AE2" w:rsidRPr="00CC18AF">
        <w:tblPrEx>
          <w:tblCellMar>
            <w:top w:w="0" w:type="dxa"/>
            <w:bottom w:w="0" w:type="dxa"/>
          </w:tblCellMar>
        </w:tblPrEx>
        <w:trPr>
          <w:cantSplit/>
          <w:tblHeader/>
        </w:trPr>
        <w:tc>
          <w:tcPr>
            <w:tcW w:w="721"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CC18AF">
              <w:rPr>
                <w:rFonts w:hint="cs"/>
                <w:i/>
                <w:iCs/>
                <w:sz w:val="24"/>
                <w:szCs w:val="24"/>
                <w:rtl/>
                <w:lang w:bidi="ar-EG"/>
              </w:rPr>
              <w:t>الهيئة</w:t>
            </w:r>
          </w:p>
        </w:tc>
        <w:tc>
          <w:tcPr>
            <w:tcW w:w="824"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المجموع</w:t>
            </w:r>
          </w:p>
        </w:tc>
        <w:tc>
          <w:tcPr>
            <w:tcW w:w="721"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الهيئة المنشأة</w:t>
            </w:r>
          </w:p>
        </w:tc>
        <w:tc>
          <w:tcPr>
            <w:tcW w:w="824"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المجموع</w:t>
            </w:r>
          </w:p>
        </w:tc>
        <w:tc>
          <w:tcPr>
            <w:tcW w:w="824"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الرجال</w:t>
            </w:r>
          </w:p>
        </w:tc>
        <w:tc>
          <w:tcPr>
            <w:tcW w:w="721"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النساء</w:t>
            </w:r>
          </w:p>
        </w:tc>
        <w:tc>
          <w:tcPr>
            <w:tcW w:w="618"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النسبة المئوية</w:t>
            </w:r>
          </w:p>
        </w:tc>
        <w:tc>
          <w:tcPr>
            <w:tcW w:w="824"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المجموع</w:t>
            </w:r>
          </w:p>
        </w:tc>
        <w:tc>
          <w:tcPr>
            <w:tcW w:w="721"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الرجال</w:t>
            </w:r>
          </w:p>
        </w:tc>
        <w:tc>
          <w:tcPr>
            <w:tcW w:w="721"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النساء</w:t>
            </w:r>
          </w:p>
        </w:tc>
        <w:tc>
          <w:tcPr>
            <w:tcW w:w="721"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النسبة المئوية</w:t>
            </w:r>
          </w:p>
        </w:tc>
      </w:tr>
      <w:tr w:rsidR="00971AE2" w:rsidRPr="00CC18AF">
        <w:tblPrEx>
          <w:tblCellMar>
            <w:top w:w="0" w:type="dxa"/>
            <w:bottom w:w="0" w:type="dxa"/>
          </w:tblCellMar>
        </w:tblPrEx>
        <w:trPr>
          <w:cantSplit/>
          <w:trHeight w:hRule="exact" w:val="115"/>
          <w:tblHeader/>
        </w:trPr>
        <w:tc>
          <w:tcPr>
            <w:tcW w:w="721"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824"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618"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CC18AF">
        <w:tblPrEx>
          <w:tblCellMar>
            <w:top w:w="0" w:type="dxa"/>
            <w:bottom w:w="0" w:type="dxa"/>
          </w:tblCellMar>
        </w:tblPrEx>
        <w:trPr>
          <w:cantSplit/>
        </w:trPr>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العمودية</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097 1*</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940</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142</w:t>
            </w:r>
          </w:p>
        </w:tc>
        <w:tc>
          <w:tcPr>
            <w:tcW w:w="618"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14</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835**</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73</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8</w:t>
            </w:r>
            <w:r w:rsidR="00FC46DD">
              <w:rPr>
                <w:rFonts w:hint="cs"/>
                <w:sz w:val="24"/>
                <w:szCs w:val="24"/>
                <w:rtl/>
                <w:lang w:bidi="ar-EG"/>
              </w:rPr>
              <w:t>.</w:t>
            </w:r>
            <w:r w:rsidRPr="00CC18AF">
              <w:rPr>
                <w:rFonts w:hint="cs"/>
                <w:sz w:val="24"/>
                <w:szCs w:val="24"/>
                <w:rtl/>
                <w:lang w:bidi="ar-EG"/>
              </w:rPr>
              <w:t>04</w:t>
            </w:r>
          </w:p>
        </w:tc>
      </w:tr>
      <w:tr w:rsidR="00971AE2" w:rsidRPr="00CC18AF">
        <w:tblPrEx>
          <w:tblCellMar>
            <w:top w:w="0" w:type="dxa"/>
            <w:bottom w:w="0" w:type="dxa"/>
          </w:tblCellMar>
        </w:tblPrEx>
        <w:trPr>
          <w:cantSplit/>
        </w:trPr>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658 1</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041 1</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618"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908</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CC18AF">
        <w:tblPrEx>
          <w:tblCellMar>
            <w:top w:w="0" w:type="dxa"/>
            <w:bottom w:w="0" w:type="dxa"/>
          </w:tblCellMar>
        </w:tblPrEx>
        <w:trPr>
          <w:cantSplit/>
        </w:trPr>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المجلس</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097 1</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360 8</w:t>
            </w:r>
          </w:p>
        </w:tc>
        <w:tc>
          <w:tcPr>
            <w:tcW w:w="618"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17</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759 9</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551 1</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13</w:t>
            </w:r>
            <w:r w:rsidR="00FC46DD">
              <w:rPr>
                <w:rFonts w:hint="cs"/>
                <w:sz w:val="24"/>
                <w:szCs w:val="24"/>
                <w:rtl/>
                <w:lang w:bidi="ar-EG"/>
              </w:rPr>
              <w:t>.</w:t>
            </w:r>
            <w:r w:rsidRPr="00CC18AF">
              <w:rPr>
                <w:rFonts w:hint="cs"/>
                <w:sz w:val="24"/>
                <w:szCs w:val="24"/>
                <w:rtl/>
                <w:lang w:bidi="ar-EG"/>
              </w:rPr>
              <w:t>71</w:t>
            </w:r>
          </w:p>
        </w:tc>
      </w:tr>
      <w:tr w:rsidR="00971AE2" w:rsidRPr="00CC18AF">
        <w:tblPrEx>
          <w:tblCellMar>
            <w:top w:w="0" w:type="dxa"/>
            <w:bottom w:w="0" w:type="dxa"/>
          </w:tblCellMar>
        </w:tblPrEx>
        <w:trPr>
          <w:cantSplit/>
        </w:trPr>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019 48</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019 48</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659 39</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618"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310 11</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CC18AF">
        <w:tblPrEx>
          <w:tblCellMar>
            <w:top w:w="0" w:type="dxa"/>
            <w:bottom w:w="0" w:type="dxa"/>
          </w:tblCellMar>
        </w:tblPrEx>
        <w:trPr>
          <w:cantSplit/>
        </w:trPr>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المحافظة</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32</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8</w:t>
            </w:r>
          </w:p>
        </w:tc>
        <w:tc>
          <w:tcPr>
            <w:tcW w:w="618"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6</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30</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w:t>
            </w:r>
            <w:r w:rsidR="00FC46DD">
              <w:rPr>
                <w:rFonts w:hint="cs"/>
                <w:sz w:val="24"/>
                <w:szCs w:val="24"/>
                <w:rtl/>
                <w:lang w:bidi="ar-EG"/>
              </w:rPr>
              <w:t>.</w:t>
            </w:r>
            <w:r w:rsidRPr="00CC18AF">
              <w:rPr>
                <w:rFonts w:hint="cs"/>
                <w:sz w:val="24"/>
                <w:szCs w:val="24"/>
                <w:rtl/>
                <w:lang w:bidi="ar-EG"/>
              </w:rPr>
              <w:t>2</w:t>
            </w:r>
          </w:p>
        </w:tc>
      </w:tr>
      <w:tr w:rsidR="00971AE2" w:rsidRPr="00CC18AF">
        <w:tblPrEx>
          <w:tblCellMar>
            <w:top w:w="0" w:type="dxa"/>
            <w:bottom w:w="0" w:type="dxa"/>
          </w:tblCellMar>
        </w:tblPrEx>
        <w:trPr>
          <w:cantSplit/>
        </w:trPr>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32</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139</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131</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618"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32</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CC18AF">
        <w:tblPrEx>
          <w:tblCellMar>
            <w:top w:w="0" w:type="dxa"/>
            <w:bottom w:w="0" w:type="dxa"/>
          </w:tblCellMar>
        </w:tblPrEx>
        <w:trPr>
          <w:cantSplit/>
        </w:trPr>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الجمعيبة</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32</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484</w:t>
            </w:r>
          </w:p>
        </w:tc>
        <w:tc>
          <w:tcPr>
            <w:tcW w:w="618"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17</w:t>
            </w:r>
          </w:p>
        </w:tc>
        <w:tc>
          <w:tcPr>
            <w:tcW w:w="824"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335</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62</w:t>
            </w:r>
          </w:p>
        </w:tc>
        <w:tc>
          <w:tcPr>
            <w:tcW w:w="721"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15</w:t>
            </w:r>
            <w:r w:rsidR="00FC46DD">
              <w:rPr>
                <w:rFonts w:hint="cs"/>
                <w:sz w:val="24"/>
                <w:szCs w:val="24"/>
                <w:rtl/>
                <w:lang w:bidi="ar-EG"/>
              </w:rPr>
              <w:t>.</w:t>
            </w:r>
            <w:r w:rsidRPr="00CC18AF">
              <w:rPr>
                <w:rFonts w:hint="cs"/>
                <w:sz w:val="24"/>
                <w:szCs w:val="24"/>
                <w:rtl/>
                <w:lang w:bidi="ar-EG"/>
              </w:rPr>
              <w:t>62</w:t>
            </w:r>
          </w:p>
        </w:tc>
      </w:tr>
      <w:tr w:rsidR="00971AE2" w:rsidRPr="00CC18AF">
        <w:tblPrEx>
          <w:tblCellMar>
            <w:top w:w="0" w:type="dxa"/>
            <w:bottom w:w="0" w:type="dxa"/>
          </w:tblCellMar>
        </w:tblPrEx>
        <w:trPr>
          <w:cantSplit/>
        </w:trPr>
        <w:tc>
          <w:tcPr>
            <w:tcW w:w="721"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824"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32</w:t>
            </w:r>
          </w:p>
        </w:tc>
        <w:tc>
          <w:tcPr>
            <w:tcW w:w="721"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740 2</w:t>
            </w:r>
          </w:p>
        </w:tc>
        <w:tc>
          <w:tcPr>
            <w:tcW w:w="824"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256 2</w:t>
            </w:r>
          </w:p>
        </w:tc>
        <w:tc>
          <w:tcPr>
            <w:tcW w:w="721"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618"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824"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397</w:t>
            </w:r>
          </w:p>
        </w:tc>
        <w:tc>
          <w:tcPr>
            <w:tcW w:w="721"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721"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bl>
    <w:p w:rsidR="00CC18AF" w:rsidRPr="00CC18AF" w:rsidRDefault="00CC18AF" w:rsidP="00A343DF">
      <w:pPr>
        <w:pStyle w:val="SingleTxt"/>
        <w:spacing w:after="0" w:line="120" w:lineRule="exact"/>
        <w:rPr>
          <w:rFonts w:hint="cs"/>
          <w:sz w:val="10"/>
          <w:rtl/>
          <w:lang w:bidi="ar-EG"/>
        </w:rPr>
      </w:pPr>
    </w:p>
    <w:p w:rsidR="00971AE2" w:rsidRDefault="00971AE2" w:rsidP="00A343DF">
      <w:pPr>
        <w:pStyle w:val="SingleTxt"/>
        <w:rPr>
          <w:rFonts w:hint="cs"/>
          <w:sz w:val="24"/>
          <w:rtl/>
          <w:lang w:bidi="ar-EG"/>
        </w:rPr>
      </w:pPr>
      <w:r>
        <w:rPr>
          <w:rFonts w:hint="cs"/>
          <w:sz w:val="24"/>
          <w:rtl/>
          <w:lang w:bidi="ar-EG"/>
        </w:rPr>
        <w:t>*     توجد 098 1 بلدية و 097 1 عمودية، لأن سان أندريس لا تنتخب عمدة</w:t>
      </w:r>
      <w:r w:rsidR="003D7EB4">
        <w:rPr>
          <w:rFonts w:hint="cs"/>
          <w:sz w:val="24"/>
          <w:rtl/>
          <w:lang w:bidi="ar-EG"/>
        </w:rPr>
        <w:t>،</w:t>
      </w:r>
    </w:p>
    <w:p w:rsidR="00971AE2" w:rsidRDefault="00971AE2" w:rsidP="00A343DF">
      <w:pPr>
        <w:pStyle w:val="SingleTxt"/>
        <w:rPr>
          <w:rFonts w:hint="cs"/>
          <w:sz w:val="24"/>
          <w:rtl/>
          <w:lang w:bidi="ar-EG"/>
        </w:rPr>
      </w:pPr>
      <w:r>
        <w:rPr>
          <w:rFonts w:hint="cs"/>
          <w:sz w:val="24"/>
          <w:rtl/>
          <w:lang w:bidi="ar-EG"/>
        </w:rPr>
        <w:t>**    لا توجد معلومات عن 189 بلدية فيما يتعلق بانتخابات تشرين الأول/أكتوبر لتقديم انتخابات غير نمطية</w:t>
      </w:r>
      <w:r w:rsidR="003D7EB4">
        <w:rPr>
          <w:rFonts w:hint="cs"/>
          <w:sz w:val="24"/>
          <w:rtl/>
          <w:lang w:bidi="ar-EG"/>
        </w:rPr>
        <w:t>،</w:t>
      </w:r>
    </w:p>
    <w:p w:rsidR="00971AE2" w:rsidRDefault="00971AE2" w:rsidP="00A343DF">
      <w:pPr>
        <w:pStyle w:val="SingleTxt"/>
        <w:rPr>
          <w:rFonts w:hint="cs"/>
          <w:sz w:val="24"/>
          <w:rtl/>
          <w:lang w:bidi="ar-EG"/>
        </w:rPr>
      </w:pPr>
      <w:r>
        <w:rPr>
          <w:rFonts w:hint="cs"/>
          <w:sz w:val="24"/>
          <w:rtl/>
          <w:lang w:bidi="ar-EG"/>
        </w:rPr>
        <w:t>***   انتخبت محافظة سان أندريس في آذار/مارس 2003</w:t>
      </w:r>
      <w:r w:rsidR="003D7EB4">
        <w:rPr>
          <w:rFonts w:hint="cs"/>
          <w:sz w:val="24"/>
          <w:rtl/>
          <w:lang w:bidi="ar-EG"/>
        </w:rPr>
        <w:t>،</w:t>
      </w:r>
    </w:p>
    <w:p w:rsidR="00971AE2" w:rsidRDefault="00971AE2" w:rsidP="00A343DF">
      <w:pPr>
        <w:pStyle w:val="SingleTxt"/>
        <w:spacing w:after="0" w:line="120" w:lineRule="exact"/>
        <w:rPr>
          <w:rFonts w:hint="cs"/>
          <w:sz w:val="10"/>
          <w:rtl/>
          <w:lang w:bidi="ar-EG"/>
        </w:rPr>
      </w:pPr>
    </w:p>
    <w:p w:rsidR="00971AE2" w:rsidRDefault="00971AE2" w:rsidP="00A343DF">
      <w:pPr>
        <w:pStyle w:val="SingleTxt"/>
        <w:rPr>
          <w:rFonts w:hint="cs"/>
          <w:rtl/>
          <w:lang w:bidi="ar-EG"/>
        </w:rPr>
      </w:pPr>
      <w:r>
        <w:rPr>
          <w:rFonts w:hint="cs"/>
          <w:rtl/>
          <w:lang w:bidi="ar-EG"/>
        </w:rPr>
        <w:tab/>
        <w:t>وفقا للمعلومات التي حصل عليها الاتحاد الكولومبي للبلديات فإن 58</w:t>
      </w:r>
      <w:r w:rsidR="00FC46DD">
        <w:rPr>
          <w:rFonts w:hint="cs"/>
          <w:rtl/>
          <w:lang w:bidi="ar-EG"/>
        </w:rPr>
        <w:t>.</w:t>
      </w:r>
      <w:r>
        <w:rPr>
          <w:rFonts w:hint="cs"/>
          <w:rtl/>
          <w:lang w:bidi="ar-EG"/>
        </w:rPr>
        <w:t>3 في المائة من مجالس العواصم الرئيسية في البلد قد امتثلت قانون الحصص</w:t>
      </w:r>
      <w:r w:rsidR="003D7EB4">
        <w:rPr>
          <w:rFonts w:hint="cs"/>
          <w:rtl/>
          <w:lang w:bidi="ar-EG"/>
        </w:rPr>
        <w:t>،</w:t>
      </w:r>
      <w:r>
        <w:rPr>
          <w:rFonts w:hint="cs"/>
          <w:rtl/>
          <w:lang w:bidi="ar-EG"/>
        </w:rPr>
        <w:t xml:space="preserve"> وفي سنة 2004 ازدادت مشاركة المرأة في مجالس المقاطعات مقارنة بسنة 2003، فقد ارتفعت من 31</w:t>
      </w:r>
      <w:r w:rsidR="00FC46DD">
        <w:rPr>
          <w:rFonts w:hint="cs"/>
          <w:rtl/>
          <w:lang w:bidi="ar-EG"/>
        </w:rPr>
        <w:t>.</w:t>
      </w:r>
      <w:r>
        <w:rPr>
          <w:rFonts w:hint="cs"/>
          <w:rtl/>
          <w:lang w:bidi="ar-EG"/>
        </w:rPr>
        <w:t>3 في المائة إلى 34</w:t>
      </w:r>
      <w:r w:rsidR="00FC46DD">
        <w:rPr>
          <w:rFonts w:hint="cs"/>
          <w:rtl/>
          <w:lang w:bidi="ar-EG"/>
        </w:rPr>
        <w:t>.</w:t>
      </w:r>
      <w:r>
        <w:rPr>
          <w:rFonts w:hint="cs"/>
          <w:rtl/>
          <w:lang w:bidi="ar-EG"/>
        </w:rPr>
        <w:t>4 في المائة</w:t>
      </w:r>
      <w:r>
        <w:rPr>
          <w:rFonts w:hint="cs"/>
          <w:vertAlign w:val="superscript"/>
          <w:rtl/>
          <w:lang w:bidi="ar-EG"/>
        </w:rPr>
        <w:t>(66)</w:t>
      </w:r>
      <w:r w:rsidR="003D7EB4">
        <w:rPr>
          <w:rFonts w:hint="cs"/>
          <w:rtl/>
          <w:lang w:bidi="ar-EG"/>
        </w:rPr>
        <w:t>،</w:t>
      </w:r>
    </w:p>
    <w:p w:rsidR="00971AE2" w:rsidRDefault="00971AE2" w:rsidP="00A343DF">
      <w:pPr>
        <w:pStyle w:val="SingleTxt"/>
        <w:rPr>
          <w:rFonts w:hint="cs"/>
          <w:rtl/>
          <w:lang w:bidi="ar-EG"/>
        </w:rPr>
      </w:pPr>
      <w:r>
        <w:rPr>
          <w:rFonts w:hint="cs"/>
          <w:rtl/>
          <w:lang w:bidi="ar-EG"/>
        </w:rPr>
        <w:tab/>
        <w:t>وفي برنامج بناء ثقافة السلم دُرب 412 80 رائدا للسلام في سنة 2002</w:t>
      </w:r>
      <w:r w:rsidR="003D7EB4">
        <w:rPr>
          <w:rFonts w:hint="cs"/>
          <w:rtl/>
          <w:lang w:bidi="ar-EG"/>
        </w:rPr>
        <w:t>،</w:t>
      </w:r>
    </w:p>
    <w:p w:rsidR="00971AE2" w:rsidRDefault="00971AE2" w:rsidP="00A343DF">
      <w:pPr>
        <w:pStyle w:val="SingleTxt"/>
        <w:rPr>
          <w:rFonts w:hint="cs"/>
          <w:rtl/>
          <w:lang w:bidi="ar-EG"/>
        </w:rPr>
      </w:pPr>
      <w:r>
        <w:rPr>
          <w:rFonts w:hint="cs"/>
          <w:rtl/>
          <w:lang w:bidi="ar-EG"/>
        </w:rPr>
        <w:tab/>
        <w:t>وفيما يتعلق بمشاركة الأطفال والمراهقين توجد جوانب مهمة مثل تدريبهم بالمشاركة وتعرفهم على حقوقهم، وقد جرت هذه الأنشطة في جميع المراكز التعليمية الحكومية عن طريق الحكومة المدرسية، بهدف تعزيز التدريب على الديمقراطية والإدلاء بالأصوات وتصويت الأطفال في عمليات التعليم النظامي</w:t>
      </w:r>
      <w:r w:rsidR="003D7EB4">
        <w:rPr>
          <w:rFonts w:hint="cs"/>
          <w:rtl/>
          <w:lang w:bidi="ar-EG"/>
        </w:rPr>
        <w:t>،</w:t>
      </w:r>
      <w:r>
        <w:rPr>
          <w:rFonts w:hint="cs"/>
          <w:rtl/>
          <w:lang w:bidi="ar-EG"/>
        </w:rPr>
        <w:t xml:space="preserve"> كما يوجد برنامج بناء ثقافة السلم في المدارس والكليات بشأن التسوية السلمية للمنازعات</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ab/>
        <w:t>وثمة تجربة أخرى تجدر الإشارة إليها هي تكوين 176 مجلسا محليا للشباب</w:t>
      </w:r>
      <w:r>
        <w:rPr>
          <w:rFonts w:hint="cs"/>
          <w:b/>
          <w:bCs/>
          <w:vertAlign w:val="superscript"/>
          <w:rtl/>
          <w:lang w:bidi="ar-EG"/>
        </w:rPr>
        <w:t>(67)</w:t>
      </w:r>
      <w:r>
        <w:rPr>
          <w:rFonts w:hint="cs"/>
          <w:b/>
          <w:bCs/>
          <w:rtl/>
          <w:lang w:bidi="ar-EG"/>
        </w:rPr>
        <w:t>، وهو ثمرة التنسيق والعمل بين الهيئات الإقليمية</w:t>
      </w:r>
      <w:r w:rsidR="003D7EB4">
        <w:rPr>
          <w:rFonts w:hint="cs"/>
          <w:b/>
          <w:bCs/>
          <w:rtl/>
          <w:lang w:bidi="ar-EG"/>
        </w:rPr>
        <w:t>،</w:t>
      </w:r>
      <w:r>
        <w:rPr>
          <w:rFonts w:hint="cs"/>
          <w:b/>
          <w:bCs/>
          <w:rtl/>
          <w:lang w:bidi="ar-EG"/>
        </w:rPr>
        <w:t xml:space="preserve"> وعلى الرغم من أنها تمثل 12 في المائة فقط من البلديات التي يبلغ عددها 098 1 بلدية فإن الزيادة مهمة مقارنة بالـ 20 مجلسا التي كانت قائمة في بداية فترة الخمس سنوات</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ويقوم المؤسسة الكولومبية للرعاية الأسرية بتنفيذ برنامج لنوادي الفتية والشباب يتمثل هدفه في دعم تنظيم واجتماع الفتية والشباب في البلديات المختلفة في البلد</w:t>
      </w:r>
      <w:r w:rsidR="003D7EB4">
        <w:rPr>
          <w:rFonts w:hint="cs"/>
          <w:rtl/>
          <w:lang w:bidi="ar-EG"/>
        </w:rPr>
        <w:t>،</w:t>
      </w:r>
      <w:r>
        <w:rPr>
          <w:rFonts w:hint="cs"/>
          <w:rtl/>
          <w:lang w:bidi="ar-EG"/>
        </w:rPr>
        <w:t xml:space="preserve"> وفي سنة 2002 عُزز تنظيم 000 49 من الأطفال والمراهقين الذين تتراوح أعمارهم بين 7</w:t>
      </w:r>
      <w:r>
        <w:rPr>
          <w:rFonts w:hint="eastAsia"/>
          <w:rtl/>
          <w:lang w:bidi="ar-EG"/>
        </w:rPr>
        <w:t> </w:t>
      </w:r>
      <w:r>
        <w:rPr>
          <w:rFonts w:hint="cs"/>
          <w:rtl/>
          <w:lang w:bidi="ar-EG"/>
        </w:rPr>
        <w:t>سنوات و 18 سنة عن طريق 013 2 نادي للصبية والفتيات و 241 1 نادي للمراهقين في كل الإقليم الوطني</w:t>
      </w:r>
      <w:r w:rsidR="003D7EB4">
        <w:rPr>
          <w:rFonts w:hint="cs"/>
          <w:rtl/>
          <w:lang w:bidi="ar-EG"/>
        </w:rPr>
        <w:t>،</w:t>
      </w:r>
      <w:r>
        <w:rPr>
          <w:rFonts w:hint="cs"/>
          <w:rtl/>
          <w:lang w:bidi="ar-EG"/>
        </w:rPr>
        <w:t xml:space="preserve"> ونُفذ بالاشتراك مع وزارة الاتصالات برنامج </w:t>
      </w:r>
      <w:r>
        <w:t>PCIN</w:t>
      </w:r>
      <w:r>
        <w:rPr>
          <w:rFonts w:hint="cs"/>
          <w:rtl/>
          <w:lang w:bidi="ar-EG"/>
        </w:rPr>
        <w:t xml:space="preserve"> الذي يتمثل هدفه في الإسهام في إحداث تغييرات ثقافية من خلال منظور حقوق الطفل مع التركيز على عمليات الاتصال</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2-8</w:t>
      </w:r>
      <w:r>
        <w:rPr>
          <w:rFonts w:hint="cs"/>
          <w:b/>
          <w:bCs/>
          <w:rtl/>
          <w:lang w:bidi="ar-EG"/>
        </w:rPr>
        <w:tab/>
        <w:t>المادة 8</w:t>
      </w:r>
    </w:p>
    <w:p w:rsidR="00971AE2" w:rsidRDefault="00971AE2" w:rsidP="00A343DF">
      <w:pPr>
        <w:pStyle w:val="SingleTxt"/>
        <w:rPr>
          <w:rFonts w:hint="cs"/>
          <w:b/>
          <w:bCs/>
          <w:rtl/>
          <w:lang w:bidi="ar-EG"/>
        </w:rPr>
      </w:pPr>
      <w:r>
        <w:rPr>
          <w:rFonts w:hint="cs"/>
          <w:b/>
          <w:bCs/>
          <w:rtl/>
          <w:lang w:bidi="ar-EG"/>
        </w:rPr>
        <w:t>التمثيل والمشاركة على الصعيد الدولي</w:t>
      </w:r>
    </w:p>
    <w:p w:rsidR="00971AE2" w:rsidRDefault="00971AE2" w:rsidP="00A343DF">
      <w:pPr>
        <w:pStyle w:val="SingleTxt"/>
        <w:rPr>
          <w:rFonts w:hint="cs"/>
          <w:b/>
          <w:bCs/>
          <w:u w:val="single"/>
          <w:rtl/>
          <w:lang w:bidi="ar-EG"/>
        </w:rPr>
      </w:pPr>
      <w:r>
        <w:rPr>
          <w:rFonts w:hint="cs"/>
          <w:b/>
          <w:bCs/>
          <w:u w:val="single"/>
          <w:rtl/>
          <w:lang w:bidi="ar-EG"/>
        </w:rPr>
        <w:t>الإحصاءات</w:t>
      </w:r>
    </w:p>
    <w:p w:rsidR="00971AE2" w:rsidRDefault="00971AE2" w:rsidP="00A343DF">
      <w:pPr>
        <w:pStyle w:val="SingleTxt"/>
        <w:rPr>
          <w:rFonts w:hint="cs"/>
          <w:b/>
          <w:bCs/>
          <w:rtl/>
          <w:lang w:bidi="ar-EG"/>
        </w:rPr>
      </w:pPr>
      <w:r>
        <w:rPr>
          <w:rFonts w:hint="cs"/>
          <w:b/>
          <w:bCs/>
          <w:rtl/>
          <w:lang w:bidi="ar-EG"/>
        </w:rPr>
        <w:t>التمثيل النسائي في الاجتماعات الدولية المعنية بحقوق الإنسان</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6214"/>
        <w:gridCol w:w="1106"/>
      </w:tblGrid>
      <w:tr w:rsidR="00971AE2" w:rsidRPr="00CC18AF">
        <w:tblPrEx>
          <w:tblCellMar>
            <w:top w:w="0" w:type="dxa"/>
            <w:bottom w:w="0" w:type="dxa"/>
          </w:tblCellMar>
        </w:tblPrEx>
        <w:trPr>
          <w:cantSplit/>
          <w:tblHeader/>
        </w:trPr>
        <w:tc>
          <w:tcPr>
            <w:tcW w:w="6214"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CC18AF">
              <w:rPr>
                <w:rFonts w:hint="cs"/>
                <w:i/>
                <w:iCs/>
                <w:sz w:val="24"/>
                <w:szCs w:val="24"/>
                <w:rtl/>
                <w:lang w:bidi="ar-EG"/>
              </w:rPr>
              <w:t>موضوع الاجتماع</w:t>
            </w:r>
          </w:p>
        </w:tc>
        <w:tc>
          <w:tcPr>
            <w:tcW w:w="1106"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عدد الممثلات*</w:t>
            </w:r>
          </w:p>
        </w:tc>
      </w:tr>
      <w:tr w:rsidR="00971AE2" w:rsidRPr="00CC18AF">
        <w:tblPrEx>
          <w:tblCellMar>
            <w:top w:w="0" w:type="dxa"/>
            <w:bottom w:w="0" w:type="dxa"/>
          </w:tblCellMar>
        </w:tblPrEx>
        <w:trPr>
          <w:cantSplit/>
          <w:trHeight w:hRule="exact" w:val="115"/>
          <w:tblHeader/>
        </w:trPr>
        <w:tc>
          <w:tcPr>
            <w:tcW w:w="6214"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1106"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الطفولة وحقوق الطفل</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17</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حقوق المرأة</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28</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اللجنة المعنية بحقوق الإنسان</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المستوطنات البشرية</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تنمية السكان الأصليين</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حالات الاختفاء القسري</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العهد الدولي الخاص بالحقوق المدنية والسياسية</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الاتجار بالبشر</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المعوقون</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3</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pStyle w:val="Heading5"/>
              <w:jc w:val="lowKashida"/>
              <w:rPr>
                <w:sz w:val="24"/>
                <w:szCs w:val="24"/>
              </w:rPr>
            </w:pPr>
            <w:r w:rsidRPr="00CC18AF">
              <w:rPr>
                <w:sz w:val="24"/>
                <w:szCs w:val="24"/>
              </w:rPr>
              <w:t>ACNUR</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sz w:val="24"/>
                <w:szCs w:val="24"/>
                <w:lang w:bidi="ar-EG"/>
              </w:rPr>
            </w:pPr>
            <w:r w:rsidRPr="00CC18AF">
              <w:rPr>
                <w:rFonts w:hint="cs"/>
                <w:sz w:val="24"/>
                <w:szCs w:val="24"/>
                <w:rtl/>
                <w:lang w:bidi="ar-EG"/>
              </w:rPr>
              <w:t>المساواة والعزل الاجتماعي</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العمال المهاجرون</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لجنة مكافحة التعذيب</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w:t>
            </w:r>
          </w:p>
        </w:tc>
      </w:tr>
      <w:tr w:rsidR="00971AE2" w:rsidRPr="00CC18AF">
        <w:tblPrEx>
          <w:tblCellMar>
            <w:top w:w="0" w:type="dxa"/>
            <w:bottom w:w="0" w:type="dxa"/>
          </w:tblCellMar>
        </w:tblPrEx>
        <w:trPr>
          <w:cantSplit/>
        </w:trPr>
        <w:tc>
          <w:tcPr>
            <w:tcW w:w="6214"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السكان والتنمية</w:t>
            </w:r>
          </w:p>
        </w:tc>
        <w:tc>
          <w:tcPr>
            <w:tcW w:w="1106"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w:t>
            </w:r>
          </w:p>
        </w:tc>
      </w:tr>
      <w:tr w:rsidR="00971AE2" w:rsidRPr="00CC18AF">
        <w:tblPrEx>
          <w:tblCellMar>
            <w:top w:w="0" w:type="dxa"/>
            <w:bottom w:w="0" w:type="dxa"/>
          </w:tblCellMar>
        </w:tblPrEx>
        <w:trPr>
          <w:cantSplit/>
        </w:trPr>
        <w:tc>
          <w:tcPr>
            <w:tcW w:w="6214"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الجمعية العالمية للشيخوخة</w:t>
            </w:r>
          </w:p>
        </w:tc>
        <w:tc>
          <w:tcPr>
            <w:tcW w:w="1106" w:type="dxa"/>
            <w:tcBorders>
              <w:bottom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w:t>
            </w:r>
          </w:p>
        </w:tc>
      </w:tr>
    </w:tbl>
    <w:p w:rsidR="00971AE2" w:rsidRDefault="00971AE2" w:rsidP="00A343DF">
      <w:pPr>
        <w:pStyle w:val="SingleTxt"/>
        <w:rPr>
          <w:rFonts w:hint="cs"/>
          <w:sz w:val="24"/>
          <w:rtl/>
          <w:lang w:bidi="ar-EG"/>
        </w:rPr>
      </w:pPr>
      <w:r>
        <w:rPr>
          <w:rFonts w:hint="cs"/>
          <w:sz w:val="24"/>
          <w:rtl/>
          <w:lang w:bidi="ar-EG"/>
        </w:rPr>
        <w:t>*   منذ عام 2000 حتى تاريخه</w:t>
      </w:r>
      <w:r w:rsidR="003D7EB4">
        <w:rPr>
          <w:rFonts w:hint="cs"/>
          <w:sz w:val="24"/>
          <w:rtl/>
          <w:lang w:bidi="ar-EG"/>
        </w:rPr>
        <w:t>،</w:t>
      </w:r>
    </w:p>
    <w:p w:rsidR="00A343DF" w:rsidRDefault="00A343DF" w:rsidP="00A343DF">
      <w:pPr>
        <w:pStyle w:val="SingleTxt"/>
        <w:rPr>
          <w:rFonts w:hint="cs"/>
          <w:b/>
          <w:bCs/>
          <w:rtl/>
          <w:lang w:bidi="ar-EG"/>
        </w:rPr>
      </w:pPr>
    </w:p>
    <w:p w:rsidR="00971AE2" w:rsidRDefault="00971AE2" w:rsidP="00A343DF">
      <w:pPr>
        <w:pStyle w:val="SingleTxt"/>
        <w:rPr>
          <w:rFonts w:hint="cs"/>
          <w:b/>
          <w:bCs/>
          <w:rtl/>
          <w:lang w:bidi="ar-EG"/>
        </w:rPr>
      </w:pPr>
      <w:r>
        <w:rPr>
          <w:rFonts w:hint="cs"/>
          <w:b/>
          <w:bCs/>
          <w:rtl/>
          <w:lang w:bidi="ar-EG"/>
        </w:rPr>
        <w:t>النساء في أعلى المناصب في القطاع العام بما في ذلك التمثيل في الخارج</w:t>
      </w:r>
    </w:p>
    <w:p w:rsidR="00971AE2" w:rsidRDefault="00971AE2" w:rsidP="00A343DF">
      <w:pPr>
        <w:pStyle w:val="SingleTxt"/>
        <w:rPr>
          <w:rFonts w:hint="cs"/>
          <w:rtl/>
          <w:lang w:bidi="ar-EG"/>
        </w:rPr>
      </w:pPr>
      <w:r>
        <w:rPr>
          <w:rFonts w:hint="cs"/>
          <w:rtl/>
          <w:lang w:bidi="ar-EG"/>
        </w:rPr>
        <w:tab/>
        <w:t>يبلغ مجموع عدد النساء اللائي يشغلن مناصب دبلوماسية 125، وهذا يساوي 39</w:t>
      </w:r>
      <w:r w:rsidR="00FC46DD">
        <w:rPr>
          <w:rFonts w:hint="cs"/>
          <w:rtl/>
          <w:lang w:bidi="ar-EG"/>
        </w:rPr>
        <w:t>.</w:t>
      </w:r>
      <w:r>
        <w:rPr>
          <w:rFonts w:hint="cs"/>
          <w:rtl/>
          <w:lang w:bidi="ar-EG"/>
        </w:rPr>
        <w:t>56 في المائة من مجموع عدد المناصب الدبلوماسية</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النساء العاملات في السلك الدبلوماسي</w:t>
      </w:r>
    </w:p>
    <w:p w:rsidR="00971AE2" w:rsidRDefault="00971AE2" w:rsidP="00A343DF">
      <w:pPr>
        <w:pStyle w:val="SingleTxt"/>
        <w:rPr>
          <w:rFonts w:hint="cs"/>
          <w:rtl/>
          <w:lang w:bidi="ar-EG"/>
        </w:rPr>
      </w:pPr>
      <w:r>
        <w:rPr>
          <w:rFonts w:hint="cs"/>
          <w:rtl/>
          <w:lang w:bidi="ar-EG"/>
        </w:rPr>
        <w:t>في تشرين الثاني/نوفمبر 2004</w:t>
      </w:r>
    </w:p>
    <w:p w:rsidR="00971AE2" w:rsidRDefault="00971AE2" w:rsidP="00A343DF">
      <w:pPr>
        <w:pStyle w:val="SingleTxt"/>
        <w:rPr>
          <w:rFonts w:hint="cs"/>
          <w:rtl/>
          <w:lang w:bidi="ar-EG"/>
        </w:rPr>
      </w:pPr>
      <w:r>
        <w:rPr>
          <w:rFonts w:hint="cs"/>
          <w:rtl/>
          <w:lang w:bidi="ar-EG"/>
        </w:rPr>
        <w:t>102 امرأة، أي 42</w:t>
      </w:r>
      <w:r w:rsidR="00FC46DD">
        <w:rPr>
          <w:rFonts w:hint="cs"/>
          <w:rtl/>
          <w:lang w:bidi="ar-EG"/>
        </w:rPr>
        <w:t>.</w:t>
      </w:r>
      <w:r>
        <w:rPr>
          <w:rFonts w:hint="cs"/>
          <w:rtl/>
          <w:lang w:bidi="ar-EG"/>
        </w:rPr>
        <w:t>32 في المائة من عدد الموظفين الدبلوماسيين</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971AE2" w:rsidRPr="00CC18AF">
        <w:tblPrEx>
          <w:tblCellMar>
            <w:top w:w="0" w:type="dxa"/>
            <w:bottom w:w="0" w:type="dxa"/>
          </w:tblCellMar>
        </w:tblPrEx>
        <w:trPr>
          <w:cantSplit/>
          <w:tblHeader/>
        </w:trPr>
        <w:tc>
          <w:tcPr>
            <w:tcW w:w="2440"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CC18AF">
              <w:rPr>
                <w:rFonts w:hint="cs"/>
                <w:i/>
                <w:iCs/>
                <w:sz w:val="24"/>
                <w:szCs w:val="24"/>
                <w:rtl/>
                <w:lang w:bidi="ar-EG"/>
              </w:rPr>
              <w:t>الرتبة</w:t>
            </w:r>
          </w:p>
        </w:tc>
        <w:tc>
          <w:tcPr>
            <w:tcW w:w="2440"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العدد</w:t>
            </w:r>
          </w:p>
        </w:tc>
        <w:tc>
          <w:tcPr>
            <w:tcW w:w="2440"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CC18AF">
              <w:rPr>
                <w:rFonts w:hint="cs"/>
                <w:i/>
                <w:iCs/>
                <w:sz w:val="24"/>
                <w:szCs w:val="24"/>
                <w:rtl/>
                <w:lang w:bidi="ar-EG"/>
              </w:rPr>
              <w:t>النسبة المئوية</w:t>
            </w:r>
          </w:p>
        </w:tc>
      </w:tr>
      <w:tr w:rsidR="00971AE2" w:rsidRPr="00CC18AF">
        <w:tblPrEx>
          <w:tblCellMar>
            <w:top w:w="0" w:type="dxa"/>
            <w:bottom w:w="0" w:type="dxa"/>
          </w:tblCellMar>
        </w:tblPrEx>
        <w:trPr>
          <w:cantSplit/>
          <w:trHeight w:hRule="exact" w:val="115"/>
          <w:tblHeader/>
        </w:trPr>
        <w:tc>
          <w:tcPr>
            <w:tcW w:w="2440"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2440"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c>
          <w:tcPr>
            <w:tcW w:w="2440" w:type="dxa"/>
            <w:tcBorders>
              <w:top w:val="single" w:sz="12"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CC18AF">
        <w:tblPrEx>
          <w:tblCellMar>
            <w:top w:w="0" w:type="dxa"/>
            <w:bottom w:w="0" w:type="dxa"/>
          </w:tblCellMar>
        </w:tblPrEx>
        <w:trPr>
          <w:cantSplit/>
        </w:trPr>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سفير</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8</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7</w:t>
            </w:r>
            <w:r w:rsidR="00FC46DD">
              <w:rPr>
                <w:rFonts w:hint="cs"/>
                <w:sz w:val="24"/>
                <w:szCs w:val="24"/>
                <w:rtl/>
                <w:lang w:bidi="ar-EG"/>
              </w:rPr>
              <w:t>.</w:t>
            </w:r>
            <w:r w:rsidRPr="00CC18AF">
              <w:rPr>
                <w:rFonts w:hint="cs"/>
                <w:sz w:val="24"/>
                <w:szCs w:val="24"/>
                <w:rtl/>
                <w:lang w:bidi="ar-EG"/>
              </w:rPr>
              <w:t>84</w:t>
            </w:r>
          </w:p>
        </w:tc>
      </w:tr>
      <w:tr w:rsidR="00971AE2" w:rsidRPr="00CC18AF">
        <w:tblPrEx>
          <w:tblCellMar>
            <w:top w:w="0" w:type="dxa"/>
            <w:bottom w:w="0" w:type="dxa"/>
          </w:tblCellMar>
        </w:tblPrEx>
        <w:trPr>
          <w:cantSplit/>
        </w:trPr>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وزير مفوض</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11</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10</w:t>
            </w:r>
            <w:r w:rsidR="00FC46DD">
              <w:rPr>
                <w:rFonts w:hint="cs"/>
                <w:sz w:val="24"/>
                <w:szCs w:val="24"/>
                <w:rtl/>
                <w:lang w:bidi="ar-EG"/>
              </w:rPr>
              <w:t>.</w:t>
            </w:r>
            <w:r w:rsidRPr="00CC18AF">
              <w:rPr>
                <w:rFonts w:hint="cs"/>
                <w:sz w:val="24"/>
                <w:szCs w:val="24"/>
                <w:rtl/>
                <w:lang w:bidi="ar-EG"/>
              </w:rPr>
              <w:t>78</w:t>
            </w:r>
          </w:p>
        </w:tc>
      </w:tr>
      <w:tr w:rsidR="00971AE2" w:rsidRPr="00CC18AF">
        <w:tblPrEx>
          <w:tblCellMar>
            <w:top w:w="0" w:type="dxa"/>
            <w:bottom w:w="0" w:type="dxa"/>
          </w:tblCellMar>
        </w:tblPrEx>
        <w:trPr>
          <w:cantSplit/>
        </w:trPr>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وزير مستشار</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21</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20</w:t>
            </w:r>
            <w:r w:rsidR="00FC46DD">
              <w:rPr>
                <w:rFonts w:hint="cs"/>
                <w:sz w:val="24"/>
                <w:szCs w:val="24"/>
                <w:rtl/>
                <w:lang w:bidi="ar-EG"/>
              </w:rPr>
              <w:t>.</w:t>
            </w:r>
            <w:r w:rsidRPr="00CC18AF">
              <w:rPr>
                <w:rFonts w:hint="cs"/>
                <w:sz w:val="24"/>
                <w:szCs w:val="24"/>
                <w:rtl/>
                <w:lang w:bidi="ar-EG"/>
              </w:rPr>
              <w:t>59</w:t>
            </w:r>
          </w:p>
        </w:tc>
      </w:tr>
      <w:tr w:rsidR="00971AE2" w:rsidRPr="00CC18AF">
        <w:tblPrEx>
          <w:tblCellMar>
            <w:top w:w="0" w:type="dxa"/>
            <w:bottom w:w="0" w:type="dxa"/>
          </w:tblCellMar>
        </w:tblPrEx>
        <w:trPr>
          <w:cantSplit/>
        </w:trPr>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مستشار</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5</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4</w:t>
            </w:r>
            <w:r w:rsidR="00FC46DD">
              <w:rPr>
                <w:rFonts w:hint="cs"/>
                <w:sz w:val="24"/>
                <w:szCs w:val="24"/>
                <w:rtl/>
                <w:lang w:bidi="ar-EG"/>
              </w:rPr>
              <w:t>.</w:t>
            </w:r>
            <w:r w:rsidRPr="00CC18AF">
              <w:rPr>
                <w:rFonts w:hint="cs"/>
                <w:sz w:val="24"/>
                <w:szCs w:val="24"/>
                <w:rtl/>
                <w:lang w:bidi="ar-EG"/>
              </w:rPr>
              <w:t>9</w:t>
            </w:r>
          </w:p>
        </w:tc>
      </w:tr>
      <w:tr w:rsidR="00971AE2" w:rsidRPr="00CC18AF">
        <w:tblPrEx>
          <w:tblCellMar>
            <w:top w:w="0" w:type="dxa"/>
            <w:bottom w:w="0" w:type="dxa"/>
          </w:tblCellMar>
        </w:tblPrEx>
        <w:trPr>
          <w:cantSplit/>
        </w:trPr>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سكرتير أول</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15</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14</w:t>
            </w:r>
            <w:r w:rsidR="00FC46DD">
              <w:rPr>
                <w:rFonts w:hint="cs"/>
                <w:sz w:val="24"/>
                <w:szCs w:val="24"/>
                <w:rtl/>
                <w:lang w:bidi="ar-EG"/>
              </w:rPr>
              <w:t>.</w:t>
            </w:r>
            <w:r w:rsidRPr="00CC18AF">
              <w:rPr>
                <w:rFonts w:hint="cs"/>
                <w:sz w:val="24"/>
                <w:szCs w:val="24"/>
                <w:rtl/>
                <w:lang w:bidi="ar-EG"/>
              </w:rPr>
              <w:t>71</w:t>
            </w:r>
          </w:p>
        </w:tc>
      </w:tr>
      <w:tr w:rsidR="00971AE2" w:rsidRPr="00CC18AF">
        <w:tblPrEx>
          <w:tblCellMar>
            <w:top w:w="0" w:type="dxa"/>
            <w:bottom w:w="0" w:type="dxa"/>
          </w:tblCellMar>
        </w:tblPrEx>
        <w:trPr>
          <w:cantSplit/>
        </w:trPr>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سكرتير ثان</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19</w:t>
            </w:r>
          </w:p>
        </w:tc>
        <w:tc>
          <w:tcPr>
            <w:tcW w:w="2440" w:type="dxa"/>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18</w:t>
            </w:r>
            <w:r w:rsidR="00FC46DD">
              <w:rPr>
                <w:rFonts w:hint="cs"/>
                <w:sz w:val="24"/>
                <w:szCs w:val="24"/>
                <w:rtl/>
                <w:lang w:bidi="ar-EG"/>
              </w:rPr>
              <w:t>.</w:t>
            </w:r>
            <w:r w:rsidRPr="00CC18AF">
              <w:rPr>
                <w:rFonts w:hint="cs"/>
                <w:sz w:val="24"/>
                <w:szCs w:val="24"/>
                <w:rtl/>
                <w:lang w:bidi="ar-EG"/>
              </w:rPr>
              <w:t>63</w:t>
            </w:r>
          </w:p>
        </w:tc>
      </w:tr>
      <w:tr w:rsidR="00971AE2" w:rsidRPr="00CC18AF">
        <w:tblPrEx>
          <w:tblCellMar>
            <w:top w:w="0" w:type="dxa"/>
            <w:bottom w:w="0" w:type="dxa"/>
          </w:tblCellMar>
        </w:tblPrEx>
        <w:trPr>
          <w:cantSplit/>
        </w:trPr>
        <w:tc>
          <w:tcPr>
            <w:tcW w:w="2440" w:type="dxa"/>
            <w:tcBorders>
              <w:bottom w:val="single" w:sz="4"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CC18AF">
              <w:rPr>
                <w:rFonts w:hint="cs"/>
                <w:sz w:val="24"/>
                <w:szCs w:val="24"/>
                <w:rtl/>
                <w:lang w:bidi="ar-EG"/>
              </w:rPr>
              <w:t>سكرتير ثالث</w:t>
            </w:r>
          </w:p>
        </w:tc>
        <w:tc>
          <w:tcPr>
            <w:tcW w:w="2440" w:type="dxa"/>
            <w:tcBorders>
              <w:bottom w:val="single" w:sz="4"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23</w:t>
            </w:r>
          </w:p>
        </w:tc>
        <w:tc>
          <w:tcPr>
            <w:tcW w:w="2440" w:type="dxa"/>
            <w:tcBorders>
              <w:bottom w:val="single" w:sz="4" w:space="0" w:color="auto"/>
            </w:tcBorders>
            <w:vAlign w:val="bottom"/>
          </w:tcPr>
          <w:p w:rsidR="00971AE2" w:rsidRPr="00CC18AF"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CC18AF">
              <w:rPr>
                <w:rFonts w:hint="cs"/>
                <w:sz w:val="24"/>
                <w:szCs w:val="24"/>
                <w:rtl/>
                <w:lang w:bidi="ar-EG"/>
              </w:rPr>
              <w:t>22</w:t>
            </w:r>
            <w:r w:rsidR="00FC46DD">
              <w:rPr>
                <w:rFonts w:hint="cs"/>
                <w:sz w:val="24"/>
                <w:szCs w:val="24"/>
                <w:rtl/>
                <w:lang w:bidi="ar-EG"/>
              </w:rPr>
              <w:t>.</w:t>
            </w:r>
            <w:r w:rsidRPr="00CC18AF">
              <w:rPr>
                <w:rFonts w:hint="cs"/>
                <w:sz w:val="24"/>
                <w:szCs w:val="24"/>
                <w:rtl/>
                <w:lang w:bidi="ar-EG"/>
              </w:rPr>
              <w:t>55</w:t>
            </w:r>
          </w:p>
        </w:tc>
      </w:tr>
      <w:tr w:rsidR="00971AE2" w:rsidRPr="00CC18AF">
        <w:tblPrEx>
          <w:tblCellMar>
            <w:top w:w="0" w:type="dxa"/>
            <w:bottom w:w="0" w:type="dxa"/>
          </w:tblCellMar>
        </w:tblPrEx>
        <w:trPr>
          <w:cantSplit/>
        </w:trPr>
        <w:tc>
          <w:tcPr>
            <w:tcW w:w="2440"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60" w:after="60" w:line="240" w:lineRule="exact"/>
              <w:ind w:right="40"/>
              <w:jc w:val="lowKashida"/>
              <w:rPr>
                <w:rFonts w:hint="cs"/>
                <w:bCs/>
                <w:sz w:val="24"/>
                <w:szCs w:val="24"/>
                <w:rtl/>
                <w:lang w:bidi="ar-EG"/>
              </w:rPr>
            </w:pPr>
            <w:r w:rsidRPr="00CC18AF">
              <w:rPr>
                <w:rFonts w:hint="cs"/>
                <w:bCs/>
                <w:sz w:val="24"/>
                <w:szCs w:val="24"/>
                <w:rtl/>
                <w:lang w:bidi="ar-EG"/>
              </w:rPr>
              <w:t>المجموع</w:t>
            </w:r>
          </w:p>
        </w:tc>
        <w:tc>
          <w:tcPr>
            <w:tcW w:w="2440"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CC18AF">
              <w:rPr>
                <w:rFonts w:hint="cs"/>
                <w:bCs/>
                <w:sz w:val="24"/>
                <w:szCs w:val="24"/>
                <w:rtl/>
                <w:lang w:bidi="ar-EG"/>
              </w:rPr>
              <w:t>102</w:t>
            </w:r>
          </w:p>
        </w:tc>
        <w:tc>
          <w:tcPr>
            <w:tcW w:w="2440" w:type="dxa"/>
            <w:tcBorders>
              <w:top w:val="single" w:sz="4" w:space="0" w:color="auto"/>
              <w:bottom w:val="single" w:sz="12" w:space="0" w:color="auto"/>
            </w:tcBorders>
            <w:vAlign w:val="bottom"/>
          </w:tcPr>
          <w:p w:rsidR="00971AE2" w:rsidRPr="00CC18AF" w:rsidRDefault="00971AE2" w:rsidP="00A343DF">
            <w:pPr>
              <w:tabs>
                <w:tab w:val="left" w:pos="288"/>
                <w:tab w:val="left" w:pos="576"/>
                <w:tab w:val="left" w:pos="864"/>
                <w:tab w:val="left" w:pos="1152"/>
              </w:tabs>
              <w:spacing w:before="60" w:after="60" w:line="240" w:lineRule="exact"/>
              <w:ind w:right="144"/>
              <w:jc w:val="lowKashida"/>
              <w:rPr>
                <w:rFonts w:hint="cs"/>
                <w:bCs/>
                <w:sz w:val="24"/>
                <w:szCs w:val="24"/>
                <w:rtl/>
                <w:lang w:bidi="ar-EG"/>
              </w:rPr>
            </w:pPr>
            <w:r w:rsidRPr="00CC18AF">
              <w:rPr>
                <w:rFonts w:hint="cs"/>
                <w:bCs/>
                <w:sz w:val="24"/>
                <w:szCs w:val="24"/>
                <w:rtl/>
                <w:lang w:bidi="ar-EG"/>
              </w:rPr>
              <w:t>100</w:t>
            </w:r>
          </w:p>
        </w:tc>
      </w:tr>
    </w:tbl>
    <w:p w:rsidR="00971AE2" w:rsidRDefault="00971AE2" w:rsidP="00A343DF">
      <w:pPr>
        <w:pStyle w:val="SingleTxt"/>
        <w:spacing w:after="0" w:line="120" w:lineRule="exact"/>
        <w:rPr>
          <w:sz w:val="10"/>
          <w:rtl/>
          <w:lang w:bidi="ar-EG"/>
        </w:rPr>
      </w:pPr>
    </w:p>
    <w:p w:rsidR="00971AE2" w:rsidRDefault="00971AE2" w:rsidP="00A343DF">
      <w:pPr>
        <w:pStyle w:val="SingleTxt"/>
        <w:rPr>
          <w:rFonts w:hint="cs"/>
          <w:b/>
          <w:bCs/>
          <w:rtl/>
          <w:lang w:bidi="ar-EG"/>
        </w:rPr>
      </w:pPr>
      <w:r>
        <w:rPr>
          <w:rFonts w:hint="cs"/>
          <w:b/>
          <w:bCs/>
          <w:rtl/>
          <w:lang w:bidi="ar-EG"/>
        </w:rPr>
        <w:t>2-9</w:t>
      </w:r>
      <w:r>
        <w:rPr>
          <w:rFonts w:hint="cs"/>
          <w:b/>
          <w:bCs/>
          <w:rtl/>
          <w:lang w:bidi="ar-EG"/>
        </w:rPr>
        <w:tab/>
        <w:t>المادة 9</w:t>
      </w:r>
    </w:p>
    <w:p w:rsidR="00971AE2" w:rsidRDefault="00971AE2" w:rsidP="00A343DF">
      <w:pPr>
        <w:pStyle w:val="SingleTxt"/>
        <w:rPr>
          <w:rFonts w:hint="cs"/>
          <w:b/>
          <w:bCs/>
          <w:rtl/>
          <w:lang w:bidi="ar-EG"/>
        </w:rPr>
      </w:pPr>
      <w:r>
        <w:rPr>
          <w:rFonts w:hint="cs"/>
          <w:b/>
          <w:bCs/>
          <w:rtl/>
          <w:lang w:bidi="ar-EG"/>
        </w:rPr>
        <w:t>الجنسية</w:t>
      </w:r>
    </w:p>
    <w:p w:rsidR="00971AE2" w:rsidRDefault="00971AE2" w:rsidP="00A343DF">
      <w:pPr>
        <w:pStyle w:val="SingleTxt"/>
        <w:rPr>
          <w:rFonts w:hint="cs"/>
          <w:b/>
          <w:bCs/>
          <w:rtl/>
          <w:lang w:bidi="ar-EG"/>
        </w:rPr>
      </w:pPr>
      <w:r>
        <w:rPr>
          <w:rFonts w:hint="cs"/>
          <w:b/>
          <w:bCs/>
          <w:rtl/>
          <w:lang w:bidi="ar-EG"/>
        </w:rPr>
        <w:t>المنجزات التشريعية</w:t>
      </w:r>
    </w:p>
    <w:p w:rsidR="00971AE2" w:rsidRDefault="00971AE2" w:rsidP="00A343DF">
      <w:pPr>
        <w:pStyle w:val="SingleTxt"/>
        <w:rPr>
          <w:rFonts w:hint="cs"/>
          <w:rtl/>
          <w:lang w:bidi="ar-EG"/>
        </w:rPr>
      </w:pPr>
      <w:r>
        <w:rPr>
          <w:rFonts w:hint="cs"/>
          <w:b/>
          <w:bCs/>
          <w:rtl/>
          <w:lang w:bidi="ar-EG"/>
        </w:rPr>
        <w:t>المادة 96 من الدستور الوطني المعدلة بالقانون التشريعي رقم 1 لسنة 2002، المادة 1</w:t>
      </w:r>
      <w:r>
        <w:rPr>
          <w:rFonts w:hint="cs"/>
          <w:rtl/>
          <w:lang w:bidi="ar-EG"/>
        </w:rPr>
        <w:t>: يعتبر مواطنا كولومبيا:</w:t>
      </w:r>
    </w:p>
    <w:p w:rsidR="00971AE2" w:rsidRDefault="00971AE2" w:rsidP="00A343DF">
      <w:pPr>
        <w:pStyle w:val="SingleTxt"/>
        <w:rPr>
          <w:rFonts w:hint="cs"/>
          <w:rtl/>
          <w:lang w:bidi="ar-EG"/>
        </w:rPr>
      </w:pPr>
      <w:r>
        <w:rPr>
          <w:rFonts w:hint="cs"/>
          <w:rtl/>
          <w:lang w:bidi="ar-EG"/>
        </w:rPr>
        <w:t>1 -</w:t>
      </w:r>
      <w:r>
        <w:rPr>
          <w:rFonts w:hint="cs"/>
          <w:rtl/>
          <w:lang w:bidi="ar-EG"/>
        </w:rPr>
        <w:tab/>
        <w:t>بالمولد:</w:t>
      </w:r>
    </w:p>
    <w:p w:rsidR="00971AE2" w:rsidRDefault="00971AE2" w:rsidP="00A343DF">
      <w:pPr>
        <w:pStyle w:val="SingleTxt"/>
        <w:rPr>
          <w:rFonts w:hint="cs"/>
          <w:rtl/>
          <w:lang w:bidi="ar-EG"/>
        </w:rPr>
      </w:pPr>
      <w:r>
        <w:rPr>
          <w:rFonts w:hint="cs"/>
          <w:rtl/>
          <w:lang w:bidi="ar-EG"/>
        </w:rPr>
        <w:tab/>
        <w:t>(أ)</w:t>
      </w:r>
      <w:r>
        <w:rPr>
          <w:rFonts w:hint="cs"/>
          <w:rtl/>
          <w:lang w:bidi="ar-EG"/>
        </w:rPr>
        <w:tab/>
        <w:t>المتجنس بالجنسية الكولومبية باحد شرطين هما أن يكون أحد الأبوين متجنسا بالجنسية الكولومبية أو مواطنا كولومبيا أو أن يكون أحد أبويه مقيما في الجمهورية في لحظة ولادة الإبن إذا كان الأبوان من نسل أجانب و؛</w:t>
      </w:r>
    </w:p>
    <w:p w:rsidR="00971AE2" w:rsidRDefault="00971AE2" w:rsidP="00A343DF">
      <w:pPr>
        <w:pStyle w:val="SingleTxt"/>
        <w:rPr>
          <w:rFonts w:hint="cs"/>
          <w:rtl/>
          <w:lang w:bidi="ar-EG"/>
        </w:rPr>
      </w:pPr>
      <w:r>
        <w:rPr>
          <w:rFonts w:hint="cs"/>
          <w:rtl/>
          <w:lang w:bidi="ar-EG"/>
        </w:rPr>
        <w:tab/>
        <w:t>(ب)</w:t>
      </w:r>
      <w:r>
        <w:rPr>
          <w:rFonts w:hint="cs"/>
          <w:rtl/>
          <w:lang w:bidi="ar-EG"/>
        </w:rPr>
        <w:tab/>
        <w:t>إبن الأب الكولومبي أو الأم الكولومبية اللذين وُلدا في الخارج ثم أقاما في الإقليم الكولومبي أو سجلا أنفسهما في مكتب قنصلي للجمهورية</w:t>
      </w:r>
      <w:r w:rsidR="003D7EB4">
        <w:rPr>
          <w:rFonts w:hint="cs"/>
          <w:rtl/>
          <w:lang w:bidi="ar-EG"/>
        </w:rPr>
        <w:t>،</w:t>
      </w:r>
    </w:p>
    <w:p w:rsidR="00A343DF" w:rsidRDefault="00A343DF" w:rsidP="00A343DF">
      <w:pPr>
        <w:pStyle w:val="SingleTxt"/>
        <w:rPr>
          <w:rFonts w:hint="cs"/>
          <w:rtl/>
          <w:lang w:bidi="ar-EG"/>
        </w:rPr>
      </w:pPr>
    </w:p>
    <w:p w:rsidR="00971AE2" w:rsidRDefault="00971AE2" w:rsidP="00A343DF">
      <w:pPr>
        <w:pStyle w:val="SingleTxt"/>
        <w:rPr>
          <w:rFonts w:hint="cs"/>
          <w:rtl/>
          <w:lang w:bidi="ar-EG"/>
        </w:rPr>
      </w:pPr>
      <w:r>
        <w:rPr>
          <w:rFonts w:hint="cs"/>
          <w:rtl/>
          <w:lang w:bidi="ar-EG"/>
        </w:rPr>
        <w:t>2 -</w:t>
      </w:r>
      <w:r>
        <w:rPr>
          <w:rFonts w:hint="cs"/>
          <w:rtl/>
          <w:lang w:bidi="ar-EG"/>
        </w:rPr>
        <w:tab/>
        <w:t>بالتبني:</w:t>
      </w:r>
    </w:p>
    <w:p w:rsidR="00971AE2" w:rsidRDefault="00971AE2" w:rsidP="00A343DF">
      <w:pPr>
        <w:pStyle w:val="SingleTxt"/>
        <w:rPr>
          <w:rFonts w:hint="cs"/>
          <w:rtl/>
          <w:lang w:bidi="ar-EG"/>
        </w:rPr>
      </w:pPr>
      <w:r>
        <w:rPr>
          <w:rFonts w:hint="cs"/>
          <w:rtl/>
          <w:lang w:bidi="ar-EG"/>
        </w:rPr>
        <w:tab/>
        <w:t>(أ)</w:t>
      </w:r>
      <w:r>
        <w:rPr>
          <w:rFonts w:hint="cs"/>
          <w:rtl/>
          <w:lang w:bidi="ar-EG"/>
        </w:rPr>
        <w:tab/>
        <w:t>الأجنبي الذي يطلب بطاقة تجنس ويحصل عليها، وفقا للقانون، ويثبت الظروف التي فقد فيها الجنسية الكولومبية بسبب التبني؛</w:t>
      </w:r>
    </w:p>
    <w:p w:rsidR="00971AE2" w:rsidRDefault="00971AE2" w:rsidP="00A343DF">
      <w:pPr>
        <w:pStyle w:val="SingleTxt"/>
        <w:rPr>
          <w:rFonts w:hint="cs"/>
          <w:rtl/>
          <w:lang w:bidi="ar-EG"/>
        </w:rPr>
      </w:pPr>
      <w:r>
        <w:rPr>
          <w:rFonts w:hint="cs"/>
          <w:rtl/>
          <w:lang w:bidi="ar-EG"/>
        </w:rPr>
        <w:tab/>
        <w:t>(ب)</w:t>
      </w:r>
      <w:r>
        <w:rPr>
          <w:rFonts w:hint="cs"/>
          <w:rtl/>
          <w:lang w:bidi="ar-EG"/>
        </w:rPr>
        <w:tab/>
        <w:t>الأمريكي اللاتيني والكاريبي بالمولد المقيم في كولومبيا، الذي يطلب، بإذن من الحكومة ووفقا للقانون ومبدأ المعاملة بالمثل، أن يسجل باعتباره كولومبيا في البلدية التي يستقر فيها و؛</w:t>
      </w:r>
    </w:p>
    <w:p w:rsidR="00971AE2" w:rsidRDefault="00971AE2" w:rsidP="00A343DF">
      <w:pPr>
        <w:pStyle w:val="SingleTxt"/>
        <w:rPr>
          <w:rFonts w:hint="cs"/>
          <w:rtl/>
          <w:lang w:bidi="ar-EG"/>
        </w:rPr>
      </w:pPr>
      <w:r>
        <w:rPr>
          <w:rFonts w:hint="cs"/>
          <w:rtl/>
          <w:lang w:bidi="ar-EG"/>
        </w:rPr>
        <w:tab/>
        <w:t>(ج)</w:t>
      </w:r>
      <w:r>
        <w:rPr>
          <w:rFonts w:hint="cs"/>
          <w:rtl/>
          <w:lang w:bidi="ar-EG"/>
        </w:rPr>
        <w:tab/>
        <w:t>الفرد المنتمي إلى شعب من الشعوب الأصلية المشتركة في الأراضي الحدودية، مع تطبيق مبدأ المعاملة بالمثل وفقا للمعاهدات الحكومية</w:t>
      </w:r>
      <w:r w:rsidR="003D7EB4">
        <w:rPr>
          <w:rFonts w:hint="cs"/>
          <w:rtl/>
          <w:lang w:bidi="ar-EG"/>
        </w:rPr>
        <w:t>،</w:t>
      </w:r>
    </w:p>
    <w:p w:rsidR="00971AE2" w:rsidRDefault="00971AE2" w:rsidP="00A343DF">
      <w:pPr>
        <w:pStyle w:val="SingleTxt"/>
        <w:rPr>
          <w:rFonts w:hint="cs"/>
          <w:rtl/>
          <w:lang w:bidi="ar-EG"/>
        </w:rPr>
      </w:pPr>
      <w:r>
        <w:rPr>
          <w:rFonts w:hint="cs"/>
          <w:rtl/>
          <w:lang w:bidi="ar-EG"/>
        </w:rPr>
        <w:tab/>
        <w:t>لا يجوز حرمان أي كولومبي بالمولد من جنسيته</w:t>
      </w:r>
      <w:r w:rsidR="003D7EB4">
        <w:rPr>
          <w:rFonts w:hint="cs"/>
          <w:rtl/>
          <w:lang w:bidi="ar-EG"/>
        </w:rPr>
        <w:t>،</w:t>
      </w:r>
      <w:r>
        <w:rPr>
          <w:rFonts w:hint="cs"/>
          <w:rtl/>
          <w:lang w:bidi="ar-EG"/>
        </w:rPr>
        <w:t xml:space="preserve"> ولا يمكن فقدان صفة المواطنة الكولومبية باكتساب جنسية أخرى</w:t>
      </w:r>
      <w:r w:rsidR="003D7EB4">
        <w:rPr>
          <w:rFonts w:hint="cs"/>
          <w:rtl/>
          <w:lang w:bidi="ar-EG"/>
        </w:rPr>
        <w:t>،</w:t>
      </w:r>
      <w:r>
        <w:rPr>
          <w:rFonts w:hint="cs"/>
          <w:rtl/>
          <w:lang w:bidi="ar-EG"/>
        </w:rPr>
        <w:t xml:space="preserve"> ولا يرغم المواطنون بالتبني على التنازل عن جنسيتهم الأصلية أو عن الجنسية التي اكتسبوها بالتجنس</w:t>
      </w:r>
      <w:r w:rsidR="003D7EB4">
        <w:rPr>
          <w:rFonts w:hint="cs"/>
          <w:rtl/>
          <w:lang w:bidi="ar-EG"/>
        </w:rPr>
        <w:t>،</w:t>
      </w:r>
    </w:p>
    <w:p w:rsidR="00971AE2" w:rsidRDefault="00971AE2" w:rsidP="00A343DF">
      <w:pPr>
        <w:pStyle w:val="SingleTxt"/>
        <w:rPr>
          <w:rFonts w:hint="cs"/>
          <w:rtl/>
          <w:lang w:bidi="ar-EG"/>
        </w:rPr>
      </w:pPr>
      <w:r>
        <w:rPr>
          <w:rFonts w:hint="cs"/>
          <w:rtl/>
          <w:lang w:bidi="ar-EG"/>
        </w:rPr>
        <w:tab/>
        <w:t>ويستطيع الأشخاص الذين تخلوا عن الجنسية الكولومبية استعادتها وفقا للقانون</w:t>
      </w:r>
      <w:r w:rsidR="003D7EB4">
        <w:rPr>
          <w:rFonts w:hint="cs"/>
          <w:rtl/>
          <w:lang w:bidi="ar-EG"/>
        </w:rPr>
        <w:t>،</w:t>
      </w:r>
    </w:p>
    <w:p w:rsidR="00971AE2" w:rsidRDefault="00971AE2" w:rsidP="00A343DF">
      <w:pPr>
        <w:pStyle w:val="SingleTxt"/>
        <w:rPr>
          <w:rFonts w:hint="cs"/>
          <w:rtl/>
          <w:lang w:bidi="ar-EG"/>
        </w:rPr>
      </w:pPr>
      <w:r>
        <w:rPr>
          <w:rFonts w:hint="cs"/>
          <w:b/>
          <w:bCs/>
          <w:rtl/>
          <w:lang w:bidi="ar-EG"/>
        </w:rPr>
        <w:t>القانون رقم 43 لسنة 1993</w:t>
      </w:r>
      <w:r>
        <w:rPr>
          <w:rFonts w:hint="cs"/>
          <w:rtl/>
          <w:lang w:bidi="ar-EG"/>
        </w:rPr>
        <w:t>: ينظم اكتساب الجنسية الكولومبية والتخلي عنها وفقدانها واستعادتها</w:t>
      </w:r>
      <w:r w:rsidR="003D7EB4">
        <w:rPr>
          <w:rFonts w:hint="cs"/>
          <w:rtl/>
          <w:lang w:bidi="ar-EG"/>
        </w:rPr>
        <w:t>،</w:t>
      </w:r>
    </w:p>
    <w:p w:rsidR="00971AE2" w:rsidRDefault="00971AE2" w:rsidP="00A343DF">
      <w:pPr>
        <w:pStyle w:val="SingleTxt"/>
        <w:rPr>
          <w:rFonts w:hint="cs"/>
          <w:rtl/>
          <w:lang w:bidi="ar-EG"/>
        </w:rPr>
      </w:pPr>
      <w:r>
        <w:rPr>
          <w:rFonts w:hint="cs"/>
          <w:b/>
          <w:bCs/>
          <w:rtl/>
          <w:lang w:bidi="ar-EG"/>
        </w:rPr>
        <w:t>المرسوم رقم 207 لسنة 1993</w:t>
      </w:r>
      <w:r>
        <w:rPr>
          <w:rFonts w:hint="cs"/>
          <w:rtl/>
          <w:lang w:bidi="ar-EG"/>
        </w:rPr>
        <w:t>: استعادة الجنسية الكولومبية</w:t>
      </w:r>
      <w:r w:rsidR="003D7EB4">
        <w:rPr>
          <w:rFonts w:hint="cs"/>
          <w:rtl/>
          <w:lang w:bidi="ar-EG"/>
        </w:rPr>
        <w:t>،</w:t>
      </w:r>
    </w:p>
    <w:p w:rsidR="00971AE2" w:rsidRDefault="00A343DF" w:rsidP="00A343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2-10</w:t>
      </w:r>
      <w:r w:rsidR="00971AE2">
        <w:rPr>
          <w:rFonts w:hint="cs"/>
          <w:rtl/>
          <w:lang w:bidi="ar-EG"/>
        </w:rPr>
        <w:tab/>
        <w:t>المادة 10</w:t>
      </w:r>
    </w:p>
    <w:p w:rsidR="00A343DF" w:rsidRPr="00A343DF" w:rsidRDefault="00A343DF" w:rsidP="00A343DF">
      <w:pPr>
        <w:pStyle w:val="SingleTxt"/>
        <w:spacing w:after="0" w:line="120" w:lineRule="exact"/>
        <w:rPr>
          <w:rFonts w:hint="cs"/>
          <w:sz w:val="10"/>
          <w:rtl/>
          <w:lang w:bidi="ar-EG"/>
        </w:rPr>
      </w:pPr>
    </w:p>
    <w:p w:rsidR="00971AE2" w:rsidRDefault="00971AE2" w:rsidP="00A343DF">
      <w:pPr>
        <w:pStyle w:val="SingleTxt"/>
        <w:rPr>
          <w:rFonts w:hint="cs"/>
          <w:b/>
          <w:bCs/>
          <w:rtl/>
          <w:lang w:bidi="ar-EG"/>
        </w:rPr>
      </w:pPr>
      <w:r>
        <w:rPr>
          <w:rFonts w:hint="cs"/>
          <w:b/>
          <w:bCs/>
          <w:rtl/>
          <w:lang w:bidi="ar-EG"/>
        </w:rPr>
        <w:t>التعليم</w:t>
      </w:r>
    </w:p>
    <w:p w:rsidR="00A343DF" w:rsidRPr="00A343DF" w:rsidRDefault="00A343DF" w:rsidP="00A343DF">
      <w:pPr>
        <w:pStyle w:val="SingleTxt"/>
        <w:spacing w:after="0" w:line="120" w:lineRule="exact"/>
        <w:rPr>
          <w:rFonts w:hint="cs"/>
          <w:b/>
          <w:bCs/>
          <w:sz w:val="10"/>
          <w:u w:val="single"/>
          <w:rtl/>
          <w:lang w:bidi="ar-EG"/>
        </w:rPr>
      </w:pPr>
    </w:p>
    <w:p w:rsidR="00971AE2" w:rsidRDefault="00971AE2" w:rsidP="00A343DF">
      <w:pPr>
        <w:pStyle w:val="SingleTxt"/>
        <w:rPr>
          <w:rFonts w:hint="cs"/>
          <w:b/>
          <w:bCs/>
          <w:rtl/>
          <w:lang w:bidi="ar-EG"/>
        </w:rPr>
      </w:pPr>
      <w:r>
        <w:rPr>
          <w:rFonts w:hint="cs"/>
          <w:b/>
          <w:bCs/>
          <w:u w:val="single"/>
          <w:rtl/>
          <w:lang w:bidi="ar-EG"/>
        </w:rPr>
        <w:t>التوصية الخاصة رقم 14: تدابير وبرامج التقييم لتلافي التسرب من المدرسة وتعزيز التقييم الحرفي على قدم المساواة</w:t>
      </w:r>
    </w:p>
    <w:p w:rsidR="00A343DF" w:rsidRPr="00A343DF" w:rsidRDefault="00A343DF" w:rsidP="00A343DF">
      <w:pPr>
        <w:pStyle w:val="SingleTxt"/>
        <w:spacing w:after="0" w:line="120" w:lineRule="exact"/>
        <w:rPr>
          <w:rFonts w:hint="cs"/>
          <w:b/>
          <w:bCs/>
          <w:sz w:val="10"/>
          <w:u w:val="single"/>
          <w:rtl/>
          <w:lang w:bidi="ar-EG"/>
        </w:rPr>
      </w:pPr>
    </w:p>
    <w:p w:rsidR="00971AE2" w:rsidRDefault="00971AE2" w:rsidP="00A343DF">
      <w:pPr>
        <w:pStyle w:val="SingleTxt"/>
        <w:rPr>
          <w:rFonts w:hint="cs"/>
          <w:b/>
          <w:bCs/>
          <w:rtl/>
          <w:lang w:bidi="ar-EG"/>
        </w:rPr>
      </w:pPr>
      <w:r>
        <w:rPr>
          <w:rFonts w:hint="cs"/>
          <w:b/>
          <w:bCs/>
          <w:u w:val="single"/>
          <w:rtl/>
          <w:lang w:bidi="ar-EG"/>
        </w:rPr>
        <w:t>المنجزات التشريعية</w:t>
      </w:r>
      <w:r>
        <w:rPr>
          <w:rFonts w:hint="cs"/>
          <w:b/>
          <w:bCs/>
          <w:rtl/>
          <w:lang w:bidi="ar-EG"/>
        </w:rPr>
        <w:t>:</w:t>
      </w:r>
    </w:p>
    <w:p w:rsidR="00971AE2" w:rsidRDefault="00971AE2" w:rsidP="00A343DF">
      <w:pPr>
        <w:pStyle w:val="SingleTxt"/>
        <w:spacing w:after="0" w:line="120" w:lineRule="exact"/>
        <w:rPr>
          <w:rFonts w:hint="cs"/>
          <w:b/>
          <w:b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971AE2" w:rsidRPr="00DE00DB">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971AE2" w:rsidRPr="00DE00DB"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DE00DB">
              <w:rPr>
                <w:rFonts w:hint="cs"/>
                <w:i/>
                <w:iCs/>
                <w:sz w:val="24"/>
                <w:szCs w:val="24"/>
                <w:rtl/>
                <w:lang w:bidi="ar-EG"/>
              </w:rPr>
              <w:t>القاعدة</w:t>
            </w:r>
          </w:p>
        </w:tc>
        <w:tc>
          <w:tcPr>
            <w:tcW w:w="4917" w:type="dxa"/>
            <w:tcBorders>
              <w:top w:val="single" w:sz="4" w:space="0" w:color="auto"/>
              <w:bottom w:val="single" w:sz="12" w:space="0" w:color="auto"/>
            </w:tcBorders>
            <w:vAlign w:val="bottom"/>
          </w:tcPr>
          <w:p w:rsidR="00971AE2" w:rsidRPr="00DE00D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DE00DB">
              <w:rPr>
                <w:rFonts w:hint="cs"/>
                <w:i/>
                <w:iCs/>
                <w:sz w:val="24"/>
                <w:szCs w:val="24"/>
                <w:rtl/>
                <w:lang w:bidi="ar-EG"/>
              </w:rPr>
              <w:t>الموضوع</w:t>
            </w:r>
          </w:p>
        </w:tc>
      </w:tr>
      <w:tr w:rsidR="00971AE2" w:rsidRPr="00DE00DB">
        <w:tblPrEx>
          <w:tblCellMar>
            <w:top w:w="0" w:type="dxa"/>
            <w:bottom w:w="0" w:type="dxa"/>
          </w:tblCellMar>
        </w:tblPrEx>
        <w:trPr>
          <w:cantSplit/>
          <w:trHeight w:hRule="exact" w:val="115"/>
          <w:tblHeader/>
        </w:trPr>
        <w:tc>
          <w:tcPr>
            <w:tcW w:w="2403" w:type="dxa"/>
            <w:tcBorders>
              <w:top w:val="single" w:sz="12" w:space="0" w:color="auto"/>
            </w:tcBorders>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4917" w:type="dxa"/>
            <w:tcBorders>
              <w:top w:val="single" w:sz="12" w:space="0" w:color="auto"/>
            </w:tcBorders>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DE00DB">
        <w:tblPrEx>
          <w:tblCellMar>
            <w:top w:w="0" w:type="dxa"/>
            <w:bottom w:w="0" w:type="dxa"/>
          </w:tblCellMar>
        </w:tblPrEx>
        <w:trPr>
          <w:cantSplit/>
        </w:trPr>
        <w:tc>
          <w:tcPr>
            <w:tcW w:w="2403" w:type="dxa"/>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DE00DB">
              <w:rPr>
                <w:rFonts w:hint="cs"/>
                <w:sz w:val="24"/>
                <w:szCs w:val="24"/>
                <w:rtl/>
                <w:lang w:bidi="ar-EG"/>
              </w:rPr>
              <w:t>القانون رقم 82 لسنة 1993</w:t>
            </w:r>
          </w:p>
        </w:tc>
        <w:tc>
          <w:tcPr>
            <w:tcW w:w="4917" w:type="dxa"/>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DE00DB">
              <w:rPr>
                <w:rFonts w:hint="cs"/>
                <w:sz w:val="24"/>
                <w:szCs w:val="24"/>
                <w:rtl/>
                <w:lang w:bidi="ar-EG"/>
              </w:rPr>
              <w:t>أحكام تفيد رئيسات الأسر وأبناءهم في مجال التعليم</w:t>
            </w:r>
            <w:r w:rsidRPr="00DE00DB">
              <w:rPr>
                <w:rFonts w:hint="cs"/>
                <w:sz w:val="24"/>
                <w:szCs w:val="24"/>
                <w:vertAlign w:val="superscript"/>
                <w:rtl/>
                <w:lang w:bidi="ar-EG"/>
              </w:rPr>
              <w:t>(68)</w:t>
            </w:r>
            <w:r w:rsidR="003D7EB4">
              <w:rPr>
                <w:rFonts w:hint="cs"/>
                <w:sz w:val="24"/>
                <w:szCs w:val="24"/>
                <w:rtl/>
                <w:lang w:bidi="ar-EG"/>
              </w:rPr>
              <w:t>،</w:t>
            </w:r>
          </w:p>
        </w:tc>
      </w:tr>
      <w:tr w:rsidR="00971AE2" w:rsidRPr="00DE00DB">
        <w:tblPrEx>
          <w:tblCellMar>
            <w:top w:w="0" w:type="dxa"/>
            <w:bottom w:w="0" w:type="dxa"/>
          </w:tblCellMar>
        </w:tblPrEx>
        <w:trPr>
          <w:cantSplit/>
        </w:trPr>
        <w:tc>
          <w:tcPr>
            <w:tcW w:w="2403" w:type="dxa"/>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DE00DB">
              <w:rPr>
                <w:rFonts w:hint="cs"/>
                <w:sz w:val="24"/>
                <w:szCs w:val="24"/>
                <w:rtl/>
                <w:lang w:bidi="ar-EG"/>
              </w:rPr>
              <w:t>القانون رقم 115 لسنة 1994</w:t>
            </w:r>
          </w:p>
        </w:tc>
        <w:tc>
          <w:tcPr>
            <w:tcW w:w="4917" w:type="dxa"/>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DE00DB">
              <w:rPr>
                <w:rFonts w:hint="cs"/>
                <w:sz w:val="24"/>
                <w:szCs w:val="24"/>
                <w:rtl/>
                <w:lang w:bidi="ar-EG"/>
              </w:rPr>
              <w:t>القانون العام للتعليم</w:t>
            </w:r>
            <w:r w:rsidR="003D7EB4">
              <w:rPr>
                <w:rFonts w:hint="cs"/>
                <w:sz w:val="24"/>
                <w:szCs w:val="24"/>
                <w:rtl/>
                <w:lang w:bidi="ar-EG"/>
              </w:rPr>
              <w:t>،</w:t>
            </w:r>
            <w:r w:rsidRPr="00DE00DB">
              <w:rPr>
                <w:rFonts w:hint="cs"/>
                <w:sz w:val="24"/>
                <w:szCs w:val="24"/>
                <w:rtl/>
                <w:lang w:bidi="ar-EG"/>
              </w:rPr>
              <w:t xml:space="preserve"> من أجل تحسين نوعية التعليم وزيادة وصول الأطفال والشباب إلى النظام التعليمي وبقائهم فيه</w:t>
            </w:r>
            <w:r w:rsidRPr="00DE00DB">
              <w:rPr>
                <w:rFonts w:hint="cs"/>
                <w:sz w:val="24"/>
                <w:szCs w:val="24"/>
                <w:vertAlign w:val="superscript"/>
                <w:rtl/>
                <w:lang w:bidi="ar-EG"/>
              </w:rPr>
              <w:t>(69)</w:t>
            </w:r>
            <w:r w:rsidR="003D7EB4">
              <w:rPr>
                <w:rFonts w:hint="cs"/>
                <w:sz w:val="24"/>
                <w:szCs w:val="24"/>
                <w:rtl/>
                <w:lang w:bidi="ar-EG"/>
              </w:rPr>
              <w:t>،</w:t>
            </w:r>
          </w:p>
        </w:tc>
      </w:tr>
      <w:tr w:rsidR="00971AE2" w:rsidRPr="00DE00DB">
        <w:tblPrEx>
          <w:tblCellMar>
            <w:top w:w="0" w:type="dxa"/>
            <w:bottom w:w="0" w:type="dxa"/>
          </w:tblCellMar>
        </w:tblPrEx>
        <w:trPr>
          <w:cantSplit/>
        </w:trPr>
        <w:tc>
          <w:tcPr>
            <w:tcW w:w="2403" w:type="dxa"/>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DE00DB">
              <w:rPr>
                <w:rFonts w:hint="cs"/>
                <w:sz w:val="24"/>
                <w:szCs w:val="24"/>
                <w:rtl/>
                <w:lang w:bidi="ar-EG"/>
              </w:rPr>
              <w:t>القانون رقم 715 لسنة 2001</w:t>
            </w:r>
          </w:p>
        </w:tc>
        <w:tc>
          <w:tcPr>
            <w:tcW w:w="4917" w:type="dxa"/>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DE00DB">
              <w:rPr>
                <w:rFonts w:hint="cs"/>
                <w:sz w:val="24"/>
                <w:szCs w:val="24"/>
                <w:rtl/>
                <w:lang w:bidi="ar-EG"/>
              </w:rPr>
              <w:t>الذي سُنت من أجله قواعد وضعية في مجال الموارد والاختصاصات، وفقا للقانون التشريعي رقم 1 لسنة 2001</w:t>
            </w:r>
            <w:r w:rsidR="003D7EB4">
              <w:rPr>
                <w:rFonts w:hint="cs"/>
                <w:sz w:val="24"/>
                <w:szCs w:val="24"/>
                <w:rtl/>
                <w:lang w:bidi="ar-EG"/>
              </w:rPr>
              <w:t>،</w:t>
            </w:r>
          </w:p>
        </w:tc>
      </w:tr>
      <w:tr w:rsidR="00971AE2" w:rsidRPr="00DE00DB">
        <w:tblPrEx>
          <w:tblCellMar>
            <w:top w:w="0" w:type="dxa"/>
            <w:bottom w:w="0" w:type="dxa"/>
          </w:tblCellMar>
        </w:tblPrEx>
        <w:trPr>
          <w:cantSplit/>
        </w:trPr>
        <w:tc>
          <w:tcPr>
            <w:tcW w:w="2403" w:type="dxa"/>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DE00DB">
              <w:rPr>
                <w:rFonts w:hint="cs"/>
                <w:sz w:val="24"/>
                <w:szCs w:val="24"/>
                <w:rtl/>
                <w:lang w:bidi="ar-EG"/>
              </w:rPr>
              <w:t>القانون رقم 823 لسنة 2003</w:t>
            </w:r>
          </w:p>
        </w:tc>
        <w:tc>
          <w:tcPr>
            <w:tcW w:w="4917" w:type="dxa"/>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DE00DB">
              <w:rPr>
                <w:rFonts w:hint="cs"/>
                <w:sz w:val="24"/>
                <w:szCs w:val="24"/>
                <w:rtl/>
                <w:lang w:bidi="ar-EG"/>
              </w:rPr>
              <w:t>يتضمن أحكاما تفيد النساء في مجال التعليم</w:t>
            </w:r>
            <w:r w:rsidRPr="00DE00DB">
              <w:rPr>
                <w:rFonts w:hint="cs"/>
                <w:sz w:val="24"/>
                <w:szCs w:val="24"/>
                <w:vertAlign w:val="superscript"/>
                <w:rtl/>
                <w:lang w:bidi="ar-EG"/>
              </w:rPr>
              <w:t>(70)</w:t>
            </w:r>
            <w:r w:rsidR="003D7EB4">
              <w:rPr>
                <w:rFonts w:hint="cs"/>
                <w:sz w:val="24"/>
                <w:szCs w:val="24"/>
                <w:rtl/>
                <w:lang w:bidi="ar-EG"/>
              </w:rPr>
              <w:t>،</w:t>
            </w:r>
          </w:p>
        </w:tc>
      </w:tr>
      <w:tr w:rsidR="00971AE2" w:rsidRPr="00DE00DB">
        <w:tblPrEx>
          <w:tblCellMar>
            <w:top w:w="0" w:type="dxa"/>
            <w:bottom w:w="0" w:type="dxa"/>
          </w:tblCellMar>
        </w:tblPrEx>
        <w:trPr>
          <w:cantSplit/>
        </w:trPr>
        <w:tc>
          <w:tcPr>
            <w:tcW w:w="2403" w:type="dxa"/>
            <w:tcBorders>
              <w:bottom w:val="single" w:sz="12" w:space="0" w:color="auto"/>
            </w:tcBorders>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DE00DB">
              <w:rPr>
                <w:rFonts w:hint="cs"/>
                <w:sz w:val="24"/>
                <w:szCs w:val="24"/>
                <w:rtl/>
                <w:lang w:bidi="ar-EG"/>
              </w:rPr>
              <w:t>القانون رقم 812 لسنة 2003</w:t>
            </w:r>
          </w:p>
        </w:tc>
        <w:tc>
          <w:tcPr>
            <w:tcW w:w="4917" w:type="dxa"/>
            <w:tcBorders>
              <w:bottom w:val="single" w:sz="12" w:space="0" w:color="auto"/>
            </w:tcBorders>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DE00DB">
              <w:rPr>
                <w:rFonts w:hint="cs"/>
                <w:sz w:val="24"/>
                <w:szCs w:val="24"/>
                <w:rtl/>
                <w:lang w:bidi="ar-EG"/>
              </w:rPr>
              <w:t>تعتبر الخطة الإنمائية الوطنية الثورة التعليمية (زيادة التغطية وتحسين النوعية إلخ) أداة من أدوات تحقيق المساواة</w:t>
            </w:r>
            <w:r w:rsidR="003D7EB4">
              <w:rPr>
                <w:rFonts w:hint="cs"/>
                <w:sz w:val="24"/>
                <w:szCs w:val="24"/>
                <w:rtl/>
                <w:lang w:bidi="ar-EG"/>
              </w:rPr>
              <w:t>،</w:t>
            </w:r>
          </w:p>
        </w:tc>
      </w:tr>
    </w:tbl>
    <w:p w:rsidR="00971AE2" w:rsidRDefault="00971AE2" w:rsidP="00A343DF">
      <w:pPr>
        <w:pStyle w:val="SingleTxt"/>
        <w:spacing w:after="0" w:line="120" w:lineRule="exact"/>
        <w:rPr>
          <w:b/>
          <w:bCs/>
          <w:sz w:val="10"/>
          <w:rtl/>
          <w:lang w:bidi="ar-EG"/>
        </w:rPr>
      </w:pPr>
    </w:p>
    <w:p w:rsidR="00971AE2" w:rsidRDefault="00971AE2" w:rsidP="00A343DF">
      <w:pPr>
        <w:pStyle w:val="SingleTxt"/>
        <w:rPr>
          <w:rFonts w:hint="cs"/>
          <w:b/>
          <w:bCs/>
          <w:rtl/>
          <w:lang w:bidi="ar-EG"/>
        </w:rPr>
      </w:pPr>
      <w:r>
        <w:rPr>
          <w:rFonts w:hint="cs"/>
          <w:b/>
          <w:bCs/>
          <w:u w:val="single"/>
          <w:rtl/>
          <w:lang w:bidi="ar-EG"/>
        </w:rPr>
        <w:t>المنجزات القضائية</w:t>
      </w:r>
      <w:r>
        <w:rPr>
          <w:rFonts w:hint="cs"/>
          <w:b/>
          <w:bCs/>
          <w:rtl/>
          <w:lang w:bidi="ar-EG"/>
        </w:rPr>
        <w:t>:</w:t>
      </w:r>
    </w:p>
    <w:p w:rsidR="00971AE2" w:rsidRDefault="00971AE2" w:rsidP="00A343DF">
      <w:pPr>
        <w:pStyle w:val="SingleTxt"/>
        <w:spacing w:after="0" w:line="120" w:lineRule="exact"/>
        <w:rPr>
          <w:rFonts w:hint="cs"/>
          <w:b/>
          <w:bCs/>
          <w:sz w:val="10"/>
          <w:rtl/>
          <w:lang w:bidi="ar-EG"/>
        </w:rPr>
      </w:pPr>
    </w:p>
    <w:p w:rsidR="00DE00DB" w:rsidRDefault="00DE00DB" w:rsidP="00A343DF">
      <w:pPr>
        <w:pStyle w:val="SingleTxt"/>
        <w:spacing w:after="0" w:line="120" w:lineRule="exact"/>
        <w:rPr>
          <w:rFonts w:hint="cs"/>
          <w:b/>
          <w:bCs/>
          <w:sz w:val="10"/>
          <w:rtl/>
          <w:lang w:bidi="ar-EG"/>
        </w:rPr>
      </w:pPr>
    </w:p>
    <w:tbl>
      <w:tblPr>
        <w:bidiVisual/>
        <w:tblW w:w="7320" w:type="dxa"/>
        <w:jc w:val="center"/>
        <w:tblLayout w:type="fixed"/>
        <w:tblCellMar>
          <w:left w:w="0" w:type="dxa"/>
          <w:right w:w="0" w:type="dxa"/>
        </w:tblCellMar>
        <w:tblLook w:val="0000" w:firstRow="0" w:lastRow="0" w:firstColumn="0" w:lastColumn="0" w:noHBand="0" w:noVBand="0"/>
      </w:tblPr>
      <w:tblGrid>
        <w:gridCol w:w="2609"/>
        <w:gridCol w:w="4711"/>
      </w:tblGrid>
      <w:tr w:rsidR="00971AE2" w:rsidRPr="00DE00DB">
        <w:tblPrEx>
          <w:tblCellMar>
            <w:top w:w="0" w:type="dxa"/>
            <w:bottom w:w="0" w:type="dxa"/>
          </w:tblCellMar>
        </w:tblPrEx>
        <w:trPr>
          <w:cantSplit/>
          <w:tblHeader/>
          <w:jc w:val="center"/>
        </w:trPr>
        <w:tc>
          <w:tcPr>
            <w:tcW w:w="2609" w:type="dxa"/>
            <w:tcBorders>
              <w:top w:val="single" w:sz="4" w:space="0" w:color="auto"/>
              <w:bottom w:val="single" w:sz="12" w:space="0" w:color="auto"/>
            </w:tcBorders>
            <w:vAlign w:val="bottom"/>
          </w:tcPr>
          <w:p w:rsidR="00971AE2" w:rsidRPr="00DE00DB"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lang w:bidi="ar-EG"/>
              </w:rPr>
            </w:pPr>
            <w:r w:rsidRPr="00DE00DB">
              <w:rPr>
                <w:rFonts w:hint="cs"/>
                <w:i/>
                <w:iCs/>
                <w:sz w:val="24"/>
                <w:szCs w:val="24"/>
                <w:rtl/>
                <w:lang w:bidi="ar-EG"/>
              </w:rPr>
              <w:t>الحكم</w:t>
            </w:r>
          </w:p>
        </w:tc>
        <w:tc>
          <w:tcPr>
            <w:tcW w:w="4711" w:type="dxa"/>
            <w:tcBorders>
              <w:top w:val="single" w:sz="4" w:space="0" w:color="auto"/>
              <w:bottom w:val="single" w:sz="12" w:space="0" w:color="auto"/>
            </w:tcBorders>
            <w:vAlign w:val="bottom"/>
          </w:tcPr>
          <w:p w:rsidR="00971AE2" w:rsidRPr="00DE00DB"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lang w:bidi="ar-EG"/>
              </w:rPr>
            </w:pPr>
            <w:r w:rsidRPr="00DE00DB">
              <w:rPr>
                <w:rFonts w:hint="cs"/>
                <w:i/>
                <w:iCs/>
                <w:sz w:val="24"/>
                <w:szCs w:val="24"/>
                <w:rtl/>
                <w:lang w:bidi="ar-EG"/>
              </w:rPr>
              <w:t>الموضوع</w:t>
            </w:r>
          </w:p>
        </w:tc>
      </w:tr>
      <w:tr w:rsidR="00971AE2" w:rsidRPr="00DE00DB">
        <w:tblPrEx>
          <w:tblCellMar>
            <w:top w:w="0" w:type="dxa"/>
            <w:bottom w:w="0" w:type="dxa"/>
          </w:tblCellMar>
        </w:tblPrEx>
        <w:trPr>
          <w:cantSplit/>
          <w:trHeight w:hRule="exact" w:val="115"/>
          <w:tblHeader/>
          <w:jc w:val="center"/>
        </w:trPr>
        <w:tc>
          <w:tcPr>
            <w:tcW w:w="2609" w:type="dxa"/>
            <w:tcBorders>
              <w:top w:val="single" w:sz="12" w:space="0" w:color="auto"/>
            </w:tcBorders>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p>
        </w:tc>
        <w:tc>
          <w:tcPr>
            <w:tcW w:w="4711" w:type="dxa"/>
            <w:tcBorders>
              <w:top w:val="single" w:sz="12" w:space="0" w:color="auto"/>
            </w:tcBorders>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p>
        </w:tc>
      </w:tr>
      <w:tr w:rsidR="00971AE2" w:rsidRPr="00DE00DB">
        <w:tblPrEx>
          <w:tblCellMar>
            <w:top w:w="0" w:type="dxa"/>
            <w:bottom w:w="0" w:type="dxa"/>
          </w:tblCellMar>
        </w:tblPrEx>
        <w:trPr>
          <w:cantSplit/>
          <w:jc w:val="center"/>
        </w:trPr>
        <w:tc>
          <w:tcPr>
            <w:tcW w:w="2609" w:type="dxa"/>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DE00DB">
              <w:rPr>
                <w:rFonts w:hint="cs"/>
                <w:sz w:val="24"/>
                <w:szCs w:val="24"/>
                <w:rtl/>
                <w:lang w:bidi="ar-EG"/>
              </w:rPr>
              <w:t>الحكم T - 580 لسنة 1998</w:t>
            </w:r>
          </w:p>
        </w:tc>
        <w:tc>
          <w:tcPr>
            <w:tcW w:w="4711" w:type="dxa"/>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DE00DB">
              <w:rPr>
                <w:rFonts w:hint="cs"/>
                <w:sz w:val="24"/>
                <w:szCs w:val="24"/>
                <w:rtl/>
                <w:lang w:bidi="ar-EG"/>
              </w:rPr>
              <w:t>إلغاء</w:t>
            </w:r>
            <w:r w:rsidRPr="00DE00DB">
              <w:rPr>
                <w:rFonts w:hint="cs"/>
                <w:color w:val="FF0000"/>
                <w:sz w:val="24"/>
                <w:szCs w:val="24"/>
                <w:rtl/>
                <w:lang w:bidi="ar-EG"/>
              </w:rPr>
              <w:t xml:space="preserve"> </w:t>
            </w:r>
            <w:r w:rsidRPr="00DE00DB">
              <w:rPr>
                <w:rFonts w:hint="cs"/>
                <w:sz w:val="24"/>
                <w:szCs w:val="24"/>
                <w:rtl/>
                <w:lang w:bidi="ar-EG"/>
              </w:rPr>
              <w:t>التسجيل بسبب الحمل تنفيذا لدليل التعايش في الجامعة: حمت</w:t>
            </w:r>
            <w:r w:rsidRPr="00DE00DB">
              <w:rPr>
                <w:rFonts w:hint="cs"/>
                <w:color w:val="FF0000"/>
                <w:sz w:val="24"/>
                <w:szCs w:val="24"/>
                <w:rtl/>
                <w:lang w:bidi="ar-EG"/>
              </w:rPr>
              <w:t xml:space="preserve"> </w:t>
            </w:r>
            <w:r w:rsidRPr="00DE00DB">
              <w:rPr>
                <w:rFonts w:hint="cs"/>
                <w:sz w:val="24"/>
                <w:szCs w:val="24"/>
                <w:rtl/>
                <w:lang w:bidi="ar-EG"/>
              </w:rPr>
              <w:t>المحكمة الحق في التعليم وحكمت بأنه لا يجوز عرقلة الدراسة بسبب الحمل</w:t>
            </w:r>
            <w:r w:rsidR="003D7EB4">
              <w:rPr>
                <w:rFonts w:hint="cs"/>
                <w:sz w:val="24"/>
                <w:szCs w:val="24"/>
                <w:rtl/>
                <w:lang w:bidi="ar-EG"/>
              </w:rPr>
              <w:t>،</w:t>
            </w:r>
          </w:p>
        </w:tc>
      </w:tr>
      <w:tr w:rsidR="00971AE2" w:rsidRPr="00DE00DB">
        <w:tblPrEx>
          <w:tblCellMar>
            <w:top w:w="0" w:type="dxa"/>
            <w:bottom w:w="0" w:type="dxa"/>
          </w:tblCellMar>
        </w:tblPrEx>
        <w:trPr>
          <w:cantSplit/>
          <w:jc w:val="center"/>
        </w:trPr>
        <w:tc>
          <w:tcPr>
            <w:tcW w:w="2609" w:type="dxa"/>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DE00DB">
              <w:rPr>
                <w:rFonts w:hint="cs"/>
                <w:sz w:val="24"/>
                <w:szCs w:val="24"/>
                <w:rtl/>
                <w:lang w:bidi="ar-EG"/>
              </w:rPr>
              <w:t>الحكم T - 12 لسنة 1999</w:t>
            </w:r>
          </w:p>
        </w:tc>
        <w:tc>
          <w:tcPr>
            <w:tcW w:w="4711" w:type="dxa"/>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DE00DB">
              <w:rPr>
                <w:rFonts w:hint="cs"/>
                <w:sz w:val="24"/>
                <w:szCs w:val="24"/>
                <w:rtl/>
                <w:lang w:bidi="ar-EG"/>
              </w:rPr>
              <w:t>إعادة تأكيد الأحكام المتعلقة بالتمييز ضد الطالبات بسبب الأمومة: الأمر بالامتناع عن العودة إلى استعمال دليل التعايش في الجامعة فيما يتعلق بالجزء الذي يحظر منح درجات للطلبات الحوامل</w:t>
            </w:r>
            <w:r w:rsidR="003D7EB4">
              <w:rPr>
                <w:rFonts w:hint="cs"/>
                <w:sz w:val="24"/>
                <w:szCs w:val="24"/>
                <w:rtl/>
                <w:lang w:bidi="ar-EG"/>
              </w:rPr>
              <w:t>،</w:t>
            </w:r>
          </w:p>
        </w:tc>
      </w:tr>
      <w:tr w:rsidR="00971AE2" w:rsidRPr="00DE00DB">
        <w:tblPrEx>
          <w:tblCellMar>
            <w:top w:w="0" w:type="dxa"/>
            <w:bottom w:w="0" w:type="dxa"/>
          </w:tblCellMar>
        </w:tblPrEx>
        <w:trPr>
          <w:cantSplit/>
          <w:jc w:val="center"/>
        </w:trPr>
        <w:tc>
          <w:tcPr>
            <w:tcW w:w="2609" w:type="dxa"/>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DE00DB">
              <w:rPr>
                <w:rFonts w:hint="cs"/>
                <w:sz w:val="24"/>
                <w:szCs w:val="24"/>
                <w:rtl/>
                <w:lang w:bidi="ar-EG"/>
              </w:rPr>
              <w:t>الحكم T - 789 لسنة 1999</w:t>
            </w:r>
          </w:p>
        </w:tc>
        <w:tc>
          <w:tcPr>
            <w:tcW w:w="4711" w:type="dxa"/>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DE00DB">
              <w:rPr>
                <w:rFonts w:hint="cs"/>
                <w:sz w:val="24"/>
                <w:szCs w:val="24"/>
                <w:rtl/>
                <w:lang w:bidi="ar-EG"/>
              </w:rPr>
              <w:t>الطالبة التي رفضت الجامعات الحكومية المدعى عليها تسجيلها هي أم  غير متزوجة وقاصر وجدت نفسها نتيجة لذلك في ظروف من الضعف الواضح؛ ولذا فإنه بدلا من حرمانها من الحصول على خدمة التعليم العام فإنه ينبغي ضمان وصولها وبقائها بصفة خاصة في النظام التعليمي، الأمر الذي يحقق التكافؤ في الفرص لصالح الأم القاصر وابنها</w:t>
            </w:r>
            <w:r w:rsidR="003D7EB4">
              <w:rPr>
                <w:rFonts w:hint="cs"/>
                <w:sz w:val="24"/>
                <w:szCs w:val="24"/>
                <w:rtl/>
                <w:lang w:bidi="ar-EG"/>
              </w:rPr>
              <w:t>،</w:t>
            </w:r>
          </w:p>
        </w:tc>
      </w:tr>
      <w:tr w:rsidR="00971AE2" w:rsidRPr="00DE00DB">
        <w:tblPrEx>
          <w:tblCellMar>
            <w:top w:w="0" w:type="dxa"/>
            <w:bottom w:w="0" w:type="dxa"/>
          </w:tblCellMar>
        </w:tblPrEx>
        <w:trPr>
          <w:cantSplit/>
          <w:jc w:val="center"/>
        </w:trPr>
        <w:tc>
          <w:tcPr>
            <w:tcW w:w="2609" w:type="dxa"/>
            <w:tcBorders>
              <w:bottom w:val="single" w:sz="12" w:space="0" w:color="auto"/>
            </w:tcBorders>
            <w:vAlign w:val="bottom"/>
          </w:tcPr>
          <w:p w:rsidR="00971AE2" w:rsidRPr="00DE00DB"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lang w:bidi="ar-EG"/>
              </w:rPr>
            </w:pPr>
            <w:r w:rsidRPr="00DE00DB">
              <w:rPr>
                <w:rFonts w:hint="cs"/>
                <w:sz w:val="24"/>
                <w:szCs w:val="24"/>
                <w:rtl/>
                <w:lang w:bidi="ar-EG"/>
              </w:rPr>
              <w:t>الحكم T - 1531 لسنة 2000</w:t>
            </w:r>
          </w:p>
        </w:tc>
        <w:tc>
          <w:tcPr>
            <w:tcW w:w="4711" w:type="dxa"/>
            <w:tcBorders>
              <w:bottom w:val="single" w:sz="12" w:space="0" w:color="auto"/>
            </w:tcBorders>
            <w:vAlign w:val="bottom"/>
          </w:tcPr>
          <w:p w:rsidR="00971AE2" w:rsidRPr="00DE00DB"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lang w:bidi="ar-EG"/>
              </w:rPr>
            </w:pPr>
            <w:r w:rsidRPr="00DE00DB">
              <w:rPr>
                <w:rFonts w:hint="cs"/>
                <w:sz w:val="24"/>
                <w:szCs w:val="24"/>
                <w:rtl/>
                <w:lang w:bidi="ar-EG"/>
              </w:rPr>
              <w:t>على الرغم من أن التعليم شبه النظامي المتاح للحاضنة لا ينطوي على الفقدان المطلق للحق في التعليم فإنه يفرض شرطا يميل إلى وصم الطالبة الحامل والتمييز بينها وبين سائر الطالبات: حماية الحق في التعليم وحريتها في تنمية نفسها</w:t>
            </w:r>
            <w:r w:rsidR="003D7EB4">
              <w:rPr>
                <w:rFonts w:hint="cs"/>
                <w:sz w:val="24"/>
                <w:szCs w:val="24"/>
                <w:rtl/>
                <w:lang w:bidi="ar-EG"/>
              </w:rPr>
              <w:t>،</w:t>
            </w:r>
          </w:p>
        </w:tc>
      </w:tr>
    </w:tbl>
    <w:p w:rsidR="00DE00DB" w:rsidRPr="00DE00DB" w:rsidRDefault="00DE00DB" w:rsidP="00A343DF">
      <w:pPr>
        <w:spacing w:line="120" w:lineRule="exact"/>
        <w:jc w:val="lowKashida"/>
        <w:rPr>
          <w:rFonts w:ascii="Traditional Arabic" w:hAnsi="Traditional Arabic" w:hint="cs"/>
          <w:sz w:val="10"/>
          <w:rtl/>
        </w:rPr>
      </w:pPr>
    </w:p>
    <w:p w:rsidR="00DE00DB" w:rsidRPr="00DE00DB" w:rsidRDefault="00DE00DB" w:rsidP="00A343DF">
      <w:pPr>
        <w:spacing w:line="120" w:lineRule="exact"/>
        <w:jc w:val="lowKashida"/>
        <w:rPr>
          <w:rFonts w:ascii="Traditional Arabic" w:hAnsi="Traditional Arabic" w:hint="cs"/>
          <w:sz w:val="10"/>
          <w:rtl/>
        </w:rPr>
      </w:pPr>
    </w:p>
    <w:p w:rsidR="00971AE2" w:rsidRDefault="00971AE2" w:rsidP="00A343DF">
      <w:pPr>
        <w:jc w:val="lowKashida"/>
        <w:rPr>
          <w:rFonts w:ascii="Traditional Arabic" w:hAnsi="Traditional Arabic" w:hint="cs"/>
          <w:b/>
          <w:bCs/>
          <w:sz w:val="32"/>
          <w:rtl/>
        </w:rPr>
      </w:pPr>
      <w:r>
        <w:rPr>
          <w:rFonts w:ascii="Traditional Arabic" w:hAnsi="Traditional Arabic" w:hint="cs"/>
          <w:sz w:val="32"/>
          <w:rtl/>
        </w:rPr>
        <w:tab/>
      </w:r>
      <w:r>
        <w:rPr>
          <w:rFonts w:ascii="Traditional Arabic" w:hAnsi="Traditional Arabic" w:hint="cs"/>
          <w:sz w:val="32"/>
          <w:rtl/>
        </w:rPr>
        <w:tab/>
      </w:r>
      <w:r>
        <w:rPr>
          <w:rFonts w:ascii="Traditional Arabic" w:hAnsi="Traditional Arabic" w:hint="cs"/>
          <w:b/>
          <w:bCs/>
          <w:sz w:val="32"/>
          <w:rtl/>
        </w:rPr>
        <w:t>المنجزات الإدارية</w:t>
      </w:r>
    </w:p>
    <w:p w:rsidR="00DE00DB" w:rsidRPr="00DE00DB" w:rsidRDefault="00DE00DB" w:rsidP="00A343DF">
      <w:pPr>
        <w:spacing w:line="120" w:lineRule="exact"/>
        <w:jc w:val="lowKashida"/>
        <w:rPr>
          <w:rFonts w:ascii="Traditional Arabic" w:hAnsi="Traditional Arabic" w:hint="cs"/>
          <w:b/>
          <w:bCs/>
          <w:sz w:val="10"/>
          <w:rtl/>
        </w:rPr>
      </w:pPr>
    </w:p>
    <w:p w:rsidR="00971AE2" w:rsidRDefault="00971AE2" w:rsidP="00A343DF">
      <w:pPr>
        <w:pStyle w:val="SingleTxt"/>
        <w:rPr>
          <w:rFonts w:hint="cs"/>
          <w:rtl/>
          <w:lang w:bidi="ar-EG"/>
        </w:rPr>
      </w:pPr>
      <w:r>
        <w:rPr>
          <w:rFonts w:hint="cs"/>
          <w:rtl/>
          <w:lang w:bidi="ar-EG"/>
        </w:rPr>
        <w:t>يتمثل أحد الأهداف الرئيسية للخطة العشرية للتعليم، 1996-2005</w:t>
      </w:r>
      <w:r>
        <w:rPr>
          <w:rFonts w:hint="cs"/>
          <w:vertAlign w:val="superscript"/>
          <w:rtl/>
          <w:lang w:bidi="ar-EG"/>
        </w:rPr>
        <w:t>(71)</w:t>
      </w:r>
      <w:r>
        <w:rPr>
          <w:rFonts w:hint="cs"/>
          <w:rtl/>
          <w:lang w:bidi="ar-EG"/>
        </w:rPr>
        <w:t xml:space="preserve"> في إتاحة التعليم الجيد النوعية في ظل المساواة</w:t>
      </w:r>
      <w:r>
        <w:rPr>
          <w:rFonts w:hint="cs"/>
          <w:vertAlign w:val="superscript"/>
          <w:rtl/>
          <w:lang w:bidi="ar-EG"/>
        </w:rPr>
        <w:t>(72)</w:t>
      </w:r>
      <w:r>
        <w:rPr>
          <w:rFonts w:hint="cs"/>
          <w:rtl/>
          <w:lang w:bidi="ar-EG"/>
        </w:rPr>
        <w:t>، الأمر الذي يعني توجيه المهمة التعليمية نحو التنمية المتكاملة للإنسان</w:t>
      </w:r>
      <w:r w:rsidR="003D7EB4">
        <w:rPr>
          <w:rFonts w:hint="cs"/>
          <w:rtl/>
          <w:lang w:bidi="ar-EG"/>
        </w:rPr>
        <w:t>،</w:t>
      </w:r>
      <w:r>
        <w:rPr>
          <w:rFonts w:hint="cs"/>
          <w:rtl/>
          <w:lang w:bidi="ar-EG"/>
        </w:rPr>
        <w:t xml:space="preserve"> وهي تشير في هذا الصدد إلى أنه من أجل تنفيذ استراتيجية ترمي إلى إزالة أشكال التمييز واللامساواة القائمة ومن أجل الوصول إلى النظام التعليمي والبقاء فيه يتعين ملء السياسات والبرامج والمشاريع التعليمية بالتأثير المختلف في الفتيات لأنه بهذه الطريقة تراعى حالة اللامساواة الناشئة عن الظروف الاجتماعية والثقافية ذاتها</w:t>
      </w:r>
      <w:r w:rsidR="003D7EB4">
        <w:rPr>
          <w:rFonts w:hint="cs"/>
          <w:rtl/>
          <w:lang w:bidi="ar-EG"/>
        </w:rPr>
        <w:t>،</w:t>
      </w:r>
      <w:r>
        <w:rPr>
          <w:rFonts w:hint="cs"/>
          <w:rtl/>
          <w:lang w:bidi="ar-EG"/>
        </w:rPr>
        <w:t xml:space="preserve"> وتحقيقا لهذه الغاية تنشأ ضرورة إزالة الصور النمطية المقولبة للرجال والنساء من النصوص المدرسية، وتصميم برامج تعليمية تعزز المساواة والتعاون والاحترام المتبادل وتقاسم المسؤولية بين الصبية والفتيات وتدريب المعلمين على التوجيه الجنساني وإتاحة برامج دعم حتى تتمكن الأمهات والراشدات من مواصلة تعليمهن</w:t>
      </w:r>
      <w:r w:rsidR="003D7EB4">
        <w:rPr>
          <w:rFonts w:hint="cs"/>
          <w:rtl/>
          <w:lang w:bidi="ar-EG"/>
        </w:rPr>
        <w:t>،</w:t>
      </w:r>
    </w:p>
    <w:p w:rsidR="00971AE2" w:rsidRDefault="00971AE2" w:rsidP="00A343DF">
      <w:pPr>
        <w:pStyle w:val="SingleTxt"/>
        <w:rPr>
          <w:rFonts w:hint="cs"/>
          <w:rtl/>
          <w:lang w:bidi="ar-EG"/>
        </w:rPr>
      </w:pPr>
      <w:r>
        <w:rPr>
          <w:rFonts w:hint="cs"/>
          <w:rtl/>
          <w:lang w:bidi="ar-EG"/>
        </w:rPr>
        <w:tab/>
        <w:t>ولخفض وعلاج التسرب من المدرسة سواء بين الذكور أو بين الإناث، نظرا لأن المستوى مرتفع بين الجنسين، أُنشئ برنامج تعميم التعليم الأولي وبرنامج التوسع في التعليم الإعدادي والثانوي والمدرسة الجديدة ونظام التلمذة الصناعية وبرنامج التعجيل بالتلمذة الصناعية من درجة الصفر، وأنشئ على المستوى المحلي برنامج التسوية من أجل امتياز بوغوتا</w:t>
      </w:r>
      <w:r w:rsidR="003D7EB4">
        <w:rPr>
          <w:rFonts w:hint="cs"/>
          <w:rtl/>
          <w:lang w:bidi="ar-EG"/>
        </w:rPr>
        <w:t>،</w:t>
      </w:r>
    </w:p>
    <w:p w:rsidR="00971AE2" w:rsidRDefault="00971AE2" w:rsidP="00A343DF">
      <w:pPr>
        <w:pStyle w:val="SingleTxt"/>
        <w:rPr>
          <w:rFonts w:hint="cs"/>
          <w:rtl/>
          <w:lang w:bidi="ar-EG"/>
        </w:rPr>
      </w:pPr>
      <w:r>
        <w:rPr>
          <w:rFonts w:hint="cs"/>
          <w:rtl/>
          <w:lang w:bidi="ar-EG"/>
        </w:rPr>
        <w:tab/>
        <w:t>وفي عهد الحكومة الحالية لم يحقق تنفيذ الثورة التعليمية في الفترة 2002-2003 تقديم 000 477 منحة مدرسية جديدة للتعليم الأساسي الإعدادي (49</w:t>
      </w:r>
      <w:r w:rsidR="00FC46DD">
        <w:rPr>
          <w:rFonts w:hint="cs"/>
          <w:rtl/>
          <w:lang w:bidi="ar-EG"/>
        </w:rPr>
        <w:t>.</w:t>
      </w:r>
      <w:r>
        <w:rPr>
          <w:rFonts w:hint="cs"/>
          <w:rtl/>
          <w:lang w:bidi="ar-EG"/>
        </w:rPr>
        <w:t>72 في المائة للإناث) فحسب بل أدى أيضا إلى خفض أعداد التسرب من المدرسة بين الإناث وزيادة العائد</w:t>
      </w:r>
      <w:r w:rsidR="003D7EB4">
        <w:rPr>
          <w:rFonts w:hint="cs"/>
          <w:rtl/>
          <w:lang w:bidi="ar-EG"/>
        </w:rPr>
        <w:t>،</w:t>
      </w:r>
    </w:p>
    <w:p w:rsidR="00971AE2" w:rsidRDefault="00971AE2" w:rsidP="00A343DF">
      <w:pPr>
        <w:pStyle w:val="SingleTxt"/>
        <w:rPr>
          <w:rFonts w:hint="cs"/>
          <w:rtl/>
          <w:lang w:bidi="ar-EG"/>
        </w:rPr>
      </w:pPr>
      <w:r>
        <w:rPr>
          <w:rFonts w:hint="cs"/>
          <w:rtl/>
          <w:lang w:bidi="ar-EG"/>
        </w:rPr>
        <w:tab/>
        <w:t>وعلى مستوى التعليم العالي حصلت الإناث في كانون الأول/ديسمبر 2003 على معظم (67</w:t>
      </w:r>
      <w:r w:rsidR="00FC46DD">
        <w:rPr>
          <w:rFonts w:hint="cs"/>
          <w:rtl/>
          <w:lang w:bidi="ar-EG"/>
        </w:rPr>
        <w:t>.</w:t>
      </w:r>
      <w:r>
        <w:rPr>
          <w:rFonts w:hint="cs"/>
          <w:rtl/>
          <w:lang w:bidi="ar-EG"/>
        </w:rPr>
        <w:t xml:space="preserve">8 في المائة) المنح الجديدة المقدمة للتعليم العالي التي بلغ عددها 858 34 منحة، ومعظم القروض التي منحتها </w:t>
      </w:r>
      <w:r>
        <w:t>ICETEX</w:t>
      </w:r>
      <w:r>
        <w:rPr>
          <w:rFonts w:hint="cs"/>
          <w:rtl/>
          <w:lang w:bidi="ar-EG"/>
        </w:rPr>
        <w:t xml:space="preserve"> ، وبلغ عددها 014 26، خُصص للطالبات وبلغت نسبته نحو 55</w:t>
      </w:r>
      <w:r w:rsidR="00FC46DD">
        <w:rPr>
          <w:rFonts w:hint="cs"/>
          <w:rtl/>
          <w:lang w:bidi="ar-EG"/>
        </w:rPr>
        <w:t>.</w:t>
      </w:r>
      <w:r>
        <w:rPr>
          <w:rFonts w:hint="cs"/>
          <w:rtl/>
          <w:lang w:bidi="ar-EG"/>
        </w:rPr>
        <w:t>22 في المائة</w:t>
      </w:r>
      <w:r w:rsidR="003D7EB4">
        <w:rPr>
          <w:rFonts w:hint="cs"/>
          <w:rtl/>
          <w:lang w:bidi="ar-EG"/>
        </w:rPr>
        <w:t>،</w:t>
      </w:r>
    </w:p>
    <w:p w:rsidR="00971AE2" w:rsidRDefault="00971AE2" w:rsidP="00A343DF">
      <w:pPr>
        <w:pStyle w:val="SingleTxt"/>
        <w:rPr>
          <w:rFonts w:hint="cs"/>
          <w:color w:val="FF0000"/>
          <w:rtl/>
          <w:lang w:bidi="ar-EG"/>
        </w:rPr>
      </w:pPr>
      <w:r>
        <w:rPr>
          <w:rFonts w:hint="cs"/>
          <w:rtl/>
          <w:lang w:bidi="ar-EG"/>
        </w:rPr>
        <w:tab/>
        <w:t>ويعزز البرنامج الرئاسي لشباب كولومبيا العمليات التعليمية غير النظامية للشباب الذي ترك المدرسة وكذلك التدريب في المجال الإنتاجي وبرنامج الشباب العامل الذي يضم شباب كل البلد الوافدين من بيئات ضعيفة للغاية</w:t>
      </w:r>
      <w:r w:rsidR="003D7EB4">
        <w:rPr>
          <w:rFonts w:hint="cs"/>
          <w:rtl/>
          <w:lang w:bidi="ar-EG"/>
        </w:rPr>
        <w:t>،</w:t>
      </w:r>
      <w:r>
        <w:rPr>
          <w:rFonts w:hint="cs"/>
          <w:rtl/>
          <w:lang w:bidi="ar-EG"/>
        </w:rPr>
        <w:t xml:space="preserve"> وبالمثل تتيح المؤسسة الكولومبية للرفاهية الأسرية في هذا المجال التدريب المتكامل في سياقات مجتمعية ومجالات للمراهقين والشبان عن طريق نوادي الصبية والمراهقين</w:t>
      </w:r>
      <w:r w:rsidR="003D7EB4">
        <w:rPr>
          <w:rFonts w:hint="cs"/>
          <w:color w:val="FF0000"/>
          <w:rtl/>
          <w:lang w:bidi="ar-EG"/>
        </w:rPr>
        <w:t>،</w:t>
      </w:r>
    </w:p>
    <w:p w:rsidR="00971AE2" w:rsidRDefault="00971AE2" w:rsidP="00A343DF">
      <w:pPr>
        <w:pStyle w:val="SingleTxt"/>
        <w:rPr>
          <w:rFonts w:hint="cs"/>
          <w:rtl/>
          <w:lang w:bidi="ar-EG"/>
        </w:rPr>
      </w:pPr>
      <w:r>
        <w:rPr>
          <w:rFonts w:hint="cs"/>
          <w:rtl/>
          <w:lang w:bidi="ar-EG"/>
        </w:rPr>
        <w:tab/>
        <w:t>وأخيرا، تجدر الإشارة إلى شروع التعليم الريفي الموجه خصيصا إلى سكان المناطق الريفية في كولومبيا، الذي جرى تناوله في المادة 14 المتعلقة بالرأة الريفية</w:t>
      </w:r>
      <w:r w:rsidR="003D7EB4">
        <w:rPr>
          <w:rFonts w:hint="cs"/>
          <w:rtl/>
          <w:lang w:bidi="ar-EG"/>
        </w:rPr>
        <w:t>،</w:t>
      </w:r>
      <w:r>
        <w:rPr>
          <w:rFonts w:hint="cs"/>
          <w:rtl/>
          <w:lang w:bidi="ar-EG"/>
        </w:rPr>
        <w:t xml:space="preserve"> كما نفذت وزارة التعليم الوطني البرامج الخاصة التالية:</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مشروع </w:t>
      </w:r>
      <w:r>
        <w:rPr>
          <w:rFonts w:hint="eastAsia"/>
          <w:rtl/>
          <w:lang w:bidi="ar-EG"/>
        </w:rPr>
        <w:t>”تقديم الدعم إلى السكان الضعفاء</w:t>
      </w:r>
      <w:r>
        <w:rPr>
          <w:rFonts w:hint="cs"/>
          <w:rtl/>
          <w:lang w:bidi="ar-EG"/>
        </w:rPr>
        <w:t>“ الذي يتمثل هدفه الرئيسي في زيادة الوصول إلى التعليم في المناطق الريفية، ووصول السكان المشردين بسبب أعمال العنف والذين لا صلة لهم بالنزاع المسلح والسكان الأصليين والسكان في مناطق الحدود والأطفال والشبان ذوي الاحتياجات الخاصة، إلى التعليم</w:t>
      </w:r>
      <w:r w:rsidR="003D7EB4">
        <w:rPr>
          <w:rFonts w:hint="cs"/>
          <w:rtl/>
          <w:lang w:bidi="ar-EG"/>
        </w:rPr>
        <w:t>،</w:t>
      </w:r>
      <w:r>
        <w:rPr>
          <w:rFonts w:hint="cs"/>
          <w:rtl/>
          <w:lang w:bidi="ar-EG"/>
        </w:rPr>
        <w:t xml:space="preserve"> وقد استفاد من هذا البرنامج حتى تاريخه 659 100 شخصا</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مشروع </w:t>
      </w:r>
      <w:r>
        <w:rPr>
          <w:rFonts w:hint="eastAsia"/>
          <w:rtl/>
          <w:lang w:bidi="ar-EG"/>
        </w:rPr>
        <w:t>”محو الأمية والتعليم الأساسي للشبان والكبار</w:t>
      </w:r>
      <w:r>
        <w:rPr>
          <w:rFonts w:hint="cs"/>
          <w:rtl/>
          <w:lang w:bidi="ar-EG"/>
        </w:rPr>
        <w:t>“ الذي يرمي إلى ضمان وصول السكان الأميين الشبان والراشدين إلى النظام التعليم النظامي وبقائهم فيه على الأقل حتى الصف السابع، ويتيح التدريب الحرفي وتدريس التربية الوطنية المناسبة للسكان الراشدين، وفقا للمواصفات الإقليمية</w:t>
      </w:r>
      <w:r w:rsidR="003D7EB4">
        <w:rPr>
          <w:rFonts w:hint="cs"/>
          <w:rtl/>
          <w:lang w:bidi="ar-EG"/>
        </w:rPr>
        <w:t>،</w:t>
      </w:r>
      <w:r>
        <w:rPr>
          <w:rFonts w:hint="cs"/>
          <w:rtl/>
          <w:lang w:bidi="ar-EG"/>
        </w:rPr>
        <w:t xml:space="preserve"> وفي سنة 2003، حُددت برامج إنمائية إقليمية تشمل 100 84 شخص مسجل</w:t>
      </w:r>
      <w:r w:rsidR="003D7EB4">
        <w:rPr>
          <w:rFonts w:hint="cs"/>
          <w:rtl/>
          <w:lang w:bidi="ar-EG"/>
        </w:rPr>
        <w:t>،</w:t>
      </w:r>
      <w:r>
        <w:rPr>
          <w:rFonts w:hint="cs"/>
          <w:rtl/>
          <w:lang w:bidi="ar-EG"/>
        </w:rPr>
        <w:t xml:space="preserve"> وهذا يشمل في جملة أمور الجهود التي تبذلها الكيانات الإقليمية وصناديق التعويض و </w:t>
      </w:r>
      <w:r>
        <w:rPr>
          <w:rFonts w:hint="cs"/>
          <w:rtl/>
        </w:rPr>
        <w:t>برنامج التعليم الريفي</w:t>
      </w:r>
      <w:r>
        <w:rPr>
          <w:rFonts w:hint="cs"/>
          <w:rtl/>
          <w:lang w:bidi="ar-EG"/>
        </w:rPr>
        <w:t xml:space="preserve"> والمؤسسة الكولومبية للرفاهية الأسرية ووزارة الداخلية</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مشروع </w:t>
      </w:r>
      <w:r>
        <w:rPr>
          <w:rFonts w:hint="eastAsia"/>
          <w:rtl/>
          <w:lang w:bidi="ar-EG"/>
        </w:rPr>
        <w:t>”تحسين نوعية تعليم السكان الضعفاء</w:t>
      </w:r>
      <w:r>
        <w:rPr>
          <w:rFonts w:hint="cs"/>
          <w:rtl/>
          <w:lang w:bidi="ar-EG"/>
        </w:rPr>
        <w:t>“، يرمي إلى تقديم التعليم الجيد والمناسب للسكان الذين جرى العرف على استبعادهم من النظام التعليمي، لضمان بقائهم فيه</w:t>
      </w:r>
      <w:r>
        <w:rPr>
          <w:rFonts w:hint="cs"/>
          <w:vertAlign w:val="superscript"/>
          <w:rtl/>
          <w:lang w:bidi="ar-EG"/>
        </w:rPr>
        <w:t>(73)</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مشروع </w:t>
      </w:r>
      <w:r>
        <w:rPr>
          <w:rFonts w:hint="eastAsia"/>
          <w:rtl/>
          <w:lang w:bidi="ar-EG"/>
        </w:rPr>
        <w:t>”وضع وتكييف نماذج مناسبة للسكان</w:t>
      </w:r>
      <w:r>
        <w:rPr>
          <w:rFonts w:hint="cs"/>
          <w:rtl/>
          <w:lang w:bidi="ar-EG"/>
        </w:rPr>
        <w:t>“ الذي يتمثل هدفه الرئيسي في وضع وتكييف وتنفيذ وتقييم نماذج تعليمية محددة والتقسيم إلى مجموعات سكانية</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مشاريع مشتركة بين القطاعات ترمي إلى تعزيز قيام تحالفات استراتيجية مع الكيانات الحكومية وغير الحكومية في النظام الوطني والدولي يدعم الخطط المحلية في العوامل المتصلة بنوعية التعليم: في مجال الصحة الجنسية والتناسلية ومنع تعاطي المؤثرات العقلية والتعليم البيئي ومنع العنف وسوء المعاملة؛ وخطط التعليم البيئي المنفذة في المقاطعات</w:t>
      </w:r>
      <w:r>
        <w:rPr>
          <w:rFonts w:hint="cs"/>
          <w:vertAlign w:val="superscript"/>
          <w:rtl/>
          <w:lang w:bidi="ar-EG"/>
        </w:rPr>
        <w:t>(74)</w:t>
      </w:r>
      <w:r>
        <w:rPr>
          <w:rFonts w:hint="cs"/>
          <w:rtl/>
          <w:lang w:bidi="ar-EG"/>
        </w:rPr>
        <w:t>؛ والتعليم لتعزيز الصحة الجنسية والتناسلية</w:t>
      </w:r>
      <w:r>
        <w:rPr>
          <w:rFonts w:hint="cs"/>
          <w:vertAlign w:val="superscript"/>
          <w:rtl/>
          <w:lang w:bidi="ar-EG"/>
        </w:rPr>
        <w:t>(75)؛</w:t>
      </w:r>
      <w:r>
        <w:rPr>
          <w:rFonts w:hint="cs"/>
          <w:rtl/>
          <w:lang w:bidi="ar-EG"/>
        </w:rPr>
        <w:t xml:space="preserve"> والتدريب على حقوق الإنسان</w:t>
      </w:r>
      <w:r>
        <w:rPr>
          <w:rFonts w:hint="cs"/>
          <w:vertAlign w:val="superscript"/>
          <w:rtl/>
          <w:lang w:bidi="ar-EG"/>
        </w:rPr>
        <w:t>(76)</w:t>
      </w:r>
      <w:r>
        <w:rPr>
          <w:rFonts w:hint="cs"/>
          <w:rtl/>
          <w:lang w:bidi="ar-EG"/>
        </w:rPr>
        <w:t>، والتعايش المدرسي</w:t>
      </w:r>
      <w:r>
        <w:rPr>
          <w:rFonts w:hint="cs"/>
          <w:vertAlign w:val="superscript"/>
          <w:rtl/>
          <w:lang w:bidi="ar-EG"/>
        </w:rPr>
        <w:t>(77)</w:t>
      </w:r>
      <w:r>
        <w:rPr>
          <w:rFonts w:hint="cs"/>
          <w:rtl/>
          <w:lang w:bidi="ar-EG"/>
        </w:rPr>
        <w:t xml:space="preserve">؛ </w:t>
      </w:r>
      <w:r>
        <w:rPr>
          <w:rFonts w:hint="eastAsia"/>
          <w:rtl/>
          <w:lang w:bidi="ar-EG"/>
        </w:rPr>
        <w:t>”وعالم أكثر عدلا للصبية والفتيات</w:t>
      </w:r>
      <w:r>
        <w:rPr>
          <w:rFonts w:hint="cs"/>
          <w:rtl/>
          <w:lang w:bidi="ar-EG"/>
        </w:rPr>
        <w:t>“؛</w:t>
      </w:r>
      <w:r>
        <w:rPr>
          <w:rFonts w:hint="eastAsia"/>
          <w:rtl/>
          <w:lang w:bidi="ar-EG"/>
        </w:rPr>
        <w:t xml:space="preserve"> والقضاء على عمل الأطفال</w:t>
      </w:r>
      <w:r>
        <w:rPr>
          <w:rFonts w:hint="cs"/>
          <w:rtl/>
          <w:lang w:bidi="ar-EG"/>
        </w:rPr>
        <w:t>؛</w:t>
      </w:r>
      <w:r>
        <w:rPr>
          <w:rFonts w:hint="eastAsia"/>
          <w:rtl/>
          <w:lang w:bidi="ar-EG"/>
        </w:rPr>
        <w:t xml:space="preserve"> ووضع الخطة الوطنية الثالثة</w:t>
      </w:r>
      <w:r>
        <w:rPr>
          <w:rFonts w:hint="cs"/>
          <w:rtl/>
          <w:lang w:bidi="ar-EG"/>
        </w:rPr>
        <w:t>؛</w:t>
      </w:r>
      <w:r>
        <w:rPr>
          <w:rFonts w:hint="eastAsia"/>
          <w:rtl/>
          <w:lang w:bidi="ar-EG"/>
        </w:rPr>
        <w:t xml:space="preserve"> ومنع العنف العائلي و</w:t>
      </w:r>
      <w:r>
        <w:rPr>
          <w:rFonts w:hint="cs"/>
          <w:rtl/>
          <w:lang w:bidi="ar-EG"/>
        </w:rPr>
        <w:t>الكشف عنه</w:t>
      </w:r>
      <w:r>
        <w:rPr>
          <w:rFonts w:hint="eastAsia"/>
          <w:rtl/>
          <w:lang w:bidi="ar-EG"/>
        </w:rPr>
        <w:t xml:space="preserve"> ، والتعليم في إطار سياسة </w:t>
      </w:r>
      <w:r>
        <w:rPr>
          <w:rFonts w:hint="cs"/>
          <w:rtl/>
          <w:lang w:bidi="ar-EG"/>
        </w:rPr>
        <w:t>أقم السلام</w:t>
      </w:r>
      <w:r w:rsidR="003D7EB4">
        <w:rPr>
          <w:rFonts w:hint="eastAsia"/>
          <w:rtl/>
          <w:lang w:bidi="ar-EG"/>
        </w:rPr>
        <w:t>،</w:t>
      </w:r>
    </w:p>
    <w:p w:rsidR="00971AE2" w:rsidRDefault="00971AE2" w:rsidP="00A343DF">
      <w:pPr>
        <w:pStyle w:val="SingleTxt"/>
        <w:rPr>
          <w:rFonts w:hint="cs"/>
          <w:b/>
          <w:bCs/>
          <w:rtl/>
          <w:lang w:bidi="ar-EG"/>
        </w:rPr>
      </w:pPr>
      <w:r>
        <w:rPr>
          <w:rFonts w:hint="cs"/>
          <w:b/>
          <w:bCs/>
          <w:rtl/>
          <w:lang w:bidi="ar-EG"/>
        </w:rPr>
        <w:t>الإحصاءات</w:t>
      </w:r>
    </w:p>
    <w:p w:rsidR="00971AE2" w:rsidRDefault="00971AE2" w:rsidP="00A343DF">
      <w:pPr>
        <w:pStyle w:val="SingleTxt"/>
        <w:rPr>
          <w:rFonts w:hint="cs"/>
          <w:rtl/>
          <w:lang w:bidi="ar-EG"/>
        </w:rPr>
      </w:pPr>
      <w:r>
        <w:rPr>
          <w:rFonts w:hint="cs"/>
          <w:rtl/>
          <w:lang w:bidi="ar-EG"/>
        </w:rPr>
        <w:tab/>
        <w:t>انخفض مستوى الأمية في السنوات الأخيرة بشكل ملحوظ سواء بين الذكور (8</w:t>
      </w:r>
      <w:r>
        <w:rPr>
          <w:rFonts w:hint="eastAsia"/>
          <w:rtl/>
          <w:lang w:bidi="ar-EG"/>
        </w:rPr>
        <w:t> </w:t>
      </w:r>
      <w:r>
        <w:rPr>
          <w:rFonts w:hint="cs"/>
          <w:rtl/>
          <w:lang w:bidi="ar-EG"/>
        </w:rPr>
        <w:t>في المائة) أوبين الإناث (8</w:t>
      </w:r>
      <w:r w:rsidR="00FC46DD">
        <w:rPr>
          <w:rFonts w:hint="cs"/>
          <w:rtl/>
          <w:lang w:bidi="ar-EG"/>
        </w:rPr>
        <w:t>.</w:t>
      </w:r>
      <w:r>
        <w:rPr>
          <w:rFonts w:hint="cs"/>
          <w:rtl/>
          <w:lang w:bidi="ar-EG"/>
        </w:rPr>
        <w:t>2 في المائة)، ومع ذلك فإن الأمية ب</w:t>
      </w:r>
      <w:r w:rsidR="00870C24">
        <w:rPr>
          <w:rFonts w:hint="cs"/>
          <w:rtl/>
          <w:lang w:bidi="ar-EG"/>
        </w:rPr>
        <w:t>ين الإناث في المناطق الريفية ما</w:t>
      </w:r>
      <w:r w:rsidR="00870C24">
        <w:rPr>
          <w:rFonts w:hint="eastAsia"/>
          <w:rtl/>
          <w:lang w:bidi="ar-EG"/>
        </w:rPr>
        <w:t> </w:t>
      </w:r>
      <w:r>
        <w:rPr>
          <w:rFonts w:hint="cs"/>
          <w:rtl/>
          <w:lang w:bidi="ar-EG"/>
        </w:rPr>
        <w:t>زالت تؤثر في نحو17</w:t>
      </w:r>
      <w:r w:rsidR="00FC46DD">
        <w:rPr>
          <w:rFonts w:hint="cs"/>
          <w:rtl/>
          <w:lang w:bidi="ar-EG"/>
        </w:rPr>
        <w:t>.</w:t>
      </w:r>
      <w:r>
        <w:rPr>
          <w:rFonts w:hint="cs"/>
          <w:rtl/>
          <w:lang w:bidi="ar-EG"/>
        </w:rPr>
        <w:t>3 في المائة</w:t>
      </w:r>
      <w:r w:rsidR="003D7EB4">
        <w:rPr>
          <w:rFonts w:hint="cs"/>
          <w:rtl/>
          <w:lang w:bidi="ar-EG"/>
        </w:rPr>
        <w:t>،</w:t>
      </w:r>
    </w:p>
    <w:p w:rsidR="00A03524" w:rsidRDefault="00A03524" w:rsidP="00A343DF">
      <w:pPr>
        <w:pStyle w:val="SingleTxt"/>
        <w:rPr>
          <w:rFonts w:hint="cs"/>
          <w:rtl/>
          <w:lang w:bidi="ar-EG"/>
        </w:rPr>
      </w:pPr>
    </w:p>
    <w:p w:rsidR="00A03524" w:rsidRDefault="00CE4E72" w:rsidP="00A343DF">
      <w:pPr>
        <w:pStyle w:val="SingleTxt"/>
        <w:rPr>
          <w:rFonts w:hint="cs"/>
          <w:rtl/>
          <w:lang w:bidi="ar-EG"/>
        </w:rPr>
      </w:pPr>
      <w:r w:rsidRPr="00A03524">
        <w:rPr>
          <w:noProof/>
          <w:sz w:val="26"/>
          <w:szCs w:val="26"/>
        </w:rPr>
        <w:pict>
          <v:shapetype id="_x0000_t202" coordsize="21600,21600" o:spt="202" path="m,l,21600r21600,l21600,xe">
            <v:stroke joinstyle="miter"/>
            <v:path gradientshapeok="t" o:connecttype="rect"/>
          </v:shapetype>
          <v:shape id="_x0000_s1066" type="#_x0000_t202" style="position:absolute;left:0;text-align:left;margin-left:0;margin-top:1.4pt;width:458.35pt;height:108pt;z-index:29" stroked="f">
            <v:textbox style="mso-next-textbox:#_x0000_s1066">
              <w:txbxContent>
                <w:p w:rsidR="00D9185D" w:rsidRDefault="00D9185D" w:rsidP="00870C24">
                  <w:pPr>
                    <w:pStyle w:val="SingleTxt"/>
                    <w:rPr>
                      <w:rFonts w:hint="cs"/>
                      <w:b/>
                      <w:bCs/>
                      <w:sz w:val="28"/>
                      <w:szCs w:val="28"/>
                      <w:rtl/>
                      <w:lang w:bidi="ar-EG"/>
                    </w:rPr>
                  </w:pPr>
                  <w:r>
                    <w:rPr>
                      <w:rFonts w:hint="cs"/>
                      <w:b/>
                      <w:bCs/>
                      <w:sz w:val="28"/>
                      <w:szCs w:val="28"/>
                      <w:rtl/>
                      <w:lang w:bidi="ar-EG"/>
                    </w:rPr>
                    <w:tab/>
                    <w:t>وفي السنوات الأخيرة تفوقت الإناث بصورة طفيفة على الذكور في متوسط سنوات التعليم وباتجاه هو أن يظل مستقرا.</w:t>
                  </w:r>
                </w:p>
                <w:p w:rsidR="00D9185D" w:rsidRDefault="00D9185D" w:rsidP="00971AE2">
                  <w:pPr>
                    <w:pStyle w:val="SingleTxt"/>
                    <w:jc w:val="both"/>
                    <w:rPr>
                      <w:sz w:val="28"/>
                      <w:szCs w:val="28"/>
                    </w:rPr>
                  </w:pPr>
                  <w:r>
                    <w:rPr>
                      <w:rFonts w:hint="cs"/>
                      <w:sz w:val="28"/>
                      <w:szCs w:val="28"/>
                      <w:rtl/>
                      <w:lang w:bidi="ar-EG"/>
                    </w:rPr>
                    <w:t>متوسط سنوات التعليم للذين تجاوزوا سن الخامسة عشر حسب الجنس، 1951-2001</w:t>
                  </w:r>
                </w:p>
              </w:txbxContent>
            </v:textbox>
            <w10:wrap type="square"/>
          </v:shape>
        </w:pict>
      </w:r>
    </w:p>
    <w:p w:rsidR="00A03524" w:rsidRDefault="00A03524" w:rsidP="00A343DF">
      <w:pPr>
        <w:pStyle w:val="SingleTxt"/>
        <w:rPr>
          <w:rFonts w:hint="cs"/>
          <w:rtl/>
          <w:lang w:bidi="ar-EG"/>
        </w:rPr>
      </w:pPr>
    </w:p>
    <w:p w:rsidR="00A03524" w:rsidRDefault="00A03524" w:rsidP="00A343DF">
      <w:pPr>
        <w:pStyle w:val="SingleTxt"/>
        <w:rPr>
          <w:rFonts w:hint="cs"/>
          <w:rtl/>
          <w:lang w:bidi="ar-EG"/>
        </w:rPr>
      </w:pPr>
    </w:p>
    <w:p w:rsidR="00A03524" w:rsidRDefault="00A03524" w:rsidP="00A343DF">
      <w:pPr>
        <w:pStyle w:val="SingleTxt"/>
        <w:rPr>
          <w:rFonts w:hint="cs"/>
          <w:rtl/>
        </w:rPr>
      </w:pPr>
    </w:p>
    <w:p w:rsidR="00A03524" w:rsidRDefault="00A03524" w:rsidP="00A343DF">
      <w:pPr>
        <w:pStyle w:val="SingleTxt"/>
        <w:rPr>
          <w:rFonts w:hint="cs"/>
          <w:rtl/>
        </w:rPr>
      </w:pPr>
    </w:p>
    <w:p w:rsidR="00A03524" w:rsidRPr="00A03524" w:rsidRDefault="00A03524" w:rsidP="00A343DF">
      <w:pPr>
        <w:pStyle w:val="SingleTxt"/>
        <w:spacing w:after="0" w:line="120" w:lineRule="exact"/>
        <w:rPr>
          <w:rFonts w:hint="cs"/>
          <w:sz w:val="10"/>
          <w:rtl/>
        </w:rPr>
      </w:pPr>
    </w:p>
    <w:p w:rsidR="00A03524" w:rsidRPr="00A03524" w:rsidRDefault="00A03524" w:rsidP="00A343DF">
      <w:pPr>
        <w:pStyle w:val="SingleTxt"/>
        <w:spacing w:after="0" w:line="120" w:lineRule="exact"/>
        <w:rPr>
          <w:rFonts w:hint="cs"/>
          <w:sz w:val="10"/>
          <w:rtl/>
        </w:rPr>
      </w:pPr>
    </w:p>
    <w:p w:rsidR="00A03524" w:rsidRDefault="00A03524" w:rsidP="00A343DF">
      <w:pPr>
        <w:pStyle w:val="SingleTxt"/>
        <w:rPr>
          <w:rFonts w:hint="cs"/>
          <w:rtl/>
        </w:rPr>
      </w:pPr>
    </w:p>
    <w:p w:rsidR="00A03524" w:rsidRDefault="00A03524" w:rsidP="00A343DF">
      <w:pPr>
        <w:pStyle w:val="SingleTxt"/>
        <w:rPr>
          <w:rFonts w:hint="cs"/>
          <w:rtl/>
        </w:rPr>
      </w:pPr>
    </w:p>
    <w:p w:rsidR="00971AE2" w:rsidRDefault="009127A9" w:rsidP="00A343DF">
      <w:pPr>
        <w:pStyle w:val="SingleTxt"/>
        <w:rPr>
          <w:rFonts w:hint="cs"/>
          <w:rtl/>
          <w:lang w:bidi="ar-EG"/>
        </w:rPr>
      </w:pPr>
      <w:r>
        <w:rPr>
          <w:rFonts w:hint="cs"/>
          <w:rtl/>
          <w:lang w:bidi="ar-EG"/>
        </w:rPr>
        <w:tab/>
      </w:r>
      <w:r>
        <w:rPr>
          <w:rFonts w:hint="cs"/>
          <w:rtl/>
          <w:lang w:bidi="ar-EG"/>
        </w:rPr>
        <w:tab/>
      </w:r>
      <w:r w:rsidR="00971AE2">
        <w:rPr>
          <w:rFonts w:hint="cs"/>
          <w:rtl/>
          <w:lang w:bidi="ar-EG"/>
        </w:rPr>
        <w:t>معدل محو الأمية حسب الجنس، 1951-2001</w:t>
      </w:r>
    </w:p>
    <w:p w:rsidR="009F0D19" w:rsidRDefault="00A03524" w:rsidP="00A343DF">
      <w:pPr>
        <w:pStyle w:val="SingleTxt"/>
        <w:spacing w:after="0" w:line="120" w:lineRule="exact"/>
        <w:rPr>
          <w:rFonts w:hint="cs"/>
          <w:sz w:val="10"/>
          <w:rtl/>
        </w:rPr>
      </w:pPr>
      <w:r>
        <w:rPr>
          <w:noProof/>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6" type="#_x0000_t75" style="position:absolute;left:0;text-align:left;margin-left:92.7pt;margin-top:36pt;width:309.7pt;height:180pt;z-index:38" fillcolor="window">
            <v:imagedata r:id="rId14" o:title=""/>
            <w10:wrap type="topAndBottom"/>
          </v:shape>
        </w:pict>
      </w:r>
    </w:p>
    <w:p w:rsidR="00A03524" w:rsidRPr="009F0D19" w:rsidRDefault="00A03524" w:rsidP="00A343DF">
      <w:pPr>
        <w:pStyle w:val="SingleTxt"/>
        <w:spacing w:after="0" w:line="120" w:lineRule="exact"/>
        <w:rPr>
          <w:rFonts w:hint="cs"/>
          <w:sz w:val="10"/>
          <w:rtl/>
        </w:rPr>
      </w:pPr>
    </w:p>
    <w:p w:rsidR="00971AE2" w:rsidRPr="00A03524" w:rsidRDefault="00971AE2" w:rsidP="00A343DF">
      <w:pPr>
        <w:pStyle w:val="SingleTxt"/>
        <w:rPr>
          <w:rFonts w:hint="cs"/>
          <w:sz w:val="22"/>
          <w:szCs w:val="22"/>
          <w:rtl/>
          <w:lang w:bidi="ar-EG"/>
        </w:rPr>
      </w:pPr>
      <w:r w:rsidRPr="00A03524">
        <w:rPr>
          <w:rFonts w:hint="cs"/>
          <w:noProof/>
          <w:w w:val="100"/>
          <w:sz w:val="22"/>
          <w:szCs w:val="22"/>
          <w:rtl/>
        </w:rPr>
        <w:pict>
          <v:shape id="_x0000_s1046" type="#_x0000_t202" style="position:absolute;left:0;text-align:left;margin-left:-276.8pt;margin-top:196.4pt;width:25.75pt;height:9pt;z-index:11" stroked="f">
            <v:textbox style="mso-next-textbox:#_x0000_s1046">
              <w:txbxContent>
                <w:p w:rsidR="00D9185D" w:rsidRDefault="00D9185D" w:rsidP="00971AE2"/>
              </w:txbxContent>
            </v:textbox>
          </v:shape>
        </w:pict>
      </w:r>
      <w:r w:rsidRPr="00A03524">
        <w:rPr>
          <w:rFonts w:hint="cs"/>
          <w:noProof/>
          <w:w w:val="100"/>
          <w:sz w:val="22"/>
          <w:szCs w:val="22"/>
          <w:rtl/>
        </w:rPr>
        <w:pict>
          <v:shape id="_x0000_s1045" type="#_x0000_t202" style="position:absolute;left:0;text-align:left;margin-left:-302.55pt;margin-top:187.4pt;width:25.75pt;height:9pt;z-index:10" stroked="f">
            <v:textbox style="mso-next-textbox:#_x0000_s1045">
              <w:txbxContent>
                <w:p w:rsidR="00D9185D" w:rsidRDefault="00D9185D" w:rsidP="00971AE2"/>
              </w:txbxContent>
            </v:textbox>
          </v:shape>
        </w:pict>
      </w:r>
      <w:r w:rsidRPr="00A03524">
        <w:rPr>
          <w:rFonts w:hint="cs"/>
          <w:noProof/>
          <w:w w:val="100"/>
          <w:sz w:val="22"/>
          <w:szCs w:val="22"/>
          <w:rtl/>
        </w:rPr>
        <w:pict>
          <v:shape id="_x0000_s1044" type="#_x0000_t202" style="position:absolute;left:0;text-align:left;margin-left:-96.55pt;margin-top:187.4pt;width:25.75pt;height:12pt;z-index:9" stroked="f">
            <v:textbox style="mso-next-textbox:#_x0000_s1044">
              <w:txbxContent>
                <w:p w:rsidR="00D9185D" w:rsidRDefault="00D9185D" w:rsidP="00971AE2"/>
              </w:txbxContent>
            </v:textbox>
          </v:shape>
        </w:pict>
      </w:r>
      <w:r w:rsidRPr="00A03524">
        <w:rPr>
          <w:rFonts w:hint="cs"/>
          <w:noProof/>
          <w:w w:val="100"/>
          <w:sz w:val="22"/>
          <w:szCs w:val="22"/>
          <w:rtl/>
        </w:rPr>
        <w:pict>
          <v:shape id="_x0000_s1043" type="#_x0000_t202" style="position:absolute;left:0;text-align:left;margin-left:-292.25pt;margin-top:178.4pt;width:46.35pt;height:12pt;z-index:8" stroked="f">
            <v:textbox style="mso-next-textbox:#_x0000_s1043">
              <w:txbxContent>
                <w:p w:rsidR="00D9185D" w:rsidRDefault="00D9185D" w:rsidP="00971AE2"/>
              </w:txbxContent>
            </v:textbox>
          </v:shape>
        </w:pict>
      </w:r>
      <w:r w:rsidRPr="00A03524">
        <w:rPr>
          <w:rFonts w:hint="cs"/>
          <w:noProof/>
          <w:w w:val="100"/>
          <w:sz w:val="22"/>
          <w:szCs w:val="22"/>
          <w:rtl/>
        </w:rPr>
        <w:pict>
          <v:shape id="_x0000_s1042" type="#_x0000_t202" style="position:absolute;left:0;text-align:left;margin-left:-189.25pt;margin-top:178.4pt;width:44.65pt;height:12pt;z-index:7" stroked="f">
            <v:textbox style="mso-next-textbox:#_x0000_s1042">
              <w:txbxContent>
                <w:p w:rsidR="00D9185D" w:rsidRDefault="00D9185D" w:rsidP="00971AE2"/>
              </w:txbxContent>
            </v:textbox>
          </v:shape>
        </w:pict>
      </w:r>
      <w:r w:rsidRPr="00A03524">
        <w:rPr>
          <w:rFonts w:hint="cs"/>
          <w:noProof/>
          <w:w w:val="100"/>
          <w:sz w:val="22"/>
          <w:szCs w:val="22"/>
          <w:rtl/>
        </w:rPr>
        <w:pict>
          <v:shape id="_x0000_s1040" type="#_x0000_t202" style="position:absolute;left:0;text-align:left;margin-left:-148.05pt;margin-top:178.4pt;width:56.65pt;height:27pt;z-index:5" stroked="f">
            <v:textbox style="mso-next-textbox:#_x0000_s1040">
              <w:txbxContent>
                <w:p w:rsidR="00D9185D" w:rsidRDefault="00D9185D" w:rsidP="00971AE2">
                  <w:pPr>
                    <w:rPr>
                      <w:rFonts w:hint="cs"/>
                      <w:b/>
                      <w:bCs/>
                      <w:szCs w:val="20"/>
                    </w:rPr>
                  </w:pPr>
                  <w:r>
                    <w:rPr>
                      <w:rFonts w:hint="cs"/>
                      <w:b/>
                      <w:bCs/>
                      <w:szCs w:val="20"/>
                      <w:rtl/>
                    </w:rPr>
                    <w:t xml:space="preserve">           إناث</w:t>
                  </w:r>
                </w:p>
              </w:txbxContent>
            </v:textbox>
          </v:shape>
        </w:pict>
      </w:r>
      <w:r w:rsidRPr="00A03524">
        <w:rPr>
          <w:rFonts w:hint="cs"/>
          <w:noProof/>
          <w:w w:val="100"/>
          <w:sz w:val="22"/>
          <w:szCs w:val="22"/>
          <w:rtl/>
        </w:rPr>
        <w:pict>
          <v:shape id="_x0000_s1041" type="#_x0000_t202" style="position:absolute;left:0;text-align:left;margin-left:-245.9pt;margin-top:178.4pt;width:61.8pt;height:27pt;z-index:6" stroked="f">
            <v:textbox style="mso-next-textbox:#_x0000_s1041">
              <w:txbxContent>
                <w:p w:rsidR="00D9185D" w:rsidRDefault="00D9185D" w:rsidP="00971AE2">
                  <w:pPr>
                    <w:rPr>
                      <w:rFonts w:hint="cs"/>
                      <w:b/>
                      <w:bCs/>
                      <w:szCs w:val="20"/>
                    </w:rPr>
                  </w:pPr>
                  <w:r>
                    <w:rPr>
                      <w:rFonts w:hint="cs"/>
                      <w:b/>
                      <w:bCs/>
                      <w:szCs w:val="20"/>
                      <w:rtl/>
                    </w:rPr>
                    <w:t xml:space="preserve">           ذكور</w:t>
                  </w:r>
                </w:p>
              </w:txbxContent>
            </v:textbox>
          </v:shape>
        </w:pict>
      </w:r>
      <w:r w:rsidRPr="00A03524">
        <w:rPr>
          <w:rFonts w:hint="cs"/>
          <w:noProof/>
          <w:w w:val="100"/>
          <w:sz w:val="22"/>
          <w:szCs w:val="22"/>
          <w:rtl/>
        </w:rPr>
        <w:pict>
          <v:shape id="_x0000_s1052" type="#_x0000_t202" style="position:absolute;left:0;text-align:left;margin-left:267.8pt;margin-top:-72.6pt;width:30.9pt;height:12pt;z-index:17" filled="f" strokecolor="white">
            <v:textbox style="mso-next-textbox:#_x0000_s1052">
              <w:txbxContent>
                <w:p w:rsidR="00D9185D" w:rsidRDefault="00D9185D" w:rsidP="00971AE2"/>
              </w:txbxContent>
            </v:textbox>
          </v:shape>
        </w:pict>
      </w:r>
      <w:r w:rsidRPr="00A03524">
        <w:rPr>
          <w:rFonts w:hint="cs"/>
          <w:noProof/>
          <w:w w:val="100"/>
          <w:sz w:val="22"/>
          <w:szCs w:val="22"/>
          <w:rtl/>
        </w:rPr>
        <w:pict>
          <v:shape id="_x0000_s1051" type="#_x0000_t202" style="position:absolute;left:0;text-align:left;margin-left:190.55pt;margin-top:-66.6pt;width:30.9pt;height:12pt;z-index:16" filled="f" strokecolor="white">
            <v:textbox style="mso-next-textbox:#_x0000_s1051">
              <w:txbxContent>
                <w:p w:rsidR="00D9185D" w:rsidRDefault="00D9185D" w:rsidP="00971AE2"/>
              </w:txbxContent>
            </v:textbox>
          </v:shape>
        </w:pict>
      </w:r>
      <w:r w:rsidRPr="00A03524">
        <w:rPr>
          <w:rFonts w:hint="cs"/>
          <w:noProof/>
          <w:w w:val="100"/>
          <w:sz w:val="22"/>
          <w:szCs w:val="22"/>
          <w:rtl/>
        </w:rPr>
        <w:pict>
          <v:shape id="_x0000_s1050" type="#_x0000_t202" style="position:absolute;left:0;text-align:left;margin-left:164.8pt;margin-top:-57.6pt;width:25.75pt;height:12pt;z-index:15" strokecolor="white">
            <v:textbox style="mso-next-textbox:#_x0000_s1050">
              <w:txbxContent>
                <w:p w:rsidR="00D9185D" w:rsidRDefault="00D9185D" w:rsidP="00971AE2"/>
              </w:txbxContent>
            </v:textbox>
          </v:shape>
        </w:pict>
      </w:r>
      <w:r w:rsidRPr="00A03524">
        <w:rPr>
          <w:rFonts w:hint="cs"/>
          <w:noProof/>
          <w:w w:val="100"/>
          <w:sz w:val="22"/>
          <w:szCs w:val="22"/>
          <w:rtl/>
        </w:rPr>
        <w:pict>
          <v:shape id="_x0000_s1049" type="#_x0000_t202" style="position:absolute;left:0;text-align:left;margin-left:345.05pt;margin-top:-63.6pt;width:25.75pt;height:12pt;z-index:14" stroked="f">
            <v:textbox style="mso-next-textbox:#_x0000_s1049">
              <w:txbxContent>
                <w:p w:rsidR="00D9185D" w:rsidRDefault="00D9185D" w:rsidP="00971AE2"/>
              </w:txbxContent>
            </v:textbox>
          </v:shape>
        </w:pict>
      </w:r>
      <w:r w:rsidRPr="00A03524">
        <w:rPr>
          <w:rFonts w:hint="cs"/>
          <w:noProof/>
          <w:w w:val="100"/>
          <w:sz w:val="22"/>
          <w:szCs w:val="22"/>
          <w:rtl/>
        </w:rPr>
        <w:pict>
          <v:shape id="_x0000_s1048" type="#_x0000_t202" style="position:absolute;left:0;text-align:left;margin-left:221.45pt;margin-top:-72.6pt;width:32.6pt;height:27pt;z-index:13" stroked="f">
            <v:textbox style="mso-next-textbox:#_x0000_s1048">
              <w:txbxContent>
                <w:p w:rsidR="00D9185D" w:rsidRDefault="00D9185D" w:rsidP="00971AE2">
                  <w:pPr>
                    <w:rPr>
                      <w:rFonts w:hint="cs"/>
                      <w:b/>
                      <w:bCs/>
                      <w:szCs w:val="20"/>
                    </w:rPr>
                  </w:pPr>
                  <w:r>
                    <w:rPr>
                      <w:rFonts w:hint="cs"/>
                      <w:b/>
                      <w:bCs/>
                      <w:szCs w:val="20"/>
                      <w:rtl/>
                    </w:rPr>
                    <w:t>ذكور</w:t>
                  </w:r>
                </w:p>
              </w:txbxContent>
            </v:textbox>
          </v:shape>
        </w:pict>
      </w:r>
      <w:r w:rsidRPr="00A03524">
        <w:rPr>
          <w:rFonts w:hint="cs"/>
          <w:noProof/>
          <w:w w:val="100"/>
          <w:sz w:val="22"/>
          <w:szCs w:val="22"/>
          <w:rtl/>
        </w:rPr>
        <w:pict>
          <v:shape id="_x0000_s1047" type="#_x0000_t202" style="position:absolute;left:0;text-align:left;margin-left:303.85pt;margin-top:-72.6pt;width:41.2pt;height:27pt;z-index:12" stroked="f">
            <v:textbox style="mso-next-textbox:#_x0000_s1047">
              <w:txbxContent>
                <w:p w:rsidR="00D9185D" w:rsidRDefault="00D9185D" w:rsidP="00971AE2">
                  <w:pPr>
                    <w:rPr>
                      <w:rFonts w:hint="cs"/>
                      <w:b/>
                      <w:bCs/>
                      <w:szCs w:val="20"/>
                    </w:rPr>
                  </w:pPr>
                  <w:r>
                    <w:rPr>
                      <w:rFonts w:hint="cs"/>
                      <w:b/>
                      <w:bCs/>
                      <w:szCs w:val="20"/>
                      <w:rtl/>
                    </w:rPr>
                    <w:t>إناث</w:t>
                  </w:r>
                </w:p>
              </w:txbxContent>
            </v:textbox>
          </v:shape>
        </w:pict>
      </w:r>
      <w:r w:rsidRPr="00A03524">
        <w:rPr>
          <w:rFonts w:hint="cs"/>
          <w:noProof/>
          <w:w w:val="100"/>
          <w:sz w:val="22"/>
          <w:szCs w:val="22"/>
          <w:rtl/>
        </w:rPr>
        <w:pict>
          <v:shape id="_x0000_s1056" type="#_x0000_t202" style="position:absolute;left:0;text-align:left;margin-left:-230.45pt;margin-top:441.4pt;width:46.35pt;height:27pt;z-index:19" stroked="f">
            <v:textbox style="mso-next-textbox:#_x0000_s1056">
              <w:txbxContent>
                <w:p w:rsidR="00D9185D" w:rsidRDefault="00D9185D" w:rsidP="00971AE2">
                  <w:pPr>
                    <w:rPr>
                      <w:rFonts w:hint="cs"/>
                      <w:b/>
                      <w:bCs/>
                      <w:szCs w:val="20"/>
                    </w:rPr>
                  </w:pPr>
                  <w:r>
                    <w:rPr>
                      <w:rFonts w:hint="cs"/>
                      <w:b/>
                      <w:bCs/>
                      <w:szCs w:val="20"/>
                      <w:rtl/>
                    </w:rPr>
                    <w:t xml:space="preserve">      ذكور</w:t>
                  </w:r>
                </w:p>
              </w:txbxContent>
            </v:textbox>
          </v:shape>
        </w:pict>
      </w:r>
      <w:r w:rsidRPr="00A03524">
        <w:rPr>
          <w:rFonts w:hint="cs"/>
          <w:noProof/>
          <w:w w:val="100"/>
          <w:sz w:val="22"/>
          <w:szCs w:val="22"/>
          <w:rtl/>
        </w:rPr>
        <w:pict>
          <v:shape id="_x0000_s1065" type="#_x0000_t202" style="position:absolute;left:0;text-align:left;margin-left:-266.5pt;margin-top:450.4pt;width:15.45pt;height:9pt;z-index:28" stroked="f">
            <v:textbox style="mso-next-textbox:#_x0000_s1065">
              <w:txbxContent>
                <w:p w:rsidR="00D9185D" w:rsidRDefault="00D9185D" w:rsidP="00971AE2"/>
              </w:txbxContent>
            </v:textbox>
          </v:shape>
        </w:pict>
      </w:r>
      <w:r w:rsidRPr="00A03524">
        <w:rPr>
          <w:rFonts w:hint="cs"/>
          <w:noProof/>
          <w:w w:val="100"/>
          <w:sz w:val="22"/>
          <w:szCs w:val="22"/>
          <w:rtl/>
        </w:rPr>
        <w:pict>
          <v:shape id="_x0000_s1064" type="#_x0000_t202" style="position:absolute;left:0;text-align:left;margin-left:-232.2pt;margin-top:450.4pt;width:15.45pt;height:9pt;z-index:27" stroked="f">
            <v:textbox style="mso-next-textbox:#_x0000_s1064">
              <w:txbxContent>
                <w:p w:rsidR="00D9185D" w:rsidRDefault="00D9185D" w:rsidP="00971AE2"/>
              </w:txbxContent>
            </v:textbox>
          </v:shape>
        </w:pict>
      </w:r>
      <w:r w:rsidRPr="00A03524">
        <w:rPr>
          <w:rFonts w:hint="cs"/>
          <w:noProof/>
          <w:w w:val="100"/>
          <w:sz w:val="22"/>
          <w:szCs w:val="22"/>
          <w:rtl/>
        </w:rPr>
        <w:pict>
          <v:shape id="_x0000_s1063" type="#_x0000_t202" style="position:absolute;left:0;text-align:left;margin-left:-244.2pt;margin-top:450.4pt;width:15.45pt;height:9pt;z-index:26" stroked="f">
            <v:textbox style="mso-next-textbox:#_x0000_s1063">
              <w:txbxContent>
                <w:p w:rsidR="00D9185D" w:rsidRDefault="00D9185D" w:rsidP="00971AE2"/>
              </w:txbxContent>
            </v:textbox>
          </v:shape>
        </w:pict>
      </w:r>
      <w:r w:rsidRPr="00A03524">
        <w:rPr>
          <w:rFonts w:hint="cs"/>
          <w:noProof/>
          <w:w w:val="100"/>
          <w:sz w:val="22"/>
          <w:szCs w:val="22"/>
          <w:rtl/>
        </w:rPr>
        <w:pict>
          <v:shape id="_x0000_s1062" type="#_x0000_t202" style="position:absolute;left:0;text-align:left;margin-left:-256.2pt;margin-top:450.4pt;width:15.45pt;height:9pt;z-index:25" stroked="f">
            <v:textbox style="mso-next-textbox:#_x0000_s1062">
              <w:txbxContent>
                <w:p w:rsidR="00D9185D" w:rsidRDefault="00D9185D" w:rsidP="00971AE2"/>
              </w:txbxContent>
            </v:textbox>
          </v:shape>
        </w:pict>
      </w:r>
      <w:r w:rsidRPr="00A03524">
        <w:rPr>
          <w:rFonts w:hint="cs"/>
          <w:noProof/>
          <w:w w:val="100"/>
          <w:sz w:val="22"/>
          <w:szCs w:val="22"/>
          <w:rtl/>
        </w:rPr>
        <w:pict>
          <v:shape id="_x0000_s1058" type="#_x0000_t202" style="position:absolute;left:0;text-align:left;margin-left:-307.7pt;margin-top:459.4pt;width:46.35pt;height:9pt;z-index:21" stroked="f">
            <v:textbox style="mso-next-textbox:#_x0000_s1058">
              <w:txbxContent>
                <w:p w:rsidR="00D9185D" w:rsidRDefault="00D9185D" w:rsidP="00971AE2"/>
              </w:txbxContent>
            </v:textbox>
          </v:shape>
        </w:pict>
      </w:r>
      <w:r w:rsidRPr="00A03524">
        <w:rPr>
          <w:rFonts w:hint="cs"/>
          <w:noProof/>
          <w:w w:val="100"/>
          <w:sz w:val="22"/>
          <w:szCs w:val="22"/>
          <w:rtl/>
        </w:rPr>
        <w:pict>
          <v:shape id="_x0000_s1061" type="#_x0000_t202" style="position:absolute;left:0;text-align:left;margin-left:-338.6pt;margin-top:447.4pt;width:44.65pt;height:12pt;z-index:24" stroked="f">
            <v:textbox style="mso-next-textbox:#_x0000_s1061">
              <w:txbxContent>
                <w:p w:rsidR="00D9185D" w:rsidRDefault="00D9185D" w:rsidP="00971AE2"/>
              </w:txbxContent>
            </v:textbox>
          </v:shape>
        </w:pict>
      </w:r>
      <w:r w:rsidRPr="00A03524">
        <w:rPr>
          <w:rFonts w:hint="cs"/>
          <w:noProof/>
          <w:w w:val="100"/>
          <w:sz w:val="22"/>
          <w:szCs w:val="22"/>
          <w:rtl/>
        </w:rPr>
        <w:pict>
          <v:shape id="_x0000_s1057" type="#_x0000_t202" style="position:absolute;left:0;text-align:left;margin-left:-184.1pt;margin-top:447.4pt;width:44.65pt;height:12pt;z-index:20" stroked="f">
            <v:textbox style="mso-next-textbox:#_x0000_s1057">
              <w:txbxContent>
                <w:p w:rsidR="00D9185D" w:rsidRDefault="00D9185D" w:rsidP="00971AE2"/>
              </w:txbxContent>
            </v:textbox>
          </v:shape>
        </w:pict>
      </w:r>
      <w:r w:rsidRPr="00A03524">
        <w:rPr>
          <w:rFonts w:hint="cs"/>
          <w:noProof/>
          <w:w w:val="100"/>
          <w:sz w:val="22"/>
          <w:szCs w:val="22"/>
          <w:rtl/>
        </w:rPr>
        <w:pict>
          <v:shape id="_x0000_s1060" type="#_x0000_t202" style="position:absolute;left:0;text-align:left;margin-left:-297.4pt;margin-top:456.4pt;width:25.75pt;height:9pt;z-index:23" stroked="f">
            <v:textbox style="mso-next-textbox:#_x0000_s1060">
              <w:txbxContent>
                <w:p w:rsidR="00D9185D" w:rsidRDefault="00D9185D" w:rsidP="00971AE2"/>
              </w:txbxContent>
            </v:textbox>
          </v:shape>
        </w:pict>
      </w:r>
      <w:r w:rsidRPr="00A03524">
        <w:rPr>
          <w:rFonts w:hint="cs"/>
          <w:noProof/>
          <w:w w:val="100"/>
          <w:sz w:val="22"/>
          <w:szCs w:val="22"/>
          <w:rtl/>
        </w:rPr>
        <w:pict>
          <v:shape id="_x0000_s1059" type="#_x0000_t202" style="position:absolute;left:0;text-align:left;margin-left:-91.4pt;margin-top:456.4pt;width:25.75pt;height:12pt;z-index:22" stroked="f">
            <v:textbox style="mso-next-textbox:#_x0000_s1059">
              <w:txbxContent>
                <w:p w:rsidR="00D9185D" w:rsidRDefault="00D9185D" w:rsidP="00971AE2"/>
              </w:txbxContent>
            </v:textbox>
          </v:shape>
        </w:pict>
      </w:r>
      <w:r w:rsidRPr="00A03524">
        <w:rPr>
          <w:rFonts w:hint="cs"/>
          <w:noProof/>
          <w:w w:val="100"/>
          <w:sz w:val="22"/>
          <w:szCs w:val="22"/>
          <w:rtl/>
        </w:rPr>
        <w:pict>
          <v:shape id="_x0000_s1055" type="#_x0000_t202" style="position:absolute;left:0;text-align:left;margin-left:-142.9pt;margin-top:441.4pt;width:56.65pt;height:27pt;z-index:18" stroked="f">
            <v:textbox style="mso-next-textbox:#_x0000_s1055">
              <w:txbxContent>
                <w:p w:rsidR="00D9185D" w:rsidRDefault="00D9185D" w:rsidP="00971AE2">
                  <w:pPr>
                    <w:rPr>
                      <w:rFonts w:hint="cs"/>
                      <w:b/>
                      <w:bCs/>
                      <w:szCs w:val="20"/>
                    </w:rPr>
                  </w:pPr>
                  <w:r>
                    <w:rPr>
                      <w:rFonts w:hint="cs"/>
                      <w:b/>
                      <w:bCs/>
                      <w:szCs w:val="20"/>
                      <w:rtl/>
                    </w:rPr>
                    <w:t xml:space="preserve">           إناث</w:t>
                  </w:r>
                </w:p>
              </w:txbxContent>
            </v:textbox>
          </v:shape>
        </w:pict>
      </w:r>
      <w:r w:rsidRPr="00A03524">
        <w:rPr>
          <w:rFonts w:hint="cs"/>
          <w:sz w:val="22"/>
          <w:szCs w:val="22"/>
          <w:rtl/>
        </w:rPr>
        <w:t>المصدر: إحصاءات الإدارة الوطنية للتخطيط-</w:t>
      </w:r>
      <w:r w:rsidRPr="00A03524">
        <w:rPr>
          <w:sz w:val="22"/>
          <w:szCs w:val="22"/>
          <w:lang w:val="fr-FR"/>
        </w:rPr>
        <w:t>UDS</w:t>
      </w:r>
      <w:r w:rsidRPr="00A03524">
        <w:rPr>
          <w:rFonts w:hint="cs"/>
          <w:sz w:val="22"/>
          <w:szCs w:val="22"/>
          <w:rtl/>
          <w:lang w:val="fr-FR" w:bidi="ar-EG"/>
        </w:rPr>
        <w:t>-</w:t>
      </w:r>
      <w:r w:rsidRPr="00A03524">
        <w:rPr>
          <w:sz w:val="22"/>
          <w:szCs w:val="22"/>
          <w:lang w:val="fr-FR"/>
        </w:rPr>
        <w:t>DIOGS</w:t>
      </w:r>
      <w:r w:rsidRPr="00A03524">
        <w:rPr>
          <w:rFonts w:hint="cs"/>
          <w:sz w:val="22"/>
          <w:szCs w:val="22"/>
          <w:rtl/>
          <w:lang w:bidi="ar-EG"/>
        </w:rPr>
        <w:t xml:space="preserve"> على أساس تعدادات الإدارة الوطنية للإحصاء</w:t>
      </w:r>
      <w:r w:rsidR="003D7EB4">
        <w:rPr>
          <w:rFonts w:hint="cs"/>
          <w:sz w:val="22"/>
          <w:szCs w:val="22"/>
          <w:rtl/>
          <w:lang w:bidi="ar-EG"/>
        </w:rPr>
        <w:t>،</w:t>
      </w:r>
    </w:p>
    <w:p w:rsidR="00971AE2" w:rsidRDefault="00971AE2" w:rsidP="00A343DF">
      <w:pPr>
        <w:pStyle w:val="SingleTxt"/>
        <w:rPr>
          <w:rFonts w:hint="cs"/>
          <w:rtl/>
        </w:rPr>
      </w:pPr>
      <w:r>
        <w:rPr>
          <w:rFonts w:hint="cs"/>
          <w:rtl/>
        </w:rPr>
        <w:t>تفوقت الإناث على الذكور بصورة طفيفة في السنوات الأخيرة في السنوات المتوسطة من التعليم وهذا الاتجاه مستمر بصورة ثابتة</w:t>
      </w:r>
      <w:r w:rsidR="003D7EB4">
        <w:rPr>
          <w:rFonts w:hint="cs"/>
          <w:rtl/>
        </w:rPr>
        <w:t>،</w:t>
      </w:r>
    </w:p>
    <w:p w:rsidR="00971AE2" w:rsidRDefault="00A343DF" w:rsidP="00A343DF">
      <w:pPr>
        <w:pStyle w:val="SingleTxt"/>
        <w:rPr>
          <w:rFonts w:hint="cs"/>
          <w:b/>
          <w:bCs/>
          <w:rtl/>
        </w:rPr>
      </w:pPr>
      <w:r>
        <w:rPr>
          <w:b/>
          <w:bCs/>
          <w:rtl/>
        </w:rPr>
        <w:br w:type="page"/>
      </w:r>
      <w:r w:rsidR="00971AE2">
        <w:rPr>
          <w:rFonts w:hint="cs"/>
          <w:b/>
          <w:bCs/>
          <w:rtl/>
        </w:rPr>
        <w:t xml:space="preserve">السنوات المتوسطة في التعليم لمن تجاوزوا سن الخامسة عشرة مصنفة حسب الجنس ، 1951-2001 </w:t>
      </w:r>
    </w:p>
    <w:p w:rsidR="00A03524" w:rsidRPr="00A03524" w:rsidRDefault="00A03524" w:rsidP="00A343DF">
      <w:pPr>
        <w:pStyle w:val="SingleTxt"/>
        <w:spacing w:after="0" w:line="120" w:lineRule="exact"/>
        <w:rPr>
          <w:rFonts w:hint="cs"/>
          <w:sz w:val="10"/>
          <w:rtl/>
        </w:rPr>
      </w:pPr>
    </w:p>
    <w:p w:rsidR="00971AE2" w:rsidRDefault="009F0D19" w:rsidP="00A343DF">
      <w:pPr>
        <w:pStyle w:val="SingleTxt"/>
        <w:spacing w:after="0" w:line="120" w:lineRule="exact"/>
        <w:rPr>
          <w:rFonts w:hint="cs"/>
          <w:rtl/>
        </w:rPr>
      </w:pPr>
      <w:r>
        <w:rPr>
          <w:noProof/>
          <w:w w:val="100"/>
          <w:rtl/>
        </w:rPr>
        <w:pict>
          <v:shape id="_x0000_s1085" type="#_x0000_t75" style="position:absolute;left:0;text-align:left;margin-left:82.4pt;margin-top:7pt;width:286.65pt;height:144.1pt;z-index:37" fillcolor="window">
            <v:imagedata r:id="rId15" o:title=""/>
            <w10:wrap type="topAndBottom"/>
          </v:shape>
        </w:pict>
      </w:r>
    </w:p>
    <w:p w:rsidR="00A03524" w:rsidRDefault="00A03524" w:rsidP="00A343DF">
      <w:pPr>
        <w:pStyle w:val="SingleTxt"/>
        <w:spacing w:after="0" w:line="120" w:lineRule="exact"/>
        <w:rPr>
          <w:rFonts w:hint="cs"/>
          <w:rtl/>
        </w:rPr>
      </w:pPr>
    </w:p>
    <w:p w:rsidR="00A03524" w:rsidRDefault="00A03524" w:rsidP="00A343DF">
      <w:pPr>
        <w:pStyle w:val="SingleTxt"/>
        <w:spacing w:after="0" w:line="120" w:lineRule="exact"/>
        <w:rPr>
          <w:rFonts w:hint="cs"/>
          <w:rtl/>
        </w:rPr>
      </w:pPr>
    </w:p>
    <w:p w:rsidR="00A03524" w:rsidRPr="00A03524" w:rsidRDefault="00A03524" w:rsidP="00A343DF">
      <w:pPr>
        <w:pStyle w:val="SingleTxt"/>
        <w:spacing w:after="0" w:line="120" w:lineRule="exact"/>
        <w:rPr>
          <w:sz w:val="10"/>
        </w:rPr>
      </w:pPr>
    </w:p>
    <w:p w:rsidR="00971AE2" w:rsidRPr="00A03524" w:rsidRDefault="00971AE2" w:rsidP="00A343DF">
      <w:pPr>
        <w:pStyle w:val="SingleTxt"/>
        <w:rPr>
          <w:rFonts w:hint="cs"/>
          <w:sz w:val="26"/>
          <w:szCs w:val="26"/>
          <w:rtl/>
        </w:rPr>
      </w:pPr>
      <w:r w:rsidRPr="00A03524">
        <w:rPr>
          <w:rFonts w:hint="cs"/>
          <w:sz w:val="26"/>
          <w:szCs w:val="26"/>
          <w:rtl/>
        </w:rPr>
        <w:t>المصدر: إحصاءات الإدارة الوطنية للتخطيط-</w:t>
      </w:r>
      <w:r w:rsidRPr="00A03524">
        <w:rPr>
          <w:sz w:val="26"/>
          <w:szCs w:val="26"/>
          <w:lang w:val="fr-FR"/>
        </w:rPr>
        <w:t>UDS</w:t>
      </w:r>
      <w:r w:rsidRPr="00A03524">
        <w:rPr>
          <w:rFonts w:hint="cs"/>
          <w:sz w:val="26"/>
          <w:szCs w:val="26"/>
          <w:rtl/>
          <w:lang w:val="fr-FR" w:bidi="ar-EG"/>
        </w:rPr>
        <w:t>-</w:t>
      </w:r>
      <w:r w:rsidRPr="00A03524">
        <w:rPr>
          <w:sz w:val="26"/>
          <w:szCs w:val="26"/>
          <w:lang w:val="fr-FR"/>
        </w:rPr>
        <w:t>DIOGS</w:t>
      </w:r>
      <w:r w:rsidRPr="00A03524">
        <w:rPr>
          <w:rFonts w:hint="cs"/>
          <w:sz w:val="26"/>
          <w:szCs w:val="26"/>
          <w:rtl/>
          <w:lang w:bidi="ar-EG"/>
        </w:rPr>
        <w:t xml:space="preserve"> على أساس تعدادات الإدارة الوطنية للإحصاء</w:t>
      </w:r>
      <w:r w:rsidR="003D7EB4">
        <w:rPr>
          <w:rFonts w:hint="cs"/>
          <w:sz w:val="26"/>
          <w:szCs w:val="26"/>
          <w:rtl/>
          <w:lang w:bidi="ar-EG"/>
        </w:rPr>
        <w:t>،</w:t>
      </w:r>
    </w:p>
    <w:p w:rsidR="00971AE2" w:rsidRDefault="00971AE2" w:rsidP="00A343DF">
      <w:pPr>
        <w:pStyle w:val="SingleTxt"/>
        <w:rPr>
          <w:rFonts w:hint="cs"/>
          <w:rtl/>
          <w:lang w:bidi="ar-EG"/>
        </w:rPr>
      </w:pPr>
      <w:r>
        <w:rPr>
          <w:rFonts w:hint="cs"/>
          <w:rtl/>
          <w:lang w:bidi="ar-EG"/>
        </w:rPr>
        <w:tab/>
        <w:t>وتدل معدلات التغطية على المستوى التعليمي على أنه سواء على المستوى الابتدائي أوالمستوى الثانوي يصل الذكور والإناث إلى التعليم على قدم المساواة، بل إن الإناث استطعن الوصول إلى التعليم الابتدائي بأعداد أكبر في بعض الفترات</w:t>
      </w:r>
      <w:r w:rsidR="003D7EB4">
        <w:rPr>
          <w:rFonts w:hint="cs"/>
          <w:rtl/>
          <w:lang w:bidi="ar-EG"/>
        </w:rPr>
        <w:t>،</w:t>
      </w:r>
    </w:p>
    <w:p w:rsidR="00971AE2" w:rsidRDefault="00971AE2" w:rsidP="00A343DF">
      <w:pPr>
        <w:pStyle w:val="SingleTxt"/>
        <w:rPr>
          <w:rFonts w:hint="cs"/>
          <w:sz w:val="24"/>
          <w:rtl/>
          <w:lang w:bidi="ar-EG"/>
        </w:rPr>
      </w:pPr>
      <w:r>
        <w:rPr>
          <w:rFonts w:hint="cs"/>
          <w:sz w:val="24"/>
          <w:rtl/>
          <w:lang w:bidi="ar-EG"/>
        </w:rPr>
        <w:t>الجدول 1: معدلات التغطية الإجمالية والصافية حسب المستوى التعليمي والجنس (1973-2001)</w:t>
      </w:r>
      <w:r w:rsidR="003D7EB4">
        <w:rPr>
          <w:rFonts w:hint="cs"/>
          <w:sz w:val="24"/>
          <w:rtl/>
          <w:lang w:bidi="ar-EG"/>
        </w:rPr>
        <w:t>،</w:t>
      </w:r>
    </w:p>
    <w:p w:rsidR="00971AE2" w:rsidRDefault="00971AE2" w:rsidP="00A343DF">
      <w:pPr>
        <w:pStyle w:val="SingleTxt"/>
        <w:rPr>
          <w:rFonts w:hint="cs"/>
          <w:b/>
          <w:bCs/>
          <w:rtl/>
          <w:lang w:bidi="ar-EG"/>
        </w:rPr>
      </w:pPr>
      <w:r>
        <w:rPr>
          <w:rFonts w:hint="cs"/>
          <w:b/>
          <w:bCs/>
          <w:rtl/>
          <w:lang w:bidi="ar-EG"/>
        </w:rPr>
        <w:t>التغطية الإجمالية</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971AE2" w:rsidRPr="007836A7">
        <w:tblPrEx>
          <w:tblCellMar>
            <w:top w:w="0" w:type="dxa"/>
            <w:bottom w:w="0" w:type="dxa"/>
          </w:tblCellMar>
        </w:tblPrEx>
        <w:trPr>
          <w:cantSplit/>
          <w:tblHeader/>
        </w:trPr>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7836A7">
              <w:rPr>
                <w:rFonts w:hint="cs"/>
                <w:i/>
                <w:iCs/>
                <w:sz w:val="24"/>
                <w:szCs w:val="24"/>
                <w:rtl/>
              </w:rPr>
              <w:t>المستوى</w:t>
            </w: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i/>
                <w:iCs/>
                <w:sz w:val="24"/>
                <w:szCs w:val="24"/>
                <w:rtl/>
              </w:rPr>
            </w:pPr>
            <w:r w:rsidRPr="007836A7">
              <w:rPr>
                <w:rFonts w:hint="cs"/>
                <w:i/>
                <w:iCs/>
                <w:sz w:val="24"/>
                <w:szCs w:val="24"/>
                <w:rtl/>
              </w:rPr>
              <w:t>1973</w:t>
            </w: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7836A7">
              <w:rPr>
                <w:rFonts w:hint="cs"/>
                <w:i/>
                <w:iCs/>
                <w:sz w:val="24"/>
                <w:szCs w:val="24"/>
                <w:rtl/>
              </w:rPr>
              <w:t>1985</w:t>
            </w: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7836A7">
              <w:rPr>
                <w:rFonts w:hint="cs"/>
                <w:i/>
                <w:iCs/>
                <w:sz w:val="24"/>
                <w:szCs w:val="24"/>
                <w:rtl/>
              </w:rPr>
              <w:t>1993</w:t>
            </w: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7836A7">
              <w:rPr>
                <w:rFonts w:hint="cs"/>
                <w:i/>
                <w:iCs/>
                <w:sz w:val="24"/>
                <w:szCs w:val="24"/>
                <w:rtl/>
              </w:rPr>
              <w:t>2001</w:t>
            </w:r>
          </w:p>
        </w:tc>
      </w:tr>
      <w:tr w:rsidR="00971AE2" w:rsidRPr="007836A7">
        <w:tblPrEx>
          <w:tblCellMar>
            <w:top w:w="0" w:type="dxa"/>
            <w:bottom w:w="0" w:type="dxa"/>
          </w:tblCellMar>
        </w:tblPrEx>
        <w:trPr>
          <w:cantSplit/>
          <w:trHeight w:hRule="exact" w:val="115"/>
          <w:tblHeader/>
        </w:trPr>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7836A7">
              <w:rPr>
                <w:rFonts w:hint="cs"/>
                <w:sz w:val="24"/>
                <w:szCs w:val="24"/>
                <w:rtl/>
              </w:rPr>
              <w:t>الابتدائي</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الذكور</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97</w:t>
            </w:r>
            <w:r w:rsidR="00FC46DD">
              <w:rPr>
                <w:rFonts w:hint="cs"/>
                <w:sz w:val="24"/>
                <w:szCs w:val="24"/>
                <w:rtl/>
              </w:rPr>
              <w:t>.</w:t>
            </w:r>
            <w:r w:rsidRPr="007836A7">
              <w:rPr>
                <w:rFonts w:hint="cs"/>
                <w:sz w:val="24"/>
                <w:szCs w:val="24"/>
                <w:rtl/>
              </w:rPr>
              <w:t>2</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103</w:t>
            </w:r>
            <w:r w:rsidR="00FC46DD">
              <w:rPr>
                <w:rFonts w:hint="cs"/>
                <w:sz w:val="24"/>
                <w:szCs w:val="24"/>
                <w:rtl/>
              </w:rPr>
              <w:t>.</w:t>
            </w:r>
            <w:r w:rsidRPr="007836A7">
              <w:rPr>
                <w:rFonts w:hint="cs"/>
                <w:sz w:val="24"/>
                <w:szCs w:val="24"/>
                <w:rtl/>
              </w:rPr>
              <w:t>0</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108</w:t>
            </w:r>
            <w:r w:rsidR="00FC46DD">
              <w:rPr>
                <w:rFonts w:hint="cs"/>
                <w:sz w:val="24"/>
                <w:szCs w:val="24"/>
                <w:rtl/>
              </w:rPr>
              <w:t>.</w:t>
            </w:r>
            <w:r w:rsidRPr="007836A7">
              <w:rPr>
                <w:rFonts w:hint="cs"/>
                <w:sz w:val="24"/>
                <w:szCs w:val="24"/>
                <w:rtl/>
              </w:rPr>
              <w:t>8</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112</w:t>
            </w:r>
            <w:r w:rsidR="00FC46DD">
              <w:rPr>
                <w:rFonts w:hint="cs"/>
                <w:sz w:val="24"/>
                <w:szCs w:val="24"/>
                <w:rtl/>
              </w:rPr>
              <w:t>.</w:t>
            </w:r>
            <w:r w:rsidRPr="007836A7">
              <w:rPr>
                <w:rFonts w:hint="cs"/>
                <w:sz w:val="24"/>
                <w:szCs w:val="24"/>
                <w:rtl/>
              </w:rPr>
              <w:t>5</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الإناث</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101</w:t>
            </w:r>
            <w:r w:rsidR="00FC46DD">
              <w:rPr>
                <w:rFonts w:hint="cs"/>
                <w:sz w:val="24"/>
                <w:szCs w:val="24"/>
                <w:rtl/>
              </w:rPr>
              <w:t>.</w:t>
            </w:r>
            <w:r w:rsidRPr="007836A7">
              <w:rPr>
                <w:rFonts w:hint="cs"/>
                <w:sz w:val="24"/>
                <w:szCs w:val="24"/>
                <w:rtl/>
              </w:rPr>
              <w:t>9</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107</w:t>
            </w:r>
            <w:r w:rsidR="00FC46DD">
              <w:rPr>
                <w:rFonts w:hint="cs"/>
                <w:sz w:val="24"/>
                <w:szCs w:val="24"/>
                <w:rtl/>
              </w:rPr>
              <w:t>.</w:t>
            </w:r>
            <w:r w:rsidRPr="007836A7">
              <w:rPr>
                <w:rFonts w:hint="cs"/>
                <w:sz w:val="24"/>
                <w:szCs w:val="24"/>
                <w:rtl/>
              </w:rPr>
              <w:t>0</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111</w:t>
            </w:r>
            <w:r w:rsidR="00FC46DD">
              <w:rPr>
                <w:rFonts w:hint="cs"/>
                <w:sz w:val="24"/>
                <w:szCs w:val="24"/>
                <w:rtl/>
              </w:rPr>
              <w:t>.</w:t>
            </w:r>
            <w:r w:rsidRPr="007836A7">
              <w:rPr>
                <w:rFonts w:hint="cs"/>
                <w:sz w:val="24"/>
                <w:szCs w:val="24"/>
                <w:rtl/>
              </w:rPr>
              <w:t>4</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110</w:t>
            </w:r>
            <w:r w:rsidR="00FC46DD">
              <w:rPr>
                <w:rFonts w:hint="cs"/>
                <w:sz w:val="24"/>
                <w:szCs w:val="24"/>
                <w:rtl/>
              </w:rPr>
              <w:t>.</w:t>
            </w:r>
            <w:r w:rsidRPr="007836A7">
              <w:rPr>
                <w:rFonts w:hint="cs"/>
                <w:sz w:val="24"/>
                <w:szCs w:val="24"/>
                <w:rtl/>
              </w:rPr>
              <w:t>8</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المجموع</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99</w:t>
            </w:r>
            <w:r w:rsidR="00FC46DD">
              <w:rPr>
                <w:rFonts w:hint="cs"/>
                <w:sz w:val="24"/>
                <w:szCs w:val="24"/>
                <w:rtl/>
              </w:rPr>
              <w:t>.</w:t>
            </w:r>
            <w:r w:rsidRPr="007836A7">
              <w:rPr>
                <w:rFonts w:hint="cs"/>
                <w:sz w:val="24"/>
                <w:szCs w:val="24"/>
                <w:rtl/>
              </w:rPr>
              <w:t>5</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105</w:t>
            </w:r>
            <w:r w:rsidR="00FC46DD">
              <w:rPr>
                <w:rFonts w:hint="cs"/>
                <w:sz w:val="24"/>
                <w:szCs w:val="24"/>
                <w:rtl/>
              </w:rPr>
              <w:t>.</w:t>
            </w:r>
            <w:r w:rsidRPr="007836A7">
              <w:rPr>
                <w:rFonts w:hint="cs"/>
                <w:sz w:val="24"/>
                <w:szCs w:val="24"/>
                <w:rtl/>
              </w:rPr>
              <w:t>0</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110</w:t>
            </w:r>
            <w:r w:rsidR="00FC46DD">
              <w:rPr>
                <w:rFonts w:hint="cs"/>
                <w:sz w:val="24"/>
                <w:szCs w:val="24"/>
                <w:rtl/>
              </w:rPr>
              <w:t>.</w:t>
            </w:r>
            <w:r w:rsidRPr="007836A7">
              <w:rPr>
                <w:rFonts w:hint="cs"/>
                <w:sz w:val="24"/>
                <w:szCs w:val="24"/>
                <w:rtl/>
              </w:rPr>
              <w:t>1</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111</w:t>
            </w:r>
            <w:r w:rsidR="00FC46DD">
              <w:rPr>
                <w:rFonts w:hint="cs"/>
                <w:sz w:val="24"/>
                <w:szCs w:val="24"/>
                <w:rtl/>
              </w:rPr>
              <w:t>.</w:t>
            </w:r>
            <w:r w:rsidRPr="007836A7">
              <w:rPr>
                <w:rFonts w:hint="cs"/>
                <w:sz w:val="24"/>
                <w:szCs w:val="24"/>
                <w:rtl/>
              </w:rPr>
              <w:t>6</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7836A7">
              <w:rPr>
                <w:rFonts w:hint="cs"/>
                <w:sz w:val="24"/>
                <w:szCs w:val="24"/>
                <w:rtl/>
              </w:rPr>
              <w:t>الثانوي</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الذكور</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33</w:t>
            </w:r>
            <w:r w:rsidR="00FC46DD">
              <w:rPr>
                <w:rFonts w:hint="cs"/>
                <w:sz w:val="24"/>
                <w:szCs w:val="24"/>
                <w:rtl/>
              </w:rPr>
              <w:t>.</w:t>
            </w:r>
            <w:r w:rsidRPr="007836A7">
              <w:rPr>
                <w:rFonts w:hint="cs"/>
                <w:sz w:val="24"/>
                <w:szCs w:val="24"/>
                <w:rtl/>
              </w:rPr>
              <w:t>2</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48</w:t>
            </w:r>
            <w:r w:rsidR="00FC46DD">
              <w:rPr>
                <w:rFonts w:hint="cs"/>
                <w:sz w:val="24"/>
                <w:szCs w:val="24"/>
                <w:rtl/>
              </w:rPr>
              <w:t>.</w:t>
            </w:r>
            <w:r w:rsidRPr="007836A7">
              <w:rPr>
                <w:rFonts w:hint="cs"/>
                <w:sz w:val="24"/>
                <w:szCs w:val="24"/>
                <w:rtl/>
              </w:rPr>
              <w:t>3</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62</w:t>
            </w:r>
            <w:r w:rsidR="00FC46DD">
              <w:rPr>
                <w:rFonts w:hint="cs"/>
                <w:sz w:val="24"/>
                <w:szCs w:val="24"/>
                <w:rtl/>
              </w:rPr>
              <w:t>.</w:t>
            </w:r>
            <w:r w:rsidRPr="007836A7">
              <w:rPr>
                <w:rFonts w:hint="cs"/>
                <w:sz w:val="24"/>
                <w:szCs w:val="24"/>
                <w:rtl/>
              </w:rPr>
              <w:t>2</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80</w:t>
            </w:r>
            <w:r w:rsidR="00FC46DD">
              <w:rPr>
                <w:rFonts w:hint="cs"/>
                <w:sz w:val="24"/>
                <w:szCs w:val="24"/>
                <w:rtl/>
              </w:rPr>
              <w:t>.</w:t>
            </w:r>
            <w:r w:rsidRPr="007836A7">
              <w:rPr>
                <w:rFonts w:hint="cs"/>
                <w:sz w:val="24"/>
                <w:szCs w:val="24"/>
                <w:rtl/>
              </w:rPr>
              <w:t>7</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الإناث</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31</w:t>
            </w:r>
            <w:r w:rsidR="00FC46DD">
              <w:rPr>
                <w:rFonts w:hint="cs"/>
                <w:sz w:val="24"/>
                <w:szCs w:val="24"/>
                <w:rtl/>
              </w:rPr>
              <w:t>.</w:t>
            </w:r>
            <w:r w:rsidRPr="007836A7">
              <w:rPr>
                <w:rFonts w:hint="cs"/>
                <w:sz w:val="24"/>
                <w:szCs w:val="24"/>
                <w:rtl/>
              </w:rPr>
              <w:t>9</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55</w:t>
            </w:r>
            <w:r w:rsidR="00FC46DD">
              <w:rPr>
                <w:rFonts w:hint="cs"/>
                <w:sz w:val="24"/>
                <w:szCs w:val="24"/>
                <w:rtl/>
              </w:rPr>
              <w:t>.</w:t>
            </w:r>
            <w:r w:rsidRPr="007836A7">
              <w:rPr>
                <w:rFonts w:hint="cs"/>
                <w:sz w:val="24"/>
                <w:szCs w:val="24"/>
                <w:rtl/>
              </w:rPr>
              <w:t>7</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71</w:t>
            </w:r>
            <w:r w:rsidR="00FC46DD">
              <w:rPr>
                <w:rFonts w:hint="cs"/>
                <w:sz w:val="24"/>
                <w:szCs w:val="24"/>
                <w:rtl/>
              </w:rPr>
              <w:t>.</w:t>
            </w:r>
            <w:r w:rsidRPr="007836A7">
              <w:rPr>
                <w:rFonts w:hint="cs"/>
                <w:sz w:val="24"/>
                <w:szCs w:val="24"/>
                <w:rtl/>
              </w:rPr>
              <w:t>8</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85</w:t>
            </w:r>
            <w:r w:rsidR="00FC46DD">
              <w:rPr>
                <w:rFonts w:hint="cs"/>
                <w:sz w:val="24"/>
                <w:szCs w:val="24"/>
                <w:rtl/>
              </w:rPr>
              <w:t>.</w:t>
            </w:r>
            <w:r w:rsidRPr="007836A7">
              <w:rPr>
                <w:rFonts w:hint="cs"/>
                <w:sz w:val="24"/>
                <w:szCs w:val="24"/>
                <w:rtl/>
              </w:rPr>
              <w:t>8</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المجموع</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32</w:t>
            </w:r>
            <w:r w:rsidR="00FC46DD">
              <w:rPr>
                <w:rFonts w:hint="cs"/>
                <w:sz w:val="24"/>
                <w:szCs w:val="24"/>
                <w:rtl/>
              </w:rPr>
              <w:t>.</w:t>
            </w:r>
            <w:r w:rsidRPr="007836A7">
              <w:rPr>
                <w:rFonts w:hint="cs"/>
                <w:sz w:val="24"/>
                <w:szCs w:val="24"/>
                <w:rtl/>
              </w:rPr>
              <w:t>5</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52</w:t>
            </w:r>
            <w:r w:rsidR="00FC46DD">
              <w:rPr>
                <w:rFonts w:hint="cs"/>
                <w:sz w:val="24"/>
                <w:szCs w:val="24"/>
                <w:rtl/>
              </w:rPr>
              <w:t>.</w:t>
            </w:r>
            <w:r w:rsidRPr="007836A7">
              <w:rPr>
                <w:rFonts w:hint="cs"/>
                <w:sz w:val="24"/>
                <w:szCs w:val="24"/>
                <w:rtl/>
              </w:rPr>
              <w:t>1</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67</w:t>
            </w:r>
            <w:r w:rsidR="00FC46DD">
              <w:rPr>
                <w:rFonts w:hint="cs"/>
                <w:sz w:val="24"/>
                <w:szCs w:val="24"/>
                <w:rtl/>
              </w:rPr>
              <w:t>.</w:t>
            </w:r>
            <w:r w:rsidRPr="007836A7">
              <w:rPr>
                <w:rFonts w:hint="cs"/>
                <w:sz w:val="24"/>
                <w:szCs w:val="24"/>
                <w:rtl/>
              </w:rPr>
              <w:t>0</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83</w:t>
            </w:r>
            <w:r w:rsidR="00FC46DD">
              <w:rPr>
                <w:rFonts w:hint="cs"/>
                <w:sz w:val="24"/>
                <w:szCs w:val="24"/>
                <w:rtl/>
              </w:rPr>
              <w:t>.</w:t>
            </w:r>
            <w:r w:rsidRPr="007836A7">
              <w:rPr>
                <w:rFonts w:hint="cs"/>
                <w:sz w:val="24"/>
                <w:szCs w:val="24"/>
                <w:rtl/>
              </w:rPr>
              <w:t>2</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7836A7">
              <w:rPr>
                <w:rFonts w:hint="cs"/>
                <w:sz w:val="24"/>
                <w:szCs w:val="24"/>
                <w:rtl/>
              </w:rPr>
              <w:t>العالي</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الذكور</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w:t>
            </w:r>
            <w:r w:rsidR="00FC46DD">
              <w:rPr>
                <w:rFonts w:hint="cs"/>
                <w:sz w:val="24"/>
                <w:szCs w:val="24"/>
                <w:rtl/>
              </w:rPr>
              <w:t>.</w:t>
            </w:r>
            <w:r w:rsidRPr="007836A7">
              <w:rPr>
                <w:rFonts w:hint="cs"/>
                <w:sz w:val="24"/>
                <w:szCs w:val="24"/>
                <w:rtl/>
              </w:rPr>
              <w:t>2</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w:t>
            </w:r>
            <w:r w:rsidR="00FC46DD">
              <w:rPr>
                <w:rFonts w:hint="cs"/>
                <w:sz w:val="24"/>
                <w:szCs w:val="24"/>
                <w:rtl/>
              </w:rPr>
              <w:t>.</w:t>
            </w:r>
            <w:r w:rsidRPr="007836A7">
              <w:rPr>
                <w:rFonts w:hint="cs"/>
                <w:sz w:val="24"/>
                <w:szCs w:val="24"/>
                <w:rtl/>
              </w:rPr>
              <w:t>8</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13</w:t>
            </w:r>
            <w:r w:rsidR="00FC46DD">
              <w:rPr>
                <w:rFonts w:hint="cs"/>
                <w:sz w:val="24"/>
                <w:szCs w:val="24"/>
                <w:rtl/>
              </w:rPr>
              <w:t>.</w:t>
            </w:r>
            <w:r w:rsidRPr="007836A7">
              <w:rPr>
                <w:rFonts w:hint="cs"/>
                <w:sz w:val="24"/>
                <w:szCs w:val="24"/>
                <w:rtl/>
              </w:rPr>
              <w:t>7</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21</w:t>
            </w:r>
            <w:r w:rsidR="00FC46DD">
              <w:rPr>
                <w:rFonts w:hint="cs"/>
                <w:sz w:val="24"/>
                <w:szCs w:val="24"/>
                <w:rtl/>
              </w:rPr>
              <w:t>.</w:t>
            </w:r>
            <w:r w:rsidRPr="007836A7">
              <w:rPr>
                <w:rFonts w:hint="cs"/>
                <w:sz w:val="24"/>
                <w:szCs w:val="24"/>
                <w:rtl/>
              </w:rPr>
              <w:t>8</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الإناث</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3</w:t>
            </w:r>
            <w:r w:rsidR="00FC46DD">
              <w:rPr>
                <w:rFonts w:hint="cs"/>
                <w:sz w:val="24"/>
                <w:szCs w:val="24"/>
                <w:rtl/>
              </w:rPr>
              <w:t>.</w:t>
            </w:r>
            <w:r w:rsidRPr="007836A7">
              <w:rPr>
                <w:rFonts w:hint="cs"/>
                <w:sz w:val="24"/>
                <w:szCs w:val="24"/>
                <w:rtl/>
              </w:rPr>
              <w:t>0</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7</w:t>
            </w:r>
            <w:r w:rsidR="00FC46DD">
              <w:rPr>
                <w:rFonts w:hint="cs"/>
                <w:sz w:val="24"/>
                <w:szCs w:val="24"/>
                <w:rtl/>
              </w:rPr>
              <w:t>.</w:t>
            </w:r>
            <w:r w:rsidRPr="007836A7">
              <w:rPr>
                <w:rFonts w:hint="cs"/>
                <w:sz w:val="24"/>
                <w:szCs w:val="24"/>
                <w:rtl/>
              </w:rPr>
              <w:t>3</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13</w:t>
            </w:r>
            <w:r w:rsidR="00FC46DD">
              <w:rPr>
                <w:rFonts w:hint="cs"/>
                <w:sz w:val="24"/>
                <w:szCs w:val="24"/>
                <w:rtl/>
              </w:rPr>
              <w:t>.</w:t>
            </w:r>
            <w:r w:rsidRPr="007836A7">
              <w:rPr>
                <w:rFonts w:hint="cs"/>
                <w:sz w:val="24"/>
                <w:szCs w:val="24"/>
                <w:rtl/>
              </w:rPr>
              <w:t>9</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22</w:t>
            </w:r>
            <w:r w:rsidR="00FC46DD">
              <w:rPr>
                <w:rFonts w:hint="cs"/>
                <w:sz w:val="24"/>
                <w:szCs w:val="24"/>
                <w:rtl/>
              </w:rPr>
              <w:t>.</w:t>
            </w:r>
            <w:r w:rsidRPr="007836A7">
              <w:rPr>
                <w:rFonts w:hint="cs"/>
                <w:sz w:val="24"/>
                <w:szCs w:val="24"/>
                <w:rtl/>
              </w:rPr>
              <w:t>6</w:t>
            </w:r>
          </w:p>
        </w:tc>
      </w:tr>
      <w:tr w:rsidR="00971AE2" w:rsidRPr="007836A7">
        <w:tblPrEx>
          <w:tblCellMar>
            <w:top w:w="0" w:type="dxa"/>
            <w:bottom w:w="0" w:type="dxa"/>
          </w:tblCellMar>
        </w:tblPrEx>
        <w:trPr>
          <w:cantSplit/>
        </w:trPr>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المجموع</w:t>
            </w: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4</w:t>
            </w:r>
            <w:r w:rsidR="00FC46DD">
              <w:rPr>
                <w:rFonts w:hint="cs"/>
                <w:sz w:val="24"/>
                <w:szCs w:val="24"/>
                <w:rtl/>
              </w:rPr>
              <w:t>.</w:t>
            </w:r>
            <w:r w:rsidRPr="007836A7">
              <w:rPr>
                <w:rFonts w:hint="cs"/>
                <w:sz w:val="24"/>
                <w:szCs w:val="24"/>
                <w:rtl/>
              </w:rPr>
              <w:t>5</w:t>
            </w: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w:t>
            </w:r>
            <w:r w:rsidR="00FC46DD">
              <w:rPr>
                <w:rFonts w:hint="cs"/>
                <w:sz w:val="24"/>
                <w:szCs w:val="24"/>
                <w:rtl/>
              </w:rPr>
              <w:t>.</w:t>
            </w:r>
            <w:r w:rsidRPr="007836A7">
              <w:rPr>
                <w:rFonts w:hint="cs"/>
                <w:sz w:val="24"/>
                <w:szCs w:val="24"/>
                <w:rtl/>
              </w:rPr>
              <w:t>0</w:t>
            </w: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13</w:t>
            </w:r>
            <w:r w:rsidR="00FC46DD">
              <w:rPr>
                <w:rFonts w:hint="cs"/>
                <w:sz w:val="24"/>
                <w:szCs w:val="24"/>
                <w:rtl/>
              </w:rPr>
              <w:t>.</w:t>
            </w:r>
            <w:r w:rsidRPr="007836A7">
              <w:rPr>
                <w:rFonts w:hint="cs"/>
                <w:sz w:val="24"/>
                <w:szCs w:val="24"/>
                <w:rtl/>
              </w:rPr>
              <w:t>8</w:t>
            </w: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22</w:t>
            </w:r>
            <w:r w:rsidR="00FC46DD">
              <w:rPr>
                <w:rFonts w:hint="cs"/>
                <w:sz w:val="24"/>
                <w:szCs w:val="24"/>
                <w:rtl/>
              </w:rPr>
              <w:t>.</w:t>
            </w:r>
            <w:r w:rsidRPr="007836A7">
              <w:rPr>
                <w:rFonts w:hint="cs"/>
                <w:sz w:val="24"/>
                <w:szCs w:val="24"/>
                <w:rtl/>
              </w:rPr>
              <w:t>2</w:t>
            </w:r>
          </w:p>
        </w:tc>
      </w:tr>
    </w:tbl>
    <w:p w:rsidR="00971AE2" w:rsidRDefault="00971AE2" w:rsidP="00A343DF">
      <w:pPr>
        <w:pStyle w:val="SingleTxt"/>
        <w:spacing w:after="0" w:line="120" w:lineRule="exact"/>
        <w:rPr>
          <w:sz w:val="10"/>
          <w:rtl/>
          <w:lang w:bidi="ar-EG"/>
        </w:rPr>
      </w:pPr>
    </w:p>
    <w:p w:rsidR="00971AE2" w:rsidRDefault="00971AE2" w:rsidP="00A343DF">
      <w:pPr>
        <w:pStyle w:val="SingleTxt"/>
        <w:rPr>
          <w:rFonts w:hint="cs"/>
          <w:b/>
          <w:bCs/>
          <w:rtl/>
          <w:lang w:bidi="ar-EG"/>
        </w:rPr>
      </w:pPr>
      <w:r>
        <w:rPr>
          <w:rFonts w:hint="cs"/>
          <w:b/>
          <w:bCs/>
          <w:rtl/>
          <w:lang w:bidi="ar-EG"/>
        </w:rPr>
        <w:t>التغطية الصافية</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955"/>
        <w:gridCol w:w="954"/>
        <w:gridCol w:w="2549"/>
        <w:gridCol w:w="954"/>
        <w:gridCol w:w="954"/>
        <w:gridCol w:w="954"/>
      </w:tblGrid>
      <w:tr w:rsidR="00971AE2" w:rsidRPr="007836A7">
        <w:tblPrEx>
          <w:tblCellMar>
            <w:top w:w="0" w:type="dxa"/>
            <w:bottom w:w="0" w:type="dxa"/>
          </w:tblCellMar>
        </w:tblPrEx>
        <w:trPr>
          <w:cantSplit/>
          <w:tblHeader/>
        </w:trPr>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7836A7">
              <w:rPr>
                <w:rFonts w:hint="cs"/>
                <w:i/>
                <w:iCs/>
                <w:sz w:val="24"/>
                <w:szCs w:val="24"/>
                <w:rtl/>
              </w:rPr>
              <w:t>المستوى</w:t>
            </w: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i/>
                <w:iCs/>
                <w:sz w:val="24"/>
                <w:szCs w:val="24"/>
                <w:rtl/>
              </w:rPr>
            </w:pPr>
            <w:r w:rsidRPr="007836A7">
              <w:rPr>
                <w:rFonts w:hint="cs"/>
                <w:i/>
                <w:iCs/>
                <w:sz w:val="24"/>
                <w:szCs w:val="24"/>
                <w:rtl/>
              </w:rPr>
              <w:t>1973</w:t>
            </w: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7836A7">
              <w:rPr>
                <w:rFonts w:hint="cs"/>
                <w:i/>
                <w:iCs/>
                <w:sz w:val="24"/>
                <w:szCs w:val="24"/>
                <w:rtl/>
              </w:rPr>
              <w:t>1985</w:t>
            </w: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7836A7">
              <w:rPr>
                <w:rFonts w:hint="cs"/>
                <w:i/>
                <w:iCs/>
                <w:sz w:val="24"/>
                <w:szCs w:val="24"/>
                <w:rtl/>
              </w:rPr>
              <w:t>1993</w:t>
            </w:r>
          </w:p>
        </w:tc>
        <w:tc>
          <w:tcPr>
            <w:tcW w:w="122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7836A7">
              <w:rPr>
                <w:rFonts w:hint="cs"/>
                <w:i/>
                <w:iCs/>
                <w:sz w:val="24"/>
                <w:szCs w:val="24"/>
                <w:rtl/>
              </w:rPr>
              <w:t>2001</w:t>
            </w:r>
          </w:p>
        </w:tc>
      </w:tr>
      <w:tr w:rsidR="00971AE2" w:rsidRPr="007836A7">
        <w:tblPrEx>
          <w:tblCellMar>
            <w:top w:w="0" w:type="dxa"/>
            <w:bottom w:w="0" w:type="dxa"/>
          </w:tblCellMar>
        </w:tblPrEx>
        <w:trPr>
          <w:cantSplit/>
          <w:trHeight w:hRule="exact" w:val="115"/>
          <w:tblHeader/>
        </w:trPr>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22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7836A7">
              <w:rPr>
                <w:rFonts w:hint="cs"/>
                <w:sz w:val="24"/>
                <w:szCs w:val="24"/>
                <w:rtl/>
              </w:rPr>
              <w:t>الابتدائي</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الذكور</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57</w:t>
            </w:r>
            <w:r w:rsidR="00FC46DD">
              <w:rPr>
                <w:rFonts w:hint="cs"/>
                <w:sz w:val="24"/>
                <w:szCs w:val="24"/>
                <w:rtl/>
              </w:rPr>
              <w:t>.</w:t>
            </w:r>
            <w:r w:rsidRPr="007836A7">
              <w:rPr>
                <w:rFonts w:hint="cs"/>
                <w:sz w:val="24"/>
                <w:szCs w:val="24"/>
                <w:rtl/>
              </w:rPr>
              <w:t>3</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65</w:t>
            </w:r>
            <w:r w:rsidR="00FC46DD">
              <w:rPr>
                <w:rFonts w:hint="cs"/>
                <w:sz w:val="24"/>
                <w:szCs w:val="24"/>
                <w:rtl/>
              </w:rPr>
              <w:t>.</w:t>
            </w:r>
            <w:r w:rsidRPr="007836A7">
              <w:rPr>
                <w:rFonts w:hint="cs"/>
                <w:sz w:val="24"/>
                <w:szCs w:val="24"/>
                <w:rtl/>
              </w:rPr>
              <w:t>0</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76</w:t>
            </w:r>
            <w:r w:rsidR="00FC46DD">
              <w:rPr>
                <w:rFonts w:hint="cs"/>
                <w:sz w:val="24"/>
                <w:szCs w:val="24"/>
                <w:rtl/>
              </w:rPr>
              <w:t>.</w:t>
            </w:r>
            <w:r w:rsidRPr="007836A7">
              <w:rPr>
                <w:rFonts w:hint="cs"/>
                <w:sz w:val="24"/>
                <w:szCs w:val="24"/>
                <w:rtl/>
              </w:rPr>
              <w:t>9</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82</w:t>
            </w:r>
            <w:r w:rsidR="00FC46DD">
              <w:rPr>
                <w:rFonts w:hint="cs"/>
                <w:sz w:val="24"/>
                <w:szCs w:val="24"/>
                <w:rtl/>
              </w:rPr>
              <w:t>.</w:t>
            </w:r>
            <w:r w:rsidRPr="007836A7">
              <w:rPr>
                <w:rFonts w:hint="cs"/>
                <w:sz w:val="24"/>
                <w:szCs w:val="24"/>
                <w:rtl/>
              </w:rPr>
              <w:t>7</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الإناث</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60</w:t>
            </w:r>
            <w:r w:rsidR="00FC46DD">
              <w:rPr>
                <w:rFonts w:hint="cs"/>
                <w:sz w:val="24"/>
                <w:szCs w:val="24"/>
                <w:rtl/>
              </w:rPr>
              <w:t>.</w:t>
            </w:r>
            <w:r w:rsidRPr="007836A7">
              <w:rPr>
                <w:rFonts w:hint="cs"/>
                <w:sz w:val="24"/>
                <w:szCs w:val="24"/>
                <w:rtl/>
              </w:rPr>
              <w:t>3</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68</w:t>
            </w:r>
            <w:r w:rsidR="00FC46DD">
              <w:rPr>
                <w:rFonts w:hint="cs"/>
                <w:sz w:val="24"/>
                <w:szCs w:val="24"/>
                <w:rtl/>
              </w:rPr>
              <w:t>.</w:t>
            </w:r>
            <w:r w:rsidRPr="007836A7">
              <w:rPr>
                <w:rFonts w:hint="cs"/>
                <w:sz w:val="24"/>
                <w:szCs w:val="24"/>
                <w:rtl/>
              </w:rPr>
              <w:t>4</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78</w:t>
            </w:r>
            <w:r w:rsidR="00FC46DD">
              <w:rPr>
                <w:rFonts w:hint="cs"/>
                <w:sz w:val="24"/>
                <w:szCs w:val="24"/>
                <w:rtl/>
              </w:rPr>
              <w:t>.</w:t>
            </w:r>
            <w:r w:rsidRPr="007836A7">
              <w:rPr>
                <w:rFonts w:hint="cs"/>
                <w:sz w:val="24"/>
                <w:szCs w:val="24"/>
                <w:rtl/>
              </w:rPr>
              <w:t>9</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82</w:t>
            </w:r>
            <w:r w:rsidR="00FC46DD">
              <w:rPr>
                <w:rFonts w:hint="cs"/>
                <w:sz w:val="24"/>
                <w:szCs w:val="24"/>
                <w:rtl/>
              </w:rPr>
              <w:t>.</w:t>
            </w:r>
            <w:r w:rsidRPr="007836A7">
              <w:rPr>
                <w:rFonts w:hint="cs"/>
                <w:sz w:val="24"/>
                <w:szCs w:val="24"/>
                <w:rtl/>
              </w:rPr>
              <w:t>2</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المجموع</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58</w:t>
            </w:r>
            <w:r w:rsidR="00FC46DD">
              <w:rPr>
                <w:rFonts w:hint="cs"/>
                <w:sz w:val="24"/>
                <w:szCs w:val="24"/>
                <w:rtl/>
              </w:rPr>
              <w:t>.</w:t>
            </w:r>
            <w:r w:rsidRPr="007836A7">
              <w:rPr>
                <w:rFonts w:hint="cs"/>
                <w:sz w:val="24"/>
                <w:szCs w:val="24"/>
                <w:rtl/>
              </w:rPr>
              <w:t>8</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66</w:t>
            </w:r>
            <w:r w:rsidR="00FC46DD">
              <w:rPr>
                <w:rFonts w:hint="cs"/>
                <w:sz w:val="24"/>
                <w:szCs w:val="24"/>
                <w:rtl/>
              </w:rPr>
              <w:t>.</w:t>
            </w:r>
            <w:r w:rsidRPr="007836A7">
              <w:rPr>
                <w:rFonts w:hint="cs"/>
                <w:sz w:val="24"/>
                <w:szCs w:val="24"/>
                <w:rtl/>
              </w:rPr>
              <w:t>6</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77</w:t>
            </w:r>
            <w:r w:rsidR="00FC46DD">
              <w:rPr>
                <w:rFonts w:hint="cs"/>
                <w:sz w:val="24"/>
                <w:szCs w:val="24"/>
                <w:rtl/>
              </w:rPr>
              <w:t>.</w:t>
            </w:r>
            <w:r w:rsidRPr="007836A7">
              <w:rPr>
                <w:rFonts w:hint="cs"/>
                <w:sz w:val="24"/>
                <w:szCs w:val="24"/>
                <w:rtl/>
              </w:rPr>
              <w:t>9</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82</w:t>
            </w:r>
            <w:r w:rsidR="00FC46DD">
              <w:rPr>
                <w:rFonts w:hint="cs"/>
                <w:sz w:val="24"/>
                <w:szCs w:val="24"/>
                <w:rtl/>
              </w:rPr>
              <w:t>.</w:t>
            </w:r>
            <w:r w:rsidRPr="007836A7">
              <w:rPr>
                <w:rFonts w:hint="cs"/>
                <w:sz w:val="24"/>
                <w:szCs w:val="24"/>
                <w:rtl/>
              </w:rPr>
              <w:t>4</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7836A7">
              <w:rPr>
                <w:rFonts w:hint="cs"/>
                <w:sz w:val="24"/>
                <w:szCs w:val="24"/>
                <w:rtl/>
              </w:rPr>
              <w:t>الثانوي</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الذكور</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20</w:t>
            </w:r>
            <w:r w:rsidR="00FC46DD">
              <w:rPr>
                <w:rFonts w:hint="cs"/>
                <w:sz w:val="24"/>
                <w:szCs w:val="24"/>
                <w:rtl/>
              </w:rPr>
              <w:t>.</w:t>
            </w:r>
            <w:r w:rsidRPr="007836A7">
              <w:rPr>
                <w:rFonts w:hint="cs"/>
                <w:sz w:val="24"/>
                <w:szCs w:val="24"/>
                <w:rtl/>
              </w:rPr>
              <w:t>0</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27</w:t>
            </w:r>
            <w:r w:rsidR="00FC46DD">
              <w:rPr>
                <w:rFonts w:hint="cs"/>
                <w:sz w:val="24"/>
                <w:szCs w:val="24"/>
                <w:rtl/>
              </w:rPr>
              <w:t>.</w:t>
            </w:r>
            <w:r w:rsidRPr="007836A7">
              <w:rPr>
                <w:rFonts w:hint="cs"/>
                <w:sz w:val="24"/>
                <w:szCs w:val="24"/>
                <w:rtl/>
              </w:rPr>
              <w:t>7</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40</w:t>
            </w:r>
            <w:r w:rsidR="00FC46DD">
              <w:rPr>
                <w:rFonts w:hint="cs"/>
                <w:sz w:val="24"/>
                <w:szCs w:val="24"/>
                <w:rtl/>
              </w:rPr>
              <w:t>.</w:t>
            </w:r>
            <w:r w:rsidRPr="007836A7">
              <w:rPr>
                <w:rFonts w:hint="cs"/>
                <w:sz w:val="24"/>
                <w:szCs w:val="24"/>
                <w:rtl/>
              </w:rPr>
              <w:t>8</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61</w:t>
            </w:r>
            <w:r w:rsidR="00FC46DD">
              <w:rPr>
                <w:rFonts w:hint="cs"/>
                <w:sz w:val="24"/>
                <w:szCs w:val="24"/>
                <w:rtl/>
              </w:rPr>
              <w:t>.</w:t>
            </w:r>
            <w:r w:rsidRPr="007836A7">
              <w:rPr>
                <w:rFonts w:hint="cs"/>
                <w:sz w:val="24"/>
                <w:szCs w:val="24"/>
                <w:rtl/>
              </w:rPr>
              <w:t>4</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الإناث</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20</w:t>
            </w:r>
            <w:r w:rsidR="00FC46DD">
              <w:rPr>
                <w:rFonts w:hint="cs"/>
                <w:sz w:val="24"/>
                <w:szCs w:val="24"/>
                <w:rtl/>
              </w:rPr>
              <w:t>.</w:t>
            </w:r>
            <w:r w:rsidRPr="007836A7">
              <w:rPr>
                <w:rFonts w:hint="cs"/>
                <w:sz w:val="24"/>
                <w:szCs w:val="24"/>
                <w:rtl/>
              </w:rPr>
              <w:t>6</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31</w:t>
            </w:r>
            <w:r w:rsidR="00FC46DD">
              <w:rPr>
                <w:rFonts w:hint="cs"/>
                <w:sz w:val="24"/>
                <w:szCs w:val="24"/>
                <w:rtl/>
              </w:rPr>
              <w:t>.</w:t>
            </w:r>
            <w:r w:rsidRPr="007836A7">
              <w:rPr>
                <w:rFonts w:hint="cs"/>
                <w:sz w:val="24"/>
                <w:szCs w:val="24"/>
                <w:rtl/>
              </w:rPr>
              <w:t>6</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45</w:t>
            </w:r>
            <w:r w:rsidR="00FC46DD">
              <w:rPr>
                <w:rFonts w:hint="cs"/>
                <w:sz w:val="24"/>
                <w:szCs w:val="24"/>
                <w:rtl/>
              </w:rPr>
              <w:t>.</w:t>
            </w:r>
            <w:r w:rsidRPr="007836A7">
              <w:rPr>
                <w:rFonts w:hint="cs"/>
                <w:sz w:val="24"/>
                <w:szCs w:val="24"/>
                <w:rtl/>
              </w:rPr>
              <w:t>6</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65</w:t>
            </w:r>
            <w:r w:rsidR="00FC46DD">
              <w:rPr>
                <w:rFonts w:hint="cs"/>
                <w:sz w:val="24"/>
                <w:szCs w:val="24"/>
                <w:rtl/>
              </w:rPr>
              <w:t>.</w:t>
            </w:r>
            <w:r w:rsidRPr="007836A7">
              <w:rPr>
                <w:rFonts w:hint="cs"/>
                <w:sz w:val="24"/>
                <w:szCs w:val="24"/>
                <w:rtl/>
              </w:rPr>
              <w:t>5</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المجموع</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20</w:t>
            </w:r>
            <w:r w:rsidR="00FC46DD">
              <w:rPr>
                <w:rFonts w:hint="cs"/>
                <w:sz w:val="24"/>
                <w:szCs w:val="24"/>
                <w:rtl/>
              </w:rPr>
              <w:t>.</w:t>
            </w:r>
            <w:r w:rsidRPr="007836A7">
              <w:rPr>
                <w:rFonts w:hint="cs"/>
                <w:sz w:val="24"/>
                <w:szCs w:val="24"/>
                <w:rtl/>
              </w:rPr>
              <w:t>3</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29</w:t>
            </w:r>
            <w:r w:rsidR="00FC46DD">
              <w:rPr>
                <w:rFonts w:hint="cs"/>
                <w:sz w:val="24"/>
                <w:szCs w:val="24"/>
                <w:rtl/>
              </w:rPr>
              <w:t>.</w:t>
            </w:r>
            <w:r w:rsidRPr="007836A7">
              <w:rPr>
                <w:rFonts w:hint="cs"/>
                <w:sz w:val="24"/>
                <w:szCs w:val="24"/>
                <w:rtl/>
              </w:rPr>
              <w:t>7</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43</w:t>
            </w:r>
            <w:r w:rsidR="00FC46DD">
              <w:rPr>
                <w:rFonts w:hint="cs"/>
                <w:sz w:val="24"/>
                <w:szCs w:val="24"/>
                <w:rtl/>
              </w:rPr>
              <w:t>.</w:t>
            </w:r>
            <w:r w:rsidRPr="007836A7">
              <w:rPr>
                <w:rFonts w:hint="cs"/>
                <w:sz w:val="24"/>
                <w:szCs w:val="24"/>
                <w:rtl/>
              </w:rPr>
              <w:t>2</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63</w:t>
            </w:r>
            <w:r w:rsidR="00FC46DD">
              <w:rPr>
                <w:rFonts w:hint="cs"/>
                <w:sz w:val="24"/>
                <w:szCs w:val="24"/>
                <w:rtl/>
              </w:rPr>
              <w:t>.</w:t>
            </w:r>
            <w:r w:rsidRPr="007836A7">
              <w:rPr>
                <w:rFonts w:hint="cs"/>
                <w:sz w:val="24"/>
                <w:szCs w:val="24"/>
                <w:rtl/>
              </w:rPr>
              <w:t>4</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7836A7">
              <w:rPr>
                <w:rFonts w:hint="cs"/>
                <w:sz w:val="24"/>
                <w:szCs w:val="24"/>
                <w:rtl/>
              </w:rPr>
              <w:t>العالي</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الذكور</w:t>
            </w:r>
          </w:p>
        </w:tc>
        <w:tc>
          <w:tcPr>
            <w:tcW w:w="3268"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4</w:t>
            </w:r>
            <w:r w:rsidR="00FC46DD">
              <w:rPr>
                <w:rFonts w:hint="cs"/>
                <w:sz w:val="24"/>
                <w:szCs w:val="24"/>
                <w:rtl/>
              </w:rPr>
              <w:t>.</w:t>
            </w:r>
            <w:r w:rsidRPr="007836A7">
              <w:rPr>
                <w:rFonts w:hint="cs"/>
                <w:sz w:val="24"/>
                <w:szCs w:val="24"/>
                <w:rtl/>
              </w:rPr>
              <w:t>4</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5</w:t>
            </w:r>
            <w:r w:rsidR="00FC46DD">
              <w:rPr>
                <w:rFonts w:hint="cs"/>
                <w:sz w:val="24"/>
                <w:szCs w:val="24"/>
                <w:rtl/>
              </w:rPr>
              <w:t>.</w:t>
            </w:r>
            <w:r w:rsidRPr="007836A7">
              <w:rPr>
                <w:rFonts w:hint="cs"/>
                <w:sz w:val="24"/>
                <w:szCs w:val="24"/>
                <w:rtl/>
              </w:rPr>
              <w:t>5</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7</w:t>
            </w:r>
            <w:r w:rsidR="00FC46DD">
              <w:rPr>
                <w:rFonts w:hint="cs"/>
                <w:sz w:val="24"/>
                <w:szCs w:val="24"/>
                <w:rtl/>
              </w:rPr>
              <w:t>.</w:t>
            </w:r>
            <w:r w:rsidRPr="007836A7">
              <w:rPr>
                <w:rFonts w:hint="cs"/>
                <w:sz w:val="24"/>
                <w:szCs w:val="24"/>
                <w:rtl/>
              </w:rPr>
              <w:t>5</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15</w:t>
            </w:r>
            <w:r w:rsidR="00FC46DD">
              <w:rPr>
                <w:rFonts w:hint="cs"/>
                <w:sz w:val="24"/>
                <w:szCs w:val="24"/>
                <w:rtl/>
              </w:rPr>
              <w:t>.</w:t>
            </w:r>
            <w:r w:rsidRPr="007836A7">
              <w:rPr>
                <w:rFonts w:hint="cs"/>
                <w:sz w:val="24"/>
                <w:szCs w:val="24"/>
                <w:rtl/>
              </w:rPr>
              <w:t>1</w:t>
            </w:r>
          </w:p>
        </w:tc>
      </w:tr>
      <w:tr w:rsidR="00971AE2" w:rsidRPr="007836A7">
        <w:tblPrEx>
          <w:tblCellMar>
            <w:top w:w="0" w:type="dxa"/>
            <w:bottom w:w="0" w:type="dxa"/>
          </w:tblCellMar>
        </w:tblPrEx>
        <w:trPr>
          <w:cantSplit/>
        </w:trPr>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الإناث</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2</w:t>
            </w:r>
            <w:r w:rsidR="00FC46DD">
              <w:rPr>
                <w:rFonts w:hint="cs"/>
                <w:sz w:val="24"/>
                <w:szCs w:val="24"/>
                <w:rtl/>
              </w:rPr>
              <w:t>.</w:t>
            </w:r>
            <w:r w:rsidRPr="007836A7">
              <w:rPr>
                <w:rFonts w:hint="cs"/>
                <w:sz w:val="24"/>
                <w:szCs w:val="24"/>
                <w:rtl/>
              </w:rPr>
              <w:t>4</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5</w:t>
            </w:r>
            <w:r w:rsidR="00FC46DD">
              <w:rPr>
                <w:rFonts w:hint="cs"/>
                <w:sz w:val="24"/>
                <w:szCs w:val="24"/>
                <w:rtl/>
              </w:rPr>
              <w:t>.</w:t>
            </w:r>
            <w:r w:rsidRPr="007836A7">
              <w:rPr>
                <w:rFonts w:hint="cs"/>
                <w:sz w:val="24"/>
                <w:szCs w:val="24"/>
                <w:rtl/>
              </w:rPr>
              <w:t>0</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w:t>
            </w:r>
            <w:r w:rsidR="00FC46DD">
              <w:rPr>
                <w:rFonts w:hint="cs"/>
                <w:sz w:val="24"/>
                <w:szCs w:val="24"/>
                <w:rtl/>
              </w:rPr>
              <w:t>.</w:t>
            </w:r>
            <w:r w:rsidRPr="007836A7">
              <w:rPr>
                <w:rFonts w:hint="cs"/>
                <w:sz w:val="24"/>
                <w:szCs w:val="24"/>
                <w:rtl/>
              </w:rPr>
              <w:t>3</w:t>
            </w:r>
          </w:p>
        </w:tc>
        <w:tc>
          <w:tcPr>
            <w:tcW w:w="122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15</w:t>
            </w:r>
            <w:r w:rsidR="00FC46DD">
              <w:rPr>
                <w:rFonts w:hint="cs"/>
                <w:sz w:val="24"/>
                <w:szCs w:val="24"/>
                <w:rtl/>
              </w:rPr>
              <w:t>.</w:t>
            </w:r>
            <w:r w:rsidRPr="007836A7">
              <w:rPr>
                <w:rFonts w:hint="cs"/>
                <w:sz w:val="24"/>
                <w:szCs w:val="24"/>
                <w:rtl/>
              </w:rPr>
              <w:t>6</w:t>
            </w:r>
          </w:p>
        </w:tc>
      </w:tr>
      <w:tr w:rsidR="00971AE2" w:rsidRPr="007836A7">
        <w:tblPrEx>
          <w:tblCellMar>
            <w:top w:w="0" w:type="dxa"/>
            <w:bottom w:w="0" w:type="dxa"/>
          </w:tblCellMar>
        </w:tblPrEx>
        <w:trPr>
          <w:cantSplit/>
        </w:trPr>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المجموع</w:t>
            </w: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3</w:t>
            </w:r>
            <w:r w:rsidR="00FC46DD">
              <w:rPr>
                <w:rFonts w:hint="cs"/>
                <w:sz w:val="24"/>
                <w:szCs w:val="24"/>
                <w:rtl/>
              </w:rPr>
              <w:t>.</w:t>
            </w:r>
            <w:r w:rsidRPr="007836A7">
              <w:rPr>
                <w:rFonts w:hint="cs"/>
                <w:sz w:val="24"/>
                <w:szCs w:val="24"/>
                <w:rtl/>
              </w:rPr>
              <w:t>3</w:t>
            </w: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5</w:t>
            </w:r>
            <w:r w:rsidR="00FC46DD">
              <w:rPr>
                <w:rFonts w:hint="cs"/>
                <w:sz w:val="24"/>
                <w:szCs w:val="24"/>
                <w:rtl/>
              </w:rPr>
              <w:t>.</w:t>
            </w:r>
            <w:r w:rsidRPr="007836A7">
              <w:rPr>
                <w:rFonts w:hint="cs"/>
                <w:sz w:val="24"/>
                <w:szCs w:val="24"/>
                <w:rtl/>
              </w:rPr>
              <w:t>2</w:t>
            </w: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7</w:t>
            </w:r>
            <w:r w:rsidR="00FC46DD">
              <w:rPr>
                <w:rFonts w:hint="cs"/>
                <w:sz w:val="24"/>
                <w:szCs w:val="24"/>
                <w:rtl/>
              </w:rPr>
              <w:t>.</w:t>
            </w:r>
            <w:r w:rsidRPr="007836A7">
              <w:rPr>
                <w:rFonts w:hint="cs"/>
                <w:sz w:val="24"/>
                <w:szCs w:val="24"/>
                <w:rtl/>
              </w:rPr>
              <w:t>9</w:t>
            </w:r>
          </w:p>
        </w:tc>
        <w:tc>
          <w:tcPr>
            <w:tcW w:w="122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15</w:t>
            </w:r>
            <w:r w:rsidR="00FC46DD">
              <w:rPr>
                <w:rFonts w:hint="cs"/>
                <w:sz w:val="24"/>
                <w:szCs w:val="24"/>
                <w:rtl/>
              </w:rPr>
              <w:t>.</w:t>
            </w:r>
            <w:r w:rsidRPr="007836A7">
              <w:rPr>
                <w:rFonts w:hint="cs"/>
                <w:sz w:val="24"/>
                <w:szCs w:val="24"/>
                <w:rtl/>
              </w:rPr>
              <w:t>4</w:t>
            </w:r>
          </w:p>
        </w:tc>
      </w:tr>
    </w:tbl>
    <w:p w:rsidR="00971AE2" w:rsidRDefault="00971AE2" w:rsidP="00A343DF">
      <w:pPr>
        <w:pStyle w:val="SingleTxt"/>
        <w:spacing w:after="0" w:line="120" w:lineRule="exact"/>
        <w:rPr>
          <w:sz w:val="10"/>
          <w:rtl/>
          <w:lang w:bidi="ar-EG"/>
        </w:rPr>
      </w:pPr>
    </w:p>
    <w:p w:rsidR="00971AE2" w:rsidRDefault="00971AE2" w:rsidP="00A343DF">
      <w:pPr>
        <w:pStyle w:val="SingleTxt"/>
        <w:rPr>
          <w:rFonts w:hint="cs"/>
          <w:sz w:val="24"/>
          <w:rtl/>
          <w:lang w:bidi="ar-EG"/>
        </w:rPr>
      </w:pPr>
      <w:r>
        <w:rPr>
          <w:rFonts w:hint="cs"/>
          <w:b/>
          <w:bCs/>
          <w:sz w:val="24"/>
          <w:rtl/>
          <w:lang w:bidi="ar-EG"/>
        </w:rPr>
        <w:t>المصدر</w:t>
      </w:r>
      <w:r>
        <w:rPr>
          <w:rFonts w:hint="cs"/>
          <w:sz w:val="24"/>
          <w:rtl/>
          <w:lang w:bidi="ar-EG"/>
        </w:rPr>
        <w:t>: إحصاءات إدارة التنمية الاجتماعية-</w:t>
      </w:r>
      <w:r>
        <w:rPr>
          <w:sz w:val="16"/>
        </w:rPr>
        <w:t>-GCV</w:t>
      </w:r>
      <w:r>
        <w:rPr>
          <w:rFonts w:hint="cs"/>
          <w:sz w:val="24"/>
          <w:rtl/>
          <w:lang w:bidi="ar-EG"/>
        </w:rPr>
        <w:t xml:space="preserve"> </w:t>
      </w:r>
      <w:r>
        <w:rPr>
          <w:sz w:val="24"/>
          <w:rtl/>
          <w:lang w:bidi="ar-EG"/>
        </w:rPr>
        <w:t>–</w:t>
      </w:r>
      <w:r>
        <w:rPr>
          <w:rFonts w:hint="cs"/>
          <w:sz w:val="24"/>
          <w:rtl/>
          <w:lang w:bidi="ar-EG"/>
        </w:rPr>
        <w:t xml:space="preserve"> الإدارة الوطنية للتخطيط استنادا إلى تعدادات 1973 و1985 و1993 وتعداد 2000 الذي أجري ضمن الدراسة الاستقصائية للأسر</w:t>
      </w:r>
      <w:r w:rsidR="003D7EB4">
        <w:rPr>
          <w:rFonts w:hint="cs"/>
          <w:sz w:val="24"/>
          <w:rtl/>
          <w:lang w:bidi="ar-EG"/>
        </w:rPr>
        <w:t>،</w:t>
      </w:r>
    </w:p>
    <w:p w:rsidR="00971AE2" w:rsidRDefault="00971AE2" w:rsidP="00A343DF">
      <w:pPr>
        <w:pStyle w:val="SingleTxt"/>
        <w:rPr>
          <w:rFonts w:hint="cs"/>
          <w:rtl/>
          <w:lang w:bidi="ar-EG"/>
        </w:rPr>
      </w:pPr>
      <w:r>
        <w:rPr>
          <w:rFonts w:hint="cs"/>
          <w:rtl/>
          <w:lang w:bidi="ar-EG"/>
        </w:rPr>
        <w:tab/>
        <w:t>الافتقار إلى الموارد المالية هوالسبب الرئيسي في التسرب من النظام التعليمي (78)</w:t>
      </w:r>
      <w:r w:rsidR="003D7EB4">
        <w:rPr>
          <w:rFonts w:hint="cs"/>
          <w:rtl/>
          <w:lang w:bidi="ar-EG"/>
        </w:rPr>
        <w:t>،</w:t>
      </w:r>
      <w:r>
        <w:rPr>
          <w:rFonts w:hint="cs"/>
          <w:rtl/>
          <w:lang w:bidi="ar-EG"/>
        </w:rPr>
        <w:t xml:space="preserve"> والسبب الثاني بالنسبة إلى الإناث هوالحمل</w:t>
      </w:r>
      <w:r w:rsidR="003D7EB4">
        <w:rPr>
          <w:rFonts w:hint="cs"/>
          <w:rtl/>
          <w:lang w:bidi="ar-EG"/>
        </w:rPr>
        <w:t>،</w:t>
      </w:r>
      <w:r>
        <w:rPr>
          <w:rFonts w:hint="cs"/>
          <w:rtl/>
          <w:lang w:bidi="ar-EG"/>
        </w:rPr>
        <w:t xml:space="preserve"> والمرحلة العمرية التي يحدث فيها أكبر عدد من حالات التسرب هي من سن الثانية عشرة إلى سن السابعة عشرة</w:t>
      </w:r>
      <w:r w:rsidR="003D7EB4">
        <w:rPr>
          <w:rFonts w:hint="cs"/>
          <w:rtl/>
          <w:lang w:bidi="ar-EG"/>
        </w:rPr>
        <w:t>،</w:t>
      </w:r>
      <w:r>
        <w:rPr>
          <w:rFonts w:hint="cs"/>
          <w:rtl/>
          <w:lang w:bidi="ar-EG"/>
        </w:rPr>
        <w:t xml:space="preserve"> وقد أحرزت الإناث نتائج أفضل من الذكور في العقد الأخير بتسجيل مستويات أعلى من الترقي ومستويات أدنى من تكرار السنة والتسرب من المدرسة</w:t>
      </w:r>
      <w:r w:rsidR="003D7EB4">
        <w:rPr>
          <w:rFonts w:hint="cs"/>
          <w:rtl/>
          <w:lang w:bidi="ar-EG"/>
        </w:rPr>
        <w:t>،</w:t>
      </w:r>
    </w:p>
    <w:p w:rsidR="00971AE2" w:rsidRDefault="00971AE2" w:rsidP="00A343DF">
      <w:pPr>
        <w:pStyle w:val="SingleTxt"/>
        <w:spacing w:after="0" w:line="120" w:lineRule="exact"/>
        <w:rPr>
          <w:rFonts w:hint="cs"/>
          <w:sz w:val="10"/>
          <w:rtl/>
          <w:lang w:bidi="ar-EG"/>
        </w:rPr>
      </w:pPr>
    </w:p>
    <w:p w:rsidR="00971AE2" w:rsidRDefault="007836A7" w:rsidP="00A343DF">
      <w:pPr>
        <w:pStyle w:val="SingleTxt"/>
        <w:rPr>
          <w:rFonts w:hint="cs"/>
          <w:b/>
          <w:bCs/>
          <w:rtl/>
          <w:lang w:bidi="ar-EG"/>
        </w:rPr>
      </w:pPr>
      <w:r>
        <w:rPr>
          <w:b/>
          <w:bCs/>
          <w:rtl/>
          <w:lang w:bidi="ar-EG"/>
        </w:rPr>
        <w:br w:type="page"/>
      </w:r>
      <w:r w:rsidR="00971AE2">
        <w:rPr>
          <w:rFonts w:hint="cs"/>
          <w:b/>
          <w:bCs/>
          <w:rtl/>
          <w:lang w:bidi="ar-EG"/>
        </w:rPr>
        <w:t>معدل التسرب من المدرسة حسب الجنس، على المستوى الوطني، 1999</w:t>
      </w:r>
    </w:p>
    <w:p w:rsidR="00971AE2" w:rsidRDefault="00971AE2" w:rsidP="00A343DF">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71AE2" w:rsidRPr="007836A7">
        <w:tblPrEx>
          <w:tblCellMar>
            <w:top w:w="0" w:type="dxa"/>
            <w:bottom w:w="0" w:type="dxa"/>
          </w:tblCellMar>
        </w:tblPrEx>
        <w:trPr>
          <w:cantSplit/>
          <w:tblHeader/>
        </w:trPr>
        <w:tc>
          <w:tcPr>
            <w:tcW w:w="183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7836A7">
              <w:rPr>
                <w:rFonts w:hint="cs"/>
                <w:i/>
                <w:iCs/>
                <w:sz w:val="24"/>
                <w:szCs w:val="24"/>
                <w:rtl/>
              </w:rPr>
              <w:t>الجنس</w:t>
            </w:r>
          </w:p>
        </w:tc>
        <w:tc>
          <w:tcPr>
            <w:tcW w:w="183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i/>
                <w:iCs/>
                <w:sz w:val="24"/>
                <w:szCs w:val="24"/>
                <w:rtl/>
              </w:rPr>
            </w:pPr>
            <w:r w:rsidRPr="007836A7">
              <w:rPr>
                <w:rFonts w:hint="cs"/>
                <w:i/>
                <w:iCs/>
                <w:sz w:val="24"/>
                <w:szCs w:val="24"/>
                <w:rtl/>
              </w:rPr>
              <w:t>عدد المنقولين</w:t>
            </w:r>
          </w:p>
        </w:tc>
        <w:tc>
          <w:tcPr>
            <w:tcW w:w="183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7836A7">
              <w:rPr>
                <w:rFonts w:hint="cs"/>
                <w:i/>
                <w:iCs/>
                <w:sz w:val="24"/>
                <w:szCs w:val="24"/>
                <w:rtl/>
              </w:rPr>
              <w:t>عدد معيدي السنة</w:t>
            </w:r>
          </w:p>
        </w:tc>
        <w:tc>
          <w:tcPr>
            <w:tcW w:w="1830" w:type="dxa"/>
            <w:tcBorders>
              <w:top w:val="single" w:sz="4" w:space="0" w:color="auto"/>
              <w:bottom w:val="single" w:sz="12" w:space="0" w:color="auto"/>
            </w:tcBorders>
            <w:vAlign w:val="bottom"/>
          </w:tcPr>
          <w:p w:rsidR="00971AE2" w:rsidRPr="007836A7"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7836A7">
              <w:rPr>
                <w:rFonts w:hint="cs"/>
                <w:i/>
                <w:iCs/>
                <w:sz w:val="24"/>
                <w:szCs w:val="24"/>
                <w:rtl/>
              </w:rPr>
              <w:t>عدد المتسربين</w:t>
            </w:r>
          </w:p>
        </w:tc>
      </w:tr>
      <w:tr w:rsidR="00971AE2" w:rsidRPr="007836A7">
        <w:tblPrEx>
          <w:tblCellMar>
            <w:top w:w="0" w:type="dxa"/>
            <w:bottom w:w="0" w:type="dxa"/>
          </w:tblCellMar>
        </w:tblPrEx>
        <w:trPr>
          <w:cantSplit/>
          <w:trHeight w:hRule="exact" w:val="115"/>
          <w:tblHeader/>
        </w:trPr>
        <w:tc>
          <w:tcPr>
            <w:tcW w:w="183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83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83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830" w:type="dxa"/>
            <w:tcBorders>
              <w:top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7836A7">
        <w:tblPrEx>
          <w:tblCellMar>
            <w:top w:w="0" w:type="dxa"/>
            <w:bottom w:w="0" w:type="dxa"/>
          </w:tblCellMar>
        </w:tblPrEx>
        <w:trPr>
          <w:cantSplit/>
        </w:trPr>
        <w:tc>
          <w:tcPr>
            <w:tcW w:w="1830" w:type="dxa"/>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7836A7">
              <w:rPr>
                <w:rFonts w:hint="cs"/>
                <w:sz w:val="24"/>
                <w:szCs w:val="24"/>
                <w:rtl/>
              </w:rPr>
              <w:t>ذكور</w:t>
            </w:r>
          </w:p>
        </w:tc>
        <w:tc>
          <w:tcPr>
            <w:tcW w:w="183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83</w:t>
            </w:r>
            <w:r w:rsidR="00FC46DD">
              <w:rPr>
                <w:rFonts w:hint="cs"/>
                <w:sz w:val="24"/>
                <w:szCs w:val="24"/>
                <w:rtl/>
              </w:rPr>
              <w:t>.</w:t>
            </w:r>
            <w:r w:rsidRPr="007836A7">
              <w:rPr>
                <w:rFonts w:hint="cs"/>
                <w:sz w:val="24"/>
                <w:szCs w:val="24"/>
                <w:rtl/>
              </w:rPr>
              <w:t>9</w:t>
            </w:r>
          </w:p>
        </w:tc>
        <w:tc>
          <w:tcPr>
            <w:tcW w:w="183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w:t>
            </w:r>
            <w:r w:rsidR="00FC46DD">
              <w:rPr>
                <w:rFonts w:hint="cs"/>
                <w:sz w:val="24"/>
                <w:szCs w:val="24"/>
                <w:rtl/>
              </w:rPr>
              <w:t>.</w:t>
            </w:r>
            <w:r w:rsidRPr="007836A7">
              <w:rPr>
                <w:rFonts w:hint="cs"/>
                <w:sz w:val="24"/>
                <w:szCs w:val="24"/>
                <w:rtl/>
              </w:rPr>
              <w:t>8</w:t>
            </w:r>
          </w:p>
        </w:tc>
        <w:tc>
          <w:tcPr>
            <w:tcW w:w="1830" w:type="dxa"/>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7</w:t>
            </w:r>
            <w:r w:rsidR="00FC46DD">
              <w:rPr>
                <w:rFonts w:hint="cs"/>
                <w:sz w:val="24"/>
                <w:szCs w:val="24"/>
                <w:rtl/>
              </w:rPr>
              <w:t>.</w:t>
            </w:r>
            <w:r w:rsidRPr="007836A7">
              <w:rPr>
                <w:rFonts w:hint="cs"/>
                <w:sz w:val="24"/>
                <w:szCs w:val="24"/>
                <w:rtl/>
              </w:rPr>
              <w:t>3</w:t>
            </w:r>
          </w:p>
        </w:tc>
      </w:tr>
      <w:tr w:rsidR="00971AE2" w:rsidRPr="007836A7">
        <w:tblPrEx>
          <w:tblCellMar>
            <w:top w:w="0" w:type="dxa"/>
            <w:bottom w:w="0" w:type="dxa"/>
          </w:tblCellMar>
        </w:tblPrEx>
        <w:trPr>
          <w:cantSplit/>
        </w:trPr>
        <w:tc>
          <w:tcPr>
            <w:tcW w:w="183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7836A7">
              <w:rPr>
                <w:rFonts w:hint="cs"/>
                <w:sz w:val="24"/>
                <w:szCs w:val="24"/>
                <w:rtl/>
              </w:rPr>
              <w:t>إناث</w:t>
            </w:r>
          </w:p>
        </w:tc>
        <w:tc>
          <w:tcPr>
            <w:tcW w:w="183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87</w:t>
            </w:r>
          </w:p>
        </w:tc>
        <w:tc>
          <w:tcPr>
            <w:tcW w:w="183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w:t>
            </w:r>
            <w:r w:rsidR="00FC46DD">
              <w:rPr>
                <w:rFonts w:hint="cs"/>
                <w:sz w:val="24"/>
                <w:szCs w:val="24"/>
                <w:rtl/>
              </w:rPr>
              <w:t>.</w:t>
            </w:r>
            <w:r w:rsidRPr="007836A7">
              <w:rPr>
                <w:rFonts w:hint="cs"/>
                <w:sz w:val="24"/>
                <w:szCs w:val="24"/>
                <w:rtl/>
              </w:rPr>
              <w:t>9</w:t>
            </w:r>
          </w:p>
        </w:tc>
        <w:tc>
          <w:tcPr>
            <w:tcW w:w="1830" w:type="dxa"/>
            <w:tcBorders>
              <w:bottom w:val="single" w:sz="12" w:space="0" w:color="auto"/>
            </w:tcBorders>
            <w:vAlign w:val="bottom"/>
          </w:tcPr>
          <w:p w:rsidR="00971AE2" w:rsidRPr="007836A7"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7836A7">
              <w:rPr>
                <w:rFonts w:hint="cs"/>
                <w:sz w:val="24"/>
                <w:szCs w:val="24"/>
                <w:rtl/>
              </w:rPr>
              <w:t>6</w:t>
            </w:r>
            <w:r w:rsidR="00FC46DD">
              <w:rPr>
                <w:rFonts w:hint="cs"/>
                <w:sz w:val="24"/>
                <w:szCs w:val="24"/>
                <w:rtl/>
              </w:rPr>
              <w:t>.</w:t>
            </w:r>
            <w:r w:rsidRPr="007836A7">
              <w:rPr>
                <w:rFonts w:hint="cs"/>
                <w:sz w:val="24"/>
                <w:szCs w:val="24"/>
                <w:rtl/>
              </w:rPr>
              <w:t>1</w:t>
            </w:r>
          </w:p>
        </w:tc>
      </w:tr>
    </w:tbl>
    <w:p w:rsidR="00971AE2" w:rsidRPr="00E54C26" w:rsidRDefault="00971AE2" w:rsidP="00A343DF">
      <w:pPr>
        <w:pStyle w:val="SingleTxt"/>
        <w:rPr>
          <w:rFonts w:hint="cs"/>
          <w:sz w:val="24"/>
          <w:szCs w:val="24"/>
          <w:rtl/>
          <w:lang w:bidi="ar-EG"/>
        </w:rPr>
      </w:pPr>
      <w:r w:rsidRPr="00E54C26">
        <w:rPr>
          <w:rFonts w:hint="cs"/>
          <w:b/>
          <w:bCs/>
          <w:sz w:val="24"/>
          <w:szCs w:val="24"/>
          <w:rtl/>
          <w:lang w:bidi="ar-EG"/>
        </w:rPr>
        <w:t>المصدر</w:t>
      </w:r>
      <w:r w:rsidRPr="00E54C26">
        <w:rPr>
          <w:rFonts w:hint="cs"/>
          <w:sz w:val="24"/>
          <w:szCs w:val="24"/>
          <w:rtl/>
          <w:lang w:bidi="ar-EG"/>
        </w:rPr>
        <w:t>: وزارة التعليم الوطني، مكتب التخطيط</w:t>
      </w:r>
      <w:r w:rsidR="003D7EB4">
        <w:rPr>
          <w:rFonts w:hint="cs"/>
          <w:sz w:val="24"/>
          <w:szCs w:val="24"/>
          <w:rtl/>
          <w:lang w:bidi="ar-EG"/>
        </w:rPr>
        <w:t>،</w:t>
      </w:r>
    </w:p>
    <w:p w:rsidR="00971AE2" w:rsidRDefault="00971AE2" w:rsidP="00A343DF">
      <w:pPr>
        <w:pStyle w:val="SingleTxt"/>
        <w:rPr>
          <w:rFonts w:hint="cs"/>
          <w:rtl/>
          <w:lang w:bidi="ar-EG"/>
        </w:rPr>
      </w:pPr>
      <w:r>
        <w:rPr>
          <w:b/>
          <w:bCs/>
          <w:noProof/>
          <w:w w:val="100"/>
          <w:rtl/>
        </w:rPr>
        <w:pict>
          <v:shape id="_x0000_s1083" type="#_x0000_t75" style="position:absolute;left:0;text-align:left;margin-left:92.7pt;margin-top:12.25pt;width:299.25pt;height:420.75pt;z-index:35">
            <v:imagedata r:id="rId16" o:title=""/>
          </v:shape>
        </w:pict>
      </w:r>
      <w:r>
        <w:rPr>
          <w:b/>
          <w:bCs/>
          <w:rtl/>
          <w:lang w:bidi="ar-EG"/>
        </w:rPr>
        <w:br w:type="page"/>
      </w:r>
    </w:p>
    <w:p w:rsidR="00971AE2" w:rsidRDefault="00CE4E72" w:rsidP="00A343DF">
      <w:pPr>
        <w:pStyle w:val="SingleTxt"/>
        <w:rPr>
          <w:rFonts w:hint="cs"/>
          <w:rtl/>
          <w:lang w:bidi="ar-EG"/>
        </w:rPr>
      </w:pPr>
      <w:r>
        <w:rPr>
          <w:rFonts w:hint="cs"/>
          <w:noProof/>
          <w:w w:val="100"/>
          <w:rtl/>
        </w:rPr>
        <w:pict>
          <v:shape id="_x0000_s1071" type="#_x0000_t202" style="position:absolute;left:0;text-align:left;margin-left:-20.6pt;margin-top:-28.6pt;width:463.5pt;height:27pt;z-index:34" stroked="f">
            <v:textbox style="mso-next-textbox:#_x0000_s1071">
              <w:txbxContent>
                <w:p w:rsidR="00D9185D" w:rsidRDefault="00D9185D" w:rsidP="00971AE2">
                  <w:r>
                    <w:rPr>
                      <w:rFonts w:hint="cs"/>
                      <w:b/>
                      <w:bCs/>
                      <w:rtl/>
                    </w:rPr>
                    <w:t>معدل التسرب من المدرسة، حسب الجنس، 1995-2000</w:t>
                  </w:r>
                </w:p>
              </w:txbxContent>
            </v:textbox>
          </v:shape>
        </w:pict>
      </w:r>
      <w:r w:rsidR="00971AE2">
        <w:rPr>
          <w:noProof/>
        </w:rPr>
        <w:pict>
          <v:shape id="_x0000_s1067" type="#_x0000_t75" style="position:absolute;left:0;text-align:left;margin-left:-11.6pt;margin-top:-28.2pt;width:454.5pt;height:593.6pt;z-index:-10">
            <v:imagedata r:id="rId17" o:title=""/>
          </v:shape>
        </w:pict>
      </w:r>
      <w:r w:rsidR="00971AE2">
        <w:rPr>
          <w:rFonts w:hint="cs"/>
          <w:noProof/>
          <w:w w:val="100"/>
          <w:rtl/>
        </w:rPr>
        <w:pict>
          <v:shape id="_x0000_s1068" type="#_x0000_t202" style="position:absolute;left:0;text-align:left;margin-left:82.4pt;margin-top:8.4pt;width:242.05pt;height:27pt;z-index:31" stroked="f">
            <v:textbox style="mso-next-textbox:#_x0000_s1068">
              <w:txbxContent>
                <w:p w:rsidR="00D9185D" w:rsidRDefault="00D9185D" w:rsidP="00971AE2">
                  <w:pPr>
                    <w:rPr>
                      <w:b/>
                      <w:bCs/>
                      <w:sz w:val="24"/>
                      <w:szCs w:val="24"/>
                    </w:rPr>
                  </w:pPr>
                  <w:r>
                    <w:rPr>
                      <w:rFonts w:hint="cs"/>
                      <w:b/>
                      <w:bCs/>
                      <w:sz w:val="24"/>
                      <w:szCs w:val="24"/>
                      <w:rtl/>
                    </w:rPr>
                    <w:t>معدل التسرب من المدرسة خلال السنة في مرحلة الحضانة</w:t>
                  </w:r>
                </w:p>
              </w:txbxContent>
            </v:textbox>
          </v:shape>
        </w:pict>
      </w:r>
    </w:p>
    <w:p w:rsidR="00971AE2" w:rsidRDefault="00971AE2" w:rsidP="00A343DF">
      <w:pPr>
        <w:pStyle w:val="SingleTxt"/>
        <w:rPr>
          <w:rFonts w:hint="cs"/>
          <w:rtl/>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E54C26" w:rsidP="00A343DF">
      <w:pPr>
        <w:pStyle w:val="SingleTxt"/>
        <w:rPr>
          <w:rFonts w:hint="cs"/>
          <w:rtl/>
          <w:lang w:bidi="ar-EG"/>
        </w:rPr>
      </w:pPr>
      <w:r>
        <w:rPr>
          <w:rFonts w:hint="cs"/>
          <w:noProof/>
          <w:w w:val="100"/>
          <w:rtl/>
        </w:rPr>
        <w:pict>
          <v:shape id="_x0000_s1069" type="#_x0000_t202" style="position:absolute;left:0;text-align:left;margin-left:92.7pt;margin-top:5.4pt;width:226.6pt;height:27pt;z-index:32" stroked="f">
            <v:textbox style="mso-next-textbox:#_x0000_s1069">
              <w:txbxContent>
                <w:p w:rsidR="00D9185D" w:rsidRDefault="00D9185D" w:rsidP="00971AE2">
                  <w:pPr>
                    <w:rPr>
                      <w:b/>
                      <w:bCs/>
                      <w:sz w:val="24"/>
                      <w:szCs w:val="24"/>
                    </w:rPr>
                  </w:pPr>
                  <w:r>
                    <w:rPr>
                      <w:rFonts w:hint="cs"/>
                      <w:b/>
                      <w:bCs/>
                      <w:sz w:val="24"/>
                      <w:szCs w:val="24"/>
                      <w:rtl/>
                    </w:rPr>
                    <w:t>معدل التسرب من المدرسة خلال السنة في المرحلة</w:t>
                  </w:r>
                  <w:r>
                    <w:rPr>
                      <w:rFonts w:hint="cs"/>
                      <w:b/>
                      <w:bCs/>
                      <w:rtl/>
                    </w:rPr>
                    <w:t xml:space="preserve"> </w:t>
                  </w:r>
                  <w:r>
                    <w:rPr>
                      <w:rFonts w:hint="cs"/>
                      <w:b/>
                      <w:bCs/>
                      <w:sz w:val="24"/>
                      <w:szCs w:val="24"/>
                      <w:rtl/>
                    </w:rPr>
                    <w:t>الابتدائية</w:t>
                  </w:r>
                </w:p>
              </w:txbxContent>
            </v:textbox>
          </v:shape>
        </w:pict>
      </w:r>
    </w:p>
    <w:p w:rsidR="00971AE2" w:rsidRDefault="00971AE2" w:rsidP="00A343DF">
      <w:pPr>
        <w:pStyle w:val="SingleTxt"/>
        <w:rPr>
          <w:rFonts w:hint="cs"/>
          <w:rtl/>
          <w:lang w:bidi="ar-EG"/>
        </w:rPr>
      </w:pPr>
    </w:p>
    <w:p w:rsidR="00971AE2" w:rsidRDefault="00971AE2" w:rsidP="00A343DF">
      <w:pPr>
        <w:pStyle w:val="SingleTxt"/>
        <w:rPr>
          <w:rFonts w:hint="cs"/>
          <w:rtl/>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r>
        <w:rPr>
          <w:rFonts w:hint="cs"/>
          <w:noProof/>
          <w:w w:val="100"/>
          <w:rtl/>
        </w:rPr>
        <w:pict>
          <v:shape id="_x0000_s1070" type="#_x0000_t202" style="position:absolute;left:0;text-align:left;margin-left:87.55pt;margin-top:3.4pt;width:243.75pt;height:27pt;z-index:33" stroked="f">
            <v:textbox style="mso-next-textbox:#_x0000_s1070">
              <w:txbxContent>
                <w:p w:rsidR="00D9185D" w:rsidRDefault="00D9185D" w:rsidP="00971AE2">
                  <w:pPr>
                    <w:rPr>
                      <w:b/>
                      <w:bCs/>
                    </w:rPr>
                  </w:pPr>
                  <w:r>
                    <w:rPr>
                      <w:rFonts w:hint="cs"/>
                      <w:b/>
                      <w:bCs/>
                      <w:sz w:val="24"/>
                      <w:szCs w:val="24"/>
                      <w:rtl/>
                    </w:rPr>
                    <w:t>معدل التسرب من المدرسة خلال السنة في المرحلة الثانوية</w:t>
                  </w:r>
                </w:p>
              </w:txbxContent>
            </v:textbox>
          </v:shape>
        </w:pict>
      </w:r>
    </w:p>
    <w:p w:rsidR="00971AE2" w:rsidRDefault="00971AE2" w:rsidP="00A343DF">
      <w:pPr>
        <w:pStyle w:val="SingleTxt"/>
        <w:rPr>
          <w:rtl/>
          <w:lang w:bidi="ar-EG"/>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971AE2" w:rsidP="00A343DF">
      <w:pPr>
        <w:pStyle w:val="SingleTxt"/>
        <w:rPr>
          <w:rFonts w:hint="cs"/>
          <w:rtl/>
          <w:lang w:bidi="ar-EG"/>
        </w:rPr>
      </w:pPr>
    </w:p>
    <w:p w:rsidR="00971AE2" w:rsidRDefault="00971AE2" w:rsidP="00A343DF">
      <w:pPr>
        <w:pStyle w:val="SingleTxt"/>
        <w:rPr>
          <w:rFonts w:hint="cs"/>
          <w:b/>
          <w:bCs/>
          <w:sz w:val="24"/>
          <w:rtl/>
          <w:lang w:bidi="ar-EG"/>
        </w:rPr>
      </w:pPr>
    </w:p>
    <w:p w:rsidR="00CF4DB6" w:rsidRDefault="007836A7" w:rsidP="00A343DF">
      <w:pPr>
        <w:jc w:val="lowKashida"/>
        <w:rPr>
          <w:rFonts w:hint="cs"/>
          <w:szCs w:val="20"/>
        </w:rPr>
      </w:pPr>
      <w:r>
        <w:rPr>
          <w:rtl/>
          <w:lang w:bidi="ar-EG"/>
        </w:rPr>
        <w:br w:type="page"/>
      </w:r>
    </w:p>
    <w:p w:rsidR="00672388" w:rsidRDefault="00240715" w:rsidP="00A343DF">
      <w:pPr>
        <w:pStyle w:val="SingleTxt"/>
        <w:rPr>
          <w:rFonts w:hint="cs"/>
          <w:b/>
          <w:bCs/>
          <w:sz w:val="24"/>
          <w:rtl/>
          <w:lang w:bidi="ar-EG"/>
        </w:rPr>
      </w:pPr>
      <w:r>
        <w:rPr>
          <w:rFonts w:hint="cs"/>
          <w:noProof/>
          <w:w w:val="100"/>
          <w:rtl/>
        </w:rPr>
        <w:pict>
          <v:shape id="_x0000_s1028" type="#_x0000_t202" style="position:absolute;left:0;text-align:left;margin-left:113.3pt;margin-top:7.8pt;width:242.05pt;height:27pt;z-index:3" stroked="f">
            <v:textbox style="mso-next-textbox:#_x0000_s1028">
              <w:txbxContent>
                <w:p w:rsidR="00D9185D" w:rsidRDefault="00D9185D" w:rsidP="00971AE2">
                  <w:pPr>
                    <w:rPr>
                      <w:b/>
                      <w:bCs/>
                      <w:sz w:val="24"/>
                      <w:szCs w:val="24"/>
                    </w:rPr>
                  </w:pPr>
                  <w:r>
                    <w:rPr>
                      <w:rFonts w:hint="cs"/>
                      <w:b/>
                      <w:bCs/>
                      <w:sz w:val="24"/>
                      <w:szCs w:val="24"/>
                      <w:rtl/>
                    </w:rPr>
                    <w:t>معدل التسرب من المدرسة خلال السنة في مرحلة الحضانة</w:t>
                  </w:r>
                </w:p>
              </w:txbxContent>
            </v:textbox>
          </v:shape>
        </w:pict>
      </w:r>
      <w:r>
        <w:rPr>
          <w:noProof/>
          <w:w w:val="100"/>
          <w:rtl/>
        </w:rPr>
        <w:pict>
          <v:shape id="_x0000_s1084" type="#_x0000_t202" style="position:absolute;left:0;text-align:left;margin-left:118.45pt;margin-top:187.8pt;width:226.6pt;height:27pt;z-index:36" stroked="f">
            <v:textbox style="mso-next-textbox:#_x0000_s1084">
              <w:txbxContent>
                <w:p w:rsidR="00D9185D" w:rsidRDefault="00D9185D" w:rsidP="00E54C26">
                  <w:pPr>
                    <w:rPr>
                      <w:b/>
                      <w:bCs/>
                      <w:sz w:val="24"/>
                      <w:szCs w:val="24"/>
                    </w:rPr>
                  </w:pPr>
                  <w:r>
                    <w:rPr>
                      <w:rFonts w:hint="cs"/>
                      <w:b/>
                      <w:bCs/>
                      <w:sz w:val="24"/>
                      <w:szCs w:val="24"/>
                      <w:rtl/>
                    </w:rPr>
                    <w:t>معدل التسرب من المدرسة خلال السنة في المرحلة</w:t>
                  </w:r>
                  <w:r>
                    <w:rPr>
                      <w:rFonts w:hint="cs"/>
                      <w:b/>
                      <w:bCs/>
                      <w:rtl/>
                    </w:rPr>
                    <w:t xml:space="preserve"> </w:t>
                  </w:r>
                  <w:r>
                    <w:rPr>
                      <w:rFonts w:hint="cs"/>
                      <w:b/>
                      <w:bCs/>
                      <w:sz w:val="24"/>
                      <w:szCs w:val="24"/>
                      <w:rtl/>
                    </w:rPr>
                    <w:t>الابتدائية</w:t>
                  </w:r>
                </w:p>
              </w:txbxContent>
            </v:textbox>
          </v:shape>
        </w:pict>
      </w:r>
      <w:r>
        <w:rPr>
          <w:rFonts w:hint="cs"/>
          <w:noProof/>
          <w:w w:val="100"/>
          <w:rtl/>
        </w:rPr>
        <w:pict>
          <v:shape id="_x0000_s1030" type="#_x0000_t202" style="position:absolute;left:0;text-align:left;margin-left:113.3pt;margin-top:367.8pt;width:243.75pt;height:27pt;z-index:4" stroked="f">
            <v:textbox style="mso-next-textbox:#_x0000_s1030">
              <w:txbxContent>
                <w:p w:rsidR="00D9185D" w:rsidRDefault="00D9185D" w:rsidP="00971AE2">
                  <w:pPr>
                    <w:rPr>
                      <w:b/>
                      <w:bCs/>
                    </w:rPr>
                  </w:pPr>
                  <w:r>
                    <w:rPr>
                      <w:rFonts w:hint="cs"/>
                      <w:b/>
                      <w:bCs/>
                      <w:sz w:val="24"/>
                      <w:szCs w:val="24"/>
                      <w:rtl/>
                    </w:rPr>
                    <w:t>معدل التسرب من المدرسة خلال السنة في المرحلة الثانوية</w:t>
                  </w:r>
                </w:p>
              </w:txbxContent>
            </v:textbox>
          </v:shape>
        </w:pict>
      </w:r>
      <w:r>
        <w:rPr>
          <w:noProof/>
        </w:rPr>
        <w:pict>
          <v:shape id="_x0000_s1027" type="#_x0000_t75" style="position:absolute;left:0;text-align:left;margin-left:20.6pt;margin-top:-28.2pt;width:454.5pt;height:593.6pt;z-index:-38">
            <v:imagedata r:id="rId17" o:title=""/>
          </v:shape>
        </w:pict>
      </w: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ind w:firstLine="662"/>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240715" w:rsidRDefault="00240715"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lang w:bidi="ar-EG"/>
        </w:rPr>
      </w:pPr>
    </w:p>
    <w:p w:rsidR="00672388" w:rsidRDefault="00672388" w:rsidP="00A343DF">
      <w:pPr>
        <w:pStyle w:val="SingleTxt"/>
        <w:rPr>
          <w:rFonts w:hint="cs"/>
          <w:b/>
          <w:bCs/>
          <w:sz w:val="24"/>
          <w:rtl/>
        </w:rPr>
      </w:pPr>
    </w:p>
    <w:p w:rsidR="00240715" w:rsidRDefault="00240715" w:rsidP="00A343DF">
      <w:pPr>
        <w:pStyle w:val="SingleTxt"/>
        <w:rPr>
          <w:rFonts w:hint="cs"/>
          <w:b/>
          <w:bCs/>
          <w:sz w:val="24"/>
          <w:rtl/>
        </w:rPr>
      </w:pPr>
    </w:p>
    <w:p w:rsidR="00672388" w:rsidRPr="00672388" w:rsidRDefault="00672388" w:rsidP="00A343DF">
      <w:pPr>
        <w:pStyle w:val="SingleTxt"/>
        <w:spacing w:after="0" w:line="120" w:lineRule="exact"/>
        <w:rPr>
          <w:rFonts w:hint="cs"/>
          <w:b/>
          <w:bCs/>
          <w:sz w:val="10"/>
          <w:rtl/>
          <w:lang w:bidi="ar-EG"/>
        </w:rPr>
      </w:pPr>
    </w:p>
    <w:p w:rsidR="00CD1452" w:rsidRPr="00672388" w:rsidRDefault="00CD1452" w:rsidP="00A343DF">
      <w:pPr>
        <w:pStyle w:val="SingleTxt"/>
        <w:rPr>
          <w:rFonts w:hint="cs"/>
          <w:sz w:val="24"/>
          <w:szCs w:val="24"/>
          <w:rtl/>
          <w:lang w:bidi="ar-EG"/>
        </w:rPr>
      </w:pPr>
      <w:r w:rsidRPr="00672388">
        <w:rPr>
          <w:rFonts w:hint="cs"/>
          <w:b/>
          <w:bCs/>
          <w:sz w:val="24"/>
          <w:szCs w:val="24"/>
          <w:rtl/>
          <w:lang w:bidi="ar-EG"/>
        </w:rPr>
        <w:t>المصدر</w:t>
      </w:r>
      <w:r w:rsidRPr="00672388">
        <w:rPr>
          <w:rFonts w:hint="cs"/>
          <w:sz w:val="24"/>
          <w:szCs w:val="24"/>
          <w:rtl/>
          <w:lang w:bidi="ar-EG"/>
        </w:rPr>
        <w:t xml:space="preserve">: إحصاءات </w:t>
      </w:r>
      <w:r w:rsidRPr="00672388">
        <w:rPr>
          <w:rFonts w:hint="cs"/>
          <w:sz w:val="24"/>
          <w:szCs w:val="24"/>
          <w:rtl/>
        </w:rPr>
        <w:t xml:space="preserve">القطاع التعليمي </w:t>
      </w:r>
      <w:r w:rsidRPr="00672388">
        <w:rPr>
          <w:sz w:val="24"/>
          <w:szCs w:val="24"/>
          <w:rtl/>
          <w:lang w:bidi="ar-EG"/>
        </w:rPr>
        <w:t>–</w:t>
      </w:r>
      <w:r w:rsidR="00CF4DB6" w:rsidRPr="00672388">
        <w:rPr>
          <w:rFonts w:hint="cs"/>
          <w:sz w:val="24"/>
          <w:szCs w:val="24"/>
          <w:rtl/>
          <w:lang w:bidi="ar-EG"/>
        </w:rPr>
        <w:t xml:space="preserve"> </w:t>
      </w:r>
      <w:r w:rsidRPr="00672388">
        <w:rPr>
          <w:rFonts w:hint="cs"/>
          <w:sz w:val="24"/>
          <w:szCs w:val="24"/>
          <w:rtl/>
          <w:lang w:bidi="ar-EG"/>
        </w:rPr>
        <w:t>إدارة التنمية الاجتماعية</w:t>
      </w:r>
      <w:r w:rsidRPr="00672388">
        <w:rPr>
          <w:sz w:val="24"/>
          <w:szCs w:val="24"/>
          <w:rtl/>
          <w:lang w:bidi="ar-EG"/>
        </w:rPr>
        <w:t>–</w:t>
      </w:r>
      <w:r w:rsidRPr="00672388">
        <w:rPr>
          <w:rFonts w:hint="cs"/>
          <w:sz w:val="24"/>
          <w:szCs w:val="24"/>
          <w:rtl/>
          <w:lang w:bidi="ar-EG"/>
        </w:rPr>
        <w:t xml:space="preserve"> استنادا إلى التعداد التعليمي، الإدارة الوطنية للإحصاء جيم 600</w:t>
      </w:r>
      <w:r w:rsidR="003D7EB4">
        <w:rPr>
          <w:rFonts w:hint="cs"/>
          <w:sz w:val="24"/>
          <w:szCs w:val="24"/>
          <w:rtl/>
          <w:lang w:bidi="ar-EG"/>
        </w:rPr>
        <w:t>،</w:t>
      </w:r>
    </w:p>
    <w:p w:rsidR="004614CB" w:rsidRDefault="004614CB" w:rsidP="00A343DF">
      <w:pPr>
        <w:pStyle w:val="SingleTxt"/>
        <w:rPr>
          <w:rFonts w:hint="cs"/>
          <w:rtl/>
          <w:lang w:bidi="ar-EG"/>
        </w:rPr>
      </w:pPr>
      <w:r>
        <w:rPr>
          <w:rFonts w:hint="cs"/>
          <w:rtl/>
          <w:lang w:bidi="ar-EG"/>
        </w:rPr>
        <w:tab/>
        <w:t>فيما يتعلق بالمدرسين المكلفين بتعليم الأطفال في مرحلة الحضانة ومرحلتي التعليم الأساسي الابتدائي والثانوي كان يوجد في سنة 2000، 283 239 مدرسا ومدرسة، 41</w:t>
      </w:r>
      <w:r w:rsidR="00FC46DD">
        <w:rPr>
          <w:rFonts w:hint="cs"/>
          <w:rtl/>
          <w:lang w:bidi="ar-EG"/>
        </w:rPr>
        <w:t>.</w:t>
      </w:r>
      <w:r>
        <w:rPr>
          <w:rFonts w:hint="cs"/>
          <w:rtl/>
          <w:lang w:bidi="ar-EG"/>
        </w:rPr>
        <w:t>32 في المائة (874 98) منهم إناث</w:t>
      </w:r>
      <w:r w:rsidR="003D7EB4">
        <w:rPr>
          <w:rFonts w:hint="cs"/>
          <w:rtl/>
          <w:lang w:bidi="ar-EG"/>
        </w:rPr>
        <w:t>،</w:t>
      </w:r>
    </w:p>
    <w:p w:rsidR="004614CB" w:rsidRDefault="004614CB" w:rsidP="00A343DF">
      <w:pPr>
        <w:pStyle w:val="SingleTxt"/>
        <w:rPr>
          <w:rFonts w:hint="cs"/>
          <w:rtl/>
          <w:lang w:bidi="ar-EG"/>
        </w:rPr>
      </w:pPr>
      <w:r>
        <w:rPr>
          <w:rFonts w:hint="cs"/>
          <w:rtl/>
          <w:lang w:bidi="ar-EG"/>
        </w:rPr>
        <w:tab/>
        <w:t>وفي التعليم العالي توقف الاتجاه الجنسي فعند اختيار الحياة المهنية تزداد مشاركة المرأة في المجالات التي كانت تقليديا قاصرة على الرجال مثل الزراعة والعلوم الصحية والرياضيات</w:t>
      </w:r>
      <w:r w:rsidR="003D7EB4">
        <w:rPr>
          <w:rFonts w:hint="cs"/>
          <w:rtl/>
          <w:lang w:bidi="ar-EG"/>
        </w:rPr>
        <w:t>،</w:t>
      </w:r>
    </w:p>
    <w:p w:rsidR="004614CB" w:rsidRDefault="004614CB"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991"/>
        <w:gridCol w:w="1442"/>
        <w:gridCol w:w="1339"/>
        <w:gridCol w:w="1084"/>
        <w:gridCol w:w="1464"/>
      </w:tblGrid>
      <w:tr w:rsidR="004614CB" w:rsidRPr="004614CB">
        <w:tblPrEx>
          <w:tblCellMar>
            <w:top w:w="0" w:type="dxa"/>
            <w:bottom w:w="0" w:type="dxa"/>
          </w:tblCellMar>
        </w:tblPrEx>
        <w:trPr>
          <w:cantSplit/>
          <w:tblHeader/>
        </w:trPr>
        <w:tc>
          <w:tcPr>
            <w:tcW w:w="1991" w:type="dxa"/>
            <w:tcBorders>
              <w:top w:val="single" w:sz="4" w:space="0" w:color="auto"/>
            </w:tcBorders>
            <w:vAlign w:val="bottom"/>
          </w:tcPr>
          <w:p w:rsidR="004614CB" w:rsidRPr="004614CB" w:rsidRDefault="004614CB" w:rsidP="00A343DF">
            <w:pPr>
              <w:tabs>
                <w:tab w:val="left" w:pos="288"/>
                <w:tab w:val="left" w:pos="576"/>
                <w:tab w:val="left" w:pos="864"/>
                <w:tab w:val="left" w:pos="1152"/>
              </w:tabs>
              <w:spacing w:before="80" w:after="80" w:line="240" w:lineRule="exact"/>
              <w:ind w:right="40"/>
              <w:jc w:val="lowKashida"/>
              <w:rPr>
                <w:rFonts w:hint="cs"/>
                <w:i/>
                <w:iCs/>
                <w:sz w:val="24"/>
                <w:szCs w:val="24"/>
                <w:rtl/>
              </w:rPr>
            </w:pPr>
          </w:p>
        </w:tc>
        <w:tc>
          <w:tcPr>
            <w:tcW w:w="2781" w:type="dxa"/>
            <w:gridSpan w:val="2"/>
            <w:tcBorders>
              <w:top w:val="single" w:sz="4" w:space="0" w:color="auto"/>
            </w:tcBorders>
            <w:vAlign w:val="bottom"/>
          </w:tcPr>
          <w:p w:rsidR="004614CB" w:rsidRPr="004614CB" w:rsidRDefault="004614CB"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4614CB">
              <w:rPr>
                <w:rFonts w:hint="cs"/>
                <w:i/>
                <w:iCs/>
                <w:sz w:val="24"/>
                <w:szCs w:val="24"/>
                <w:rtl/>
              </w:rPr>
              <w:t>نسبة المسجلين في الدورة الدراسية الأولى</w:t>
            </w:r>
          </w:p>
        </w:tc>
        <w:tc>
          <w:tcPr>
            <w:tcW w:w="2548" w:type="dxa"/>
            <w:gridSpan w:val="2"/>
            <w:tcBorders>
              <w:top w:val="single" w:sz="4" w:space="0" w:color="auto"/>
            </w:tcBorders>
            <w:vAlign w:val="bottom"/>
          </w:tcPr>
          <w:p w:rsidR="004614CB" w:rsidRPr="004614CB" w:rsidRDefault="004614CB"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4614CB">
              <w:rPr>
                <w:rFonts w:hint="cs"/>
                <w:i/>
                <w:iCs/>
                <w:sz w:val="24"/>
                <w:szCs w:val="24"/>
                <w:rtl/>
              </w:rPr>
              <w:t>مجموع عدد الطلبة</w:t>
            </w:r>
          </w:p>
        </w:tc>
      </w:tr>
      <w:tr w:rsidR="004614CB" w:rsidRPr="004614CB">
        <w:tblPrEx>
          <w:tblCellMar>
            <w:top w:w="0" w:type="dxa"/>
            <w:bottom w:w="0" w:type="dxa"/>
          </w:tblCellMar>
        </w:tblPrEx>
        <w:trPr>
          <w:cantSplit/>
          <w:tblHeader/>
        </w:trPr>
        <w:tc>
          <w:tcPr>
            <w:tcW w:w="1991"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after="80" w:line="240" w:lineRule="exact"/>
              <w:ind w:right="40"/>
              <w:jc w:val="lowKashida"/>
              <w:rPr>
                <w:rFonts w:hint="cs"/>
                <w:i/>
                <w:iCs/>
                <w:sz w:val="24"/>
                <w:szCs w:val="24"/>
                <w:rtl/>
              </w:rPr>
            </w:pPr>
            <w:r w:rsidRPr="004614CB">
              <w:rPr>
                <w:rFonts w:hint="cs"/>
                <w:i/>
                <w:iCs/>
                <w:sz w:val="24"/>
                <w:szCs w:val="24"/>
                <w:rtl/>
              </w:rPr>
              <w:t>المجالات</w:t>
            </w:r>
          </w:p>
        </w:tc>
        <w:tc>
          <w:tcPr>
            <w:tcW w:w="1442"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after="80" w:line="240" w:lineRule="exact"/>
              <w:ind w:right="144"/>
              <w:jc w:val="lowKashida"/>
              <w:rPr>
                <w:rFonts w:hint="cs"/>
                <w:i/>
                <w:iCs/>
                <w:sz w:val="24"/>
                <w:szCs w:val="24"/>
                <w:rtl/>
              </w:rPr>
            </w:pPr>
            <w:r w:rsidRPr="004614CB">
              <w:rPr>
                <w:rFonts w:hint="cs"/>
                <w:i/>
                <w:iCs/>
                <w:sz w:val="24"/>
                <w:szCs w:val="24"/>
                <w:rtl/>
              </w:rPr>
              <w:t>ذكور</w:t>
            </w:r>
          </w:p>
        </w:tc>
        <w:tc>
          <w:tcPr>
            <w:tcW w:w="1339"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after="80" w:line="240" w:lineRule="exact"/>
              <w:ind w:right="144"/>
              <w:jc w:val="lowKashida"/>
              <w:rPr>
                <w:rFonts w:hint="cs"/>
                <w:i/>
                <w:iCs/>
                <w:sz w:val="24"/>
                <w:szCs w:val="24"/>
                <w:rtl/>
              </w:rPr>
            </w:pPr>
            <w:r w:rsidRPr="004614CB">
              <w:rPr>
                <w:rFonts w:hint="cs"/>
                <w:i/>
                <w:iCs/>
                <w:sz w:val="24"/>
                <w:szCs w:val="24"/>
                <w:rtl/>
              </w:rPr>
              <w:t>إناث</w:t>
            </w:r>
          </w:p>
        </w:tc>
        <w:tc>
          <w:tcPr>
            <w:tcW w:w="1084"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after="80" w:line="240" w:lineRule="exact"/>
              <w:ind w:right="144"/>
              <w:jc w:val="lowKashida"/>
              <w:rPr>
                <w:rFonts w:hint="cs"/>
                <w:i/>
                <w:iCs/>
                <w:sz w:val="24"/>
                <w:szCs w:val="24"/>
                <w:rtl/>
              </w:rPr>
            </w:pPr>
            <w:r w:rsidRPr="004614CB">
              <w:rPr>
                <w:rFonts w:hint="cs"/>
                <w:i/>
                <w:iCs/>
                <w:sz w:val="24"/>
                <w:szCs w:val="24"/>
                <w:rtl/>
              </w:rPr>
              <w:t>ذكور</w:t>
            </w:r>
          </w:p>
        </w:tc>
        <w:tc>
          <w:tcPr>
            <w:tcW w:w="1464"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after="80" w:line="240" w:lineRule="exact"/>
              <w:ind w:right="144"/>
              <w:jc w:val="lowKashida"/>
              <w:rPr>
                <w:rFonts w:hint="cs"/>
                <w:i/>
                <w:iCs/>
                <w:sz w:val="24"/>
                <w:szCs w:val="24"/>
                <w:rtl/>
              </w:rPr>
            </w:pPr>
            <w:r w:rsidRPr="004614CB">
              <w:rPr>
                <w:rFonts w:hint="cs"/>
                <w:i/>
                <w:iCs/>
                <w:sz w:val="24"/>
                <w:szCs w:val="24"/>
                <w:rtl/>
              </w:rPr>
              <w:t>إناث</w:t>
            </w:r>
          </w:p>
        </w:tc>
      </w:tr>
      <w:tr w:rsidR="004614CB" w:rsidRPr="004614CB">
        <w:tblPrEx>
          <w:tblCellMar>
            <w:top w:w="0" w:type="dxa"/>
            <w:bottom w:w="0" w:type="dxa"/>
          </w:tblCellMar>
        </w:tblPrEx>
        <w:trPr>
          <w:cantSplit/>
          <w:trHeight w:hRule="exact" w:val="115"/>
          <w:tblHeader/>
        </w:trPr>
        <w:tc>
          <w:tcPr>
            <w:tcW w:w="1991" w:type="dxa"/>
            <w:tcBorders>
              <w:top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1442" w:type="dxa"/>
            <w:tcBorders>
              <w:top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339" w:type="dxa"/>
            <w:tcBorders>
              <w:top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084" w:type="dxa"/>
            <w:tcBorders>
              <w:top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p>
        </w:tc>
        <w:tc>
          <w:tcPr>
            <w:tcW w:w="1464" w:type="dxa"/>
            <w:tcBorders>
              <w:top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4614CB" w:rsidRPr="004614CB">
        <w:tblPrEx>
          <w:tblCellMar>
            <w:top w:w="0" w:type="dxa"/>
            <w:bottom w:w="0" w:type="dxa"/>
          </w:tblCellMar>
        </w:tblPrEx>
        <w:trPr>
          <w:cantSplit/>
        </w:trPr>
        <w:tc>
          <w:tcPr>
            <w:tcW w:w="1991" w:type="dxa"/>
            <w:vAlign w:val="bottom"/>
          </w:tcPr>
          <w:p w:rsidR="004614CB" w:rsidRPr="004614CB" w:rsidRDefault="004614CB"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4614CB">
              <w:rPr>
                <w:rFonts w:hint="cs"/>
                <w:sz w:val="24"/>
                <w:szCs w:val="24"/>
                <w:rtl/>
              </w:rPr>
              <w:t>الهندسة والعلوم الطبيعية</w:t>
            </w:r>
          </w:p>
        </w:tc>
        <w:tc>
          <w:tcPr>
            <w:tcW w:w="1442" w:type="dxa"/>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4614CB">
              <w:rPr>
                <w:rFonts w:hint="cs"/>
                <w:sz w:val="24"/>
                <w:szCs w:val="24"/>
                <w:rtl/>
              </w:rPr>
              <w:t>446 26</w:t>
            </w:r>
          </w:p>
        </w:tc>
        <w:tc>
          <w:tcPr>
            <w:tcW w:w="1339" w:type="dxa"/>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4614CB">
              <w:rPr>
                <w:rFonts w:hint="cs"/>
                <w:sz w:val="24"/>
                <w:szCs w:val="24"/>
                <w:rtl/>
              </w:rPr>
              <w:t>192 59</w:t>
            </w:r>
          </w:p>
        </w:tc>
        <w:tc>
          <w:tcPr>
            <w:tcW w:w="1084" w:type="dxa"/>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4614CB">
              <w:rPr>
                <w:rFonts w:hint="cs"/>
                <w:sz w:val="24"/>
                <w:szCs w:val="24"/>
                <w:rtl/>
              </w:rPr>
              <w:t>829 88</w:t>
            </w:r>
          </w:p>
        </w:tc>
        <w:tc>
          <w:tcPr>
            <w:tcW w:w="1464" w:type="dxa"/>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4614CB">
              <w:rPr>
                <w:rFonts w:hint="cs"/>
                <w:sz w:val="24"/>
                <w:szCs w:val="24"/>
                <w:rtl/>
              </w:rPr>
              <w:t>548 175</w:t>
            </w:r>
          </w:p>
        </w:tc>
      </w:tr>
      <w:tr w:rsidR="004614CB" w:rsidRPr="004614CB">
        <w:tblPrEx>
          <w:tblCellMar>
            <w:top w:w="0" w:type="dxa"/>
            <w:bottom w:w="0" w:type="dxa"/>
          </w:tblCellMar>
        </w:tblPrEx>
        <w:trPr>
          <w:cantSplit/>
        </w:trPr>
        <w:tc>
          <w:tcPr>
            <w:tcW w:w="1991"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4614CB">
              <w:rPr>
                <w:rFonts w:hint="cs"/>
                <w:sz w:val="24"/>
                <w:szCs w:val="24"/>
                <w:rtl/>
              </w:rPr>
              <w:t>الرياضيات والعلوم الطبيعية</w:t>
            </w:r>
          </w:p>
        </w:tc>
        <w:tc>
          <w:tcPr>
            <w:tcW w:w="1442"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4614CB">
              <w:rPr>
                <w:rFonts w:hint="cs"/>
                <w:sz w:val="24"/>
                <w:szCs w:val="24"/>
                <w:rtl/>
              </w:rPr>
              <w:t>995 3</w:t>
            </w:r>
          </w:p>
        </w:tc>
        <w:tc>
          <w:tcPr>
            <w:tcW w:w="1339"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4614CB">
              <w:rPr>
                <w:rFonts w:hint="cs"/>
                <w:sz w:val="24"/>
                <w:szCs w:val="24"/>
                <w:rtl/>
              </w:rPr>
              <w:t>404 4</w:t>
            </w:r>
          </w:p>
        </w:tc>
        <w:tc>
          <w:tcPr>
            <w:tcW w:w="1084"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4614CB">
              <w:rPr>
                <w:rFonts w:hint="cs"/>
                <w:sz w:val="24"/>
                <w:szCs w:val="24"/>
                <w:rtl/>
              </w:rPr>
              <w:t>179 11</w:t>
            </w:r>
          </w:p>
        </w:tc>
        <w:tc>
          <w:tcPr>
            <w:tcW w:w="1464" w:type="dxa"/>
            <w:tcBorders>
              <w:bottom w:val="single" w:sz="12" w:space="0" w:color="auto"/>
            </w:tcBorders>
            <w:vAlign w:val="bottom"/>
          </w:tcPr>
          <w:p w:rsidR="004614CB" w:rsidRPr="004614CB" w:rsidRDefault="004614CB"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4614CB">
              <w:rPr>
                <w:rFonts w:hint="cs"/>
                <w:sz w:val="24"/>
                <w:szCs w:val="24"/>
                <w:rtl/>
              </w:rPr>
              <w:t>786 10</w:t>
            </w:r>
          </w:p>
        </w:tc>
      </w:tr>
    </w:tbl>
    <w:p w:rsidR="004614CB" w:rsidRDefault="004614CB" w:rsidP="00A343DF">
      <w:pPr>
        <w:pStyle w:val="SingleTxt"/>
        <w:spacing w:after="0" w:line="120" w:lineRule="exact"/>
        <w:rPr>
          <w:rFonts w:hint="cs"/>
          <w:sz w:val="10"/>
          <w:rtl/>
          <w:lang w:bidi="ar-EG"/>
        </w:rPr>
      </w:pPr>
    </w:p>
    <w:p w:rsidR="004614CB" w:rsidRDefault="004614CB" w:rsidP="00A343DF">
      <w:pPr>
        <w:pStyle w:val="SingleTxt"/>
        <w:rPr>
          <w:rFonts w:hint="cs"/>
          <w:rtl/>
          <w:lang w:bidi="ar-EG"/>
        </w:rPr>
      </w:pPr>
      <w:r>
        <w:rPr>
          <w:rFonts w:hint="cs"/>
          <w:rtl/>
          <w:lang w:bidi="ar-EG"/>
        </w:rPr>
        <w:tab/>
        <w:t>دلت نتائج الاختبارات الحكومية للسنة الحادية عشرة في عام 1999 على أن كليات الشبان على المستوى الوطني (العامة والخاصة) قد بلغت مستويات مرتفعة من العائد تبلغ نسبتها نحو60</w:t>
      </w:r>
      <w:r w:rsidR="00FC46DD">
        <w:rPr>
          <w:rFonts w:hint="cs"/>
          <w:rtl/>
          <w:lang w:bidi="ar-EG"/>
        </w:rPr>
        <w:t>.</w:t>
      </w:r>
      <w:r>
        <w:rPr>
          <w:rFonts w:hint="cs"/>
          <w:rtl/>
          <w:lang w:bidi="ar-EG"/>
        </w:rPr>
        <w:t>9 في المائة في حين بلغت كليات الإناث مستوى 37</w:t>
      </w:r>
      <w:r w:rsidR="00FC46DD">
        <w:rPr>
          <w:rFonts w:hint="cs"/>
          <w:rtl/>
          <w:lang w:bidi="ar-EG"/>
        </w:rPr>
        <w:t>.</w:t>
      </w:r>
      <w:r>
        <w:rPr>
          <w:rFonts w:hint="cs"/>
          <w:rtl/>
          <w:lang w:bidi="ar-EG"/>
        </w:rPr>
        <w:t>6 في المائة</w:t>
      </w:r>
      <w:r w:rsidR="003D7EB4">
        <w:rPr>
          <w:rFonts w:hint="cs"/>
          <w:rtl/>
          <w:lang w:bidi="ar-EG"/>
        </w:rPr>
        <w:t>،</w:t>
      </w:r>
      <w:r>
        <w:rPr>
          <w:rFonts w:hint="cs"/>
          <w:rtl/>
          <w:lang w:bidi="ar-EG"/>
        </w:rPr>
        <w:t xml:space="preserve"> وبلغت الكليات المختلطة مستوى 16</w:t>
      </w:r>
      <w:r w:rsidR="00FC46DD">
        <w:rPr>
          <w:rFonts w:hint="cs"/>
          <w:rtl/>
          <w:lang w:bidi="ar-EG"/>
        </w:rPr>
        <w:t>.</w:t>
      </w:r>
      <w:r>
        <w:rPr>
          <w:rFonts w:hint="cs"/>
          <w:rtl/>
          <w:lang w:bidi="ar-EG"/>
        </w:rPr>
        <w:t>8 في المائة</w:t>
      </w:r>
      <w:r w:rsidR="003D7EB4">
        <w:rPr>
          <w:rFonts w:hint="cs"/>
          <w:rtl/>
          <w:lang w:bidi="ar-EG"/>
        </w:rPr>
        <w:t>،</w:t>
      </w:r>
      <w:r>
        <w:rPr>
          <w:rFonts w:hint="cs"/>
          <w:rtl/>
          <w:lang w:bidi="ar-EG"/>
        </w:rPr>
        <w:t xml:space="preserve"> ومن الجدير بالملاحظة أن أكثر من 80 في المائة من الكليات الحكومية مختلطة</w:t>
      </w:r>
      <w:r w:rsidR="003D7EB4">
        <w:rPr>
          <w:rFonts w:hint="cs"/>
          <w:rtl/>
          <w:lang w:bidi="ar-EG"/>
        </w:rPr>
        <w:t>،</w:t>
      </w:r>
    </w:p>
    <w:p w:rsidR="004614CB" w:rsidRDefault="004614CB" w:rsidP="00A343DF">
      <w:pPr>
        <w:pStyle w:val="SingleTxt"/>
        <w:rPr>
          <w:rFonts w:hint="cs"/>
          <w:rtl/>
          <w:lang w:bidi="ar-EG"/>
        </w:rPr>
      </w:pPr>
      <w:r>
        <w:rPr>
          <w:rFonts w:hint="cs"/>
          <w:rtl/>
          <w:lang w:bidi="ar-EG"/>
        </w:rPr>
        <w:tab/>
        <w:t>يتسم الوضع التعليمي للأطفال الكولومبيين بمؤشرات مرجعية تقدم بيانات مثل انخفاض الأمية من 10</w:t>
      </w:r>
      <w:r w:rsidR="00FC46DD">
        <w:rPr>
          <w:rFonts w:hint="cs"/>
          <w:rtl/>
          <w:lang w:bidi="ar-EG"/>
        </w:rPr>
        <w:t>.</w:t>
      </w:r>
      <w:r>
        <w:rPr>
          <w:rFonts w:hint="cs"/>
          <w:rtl/>
          <w:lang w:bidi="ar-EG"/>
        </w:rPr>
        <w:t>8 في المائة في سنة 1990 إلى 7</w:t>
      </w:r>
      <w:r w:rsidR="00FC46DD">
        <w:rPr>
          <w:rFonts w:hint="cs"/>
          <w:rtl/>
          <w:lang w:bidi="ar-EG"/>
        </w:rPr>
        <w:t>.</w:t>
      </w:r>
      <w:r>
        <w:rPr>
          <w:rFonts w:hint="cs"/>
          <w:rtl/>
          <w:lang w:bidi="ar-EG"/>
        </w:rPr>
        <w:t>5 في المائة في سنة 2001</w:t>
      </w:r>
      <w:r w:rsidR="003D7EB4">
        <w:rPr>
          <w:rFonts w:hint="cs"/>
          <w:rtl/>
          <w:lang w:bidi="ar-EG"/>
        </w:rPr>
        <w:t>،</w:t>
      </w:r>
      <w:r>
        <w:rPr>
          <w:rFonts w:hint="cs"/>
          <w:rtl/>
          <w:lang w:bidi="ar-EG"/>
        </w:rPr>
        <w:t xml:space="preserve"> وتتيح بيانات التغطية ملاحظة كيفية انخفاضها بمقدار ارتفاع المستوى التعليمي، فنصف عدد الأشخاص كانوا خارج النظام التعليمي عندما بلغوا سن التعليم الأساسي الثانوي</w:t>
      </w:r>
      <w:r w:rsidR="003D7EB4">
        <w:rPr>
          <w:rFonts w:hint="cs"/>
          <w:rtl/>
          <w:lang w:bidi="ar-EG"/>
        </w:rPr>
        <w:t>،</w:t>
      </w:r>
      <w:r>
        <w:rPr>
          <w:rFonts w:hint="cs"/>
          <w:rtl/>
          <w:lang w:bidi="ar-EG"/>
        </w:rPr>
        <w:t xml:space="preserve"> ووفقا للدراسة الاستقصائية للتعليم أن الفتية الذين تتراوح أعمارهم بين 5 و17 سنة، التي أجرتها الإدارة الوطنية للإحصاء في سنة 2001، فإن 14 في المائة من الفتية الذين تتراوح أعمارهم بين 6 و14 سنة لم يلتحقوا بالمدارس</w:t>
      </w:r>
      <w:r w:rsidR="003D7EB4">
        <w:rPr>
          <w:rFonts w:hint="cs"/>
          <w:rtl/>
          <w:lang w:bidi="ar-EG"/>
        </w:rPr>
        <w:t>،</w:t>
      </w:r>
    </w:p>
    <w:p w:rsidR="00971AE2" w:rsidRDefault="00971AE2" w:rsidP="00A343DF">
      <w:pPr>
        <w:pStyle w:val="SingleTxt"/>
        <w:rPr>
          <w:rFonts w:hint="cs"/>
          <w:rtl/>
          <w:lang w:bidi="ar-EG"/>
        </w:rPr>
      </w:pPr>
      <w:r>
        <w:rPr>
          <w:rFonts w:hint="cs"/>
          <w:rtl/>
          <w:lang w:bidi="ar-EG"/>
        </w:rPr>
        <w:tab/>
        <w:t>وتقدم المنح الدراسية والقروض التعليمية وغيرها من الفرص التي يتيحها التعاون التقني الدولي إلى الإناث والذكور على قدم المساواة</w:t>
      </w:r>
      <w:r w:rsidR="003D7EB4">
        <w:rPr>
          <w:rFonts w:hint="cs"/>
          <w:rtl/>
          <w:lang w:bidi="ar-EG"/>
        </w:rPr>
        <w:t>،</w:t>
      </w:r>
      <w:r>
        <w:rPr>
          <w:rFonts w:hint="cs"/>
          <w:rtl/>
          <w:lang w:bidi="ar-EG"/>
        </w:rPr>
        <w:t xml:space="preserve"> والواقع هوأن البلدان والمنظمات الدولية تفضل أن تكون الإناث هن المستفيدات من منحها</w:t>
      </w:r>
      <w:r w:rsidR="003D7EB4">
        <w:rPr>
          <w:rFonts w:hint="cs"/>
          <w:rtl/>
          <w:lang w:bidi="ar-EG"/>
        </w:rPr>
        <w:t>،</w:t>
      </w:r>
    </w:p>
    <w:p w:rsidR="00971AE2" w:rsidRDefault="00971AE2" w:rsidP="00A343DF">
      <w:pPr>
        <w:pStyle w:val="SingleTxt"/>
        <w:rPr>
          <w:rFonts w:hint="cs"/>
          <w:rtl/>
          <w:lang w:bidi="ar-EG"/>
        </w:rPr>
      </w:pPr>
      <w:r>
        <w:rPr>
          <w:rFonts w:hint="cs"/>
          <w:rtl/>
          <w:lang w:bidi="ar-EG"/>
        </w:rPr>
        <w:tab/>
        <w:t>ووفقا للإدارة التنظيمية الوطنية للإحصاء فإن عدد سكان كولومبيا الذين تتراوح أعمارهم بين 5 و17 سنة يبلغ 693 325 11 من بينهم 51</w:t>
      </w:r>
      <w:r w:rsidR="00FC46DD">
        <w:rPr>
          <w:rFonts w:hint="cs"/>
          <w:rtl/>
          <w:lang w:bidi="ar-EG"/>
        </w:rPr>
        <w:t>.</w:t>
      </w:r>
      <w:r>
        <w:rPr>
          <w:rFonts w:hint="cs"/>
          <w:rtl/>
          <w:lang w:bidi="ar-EG"/>
        </w:rPr>
        <w:t>3 في المائة ذكور و48</w:t>
      </w:r>
      <w:r w:rsidR="00FC46DD">
        <w:rPr>
          <w:rFonts w:hint="cs"/>
          <w:rtl/>
          <w:lang w:bidi="ar-EG"/>
        </w:rPr>
        <w:t>.</w:t>
      </w:r>
      <w:r>
        <w:rPr>
          <w:rFonts w:hint="cs"/>
          <w:rtl/>
          <w:lang w:bidi="ar-EG"/>
        </w:rPr>
        <w:t>7 إناث، و873 150 6 تتراوح أعمارهم بين 5 و11 سنة و565 682 4 تتراوح أعمارهم بين 12 و17 سنة و20 في المائة فقط من مجموع عدد السكان في هذين الفئتين العمريتين، أي 678 188 2 يدرسون بشكل متفرغ</w:t>
      </w:r>
      <w:r>
        <w:rPr>
          <w:rFonts w:hint="cs"/>
          <w:vertAlign w:val="superscript"/>
          <w:rtl/>
          <w:lang w:bidi="ar-EG"/>
        </w:rPr>
        <w:t>(79)</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2-11</w:t>
      </w:r>
      <w:r>
        <w:rPr>
          <w:rFonts w:hint="cs"/>
          <w:b/>
          <w:bCs/>
          <w:rtl/>
          <w:lang w:bidi="ar-EG"/>
        </w:rPr>
        <w:tab/>
        <w:t>المادة 11</w:t>
      </w:r>
    </w:p>
    <w:p w:rsidR="00D41D81" w:rsidRPr="00D41D81" w:rsidRDefault="00D41D81" w:rsidP="00A343DF">
      <w:pPr>
        <w:pStyle w:val="SingleTxt"/>
        <w:spacing w:after="0" w:line="120" w:lineRule="exact"/>
        <w:rPr>
          <w:rFonts w:hint="cs"/>
          <w:b/>
          <w:bCs/>
          <w:sz w:val="10"/>
          <w:rtl/>
          <w:lang w:bidi="ar-EG"/>
        </w:rPr>
      </w:pPr>
    </w:p>
    <w:p w:rsidR="00971AE2" w:rsidRDefault="00D41D81" w:rsidP="00A343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العمالة</w:t>
      </w:r>
    </w:p>
    <w:p w:rsidR="00971AE2" w:rsidRDefault="00971AE2" w:rsidP="00A343DF">
      <w:pPr>
        <w:pStyle w:val="SingleTxt"/>
        <w:rPr>
          <w:rFonts w:hint="cs"/>
          <w:rtl/>
          <w:lang w:bidi="ar-EG"/>
        </w:rPr>
      </w:pPr>
      <w:r>
        <w:rPr>
          <w:rFonts w:hint="cs"/>
          <w:rtl/>
          <w:lang w:bidi="ar-EG"/>
        </w:rPr>
        <w:tab/>
        <w:t xml:space="preserve">تتفق هذه المادة مع </w:t>
      </w:r>
      <w:r>
        <w:rPr>
          <w:rFonts w:hint="cs"/>
          <w:b/>
          <w:bCs/>
          <w:rtl/>
          <w:lang w:bidi="ar-EG"/>
        </w:rPr>
        <w:t>التوصية العامة رقم 13</w:t>
      </w:r>
      <w:r>
        <w:rPr>
          <w:rFonts w:hint="cs"/>
          <w:rtl/>
          <w:lang w:bidi="ar-EG"/>
        </w:rPr>
        <w:t xml:space="preserve"> المتعلقة بالأجر المتساوي عن العمل المتكافئ القيمة</w:t>
      </w:r>
      <w:r>
        <w:rPr>
          <w:rFonts w:hint="cs"/>
          <w:vertAlign w:val="superscript"/>
          <w:rtl/>
          <w:lang w:bidi="ar-EG"/>
        </w:rPr>
        <w:t>(80)</w:t>
      </w:r>
      <w:r>
        <w:rPr>
          <w:rFonts w:hint="cs"/>
          <w:rtl/>
          <w:lang w:bidi="ar-EG"/>
        </w:rPr>
        <w:t xml:space="preserve">، ومع </w:t>
      </w:r>
      <w:r>
        <w:rPr>
          <w:rFonts w:hint="cs"/>
          <w:b/>
          <w:bCs/>
          <w:rtl/>
          <w:lang w:bidi="ar-EG"/>
        </w:rPr>
        <w:t>التوصية العامة رقم 16</w:t>
      </w:r>
      <w:r>
        <w:rPr>
          <w:rFonts w:hint="cs"/>
          <w:rtl/>
          <w:lang w:bidi="ar-EG"/>
        </w:rPr>
        <w:t xml:space="preserve"> المتعلقة بالنساء اللائي يعملن بدون أجر في شركات أسرية ريفية وحضرية</w:t>
      </w:r>
      <w:r>
        <w:rPr>
          <w:rFonts w:hint="cs"/>
          <w:vertAlign w:val="superscript"/>
          <w:rtl/>
          <w:lang w:bidi="ar-EG"/>
        </w:rPr>
        <w:t>(81)</w:t>
      </w:r>
      <w:r>
        <w:rPr>
          <w:rFonts w:hint="cs"/>
          <w:rtl/>
          <w:lang w:bidi="ar-EG"/>
        </w:rPr>
        <w:t xml:space="preserve">، ومع </w:t>
      </w:r>
      <w:r>
        <w:rPr>
          <w:rFonts w:hint="cs"/>
          <w:b/>
          <w:bCs/>
          <w:rtl/>
          <w:lang w:bidi="ar-EG"/>
        </w:rPr>
        <w:t>التوصية العامة رقم 17</w:t>
      </w:r>
      <w:r>
        <w:rPr>
          <w:rFonts w:hint="cs"/>
          <w:rtl/>
          <w:lang w:bidi="ar-EG"/>
        </w:rPr>
        <w:t xml:space="preserve"> المتعلقة بقياس عمل المرأة المنزلي الذي لا تتقاضى عنه أجر كميا وتقديره في الناتج الوطني الإجمالي</w:t>
      </w:r>
      <w:r>
        <w:rPr>
          <w:rFonts w:hint="cs"/>
          <w:vertAlign w:val="superscript"/>
          <w:rtl/>
          <w:lang w:bidi="ar-EG"/>
        </w:rPr>
        <w:t>(82)</w:t>
      </w:r>
      <w:r>
        <w:rPr>
          <w:rFonts w:hint="cs"/>
          <w:rtl/>
          <w:lang w:bidi="ar-EG"/>
        </w:rPr>
        <w:t xml:space="preserve"> ومع </w:t>
      </w:r>
      <w:r>
        <w:rPr>
          <w:rFonts w:hint="cs"/>
          <w:b/>
          <w:bCs/>
          <w:rtl/>
          <w:lang w:bidi="ar-EG"/>
        </w:rPr>
        <w:t>التوصية العامة رقم 19</w:t>
      </w:r>
      <w:r>
        <w:rPr>
          <w:rFonts w:hint="cs"/>
          <w:vertAlign w:val="superscript"/>
          <w:rtl/>
          <w:lang w:bidi="ar-EG"/>
        </w:rPr>
        <w:t>(83)</w:t>
      </w:r>
      <w:r>
        <w:rPr>
          <w:rFonts w:hint="cs"/>
          <w:rtl/>
          <w:lang w:bidi="ar-EG"/>
        </w:rPr>
        <w:t xml:space="preserve"> المتعلقة بالعنف ضد المرأة، ولا سيما التحرش الجنسي في مكان العمل</w:t>
      </w:r>
      <w:r w:rsidR="003D7EB4">
        <w:rPr>
          <w:rFonts w:hint="cs"/>
          <w:rtl/>
          <w:lang w:bidi="ar-EG"/>
        </w:rPr>
        <w:t>،</w:t>
      </w:r>
      <w:r>
        <w:rPr>
          <w:rFonts w:hint="cs"/>
          <w:rtl/>
          <w:lang w:bidi="ar-EG"/>
        </w:rPr>
        <w:t xml:space="preserve"> وتكمل هذه المادة الاعتبارات الواردة ضمن بند تنفيذ المادة 13 المتعلقة بالحياة الاقتصادية والاجتماعية</w:t>
      </w:r>
      <w:r w:rsidR="003D7EB4">
        <w:rPr>
          <w:rFonts w:hint="cs"/>
          <w:rtl/>
          <w:lang w:bidi="ar-EG"/>
        </w:rPr>
        <w:t>،</w:t>
      </w:r>
    </w:p>
    <w:p w:rsidR="00971AE2" w:rsidRDefault="00971AE2" w:rsidP="00A343DF">
      <w:pPr>
        <w:pStyle w:val="SingleTxt"/>
        <w:rPr>
          <w:rFonts w:hint="cs"/>
          <w:rtl/>
          <w:lang w:bidi="ar-EG"/>
        </w:rPr>
      </w:pPr>
      <w:r>
        <w:rPr>
          <w:rFonts w:hint="cs"/>
          <w:b/>
          <w:bCs/>
          <w:u w:val="single"/>
          <w:rtl/>
          <w:lang w:bidi="ar-EG"/>
        </w:rPr>
        <w:t>المنجزات التشريعية</w:t>
      </w:r>
      <w:r>
        <w:rPr>
          <w:rFonts w:hint="cs"/>
          <w:rtl/>
          <w:lang w:bidi="ar-EG"/>
        </w:rPr>
        <w:t>:</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971AE2" w:rsidRPr="00032D89">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971AE2" w:rsidRPr="00032D89"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032D89">
              <w:rPr>
                <w:rFonts w:hint="cs"/>
                <w:i/>
                <w:iCs/>
                <w:sz w:val="24"/>
                <w:szCs w:val="24"/>
                <w:rtl/>
              </w:rPr>
              <w:t>القاعدة</w:t>
            </w:r>
          </w:p>
        </w:tc>
        <w:tc>
          <w:tcPr>
            <w:tcW w:w="4917" w:type="dxa"/>
            <w:tcBorders>
              <w:top w:val="single" w:sz="4" w:space="0" w:color="auto"/>
              <w:bottom w:val="single" w:sz="12" w:space="0" w:color="auto"/>
            </w:tcBorders>
            <w:vAlign w:val="bottom"/>
          </w:tcPr>
          <w:p w:rsidR="00971AE2" w:rsidRPr="00032D89"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032D89">
              <w:rPr>
                <w:rFonts w:hint="cs"/>
                <w:i/>
                <w:iCs/>
                <w:sz w:val="24"/>
                <w:szCs w:val="24"/>
                <w:rtl/>
              </w:rPr>
              <w:t>الموضوع</w:t>
            </w:r>
          </w:p>
        </w:tc>
      </w:tr>
      <w:tr w:rsidR="00971AE2" w:rsidRPr="00032D89">
        <w:tblPrEx>
          <w:tblCellMar>
            <w:top w:w="0" w:type="dxa"/>
            <w:bottom w:w="0" w:type="dxa"/>
          </w:tblCellMar>
        </w:tblPrEx>
        <w:trPr>
          <w:cantSplit/>
          <w:trHeight w:hRule="exact" w:val="115"/>
          <w:tblHeader/>
        </w:trPr>
        <w:tc>
          <w:tcPr>
            <w:tcW w:w="2403" w:type="dxa"/>
            <w:tcBorders>
              <w:top w:val="single" w:sz="12" w:space="0" w:color="auto"/>
            </w:tcBorders>
            <w:vAlign w:val="bottom"/>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4917" w:type="dxa"/>
            <w:tcBorders>
              <w:top w:val="single" w:sz="12" w:space="0" w:color="auto"/>
            </w:tcBorders>
            <w:vAlign w:val="bottom"/>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القانون رقم 515 لسنة 1999</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يعتمد الاتفاقية رقم 138 لمنظمة العمل الدولية المتعلقة بالحد الأدنى لسن الالتحاق العمل</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القانون رقم 590 لسنة 2000</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 xml:space="preserve">يوفر معاملة خاصة للمرأة من خلال منظور المساواة، في </w:t>
            </w:r>
            <w:r w:rsidRPr="00032D89">
              <w:rPr>
                <w:sz w:val="24"/>
                <w:szCs w:val="24"/>
              </w:rPr>
              <w:t>MYPIME</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القانون رقم 704 لسنة 2001</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يعتمد الاتفاقية رقم 182 لمنظمة العمل الدولية المتعلقة بحظر أسوأ أشكال عمل الأطفال ويتعلق باتخاذ إجراءات فورية لاستئصاله لاسيما فيما يتعلق بحظر العمل المنزلي والمبيت للأطفال الصغار</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القانون رقم 731 لسنة 2002</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يعزز المرأة الريفية ويحسن نوعية معيشتها ويمنح الأولوية للنساء المنخفضات الدخل ويكرس تدابير معينة ترمي إلى التعجيل بتحقيق المساواة بين الرجل والمرأة في المناطق الريفية في مجال العمل والوصول إلى الموارد</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القانون رقم 750 لسنة 2002</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يقدم الدعم بصفة خاصة إلى رئيسة الأسرة السجينة فيما يتعلق بالحبس المنزلي والعمل المجتمعي للأمهات السجينات</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القانون رقم 755 لسنة 2002</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(قانون ماريا): يمنح الزوج أوالرفيق الدائم رخصة الأبوة التي تتمثل في إجازة مدتها ثمانية أيام للرجل مع طفله الرضيع إذا كان الأبوان كلاهما مشتركان في نظام التأمينات الاجتماعيات أوأربعة أيام إذا كانت الأم وحدها هي المشتركة</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القانون رقم 789 لسنة 2002</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يفرض قواعد لدعم العمل وتوسيع نطاق الرعاية الاجتماعية ويعدل بعض مواد قانون الاستقرار في العمل</w:t>
            </w:r>
            <w:r w:rsidR="003D7EB4">
              <w:rPr>
                <w:sz w:val="24"/>
                <w:szCs w:val="24"/>
                <w:rtl/>
              </w:rPr>
              <w:t>،</w:t>
            </w:r>
            <w:r w:rsidRPr="00032D89">
              <w:rPr>
                <w:rFonts w:hint="cs"/>
                <w:sz w:val="24"/>
                <w:szCs w:val="24"/>
                <w:rtl/>
              </w:rPr>
              <w:t xml:space="preserve"> ويخصص إعانة أسرية وإعانة عمل وإعانة للعاطلين، ويحمي بصفة خاصة رئيس الأسرة ورئيسة الأسرة</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القانون رقم 790 لسنة 2002</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ينص على أنه لا يمكن في إطار برنامج تجديد الإدارة العامة الاستغناء عن رئيسة الأسر التي لا تملك موردا ماليا بديلا</w:t>
            </w:r>
            <w:r w:rsidR="003D7EB4">
              <w:rPr>
                <w:rFonts w:hint="cs"/>
                <w:sz w:val="24"/>
                <w:szCs w:val="24"/>
                <w:rtl/>
              </w:rPr>
              <w:t>،</w:t>
            </w:r>
          </w:p>
        </w:tc>
      </w:tr>
      <w:tr w:rsidR="00971AE2" w:rsidRPr="00032D89">
        <w:tblPrEx>
          <w:tblCellMar>
            <w:top w:w="0" w:type="dxa"/>
            <w:bottom w:w="0" w:type="dxa"/>
          </w:tblCellMar>
        </w:tblPrEx>
        <w:trPr>
          <w:cantSplit/>
        </w:trPr>
        <w:tc>
          <w:tcPr>
            <w:tcW w:w="2403" w:type="dxa"/>
            <w:tcBorders>
              <w:bottom w:val="single" w:sz="12" w:space="0" w:color="auto"/>
            </w:tcBorders>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القانون رقم 823 لسنة 2003</w:t>
            </w:r>
          </w:p>
        </w:tc>
        <w:tc>
          <w:tcPr>
            <w:tcW w:w="4917" w:type="dxa"/>
            <w:tcBorders>
              <w:bottom w:val="single" w:sz="12" w:space="0" w:color="auto"/>
            </w:tcBorders>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يتضمن أحكاما تفيد النساء فيما يتعلق بالقروض والعمل والمؤسسات الصغيرة للغاية</w:t>
            </w:r>
            <w:r w:rsidRPr="00032D89">
              <w:rPr>
                <w:rFonts w:hint="cs"/>
                <w:sz w:val="24"/>
                <w:szCs w:val="24"/>
                <w:vertAlign w:val="superscript"/>
                <w:rtl/>
              </w:rPr>
              <w:t>(84)</w:t>
            </w:r>
            <w:r w:rsidR="003D7EB4">
              <w:rPr>
                <w:rFonts w:hint="cs"/>
                <w:sz w:val="24"/>
                <w:szCs w:val="24"/>
                <w:rtl/>
              </w:rPr>
              <w:t>،</w:t>
            </w:r>
          </w:p>
        </w:tc>
      </w:tr>
    </w:tbl>
    <w:p w:rsidR="00971AE2" w:rsidRDefault="00971AE2" w:rsidP="00A343DF">
      <w:pPr>
        <w:pStyle w:val="SingleTxt"/>
        <w:spacing w:after="0" w:line="120" w:lineRule="exact"/>
        <w:rPr>
          <w:rFonts w:hint="cs"/>
          <w:sz w:val="10"/>
          <w:rtl/>
          <w:lang w:bidi="ar-EG"/>
        </w:rPr>
      </w:pPr>
    </w:p>
    <w:p w:rsidR="00971AE2" w:rsidRDefault="00971AE2" w:rsidP="00A343DF">
      <w:pPr>
        <w:pStyle w:val="SingleTxt"/>
        <w:rPr>
          <w:rFonts w:hint="cs"/>
          <w:rtl/>
          <w:lang w:bidi="ar-EG"/>
        </w:rPr>
      </w:pPr>
      <w:r>
        <w:rPr>
          <w:rFonts w:hint="cs"/>
          <w:rtl/>
          <w:lang w:bidi="ar-EG"/>
        </w:rPr>
        <w:tab/>
        <w:t>من الجدير بالذكر أن جميع اتفاقيات منظمة العمل الدولية التي صدقت عليها كولومبيا هي على نفس مستوى الدستور الوطني لأنها جزء من الدستور</w:t>
      </w:r>
      <w:r>
        <w:rPr>
          <w:rFonts w:hint="cs"/>
          <w:vertAlign w:val="superscript"/>
          <w:rtl/>
          <w:lang w:bidi="ar-EG"/>
        </w:rPr>
        <w:t>(85)</w:t>
      </w:r>
      <w:r w:rsidR="003D7EB4">
        <w:rPr>
          <w:rFonts w:hint="cs"/>
          <w:rtl/>
          <w:lang w:bidi="ar-EG"/>
        </w:rPr>
        <w:t>،</w:t>
      </w:r>
    </w:p>
    <w:p w:rsidR="00032D89" w:rsidRPr="00032D89" w:rsidRDefault="00032D89" w:rsidP="00A343DF">
      <w:pPr>
        <w:pStyle w:val="SingleTxt"/>
        <w:spacing w:after="0" w:line="120" w:lineRule="exact"/>
        <w:rPr>
          <w:rFonts w:hint="cs"/>
          <w:sz w:val="10"/>
          <w:rtl/>
          <w:lang w:bidi="ar-EG"/>
        </w:rPr>
      </w:pPr>
    </w:p>
    <w:p w:rsidR="00971AE2" w:rsidRDefault="00971AE2" w:rsidP="00A343DF">
      <w:pPr>
        <w:pStyle w:val="SingleTxt"/>
        <w:rPr>
          <w:rFonts w:hint="cs"/>
          <w:b/>
          <w:bCs/>
          <w:rtl/>
          <w:lang w:bidi="ar-EG"/>
        </w:rPr>
      </w:pPr>
      <w:r>
        <w:rPr>
          <w:rFonts w:hint="cs"/>
          <w:b/>
          <w:bCs/>
          <w:rtl/>
          <w:lang w:bidi="ar-EG"/>
        </w:rPr>
        <w:t>المنجزات القضائية في مجال العمل</w:t>
      </w:r>
    </w:p>
    <w:p w:rsidR="00971AE2" w:rsidRDefault="00971AE2" w:rsidP="00A343DF">
      <w:pPr>
        <w:pStyle w:val="SingleTxt"/>
        <w:rPr>
          <w:rFonts w:hint="cs"/>
          <w:rtl/>
          <w:lang w:bidi="ar-EG"/>
        </w:rPr>
      </w:pPr>
      <w:r>
        <w:rPr>
          <w:rFonts w:hint="cs"/>
          <w:rtl/>
          <w:lang w:bidi="ar-EG"/>
        </w:rPr>
        <w:tab/>
        <w:t>كان الفقه الدستوري</w:t>
      </w:r>
      <w:r>
        <w:rPr>
          <w:rFonts w:hint="cs"/>
          <w:vertAlign w:val="superscript"/>
          <w:rtl/>
          <w:lang w:bidi="ar-EG"/>
        </w:rPr>
        <w:t>(86)</w:t>
      </w:r>
      <w:r>
        <w:rPr>
          <w:rFonts w:hint="cs"/>
          <w:rtl/>
          <w:lang w:bidi="ar-EG"/>
        </w:rPr>
        <w:t>، باعتباره تطبيقا لمبدأ المساواة، المكرس في المادة 13 من الدستور الوطني، واضحا في النص على الأجر المتساوي عن العمل المتكافئ القيمة، على أنه لا يمكن تسويغ الاختلاف في المعاملة إلا بأسباب موضوعية</w:t>
      </w:r>
      <w:r w:rsidR="003D7EB4">
        <w:rPr>
          <w:rFonts w:hint="cs"/>
          <w:rtl/>
          <w:lang w:bidi="ar-EG"/>
        </w:rPr>
        <w:t>،</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971AE2" w:rsidRPr="00032D89">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971AE2" w:rsidRPr="00032D89"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032D89">
              <w:rPr>
                <w:rFonts w:hint="cs"/>
                <w:i/>
                <w:iCs/>
                <w:sz w:val="24"/>
                <w:szCs w:val="24"/>
                <w:rtl/>
              </w:rPr>
              <w:t>الحكم</w:t>
            </w:r>
          </w:p>
        </w:tc>
        <w:tc>
          <w:tcPr>
            <w:tcW w:w="4917" w:type="dxa"/>
            <w:tcBorders>
              <w:top w:val="single" w:sz="4" w:space="0" w:color="auto"/>
              <w:bottom w:val="single" w:sz="12" w:space="0" w:color="auto"/>
            </w:tcBorders>
            <w:vAlign w:val="bottom"/>
          </w:tcPr>
          <w:p w:rsidR="00971AE2" w:rsidRPr="00032D89"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032D89">
              <w:rPr>
                <w:rFonts w:hint="cs"/>
                <w:i/>
                <w:iCs/>
                <w:sz w:val="24"/>
                <w:szCs w:val="24"/>
                <w:rtl/>
              </w:rPr>
              <w:t>الموضوع</w:t>
            </w:r>
          </w:p>
        </w:tc>
      </w:tr>
      <w:tr w:rsidR="00971AE2" w:rsidRPr="00032D89">
        <w:tblPrEx>
          <w:tblCellMar>
            <w:top w:w="0" w:type="dxa"/>
            <w:bottom w:w="0" w:type="dxa"/>
          </w:tblCellMar>
        </w:tblPrEx>
        <w:trPr>
          <w:cantSplit/>
          <w:trHeight w:hRule="exact" w:val="115"/>
          <w:tblHeader/>
        </w:trPr>
        <w:tc>
          <w:tcPr>
            <w:tcW w:w="2403" w:type="dxa"/>
            <w:tcBorders>
              <w:top w:val="single" w:sz="12" w:space="0" w:color="auto"/>
            </w:tcBorders>
            <w:vAlign w:val="bottom"/>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4917" w:type="dxa"/>
            <w:tcBorders>
              <w:top w:val="single" w:sz="12" w:space="0" w:color="auto"/>
            </w:tcBorders>
            <w:vAlign w:val="bottom"/>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 xml:space="preserve">الحكم </w:t>
            </w:r>
            <w:r w:rsidRPr="00032D89">
              <w:t>SU-62</w:t>
            </w:r>
            <w:r w:rsidRPr="00032D89">
              <w:rPr>
                <w:rFonts w:hint="cs"/>
                <w:rtl/>
              </w:rPr>
              <w:t xml:space="preserve"> </w:t>
            </w:r>
            <w:r w:rsidRPr="00032D89">
              <w:rPr>
                <w:rFonts w:hint="cs"/>
                <w:sz w:val="24"/>
                <w:szCs w:val="24"/>
                <w:rtl/>
              </w:rPr>
              <w:t>لسنة 1999</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يشرع في دراسة الحماية باعتبار أن العاملة في الخدمة المنزلية توجد في وضع لا تملك فيه دفاعا إزاء مستخدمتها</w:t>
            </w:r>
            <w:r w:rsidR="003D7EB4">
              <w:rPr>
                <w:rFonts w:hint="cs"/>
                <w:sz w:val="24"/>
                <w:szCs w:val="24"/>
                <w:rtl/>
              </w:rPr>
              <w:t>،</w:t>
            </w:r>
            <w:r w:rsidRPr="00032D89">
              <w:rPr>
                <w:rFonts w:hint="cs"/>
                <w:sz w:val="24"/>
                <w:szCs w:val="24"/>
                <w:rtl/>
              </w:rPr>
              <w:t xml:space="preserve"> وتزعم المدعية أنها تحصل على مرتب أدنى كثيرا من الأجر المقرر قانونا وأنها لم تكن في يوم من الأيام مشتركة في التأمينات الاجتماعية</w:t>
            </w:r>
            <w:r w:rsidR="003D7EB4">
              <w:rPr>
                <w:rFonts w:hint="cs"/>
                <w:sz w:val="24"/>
                <w:szCs w:val="24"/>
                <w:rtl/>
              </w:rPr>
              <w:t>،</w:t>
            </w:r>
            <w:r w:rsidRPr="00032D89">
              <w:rPr>
                <w:rFonts w:hint="cs"/>
                <w:sz w:val="24"/>
                <w:szCs w:val="24"/>
                <w:rtl/>
              </w:rPr>
              <w:t xml:space="preserve"> وأمرت المحكمة بحماية الحق في التأمينات الاجتماعية وفي الكرامة الإنسانية</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 xml:space="preserve">الحكم </w:t>
            </w:r>
            <w:r w:rsidRPr="00032D89">
              <w:t>T-104</w:t>
            </w:r>
            <w:r w:rsidRPr="00032D89">
              <w:rPr>
                <w:rFonts w:hint="cs"/>
                <w:sz w:val="24"/>
                <w:szCs w:val="24"/>
                <w:rtl/>
              </w:rPr>
              <w:t xml:space="preserve"> لسنة 1999</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أكدت المحكمة مجددا الحماية الخاصة للحامل وأهمية الاعتراف بدفع إجازة الأمومة للمرأة العاملة</w:t>
            </w:r>
            <w:r w:rsidRPr="00032D89">
              <w:rPr>
                <w:rFonts w:hint="cs"/>
                <w:sz w:val="24"/>
                <w:szCs w:val="24"/>
                <w:vertAlign w:val="superscript"/>
                <w:rtl/>
              </w:rPr>
              <w:t>(87)</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rtl/>
              </w:rPr>
              <w:t xml:space="preserve">الحكم  </w:t>
            </w:r>
            <w:r w:rsidRPr="00032D89">
              <w:t>C-199</w:t>
            </w:r>
            <w:r w:rsidRPr="00032D89">
              <w:rPr>
                <w:rFonts w:hint="cs"/>
                <w:sz w:val="24"/>
                <w:szCs w:val="24"/>
                <w:rtl/>
              </w:rPr>
              <w:t xml:space="preserve"> لسنة 1999</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يقرر استمرار سريان القاعدة التي تحمي الموظفات الحكوميات إذا كانت المرفوتة حاملا</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rtl/>
              </w:rPr>
              <w:t xml:space="preserve">الحكم </w:t>
            </w:r>
            <w:r w:rsidRPr="00032D89">
              <w:t>C-325</w:t>
            </w:r>
            <w:r w:rsidRPr="00032D89">
              <w:rPr>
                <w:rFonts w:hint="cs"/>
                <w:sz w:val="24"/>
                <w:szCs w:val="24"/>
                <w:rtl/>
              </w:rPr>
              <w:t xml:space="preserve"> لسنة 2000</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يعلن دستورية القانون رقم 515 لسنة 1999 الذي اعتمد الاتفاقية رقم 132 لمنظمة العمل الدولية المتعلقة بالحد الأدنى لسن الالتحاق بالعمل</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rtl/>
              </w:rPr>
              <w:t xml:space="preserve">الحكم  </w:t>
            </w:r>
            <w:r w:rsidRPr="00032D89">
              <w:t>T-467</w:t>
            </w:r>
            <w:r w:rsidRPr="00032D89">
              <w:rPr>
                <w:rFonts w:hint="cs"/>
                <w:rtl/>
              </w:rPr>
              <w:t xml:space="preserve"> </w:t>
            </w:r>
            <w:r w:rsidRPr="00032D89">
              <w:rPr>
                <w:rFonts w:hint="cs"/>
                <w:sz w:val="24"/>
                <w:szCs w:val="24"/>
                <w:rtl/>
              </w:rPr>
              <w:t>لسنة 2001</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ينص على حماية خاصة ومؤقتة للأمومة، ويوفر الحماية وإعادة الإدماج في العمل للحامل، وعقد محدد الأجل</w:t>
            </w:r>
            <w:r w:rsidR="003D7EB4">
              <w:rPr>
                <w:rFonts w:hint="cs"/>
                <w:sz w:val="24"/>
                <w:szCs w:val="24"/>
                <w:rtl/>
              </w:rPr>
              <w:t>،</w:t>
            </w:r>
          </w:p>
        </w:tc>
      </w:tr>
      <w:tr w:rsidR="00971AE2" w:rsidRPr="00032D89">
        <w:tblPrEx>
          <w:tblCellMar>
            <w:top w:w="0" w:type="dxa"/>
            <w:bottom w:w="0" w:type="dxa"/>
          </w:tblCellMar>
        </w:tblPrEx>
        <w:trPr>
          <w:cantSplit/>
        </w:trPr>
        <w:tc>
          <w:tcPr>
            <w:tcW w:w="2403" w:type="dxa"/>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 xml:space="preserve">الحكم </w:t>
            </w:r>
            <w:r w:rsidRPr="00032D89">
              <w:t>T-987</w:t>
            </w:r>
            <w:r w:rsidRPr="00032D89">
              <w:rPr>
                <w:rFonts w:hint="cs"/>
                <w:sz w:val="24"/>
                <w:szCs w:val="24"/>
                <w:rtl/>
              </w:rPr>
              <w:t xml:space="preserve"> لسنة 2001</w:t>
            </w:r>
          </w:p>
        </w:tc>
        <w:tc>
          <w:tcPr>
            <w:tcW w:w="4917" w:type="dxa"/>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دعوى رفعتها موظفة مرفوتة بسبب حملها</w:t>
            </w:r>
            <w:r w:rsidR="003D7EB4">
              <w:rPr>
                <w:rFonts w:hint="cs"/>
                <w:sz w:val="24"/>
                <w:szCs w:val="24"/>
                <w:rtl/>
              </w:rPr>
              <w:t>،</w:t>
            </w:r>
            <w:r w:rsidRPr="00032D89">
              <w:rPr>
                <w:rFonts w:hint="cs"/>
                <w:sz w:val="24"/>
                <w:szCs w:val="24"/>
                <w:rtl/>
              </w:rPr>
              <w:t xml:space="preserve"> وأعادت المحكمة تأكيد المبدأ التالي: </w:t>
            </w:r>
            <w:r w:rsidRPr="00032D89">
              <w:rPr>
                <w:rFonts w:hint="eastAsia"/>
                <w:sz w:val="24"/>
                <w:szCs w:val="24"/>
                <w:rtl/>
              </w:rPr>
              <w:t>”للحامل حق دستوري مدعم في الاستقرار في العمل لأن رفت الح</w:t>
            </w:r>
            <w:r w:rsidRPr="00032D89">
              <w:rPr>
                <w:rFonts w:hint="cs"/>
                <w:sz w:val="24"/>
                <w:szCs w:val="24"/>
                <w:rtl/>
              </w:rPr>
              <w:t>وامل بلا مسوغ بسبب تكاليف إضافية أوغير مستوعبة محتملة يمكن أن تلقيها هذه الظاهرة على الشركات وكان هذا ولا يزال من أقبح مظاهر التمييز الجنسي</w:t>
            </w:r>
            <w:r w:rsidRPr="00032D89">
              <w:rPr>
                <w:rFonts w:hint="eastAsia"/>
                <w:sz w:val="24"/>
                <w:szCs w:val="24"/>
                <w:rtl/>
              </w:rPr>
              <w:t>“</w:t>
            </w:r>
            <w:r w:rsidR="003D7EB4">
              <w:rPr>
                <w:rFonts w:hint="eastAsia"/>
                <w:sz w:val="24"/>
                <w:szCs w:val="24"/>
                <w:rtl/>
              </w:rPr>
              <w:t>،</w:t>
            </w:r>
            <w:r w:rsidRPr="00032D89">
              <w:rPr>
                <w:rFonts w:hint="eastAsia"/>
                <w:sz w:val="24"/>
                <w:szCs w:val="24"/>
                <w:rtl/>
              </w:rPr>
              <w:t xml:space="preserve"> </w:t>
            </w:r>
            <w:r w:rsidRPr="00032D89">
              <w:rPr>
                <w:rFonts w:hint="cs"/>
                <w:sz w:val="24"/>
                <w:szCs w:val="24"/>
                <w:rtl/>
              </w:rPr>
              <w:t>وشرحت أنه لا يمكن رفتها إلا بسبب عادل وبتدخل مفتش العمل</w:t>
            </w:r>
            <w:r w:rsidR="003D7EB4">
              <w:rPr>
                <w:rFonts w:hint="cs"/>
                <w:sz w:val="24"/>
                <w:szCs w:val="24"/>
                <w:rtl/>
              </w:rPr>
              <w:t>،</w:t>
            </w:r>
            <w:r w:rsidRPr="00032D89">
              <w:rPr>
                <w:rFonts w:hint="cs"/>
                <w:sz w:val="24"/>
                <w:szCs w:val="24"/>
                <w:rtl/>
              </w:rPr>
              <w:t xml:space="preserve"> وأمرت بإعادة إدماجها في العمل</w:t>
            </w:r>
            <w:r w:rsidRPr="00032D89">
              <w:rPr>
                <w:rFonts w:hint="cs"/>
                <w:sz w:val="24"/>
                <w:szCs w:val="24"/>
                <w:vertAlign w:val="superscript"/>
                <w:rtl/>
              </w:rPr>
              <w:t>(88)</w:t>
            </w:r>
            <w:r w:rsidR="003D7EB4">
              <w:rPr>
                <w:rFonts w:hint="cs"/>
                <w:sz w:val="24"/>
                <w:szCs w:val="24"/>
                <w:rtl/>
              </w:rPr>
              <w:t>،</w:t>
            </w:r>
          </w:p>
        </w:tc>
      </w:tr>
      <w:tr w:rsidR="00971AE2" w:rsidRPr="00032D89">
        <w:tblPrEx>
          <w:tblCellMar>
            <w:top w:w="0" w:type="dxa"/>
            <w:bottom w:w="0" w:type="dxa"/>
          </w:tblCellMar>
        </w:tblPrEx>
        <w:trPr>
          <w:cantSplit/>
        </w:trPr>
        <w:tc>
          <w:tcPr>
            <w:tcW w:w="2403" w:type="dxa"/>
            <w:tcBorders>
              <w:bottom w:val="single" w:sz="12" w:space="0" w:color="auto"/>
            </w:tcBorders>
          </w:tcPr>
          <w:p w:rsidR="00971AE2" w:rsidRPr="00032D89"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032D89">
              <w:rPr>
                <w:rFonts w:hint="cs"/>
                <w:sz w:val="24"/>
                <w:szCs w:val="24"/>
                <w:rtl/>
              </w:rPr>
              <w:t xml:space="preserve">الحكم </w:t>
            </w:r>
            <w:r w:rsidRPr="00032D89">
              <w:t>C-535</w:t>
            </w:r>
            <w:r w:rsidRPr="00032D89">
              <w:rPr>
                <w:rFonts w:hint="cs"/>
                <w:sz w:val="24"/>
                <w:szCs w:val="24"/>
                <w:rtl/>
              </w:rPr>
              <w:t xml:space="preserve"> لسنة 2002</w:t>
            </w:r>
          </w:p>
        </w:tc>
        <w:tc>
          <w:tcPr>
            <w:tcW w:w="4917" w:type="dxa"/>
            <w:tcBorders>
              <w:bottom w:val="single" w:sz="12" w:space="0" w:color="auto"/>
            </w:tcBorders>
          </w:tcPr>
          <w:p w:rsidR="00971AE2" w:rsidRPr="00032D89"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032D89">
              <w:rPr>
                <w:rFonts w:hint="cs"/>
                <w:sz w:val="24"/>
                <w:szCs w:val="24"/>
                <w:rtl/>
              </w:rPr>
              <w:t>أعلن دستورية القانون رقم 704 لسنة 2001 الذي اعتمد الاتفاقية رقم 182 لمنظمة العمل الدولية المتعلقة بحظر أسوأ أشكال عمل الأطفال</w:t>
            </w:r>
            <w:r w:rsidR="003D7EB4">
              <w:rPr>
                <w:rFonts w:hint="cs"/>
                <w:sz w:val="24"/>
                <w:szCs w:val="24"/>
                <w:rtl/>
              </w:rPr>
              <w:t>،</w:t>
            </w:r>
          </w:p>
        </w:tc>
      </w:tr>
    </w:tbl>
    <w:p w:rsidR="00971AE2" w:rsidRDefault="00971AE2" w:rsidP="00A343DF">
      <w:pPr>
        <w:pStyle w:val="SingleTxt"/>
        <w:spacing w:after="0" w:line="120" w:lineRule="exact"/>
        <w:rPr>
          <w:rFonts w:hint="cs"/>
          <w:sz w:val="10"/>
          <w:rtl/>
          <w:lang w:bidi="ar-EG"/>
        </w:rPr>
      </w:pPr>
    </w:p>
    <w:p w:rsidR="00971AE2" w:rsidRDefault="00971AE2" w:rsidP="00A343DF">
      <w:pPr>
        <w:pStyle w:val="SingleTxt"/>
        <w:rPr>
          <w:rFonts w:hint="cs"/>
          <w:b/>
          <w:bCs/>
          <w:rtl/>
          <w:lang w:bidi="ar-EG"/>
        </w:rPr>
      </w:pPr>
      <w:r>
        <w:rPr>
          <w:rFonts w:hint="cs"/>
          <w:b/>
          <w:bCs/>
          <w:rtl/>
          <w:lang w:bidi="ar-EG"/>
        </w:rPr>
        <w:t>التوصية الخاصة رقم 15: تدابير لتحسين حالة المرأة العاملة؛ والتوصية رقم 16: حصول المرأة على العمل عن طريق حظر الممارسات التمييزية والنشر عن حقوقها</w:t>
      </w:r>
      <w:r>
        <w:rPr>
          <w:rFonts w:hint="cs"/>
          <w:rtl/>
          <w:lang w:bidi="ar-EG"/>
        </w:rPr>
        <w:t xml:space="preserve"> (سوف تسرد خلال الفصل)</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التوصية رقم 17: سياسات وبرامج لتلافي عمل القصر الذين لم يبلغوا الحد الأدنى لسن الالتحاق بالعمل</w:t>
      </w:r>
    </w:p>
    <w:p w:rsidR="00971AE2" w:rsidRDefault="00971AE2" w:rsidP="00A343DF">
      <w:pPr>
        <w:pStyle w:val="SingleTxt"/>
        <w:rPr>
          <w:rFonts w:hint="cs"/>
          <w:rtl/>
          <w:lang w:bidi="ar-EG"/>
        </w:rPr>
      </w:pPr>
      <w:r>
        <w:rPr>
          <w:rFonts w:hint="cs"/>
          <w:color w:val="FF0000"/>
          <w:rtl/>
          <w:lang w:bidi="ar-EG"/>
        </w:rPr>
        <w:tab/>
      </w:r>
      <w:r>
        <w:rPr>
          <w:rFonts w:hint="cs"/>
          <w:rtl/>
          <w:lang w:bidi="ar-EG"/>
        </w:rPr>
        <w:t>منذ عام 1995 وضع البلد خطة عمل لاستئصال عمل الأطفال وتحسين ظروف معيشة الأطفال العاملين</w:t>
      </w:r>
      <w:r w:rsidR="003D7EB4">
        <w:rPr>
          <w:rFonts w:hint="cs"/>
          <w:rtl/>
          <w:lang w:bidi="ar-EG"/>
        </w:rPr>
        <w:t>،</w:t>
      </w:r>
      <w:r>
        <w:rPr>
          <w:rFonts w:hint="cs"/>
          <w:rtl/>
          <w:lang w:bidi="ar-EG"/>
        </w:rPr>
        <w:t xml:space="preserve"> وعن طريق الخطة الوطنية الأولى بالنسبة لعمل الأطفال وحماية الفتيان العاملين (1995-1998) نُفذت تدابير لتوعية السكان بهذا الموضوع وإدراج هذه المشكلة على جدول الأعمال العام، عن طريق تحريات عن مداها</w:t>
      </w:r>
      <w:r w:rsidR="003D7EB4">
        <w:rPr>
          <w:rFonts w:hint="cs"/>
          <w:rtl/>
          <w:lang w:bidi="ar-EG"/>
        </w:rPr>
        <w:t>،</w:t>
      </w:r>
      <w:r>
        <w:rPr>
          <w:rFonts w:hint="cs"/>
          <w:rtl/>
          <w:lang w:bidi="ar-EG"/>
        </w:rPr>
        <w:t xml:space="preserve"> وخلال الفترة 2000-2002 وضعت الخطة الوطنية الثانية، التي نُفذت فيها استراتيجيات ترمي إلى إجراء تحول ثقافي وتنفيذ سياسات عامة مشتركة</w:t>
      </w:r>
      <w:r>
        <w:t xml:space="preserve"> </w:t>
      </w:r>
      <w:r>
        <w:rPr>
          <w:rFonts w:hint="cs"/>
          <w:rtl/>
          <w:lang w:bidi="ar-EG"/>
        </w:rPr>
        <w:t>بين القطاعات، وإنشاء نظام وطني فرعي للمعلومات، وتوجيه اهتمام مباشر إلى القصر العاملين</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خلال عام 2003، استمرت ولاية الخطة الإنمائية الوطنية والمؤسسة الكولومبية للرفاهية الأسرية ووزارة الرعاية الاجتماعية، بالتعاون التقني والمالي للبرنامج </w:t>
      </w:r>
      <w:r>
        <w:rPr>
          <w:rtl/>
          <w:lang w:bidi="ar-EG"/>
        </w:rPr>
        <w:t>الوطني للقضاء على عمل الأطفال</w:t>
      </w:r>
      <w:r>
        <w:rPr>
          <w:rFonts w:hint="cs"/>
          <w:rtl/>
          <w:lang w:bidi="ar-EG"/>
        </w:rPr>
        <w:t xml:space="preserve"> التابع لمنظمة العمل الدولية، وأُعطيت دفعة لوضع الخطة الوطنية الثانية على أساس التوصيات الواردة في التقييم الذي أجرته جامعة كولومبيا الوطنية والخطتين السابقتين في سنة 2002</w:t>
      </w:r>
      <w:r w:rsidR="003D7EB4">
        <w:rPr>
          <w:rFonts w:hint="cs"/>
          <w:rtl/>
          <w:lang w:bidi="ar-EG"/>
        </w:rPr>
        <w:t>،</w:t>
      </w:r>
      <w:r>
        <w:rPr>
          <w:rFonts w:hint="cs"/>
          <w:rtl/>
          <w:lang w:bidi="ar-EG"/>
        </w:rPr>
        <w:t xml:space="preserve"> وتضمنت العملية تحديد وتطبيق منهجية صياغة لامركزية وتشاركية، استشيرت بشأنها 13 لجنة إقليمية للقضاء على عمل الأطفال، إلى جانب اللجنة المشتركة بين المؤسسات على المستوى الوطني</w:t>
      </w:r>
      <w:r w:rsidR="003D7EB4">
        <w:rPr>
          <w:rFonts w:hint="cs"/>
          <w:rtl/>
          <w:lang w:bidi="ar-EG"/>
        </w:rPr>
        <w:t>،</w:t>
      </w:r>
    </w:p>
    <w:p w:rsidR="00971AE2" w:rsidRDefault="00971AE2" w:rsidP="00A343DF">
      <w:pPr>
        <w:pStyle w:val="SingleTxt"/>
        <w:rPr>
          <w:rFonts w:hint="cs"/>
          <w:rtl/>
          <w:lang w:bidi="ar-EG"/>
        </w:rPr>
      </w:pPr>
      <w:r>
        <w:rPr>
          <w:rFonts w:hint="cs"/>
          <w:rtl/>
          <w:lang w:bidi="ar-EG"/>
        </w:rPr>
        <w:tab/>
        <w:t>وبوضع هذه الخطة المؤلفة من ثلاثة عناصر (المنع ورد الحقوق وحماية عمل الأطفال) وأربعة مسارات عمل (التشريع والتحقيق والتدريب والسياسة) يؤمل في الإسهام في تعزيز وضمان ممارسة الأطفال الكولومبيين لحقوقهم، وإحراز تقدم في استئصال أسوأ أشكال عمل الأطفال وفي تقوية القدرات المحلية في ذلك المجال ومعالجة هذا الموضوع</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المنجزات الإدارية</w:t>
      </w:r>
    </w:p>
    <w:p w:rsidR="00971AE2" w:rsidRDefault="00971AE2" w:rsidP="00A343DF">
      <w:pPr>
        <w:pStyle w:val="SingleTxt"/>
        <w:rPr>
          <w:rFonts w:hint="cs"/>
          <w:rtl/>
          <w:lang w:bidi="ar-EG"/>
        </w:rPr>
      </w:pPr>
      <w:r>
        <w:rPr>
          <w:rFonts w:hint="cs"/>
          <w:rtl/>
          <w:lang w:bidi="ar-EG"/>
        </w:rPr>
        <w:tab/>
        <w:t>تتمثل الأهداف الرئيسية لسياسة الرعاية الاجتماعية التي تضطلع بها الوزارة المعنية في صياغة واعتماد وتوجيه وتنسيق وتنفيذ ومراقبة ومتابعة السياسات المتعلقة بالعمل والعمالة وحماية وتنمية الأسرة والمجتمع ونظام التأمينات الاجتماعية المتكامل والنظام الوطني +++++ التي ترمي إلى درء وتقليل وتخطي المخاطر التي تؤثر في السكان ولا سيما في أضعف السكان، ومن بينهم النساء العاطلات ورئيسات الأسر وصاحبات المؤسسات الصغيرة والمتوسطة والصغيرة للغاية اللائي يلقين اهتماما خاصا</w:t>
      </w:r>
      <w:r w:rsidR="003D7EB4">
        <w:rPr>
          <w:rFonts w:hint="cs"/>
          <w:rtl/>
          <w:lang w:bidi="ar-EG"/>
        </w:rPr>
        <w:t>،</w:t>
      </w:r>
      <w:r>
        <w:rPr>
          <w:rFonts w:hint="cs"/>
          <w:rtl/>
          <w:lang w:bidi="ar-EG"/>
        </w:rPr>
        <w:t xml:space="preserve"> وترد فيما يلي بعض التدابير المتخذة:</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إعداد دراسات بهدف تحديد العوامل التي تؤثر في النساء في سوق العمل والتفكير على هذا النحوفي آليات تتيح إزالة الحواجز التي تحول دون إدماجهن</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تدابير ترمي إلى إدماج المرأة في الأعمال التي جرى العرف على أن يزاولها الرجال، بما يتيح لهن إنشاء مؤسسات خاصة بهن والحصول على عمل يحسن نوعية حياتهن</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العمل المشترك بين المؤسسات مع أسرة التعليم الوطني وفي شبكة مع السلطات المحلية وسلطات المقاطعة لخفض عدد الفتيان الذين يبحثون عن عمل خفضا كبيرا، عن طريق التشجيع على المواظبة على الذهاب إلى المدارس</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الدعم اللازم إلى صاحبات المؤسسات الصغيرة والمتوسطة والصغيرة للغاية لإتاحة فرص تجارية وفرص للتدريب على الإدارة والتكنولوجيا ومعلومات عن السوق والإدارة الكلية الجيدة وكذلك عمليات الانضمام إلى الجمعيات</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برنامج لدرء المخاطر المهنية للنساء العاملات في الصناعات القائمة على الزراعة وللتأمينات الاجتماعية وفقا للمنصوص عليه في القانون رقم 100 لسنة 1993</w:t>
      </w:r>
      <w:r w:rsidR="003D7EB4">
        <w:rPr>
          <w:rFonts w:hint="cs"/>
          <w:rtl/>
          <w:lang w:bidi="ar-EG"/>
        </w:rPr>
        <w:t>،</w:t>
      </w:r>
      <w:r>
        <w:rPr>
          <w:rFonts w:hint="cs"/>
          <w:rtl/>
          <w:lang w:bidi="ar-EG"/>
        </w:rPr>
        <w:t xml:space="preserve"> ويسري نفس هذا القول على النشر عن المستحقات التي يصرفها الصندوق التضامني للمعاشات لضم الأمهات المجتمعيات والعاملات الريفيات في الحقول، اللائي يمثلن نسبة كبيرة من التغطية</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فيما يتعلق بعملية التفتيش والرصد والمراقبة يجري السهر على تضمين المعلومات التي ينبغي أن يقدمها أصحاب العمل أثناء زيارات التفتيش معلومات عن: ’1‘ عدد النساء اللائي يعملن في الشركات؛ ’2‘ فرض اختبار الحمل باعتباره شرطا للتعيين؛ ’3‘ الاشتراك في النظام العام للتأمينات الاجتماعية وإلى صندوق التعويضات الأسرية</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فيما يتعلق بعمل الوزارة المتعلق بالتفتيش على عمل الأطفال ورصده ومراقبته أجريت تقييمات لنتائج تحليل التفتيش على العمل في كولومبيا، لا سيما الفصل المتعلق بعمل الأطفال (المشروع </w:t>
      </w:r>
      <w:r>
        <w:t>Col/95/003</w:t>
      </w:r>
      <w:r>
        <w:rPr>
          <w:rFonts w:hint="cs"/>
          <w:rtl/>
          <w:lang w:bidi="ar-EG"/>
        </w:rPr>
        <w:t xml:space="preserve"> التابع لمنظمة العمل الدولية)</w:t>
      </w:r>
      <w:r w:rsidR="003D7EB4">
        <w:rPr>
          <w:rFonts w:hint="cs"/>
          <w:rtl/>
          <w:lang w:bidi="ar-EG"/>
        </w:rPr>
        <w:t>،</w:t>
      </w:r>
    </w:p>
    <w:p w:rsidR="00971AE2" w:rsidRDefault="00971AE2" w:rsidP="00A343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العمل بشكل وثيق مع الشبكات النسائية والقطاعات الاجتماعية</w:t>
      </w:r>
      <w:r w:rsidR="003D7EB4">
        <w:rPr>
          <w:rFonts w:hint="cs"/>
          <w:rtl/>
          <w:lang w:bidi="ar-EG"/>
        </w:rPr>
        <w:t>،</w:t>
      </w:r>
    </w:p>
    <w:p w:rsidR="00971AE2" w:rsidRDefault="00A343DF" w:rsidP="00A343DF">
      <w:pPr>
        <w:pStyle w:val="SingleTxt"/>
        <w:rPr>
          <w:rFonts w:hint="cs"/>
          <w:rtl/>
          <w:lang w:bidi="ar-EG"/>
        </w:rPr>
      </w:pPr>
      <w:r>
        <w:rPr>
          <w:rFonts w:hint="cs"/>
          <w:rtl/>
          <w:lang w:bidi="ar-EG"/>
        </w:rPr>
        <w:tab/>
      </w:r>
      <w:r w:rsidR="00971AE2">
        <w:rPr>
          <w:rFonts w:hint="cs"/>
          <w:rtl/>
          <w:lang w:bidi="ar-EG"/>
        </w:rPr>
        <w:t>وعلاوة على ذلك وضعت الأسر خطة منع التمييز في العمل ضد المرأة العاملة في القطاعات الإنتاجية الخطرة</w:t>
      </w:r>
      <w:r w:rsidR="003D7EB4">
        <w:rPr>
          <w:rFonts w:hint="cs"/>
          <w:rtl/>
          <w:lang w:bidi="ar-EG"/>
        </w:rPr>
        <w:t>،</w:t>
      </w:r>
      <w:r w:rsidR="00971AE2">
        <w:rPr>
          <w:rFonts w:hint="cs"/>
          <w:rtl/>
          <w:lang w:bidi="ar-EG"/>
        </w:rPr>
        <w:t xml:space="preserve"> وتحقيقا لهذه الغاية أجري تنسيق مشترك بين المؤسسات على المستويات الوطنية والإقليمية والمحلية لزيادة النشر عن الأحكام التي تحمي المرأة العاملة وتقوي عملية التفتيش على العمل ورصده ومراقبته فيما يتعلق بشروط عمل هذه الفئة السكانية العاملة الضعيفة</w:t>
      </w:r>
      <w:r w:rsidR="003D7EB4">
        <w:rPr>
          <w:rFonts w:hint="cs"/>
          <w:rtl/>
          <w:lang w:bidi="ar-EG"/>
        </w:rPr>
        <w:t>،</w:t>
      </w:r>
      <w:r w:rsidR="00971AE2">
        <w:rPr>
          <w:rFonts w:hint="cs"/>
          <w:rtl/>
          <w:lang w:bidi="ar-EG"/>
        </w:rPr>
        <w:t xml:space="preserve"> وتتألف استراتيجية المنع المتعلقة بهذه الخطة من عنصرين هما: برنامج توعية وتعريف بحقوق المرأة العاملة</w:t>
      </w:r>
      <w:r w:rsidR="00971AE2">
        <w:rPr>
          <w:rFonts w:hint="cs"/>
          <w:vertAlign w:val="superscript"/>
          <w:rtl/>
          <w:lang w:bidi="ar-EG"/>
        </w:rPr>
        <w:t>(89)</w:t>
      </w:r>
      <w:r w:rsidR="00971AE2">
        <w:rPr>
          <w:rFonts w:hint="cs"/>
          <w:rtl/>
          <w:lang w:bidi="ar-EG"/>
        </w:rPr>
        <w:t xml:space="preserve"> وخطة تفتيش وقائي على القطاعات الإنتاجية الأخطر</w:t>
      </w:r>
      <w:r w:rsidR="003D7EB4">
        <w:rPr>
          <w:rFonts w:hint="cs"/>
          <w:rtl/>
          <w:lang w:bidi="ar-EG"/>
        </w:rPr>
        <w:t>،</w:t>
      </w:r>
    </w:p>
    <w:p w:rsidR="00971AE2" w:rsidRDefault="00971AE2" w:rsidP="00A343DF">
      <w:pPr>
        <w:pStyle w:val="SingleTxt"/>
        <w:rPr>
          <w:rFonts w:hint="cs"/>
          <w:rtl/>
          <w:lang w:bidi="ar-EG"/>
        </w:rPr>
      </w:pPr>
      <w:r>
        <w:rPr>
          <w:rFonts w:hint="cs"/>
          <w:rtl/>
          <w:lang w:bidi="ar-EG"/>
        </w:rPr>
        <w:tab/>
        <w:t>وترمي الخطة على وجه الخصوص إلى توعية وإبلاغ أصحاب العمل بحقوق المرأة العاملة، وتوليد التزام من جانب أصحاب العمل في القطاعات الإنتاجية بامتثال قانون العمل لصالح المرأة وتقليل الرفض الحالي للقانون الذي يحمي الأمومة، وتركيز التدخل على القطاعات الاقتصادية التي يوجد فيها تمييز أشد ضد المرأة العاملة وزيادة مشاركة المرأة في العمل في مختلف القطاعات الإنتاجية</w:t>
      </w:r>
      <w:r w:rsidR="003D7EB4">
        <w:rPr>
          <w:rFonts w:hint="cs"/>
          <w:rtl/>
          <w:lang w:bidi="ar-EG"/>
        </w:rPr>
        <w:t>،</w:t>
      </w:r>
    </w:p>
    <w:p w:rsidR="00971AE2" w:rsidRDefault="00971AE2" w:rsidP="00A343DF">
      <w:pPr>
        <w:pStyle w:val="SingleTxt"/>
        <w:rPr>
          <w:rFonts w:hint="cs"/>
          <w:rtl/>
          <w:lang w:bidi="ar-EG"/>
        </w:rPr>
      </w:pPr>
      <w:r>
        <w:rPr>
          <w:rFonts w:hint="cs"/>
          <w:color w:val="FF0000"/>
          <w:rtl/>
          <w:lang w:bidi="ar-EG"/>
        </w:rPr>
        <w:tab/>
      </w:r>
      <w:r>
        <w:rPr>
          <w:rFonts w:hint="cs"/>
          <w:rtl/>
          <w:lang w:bidi="ar-EG"/>
        </w:rPr>
        <w:t>وقد نسقت الإدارة العامة لزيادة فرص العمل حاليا مشروع التعاون التقني المسمى</w:t>
      </w:r>
      <w:r>
        <w:rPr>
          <w:rFonts w:hint="cs"/>
          <w:color w:val="FF0000"/>
          <w:rtl/>
          <w:lang w:bidi="ar-EG"/>
        </w:rPr>
        <w:t xml:space="preserve"> </w:t>
      </w:r>
      <w:r>
        <w:rPr>
          <w:rFonts w:hint="eastAsia"/>
          <w:rtl/>
          <w:lang w:bidi="ar-EG"/>
        </w:rPr>
        <w:t>”تحسين علاقات العمل وتعزيز المساواة الاقتصادية بين الرجل والمرأة في كولومبيا</w:t>
      </w:r>
      <w:r>
        <w:rPr>
          <w:rFonts w:hint="cs"/>
          <w:rtl/>
          <w:lang w:bidi="ar-EG"/>
        </w:rPr>
        <w:t>“ (مشروع منظمة العمل الدولية/</w:t>
      </w:r>
      <w:r>
        <w:t>(</w:t>
      </w:r>
      <w:r>
        <w:rPr>
          <w:rFonts w:hint="cs"/>
          <w:rtl/>
        </w:rPr>
        <w:t>وزارة العمل في الولايات المتحدة)</w:t>
      </w:r>
      <w:r>
        <w:rPr>
          <w:rFonts w:hint="cs"/>
          <w:rtl/>
          <w:lang w:bidi="ar-EG"/>
        </w:rPr>
        <w:t xml:space="preserve"> الموقع مع وزارة العمل في الولايات المتحدة</w:t>
      </w:r>
      <w:r w:rsidR="003D7EB4">
        <w:rPr>
          <w:rFonts w:hint="cs"/>
          <w:rtl/>
          <w:lang w:bidi="ar-EG"/>
        </w:rPr>
        <w:t>،</w:t>
      </w:r>
      <w:r>
        <w:rPr>
          <w:rFonts w:hint="cs"/>
          <w:rtl/>
          <w:lang w:bidi="ar-EG"/>
        </w:rPr>
        <w:t xml:space="preserve"> ويسهم هذا المشروع في إيجاد فرص عمل جيدة للنساء الفقيرات، مع التركيز على رئيسات الأسر، بهدف التقليل من الفقر وزيادة المساواة الاقتصادية والاجتماعية في كولومبيا</w:t>
      </w:r>
      <w:r w:rsidR="003D7EB4">
        <w:rPr>
          <w:rFonts w:hint="cs"/>
          <w:rtl/>
          <w:lang w:bidi="ar-EG"/>
        </w:rPr>
        <w:t>،</w:t>
      </w:r>
    </w:p>
    <w:p w:rsidR="00971AE2" w:rsidRDefault="00971AE2" w:rsidP="00A343DF">
      <w:pPr>
        <w:pStyle w:val="SingleTxt"/>
        <w:rPr>
          <w:rFonts w:hint="cs"/>
          <w:rtl/>
          <w:lang w:bidi="ar-EG"/>
        </w:rPr>
      </w:pPr>
      <w:r>
        <w:rPr>
          <w:rFonts w:hint="cs"/>
          <w:rtl/>
          <w:lang w:bidi="ar-EG"/>
        </w:rPr>
        <w:tab/>
      </w:r>
      <w:r>
        <w:rPr>
          <w:rFonts w:hint="cs"/>
          <w:b/>
          <w:bCs/>
          <w:rtl/>
          <w:lang w:bidi="ar-EG"/>
        </w:rPr>
        <w:t>إن الخطة الوطنية لتدريب النساء على تنظيم المشاريع قد ’1‘ وضعت استراتيجية وطنية لتدريب النساء على تنظيم المشاريع عن طريق التدريب الإنتاجي وتعزيز ودعم تنمية القدرة على العمل وإيجاد فرص العمل على المستويين المحلي والإقليمي باعتبار ذلك مساهمة في مشروع الحياة؛ و’2‘ وضع برامج خاصة للتدريب التقني المتناسب مع القدرة والتدريب الحرفي الإنتاجي للنساء، من أجل التنمية التدريجية لفرص الحصول على عمل لائق ومجز أوالتمكن من تنمية أنشطتهن الرامية إلى تنظيم المشاريع</w:t>
      </w:r>
      <w:r w:rsidR="003D7EB4">
        <w:rPr>
          <w:rFonts w:hint="cs"/>
          <w:b/>
          <w:bCs/>
          <w:rtl/>
          <w:lang w:bidi="ar-EG"/>
        </w:rPr>
        <w:t>،</w:t>
      </w:r>
    </w:p>
    <w:p w:rsidR="00971AE2" w:rsidRDefault="00971AE2" w:rsidP="00A343DF">
      <w:pPr>
        <w:pStyle w:val="SingleTxt"/>
        <w:rPr>
          <w:rFonts w:hint="cs"/>
          <w:b/>
          <w:bCs/>
          <w:rtl/>
          <w:lang w:bidi="ar-EG"/>
        </w:rPr>
      </w:pPr>
      <w:r>
        <w:rPr>
          <w:rFonts w:hint="cs"/>
          <w:rtl/>
          <w:lang w:bidi="ar-EG"/>
        </w:rPr>
        <w:tab/>
      </w:r>
      <w:r>
        <w:rPr>
          <w:rFonts w:hint="cs"/>
          <w:b/>
          <w:bCs/>
          <w:rtl/>
          <w:lang w:bidi="ar-EG"/>
        </w:rPr>
        <w:t>ولدى وضع الخطة الوطنية لتدريب النساء على تنظيم المشاريع حُددت واختيرت ودُربت 040 1 رئيسة أسرة صاحبة مؤسسة صغيرة للغاية في منطقة حضرية أوريفية</w:t>
      </w:r>
      <w:r w:rsidR="003D7EB4">
        <w:rPr>
          <w:rFonts w:hint="cs"/>
          <w:b/>
          <w:bCs/>
          <w:rtl/>
          <w:lang w:bidi="ar-EG"/>
        </w:rPr>
        <w:t>،</w:t>
      </w:r>
      <w:r>
        <w:rPr>
          <w:rFonts w:hint="cs"/>
          <w:b/>
          <w:bCs/>
          <w:rtl/>
          <w:lang w:bidi="ar-EG"/>
        </w:rPr>
        <w:t xml:space="preserve"> ودربت </w:t>
      </w:r>
      <w:r>
        <w:rPr>
          <w:b/>
          <w:bCs/>
        </w:rPr>
        <w:t>DANSOCIAL</w:t>
      </w:r>
      <w:r>
        <w:rPr>
          <w:rFonts w:hint="cs"/>
          <w:b/>
          <w:bCs/>
          <w:rtl/>
          <w:lang w:bidi="ar-EG"/>
        </w:rPr>
        <w:t xml:space="preserve"> في مرحلة أولى 620 امرأة في برنامج رئيسة الأسرة صاحبة المؤسسة الصغيرة للغاية على مواضيع </w:t>
      </w:r>
      <w:r>
        <w:rPr>
          <w:rFonts w:hint="eastAsia"/>
          <w:b/>
          <w:bCs/>
          <w:rtl/>
          <w:lang w:bidi="ar-EG"/>
        </w:rPr>
        <w:t>”البُعد الجنساني وتنمية المؤسسات والحركة التعاونية</w:t>
      </w:r>
      <w:r>
        <w:rPr>
          <w:rFonts w:hint="cs"/>
          <w:b/>
          <w:bCs/>
          <w:rtl/>
          <w:lang w:bidi="ar-EG"/>
        </w:rPr>
        <w:t>“ في المدن التالية: بيريرا ومانيسالس وأرمينيا وسانسليخو وكوروسال وخينيبرا وكالي وبوينافنتورا وباستووتونجا وبوغوتا</w:t>
      </w:r>
      <w:r w:rsidR="003D7EB4">
        <w:rPr>
          <w:rFonts w:hint="cs"/>
          <w:b/>
          <w:bCs/>
          <w:rtl/>
          <w:lang w:bidi="ar-EG"/>
        </w:rPr>
        <w:t>،</w:t>
      </w:r>
      <w:r>
        <w:rPr>
          <w:rFonts w:hint="cs"/>
          <w:b/>
          <w:bCs/>
          <w:rtl/>
          <w:lang w:bidi="ar-EG"/>
        </w:rPr>
        <w:t xml:space="preserve"> ودربت منظمة العمل الدولية 420 امرأة من مقاطعات كوينديناماركا (المنطقة الريفية) وتوليما (المنطقة الريفية وايباغوان) وفاليي يثم كوكا (كالي وبوغا وخينيبرا وبوينافنتورا وتولو) على </w:t>
      </w:r>
      <w:r>
        <w:rPr>
          <w:rFonts w:hint="eastAsia"/>
          <w:b/>
          <w:bCs/>
          <w:rtl/>
          <w:lang w:bidi="ar-EG"/>
        </w:rPr>
        <w:t>”إدارة المؤسسات مع التركيز على البُعد الجنساني</w:t>
      </w:r>
      <w:r>
        <w:rPr>
          <w:rFonts w:hint="cs"/>
          <w:b/>
          <w:bCs/>
          <w:rtl/>
          <w:lang w:bidi="ar-EG"/>
        </w:rPr>
        <w:t>“</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 xml:space="preserve">ووضعت </w:t>
      </w:r>
      <w:r>
        <w:rPr>
          <w:rFonts w:hint="cs"/>
          <w:b/>
          <w:bCs/>
          <w:rtl/>
        </w:rPr>
        <w:t>الدائرة الوطنية للتلمذة الصناعية</w:t>
      </w:r>
      <w:r>
        <w:rPr>
          <w:rFonts w:hint="cs"/>
          <w:b/>
          <w:bCs/>
          <w:rtl/>
          <w:lang w:bidi="ar-EG"/>
        </w:rPr>
        <w:t xml:space="preserve"> من جانبها برنامج </w:t>
      </w:r>
      <w:r>
        <w:rPr>
          <w:rFonts w:hint="eastAsia"/>
          <w:b/>
          <w:bCs/>
          <w:rtl/>
          <w:lang w:bidi="ar-EG"/>
        </w:rPr>
        <w:t xml:space="preserve">”الوحدات الإنتاجية </w:t>
      </w:r>
      <w:r>
        <w:rPr>
          <w:rFonts w:hint="cs"/>
          <w:b/>
          <w:bCs/>
          <w:rtl/>
          <w:lang w:bidi="ar-EG"/>
        </w:rPr>
        <w:t>ل</w:t>
      </w:r>
      <w:r>
        <w:rPr>
          <w:rFonts w:hint="eastAsia"/>
          <w:b/>
          <w:bCs/>
          <w:rtl/>
          <w:lang w:bidi="ar-EG"/>
        </w:rPr>
        <w:t>رعاية السكان ذوي الاحتياجات الخاصة</w:t>
      </w:r>
      <w:r>
        <w:rPr>
          <w:rFonts w:hint="cs"/>
          <w:b/>
          <w:bCs/>
          <w:rtl/>
          <w:lang w:bidi="ar-EG"/>
        </w:rPr>
        <w:t>“ التي تسعى إلى إيجاد آليات تسمح للقطاعات السكانية ذات الاحتياجات الخاصة بتحسين وضعهم الإنتاجي ووضعهم في المجتمع</w:t>
      </w:r>
      <w:r w:rsidR="003D7EB4">
        <w:rPr>
          <w:rFonts w:hint="cs"/>
          <w:b/>
          <w:bCs/>
          <w:rtl/>
          <w:lang w:bidi="ar-EG"/>
        </w:rPr>
        <w:t>،</w:t>
      </w:r>
      <w:r>
        <w:rPr>
          <w:rFonts w:hint="cs"/>
          <w:b/>
          <w:bCs/>
          <w:rtl/>
          <w:lang w:bidi="ar-EG"/>
        </w:rPr>
        <w:t xml:space="preserve"> ويوجد في هذا البرنامج السكان الذين شردهم العنف ورئيسات الأسر والأشخاص المعاد إدماجهم والقصر والمحطمون والطوائف الإثنية والمعوقون</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 xml:space="preserve">وقامت الاتحاد الكولومبي للغرف التجارية، بدعم تقني ومالي من الهيئة الاستشارية لرئيس الجمهورية فيما يتعلق بالمساواة بين الرجل والمرأة، بوضع مشروع </w:t>
      </w:r>
      <w:r>
        <w:rPr>
          <w:rFonts w:hint="eastAsia"/>
          <w:b/>
          <w:bCs/>
          <w:rtl/>
          <w:lang w:bidi="ar-EG"/>
        </w:rPr>
        <w:t>”السوق الوطني الأول لصاحبات المؤسس</w:t>
      </w:r>
      <w:r>
        <w:rPr>
          <w:rFonts w:hint="cs"/>
          <w:b/>
          <w:bCs/>
          <w:rtl/>
          <w:lang w:bidi="ar-EG"/>
        </w:rPr>
        <w:t>ات</w:t>
      </w:r>
      <w:r>
        <w:rPr>
          <w:rFonts w:hint="eastAsia"/>
          <w:b/>
          <w:bCs/>
          <w:rtl/>
          <w:lang w:bidi="ar-EG"/>
        </w:rPr>
        <w:t xml:space="preserve"> </w:t>
      </w:r>
      <w:r>
        <w:rPr>
          <w:b/>
          <w:bCs/>
          <w:rtl/>
          <w:lang w:bidi="ar-EG"/>
        </w:rPr>
        <w:t>–</w:t>
      </w:r>
      <w:r>
        <w:rPr>
          <w:rFonts w:hint="eastAsia"/>
          <w:b/>
          <w:bCs/>
          <w:rtl/>
          <w:lang w:bidi="ar-EG"/>
        </w:rPr>
        <w:t xml:space="preserve"> يوم </w:t>
      </w:r>
      <w:r>
        <w:rPr>
          <w:rFonts w:hint="cs"/>
          <w:b/>
          <w:bCs/>
          <w:rtl/>
          <w:lang w:bidi="ar-EG"/>
        </w:rPr>
        <w:t>الإشادة بروح تنظيم المشاريع</w:t>
      </w:r>
      <w:r>
        <w:rPr>
          <w:rFonts w:hint="eastAsia"/>
          <w:b/>
          <w:bCs/>
          <w:rtl/>
          <w:lang w:bidi="ar-EG"/>
        </w:rPr>
        <w:t>“</w:t>
      </w:r>
      <w:r>
        <w:rPr>
          <w:rFonts w:hint="cs"/>
          <w:b/>
          <w:bCs/>
          <w:rtl/>
          <w:lang w:bidi="ar-EG"/>
        </w:rPr>
        <w:t>،</w:t>
      </w:r>
      <w:r>
        <w:rPr>
          <w:rFonts w:hint="eastAsia"/>
          <w:b/>
          <w:bCs/>
          <w:rtl/>
          <w:lang w:bidi="ar-EG"/>
        </w:rPr>
        <w:t xml:space="preserve"> الذي نُظم في الفترة من 24 إلى 27 حزيران/يونيه 2004 بمشاركة 15 مقاطعة في البلد وبوغوتا</w:t>
      </w:r>
      <w:r>
        <w:rPr>
          <w:rFonts w:hint="cs"/>
          <w:b/>
          <w:bCs/>
          <w:rtl/>
          <w:lang w:bidi="ar-EG"/>
        </w:rPr>
        <w:t>“</w:t>
      </w:r>
      <w:r w:rsidR="003D7EB4">
        <w:rPr>
          <w:rFonts w:hint="cs"/>
          <w:b/>
          <w:bCs/>
          <w:rtl/>
          <w:lang w:bidi="ar-EG"/>
        </w:rPr>
        <w:t>،</w:t>
      </w:r>
      <w:r>
        <w:rPr>
          <w:rFonts w:hint="cs"/>
          <w:b/>
          <w:bCs/>
          <w:rtl/>
          <w:lang w:bidi="ar-EG"/>
        </w:rPr>
        <w:t xml:space="preserve"> ومثَل السوق فرصة لحفز وتنمية روح تنظيم المشاريع باعتباره خيارا للعمالة انطلاقا من نماذج نسائية ناجحة لتنظيم المشاريع</w:t>
      </w:r>
      <w:r w:rsidR="003D7EB4">
        <w:rPr>
          <w:rFonts w:hint="cs"/>
          <w:b/>
          <w:bCs/>
          <w:rtl/>
          <w:lang w:bidi="ar-EG"/>
        </w:rPr>
        <w:t>،</w:t>
      </w:r>
      <w:r>
        <w:rPr>
          <w:rFonts w:hint="cs"/>
          <w:b/>
          <w:bCs/>
          <w:rtl/>
          <w:lang w:bidi="ar-EG"/>
        </w:rPr>
        <w:t xml:space="preserve"> وقد بدأ هذا الاقتراح العام بعملية إقليمية لأيام إشادة بروح تنظيم المشاريع، وتنمية تنظيم السوق الوطني</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وكان السوق الوطني الأول لمنظمي المشاريع مجالا لتسليط الضوء على مساهمة المرأة في التنمية الإنتاجية للبلد وإجراء تبادل لتنمية تنظيم المشاريع والتدريب عليه</w:t>
      </w:r>
      <w:r w:rsidR="003D7EB4">
        <w:rPr>
          <w:rFonts w:hint="cs"/>
          <w:rtl/>
          <w:lang w:bidi="ar-EG"/>
        </w:rPr>
        <w:t>،</w:t>
      </w:r>
      <w:r>
        <w:rPr>
          <w:rFonts w:hint="cs"/>
          <w:rtl/>
          <w:lang w:bidi="ar-EG"/>
        </w:rPr>
        <w:t xml:space="preserve"> ونظام التسجيل الوحيد هومبادرة تتيح حفز نساء أخريات على إنشاء مؤسسات على غرار نماذج ناجحة عُرضت في السوق ويمكن تكرارها</w:t>
      </w:r>
      <w:r w:rsidR="003D7EB4">
        <w:rPr>
          <w:rFonts w:hint="cs"/>
          <w:rtl/>
          <w:lang w:bidi="ar-EG"/>
        </w:rPr>
        <w:t>،</w:t>
      </w:r>
      <w:r>
        <w:rPr>
          <w:rFonts w:hint="cs"/>
          <w:rtl/>
          <w:lang w:bidi="ar-EG"/>
        </w:rPr>
        <w:t xml:space="preserve"> وقد أيدت المحافظات هذا المشروع عن طريق جمع معلومات عن منظمات المشاريع في مقاطعاتهم بهدف إعداد دليل لمنظمات المشاريع وكذلك لاختيار المشاركات في السوق</w:t>
      </w:r>
      <w:r w:rsidR="003D7EB4">
        <w:rPr>
          <w:rFonts w:hint="cs"/>
          <w:rtl/>
          <w:lang w:bidi="ar-EG"/>
        </w:rPr>
        <w:t>،</w:t>
      </w:r>
    </w:p>
    <w:p w:rsidR="00971AE2" w:rsidRDefault="00971AE2" w:rsidP="00A343DF">
      <w:pPr>
        <w:pStyle w:val="SingleTxt"/>
        <w:rPr>
          <w:rFonts w:hint="cs"/>
          <w:rtl/>
          <w:lang w:bidi="ar-EG"/>
        </w:rPr>
      </w:pPr>
      <w:r>
        <w:rPr>
          <w:rFonts w:hint="cs"/>
          <w:rtl/>
          <w:lang w:bidi="ar-EG"/>
        </w:rPr>
        <w:tab/>
        <w:t>وعقدت الهيئة الاستشارية لرئيس الجمهورية فيما يتعلق بالمساواة بين الرجل والمرأة اجتماعات مع جمعية العاملات في الخدمة المنزلية، وهي جمعية نساء تابعة لدار المرأة العاملة التابع للمركز الاتحادي للعمال</w:t>
      </w:r>
      <w:r>
        <w:rPr>
          <w:rFonts w:hint="eastAsia"/>
          <w:rtl/>
          <w:lang w:bidi="ar-EG"/>
        </w:rPr>
        <w:t> بهدف بدء دراسة لإدماج العمل المنزلي في الحسابات القومية باعتباره حسابا تابعا</w:t>
      </w:r>
      <w:r w:rsidR="003D7EB4">
        <w:rPr>
          <w:rFonts w:hint="eastAsia"/>
          <w:rtl/>
          <w:lang w:bidi="ar-EG"/>
        </w:rPr>
        <w:t>،</w:t>
      </w:r>
    </w:p>
    <w:p w:rsidR="00971AE2" w:rsidRDefault="00971AE2" w:rsidP="00A343DF">
      <w:pPr>
        <w:pStyle w:val="SingleTxt"/>
        <w:rPr>
          <w:rFonts w:hint="cs"/>
          <w:rtl/>
          <w:lang w:bidi="ar-EG"/>
        </w:rPr>
      </w:pPr>
      <w:r>
        <w:rPr>
          <w:rFonts w:hint="cs"/>
          <w:rtl/>
          <w:lang w:bidi="ar-EG"/>
        </w:rPr>
        <w:tab/>
        <w:t xml:space="preserve">واتخذت </w:t>
      </w:r>
      <w:r>
        <w:t>DANSOCIAL</w:t>
      </w:r>
      <w:r>
        <w:rPr>
          <w:rFonts w:hint="cs"/>
          <w:rtl/>
          <w:lang w:bidi="ar-EG"/>
        </w:rPr>
        <w:t xml:space="preserve"> باعتبارها كيانا حكوميا يوجه وينظم السياسة العامة من أجل المنظمات الاجتماعية والتضامنية مع الهيئة الاستشارية لرئيس الجمهورية فيما يتعلق بالمساواة بين الرجل والمرأة، في سياق الخطة الوطنية لتدريب النساء على تنظيم المشاريع، إجراءات مؤسسية من أجل التنمية التدريجية لفرص تتيح حصول المرأة في المناطق الحضرية والريفية على عمل لائق ومجز أوتنمية أنشطتهن الرامية إلى تنظيم المشاريع</w:t>
      </w:r>
      <w:r>
        <w:rPr>
          <w:rFonts w:hint="cs"/>
          <w:vertAlign w:val="superscript"/>
          <w:rtl/>
          <w:lang w:bidi="ar-EG"/>
        </w:rPr>
        <w:t>(91)</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الإحصاءات</w:t>
      </w:r>
    </w:p>
    <w:p w:rsidR="00971AE2" w:rsidRDefault="00971AE2" w:rsidP="00A343DF">
      <w:pPr>
        <w:pStyle w:val="SingleTxt"/>
        <w:rPr>
          <w:rFonts w:hint="cs"/>
          <w:rtl/>
          <w:lang w:bidi="ar-EG"/>
        </w:rPr>
      </w:pPr>
      <w:r>
        <w:rPr>
          <w:rFonts w:hint="cs"/>
          <w:b/>
          <w:bCs/>
          <w:rtl/>
          <w:lang w:bidi="ar-EG"/>
        </w:rPr>
        <w:t>مشاركة المرأة في سوق العمل</w:t>
      </w:r>
    </w:p>
    <w:p w:rsidR="00971AE2" w:rsidRDefault="00971AE2" w:rsidP="00A343DF">
      <w:pPr>
        <w:pStyle w:val="SingleTxt"/>
        <w:rPr>
          <w:rFonts w:hint="cs"/>
          <w:rtl/>
          <w:lang w:bidi="ar-EG"/>
        </w:rPr>
      </w:pPr>
      <w:r>
        <w:rPr>
          <w:rFonts w:hint="cs"/>
          <w:rtl/>
          <w:lang w:bidi="ar-EG"/>
        </w:rPr>
        <w:tab/>
        <w:t>بين عامي 1992 و2001 ازداد المعدل الإجمالي لمشاركة المرأة من 40 في المائة إلى 50 في المائة</w:t>
      </w:r>
      <w:r w:rsidR="003D7EB4">
        <w:rPr>
          <w:rFonts w:hint="cs"/>
          <w:rtl/>
          <w:lang w:bidi="ar-EG"/>
        </w:rPr>
        <w:t>،</w:t>
      </w:r>
      <w:r>
        <w:rPr>
          <w:rFonts w:hint="cs"/>
          <w:rtl/>
          <w:lang w:bidi="ar-EG"/>
        </w:rPr>
        <w:t xml:space="preserve"> وببلوغ النساء نسبة 37 في المائة من السكان الناشطين اقتصاديا أصبحت النساء تمثلن نحو42 في المائة من هؤلاء السكان</w:t>
      </w:r>
      <w:r w:rsidR="003D7EB4">
        <w:rPr>
          <w:rFonts w:hint="cs"/>
          <w:rtl/>
          <w:lang w:bidi="ar-EG"/>
        </w:rPr>
        <w:t>،</w:t>
      </w:r>
      <w:r>
        <w:rPr>
          <w:rFonts w:hint="cs"/>
          <w:rtl/>
          <w:lang w:bidi="ar-EG"/>
        </w:rPr>
        <w:t xml:space="preserve"> وفي عواصم البلديات بلغ المعدل الإجمالي لمشاركة المرأة نحو53 في المائة في سنة 2001، وذلك يرجع بصورة رئيسية إلى التشرد في المناطق الريفية</w:t>
      </w:r>
      <w:r>
        <w:rPr>
          <w:rFonts w:hint="cs"/>
          <w:vertAlign w:val="superscript"/>
          <w:rtl/>
          <w:lang w:bidi="ar-EG"/>
        </w:rPr>
        <w:t>(92)</w:t>
      </w:r>
      <w:r w:rsidR="003D7EB4">
        <w:rPr>
          <w:rFonts w:hint="cs"/>
          <w:rtl/>
          <w:lang w:bidi="ar-EG"/>
        </w:rPr>
        <w:t>،</w:t>
      </w:r>
      <w:r>
        <w:rPr>
          <w:rFonts w:hint="cs"/>
          <w:rtl/>
          <w:lang w:bidi="ar-EG"/>
        </w:rPr>
        <w:t xml:space="preserve"> وفي سنة 2003 بلغ المعدل الإجمالي الكلي للمشاركة على الصعيد الوطني 61</w:t>
      </w:r>
      <w:r w:rsidR="006F52A2">
        <w:rPr>
          <w:rFonts w:hint="cs"/>
          <w:rtl/>
          <w:lang w:bidi="ar-EG"/>
        </w:rPr>
        <w:t>.</w:t>
      </w:r>
      <w:r>
        <w:rPr>
          <w:rFonts w:hint="cs"/>
          <w:rtl/>
          <w:lang w:bidi="ar-EG"/>
        </w:rPr>
        <w:t>6 في المائة، وللرجال 75</w:t>
      </w:r>
      <w:r w:rsidR="006F52A2">
        <w:rPr>
          <w:rFonts w:hint="cs"/>
          <w:rtl/>
          <w:lang w:bidi="ar-EG"/>
        </w:rPr>
        <w:t>.</w:t>
      </w:r>
      <w:r>
        <w:rPr>
          <w:rFonts w:hint="cs"/>
          <w:rtl/>
          <w:lang w:bidi="ar-EG"/>
        </w:rPr>
        <w:t>1 في المائة، وللنساء 49</w:t>
      </w:r>
      <w:r w:rsidR="006F52A2">
        <w:rPr>
          <w:rFonts w:hint="cs"/>
          <w:rtl/>
          <w:lang w:bidi="ar-EG"/>
        </w:rPr>
        <w:t>.</w:t>
      </w:r>
      <w:r>
        <w:rPr>
          <w:rFonts w:hint="cs"/>
          <w:rtl/>
          <w:lang w:bidi="ar-EG"/>
        </w:rPr>
        <w:t>6 في المائة (العاصمة 52</w:t>
      </w:r>
      <w:r w:rsidR="006F52A2">
        <w:rPr>
          <w:rFonts w:hint="cs"/>
          <w:rtl/>
          <w:lang w:bidi="ar-EG"/>
        </w:rPr>
        <w:t>.</w:t>
      </w:r>
      <w:r>
        <w:rPr>
          <w:rFonts w:hint="cs"/>
          <w:rtl/>
          <w:lang w:bidi="ar-EG"/>
        </w:rPr>
        <w:t>4 في المائة والبقية 41</w:t>
      </w:r>
      <w:r w:rsidR="006F52A2">
        <w:rPr>
          <w:rFonts w:hint="cs"/>
          <w:rtl/>
          <w:lang w:bidi="ar-EG"/>
        </w:rPr>
        <w:t>.</w:t>
      </w:r>
      <w:r>
        <w:rPr>
          <w:rFonts w:hint="cs"/>
          <w:rtl/>
          <w:lang w:bidi="ar-EG"/>
        </w:rPr>
        <w:t>4 في المائة)</w:t>
      </w:r>
      <w:r w:rsidR="003D7EB4">
        <w:rPr>
          <w:rFonts w:hint="cs"/>
          <w:rtl/>
          <w:lang w:bidi="ar-EG"/>
        </w:rPr>
        <w:t>،</w:t>
      </w:r>
      <w:r>
        <w:rPr>
          <w:rFonts w:hint="cs"/>
          <w:rtl/>
          <w:lang w:bidi="ar-EG"/>
        </w:rPr>
        <w:t xml:space="preserve"> ووفقا للإدارة التنظيمية الوطنية للحصانة، انخفض المعدل الإجمالي لمشاركة المرأة خلال الثلث الأول من سنة 2003 مقارنة بنفس الفترة من سنة 2002 بمقدار 3 نقاط فانخفض من 49</w:t>
      </w:r>
      <w:r w:rsidR="006F52A2">
        <w:rPr>
          <w:rFonts w:hint="cs"/>
          <w:rtl/>
          <w:lang w:bidi="ar-EG"/>
        </w:rPr>
        <w:t>.</w:t>
      </w:r>
      <w:r>
        <w:rPr>
          <w:rFonts w:hint="cs"/>
          <w:rtl/>
          <w:lang w:bidi="ar-EG"/>
        </w:rPr>
        <w:t>9 في المائة إلى 49</w:t>
      </w:r>
      <w:r w:rsidR="006F52A2">
        <w:rPr>
          <w:rFonts w:hint="cs"/>
          <w:rtl/>
          <w:lang w:bidi="ar-EG"/>
        </w:rPr>
        <w:t>.</w:t>
      </w:r>
      <w:r>
        <w:rPr>
          <w:rFonts w:hint="cs"/>
          <w:rtl/>
          <w:lang w:bidi="ar-EG"/>
        </w:rPr>
        <w:t>6 في المائة</w:t>
      </w:r>
      <w:r>
        <w:rPr>
          <w:rFonts w:hint="cs"/>
          <w:vertAlign w:val="superscript"/>
          <w:rtl/>
          <w:lang w:bidi="ar-EG"/>
        </w:rPr>
        <w:t>(93)</w:t>
      </w:r>
      <w:r w:rsidR="003D7EB4">
        <w:rPr>
          <w:rFonts w:hint="cs"/>
          <w:rtl/>
          <w:lang w:bidi="ar-EG"/>
        </w:rPr>
        <w:t>،</w:t>
      </w:r>
    </w:p>
    <w:p w:rsidR="00971AE2" w:rsidRDefault="00971AE2" w:rsidP="00A343DF">
      <w:pPr>
        <w:pStyle w:val="SingleTxt"/>
        <w:rPr>
          <w:rFonts w:hint="cs"/>
          <w:rtl/>
          <w:lang w:bidi="ar-EG"/>
        </w:rPr>
      </w:pPr>
      <w:r>
        <w:rPr>
          <w:rFonts w:hint="cs"/>
          <w:rtl/>
          <w:lang w:bidi="ar-EG"/>
        </w:rPr>
        <w:tab/>
        <w:t>وفي سنة 2003 بلغ مجموع عدد سكان كولومبيا 434 531 44 مع أغلبية طفيفة للنساء (50</w:t>
      </w:r>
      <w:r w:rsidR="006F52A2">
        <w:rPr>
          <w:rFonts w:hint="cs"/>
          <w:rtl/>
          <w:lang w:bidi="ar-EG"/>
        </w:rPr>
        <w:t>.</w:t>
      </w:r>
      <w:r>
        <w:rPr>
          <w:rFonts w:hint="cs"/>
          <w:rtl/>
          <w:lang w:bidi="ar-EG"/>
        </w:rPr>
        <w:t>50 في المائة)</w:t>
      </w:r>
      <w:r w:rsidR="003D7EB4">
        <w:rPr>
          <w:rFonts w:hint="cs"/>
          <w:rtl/>
          <w:lang w:bidi="ar-EG"/>
        </w:rPr>
        <w:t>،</w:t>
      </w:r>
      <w:r>
        <w:rPr>
          <w:rFonts w:hint="cs"/>
          <w:rtl/>
          <w:lang w:bidi="ar-EG"/>
        </w:rPr>
        <w:t xml:space="preserve"> وخلال الربع الأخير من سنة 2003 كان 53 في المائة من السكان الذين في سن العمل نساء و47 في المائة رجال وكان المعدل الإجمالي للمشاركة في العمل 63 في المائة، ومعدل مشاركة النساء 52 في المائة ومعدل مشاركة الرجال 75 في المائة</w:t>
      </w:r>
      <w:r w:rsidR="003D7EB4">
        <w:rPr>
          <w:rFonts w:hint="cs"/>
          <w:rtl/>
          <w:lang w:bidi="ar-EG"/>
        </w:rPr>
        <w:t>،</w:t>
      </w:r>
    </w:p>
    <w:p w:rsidR="00971AE2" w:rsidRDefault="00971AE2" w:rsidP="00A343DF">
      <w:pPr>
        <w:pStyle w:val="SingleTxt"/>
        <w:rPr>
          <w:rFonts w:hint="cs"/>
          <w:rtl/>
          <w:lang w:bidi="ar-EG"/>
        </w:rPr>
      </w:pPr>
      <w:r>
        <w:rPr>
          <w:rFonts w:hint="cs"/>
          <w:rtl/>
          <w:lang w:bidi="ar-EG"/>
        </w:rPr>
        <w:tab/>
        <w:t>وعلى الرغم من أن جميع النساء اللائي في سن العمل قد زدن مشاركتهن في سوق العمل فإنه توجد بينهن اختلافات تتعلق بالسن والمستوى التعليمي والحالة المدنية</w:t>
      </w:r>
      <w:r w:rsidR="003D7EB4">
        <w:rPr>
          <w:rFonts w:hint="cs"/>
          <w:rtl/>
          <w:lang w:bidi="ar-EG"/>
        </w:rPr>
        <w:t>،</w:t>
      </w:r>
      <w:r>
        <w:rPr>
          <w:rFonts w:hint="cs"/>
          <w:rtl/>
          <w:lang w:bidi="ar-EG"/>
        </w:rPr>
        <w:t xml:space="preserve"> وكانت أكبر مشاركة من جانب النساء اللائي تتراوح أعمارهن بين 24 و45 سنة في حين كانت أكبر زيادة في المشاركة من جانب مجموعة النساء اللائي تتراوح أعمارهن بين 46 و55 سنة</w:t>
      </w:r>
      <w:r w:rsidR="003D7EB4">
        <w:rPr>
          <w:rFonts w:hint="cs"/>
          <w:rtl/>
          <w:lang w:bidi="ar-EG"/>
        </w:rPr>
        <w:t>،</w:t>
      </w:r>
    </w:p>
    <w:p w:rsidR="00971AE2" w:rsidRDefault="00971AE2" w:rsidP="00A343DF">
      <w:pPr>
        <w:pStyle w:val="SingleTxt"/>
        <w:rPr>
          <w:rFonts w:hint="cs"/>
          <w:rtl/>
          <w:lang w:bidi="ar-EG"/>
        </w:rPr>
      </w:pPr>
      <w:r>
        <w:rPr>
          <w:rFonts w:hint="cs"/>
          <w:rtl/>
          <w:lang w:bidi="ar-EG"/>
        </w:rPr>
        <w:tab/>
        <w:t>ومن الناحية التعليمية كانت أكبر مشاركة من جانب المهنيات اللائي أكملن دراستهن الجامعية: 90 في المائة في سنة 2001؛ وكان معدل مشاركة النساء اللائي لم يكملن دراستهن الجامعية أوأكملن المرحلة الثانوية 63 في المائة، في حين كانت أدنى معدلات المشاركة من جانب النساء اللائي لم يكملن المرحلة الابتدائية أوالثانوية</w:t>
      </w:r>
      <w:r>
        <w:rPr>
          <w:rFonts w:hint="cs"/>
          <w:vertAlign w:val="superscript"/>
          <w:rtl/>
          <w:lang w:bidi="ar-EG"/>
        </w:rPr>
        <w:t>(94)</w:t>
      </w:r>
      <w:r w:rsidR="003D7EB4">
        <w:rPr>
          <w:rFonts w:hint="cs"/>
          <w:rtl/>
          <w:lang w:bidi="ar-EG"/>
        </w:rPr>
        <w:t>،</w:t>
      </w:r>
      <w:r>
        <w:rPr>
          <w:rFonts w:hint="cs"/>
          <w:rtl/>
          <w:lang w:bidi="ar-EG"/>
        </w:rPr>
        <w:t xml:space="preserve"> ومن الجدير بالذكر أن هذه الأرقام تبين أن النساء العاملات على مستوى تعليمي أعلى من مستوى الرجال العاملين، الأمر الذي يبين أنه يُطلب من النساء أن يكن على مستوى تعليمي أعلى نسبيا للحصول على العمل</w:t>
      </w:r>
      <w:r>
        <w:rPr>
          <w:rFonts w:hint="cs"/>
          <w:vertAlign w:val="superscript"/>
          <w:rtl/>
          <w:lang w:bidi="ar-EG"/>
        </w:rPr>
        <w:t>(95)</w:t>
      </w:r>
      <w:r w:rsidR="003D7EB4">
        <w:rPr>
          <w:rFonts w:hint="cs"/>
          <w:rtl/>
          <w:lang w:bidi="ar-EG"/>
        </w:rPr>
        <w:t>،</w:t>
      </w:r>
    </w:p>
    <w:p w:rsidR="00971AE2" w:rsidRDefault="00971AE2" w:rsidP="00A343DF">
      <w:pPr>
        <w:pStyle w:val="SingleTxt"/>
        <w:rPr>
          <w:rFonts w:hint="cs"/>
          <w:rtl/>
          <w:lang w:bidi="ar-EG"/>
        </w:rPr>
      </w:pPr>
      <w:r>
        <w:rPr>
          <w:rFonts w:hint="cs"/>
          <w:rtl/>
          <w:lang w:bidi="ar-EG"/>
        </w:rPr>
        <w:tab/>
        <w:t>وفيما يتعلق بالحالة المدنية كانت أعلى معدلات المشاركة في سوق العمل من جانب المطلقات تليهن المتزوجات أوالداخلات في معاشرة حرة والعازبات</w:t>
      </w:r>
      <w:r w:rsidR="003D7EB4">
        <w:rPr>
          <w:rFonts w:hint="cs"/>
          <w:rtl/>
          <w:lang w:bidi="ar-EG"/>
        </w:rPr>
        <w:t>،</w:t>
      </w:r>
      <w:r>
        <w:rPr>
          <w:rFonts w:hint="cs"/>
          <w:rtl/>
          <w:lang w:bidi="ar-EG"/>
        </w:rPr>
        <w:t xml:space="preserve"> وفي عواصم البلديات كانت أعلى معدلات المشاركة من جانب النساء الداخلات في معاشرة حرة، الأمر الذي قد يدل على حالة فقر أشد</w:t>
      </w:r>
      <w:r>
        <w:rPr>
          <w:rFonts w:hint="cs"/>
          <w:vertAlign w:val="superscript"/>
          <w:rtl/>
          <w:lang w:bidi="ar-EG"/>
        </w:rPr>
        <w:t>(96)</w:t>
      </w:r>
      <w:r w:rsidR="003D7EB4">
        <w:rPr>
          <w:rFonts w:hint="cs"/>
          <w:rtl/>
          <w:lang w:bidi="ar-EG"/>
        </w:rPr>
        <w:t>،</w:t>
      </w:r>
    </w:p>
    <w:p w:rsidR="00971AE2" w:rsidRDefault="00971AE2" w:rsidP="00A343DF">
      <w:pPr>
        <w:pStyle w:val="SingleTxt"/>
        <w:rPr>
          <w:rFonts w:hint="cs"/>
          <w:rtl/>
          <w:lang w:bidi="ar-EG"/>
        </w:rPr>
      </w:pPr>
      <w:r>
        <w:rPr>
          <w:rFonts w:hint="cs"/>
          <w:rtl/>
          <w:lang w:bidi="ar-EG"/>
        </w:rPr>
        <w:tab/>
        <w:t>وعلى المستوى الوطني ازداد معدل بطالة المرأة من 12 في المائة في سنة 1992 إلى 19 في المائة في سنة 2001</w:t>
      </w:r>
      <w:r w:rsidR="003D7EB4">
        <w:rPr>
          <w:rFonts w:hint="cs"/>
          <w:rtl/>
          <w:lang w:bidi="ar-EG"/>
        </w:rPr>
        <w:t>،</w:t>
      </w:r>
      <w:r>
        <w:rPr>
          <w:rFonts w:hint="cs"/>
          <w:rtl/>
          <w:lang w:bidi="ar-EG"/>
        </w:rPr>
        <w:t xml:space="preserve"> وفي نفس هذه الفترة كانت الزيادة في عواصم البلديات من 12 في المائة إلى 20 في المائة</w:t>
      </w:r>
      <w:r>
        <w:rPr>
          <w:rFonts w:hint="cs"/>
          <w:vertAlign w:val="superscript"/>
          <w:rtl/>
          <w:lang w:bidi="ar-EG"/>
        </w:rPr>
        <w:t>(97)</w:t>
      </w:r>
      <w:r w:rsidR="003D7EB4">
        <w:rPr>
          <w:rFonts w:hint="cs"/>
          <w:rtl/>
          <w:lang w:bidi="ar-EG"/>
        </w:rPr>
        <w:t>،</w:t>
      </w:r>
      <w:r>
        <w:rPr>
          <w:rFonts w:hint="cs"/>
          <w:rtl/>
          <w:lang w:bidi="ar-EG"/>
        </w:rPr>
        <w:t xml:space="preserve"> وفي سنة 2003 انخفض المعدل الوطني الكلي للبطالة إلى 15</w:t>
      </w:r>
      <w:r w:rsidR="006F52A2">
        <w:rPr>
          <w:rFonts w:hint="cs"/>
          <w:rtl/>
          <w:lang w:bidi="ar-EG"/>
        </w:rPr>
        <w:t>.</w:t>
      </w:r>
      <w:r>
        <w:rPr>
          <w:rFonts w:hint="cs"/>
          <w:rtl/>
          <w:lang w:bidi="ar-EG"/>
        </w:rPr>
        <w:t>2 في المائة، وكان المعدل 11</w:t>
      </w:r>
      <w:r w:rsidR="006F52A2">
        <w:rPr>
          <w:rFonts w:hint="cs"/>
          <w:rtl/>
          <w:lang w:bidi="ar-EG"/>
        </w:rPr>
        <w:t>.</w:t>
      </w:r>
      <w:r>
        <w:rPr>
          <w:rFonts w:hint="cs"/>
          <w:rtl/>
          <w:lang w:bidi="ar-EG"/>
        </w:rPr>
        <w:t>9 في المائة للرجال و19</w:t>
      </w:r>
      <w:r w:rsidR="006F52A2">
        <w:rPr>
          <w:rFonts w:hint="cs"/>
          <w:rtl/>
          <w:lang w:bidi="ar-EG"/>
        </w:rPr>
        <w:t>.</w:t>
      </w:r>
      <w:r>
        <w:rPr>
          <w:rFonts w:hint="cs"/>
          <w:rtl/>
          <w:lang w:bidi="ar-EG"/>
        </w:rPr>
        <w:t>7 في المائة للنساء (20</w:t>
      </w:r>
      <w:r w:rsidR="006F52A2">
        <w:rPr>
          <w:rFonts w:hint="cs"/>
          <w:rtl/>
          <w:lang w:bidi="ar-EG"/>
        </w:rPr>
        <w:t>.</w:t>
      </w:r>
      <w:r>
        <w:rPr>
          <w:rFonts w:hint="cs"/>
          <w:rtl/>
          <w:lang w:bidi="ar-EG"/>
        </w:rPr>
        <w:t>6 في المائة في العاصمة و16</w:t>
      </w:r>
      <w:r w:rsidR="006F52A2">
        <w:rPr>
          <w:rFonts w:hint="cs"/>
          <w:rtl/>
          <w:lang w:bidi="ar-EG"/>
        </w:rPr>
        <w:t>.</w:t>
      </w:r>
      <w:r>
        <w:rPr>
          <w:rFonts w:hint="cs"/>
          <w:rtl/>
          <w:lang w:bidi="ar-EG"/>
        </w:rPr>
        <w:t>1 في المائة في سائر البلد)</w:t>
      </w:r>
      <w:r>
        <w:rPr>
          <w:rFonts w:hint="cs"/>
          <w:vertAlign w:val="superscript"/>
          <w:rtl/>
          <w:lang w:bidi="ar-EG"/>
        </w:rPr>
        <w:t>(98)</w:t>
      </w:r>
      <w:r w:rsidR="003D7EB4">
        <w:rPr>
          <w:rFonts w:hint="cs"/>
          <w:rtl/>
          <w:lang w:bidi="ar-EG"/>
        </w:rPr>
        <w:t>،</w:t>
      </w:r>
      <w:r>
        <w:rPr>
          <w:rFonts w:hint="cs"/>
          <w:rtl/>
          <w:lang w:bidi="ar-EG"/>
        </w:rPr>
        <w:t xml:space="preserve"> وازداد عدد السكان غير الناشطين بنسبة تبلغ نحو97</w:t>
      </w:r>
      <w:r w:rsidR="006F52A2">
        <w:rPr>
          <w:rFonts w:hint="cs"/>
          <w:rtl/>
          <w:lang w:bidi="ar-EG"/>
        </w:rPr>
        <w:t>.</w:t>
      </w:r>
      <w:r>
        <w:rPr>
          <w:rFonts w:hint="cs"/>
          <w:rtl/>
          <w:lang w:bidi="ar-EG"/>
        </w:rPr>
        <w:t xml:space="preserve">4 في المائة، وذلك أساسا في العواصم، حيث انخفض عدد الرجال غير الناشطين بـ 000 39 شخص في حين ازداد عدد النساء غير الناشطات في المنطقة الريفية بـ 000 222 </w:t>
      </w:r>
      <w:r>
        <w:rPr>
          <w:rFonts w:hint="cs"/>
          <w:vertAlign w:val="superscript"/>
          <w:rtl/>
          <w:lang w:bidi="ar-EG"/>
        </w:rPr>
        <w:t>(99)</w:t>
      </w:r>
      <w:r w:rsidR="003D7EB4">
        <w:rPr>
          <w:rFonts w:hint="cs"/>
          <w:rtl/>
          <w:lang w:bidi="ar-EG"/>
        </w:rPr>
        <w:t>،</w:t>
      </w:r>
    </w:p>
    <w:p w:rsidR="00971AE2" w:rsidRDefault="00971AE2" w:rsidP="00A343DF">
      <w:pPr>
        <w:pStyle w:val="SingleTxt"/>
        <w:rPr>
          <w:rFonts w:hint="cs"/>
          <w:rtl/>
          <w:lang w:bidi="ar-EG"/>
        </w:rPr>
      </w:pPr>
      <w:r>
        <w:rPr>
          <w:rFonts w:hint="cs"/>
          <w:rtl/>
          <w:lang w:bidi="ar-EG"/>
        </w:rPr>
        <w:tab/>
        <w:t>وتوجد أعلى معدلات البطالة بين العازبات والداخلات في معاشرات حرة</w:t>
      </w:r>
      <w:r w:rsidR="003D7EB4">
        <w:rPr>
          <w:rFonts w:hint="cs"/>
          <w:rtl/>
          <w:lang w:bidi="ar-EG"/>
        </w:rPr>
        <w:t>،</w:t>
      </w:r>
      <w:r>
        <w:rPr>
          <w:rFonts w:hint="cs"/>
          <w:rtl/>
          <w:lang w:bidi="ar-EG"/>
        </w:rPr>
        <w:t xml:space="preserve"> وفي سنة 1999 بلغ معدل العاطلات في المنطقة الريفية 22 في المائة في حين بلغ معدل بطالة الرجال 12</w:t>
      </w:r>
      <w:r w:rsidR="006F52A2">
        <w:rPr>
          <w:rFonts w:hint="cs"/>
          <w:rtl/>
          <w:lang w:bidi="ar-EG"/>
        </w:rPr>
        <w:t>.</w:t>
      </w:r>
      <w:r>
        <w:rPr>
          <w:rFonts w:hint="cs"/>
          <w:rtl/>
          <w:lang w:bidi="ar-EG"/>
        </w:rPr>
        <w:t>4 في المائة، وفي سنة 2000 ارتفعا إلى 24</w:t>
      </w:r>
      <w:r w:rsidR="006F52A2">
        <w:rPr>
          <w:rFonts w:hint="cs"/>
          <w:rtl/>
          <w:lang w:bidi="ar-EG"/>
        </w:rPr>
        <w:t>.</w:t>
      </w:r>
      <w:r>
        <w:rPr>
          <w:rFonts w:hint="cs"/>
          <w:rtl/>
          <w:lang w:bidi="ar-EG"/>
        </w:rPr>
        <w:t>5 في المائة و16</w:t>
      </w:r>
      <w:r w:rsidR="006F52A2">
        <w:rPr>
          <w:rFonts w:hint="cs"/>
          <w:rtl/>
          <w:lang w:bidi="ar-EG"/>
        </w:rPr>
        <w:t>.</w:t>
      </w:r>
      <w:r>
        <w:rPr>
          <w:rFonts w:hint="cs"/>
          <w:rtl/>
          <w:lang w:bidi="ar-EG"/>
        </w:rPr>
        <w:t>9 في المائة، على التوالي</w:t>
      </w:r>
      <w:r>
        <w:rPr>
          <w:rFonts w:hint="cs"/>
          <w:vertAlign w:val="superscript"/>
          <w:rtl/>
          <w:lang w:bidi="ar-EG"/>
        </w:rPr>
        <w:t>(100)</w:t>
      </w:r>
      <w:r w:rsidR="003D7EB4">
        <w:rPr>
          <w:rFonts w:hint="cs"/>
          <w:rtl/>
          <w:lang w:bidi="ar-EG"/>
        </w:rPr>
        <w:t>،</w:t>
      </w:r>
    </w:p>
    <w:p w:rsidR="00971AE2" w:rsidRDefault="00971AE2" w:rsidP="00A343DF">
      <w:pPr>
        <w:pStyle w:val="SingleTxt"/>
        <w:rPr>
          <w:rFonts w:hint="cs"/>
          <w:rtl/>
          <w:lang w:bidi="ar-EG"/>
        </w:rPr>
      </w:pPr>
      <w:r>
        <w:rPr>
          <w:rFonts w:hint="cs"/>
          <w:rtl/>
          <w:lang w:bidi="ar-EG"/>
        </w:rPr>
        <w:tab/>
        <w:t>ويمكن اعتبار الزيادة الملحوظة في بطالة المرأة من أعراض اللامساواة الجنسانية في مجال العمل</w:t>
      </w:r>
      <w:r w:rsidR="003D7EB4">
        <w:rPr>
          <w:rFonts w:hint="cs"/>
          <w:rtl/>
          <w:lang w:bidi="ar-EG"/>
        </w:rPr>
        <w:t>،</w:t>
      </w:r>
      <w:r>
        <w:rPr>
          <w:rFonts w:hint="cs"/>
          <w:rtl/>
          <w:lang w:bidi="ar-EG"/>
        </w:rPr>
        <w:t xml:space="preserve"> وتلبي مشاركة المرأة المتزايدة في أكثر القطاعات حرمانا الحاجة إلى إشباع الاحتياجات المالية للأسر الفقيرة وتأنث الفقر</w:t>
      </w:r>
      <w:r w:rsidR="003D7EB4">
        <w:rPr>
          <w:rFonts w:hint="cs"/>
          <w:rtl/>
          <w:lang w:bidi="ar-EG"/>
        </w:rPr>
        <w:t>،</w:t>
      </w:r>
      <w:r>
        <w:rPr>
          <w:rFonts w:hint="cs"/>
          <w:rtl/>
          <w:lang w:bidi="ar-EG"/>
        </w:rPr>
        <w:t xml:space="preserve"> وفي القطاعات الأخرى يمكن أن تعزى البطالة إلى البحث عن الاستقلال والإنجاز الذاتي والترقي الاقتصادي للمرأة</w:t>
      </w:r>
      <w:r>
        <w:rPr>
          <w:rFonts w:hint="cs"/>
          <w:vertAlign w:val="superscript"/>
          <w:rtl/>
          <w:lang w:bidi="ar-EG"/>
        </w:rPr>
        <w:t>(101)</w:t>
      </w:r>
      <w:r w:rsidR="003D7EB4">
        <w:rPr>
          <w:rFonts w:hint="cs"/>
          <w:rtl/>
          <w:lang w:bidi="ar-EG"/>
        </w:rPr>
        <w:t>،</w:t>
      </w:r>
    </w:p>
    <w:p w:rsidR="00971AE2" w:rsidRDefault="00971AE2" w:rsidP="00A343DF">
      <w:pPr>
        <w:pStyle w:val="SingleTxt"/>
        <w:rPr>
          <w:rFonts w:hint="cs"/>
          <w:rtl/>
          <w:lang w:bidi="ar-EG"/>
        </w:rPr>
      </w:pPr>
      <w:r>
        <w:rPr>
          <w:rFonts w:hint="cs"/>
          <w:rtl/>
          <w:lang w:bidi="ar-EG"/>
        </w:rPr>
        <w:tab/>
        <w:t>ومن المصادر الرئيسية للامساواة في البلد مصدر يتعلق بالدخل</w:t>
      </w:r>
      <w:r w:rsidR="003D7EB4">
        <w:rPr>
          <w:rFonts w:hint="cs"/>
          <w:rtl/>
          <w:lang w:bidi="ar-EG"/>
        </w:rPr>
        <w:t>،</w:t>
      </w:r>
      <w:r>
        <w:rPr>
          <w:rFonts w:hint="cs"/>
          <w:rtl/>
          <w:lang w:bidi="ar-EG"/>
        </w:rPr>
        <w:t xml:space="preserve"> فالواقع هوأنه بين عامي 1992 و2001 ازدادت نسبة الرجال العاملين بدخول أقل من الحد الأدنى القانوني للأجر في عواصم البلديات من 40 في المائة إلى 54 في المائة في حين ظلت نسبة النساء العاملات بدخول أقل من الحد الأدنى للأجور 61 في المائة</w:t>
      </w:r>
      <w:r w:rsidR="003D7EB4">
        <w:rPr>
          <w:rFonts w:hint="cs"/>
          <w:rtl/>
          <w:lang w:bidi="ar-EG"/>
        </w:rPr>
        <w:t>،</w:t>
      </w:r>
      <w:r>
        <w:rPr>
          <w:rFonts w:hint="cs"/>
          <w:rtl/>
          <w:lang w:bidi="ar-EG"/>
        </w:rPr>
        <w:t xml:space="preserve"> وفي بقية البلد كان التغير في نفس تلك الفترة من 80 في المائة إلى 85 في المائة للرجال ومن 92 في المائة إلى 90 في المائة للنساء</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الأسر التي ترأسها نساء</w:t>
      </w:r>
    </w:p>
    <w:p w:rsidR="00971AE2" w:rsidRDefault="00971AE2" w:rsidP="00A343DF">
      <w:pPr>
        <w:pStyle w:val="SingleTxt"/>
        <w:rPr>
          <w:rFonts w:hint="cs"/>
          <w:rtl/>
          <w:lang w:bidi="ar-EG"/>
        </w:rPr>
      </w:pPr>
      <w:r>
        <w:rPr>
          <w:rFonts w:hint="cs"/>
          <w:rtl/>
          <w:lang w:bidi="ar-EG"/>
        </w:rPr>
        <w:tab/>
        <w:t>في الفترة بين عامي 1992 و2001 ازدادت نسبة الأسر التي ترأسها نساء من 23 في المائة إلى 31 في المائة من مجموع عدد الأسر في عواصم البلديات ومن 13 في المائة إلى 18 في المائة في بقية البلد</w:t>
      </w:r>
      <w:r w:rsidR="003D7EB4">
        <w:rPr>
          <w:rFonts w:hint="cs"/>
          <w:rtl/>
          <w:lang w:bidi="ar-EG"/>
        </w:rPr>
        <w:t>،</w:t>
      </w:r>
      <w:r>
        <w:rPr>
          <w:rFonts w:hint="cs"/>
          <w:rtl/>
          <w:lang w:bidi="ar-EG"/>
        </w:rPr>
        <w:t xml:space="preserve"> كما ازدادت معدلات البطالة بين رئيسات الأسر خلال تلك الفترة من 5 في المائة إلى 12 في المائة في عواصم البلديات ومن 3 في المائة إلى 8 في المائة في بقية البلد</w:t>
      </w:r>
      <w:r w:rsidR="003D7EB4">
        <w:rPr>
          <w:rFonts w:hint="cs"/>
          <w:rtl/>
          <w:lang w:bidi="ar-EG"/>
        </w:rPr>
        <w:t>،</w:t>
      </w:r>
      <w:r>
        <w:rPr>
          <w:rFonts w:hint="cs"/>
          <w:rtl/>
          <w:lang w:bidi="ar-EG"/>
        </w:rPr>
        <w:t xml:space="preserve"> وازدادت نسبة رئيسات الأسر ذوات الموارد المنخفضة من 44 في المائة في سنة 1992 إلى 51 في المائة في سنة 2001، في حين ازدادت نسبة رؤساء الأسر ذوي الموارد المنخفضة من 52 في المائة إلى 54 في المائة في نفس تلك الفترة، الأمر الذي يدل على ازدياد فقر رئيسات الأسر</w:t>
      </w:r>
      <w:r w:rsidR="003D7EB4">
        <w:rPr>
          <w:rFonts w:hint="cs"/>
          <w:rtl/>
          <w:lang w:bidi="ar-EG"/>
        </w:rPr>
        <w:t>،</w:t>
      </w:r>
      <w:r>
        <w:rPr>
          <w:rFonts w:hint="cs"/>
          <w:rtl/>
          <w:lang w:bidi="ar-EG"/>
        </w:rPr>
        <w:t xml:space="preserve"> وبالمثل ازدادت نسبة رئيسات الأسر في القطاع غير الرسمي فارتفعت من 56 في المائة في سنة 1992 إلى 60 في المائة في سنة 2001، في حين كانت النسبتان الخاصتان برؤساء الأسر 50 في المائة و57 في المائة، على التوالي</w:t>
      </w:r>
      <w:r w:rsidR="003D7EB4">
        <w:rPr>
          <w:rFonts w:hint="cs"/>
          <w:rtl/>
          <w:lang w:bidi="ar-EG"/>
        </w:rPr>
        <w:t>،</w:t>
      </w:r>
      <w:r>
        <w:rPr>
          <w:rFonts w:hint="cs"/>
          <w:rtl/>
          <w:lang w:bidi="ar-EG"/>
        </w:rPr>
        <w:t xml:space="preserve"> وتدل هذه الأرقام على أن أكبر زيادة في عدد رئيسات الأسر ترتبط بالقطاع غير الرسمي والفقر</w:t>
      </w:r>
      <w:r>
        <w:rPr>
          <w:rFonts w:hint="cs"/>
          <w:vertAlign w:val="superscript"/>
          <w:rtl/>
          <w:lang w:bidi="ar-EG"/>
        </w:rPr>
        <w:t>(102)</w:t>
      </w:r>
    </w:p>
    <w:p w:rsidR="00971AE2" w:rsidRDefault="00971AE2" w:rsidP="00A343DF">
      <w:pPr>
        <w:pStyle w:val="SingleTxt"/>
        <w:rPr>
          <w:rFonts w:hint="cs"/>
          <w:rtl/>
          <w:lang w:bidi="ar-EG"/>
        </w:rPr>
      </w:pPr>
      <w:r>
        <w:rPr>
          <w:rFonts w:hint="cs"/>
          <w:rtl/>
          <w:lang w:bidi="ar-EG"/>
        </w:rPr>
        <w:tab/>
        <w:t>ويبين سجل الدائرة التنظيمية الوطنية للإحصاء فيما يتعلق بالسكان العاملين خلال نفس تلك الفترة اختلافا كبيرا بين مشاركة المرأة ومشاركة الرجل، لأنها بلغت نحو39</w:t>
      </w:r>
      <w:r w:rsidR="006F52A2">
        <w:rPr>
          <w:rFonts w:hint="cs"/>
          <w:rtl/>
          <w:lang w:bidi="ar-EG"/>
        </w:rPr>
        <w:t>.</w:t>
      </w:r>
      <w:r>
        <w:rPr>
          <w:rFonts w:hint="cs"/>
          <w:rtl/>
          <w:lang w:bidi="ar-EG"/>
        </w:rPr>
        <w:t>9 في المائة فقط وكانت موجهة أساسا نحو قطاعات التجارة والصناعة، والخدمة المنزلية إلى حد بعيد حيث بلغت مشاركتها نحو96 في المائة</w:t>
      </w:r>
      <w:r w:rsidR="003D7EB4">
        <w:rPr>
          <w:rFonts w:hint="cs"/>
          <w:rtl/>
          <w:lang w:bidi="ar-EG"/>
        </w:rPr>
        <w:t>،</w:t>
      </w:r>
    </w:p>
    <w:p w:rsidR="00971AE2" w:rsidRDefault="00971AE2" w:rsidP="00A343DF">
      <w:pPr>
        <w:pStyle w:val="SingleTxt"/>
        <w:rPr>
          <w:rFonts w:hint="cs"/>
          <w:rtl/>
          <w:lang w:bidi="ar-EG"/>
        </w:rPr>
      </w:pPr>
      <w:r>
        <w:rPr>
          <w:rFonts w:hint="cs"/>
          <w:rtl/>
          <w:lang w:bidi="ar-EG"/>
        </w:rPr>
        <w:tab/>
        <w:t>ويرتبط ازدياد تأنث الفقر بعد موجود فرص للعمل وكذا مشاركة المرأة في عمليات اتخاذ القرار مع الافتقار إلى الوصول إلى الموارد الاقتصادية وملكية الأرض</w:t>
      </w:r>
      <w:r w:rsidR="003D7EB4">
        <w:rPr>
          <w:rFonts w:hint="cs"/>
          <w:rtl/>
          <w:lang w:bidi="ar-EG"/>
        </w:rPr>
        <w:t>،</w:t>
      </w:r>
      <w:r>
        <w:rPr>
          <w:rFonts w:hint="cs"/>
          <w:rtl/>
          <w:lang w:bidi="ar-EG"/>
        </w:rPr>
        <w:t xml:space="preserve"> ولم يُعترف حتى الآن تماما بالقطاع السكاني النسائي باعتباره قطاعا منتجا كما لم يدرج في الحسابات القومية العمل المنزلي الذي يؤدي إلى تحسين نوعية حياة كثير من الأسر</w:t>
      </w:r>
      <w:r w:rsidR="003D7EB4">
        <w:rPr>
          <w:rFonts w:hint="cs"/>
          <w:rtl/>
          <w:lang w:bidi="ar-EG"/>
        </w:rPr>
        <w:t>،</w:t>
      </w:r>
    </w:p>
    <w:p w:rsidR="00971AE2" w:rsidRDefault="00971AE2" w:rsidP="00A343DF">
      <w:pPr>
        <w:pStyle w:val="SingleTxt"/>
        <w:rPr>
          <w:rFonts w:hint="cs"/>
          <w:rtl/>
          <w:lang w:bidi="ar-EG"/>
        </w:rPr>
      </w:pPr>
      <w:r>
        <w:rPr>
          <w:rFonts w:hint="cs"/>
          <w:rtl/>
          <w:lang w:bidi="ar-EG"/>
        </w:rPr>
        <w:tab/>
        <w:t>وفيما يتعلق بإنشاء المؤسسات يمكن تأكيد أنه على الرغم من ازدياد عدد منظمات المشاريع فإن مشاركتهن في هذا المجال ما زالت محدودة</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عمل الأطفال</w:t>
      </w:r>
    </w:p>
    <w:p w:rsidR="00971AE2" w:rsidRDefault="00971AE2" w:rsidP="00A343DF">
      <w:pPr>
        <w:pStyle w:val="SingleTxt"/>
        <w:rPr>
          <w:rFonts w:hint="cs"/>
          <w:rtl/>
          <w:lang w:bidi="ar-EG"/>
        </w:rPr>
      </w:pPr>
      <w:r>
        <w:rPr>
          <w:rFonts w:hint="cs"/>
          <w:rtl/>
          <w:lang w:bidi="ar-EG"/>
        </w:rPr>
        <w:tab/>
        <w:t>تتعلق المعلومات المتصلة بالأطفال والمراهقين ضحايا الاستغلال الاقتصادي ومزاولة أي عمل كان من مفهومها الواسع للنشاط العمالي وتوجد في الدراسة الاستقصائية لسمات السكان الذين تتراوح أعمارهم بين 5 سنوات و17 سنة في كولومبيا التي أجرتها في تشرين الثاني/نوفمبر 2001 الإدارة الوطنية للإحصاء والبرنامج الدولي لاستئصال عمل الأطفال في كولومبيا وكذلك في الدراسة المتعلقة بالطفولة والمراهقة التي أجريت في سنة 1996 والدراسة الاستقصائية المتعلقة بنوعية الحياة التي اضطُلع بها في سنة 1997</w:t>
      </w:r>
      <w:r w:rsidR="003D7EB4">
        <w:rPr>
          <w:rFonts w:hint="cs"/>
          <w:rtl/>
          <w:lang w:bidi="ar-EG"/>
        </w:rPr>
        <w:t>،</w:t>
      </w:r>
    </w:p>
    <w:p w:rsidR="00971AE2" w:rsidRDefault="00971AE2" w:rsidP="00A343DF">
      <w:pPr>
        <w:pStyle w:val="SingleTxt"/>
        <w:rPr>
          <w:rFonts w:hint="cs"/>
          <w:rtl/>
          <w:lang w:bidi="ar-EG"/>
        </w:rPr>
      </w:pPr>
      <w:r>
        <w:rPr>
          <w:rFonts w:hint="cs"/>
          <w:rtl/>
          <w:lang w:bidi="ar-EG"/>
        </w:rPr>
        <w:tab/>
        <w:t>وفي الدراسة الاستقصائية لنوعية الحياة يظهر بصورة منتظمة نموذج عمل الأطفال بهدف إبقاء سمات الوضع حديثة وقياس أثر التدخلات</w:t>
      </w:r>
      <w:r w:rsidR="003D7EB4">
        <w:rPr>
          <w:rFonts w:hint="cs"/>
          <w:rtl/>
          <w:lang w:bidi="ar-EG"/>
        </w:rPr>
        <w:t>،</w:t>
      </w:r>
    </w:p>
    <w:p w:rsidR="00971AE2" w:rsidRDefault="00971AE2" w:rsidP="00A343DF">
      <w:pPr>
        <w:pStyle w:val="SingleTxt"/>
        <w:rPr>
          <w:rFonts w:hint="cs"/>
          <w:rtl/>
          <w:lang w:bidi="ar-EG"/>
        </w:rPr>
      </w:pPr>
      <w:r>
        <w:rPr>
          <w:rFonts w:hint="cs"/>
          <w:rtl/>
          <w:lang w:bidi="ar-EG"/>
        </w:rPr>
        <w:tab/>
        <w:t>وأبلغت الدراسة المتعلقة بسمات السكان الذين تتراوح أعمارهم بين 5 سنوات و17 سنة في البلد أنه يوجد ما مجموعه 000 568 1 طفل مراهق يمارسون مهنا بأجر أوبدون أجر في مجالات إنتاج السلع والخدمات للسوق</w:t>
      </w:r>
      <w:r w:rsidR="003D7EB4">
        <w:rPr>
          <w:rFonts w:hint="cs"/>
          <w:rtl/>
          <w:lang w:bidi="ar-EG"/>
        </w:rPr>
        <w:t>،</w:t>
      </w:r>
      <w:r>
        <w:rPr>
          <w:rFonts w:hint="cs"/>
          <w:rtl/>
          <w:lang w:bidi="ar-EG"/>
        </w:rPr>
        <w:t xml:space="preserve"> وهذه بيانات تشير إلى خطورة ظاهرة ارتباط الأطفال والمراهقين بالعمل على المستوى الوطني</w:t>
      </w:r>
      <w:r w:rsidR="003D7EB4">
        <w:rPr>
          <w:rFonts w:hint="cs"/>
          <w:rtl/>
          <w:lang w:bidi="ar-EG"/>
        </w:rPr>
        <w:t>،</w:t>
      </w:r>
      <w:r>
        <w:rPr>
          <w:rFonts w:hint="cs"/>
          <w:rtl/>
          <w:lang w:bidi="ar-EG"/>
        </w:rPr>
        <w:t xml:space="preserve"> كما سُجل 000 184 طفل ومراهق أبلغوا أنهم يبحثون عن عمل، وإذا أُضيف هذا العدد إلى عدد الذين يعملون فعلا يكون المجموع 000 752 1 شخص تتراوح أعمارهم بين 5 سنوات و17 سنة مرتبطين مباشرة بسوق العمل</w:t>
      </w:r>
      <w:r w:rsidR="003D7EB4">
        <w:rPr>
          <w:rFonts w:hint="cs"/>
          <w:rtl/>
          <w:lang w:bidi="ar-EG"/>
        </w:rPr>
        <w:t>،</w:t>
      </w:r>
    </w:p>
    <w:p w:rsidR="00971AE2" w:rsidRDefault="00971AE2" w:rsidP="00A343DF">
      <w:pPr>
        <w:pStyle w:val="SingleTxt"/>
        <w:rPr>
          <w:rFonts w:hint="cs"/>
          <w:rtl/>
          <w:lang w:bidi="ar-EG"/>
        </w:rPr>
      </w:pPr>
      <w:r>
        <w:rPr>
          <w:rFonts w:hint="cs"/>
          <w:rtl/>
          <w:lang w:bidi="ar-EG"/>
        </w:rPr>
        <w:tab/>
        <w:t>وفيما يتعلق بالفئات العمرية السائدة فإن نحو29</w:t>
      </w:r>
      <w:r w:rsidR="006F52A2">
        <w:rPr>
          <w:rFonts w:hint="cs"/>
          <w:rtl/>
          <w:lang w:bidi="ar-EG"/>
        </w:rPr>
        <w:t>.</w:t>
      </w:r>
      <w:r>
        <w:rPr>
          <w:rFonts w:hint="cs"/>
          <w:rtl/>
          <w:lang w:bidi="ar-EG"/>
        </w:rPr>
        <w:t>9 في المائة من الأطفال الذين يعملون تتراوح أعمارهم بين 15 و17 سنة، تليهم الفئة العمرية 12 إلى 14 سنة ونسبتها 19 في المائة، والفئة التي تتراوح بين 10 و11 سنة ونسبتهم 12</w:t>
      </w:r>
      <w:r w:rsidR="006F52A2">
        <w:rPr>
          <w:rFonts w:hint="cs"/>
          <w:rtl/>
          <w:lang w:bidi="ar-EG"/>
        </w:rPr>
        <w:t>.</w:t>
      </w:r>
      <w:r>
        <w:rPr>
          <w:rFonts w:hint="cs"/>
          <w:rtl/>
          <w:lang w:bidi="ar-EG"/>
        </w:rPr>
        <w:t>1 في المائة، والفئة التي تتراوح أعمارها بين 5 و9 سنوات وتبلغ نسبتها نحو5</w:t>
      </w:r>
      <w:r w:rsidR="006F52A2">
        <w:rPr>
          <w:rFonts w:hint="cs"/>
          <w:rtl/>
          <w:lang w:bidi="ar-EG"/>
        </w:rPr>
        <w:t>.</w:t>
      </w:r>
      <w:r>
        <w:rPr>
          <w:rFonts w:hint="cs"/>
          <w:rtl/>
          <w:lang w:bidi="ar-EG"/>
        </w:rPr>
        <w:t>1 في المائة</w:t>
      </w:r>
      <w:r w:rsidR="003D7EB4">
        <w:rPr>
          <w:rFonts w:hint="cs"/>
          <w:rtl/>
          <w:lang w:bidi="ar-EG"/>
        </w:rPr>
        <w:t>،</w:t>
      </w:r>
      <w:r>
        <w:rPr>
          <w:rFonts w:hint="cs"/>
          <w:rtl/>
          <w:lang w:bidi="ar-EG"/>
        </w:rPr>
        <w:t xml:space="preserve"> والمناطق التي توجد فيها أعلى معدلات لعمل الأطفال هي المنطقة المطلة على المحيط الهادئ وتبلغ النسبة فيها نحو18</w:t>
      </w:r>
      <w:r w:rsidR="006F52A2">
        <w:rPr>
          <w:rFonts w:hint="cs"/>
          <w:rtl/>
          <w:lang w:bidi="ar-EG"/>
        </w:rPr>
        <w:t>.</w:t>
      </w:r>
      <w:r>
        <w:rPr>
          <w:rFonts w:hint="cs"/>
          <w:rtl/>
          <w:lang w:bidi="ar-EG"/>
        </w:rPr>
        <w:t>5 في المائة، والمنطقة الشرقية وتبلغ النسبة فيها 16</w:t>
      </w:r>
      <w:r w:rsidR="006F52A2">
        <w:rPr>
          <w:rFonts w:hint="cs"/>
          <w:rtl/>
          <w:lang w:bidi="ar-EG"/>
        </w:rPr>
        <w:t>.</w:t>
      </w:r>
      <w:r>
        <w:rPr>
          <w:rFonts w:hint="cs"/>
          <w:rtl/>
          <w:lang w:bidi="ar-EG"/>
        </w:rPr>
        <w:t>4 في المائة، والمنطقة الوسطى وتبلغ النسبة فيها 15</w:t>
      </w:r>
      <w:r w:rsidR="006F52A2">
        <w:rPr>
          <w:rFonts w:hint="cs"/>
          <w:rtl/>
          <w:lang w:bidi="ar-EG"/>
        </w:rPr>
        <w:t>.</w:t>
      </w:r>
      <w:r>
        <w:rPr>
          <w:rFonts w:hint="cs"/>
          <w:rtl/>
          <w:lang w:bidi="ar-EG"/>
        </w:rPr>
        <w:t>6 في المائة، والمنطقة المطلة على المحيط الأطلسي وتبلغ النسبة فيها 13</w:t>
      </w:r>
      <w:r w:rsidR="006F52A2">
        <w:rPr>
          <w:rFonts w:hint="cs"/>
          <w:rtl/>
          <w:lang w:bidi="ar-EG"/>
        </w:rPr>
        <w:t>.</w:t>
      </w:r>
      <w:r>
        <w:rPr>
          <w:rFonts w:hint="cs"/>
          <w:rtl/>
          <w:lang w:bidi="ar-EG"/>
        </w:rPr>
        <w:t>8 في المائة، ومدينة بوغوتا وتناهز النسبة فيها 14</w:t>
      </w:r>
      <w:r w:rsidR="006F52A2">
        <w:rPr>
          <w:rFonts w:hint="cs"/>
          <w:rtl/>
          <w:lang w:bidi="ar-EG"/>
        </w:rPr>
        <w:t>.</w:t>
      </w:r>
      <w:r>
        <w:rPr>
          <w:rFonts w:hint="cs"/>
          <w:rtl/>
          <w:lang w:bidi="ar-EG"/>
        </w:rPr>
        <w:t>5 في المائة</w:t>
      </w:r>
      <w:r w:rsidR="003D7EB4">
        <w:rPr>
          <w:rFonts w:hint="cs"/>
          <w:rtl/>
          <w:lang w:bidi="ar-EG"/>
        </w:rPr>
        <w:t>،</w:t>
      </w:r>
    </w:p>
    <w:p w:rsidR="00971AE2" w:rsidRDefault="00971AE2" w:rsidP="00A343DF">
      <w:pPr>
        <w:pStyle w:val="SingleTxt"/>
        <w:rPr>
          <w:rFonts w:hint="cs"/>
          <w:rtl/>
          <w:lang w:bidi="ar-EG"/>
        </w:rPr>
      </w:pPr>
      <w:r>
        <w:rPr>
          <w:rFonts w:hint="cs"/>
          <w:rtl/>
          <w:lang w:bidi="ar-EG"/>
        </w:rPr>
        <w:tab/>
        <w:t>وفيما يتعلق بساعات العمل الأسبوعية فإن 61 في المائة يعملون لمدة أقل من 24 ساعة، و23</w:t>
      </w:r>
      <w:r w:rsidR="006F52A2">
        <w:rPr>
          <w:rFonts w:hint="cs"/>
          <w:rtl/>
          <w:lang w:bidi="ar-EG"/>
        </w:rPr>
        <w:t>.</w:t>
      </w:r>
      <w:r>
        <w:rPr>
          <w:rFonts w:hint="cs"/>
          <w:rtl/>
          <w:lang w:bidi="ar-EG"/>
        </w:rPr>
        <w:t>2 في المائة يعملون لعدد يتراوح بين 25 و48 ساعة و15</w:t>
      </w:r>
      <w:r w:rsidR="006F52A2">
        <w:rPr>
          <w:rFonts w:hint="cs"/>
          <w:rtl/>
          <w:lang w:bidi="ar-EG"/>
        </w:rPr>
        <w:t>.</w:t>
      </w:r>
      <w:r>
        <w:rPr>
          <w:rFonts w:hint="cs"/>
          <w:rtl/>
          <w:lang w:bidi="ar-EG"/>
        </w:rPr>
        <w:t>7 في المائة يعملون لعدد يتعدى 48 ساعة</w:t>
      </w:r>
      <w:r w:rsidR="003D7EB4">
        <w:rPr>
          <w:rFonts w:hint="cs"/>
          <w:rtl/>
          <w:lang w:bidi="ar-EG"/>
        </w:rPr>
        <w:t>،</w:t>
      </w:r>
      <w:r>
        <w:rPr>
          <w:rFonts w:hint="cs"/>
          <w:rtl/>
          <w:lang w:bidi="ar-EG"/>
        </w:rPr>
        <w:t xml:space="preserve"> و10 في المائة منهم عمال مستقلون، و35 في المائة عمال، و12 في المائة يساعدون بدون أجر، و19 في المائة يعملون مع أسرهم بدون أجر، و4 في المائة يعملون في المنازل</w:t>
      </w:r>
      <w:r w:rsidR="003D7EB4">
        <w:rPr>
          <w:rFonts w:hint="cs"/>
          <w:rtl/>
          <w:lang w:bidi="ar-EG"/>
        </w:rPr>
        <w:t>،</w:t>
      </w:r>
      <w:r>
        <w:rPr>
          <w:rFonts w:hint="cs"/>
          <w:rtl/>
          <w:lang w:bidi="ar-EG"/>
        </w:rPr>
        <w:t xml:space="preserve"> وفيما يتعلق بالأجر فإن الأرقام ذات الصلة هي كما يلي: 52 في المائة لا يحلون على أي أجر، و26 في المائة يحصلون على أجر يصل إلى رُبع الحد الأدنى القانوني الشهري للأجور، و16 في المائة بأجر يصل إلى نصف الحد الأدنى الشهري للأجور، و1 في المائة منهم فقط يحصل على أجر مساوللحد الأدنى للأجور</w:t>
      </w:r>
      <w:r w:rsidR="003D7EB4">
        <w:rPr>
          <w:rFonts w:hint="cs"/>
          <w:rtl/>
          <w:lang w:bidi="ar-EG"/>
        </w:rPr>
        <w:t>،</w:t>
      </w:r>
      <w:r>
        <w:rPr>
          <w:rFonts w:hint="cs"/>
          <w:rtl/>
          <w:lang w:bidi="ar-EG"/>
        </w:rPr>
        <w:t xml:space="preserve"> والعاملون الرئيسيون هم آباء وتبلغ نسبتهم نحو49</w:t>
      </w:r>
      <w:r w:rsidR="006F52A2">
        <w:rPr>
          <w:rFonts w:hint="cs"/>
          <w:rtl/>
          <w:lang w:bidi="ar-EG"/>
        </w:rPr>
        <w:t>.</w:t>
      </w:r>
      <w:r>
        <w:rPr>
          <w:rFonts w:hint="cs"/>
          <w:rtl/>
          <w:lang w:bidi="ar-EG"/>
        </w:rPr>
        <w:t>9 في المائة، وأقارب آخرون وتبلغ نسبتهم 16</w:t>
      </w:r>
      <w:r w:rsidR="006F52A2">
        <w:rPr>
          <w:rFonts w:hint="cs"/>
          <w:rtl/>
          <w:lang w:bidi="ar-EG"/>
        </w:rPr>
        <w:t>.</w:t>
      </w:r>
      <w:r>
        <w:rPr>
          <w:rFonts w:hint="cs"/>
          <w:rtl/>
          <w:lang w:bidi="ar-EG"/>
        </w:rPr>
        <w:t>3 في المائة تقريبا، وأشخاص آخرون غير الأقارب وتبلغ نسبتهم 23</w:t>
      </w:r>
      <w:r w:rsidR="006F52A2">
        <w:rPr>
          <w:rFonts w:hint="cs"/>
          <w:rtl/>
          <w:lang w:bidi="ar-EG"/>
        </w:rPr>
        <w:t>.</w:t>
      </w:r>
      <w:r>
        <w:rPr>
          <w:rFonts w:hint="cs"/>
          <w:rtl/>
          <w:lang w:bidi="ar-EG"/>
        </w:rPr>
        <w:t>8 في المائة، وأطفال مستقلون وتبلغ نسبتهم 10 في المائة تقريبا</w:t>
      </w:r>
      <w:r w:rsidR="003D7EB4">
        <w:rPr>
          <w:rFonts w:hint="cs"/>
          <w:rtl/>
          <w:lang w:bidi="ar-EG"/>
        </w:rPr>
        <w:t>،</w:t>
      </w:r>
    </w:p>
    <w:p w:rsidR="00971AE2" w:rsidRDefault="00971AE2" w:rsidP="00A343DF">
      <w:pPr>
        <w:pStyle w:val="SingleTxt"/>
        <w:rPr>
          <w:rFonts w:hint="cs"/>
          <w:rtl/>
          <w:lang w:bidi="ar-EG"/>
        </w:rPr>
      </w:pPr>
      <w:r>
        <w:rPr>
          <w:rFonts w:hint="cs"/>
          <w:rtl/>
          <w:lang w:bidi="ar-EG"/>
        </w:rPr>
        <w:tab/>
        <w:t>وفيما يتعلق بالتحاق الأطفال الذين يعملون بالمدارس بينت الدراسة الاستقصائية التي أجرتها الإدارة الوطنية للإحصاء أن 10</w:t>
      </w:r>
      <w:r w:rsidR="006F52A2">
        <w:rPr>
          <w:rFonts w:hint="cs"/>
          <w:rtl/>
          <w:lang w:bidi="ar-EG"/>
        </w:rPr>
        <w:t>.</w:t>
      </w:r>
      <w:r>
        <w:rPr>
          <w:rFonts w:hint="cs"/>
          <w:rtl/>
          <w:lang w:bidi="ar-EG"/>
        </w:rPr>
        <w:t>8 في المائة ممن يدرسون يمارسون عملا من الأعمال وأن 35</w:t>
      </w:r>
      <w:r w:rsidR="006F52A2">
        <w:rPr>
          <w:rFonts w:hint="cs"/>
          <w:rtl/>
          <w:lang w:bidi="ar-EG"/>
        </w:rPr>
        <w:t>.</w:t>
      </w:r>
      <w:r>
        <w:rPr>
          <w:rFonts w:hint="cs"/>
          <w:rtl/>
          <w:lang w:bidi="ar-EG"/>
        </w:rPr>
        <w:t>9 في المائة ممن يعملون لا يدرسون</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ومن بين الأسباب التي تدفع على العمل أسباب تتعلق بـ </w:t>
      </w:r>
      <w:r>
        <w:rPr>
          <w:rFonts w:hint="eastAsia"/>
          <w:rtl/>
          <w:lang w:bidi="ar-EG"/>
        </w:rPr>
        <w:t>”وجوب المشاركة في عمل الأسرة</w:t>
      </w:r>
      <w:r>
        <w:rPr>
          <w:rFonts w:hint="cs"/>
          <w:rtl/>
          <w:lang w:bidi="ar-EG"/>
        </w:rPr>
        <w:t>“</w:t>
      </w:r>
      <w:r w:rsidR="003D7EB4">
        <w:rPr>
          <w:rFonts w:hint="cs"/>
          <w:rtl/>
          <w:lang w:bidi="ar-EG"/>
        </w:rPr>
        <w:t>،</w:t>
      </w:r>
      <w:r>
        <w:rPr>
          <w:rFonts w:hint="cs"/>
          <w:rtl/>
          <w:lang w:bidi="ar-EG"/>
        </w:rPr>
        <w:t xml:space="preserve"> وتبلغ نسبة هذه الفئة نحو28</w:t>
      </w:r>
      <w:r w:rsidR="006F52A2">
        <w:rPr>
          <w:rFonts w:hint="cs"/>
          <w:rtl/>
          <w:lang w:bidi="ar-EG"/>
        </w:rPr>
        <w:t>.</w:t>
      </w:r>
      <w:r>
        <w:rPr>
          <w:rFonts w:hint="cs"/>
          <w:rtl/>
          <w:lang w:bidi="ar-EG"/>
        </w:rPr>
        <w:t>9 في المائة، والرغبة في الحصول على مال خاص بهم نسبة هذه الفئة 27</w:t>
      </w:r>
      <w:r w:rsidR="006F52A2">
        <w:rPr>
          <w:rFonts w:hint="cs"/>
          <w:rtl/>
          <w:lang w:bidi="ar-EG"/>
        </w:rPr>
        <w:t>.</w:t>
      </w:r>
      <w:r>
        <w:rPr>
          <w:rFonts w:hint="cs"/>
          <w:rtl/>
          <w:lang w:bidi="ar-EG"/>
        </w:rPr>
        <w:t xml:space="preserve">5 في المائة، </w:t>
      </w:r>
      <w:r>
        <w:rPr>
          <w:rFonts w:hint="eastAsia"/>
          <w:rtl/>
          <w:lang w:bidi="ar-EG"/>
        </w:rPr>
        <w:t>”ووجوب مساعدة الأسرة</w:t>
      </w:r>
      <w:r>
        <w:rPr>
          <w:rFonts w:hint="cs"/>
          <w:rtl/>
          <w:lang w:bidi="ar-EG"/>
        </w:rPr>
        <w:t>“ وتبلغ نسبة هؤلاء 16</w:t>
      </w:r>
      <w:r w:rsidR="006F52A2">
        <w:rPr>
          <w:rFonts w:hint="cs"/>
          <w:rtl/>
          <w:lang w:bidi="ar-EG"/>
        </w:rPr>
        <w:t>.</w:t>
      </w:r>
      <w:r>
        <w:rPr>
          <w:rFonts w:hint="cs"/>
          <w:rtl/>
          <w:lang w:bidi="ar-EG"/>
        </w:rPr>
        <w:t>1 في المائة، وفكرة أن العمل يجعلهم محترمين وتبلغ نسبة هؤلاء نحو1</w:t>
      </w:r>
      <w:r w:rsidR="006F52A2">
        <w:rPr>
          <w:rFonts w:hint="cs"/>
          <w:rtl/>
          <w:lang w:bidi="ar-EG"/>
        </w:rPr>
        <w:t>.</w:t>
      </w:r>
      <w:r>
        <w:rPr>
          <w:rFonts w:hint="cs"/>
          <w:rtl/>
          <w:lang w:bidi="ar-EG"/>
        </w:rPr>
        <w:t>4 في المائة، وأسباب أخرى تبلغ نسبة هذه الفئة نحو16</w:t>
      </w:r>
      <w:r w:rsidR="006F52A2">
        <w:rPr>
          <w:rFonts w:hint="cs"/>
          <w:rtl/>
          <w:lang w:bidi="ar-EG"/>
        </w:rPr>
        <w:t>.</w:t>
      </w:r>
      <w:r>
        <w:rPr>
          <w:rFonts w:hint="cs"/>
          <w:rtl/>
          <w:lang w:bidi="ar-EG"/>
        </w:rPr>
        <w:t>1 في المائة</w:t>
      </w:r>
      <w:r w:rsidR="003D7EB4">
        <w:rPr>
          <w:rFonts w:hint="cs"/>
          <w:rtl/>
          <w:lang w:bidi="ar-EG"/>
        </w:rPr>
        <w:t>،</w:t>
      </w:r>
    </w:p>
    <w:p w:rsidR="00971AE2" w:rsidRDefault="00971AE2" w:rsidP="00A343DF">
      <w:pPr>
        <w:pStyle w:val="SingleTxt"/>
        <w:rPr>
          <w:rFonts w:hint="cs"/>
          <w:rtl/>
          <w:lang w:bidi="ar-EG"/>
        </w:rPr>
      </w:pPr>
      <w:r>
        <w:rPr>
          <w:rFonts w:hint="cs"/>
          <w:rtl/>
          <w:lang w:bidi="ar-EG"/>
        </w:rPr>
        <w:tab/>
        <w:t>وتوجد أسباب كثيرة ترتبط بعمل الأطفال، بعضها يتعلق بعوامل ثقافية وخيالية عن أهمية العمل في تدريب الأطفال وتتعلق أسباب أخرى بعوامل اجتماعية واقتصادية تسوغ العمل باعتبار أنه يلبي احتياجات البطالة أويحمي من حالة سوء المعاملة والهجر، ضمن حالات أخرى</w:t>
      </w:r>
      <w:r w:rsidR="003D7EB4">
        <w:rPr>
          <w:rFonts w:hint="cs"/>
          <w:rtl/>
          <w:lang w:bidi="ar-EG"/>
        </w:rPr>
        <w:t>،</w:t>
      </w:r>
    </w:p>
    <w:p w:rsidR="00971AE2" w:rsidRDefault="00971AE2" w:rsidP="00A343DF">
      <w:pPr>
        <w:pStyle w:val="SingleTxt"/>
        <w:rPr>
          <w:rFonts w:hint="cs"/>
          <w:rtl/>
          <w:lang w:bidi="ar-EG"/>
        </w:rPr>
      </w:pPr>
      <w:r>
        <w:rPr>
          <w:rFonts w:hint="cs"/>
          <w:rtl/>
          <w:lang w:bidi="ar-EG"/>
        </w:rPr>
        <w:tab/>
        <w:t>تترتب على العمل نتائج وخيمة في دراسة الأطفال بالمدارس ويرتبط بمستويات مرتفعة من التسرب من المدرسة وانخفاض العائد وعدم المواظبة على الذهاب إلى المدرسة أوالأمية في بعض الحالات</w:t>
      </w:r>
      <w:r w:rsidR="003D7EB4">
        <w:rPr>
          <w:rFonts w:hint="cs"/>
          <w:rtl/>
          <w:lang w:bidi="ar-EG"/>
        </w:rPr>
        <w:t>،</w:t>
      </w:r>
      <w:r>
        <w:rPr>
          <w:rFonts w:hint="cs"/>
          <w:rtl/>
          <w:lang w:bidi="ar-EG"/>
        </w:rPr>
        <w:t xml:space="preserve"> وفيما يتعلق بهذا الموضوع تؤكد بعض الدراسات</w:t>
      </w:r>
      <w:r>
        <w:rPr>
          <w:rFonts w:hint="cs"/>
          <w:vertAlign w:val="superscript"/>
          <w:rtl/>
          <w:lang w:bidi="ar-EG"/>
        </w:rPr>
        <w:t>(</w:t>
      </w:r>
      <w:r w:rsidR="003D7EB4">
        <w:rPr>
          <w:rFonts w:hint="cs"/>
          <w:vertAlign w:val="superscript"/>
          <w:rtl/>
          <w:lang w:bidi="ar-EG"/>
        </w:rPr>
        <w:t>،،،</w:t>
      </w:r>
      <w:r>
        <w:rPr>
          <w:rFonts w:hint="cs"/>
          <w:vertAlign w:val="superscript"/>
          <w:rtl/>
          <w:lang w:bidi="ar-EG"/>
        </w:rPr>
        <w:t>)</w:t>
      </w:r>
      <w:r>
        <w:rPr>
          <w:rFonts w:hint="cs"/>
          <w:rtl/>
          <w:lang w:bidi="ar-EG"/>
        </w:rPr>
        <w:t xml:space="preserve"> أن نحو30 في المائة من المراهقين الذين تجاوزا سن الرابعة عشرة ويجمعون بين الدراسة والعمل يتركون نهائيا التدريب الدراسي</w:t>
      </w:r>
      <w:r w:rsidR="003D7EB4">
        <w:rPr>
          <w:rFonts w:hint="cs"/>
          <w:rtl/>
          <w:lang w:bidi="ar-EG"/>
        </w:rPr>
        <w:t>،</w:t>
      </w:r>
      <w:r>
        <w:rPr>
          <w:rFonts w:hint="cs"/>
          <w:rtl/>
          <w:lang w:bidi="ar-EG"/>
        </w:rPr>
        <w:t xml:space="preserve"> وفي حالة الفتيات اللائي يعملن في الخدمة المنزلية يتأخرون في المدرسة إلى 5 سنوات</w:t>
      </w:r>
      <w:r w:rsidR="003D7EB4">
        <w:rPr>
          <w:rFonts w:hint="cs"/>
          <w:rtl/>
          <w:lang w:bidi="ar-EG"/>
        </w:rPr>
        <w:t>،</w:t>
      </w:r>
    </w:p>
    <w:p w:rsidR="00971AE2" w:rsidRDefault="00971AE2" w:rsidP="00A343DF">
      <w:pPr>
        <w:pStyle w:val="SingleTxt"/>
        <w:rPr>
          <w:rFonts w:hint="cs"/>
          <w:rtl/>
          <w:lang w:bidi="ar-EG"/>
        </w:rPr>
      </w:pPr>
      <w:r>
        <w:rPr>
          <w:rFonts w:hint="cs"/>
          <w:rtl/>
          <w:lang w:bidi="ar-EG"/>
        </w:rPr>
        <w:tab/>
        <w:t>وترتبط نتائج أخرى بمشاكل جسدية وصحية والمزاولة المبكرة لممارسات لا تتناسب مع سنهم، مثل تعاطي المشروبات الكحولية أوالأمومة المبكرة</w:t>
      </w:r>
      <w:r w:rsidR="003D7EB4">
        <w:rPr>
          <w:rFonts w:hint="cs"/>
          <w:rtl/>
          <w:lang w:bidi="ar-EG"/>
        </w:rPr>
        <w:t>،</w:t>
      </w:r>
    </w:p>
    <w:p w:rsidR="00971AE2" w:rsidRDefault="00971AE2" w:rsidP="00A343DF">
      <w:pPr>
        <w:pStyle w:val="SingleTxt"/>
        <w:rPr>
          <w:rFonts w:hint="cs"/>
          <w:b/>
          <w:bCs/>
          <w:rtl/>
          <w:lang w:bidi="ar-EG"/>
        </w:rPr>
      </w:pPr>
      <w:r>
        <w:rPr>
          <w:rFonts w:hint="cs"/>
          <w:rtl/>
          <w:lang w:bidi="ar-EG"/>
        </w:rPr>
        <w:tab/>
      </w:r>
      <w:r>
        <w:rPr>
          <w:rFonts w:hint="cs"/>
          <w:b/>
          <w:bCs/>
          <w:rtl/>
          <w:lang w:bidi="ar-EG"/>
        </w:rPr>
        <w:t xml:space="preserve">ومراعاة لضخامة المشكلة اتجه عمل الدولة إلى تعزيز خطط العمل الوطنية والإقليمية للقضاء على عمل الأطفال عن طريق وضع استراتيجيات تتعلق بالتحري والتغيير الثقافي والتدخل المباشر لتحسين نوعية حياة القصر العاملين واتخاذ تدابير داعمة على أساس عمل مشترك بين المؤسسات مع منظمات دولية مثل </w:t>
      </w:r>
      <w:r>
        <w:rPr>
          <w:b/>
          <w:bCs/>
        </w:rPr>
        <w:t>OIM-</w:t>
      </w:r>
      <w:r>
        <w:rPr>
          <w:b/>
          <w:bCs/>
          <w:rtl/>
          <w:lang w:bidi="ar-EG"/>
        </w:rPr>
        <w:t>البرنامج الوطني للقضاء على عمل الأطفال</w:t>
      </w:r>
      <w:r>
        <w:rPr>
          <w:rFonts w:hint="cs"/>
          <w:b/>
          <w:bCs/>
          <w:rtl/>
          <w:lang w:bidi="ar-EG"/>
        </w:rPr>
        <w:t xml:space="preserve"> ومنظمات وطنية حكومية وغير حكومية</w:t>
      </w:r>
      <w:r w:rsidR="003D7EB4">
        <w:rPr>
          <w:rFonts w:hint="cs"/>
          <w:b/>
          <w:bCs/>
          <w:rtl/>
          <w:lang w:bidi="ar-EG"/>
        </w:rPr>
        <w:t>،</w:t>
      </w:r>
      <w:r>
        <w:rPr>
          <w:rFonts w:hint="cs"/>
          <w:b/>
          <w:bCs/>
          <w:rtl/>
          <w:lang w:bidi="ar-EG"/>
        </w:rPr>
        <w:t xml:space="preserve"> وقامت المؤسسة الكولومبية للرفاهية الأسرية عن طريق خدماتها الخارجية برعاية 414 1 طفلا في سنة 2002 يعانون من الاستغلال في العمل</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2-12</w:t>
      </w:r>
      <w:r>
        <w:rPr>
          <w:rFonts w:hint="cs"/>
          <w:b/>
          <w:bCs/>
          <w:rtl/>
          <w:lang w:bidi="ar-EG"/>
        </w:rPr>
        <w:tab/>
        <w:t>المادة 12</w:t>
      </w:r>
    </w:p>
    <w:p w:rsidR="00971AE2" w:rsidRDefault="00971AE2" w:rsidP="00A343DF">
      <w:pPr>
        <w:pStyle w:val="SingleTxt"/>
        <w:rPr>
          <w:rFonts w:hint="cs"/>
          <w:b/>
          <w:bCs/>
          <w:rtl/>
          <w:lang w:bidi="ar-EG"/>
        </w:rPr>
      </w:pPr>
      <w:r>
        <w:rPr>
          <w:rFonts w:hint="cs"/>
          <w:b/>
          <w:bCs/>
          <w:rtl/>
          <w:lang w:bidi="ar-EG"/>
        </w:rPr>
        <w:t>الصحة والتأمينات الاجتماعية</w:t>
      </w:r>
    </w:p>
    <w:p w:rsidR="00971AE2" w:rsidRDefault="00971AE2" w:rsidP="00A343DF">
      <w:pPr>
        <w:pStyle w:val="SingleTxt"/>
        <w:rPr>
          <w:rFonts w:hint="cs"/>
          <w:rtl/>
          <w:lang w:bidi="ar-EG"/>
        </w:rPr>
      </w:pPr>
      <w:r>
        <w:rPr>
          <w:rFonts w:hint="cs"/>
          <w:b/>
          <w:bCs/>
          <w:rtl/>
          <w:lang w:bidi="ar-EG"/>
        </w:rPr>
        <w:tab/>
      </w:r>
      <w:r>
        <w:rPr>
          <w:rFonts w:hint="cs"/>
          <w:rtl/>
          <w:lang w:bidi="ar-EG"/>
        </w:rPr>
        <w:t xml:space="preserve">تتفق هذه المادة مع </w:t>
      </w:r>
      <w:r>
        <w:rPr>
          <w:rFonts w:hint="cs"/>
          <w:b/>
          <w:bCs/>
          <w:rtl/>
          <w:lang w:bidi="ar-EG"/>
        </w:rPr>
        <w:t>التوصية العامة رقم 14</w:t>
      </w:r>
      <w:r>
        <w:rPr>
          <w:rFonts w:hint="cs"/>
          <w:rtl/>
          <w:lang w:bidi="ar-EG"/>
        </w:rPr>
        <w:t xml:space="preserve"> المتعلقة بالقضاء على ختان الإناث وغيره من الممارسات التقليدية الضارة بصحة المرأة، </w:t>
      </w:r>
      <w:r>
        <w:rPr>
          <w:rFonts w:hint="cs"/>
          <w:b/>
          <w:bCs/>
          <w:rtl/>
          <w:lang w:bidi="ar-EG"/>
        </w:rPr>
        <w:t>والتوصية العامة رقم 15</w:t>
      </w:r>
      <w:r>
        <w:rPr>
          <w:rFonts w:hint="cs"/>
          <w:rtl/>
          <w:lang w:bidi="ar-EG"/>
        </w:rPr>
        <w:t xml:space="preserve"> المتعلقة بضرورة تلافي التمييز ضد المرأة في الاستراتيجيات الوطنية للتدابير الواقعية ومكافحة متلازمة نقص المناعة البشرية المكتسب (الإيدز)</w:t>
      </w:r>
      <w:r>
        <w:rPr>
          <w:rFonts w:hint="cs"/>
          <w:vertAlign w:val="superscript"/>
          <w:rtl/>
          <w:lang w:bidi="ar-EG"/>
        </w:rPr>
        <w:t>(103)</w:t>
      </w:r>
      <w:r>
        <w:rPr>
          <w:rFonts w:hint="cs"/>
          <w:rtl/>
          <w:lang w:bidi="ar-EG"/>
        </w:rPr>
        <w:t xml:space="preserve">، </w:t>
      </w:r>
      <w:r>
        <w:rPr>
          <w:rFonts w:hint="cs"/>
          <w:b/>
          <w:bCs/>
          <w:rtl/>
          <w:lang w:bidi="ar-EG"/>
        </w:rPr>
        <w:t>والتوصية العامة رقم 19</w:t>
      </w:r>
      <w:r>
        <w:rPr>
          <w:rFonts w:hint="cs"/>
          <w:vertAlign w:val="superscript"/>
          <w:rtl/>
          <w:lang w:bidi="ar-EG"/>
        </w:rPr>
        <w:t>(104)</w:t>
      </w:r>
      <w:r>
        <w:rPr>
          <w:rFonts w:hint="cs"/>
          <w:rtl/>
          <w:lang w:bidi="ar-EG"/>
        </w:rPr>
        <w:t xml:space="preserve"> المتعلقة بالعنف ضد المرأة ولا سيما المساواة في مجال الخدمات الصحية والممارسات الثقافية الضارة بصحة المرأة، </w:t>
      </w:r>
      <w:r>
        <w:rPr>
          <w:rFonts w:hint="cs"/>
          <w:b/>
          <w:bCs/>
          <w:rtl/>
          <w:lang w:bidi="ar-EG"/>
        </w:rPr>
        <w:t>والتوصية العامة رقم 24</w:t>
      </w:r>
      <w:r>
        <w:rPr>
          <w:rFonts w:hint="cs"/>
          <w:rtl/>
          <w:lang w:bidi="ar-EG"/>
        </w:rPr>
        <w:t xml:space="preserve"> المتعلقة بالمرأة والصحة</w:t>
      </w:r>
      <w:r>
        <w:rPr>
          <w:rFonts w:hint="cs"/>
          <w:vertAlign w:val="superscript"/>
          <w:rtl/>
          <w:lang w:bidi="ar-EG"/>
        </w:rPr>
        <w:t>(105)</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المنجزات التشريعية</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971AE2" w:rsidRPr="00307BCE">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971AE2" w:rsidRPr="00307BCE"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307BCE">
              <w:rPr>
                <w:rFonts w:hint="cs"/>
                <w:i/>
                <w:iCs/>
                <w:sz w:val="24"/>
                <w:szCs w:val="24"/>
                <w:rtl/>
              </w:rPr>
              <w:t>القاعدة</w:t>
            </w:r>
          </w:p>
        </w:tc>
        <w:tc>
          <w:tcPr>
            <w:tcW w:w="4917" w:type="dxa"/>
            <w:tcBorders>
              <w:top w:val="single" w:sz="4" w:space="0" w:color="auto"/>
              <w:bottom w:val="single" w:sz="12" w:space="0" w:color="auto"/>
            </w:tcBorders>
            <w:vAlign w:val="bottom"/>
          </w:tcPr>
          <w:p w:rsidR="00971AE2" w:rsidRPr="00307BCE"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307BCE">
              <w:rPr>
                <w:rFonts w:hint="cs"/>
                <w:i/>
                <w:iCs/>
                <w:sz w:val="24"/>
                <w:szCs w:val="24"/>
                <w:rtl/>
              </w:rPr>
              <w:t>الموضوع</w:t>
            </w:r>
          </w:p>
        </w:tc>
      </w:tr>
      <w:tr w:rsidR="00971AE2" w:rsidRPr="00307BCE">
        <w:tblPrEx>
          <w:tblCellMar>
            <w:top w:w="0" w:type="dxa"/>
            <w:bottom w:w="0" w:type="dxa"/>
          </w:tblCellMar>
        </w:tblPrEx>
        <w:trPr>
          <w:cantSplit/>
          <w:trHeight w:hRule="exact" w:val="115"/>
          <w:tblHeader/>
        </w:trPr>
        <w:tc>
          <w:tcPr>
            <w:tcW w:w="2403" w:type="dxa"/>
            <w:tcBorders>
              <w:top w:val="single" w:sz="12" w:space="0" w:color="auto"/>
            </w:tcBorders>
            <w:vAlign w:val="bottom"/>
          </w:tcPr>
          <w:p w:rsidR="00971AE2" w:rsidRPr="00307BCE"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4917" w:type="dxa"/>
            <w:tcBorders>
              <w:top w:val="single" w:sz="12" w:space="0" w:color="auto"/>
            </w:tcBorders>
            <w:vAlign w:val="bottom"/>
          </w:tcPr>
          <w:p w:rsidR="00971AE2" w:rsidRPr="00307BCE"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307BCE">
        <w:tblPrEx>
          <w:tblCellMar>
            <w:top w:w="0" w:type="dxa"/>
            <w:bottom w:w="0" w:type="dxa"/>
          </w:tblCellMar>
        </w:tblPrEx>
        <w:trPr>
          <w:cantSplit/>
        </w:trPr>
        <w:tc>
          <w:tcPr>
            <w:tcW w:w="2403" w:type="dxa"/>
          </w:tcPr>
          <w:p w:rsidR="00971AE2" w:rsidRPr="00307BCE"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307BCE">
              <w:rPr>
                <w:rFonts w:hint="cs"/>
                <w:sz w:val="24"/>
                <w:szCs w:val="24"/>
                <w:rtl/>
              </w:rPr>
              <w:t>القانون رقم 509 لسنة 1999</w:t>
            </w:r>
          </w:p>
        </w:tc>
        <w:tc>
          <w:tcPr>
            <w:tcW w:w="4917" w:type="dxa"/>
          </w:tcPr>
          <w:p w:rsidR="00971AE2" w:rsidRPr="00307BCE"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307BCE">
              <w:rPr>
                <w:rFonts w:hint="cs"/>
                <w:sz w:val="24"/>
                <w:szCs w:val="24"/>
                <w:rtl/>
              </w:rPr>
              <w:t>يدشن مستحقات لصالح الأمهات المجتمعيات في مجال التأمينات الاجتماعية ويمنح إعانة تقاعد</w:t>
            </w:r>
            <w:r w:rsidR="003D7EB4">
              <w:rPr>
                <w:rFonts w:hint="cs"/>
                <w:sz w:val="24"/>
                <w:szCs w:val="24"/>
                <w:rtl/>
              </w:rPr>
              <w:t>،</w:t>
            </w:r>
          </w:p>
        </w:tc>
      </w:tr>
      <w:tr w:rsidR="00971AE2" w:rsidRPr="00307BCE">
        <w:tblPrEx>
          <w:tblCellMar>
            <w:top w:w="0" w:type="dxa"/>
            <w:bottom w:w="0" w:type="dxa"/>
          </w:tblCellMar>
        </w:tblPrEx>
        <w:trPr>
          <w:cantSplit/>
        </w:trPr>
        <w:tc>
          <w:tcPr>
            <w:tcW w:w="2403" w:type="dxa"/>
          </w:tcPr>
          <w:p w:rsidR="00971AE2" w:rsidRPr="00307BCE"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307BCE">
              <w:rPr>
                <w:rFonts w:hint="cs"/>
                <w:sz w:val="24"/>
                <w:szCs w:val="24"/>
                <w:rtl/>
              </w:rPr>
              <w:t>القرار رقم 412 لسنة 2000</w:t>
            </w:r>
          </w:p>
          <w:p w:rsidR="00971AE2" w:rsidRPr="00307BCE"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307BCE">
              <w:rPr>
                <w:rFonts w:hint="cs"/>
                <w:sz w:val="24"/>
                <w:szCs w:val="24"/>
                <w:rtl/>
              </w:rPr>
              <w:t>وزارة الرعاية الاجتماعية</w:t>
            </w:r>
          </w:p>
        </w:tc>
        <w:tc>
          <w:tcPr>
            <w:tcW w:w="4917" w:type="dxa"/>
          </w:tcPr>
          <w:p w:rsidR="00971AE2" w:rsidRPr="00307BCE"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307BCE">
              <w:rPr>
                <w:rFonts w:hint="cs"/>
                <w:sz w:val="24"/>
                <w:szCs w:val="24"/>
                <w:rtl/>
              </w:rPr>
              <w:t>يتعلق بتنفيذ قواعد رعاية المرأة في مجال تنظيم الأسرة</w:t>
            </w:r>
            <w:r w:rsidR="003D7EB4">
              <w:rPr>
                <w:rFonts w:hint="cs"/>
                <w:sz w:val="24"/>
                <w:szCs w:val="24"/>
                <w:rtl/>
              </w:rPr>
              <w:t>،</w:t>
            </w:r>
          </w:p>
        </w:tc>
      </w:tr>
      <w:tr w:rsidR="00971AE2" w:rsidRPr="00307BCE">
        <w:tblPrEx>
          <w:tblCellMar>
            <w:top w:w="0" w:type="dxa"/>
            <w:bottom w:w="0" w:type="dxa"/>
          </w:tblCellMar>
        </w:tblPrEx>
        <w:trPr>
          <w:cantSplit/>
        </w:trPr>
        <w:tc>
          <w:tcPr>
            <w:tcW w:w="2403" w:type="dxa"/>
          </w:tcPr>
          <w:p w:rsidR="00971AE2" w:rsidRPr="00307BCE"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307BCE">
              <w:rPr>
                <w:rFonts w:hint="cs"/>
                <w:sz w:val="24"/>
                <w:szCs w:val="24"/>
                <w:rtl/>
              </w:rPr>
              <w:t>المرسوم رقم 047 لسنة 2000</w:t>
            </w:r>
          </w:p>
        </w:tc>
        <w:tc>
          <w:tcPr>
            <w:tcW w:w="4917" w:type="dxa"/>
          </w:tcPr>
          <w:p w:rsidR="00971AE2" w:rsidRPr="00307BCE"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307BCE">
              <w:rPr>
                <w:rFonts w:hint="cs"/>
                <w:sz w:val="24"/>
                <w:szCs w:val="24"/>
                <w:rtl/>
              </w:rPr>
              <w:t>أحكام متعلقة بنظام الانتساب إلى التأمينات الاجتماعية الصحية</w:t>
            </w:r>
            <w:r w:rsidR="003D7EB4">
              <w:rPr>
                <w:rFonts w:hint="cs"/>
                <w:sz w:val="24"/>
                <w:szCs w:val="24"/>
                <w:rtl/>
              </w:rPr>
              <w:t>،</w:t>
            </w:r>
            <w:r w:rsidRPr="00307BCE">
              <w:rPr>
                <w:rFonts w:hint="cs"/>
                <w:sz w:val="24"/>
                <w:szCs w:val="24"/>
                <w:rtl/>
              </w:rPr>
              <w:t xml:space="preserve"> والمادة 12 المتعلقة بانضمام العاملين في الخدمة المنزلية إلى النظام على أساس الاشتراك؛ والمادة 17 والمواد التالية المتعلقة بنظام انتساب الأمهات المجتمعيات</w:t>
            </w:r>
            <w:r w:rsidR="003D7EB4">
              <w:rPr>
                <w:rFonts w:hint="cs"/>
                <w:sz w:val="24"/>
                <w:szCs w:val="24"/>
                <w:rtl/>
              </w:rPr>
              <w:t>،</w:t>
            </w:r>
          </w:p>
        </w:tc>
      </w:tr>
      <w:tr w:rsidR="00971AE2" w:rsidRPr="00307BCE">
        <w:tblPrEx>
          <w:tblCellMar>
            <w:top w:w="0" w:type="dxa"/>
            <w:bottom w:w="0" w:type="dxa"/>
          </w:tblCellMar>
        </w:tblPrEx>
        <w:trPr>
          <w:cantSplit/>
        </w:trPr>
        <w:tc>
          <w:tcPr>
            <w:tcW w:w="2403" w:type="dxa"/>
          </w:tcPr>
          <w:p w:rsidR="00971AE2" w:rsidRPr="00307BCE"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307BCE">
              <w:rPr>
                <w:rFonts w:hint="cs"/>
                <w:sz w:val="24"/>
                <w:szCs w:val="24"/>
                <w:rtl/>
              </w:rPr>
              <w:t>القانون رقم 599 لسنة 2000</w:t>
            </w:r>
          </w:p>
        </w:tc>
        <w:tc>
          <w:tcPr>
            <w:tcW w:w="4917" w:type="dxa"/>
          </w:tcPr>
          <w:p w:rsidR="00971AE2" w:rsidRPr="00307BCE"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307BCE">
              <w:rPr>
                <w:rFonts w:hint="cs"/>
                <w:sz w:val="24"/>
                <w:szCs w:val="24"/>
                <w:rtl/>
              </w:rPr>
              <w:t>يكرس قواعد بشأن الإصابات التي تلحق بالجنين</w:t>
            </w:r>
            <w:r w:rsidRPr="00307BCE">
              <w:rPr>
                <w:rFonts w:hint="cs"/>
                <w:sz w:val="24"/>
                <w:szCs w:val="24"/>
                <w:vertAlign w:val="superscript"/>
                <w:rtl/>
              </w:rPr>
              <w:t>(106)</w:t>
            </w:r>
            <w:r w:rsidRPr="00307BCE">
              <w:rPr>
                <w:rFonts w:hint="cs"/>
                <w:sz w:val="24"/>
                <w:szCs w:val="24"/>
                <w:rtl/>
              </w:rPr>
              <w:t>، ومعالجة الجينات</w:t>
            </w:r>
            <w:r w:rsidRPr="00307BCE">
              <w:rPr>
                <w:rFonts w:hint="cs"/>
                <w:sz w:val="24"/>
                <w:szCs w:val="24"/>
                <w:vertAlign w:val="superscript"/>
                <w:rtl/>
              </w:rPr>
              <w:t>(107)</w:t>
            </w:r>
            <w:r w:rsidRPr="00307BCE">
              <w:rPr>
                <w:rFonts w:hint="cs"/>
                <w:sz w:val="24"/>
                <w:szCs w:val="24"/>
                <w:rtl/>
              </w:rPr>
              <w:t>، والجرائم المرتكبة ضد الحرية الجنسية والسلامة الجنسية والتدريب الجنسي</w:t>
            </w:r>
            <w:r w:rsidRPr="00307BCE">
              <w:rPr>
                <w:rFonts w:hint="cs"/>
                <w:sz w:val="24"/>
                <w:szCs w:val="24"/>
                <w:vertAlign w:val="superscript"/>
                <w:rtl/>
              </w:rPr>
              <w:t>(108)</w:t>
            </w:r>
            <w:r w:rsidRPr="00307BCE">
              <w:rPr>
                <w:rFonts w:hint="cs"/>
                <w:sz w:val="24"/>
                <w:szCs w:val="24"/>
                <w:rtl/>
              </w:rPr>
              <w:t>، والإجهاض</w:t>
            </w:r>
            <w:r w:rsidR="003D7EB4">
              <w:rPr>
                <w:rFonts w:hint="cs"/>
                <w:sz w:val="24"/>
                <w:szCs w:val="24"/>
                <w:rtl/>
              </w:rPr>
              <w:t>،</w:t>
            </w:r>
          </w:p>
        </w:tc>
      </w:tr>
      <w:tr w:rsidR="00971AE2" w:rsidRPr="00307BCE">
        <w:tblPrEx>
          <w:tblCellMar>
            <w:top w:w="0" w:type="dxa"/>
            <w:bottom w:w="0" w:type="dxa"/>
          </w:tblCellMar>
        </w:tblPrEx>
        <w:trPr>
          <w:cantSplit/>
        </w:trPr>
        <w:tc>
          <w:tcPr>
            <w:tcW w:w="2403" w:type="dxa"/>
          </w:tcPr>
          <w:p w:rsidR="00971AE2" w:rsidRPr="00307BCE"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307BCE">
              <w:rPr>
                <w:rFonts w:hint="cs"/>
                <w:sz w:val="24"/>
                <w:szCs w:val="24"/>
                <w:rtl/>
              </w:rPr>
              <w:t>القانون رقم 715 لسنة 2001</w:t>
            </w:r>
          </w:p>
        </w:tc>
        <w:tc>
          <w:tcPr>
            <w:tcW w:w="4917" w:type="dxa"/>
          </w:tcPr>
          <w:p w:rsidR="00971AE2" w:rsidRPr="00307BCE"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307BCE">
              <w:rPr>
                <w:rFonts w:hint="cs"/>
                <w:sz w:val="24"/>
                <w:szCs w:val="24"/>
                <w:rtl/>
              </w:rPr>
              <w:t>ينص على واجب ضمان أن تكون الصحة العامة حقا في خدمة الشعب كله ولا سيما الأطفال، حسب معايير المساواة والكفاءة والاستدامة المالية</w:t>
            </w:r>
            <w:r w:rsidR="003D7EB4">
              <w:rPr>
                <w:rFonts w:hint="cs"/>
                <w:sz w:val="24"/>
                <w:szCs w:val="24"/>
                <w:rtl/>
              </w:rPr>
              <w:t>،</w:t>
            </w:r>
          </w:p>
        </w:tc>
      </w:tr>
      <w:tr w:rsidR="00971AE2" w:rsidRPr="00307BCE">
        <w:tblPrEx>
          <w:tblCellMar>
            <w:top w:w="0" w:type="dxa"/>
            <w:bottom w:w="0" w:type="dxa"/>
          </w:tblCellMar>
        </w:tblPrEx>
        <w:trPr>
          <w:cantSplit/>
        </w:trPr>
        <w:tc>
          <w:tcPr>
            <w:tcW w:w="2403" w:type="dxa"/>
          </w:tcPr>
          <w:p w:rsidR="00971AE2" w:rsidRPr="00307BCE"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307BCE">
              <w:rPr>
                <w:rFonts w:hint="cs"/>
                <w:sz w:val="24"/>
                <w:szCs w:val="24"/>
                <w:rtl/>
              </w:rPr>
              <w:t>القانون رقم 740 لسنة 2003</w:t>
            </w:r>
          </w:p>
        </w:tc>
        <w:tc>
          <w:tcPr>
            <w:tcW w:w="4917" w:type="dxa"/>
          </w:tcPr>
          <w:p w:rsidR="00971AE2" w:rsidRPr="00307BCE" w:rsidRDefault="00971AE2" w:rsidP="00A343DF">
            <w:pPr>
              <w:tabs>
                <w:tab w:val="left" w:pos="288"/>
                <w:tab w:val="left" w:pos="576"/>
                <w:tab w:val="left" w:pos="864"/>
                <w:tab w:val="left" w:pos="1152"/>
              </w:tabs>
              <w:spacing w:before="40" w:after="80" w:line="240" w:lineRule="exact"/>
              <w:ind w:right="144"/>
              <w:jc w:val="lowKashida"/>
              <w:rPr>
                <w:rFonts w:hint="eastAsia"/>
                <w:sz w:val="24"/>
                <w:szCs w:val="24"/>
                <w:rtl/>
              </w:rPr>
            </w:pPr>
            <w:r w:rsidRPr="00307BCE">
              <w:rPr>
                <w:rFonts w:hint="cs"/>
                <w:sz w:val="24"/>
                <w:szCs w:val="24"/>
                <w:rtl/>
              </w:rPr>
              <w:t xml:space="preserve">يعتمد </w:t>
            </w:r>
            <w:r w:rsidRPr="00307BCE">
              <w:rPr>
                <w:rFonts w:hint="eastAsia"/>
                <w:sz w:val="24"/>
                <w:szCs w:val="24"/>
                <w:rtl/>
              </w:rPr>
              <w:t>”</w:t>
            </w:r>
            <w:r w:rsidRPr="00307BCE">
              <w:rPr>
                <w:rFonts w:hint="cs"/>
                <w:sz w:val="24"/>
                <w:szCs w:val="24"/>
                <w:rtl/>
              </w:rPr>
              <w:t>بروتوكول قرطاج المتعلق بأمن التكنولوجيا الحيوية الملحق باتفاقية التنوع البيولوجي</w:t>
            </w:r>
            <w:r w:rsidRPr="00307BCE">
              <w:rPr>
                <w:rFonts w:hint="eastAsia"/>
                <w:sz w:val="24"/>
                <w:szCs w:val="24"/>
                <w:rtl/>
              </w:rPr>
              <w:t>“، الموقع في مونتريال في 29 كانون الثاني/يناير 2000</w:t>
            </w:r>
            <w:r w:rsidR="003D7EB4">
              <w:rPr>
                <w:rFonts w:hint="eastAsia"/>
                <w:sz w:val="24"/>
                <w:szCs w:val="24"/>
                <w:rtl/>
              </w:rPr>
              <w:t>،</w:t>
            </w:r>
          </w:p>
        </w:tc>
      </w:tr>
      <w:tr w:rsidR="00971AE2" w:rsidRPr="00307BCE">
        <w:tblPrEx>
          <w:tblCellMar>
            <w:top w:w="0" w:type="dxa"/>
            <w:bottom w:w="0" w:type="dxa"/>
          </w:tblCellMar>
        </w:tblPrEx>
        <w:trPr>
          <w:cantSplit/>
        </w:trPr>
        <w:tc>
          <w:tcPr>
            <w:tcW w:w="2403" w:type="dxa"/>
            <w:tcBorders>
              <w:bottom w:val="single" w:sz="12" w:space="0" w:color="auto"/>
            </w:tcBorders>
          </w:tcPr>
          <w:p w:rsidR="00971AE2" w:rsidRPr="00307BCE"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307BCE">
              <w:rPr>
                <w:rFonts w:hint="cs"/>
                <w:sz w:val="24"/>
                <w:szCs w:val="24"/>
                <w:rtl/>
              </w:rPr>
              <w:t>القانون رقم 797 لسنة 2003</w:t>
            </w:r>
          </w:p>
        </w:tc>
        <w:tc>
          <w:tcPr>
            <w:tcW w:w="4917" w:type="dxa"/>
            <w:tcBorders>
              <w:bottom w:val="single" w:sz="12" w:space="0" w:color="auto"/>
            </w:tcBorders>
          </w:tcPr>
          <w:p w:rsidR="00971AE2" w:rsidRPr="00307BCE"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307BCE">
              <w:rPr>
                <w:rFonts w:hint="cs"/>
                <w:sz w:val="24"/>
                <w:szCs w:val="24"/>
                <w:rtl/>
              </w:rPr>
              <w:t>يعدل القانون رقم 100 جزئيا</w:t>
            </w:r>
            <w:r w:rsidR="003D7EB4">
              <w:rPr>
                <w:rFonts w:hint="cs"/>
                <w:sz w:val="24"/>
                <w:szCs w:val="24"/>
                <w:rtl/>
              </w:rPr>
              <w:t>،</w:t>
            </w:r>
            <w:r w:rsidRPr="00307BCE">
              <w:rPr>
                <w:rFonts w:hint="cs"/>
                <w:sz w:val="24"/>
                <w:szCs w:val="24"/>
                <w:rtl/>
              </w:rPr>
              <w:t xml:space="preserve"> ويعتمد أحكاما تتعلق بنظم المعاشات التقاعدية الخاصة والاستثنائية؛ ورفع سن التقاعد وأساليب الاشتراك؛ ويقسم المعاش التقاعدي بين الرفيقة الدائمة والزوجة السابقة حسب نسبة مدة المعاشرة</w:t>
            </w:r>
            <w:r w:rsidR="003D7EB4">
              <w:rPr>
                <w:rFonts w:hint="cs"/>
                <w:sz w:val="24"/>
                <w:szCs w:val="24"/>
                <w:rtl/>
              </w:rPr>
              <w:t>،</w:t>
            </w:r>
          </w:p>
        </w:tc>
      </w:tr>
    </w:tbl>
    <w:p w:rsidR="00971AE2" w:rsidRDefault="00971AE2" w:rsidP="00A343DF">
      <w:pPr>
        <w:pStyle w:val="SingleTxt"/>
        <w:spacing w:after="0" w:line="120" w:lineRule="exact"/>
        <w:rPr>
          <w:rFonts w:hint="cs"/>
          <w:sz w:val="10"/>
          <w:rtl/>
          <w:lang w:bidi="ar-EG"/>
        </w:rPr>
      </w:pPr>
    </w:p>
    <w:p w:rsidR="00971AE2" w:rsidRDefault="00971AE2" w:rsidP="00A343DF">
      <w:pPr>
        <w:pStyle w:val="SingleTxt"/>
        <w:rPr>
          <w:rFonts w:hint="cs"/>
          <w:b/>
          <w:bCs/>
          <w:rtl/>
          <w:lang w:bidi="ar-EG"/>
        </w:rPr>
      </w:pPr>
      <w:r>
        <w:rPr>
          <w:rFonts w:hint="cs"/>
          <w:b/>
          <w:bCs/>
          <w:rtl/>
          <w:lang w:bidi="ar-EG"/>
        </w:rPr>
        <w:t>المنجزات القضائية</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4917"/>
      </w:tblGrid>
      <w:tr w:rsidR="00971AE2" w:rsidRPr="001049E8">
        <w:tblPrEx>
          <w:tblCellMar>
            <w:top w:w="0" w:type="dxa"/>
            <w:bottom w:w="0" w:type="dxa"/>
          </w:tblCellMar>
        </w:tblPrEx>
        <w:trPr>
          <w:cantSplit/>
          <w:tblHeader/>
        </w:trPr>
        <w:tc>
          <w:tcPr>
            <w:tcW w:w="2403" w:type="dxa"/>
            <w:tcBorders>
              <w:top w:val="single" w:sz="4" w:space="0" w:color="auto"/>
              <w:bottom w:val="single" w:sz="12" w:space="0" w:color="auto"/>
            </w:tcBorders>
            <w:vAlign w:val="bottom"/>
          </w:tcPr>
          <w:p w:rsidR="00971AE2" w:rsidRPr="001049E8"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1049E8">
              <w:rPr>
                <w:rFonts w:hint="cs"/>
                <w:i/>
                <w:iCs/>
                <w:sz w:val="24"/>
                <w:szCs w:val="24"/>
                <w:rtl/>
              </w:rPr>
              <w:t>القاعدة</w:t>
            </w:r>
          </w:p>
        </w:tc>
        <w:tc>
          <w:tcPr>
            <w:tcW w:w="4917" w:type="dxa"/>
            <w:tcBorders>
              <w:top w:val="single" w:sz="4" w:space="0" w:color="auto"/>
              <w:bottom w:val="single" w:sz="12" w:space="0" w:color="auto"/>
            </w:tcBorders>
            <w:vAlign w:val="bottom"/>
          </w:tcPr>
          <w:p w:rsidR="00971AE2" w:rsidRPr="001049E8"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1049E8">
              <w:rPr>
                <w:rFonts w:hint="cs"/>
                <w:i/>
                <w:iCs/>
                <w:sz w:val="24"/>
                <w:szCs w:val="24"/>
                <w:rtl/>
              </w:rPr>
              <w:t>الموضوع</w:t>
            </w:r>
          </w:p>
        </w:tc>
      </w:tr>
      <w:tr w:rsidR="00971AE2" w:rsidRPr="001049E8">
        <w:tblPrEx>
          <w:tblCellMar>
            <w:top w:w="0" w:type="dxa"/>
            <w:bottom w:w="0" w:type="dxa"/>
          </w:tblCellMar>
        </w:tblPrEx>
        <w:trPr>
          <w:cantSplit/>
          <w:trHeight w:hRule="exact" w:val="115"/>
          <w:tblHeader/>
        </w:trPr>
        <w:tc>
          <w:tcPr>
            <w:tcW w:w="2403" w:type="dxa"/>
            <w:tcBorders>
              <w:top w:val="single" w:sz="12" w:space="0" w:color="auto"/>
            </w:tcBorders>
            <w:vAlign w:val="bottom"/>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4917" w:type="dxa"/>
            <w:tcBorders>
              <w:top w:val="single" w:sz="12" w:space="0" w:color="auto"/>
            </w:tcBorders>
            <w:vAlign w:val="bottom"/>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1049E8">
        <w:tblPrEx>
          <w:tblCellMar>
            <w:top w:w="0" w:type="dxa"/>
            <w:bottom w:w="0" w:type="dxa"/>
          </w:tblCellMar>
        </w:tblPrEx>
        <w:trPr>
          <w:cantSplit/>
        </w:trPr>
        <w:tc>
          <w:tcPr>
            <w:tcW w:w="2403" w:type="dxa"/>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 xml:space="preserve">الحكم رقم </w:t>
            </w:r>
            <w:r w:rsidRPr="001049E8">
              <w:t>SU-337</w:t>
            </w:r>
            <w:r w:rsidRPr="001049E8">
              <w:rPr>
                <w:rFonts w:hint="cs"/>
                <w:sz w:val="24"/>
                <w:szCs w:val="24"/>
                <w:rtl/>
              </w:rPr>
              <w:t xml:space="preserve"> لسنة 1999، و</w:t>
            </w:r>
            <w:r w:rsidRPr="001049E8">
              <w:t>T-692</w:t>
            </w:r>
            <w:r w:rsidRPr="001049E8">
              <w:rPr>
                <w:rFonts w:hint="cs"/>
                <w:sz w:val="24"/>
                <w:szCs w:val="24"/>
                <w:rtl/>
              </w:rPr>
              <w:t xml:space="preserve"> لسنة 1999، و</w:t>
            </w:r>
            <w:r w:rsidRPr="001049E8">
              <w:t>T-1390</w:t>
            </w:r>
            <w:r w:rsidRPr="001049E8">
              <w:rPr>
                <w:rFonts w:hint="cs"/>
                <w:sz w:val="24"/>
                <w:szCs w:val="24"/>
                <w:rtl/>
              </w:rPr>
              <w:t xml:space="preserve"> لسنة 2000</w:t>
            </w:r>
          </w:p>
        </w:tc>
        <w:tc>
          <w:tcPr>
            <w:tcW w:w="4917" w:type="dxa"/>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بشأن الاتصال الجنسي والرعاية الصحية اللازمة للأمراض التي تنتقل بالاتصال الجنسي والاهتمام بإيجاد تعريف للهوية الجنسية البيولوجية اعتبارا من سن مبكر</w:t>
            </w:r>
            <w:r w:rsidR="003D7EB4">
              <w:rPr>
                <w:rFonts w:hint="cs"/>
                <w:sz w:val="24"/>
                <w:szCs w:val="24"/>
                <w:rtl/>
              </w:rPr>
              <w:t>،</w:t>
            </w:r>
          </w:p>
        </w:tc>
      </w:tr>
      <w:tr w:rsidR="00971AE2" w:rsidRPr="001049E8">
        <w:tblPrEx>
          <w:tblCellMar>
            <w:top w:w="0" w:type="dxa"/>
            <w:bottom w:w="0" w:type="dxa"/>
          </w:tblCellMar>
        </w:tblPrEx>
        <w:trPr>
          <w:cantSplit/>
        </w:trPr>
        <w:tc>
          <w:tcPr>
            <w:tcW w:w="2403" w:type="dxa"/>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 xml:space="preserve">الحكم رقم </w:t>
            </w:r>
            <w:r w:rsidRPr="001049E8">
              <w:t>SU-90</w:t>
            </w:r>
            <w:r w:rsidRPr="001049E8">
              <w:rPr>
                <w:rFonts w:hint="cs"/>
                <w:sz w:val="24"/>
                <w:szCs w:val="24"/>
                <w:rtl/>
              </w:rPr>
              <w:t xml:space="preserve"> لسنة 2000</w:t>
            </w:r>
          </w:p>
        </w:tc>
        <w:tc>
          <w:tcPr>
            <w:tcW w:w="4917" w:type="dxa"/>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الحق في الحياة والحد الأدنى الحيوي وصحة المتقاعدين الذين أضيروا بعدم صرف المعاشات التقاعدية لـ 11 امرأة مع معاش بديل، 4 منهن تجاوزن سن الخامسة والخمسين واثنتان تبلغان من العمر 54 سنة</w:t>
            </w:r>
            <w:r w:rsidR="003D7EB4">
              <w:rPr>
                <w:rFonts w:hint="cs"/>
                <w:sz w:val="24"/>
                <w:szCs w:val="24"/>
                <w:rtl/>
              </w:rPr>
              <w:t>،</w:t>
            </w:r>
          </w:p>
        </w:tc>
      </w:tr>
      <w:tr w:rsidR="00971AE2" w:rsidRPr="001049E8">
        <w:tblPrEx>
          <w:tblCellMar>
            <w:top w:w="0" w:type="dxa"/>
            <w:bottom w:w="0" w:type="dxa"/>
          </w:tblCellMar>
        </w:tblPrEx>
        <w:trPr>
          <w:cantSplit/>
        </w:trPr>
        <w:tc>
          <w:tcPr>
            <w:tcW w:w="2403" w:type="dxa"/>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 xml:space="preserve">الحكم رقم </w:t>
            </w:r>
            <w:r w:rsidRPr="001049E8">
              <w:t>T-391</w:t>
            </w:r>
            <w:r w:rsidRPr="001049E8">
              <w:rPr>
                <w:rFonts w:hint="cs"/>
                <w:sz w:val="24"/>
                <w:szCs w:val="24"/>
                <w:rtl/>
              </w:rPr>
              <w:t xml:space="preserve"> لسنة 2001</w:t>
            </w:r>
          </w:p>
        </w:tc>
        <w:tc>
          <w:tcPr>
            <w:tcW w:w="4917" w:type="dxa"/>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ينص على حماية حقوق رئيسات الأسر من الانتهاك وعلى حصولهن على مرتبات وسلف لتصفية المؤسسة</w:t>
            </w:r>
            <w:r w:rsidR="003D7EB4">
              <w:rPr>
                <w:rFonts w:hint="cs"/>
                <w:sz w:val="24"/>
                <w:szCs w:val="24"/>
                <w:rtl/>
              </w:rPr>
              <w:t>،</w:t>
            </w:r>
          </w:p>
        </w:tc>
      </w:tr>
      <w:tr w:rsidR="00971AE2" w:rsidRPr="001049E8">
        <w:tblPrEx>
          <w:tblCellMar>
            <w:top w:w="0" w:type="dxa"/>
            <w:bottom w:w="0" w:type="dxa"/>
          </w:tblCellMar>
        </w:tblPrEx>
        <w:trPr>
          <w:cantSplit/>
        </w:trPr>
        <w:tc>
          <w:tcPr>
            <w:tcW w:w="2403" w:type="dxa"/>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الحكم رقم</w:t>
            </w:r>
            <w:r w:rsidRPr="001049E8">
              <w:rPr>
                <w:rFonts w:hint="cs"/>
                <w:rtl/>
              </w:rPr>
              <w:t xml:space="preserve"> </w:t>
            </w:r>
            <w:r w:rsidRPr="001049E8">
              <w:t>T-467</w:t>
            </w:r>
            <w:r w:rsidRPr="001049E8">
              <w:rPr>
                <w:rFonts w:hint="cs"/>
                <w:sz w:val="24"/>
                <w:szCs w:val="24"/>
                <w:rtl/>
              </w:rPr>
              <w:t xml:space="preserve"> لسنة 2001</w:t>
            </w:r>
          </w:p>
        </w:tc>
        <w:tc>
          <w:tcPr>
            <w:tcW w:w="4917" w:type="dxa"/>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حماية خاصة ومؤقتة للأمومة، ما يعني الحامل المرفوتة ويعيد إدماجها في العمل بعقد محدد الأجل</w:t>
            </w:r>
            <w:r w:rsidR="003D7EB4">
              <w:rPr>
                <w:rFonts w:hint="cs"/>
                <w:sz w:val="24"/>
                <w:szCs w:val="24"/>
                <w:rtl/>
              </w:rPr>
              <w:t>،</w:t>
            </w:r>
          </w:p>
        </w:tc>
      </w:tr>
      <w:tr w:rsidR="00971AE2" w:rsidRPr="001049E8">
        <w:tblPrEx>
          <w:tblCellMar>
            <w:top w:w="0" w:type="dxa"/>
            <w:bottom w:w="0" w:type="dxa"/>
          </w:tblCellMar>
        </w:tblPrEx>
        <w:trPr>
          <w:cantSplit/>
        </w:trPr>
        <w:tc>
          <w:tcPr>
            <w:tcW w:w="2403" w:type="dxa"/>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 xml:space="preserve">الحكمان رقم </w:t>
            </w:r>
            <w:r w:rsidRPr="001049E8">
              <w:t>C-467</w:t>
            </w:r>
            <w:r w:rsidRPr="001049E8">
              <w:rPr>
                <w:rFonts w:hint="cs"/>
                <w:sz w:val="24"/>
                <w:szCs w:val="24"/>
                <w:rtl/>
              </w:rPr>
              <w:t xml:space="preserve"> لسنة 2001 و</w:t>
            </w:r>
            <w:r w:rsidRPr="001049E8">
              <w:t>C-198</w:t>
            </w:r>
            <w:r w:rsidRPr="001049E8">
              <w:rPr>
                <w:rFonts w:hint="cs"/>
                <w:rtl/>
              </w:rPr>
              <w:t xml:space="preserve"> </w:t>
            </w:r>
            <w:r w:rsidRPr="001049E8">
              <w:rPr>
                <w:rFonts w:hint="cs"/>
                <w:sz w:val="24"/>
                <w:szCs w:val="24"/>
                <w:rtl/>
              </w:rPr>
              <w:t>لسنة 2002</w:t>
            </w:r>
          </w:p>
        </w:tc>
        <w:tc>
          <w:tcPr>
            <w:tcW w:w="4917" w:type="dxa"/>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قراران بشأن الدستورية يعلنان تنفيذ الفقرة الواردة في المادة 124 من القانون رقم 599 لسنة 2000 تعاقب على الإجهاض</w:t>
            </w:r>
            <w:r w:rsidR="003D7EB4">
              <w:rPr>
                <w:rFonts w:hint="cs"/>
                <w:sz w:val="24"/>
                <w:szCs w:val="24"/>
                <w:rtl/>
              </w:rPr>
              <w:t>،</w:t>
            </w:r>
          </w:p>
        </w:tc>
      </w:tr>
      <w:tr w:rsidR="00971AE2" w:rsidRPr="001049E8">
        <w:tblPrEx>
          <w:tblCellMar>
            <w:top w:w="0" w:type="dxa"/>
            <w:bottom w:w="0" w:type="dxa"/>
          </w:tblCellMar>
        </w:tblPrEx>
        <w:trPr>
          <w:cantSplit/>
        </w:trPr>
        <w:tc>
          <w:tcPr>
            <w:tcW w:w="2403" w:type="dxa"/>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 xml:space="preserve">الحكم رقم </w:t>
            </w:r>
            <w:r w:rsidRPr="001049E8">
              <w:t>T-676</w:t>
            </w:r>
            <w:r w:rsidRPr="001049E8">
              <w:rPr>
                <w:rFonts w:hint="cs"/>
                <w:sz w:val="24"/>
                <w:szCs w:val="24"/>
                <w:rtl/>
              </w:rPr>
              <w:t xml:space="preserve"> لسنة 2002</w:t>
            </w:r>
          </w:p>
        </w:tc>
        <w:tc>
          <w:tcPr>
            <w:tcW w:w="4917" w:type="dxa"/>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 xml:space="preserve">ينشئ حماية لكي يطلب أن يدفع </w:t>
            </w:r>
            <w:r w:rsidRPr="001049E8">
              <w:t>EPS</w:t>
            </w:r>
            <w:r w:rsidRPr="001049E8">
              <w:rPr>
                <w:rFonts w:hint="cs"/>
                <w:sz w:val="24"/>
                <w:szCs w:val="24"/>
                <w:rtl/>
              </w:rPr>
              <w:t xml:space="preserve"> تكاليف المعالجة الطبية للمرضى الذين تحدث مضاعفات بعد جراحات التجميل التي تجرى لهم، تؤدي، في جملة أمور، إلى بتر الساق</w:t>
            </w:r>
            <w:r w:rsidR="003D7EB4">
              <w:rPr>
                <w:rFonts w:hint="cs"/>
                <w:sz w:val="24"/>
                <w:szCs w:val="24"/>
                <w:rtl/>
              </w:rPr>
              <w:t>،</w:t>
            </w:r>
            <w:r w:rsidRPr="001049E8">
              <w:rPr>
                <w:rFonts w:hint="cs"/>
                <w:sz w:val="24"/>
                <w:szCs w:val="24"/>
                <w:rtl/>
              </w:rPr>
              <w:t xml:space="preserve"> وقد رُفضت الحماية لأن هذا النوع من العلاجات مستبعد من </w:t>
            </w:r>
            <w:r w:rsidRPr="001049E8">
              <w:t>POS</w:t>
            </w:r>
            <w:r w:rsidR="003D7EB4">
              <w:rPr>
                <w:rFonts w:hint="cs"/>
                <w:sz w:val="24"/>
                <w:szCs w:val="24"/>
                <w:rtl/>
              </w:rPr>
              <w:t>،</w:t>
            </w:r>
          </w:p>
        </w:tc>
      </w:tr>
      <w:tr w:rsidR="00971AE2" w:rsidRPr="001049E8">
        <w:tblPrEx>
          <w:tblCellMar>
            <w:top w:w="0" w:type="dxa"/>
            <w:bottom w:w="0" w:type="dxa"/>
          </w:tblCellMar>
        </w:tblPrEx>
        <w:trPr>
          <w:cantSplit/>
        </w:trPr>
        <w:tc>
          <w:tcPr>
            <w:tcW w:w="2403" w:type="dxa"/>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 xml:space="preserve">الحكم رقم </w:t>
            </w:r>
            <w:r w:rsidRPr="001049E8">
              <w:t>T-935</w:t>
            </w:r>
            <w:r w:rsidRPr="001049E8">
              <w:rPr>
                <w:rFonts w:hint="cs"/>
                <w:sz w:val="24"/>
                <w:szCs w:val="24"/>
                <w:rtl/>
              </w:rPr>
              <w:t xml:space="preserve"> لسنة 2001</w:t>
            </w:r>
          </w:p>
        </w:tc>
        <w:tc>
          <w:tcPr>
            <w:tcW w:w="4917" w:type="dxa"/>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 xml:space="preserve">يأمر </w:t>
            </w:r>
            <w:r w:rsidRPr="001049E8">
              <w:t>EPS</w:t>
            </w:r>
            <w:r w:rsidRPr="001049E8">
              <w:rPr>
                <w:rFonts w:hint="cs"/>
                <w:sz w:val="24"/>
                <w:szCs w:val="24"/>
                <w:rtl/>
              </w:rPr>
              <w:t xml:space="preserve"> بتعديل موعد جراحة تجميل لأنها لازمة للصحة وليست تجميلية</w:t>
            </w:r>
            <w:r w:rsidR="003D7EB4">
              <w:rPr>
                <w:rFonts w:hint="cs"/>
                <w:sz w:val="24"/>
                <w:szCs w:val="24"/>
                <w:rtl/>
              </w:rPr>
              <w:t>،</w:t>
            </w:r>
          </w:p>
        </w:tc>
      </w:tr>
      <w:tr w:rsidR="00971AE2" w:rsidRPr="001049E8">
        <w:tblPrEx>
          <w:tblCellMar>
            <w:top w:w="0" w:type="dxa"/>
            <w:bottom w:w="0" w:type="dxa"/>
          </w:tblCellMar>
        </w:tblPrEx>
        <w:trPr>
          <w:cantSplit/>
        </w:trPr>
        <w:tc>
          <w:tcPr>
            <w:tcW w:w="2403" w:type="dxa"/>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الحكم رقم 11245 لسنة 1999</w:t>
            </w:r>
          </w:p>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محكمة العدل العليا</w:t>
            </w:r>
          </w:p>
        </w:tc>
        <w:tc>
          <w:tcPr>
            <w:tcW w:w="4917" w:type="dxa"/>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يعترف بحق الرفيقة الدائمة التي عاشرت رفيقها لمدة 20 عاما بالحصول على المعاش التقاعدي وليس الرفيقة التي لم تعش مع المتوفي</w:t>
            </w:r>
            <w:r w:rsidR="003D7EB4">
              <w:rPr>
                <w:rFonts w:hint="cs"/>
                <w:sz w:val="24"/>
                <w:szCs w:val="24"/>
                <w:rtl/>
              </w:rPr>
              <w:t>،</w:t>
            </w:r>
            <w:r w:rsidRPr="001049E8">
              <w:rPr>
                <w:rFonts w:hint="cs"/>
                <w:sz w:val="24"/>
                <w:szCs w:val="24"/>
                <w:rtl/>
              </w:rPr>
              <w:t xml:space="preserve"> وكان هذا حكما تاريخيا فتح باب مناقشة نظام الزواج في بلد تجري فيه المعاشرات فعليا دون حل الزيجات المدنية</w:t>
            </w:r>
            <w:r w:rsidR="003D7EB4">
              <w:rPr>
                <w:rFonts w:hint="cs"/>
                <w:sz w:val="24"/>
                <w:szCs w:val="24"/>
                <w:rtl/>
              </w:rPr>
              <w:t>،</w:t>
            </w:r>
            <w:r w:rsidRPr="001049E8">
              <w:rPr>
                <w:rFonts w:hint="cs"/>
                <w:sz w:val="24"/>
                <w:szCs w:val="24"/>
                <w:rtl/>
              </w:rPr>
              <w:t xml:space="preserve"> وقد حكمت المحكمة في مناسبات متكررة بتقاسم المعاش بين المرأتين اللتين تبقيان على قيد الحياة بعد وفاة الرجل، إحداهما بصفتها زوجة والأخرى باعتبارها رفيقة دائمة</w:t>
            </w:r>
            <w:r w:rsidR="003D7EB4">
              <w:rPr>
                <w:rFonts w:hint="cs"/>
                <w:sz w:val="24"/>
                <w:szCs w:val="24"/>
                <w:rtl/>
              </w:rPr>
              <w:t>،</w:t>
            </w:r>
          </w:p>
        </w:tc>
      </w:tr>
      <w:tr w:rsidR="00971AE2" w:rsidRPr="001049E8">
        <w:tblPrEx>
          <w:tblCellMar>
            <w:top w:w="0" w:type="dxa"/>
            <w:bottom w:w="0" w:type="dxa"/>
          </w:tblCellMar>
        </w:tblPrEx>
        <w:trPr>
          <w:cantSplit/>
        </w:trPr>
        <w:tc>
          <w:tcPr>
            <w:tcW w:w="2403" w:type="dxa"/>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الحكم رقم 12123 لسنة 2000</w:t>
            </w:r>
          </w:p>
          <w:p w:rsidR="00971AE2" w:rsidRPr="001049E8" w:rsidRDefault="00971AE2" w:rsidP="00A343DF">
            <w:pPr>
              <w:tabs>
                <w:tab w:val="left" w:pos="288"/>
                <w:tab w:val="left" w:pos="576"/>
                <w:tab w:val="left" w:pos="864"/>
                <w:tab w:val="left" w:pos="1152"/>
              </w:tabs>
              <w:spacing w:before="40" w:after="80" w:line="240" w:lineRule="exact"/>
              <w:ind w:right="40"/>
              <w:jc w:val="lowKashida"/>
              <w:rPr>
                <w:sz w:val="24"/>
                <w:szCs w:val="24"/>
              </w:rPr>
            </w:pPr>
            <w:r w:rsidRPr="001049E8">
              <w:rPr>
                <w:sz w:val="24"/>
                <w:szCs w:val="24"/>
              </w:rPr>
              <w:t>C</w:t>
            </w:r>
            <w:r w:rsidR="003D7EB4">
              <w:rPr>
                <w:sz w:val="24"/>
                <w:szCs w:val="24"/>
                <w:rtl/>
              </w:rPr>
              <w:t>،</w:t>
            </w:r>
            <w:r w:rsidRPr="001049E8">
              <w:rPr>
                <w:sz w:val="24"/>
                <w:szCs w:val="24"/>
              </w:rPr>
              <w:t>E</w:t>
            </w:r>
            <w:r w:rsidR="003D7EB4">
              <w:rPr>
                <w:sz w:val="24"/>
                <w:szCs w:val="24"/>
                <w:rtl/>
              </w:rPr>
              <w:t>،</w:t>
            </w:r>
          </w:p>
        </w:tc>
        <w:tc>
          <w:tcPr>
            <w:tcW w:w="4917" w:type="dxa"/>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بشأن المسؤولية الطبية في مجال التوليد</w:t>
            </w:r>
            <w:r w:rsidR="003D7EB4">
              <w:rPr>
                <w:rFonts w:hint="cs"/>
                <w:sz w:val="24"/>
                <w:szCs w:val="24"/>
                <w:rtl/>
              </w:rPr>
              <w:t>،</w:t>
            </w:r>
            <w:r w:rsidRPr="001049E8">
              <w:rPr>
                <w:rFonts w:hint="cs"/>
                <w:sz w:val="24"/>
                <w:szCs w:val="24"/>
                <w:rtl/>
              </w:rPr>
              <w:t xml:space="preserve"> وقد أعلن المسؤولية عن الإهمال في خدمة </w:t>
            </w:r>
            <w:r w:rsidRPr="001049E8">
              <w:t>EPS</w:t>
            </w:r>
            <w:r w:rsidRPr="001049E8">
              <w:rPr>
                <w:rFonts w:hint="cs"/>
                <w:sz w:val="24"/>
                <w:szCs w:val="24"/>
                <w:rtl/>
              </w:rPr>
              <w:t xml:space="preserve"> لعدم معالجة امرأة في عملية ولادة وأتاحت الفحوص تقرير انفجار الرحم وانه لم تقدم لها الرعاية في الوقت المناسب كإجراء جراحة قيصرية عاجلة وأدى ذلك إلى إصابة المرأة والمولود بأضرار لا سبيل إلى علاجها</w:t>
            </w:r>
            <w:r w:rsidR="003D7EB4">
              <w:rPr>
                <w:rFonts w:hint="cs"/>
                <w:sz w:val="24"/>
                <w:szCs w:val="24"/>
                <w:rtl/>
              </w:rPr>
              <w:t>،</w:t>
            </w:r>
          </w:p>
        </w:tc>
      </w:tr>
      <w:tr w:rsidR="00971AE2" w:rsidRPr="001049E8">
        <w:tblPrEx>
          <w:tblCellMar>
            <w:top w:w="0" w:type="dxa"/>
            <w:bottom w:w="0" w:type="dxa"/>
          </w:tblCellMar>
        </w:tblPrEx>
        <w:trPr>
          <w:cantSplit/>
        </w:trPr>
        <w:tc>
          <w:tcPr>
            <w:tcW w:w="2403" w:type="dxa"/>
            <w:tcBorders>
              <w:bottom w:val="single" w:sz="12" w:space="0" w:color="auto"/>
            </w:tcBorders>
          </w:tcPr>
          <w:p w:rsidR="00971AE2" w:rsidRPr="001049E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1049E8">
              <w:rPr>
                <w:rFonts w:hint="cs"/>
                <w:sz w:val="24"/>
                <w:szCs w:val="24"/>
                <w:rtl/>
              </w:rPr>
              <w:t xml:space="preserve">الحكم رقم 4555 لسنة 2001 </w:t>
            </w:r>
          </w:p>
          <w:p w:rsidR="00971AE2" w:rsidRPr="001049E8" w:rsidRDefault="00971AE2" w:rsidP="00A343DF">
            <w:pPr>
              <w:tabs>
                <w:tab w:val="left" w:pos="288"/>
                <w:tab w:val="left" w:pos="576"/>
                <w:tab w:val="left" w:pos="864"/>
                <w:tab w:val="left" w:pos="1152"/>
              </w:tabs>
              <w:spacing w:before="40" w:after="80" w:line="240" w:lineRule="exact"/>
              <w:ind w:right="40"/>
              <w:jc w:val="lowKashida"/>
              <w:rPr>
                <w:szCs w:val="20"/>
              </w:rPr>
            </w:pPr>
            <w:r w:rsidRPr="001049E8">
              <w:rPr>
                <w:szCs w:val="20"/>
              </w:rPr>
              <w:t>C</w:t>
            </w:r>
            <w:r w:rsidR="003D7EB4">
              <w:rPr>
                <w:szCs w:val="20"/>
                <w:rtl/>
              </w:rPr>
              <w:t>،</w:t>
            </w:r>
            <w:r w:rsidRPr="001049E8">
              <w:rPr>
                <w:szCs w:val="20"/>
              </w:rPr>
              <w:t>E</w:t>
            </w:r>
          </w:p>
        </w:tc>
        <w:tc>
          <w:tcPr>
            <w:tcW w:w="4917" w:type="dxa"/>
            <w:tcBorders>
              <w:bottom w:val="single" w:sz="12" w:space="0" w:color="auto"/>
            </w:tcBorders>
          </w:tcPr>
          <w:p w:rsidR="00971AE2" w:rsidRPr="001049E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1049E8">
              <w:rPr>
                <w:rFonts w:hint="cs"/>
                <w:sz w:val="24"/>
                <w:szCs w:val="24"/>
                <w:rtl/>
              </w:rPr>
              <w:t>طُلب بطلان المادة 40 من المرسوم رقم 1543 لسنة 1997 التي تحظر إجراء فحوص فيروس نقص المناعة البشرية (الإيدز) أوالأمراض الأخرى التي تنتقل بالاتصال الجنسي باعتبار ذلك شرطا للالتحاق بالهيئات الطبية المدفوعة مسبقا أوالمؤمنة أوالمروجة أوالمقدمة للخدمات الصحية</w:t>
            </w:r>
            <w:r w:rsidR="003D7EB4">
              <w:rPr>
                <w:rFonts w:hint="cs"/>
                <w:sz w:val="24"/>
                <w:szCs w:val="24"/>
                <w:rtl/>
              </w:rPr>
              <w:t>،</w:t>
            </w:r>
            <w:r w:rsidRPr="001049E8">
              <w:rPr>
                <w:rFonts w:hint="cs"/>
                <w:sz w:val="24"/>
                <w:szCs w:val="24"/>
                <w:rtl/>
              </w:rPr>
              <w:t xml:space="preserve"> وأبقت المحكمة على القاعدة</w:t>
            </w:r>
            <w:r w:rsidR="003D7EB4">
              <w:rPr>
                <w:rFonts w:hint="cs"/>
                <w:sz w:val="24"/>
                <w:szCs w:val="24"/>
                <w:rtl/>
              </w:rPr>
              <w:t>،</w:t>
            </w:r>
          </w:p>
        </w:tc>
      </w:tr>
    </w:tbl>
    <w:p w:rsidR="00971AE2" w:rsidRDefault="00971AE2" w:rsidP="00A343DF">
      <w:pPr>
        <w:pStyle w:val="SingleTxt"/>
        <w:spacing w:after="0" w:line="120" w:lineRule="exact"/>
        <w:rPr>
          <w:rFonts w:hint="cs"/>
          <w:sz w:val="10"/>
          <w:rtl/>
        </w:rPr>
      </w:pPr>
    </w:p>
    <w:p w:rsidR="00971AE2" w:rsidRDefault="00971AE2" w:rsidP="00A343DF">
      <w:pPr>
        <w:pStyle w:val="SingleTxt"/>
        <w:rPr>
          <w:rFonts w:hint="cs"/>
          <w:b/>
          <w:bCs/>
          <w:rtl/>
          <w:lang w:bidi="ar-EG"/>
        </w:rPr>
      </w:pPr>
      <w:r>
        <w:rPr>
          <w:rFonts w:hint="cs"/>
          <w:b/>
          <w:bCs/>
          <w:rtl/>
          <w:lang w:bidi="ar-EG"/>
        </w:rPr>
        <w:t>التوصية الخاصة رقم 18: عدم قمع الإجهاض باعتباره تصرفا غير مشروع</w:t>
      </w:r>
      <w:r w:rsidR="003D7EB4">
        <w:rPr>
          <w:rFonts w:hint="cs"/>
          <w:b/>
          <w:bCs/>
          <w:rtl/>
          <w:lang w:bidi="ar-EG"/>
        </w:rPr>
        <w:t>،</w:t>
      </w:r>
      <w:r>
        <w:rPr>
          <w:rFonts w:hint="cs"/>
          <w:b/>
          <w:bCs/>
          <w:rtl/>
          <w:lang w:bidi="ar-EG"/>
        </w:rPr>
        <w:t xml:space="preserve"> تضمين إحصاءات عن معدلات وفيات الأمهات مصنفة حسب المنطقة</w:t>
      </w:r>
    </w:p>
    <w:p w:rsidR="00971AE2" w:rsidRDefault="00971AE2" w:rsidP="00A343DF">
      <w:pPr>
        <w:pStyle w:val="SingleTxt"/>
        <w:rPr>
          <w:rFonts w:hint="cs"/>
          <w:rtl/>
          <w:lang w:bidi="ar-EG"/>
        </w:rPr>
      </w:pPr>
      <w:r>
        <w:rPr>
          <w:rFonts w:hint="cs"/>
          <w:rtl/>
          <w:lang w:bidi="ar-EG"/>
        </w:rPr>
        <w:tab/>
        <w:t>يوجد في كولومبيا وصف جنائي لجريمة الإجهاض في المواج 122 و123 و124 من القانون الجنائي، والقانون 599 لسنة 2000</w:t>
      </w:r>
      <w:r>
        <w:rPr>
          <w:rFonts w:hint="cs"/>
          <w:vertAlign w:val="superscript"/>
          <w:rtl/>
          <w:lang w:bidi="ar-EG"/>
        </w:rPr>
        <w:t>(109)</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وبالرغم مما سبق فقد أعفى القاضي الشخص الذي ارتكب هذا الفعل الذي يعاقب عليه القانون من أي مسؤولية نظرا لظروف استثنائية غير عادية، لأنه وفقا للتحليل الذي ذكرته المحكمة الدستورية في الحكم </w:t>
      </w:r>
      <w:r>
        <w:t>C-647</w:t>
      </w:r>
      <w:r>
        <w:rPr>
          <w:rFonts w:hint="cs"/>
          <w:rtl/>
          <w:lang w:bidi="ar-EG"/>
        </w:rPr>
        <w:t xml:space="preserve"> لسنة 2001 يستطيع القاضي الإعفاء من العقوبة في حالة استيفاء الشروط التالية: إجراء الإجهاض في أي ظرف من الظروف التي تخفف من العقوبة؛ أن يكون قد أجري نظرا لظروف شاذة وغير عادية</w:t>
      </w:r>
      <w:r>
        <w:rPr>
          <w:rFonts w:hint="cs"/>
          <w:vertAlign w:val="superscript"/>
          <w:rtl/>
          <w:lang w:bidi="ar-EG"/>
        </w:rPr>
        <w:t>(110)</w:t>
      </w:r>
      <w:r>
        <w:rPr>
          <w:rFonts w:hint="cs"/>
          <w:rtl/>
          <w:lang w:bidi="ar-EG"/>
        </w:rPr>
        <w:t>؛ وعندما يكون هناك داع لتوقيع العقوبة في القضية المعنية</w:t>
      </w:r>
      <w:r>
        <w:rPr>
          <w:rFonts w:hint="cs"/>
          <w:vertAlign w:val="superscript"/>
          <w:rtl/>
          <w:lang w:bidi="ar-EG"/>
        </w:rPr>
        <w:t>(111)</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وأشار الحكم السابق إلى الفقرة الواردة في المادة 124 تنص على سبب شخصي للإعفاء من العقوبة وأن هذا لا يشكل سلطة تقديرية للقاضي حيث أنه ينبغي مراعاة شروط معينة لاتخاذ قرار في كل حالة بعينها: </w:t>
      </w:r>
      <w:r>
        <w:rPr>
          <w:rFonts w:hint="eastAsia"/>
          <w:rtl/>
          <w:lang w:bidi="ar-EG"/>
        </w:rPr>
        <w:t>”فالمشرع ينشئ في الفقرة المعنية ما يسمى بالنظرية عذرا مطلقا</w:t>
      </w:r>
      <w:r>
        <w:rPr>
          <w:rFonts w:hint="cs"/>
          <w:rtl/>
          <w:lang w:bidi="ar-EG"/>
        </w:rPr>
        <w:t>، سببا حقيقيا للمنعة القانونية، ويتخلى عن الصرامة العمياء التي تفرض متى ارتكبت الجريمة وأُعلنت المسؤولية عنها العقوبة على الجاني باعتبارها نتيجة ضرورية، حتى يستطيع القاضي بعدها دراسة ظروف القضية المعنية والتوصل إلى الإعفاء من العقوبة إذا توافرت شروط حاسمة</w:t>
      </w:r>
      <w:r w:rsidR="003D7EB4">
        <w:rPr>
          <w:rFonts w:hint="cs"/>
          <w:rtl/>
          <w:lang w:bidi="ar-EG"/>
        </w:rPr>
        <w:t>،</w:t>
      </w:r>
      <w:r>
        <w:rPr>
          <w:rFonts w:hint="cs"/>
          <w:rtl/>
          <w:lang w:bidi="ar-EG"/>
        </w:rPr>
        <w:t xml:space="preserve"> ويتضح مما سبق أنه يوجد على الرغم من ذلك وصف جنائي لجريمة الإجهاض في نظامنا القانوني</w:t>
      </w:r>
      <w:r w:rsidR="003D7EB4">
        <w:rPr>
          <w:rFonts w:hint="cs"/>
          <w:rtl/>
          <w:lang w:bidi="ar-EG"/>
        </w:rPr>
        <w:t>،</w:t>
      </w:r>
      <w:r>
        <w:rPr>
          <w:rFonts w:hint="cs"/>
          <w:rtl/>
          <w:lang w:bidi="ar-EG"/>
        </w:rPr>
        <w:t xml:space="preserve"> وفي ظل سريان المرسوم بقانون رقم 100 لسنة 1980، القانون الجنائي السابق، تعاقب المواد 343 و344 و345 على الإجهاض</w:t>
      </w:r>
      <w:r w:rsidR="003D7EB4">
        <w:rPr>
          <w:rFonts w:hint="cs"/>
          <w:rtl/>
          <w:lang w:bidi="ar-EG"/>
        </w:rPr>
        <w:t>،</w:t>
      </w:r>
      <w:r>
        <w:rPr>
          <w:rFonts w:hint="cs"/>
          <w:rtl/>
          <w:lang w:bidi="ar-EG"/>
        </w:rPr>
        <w:t xml:space="preserve"> ولم تكن القواعد الجنائية المنسوبة تسمح في أي ظرف من الظروف بإمكانية الإعفاء المرأة التي ترتكب جريمة الإجهاض من العقوبة؛ وكانت تنص فقط على ظروف مخففة للعقوبة في حالة ارتكاب جريمة الإجهاض من جانب امرأة حملت نتيجة اغتصاب أواعتداء أوتلقيح اصطناعي دون الحصول على الموافقة اللازمة</w:t>
      </w:r>
      <w:r w:rsidR="003D7EB4">
        <w:rPr>
          <w:rFonts w:hint="cs"/>
          <w:rtl/>
          <w:lang w:bidi="ar-EG"/>
        </w:rPr>
        <w:t>،</w:t>
      </w:r>
    </w:p>
    <w:p w:rsidR="00971AE2" w:rsidRDefault="00971AE2" w:rsidP="00A343DF">
      <w:pPr>
        <w:pStyle w:val="SingleTxt"/>
        <w:rPr>
          <w:rFonts w:hint="cs"/>
          <w:rtl/>
          <w:lang w:bidi="ar-EG"/>
        </w:rPr>
      </w:pPr>
      <w:r>
        <w:rPr>
          <w:rFonts w:hint="cs"/>
          <w:rtl/>
          <w:lang w:bidi="ar-EG"/>
        </w:rPr>
        <w:tab/>
        <w:t>والقواعد الجنائية السارية الأكثر مرونة إزاء التصف المقنع للإجهاض حيث أنها لا</w:t>
      </w:r>
      <w:r>
        <w:rPr>
          <w:rFonts w:hint="eastAsia"/>
          <w:rtl/>
          <w:lang w:bidi="ar-EG"/>
        </w:rPr>
        <w:t> </w:t>
      </w:r>
      <w:r>
        <w:rPr>
          <w:rFonts w:hint="cs"/>
          <w:rtl/>
          <w:lang w:bidi="ar-EG"/>
        </w:rPr>
        <w:t>تسمح بإمكانية تخفيف العقوبة في ظروف أكثر (تصرف يتمثل في مضاجعة أواتصال جنسي دون موافقة أواغتصاب أوتلقيح اصطناعي أونقل بويضة ملقحة دون موافقة) فحسب، بل ينص أيضا على أنه في حالة ارتكاب جريمة الإجهاض في ظروف غير عادية في سياق حدث من الأحداث المخففة للعقوبة يستطيع الموظف القضائي الإعفاء من العقوبة</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(أ)</w:t>
      </w:r>
      <w:r>
        <w:rPr>
          <w:rFonts w:hint="cs"/>
          <w:b/>
          <w:bCs/>
          <w:rtl/>
          <w:lang w:bidi="ar-EG"/>
        </w:rPr>
        <w:tab/>
        <w:t>الحكم العام للاختصاص التشريعي المناط بالكونغرس</w:t>
      </w:r>
    </w:p>
    <w:p w:rsidR="00971AE2" w:rsidRDefault="00971AE2" w:rsidP="00A343DF">
      <w:pPr>
        <w:pStyle w:val="SingleTxt"/>
        <w:rPr>
          <w:rFonts w:hint="cs"/>
          <w:rtl/>
          <w:lang w:bidi="ar-EG"/>
        </w:rPr>
      </w:pPr>
      <w:r>
        <w:rPr>
          <w:rFonts w:hint="cs"/>
          <w:rtl/>
          <w:lang w:bidi="ar-EG"/>
        </w:rPr>
        <w:tab/>
        <w:t>يحدد الدستور الوطني ويكلف سلطات الدولة التي ينشئها، ويعين حدود ممارسة السلطة ومجال الحريات والحقوق الإساسية ويحدد مهام الدولة لصالح المجتمع</w:t>
      </w:r>
      <w:r w:rsidR="003D7EB4">
        <w:rPr>
          <w:rFonts w:hint="cs"/>
          <w:rtl/>
          <w:lang w:bidi="ar-EG"/>
        </w:rPr>
        <w:t>،</w:t>
      </w:r>
      <w:r>
        <w:rPr>
          <w:rFonts w:hint="cs"/>
          <w:rtl/>
          <w:lang w:bidi="ar-EG"/>
        </w:rPr>
        <w:t xml:space="preserve"> ووفقا للمادة 13 فإن الهيئات التشريعية والتنفيذية والقضائية هي أفرع للسلطة العامة؛ وتوجد إلى جانب الأجهزة التي تتألف منها هذه الأفرع هيئات مستقلة وقائمة بذاتها لتنفيذ سائر مهام الدولة</w:t>
      </w:r>
      <w:r w:rsidR="003D7EB4">
        <w:rPr>
          <w:rFonts w:hint="cs"/>
          <w:rtl/>
          <w:lang w:bidi="ar-EG"/>
        </w:rPr>
        <w:t>،</w:t>
      </w:r>
      <w:r>
        <w:rPr>
          <w:rFonts w:hint="cs"/>
          <w:rtl/>
          <w:lang w:bidi="ar-EG"/>
        </w:rPr>
        <w:t xml:space="preserve"> وللأجهزة المختلفة للدولة مهام مستقلة لكن ينبغي لها التعاون بصورة منسجمة من أجل تحقيق غاياتها</w:t>
      </w:r>
      <w:r w:rsidR="003D7EB4">
        <w:rPr>
          <w:rFonts w:hint="cs"/>
          <w:rtl/>
          <w:lang w:bidi="ar-EG"/>
        </w:rPr>
        <w:t>،</w:t>
      </w:r>
    </w:p>
    <w:p w:rsidR="00971AE2" w:rsidRDefault="00971AE2" w:rsidP="00A343DF">
      <w:pPr>
        <w:pStyle w:val="SingleTxt"/>
        <w:rPr>
          <w:rFonts w:hint="cs"/>
          <w:rtl/>
          <w:lang w:bidi="ar-EG"/>
        </w:rPr>
      </w:pPr>
      <w:r>
        <w:rPr>
          <w:rFonts w:hint="cs"/>
          <w:rtl/>
          <w:lang w:bidi="ar-EG"/>
        </w:rPr>
        <w:tab/>
        <w:t>تنبثق السلطة العامة الممنوحة لأجهزة الدولة المختلفة من الشعب وهي مستمدة منه؛ ولذا فإن تشكيلها وأنشطتها ينبغي أن تعكس بدقة المنطلق الشعبي الذي يحرك المجمع الهيكلي والدينامي للدولة</w:t>
      </w:r>
      <w:r>
        <w:rPr>
          <w:rFonts w:hint="cs"/>
          <w:vertAlign w:val="superscript"/>
          <w:rtl/>
          <w:lang w:bidi="ar-EG"/>
        </w:rPr>
        <w:t>(112)</w:t>
      </w:r>
      <w:r w:rsidR="003D7EB4">
        <w:rPr>
          <w:rFonts w:hint="cs"/>
          <w:rtl/>
          <w:lang w:bidi="ar-EG"/>
        </w:rPr>
        <w:t>،</w:t>
      </w:r>
    </w:p>
    <w:p w:rsidR="00971AE2" w:rsidRDefault="00971AE2" w:rsidP="00A343DF">
      <w:pPr>
        <w:pStyle w:val="SingleTxt"/>
        <w:rPr>
          <w:rFonts w:hint="cs"/>
          <w:rtl/>
          <w:lang w:bidi="ar-EG"/>
        </w:rPr>
      </w:pPr>
      <w:r>
        <w:rPr>
          <w:rFonts w:hint="cs"/>
          <w:rtl/>
          <w:lang w:bidi="ar-EG"/>
        </w:rPr>
        <w:tab/>
        <w:t>ووفقا لدستورنا الوطني فإن المشرع في إطار الدولة الاشتراكية والتعددية والديمقراطية، هوالذي يضع القوانين حسب أحكام المادتين 114 و150</w:t>
      </w:r>
      <w:r w:rsidR="003D7EB4">
        <w:rPr>
          <w:rFonts w:hint="cs"/>
          <w:rtl/>
          <w:lang w:bidi="ar-EG"/>
        </w:rPr>
        <w:t>،</w:t>
      </w:r>
      <w:r>
        <w:rPr>
          <w:rFonts w:hint="cs"/>
          <w:rtl/>
          <w:lang w:bidi="ar-EG"/>
        </w:rPr>
        <w:t xml:space="preserve"> وبغض النظر عن الأحداث المعينة للديمقراطية التشاركية تنحصر الممارسة العادية للسيادة الشعبية في الديمقراطية النيابية وبالتالي فإنها مناطة بالكونغرس</w:t>
      </w:r>
      <w:r w:rsidR="003D7EB4">
        <w:rPr>
          <w:rFonts w:hint="cs"/>
          <w:rtl/>
          <w:lang w:bidi="ar-EG"/>
        </w:rPr>
        <w:t>،</w:t>
      </w:r>
    </w:p>
    <w:p w:rsidR="00971AE2" w:rsidRDefault="00971AE2" w:rsidP="00A343DF">
      <w:pPr>
        <w:pStyle w:val="SingleTxt"/>
        <w:rPr>
          <w:rFonts w:hint="cs"/>
          <w:rtl/>
          <w:lang w:bidi="ar-EG"/>
        </w:rPr>
      </w:pPr>
      <w:r>
        <w:rPr>
          <w:rFonts w:hint="cs"/>
          <w:rtl/>
          <w:lang w:bidi="ar-EG"/>
        </w:rPr>
        <w:tab/>
        <w:t>ويوجد لدى المشرع مجال تشكيكي يتيح له الاختيار من بين بدائل مختلفة للسياسة الجنائية ما دام لا ينتهك الحقوق الدستورية</w:t>
      </w:r>
      <w:r w:rsidR="003D7EB4">
        <w:rPr>
          <w:rFonts w:hint="cs"/>
          <w:rtl/>
          <w:lang w:bidi="ar-EG"/>
        </w:rPr>
        <w:t>،</w:t>
      </w:r>
      <w:r>
        <w:rPr>
          <w:rFonts w:hint="cs"/>
          <w:rtl/>
          <w:lang w:bidi="ar-EG"/>
        </w:rPr>
        <w:t xml:space="preserve"> وكونغرس الجمهورية المنتخب بالاقتراع الشعبي والذي يضم ممثلين لتيارات الرأي العام وجماعات للاتجاهات الفلسفية والسياسية والدينية المختلفة، الذي يحق له اختيار اللحظة والظروف التي يفعل فيها ذلك والطريقة التي يفعل بها في احترام للتعددية التي يكفلها الدستور في دولة علمانية (المادتان 1 و19 من الدستور الوطني)</w:t>
      </w:r>
      <w:r>
        <w:rPr>
          <w:rFonts w:hint="cs"/>
          <w:vertAlign w:val="superscript"/>
          <w:rtl/>
          <w:lang w:bidi="ar-EG"/>
        </w:rPr>
        <w:t>(113)</w:t>
      </w:r>
      <w:r w:rsidR="003D7EB4">
        <w:rPr>
          <w:rFonts w:hint="cs"/>
          <w:rtl/>
          <w:lang w:bidi="ar-EG"/>
        </w:rPr>
        <w:t>،</w:t>
      </w:r>
      <w:r>
        <w:rPr>
          <w:rFonts w:hint="cs"/>
          <w:rtl/>
          <w:lang w:bidi="ar-EG"/>
        </w:rPr>
        <w:t xml:space="preserve"> ويستطيع الكونغرس في هذا الصدد أن يقرر، مع مراعاة المواقف الفلسفية والدينية والسياسية التي يمثلها الأعضاء المختلفين، ما إذا كان ينبغي المعاقبة أوعدم المعاقبة على الإجهاض</w:t>
      </w:r>
      <w:r w:rsidR="003D7EB4">
        <w:rPr>
          <w:rFonts w:hint="cs"/>
          <w:rtl/>
          <w:lang w:bidi="ar-EG"/>
        </w:rPr>
        <w:t>،</w:t>
      </w:r>
      <w:r>
        <w:rPr>
          <w:rFonts w:hint="cs"/>
          <w:rtl/>
          <w:lang w:bidi="ar-EG"/>
        </w:rPr>
        <w:t xml:space="preserve"> وتخضع شرعية أعمال المشروع بأن يكون عمله مسترشدا بمعايير العدل والصالح العام وأن تراعي مصالح الأشخاص الذين يمثلهم</w:t>
      </w:r>
      <w:r w:rsidR="003D7EB4">
        <w:rPr>
          <w:rFonts w:hint="cs"/>
          <w:rtl/>
          <w:lang w:bidi="ar-EG"/>
        </w:rPr>
        <w:t>،</w:t>
      </w:r>
    </w:p>
    <w:p w:rsidR="00971AE2" w:rsidRDefault="00971AE2" w:rsidP="00A343DF">
      <w:pPr>
        <w:pStyle w:val="SingleTxt"/>
        <w:rPr>
          <w:rFonts w:hint="cs"/>
          <w:rtl/>
          <w:lang w:bidi="ar-EG"/>
        </w:rPr>
      </w:pPr>
      <w:r>
        <w:rPr>
          <w:rFonts w:hint="cs"/>
          <w:rtl/>
          <w:lang w:bidi="ar-EG"/>
        </w:rPr>
        <w:tab/>
        <w:t>وقد أجريت دراسات استقصائية على المستوى الوطني جاء فيها أن أغلبية سكان كولومبيا يعارضون ممارسة الإجهاض:</w:t>
      </w:r>
    </w:p>
    <w:p w:rsidR="00971AE2" w:rsidRDefault="00971AE2" w:rsidP="00A343DF">
      <w:pPr>
        <w:pStyle w:val="SingleTxt"/>
        <w:rPr>
          <w:rFonts w:hint="cs"/>
          <w:rtl/>
          <w:lang w:bidi="ar-EG"/>
        </w:rPr>
      </w:pPr>
      <w:r>
        <w:rPr>
          <w:rFonts w:hint="cs"/>
          <w:rtl/>
          <w:lang w:bidi="ar-EG"/>
        </w:rPr>
        <w:tab/>
        <w:t>•</w:t>
      </w:r>
      <w:r>
        <w:rPr>
          <w:rFonts w:hint="cs"/>
          <w:rtl/>
          <w:lang w:bidi="ar-EG"/>
        </w:rPr>
        <w:tab/>
        <w:t xml:space="preserve">في الدراسة الاستقصائية التي أجرتها مجلة </w:t>
      </w:r>
      <w:r>
        <w:rPr>
          <w:rFonts w:hint="eastAsia"/>
          <w:rtl/>
          <w:lang w:bidi="ar-EG"/>
        </w:rPr>
        <w:t>”سيمانا</w:t>
      </w:r>
      <w:r>
        <w:rPr>
          <w:rFonts w:hint="cs"/>
          <w:rtl/>
          <w:lang w:bidi="ar-EG"/>
        </w:rPr>
        <w:t>“ (5-12 كانون الثاني/ يناير 2004): 56 في المائة من الأشخاص يعارضون الإجهاض تماما، و26 في المائة يؤيدونه، و8 في المائة يؤيدونه تماما</w:t>
      </w:r>
      <w:r>
        <w:rPr>
          <w:rFonts w:hint="cs"/>
          <w:vertAlign w:val="superscript"/>
          <w:rtl/>
          <w:lang w:bidi="ar-EG"/>
        </w:rPr>
        <w:t>(114)</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في الدراسة الاستقصائية التي أجراها المركز الوطني لتقديم المشورة (آذار/مارس 1991): كان 19 في المائة من الأشخاص يؤيدون الإجهاض (26 في المائة رجال، 13 في المائة نساء)، و71 في المائة يعارضونه (64 في المائة رجال، 78 في المائة نساء)، و10 في المائة لم يجيبوا (10 في المائة رجال، 9 في المائة نساء)</w:t>
      </w:r>
      <w:r>
        <w:rPr>
          <w:rFonts w:hint="cs"/>
          <w:vertAlign w:val="superscript"/>
          <w:rtl/>
          <w:lang w:bidi="ar-EG"/>
        </w:rPr>
        <w:t>(115)</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 xml:space="preserve">في الدراسة الاستقصائية التي أجرتها يانكلوفيتش دي كولومبيا لـ </w:t>
      </w:r>
      <w:r>
        <w:rPr>
          <w:rFonts w:hint="eastAsia"/>
          <w:rtl/>
          <w:lang w:bidi="ar-EG"/>
        </w:rPr>
        <w:t>”تيمبو</w:t>
      </w:r>
      <w:r>
        <w:rPr>
          <w:rFonts w:hint="cs"/>
          <w:rtl/>
          <w:lang w:bidi="ar-EG"/>
        </w:rPr>
        <w:t>“ (آب/أغسطس 1994): كان 85 في المائة يعارضونالإجهاض، و4 في المائة يؤيدونه، و11 في المائة يؤيدونه في بعض الحالات</w:t>
      </w:r>
      <w:r>
        <w:rPr>
          <w:rFonts w:hint="cs"/>
          <w:vertAlign w:val="superscript"/>
          <w:rtl/>
          <w:lang w:bidi="ar-EG"/>
        </w:rPr>
        <w:t>(116)</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 xml:space="preserve">في تقرير </w:t>
      </w:r>
      <w:r>
        <w:rPr>
          <w:rFonts w:hint="eastAsia"/>
          <w:rtl/>
          <w:lang w:bidi="ar-EG"/>
        </w:rPr>
        <w:t>”</w:t>
      </w:r>
      <w:r>
        <w:rPr>
          <w:rFonts w:hint="cs"/>
          <w:rtl/>
          <w:lang w:bidi="ar-EG"/>
        </w:rPr>
        <w:t>جمعية كاثولكيين من أجل الحق في اتخاذ القرار</w:t>
      </w:r>
      <w:r>
        <w:rPr>
          <w:rFonts w:hint="eastAsia"/>
          <w:rtl/>
          <w:lang w:bidi="ar-EG"/>
        </w:rPr>
        <w:t>“</w:t>
      </w:r>
      <w:r>
        <w:rPr>
          <w:rFonts w:hint="cs"/>
          <w:rtl/>
          <w:lang w:bidi="ar-EG"/>
        </w:rPr>
        <w:t xml:space="preserve"> حيث وردت الدراسة الاستقصائية لنابليون فرانكووشركائه، شركة مساهمة (أيلول/سبتمبر 2003) خلص إلى ما يلي فيما يتعلق بالإجهاض</w:t>
      </w:r>
      <w:r>
        <w:rPr>
          <w:rFonts w:hint="cs"/>
          <w:vertAlign w:val="superscript"/>
          <w:rtl/>
          <w:lang w:bidi="ar-EG"/>
        </w:rPr>
        <w:t>(117)</w:t>
      </w:r>
      <w:r>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r>
      <w:r>
        <w:rPr>
          <w:rFonts w:hint="eastAsia"/>
          <w:rtl/>
          <w:lang w:bidi="ar-EG"/>
        </w:rPr>
        <w:t>”يعارض 8 من كل 10 ممن سُألوا أن تقوم الخدمات الصحية الحكومية مثل المستشفيات والمراكز الصحية لتقديم خدمات الإجهاض إلى النساء اللائي يطلبن، وكانت نسبة ه</w:t>
      </w:r>
      <w:r>
        <w:rPr>
          <w:rFonts w:hint="cs"/>
          <w:rtl/>
          <w:lang w:bidi="ar-EG"/>
        </w:rPr>
        <w:t>ؤلاء أكبر في منطقة أنتييوكيا والمنطقة الأطلسية</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الآراء منقسمة انقساما شديدا حول الوقت الذي يمكن فيه إجراء الإجهاض؛ فنصف عدد الأشخاص يرون أنه ينبغي السماح لالإجهاض في بعض الحالات</w:t>
      </w:r>
      <w:r w:rsidR="003D7EB4">
        <w:rPr>
          <w:rFonts w:hint="cs"/>
          <w:rtl/>
          <w:lang w:bidi="ar-EG"/>
        </w:rPr>
        <w:t>،</w:t>
      </w:r>
      <w:r>
        <w:rPr>
          <w:rFonts w:hint="cs"/>
          <w:rtl/>
          <w:lang w:bidi="ar-EG"/>
        </w:rPr>
        <w:t xml:space="preserve"> وفي المنطقة الوسطى يميل المجيبون الذين تتراوح أعمارهم بين 18 و25 سنة والطبقة العالية والطبقة فوق المتوسطة أكثر إلى السماح بالإجهاض في بعض الظروف، في حين يرى الأشخاص في انتيوبيا والأشخاص الذين تجاوزا سن السادسة والأربعون أنه ينبغي حظره في جميع الحالات</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يرى أكثر من نصف عدد المجيبين أنه يمكن إجراء الإجهاض عندما تكون حياة أوصحة الأم في خطر وعندما تكون الأم مصابة بالإيدز وعندما يكون في الجنين عيوب خلقية وعندما يكون الحمل نتيجة اغتصاب</w:t>
      </w:r>
      <w:r w:rsidR="003D7EB4">
        <w:rPr>
          <w:rFonts w:hint="cs"/>
          <w:rtl/>
          <w:lang w:bidi="ar-EG"/>
        </w:rPr>
        <w:t>،</w:t>
      </w:r>
      <w:r>
        <w:rPr>
          <w:rFonts w:hint="cs"/>
          <w:rtl/>
          <w:lang w:bidi="ar-EG"/>
        </w:rPr>
        <w:t xml:space="preserve"> ويعارض 9 أشخاص من كل 10 إجراء الإجهاض عندما تقرر المرأة ذلك وعندما تشعر أنها غير قادرة على رعاية طفلها وعند فشل وسيلة منع الحمل وعندما لا تملك المرأة الموارد المالية اللازمة</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وأفضل خيار إزاء الحمل غير المرغوب فيه في رأي أكثر من نصف عدد المجيبين هومواصلة الحمل والإبقاء على الطفل</w:t>
      </w:r>
      <w:r w:rsidR="003D7EB4">
        <w:rPr>
          <w:rFonts w:hint="cs"/>
          <w:rtl/>
          <w:lang w:bidi="ar-EG"/>
        </w:rPr>
        <w:t>،</w:t>
      </w:r>
    </w:p>
    <w:p w:rsidR="00971AE2" w:rsidRDefault="00971AE2" w:rsidP="00A343DF">
      <w:pPr>
        <w:pStyle w:val="SingleTxt"/>
        <w:rPr>
          <w:rFonts w:hint="eastAsia"/>
          <w:rtl/>
          <w:lang w:bidi="ar-EG"/>
        </w:rPr>
      </w:pPr>
      <w:r>
        <w:rPr>
          <w:rFonts w:hint="cs"/>
          <w:rtl/>
          <w:lang w:bidi="ar-EG"/>
        </w:rPr>
        <w:tab/>
        <w:t>-</w:t>
      </w:r>
      <w:r>
        <w:rPr>
          <w:rFonts w:hint="cs"/>
          <w:rtl/>
          <w:lang w:bidi="ar-EG"/>
        </w:rPr>
        <w:tab/>
        <w:t>يتفق أكثر من نصف عدد المجيبين أويتفقون تماما مع الكنيسة التي تعارض الإجهاض في جميع الحالات</w:t>
      </w:r>
      <w:r>
        <w:rPr>
          <w:rFonts w:hint="eastAsia"/>
          <w:rtl/>
          <w:lang w:bidi="ar-EG"/>
        </w:rPr>
        <w:t>“</w:t>
      </w:r>
      <w:r w:rsidR="003D7EB4">
        <w:rPr>
          <w:rFonts w:hint="eastAsia"/>
          <w:rtl/>
          <w:lang w:bidi="ar-EG"/>
        </w:rPr>
        <w:t>،</w:t>
      </w:r>
    </w:p>
    <w:p w:rsidR="00971AE2" w:rsidRDefault="00971AE2" w:rsidP="00A343DF">
      <w:pPr>
        <w:pStyle w:val="SingleTxt"/>
        <w:rPr>
          <w:rFonts w:hint="cs"/>
          <w:rtl/>
          <w:lang w:bidi="ar-EG"/>
        </w:rPr>
      </w:pPr>
      <w:r>
        <w:rPr>
          <w:rFonts w:hint="cs"/>
          <w:rtl/>
          <w:lang w:bidi="ar-EG"/>
        </w:rPr>
        <w:tab/>
      </w:r>
      <w:r>
        <w:rPr>
          <w:rFonts w:hint="cs"/>
          <w:rtl/>
          <w:lang w:bidi="ar-EG"/>
        </w:rPr>
        <w:tab/>
        <w:t>لم تلق المبادرات التشريعية الرامية إلى إلغاء العقوبة المفروضة على الإجهاض أي نجاح؛ ويوجد وعي متزايد بما يترتب على الإجهاض من آثار في الصحة العامة سواء على المستوى المؤسسي أوداخل المجتمع المدني</w:t>
      </w:r>
      <w:r w:rsidR="003D7EB4">
        <w:rPr>
          <w:rFonts w:hint="cs"/>
          <w:rtl/>
          <w:lang w:bidi="ar-EG"/>
        </w:rPr>
        <w:t>،</w:t>
      </w:r>
    </w:p>
    <w:p w:rsidR="00971AE2" w:rsidRDefault="00971AE2" w:rsidP="00A343DF">
      <w:pPr>
        <w:pStyle w:val="SingleTxt"/>
        <w:rPr>
          <w:rFonts w:hint="cs"/>
          <w:rtl/>
          <w:lang w:bidi="ar-EG"/>
        </w:rPr>
      </w:pPr>
      <w:r>
        <w:rPr>
          <w:rFonts w:hint="cs"/>
          <w:rtl/>
          <w:lang w:bidi="ar-EG"/>
        </w:rPr>
        <w:tab/>
        <w:t>وأخيرا فإنه من الجدير بالذكر أنه مع مراعاة أن الكونغرس هوالذي يملك السلطة العامة لتطوير الدستور وسن القواعد القانونية - وضع القوانين - وبالتالي تحديد التصرفات التي تعتبر أفعالا يعاقب عليها وتحديد العقوبات ذات الصلة فإن الحكومة الوطنية لا تملك سلطة إلغاء العقوبة المفروضة على الإجهاض</w:t>
      </w:r>
      <w:r w:rsidR="003D7EB4">
        <w:rPr>
          <w:rFonts w:hint="cs"/>
          <w:rtl/>
          <w:lang w:bidi="ar-EG"/>
        </w:rPr>
        <w:t>،</w:t>
      </w:r>
    </w:p>
    <w:p w:rsidR="00971AE2" w:rsidRDefault="00225FA5" w:rsidP="00A343DF">
      <w:pPr>
        <w:pStyle w:val="SingleTxt"/>
        <w:rPr>
          <w:rFonts w:hint="cs"/>
          <w:b/>
          <w:bCs/>
          <w:rtl/>
          <w:lang w:bidi="ar-EG"/>
        </w:rPr>
      </w:pPr>
      <w:r>
        <w:rPr>
          <w:b/>
          <w:bCs/>
          <w:rtl/>
          <w:lang w:bidi="ar-EG"/>
        </w:rPr>
        <w:br w:type="page"/>
      </w:r>
      <w:r w:rsidR="00971AE2">
        <w:rPr>
          <w:rFonts w:hint="cs"/>
          <w:b/>
          <w:bCs/>
          <w:rtl/>
          <w:lang w:bidi="ar-EG"/>
        </w:rPr>
        <w:t>(ب)</w:t>
      </w:r>
      <w:r w:rsidR="00971AE2">
        <w:rPr>
          <w:rFonts w:hint="cs"/>
          <w:b/>
          <w:bCs/>
          <w:rtl/>
          <w:lang w:bidi="ar-EG"/>
        </w:rPr>
        <w:tab/>
        <w:t>الديمقراطية النيابية</w:t>
      </w:r>
    </w:p>
    <w:p w:rsidR="00971AE2" w:rsidRDefault="00971AE2" w:rsidP="00A343DF">
      <w:pPr>
        <w:pStyle w:val="SingleTxt"/>
        <w:rPr>
          <w:rFonts w:hint="cs"/>
          <w:rtl/>
          <w:lang w:bidi="ar-EG"/>
        </w:rPr>
      </w:pPr>
      <w:r>
        <w:rPr>
          <w:rFonts w:hint="cs"/>
          <w:rtl/>
          <w:lang w:bidi="ar-EG"/>
        </w:rPr>
        <w:tab/>
        <w:t>يحدد الدستور الوطني بصورة وافية المبادئ الديمقراطية والتشاركية والتعددية عن طريق وسائل معينة تسمح للفرد بالمشاركة في اتخاذ القرارات السياسية التي تتعلق به وأن يجعل من نفسه جهاز رقابة على المؤسسات المختلفة</w:t>
      </w:r>
      <w:r w:rsidR="003D7EB4">
        <w:rPr>
          <w:rFonts w:hint="cs"/>
          <w:rtl/>
          <w:lang w:bidi="ar-EG"/>
        </w:rPr>
        <w:t>،</w:t>
      </w:r>
    </w:p>
    <w:p w:rsidR="00971AE2" w:rsidRDefault="00971AE2" w:rsidP="00A343DF">
      <w:pPr>
        <w:pStyle w:val="SingleTxt"/>
        <w:rPr>
          <w:rFonts w:hint="cs"/>
          <w:rtl/>
          <w:lang w:bidi="ar-EG"/>
        </w:rPr>
      </w:pPr>
      <w:r>
        <w:rPr>
          <w:rFonts w:hint="cs"/>
          <w:rtl/>
          <w:lang w:bidi="ar-EG"/>
        </w:rPr>
        <w:tab/>
        <w:t>والواقع هوأنه وفقا للديمقراطية النيابية المكرسة في دستورنا الوطني فإن الشعب لا ينتخب ممثليه عن طريق الاقتراع فحسب بل يملك أيضا إمكانية التدخل مباشرة في اتخاذ قرارات معينة (الاستفتاءات بنوعيها والمشاورات الشعبية ومجالس البلديات المفتوحة والمبادرات التشريعية وسحب الثقة)، وكذلك إبطالأوتعديل القرارات التي يتخذها ممثلوه في المؤسسات العامة، سواء عن طريق الاستدعاء أوتلقاء نفسه، وسحب الثقة ممن انتخبهم</w:t>
      </w:r>
      <w:r w:rsidR="003D7EB4">
        <w:rPr>
          <w:rFonts w:hint="cs"/>
          <w:rtl/>
          <w:lang w:bidi="ar-EG"/>
        </w:rPr>
        <w:t>،</w:t>
      </w:r>
    </w:p>
    <w:p w:rsidR="00971AE2" w:rsidRDefault="00971AE2" w:rsidP="00A343DF">
      <w:pPr>
        <w:pStyle w:val="SingleTxt"/>
        <w:rPr>
          <w:rFonts w:hint="cs"/>
          <w:rtl/>
          <w:lang w:bidi="ar-EG"/>
        </w:rPr>
      </w:pPr>
      <w:r>
        <w:rPr>
          <w:rFonts w:hint="cs"/>
          <w:rtl/>
          <w:lang w:bidi="ar-EG"/>
        </w:rPr>
        <w:tab/>
        <w:t>وتنص المادة 155 من الدستور الوطني على أنه يمكن تقديم مشاريع قوانين أوإصلاحات دستورية على أن يوجد عدد من المواطنين يساوي أويتعدى 5 في المائة من تعداد الناخبين في اليوم المعني أوثلاثين في المائة من أعضاء المجلس أومن عدد مندوبي البلد</w:t>
      </w:r>
      <w:r w:rsidR="003D7EB4">
        <w:rPr>
          <w:rFonts w:hint="cs"/>
          <w:rtl/>
          <w:lang w:bidi="ar-EG"/>
        </w:rPr>
        <w:t>،</w:t>
      </w:r>
      <w:r>
        <w:rPr>
          <w:rFonts w:hint="cs"/>
          <w:rtl/>
          <w:lang w:bidi="ar-EG"/>
        </w:rPr>
        <w:t xml:space="preserve"> وسوف يعالج الكونغرس المبادرة الشعبية، وفقا للإجراء المقرر بالنسبة للمشاريع التي هي موضع إلحاح</w:t>
      </w:r>
      <w:r w:rsidR="003D7EB4">
        <w:rPr>
          <w:rFonts w:hint="cs"/>
          <w:rtl/>
          <w:lang w:bidi="ar-EG"/>
        </w:rPr>
        <w:t>،</w:t>
      </w:r>
      <w:r>
        <w:rPr>
          <w:rFonts w:hint="cs"/>
          <w:rtl/>
          <w:lang w:bidi="ar-EG"/>
        </w:rPr>
        <w:t xml:space="preserve"> وسوف يكون للمواطنين دعاة هذا الرأي الحق في تزكية متحدث باسمهم سيستمع إليه المجلس في جميع مراحل العملية</w:t>
      </w:r>
      <w:r w:rsidR="003D7EB4">
        <w:rPr>
          <w:rFonts w:hint="cs"/>
          <w:rtl/>
          <w:lang w:bidi="ar-EG"/>
        </w:rPr>
        <w:t>،</w:t>
      </w:r>
      <w:r>
        <w:rPr>
          <w:rFonts w:hint="cs"/>
          <w:rtl/>
          <w:lang w:bidi="ar-EG"/>
        </w:rPr>
        <w:t xml:space="preserve"> ولم تستعمل المنظمات الاجتماعية المختلفة حتى الآن آليات المشاركة المباشرة المختلفة للسعي إلى إلغاء العقوبة المفروضة على الإجهاض</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(ج)</w:t>
      </w:r>
      <w:r>
        <w:rPr>
          <w:rFonts w:hint="cs"/>
          <w:b/>
          <w:bCs/>
          <w:rtl/>
          <w:lang w:bidi="ar-EG"/>
        </w:rPr>
        <w:tab/>
        <w:t>السياسة الوطنية في مجال الصحة العامة</w:t>
      </w:r>
    </w:p>
    <w:p w:rsidR="00971AE2" w:rsidRDefault="00971AE2" w:rsidP="00A343DF">
      <w:pPr>
        <w:pStyle w:val="SingleTxt"/>
        <w:rPr>
          <w:rFonts w:hint="cs"/>
          <w:rtl/>
          <w:lang w:bidi="ar-EG"/>
        </w:rPr>
      </w:pPr>
      <w:r>
        <w:rPr>
          <w:rFonts w:hint="cs"/>
          <w:rtl/>
          <w:lang w:bidi="ar-EG"/>
        </w:rPr>
        <w:tab/>
        <w:t>ردا على المشاكل المختلفة التي يواجهها البلد في مجال الصحة الجنسية والتناسلية وضعت الحكومة الوطنية سياسة بشأن الصحة الجنسية والتناسلية</w:t>
      </w:r>
      <w:r w:rsidR="003D7EB4">
        <w:rPr>
          <w:rFonts w:hint="cs"/>
          <w:rtl/>
          <w:lang w:bidi="ar-EG"/>
        </w:rPr>
        <w:t>،</w:t>
      </w:r>
      <w:r>
        <w:rPr>
          <w:rFonts w:hint="cs"/>
          <w:rtl/>
          <w:lang w:bidi="ar-EG"/>
        </w:rPr>
        <w:t xml:space="preserve"> وتشمل هذه السياسة سلسلة إجراءات لها أثر كبير في منع الإجهاض ومضاعفاته وخفض حالاته ومضاعفاته</w:t>
      </w:r>
      <w:r w:rsidR="003D7EB4">
        <w:rPr>
          <w:rFonts w:hint="cs"/>
          <w:rtl/>
          <w:lang w:bidi="ar-EG"/>
        </w:rPr>
        <w:t>،</w:t>
      </w:r>
      <w:r>
        <w:rPr>
          <w:rFonts w:hint="cs"/>
          <w:rtl/>
          <w:lang w:bidi="ar-EG"/>
        </w:rPr>
        <w:t xml:space="preserve"> وتجدر الإشارة إلى ما يلي: تعزيز الموارد البشرية لمعالجة مضاعفات الإجهاض عن طريق استراتيجيات متكاملة تراعي الجوانب البيولوجية والنفسية والاجتماعية؛ وتدريب الموارد البشرية في مجال الصحة على الطرق العاجلة لمنع الحمل واستخدامها عندما توجد دلالات؛ وتقديم المشورة والتثقيف في مجال تنظيم الأسرة والحصول على وسائل منع الحمل باعتبار ذلك استراتيجية أساسية في مجال منع الإجهاض</w:t>
      </w:r>
      <w:r w:rsidR="003D7EB4">
        <w:rPr>
          <w:rFonts w:hint="cs"/>
          <w:rtl/>
          <w:lang w:bidi="ar-EG"/>
        </w:rPr>
        <w:t>،</w:t>
      </w:r>
    </w:p>
    <w:p w:rsidR="00971AE2" w:rsidRDefault="00971AE2" w:rsidP="00A343DF">
      <w:pPr>
        <w:pStyle w:val="SingleTxt"/>
        <w:rPr>
          <w:rFonts w:hint="cs"/>
          <w:rtl/>
          <w:lang w:bidi="ar-EG"/>
        </w:rPr>
      </w:pPr>
      <w:r>
        <w:rPr>
          <w:rFonts w:hint="cs"/>
          <w:rtl/>
          <w:lang w:bidi="ar-EG"/>
        </w:rPr>
        <w:tab/>
        <w:t>من أجل تنفيذ السياسة الوطنية بشأن الصحة الجنسية والتناسلية وخفض عدد حالات الإجهاض والمخاطر التي ينطوي عليها هذا النوع من الممارسات اتخذت وزارة ارعاية الاجتماعية إجراءات ترمي إلى التعزيز والمنع والرعاية، والسعي إلى زيادة المعلومات المتاحة للمراهقين، ورفع مستويات التثقيف في ميدان الصحة العامة</w:t>
      </w:r>
      <w:r w:rsidR="003D7EB4">
        <w:rPr>
          <w:rFonts w:hint="cs"/>
          <w:rtl/>
          <w:lang w:bidi="ar-EG"/>
        </w:rPr>
        <w:t>،</w:t>
      </w:r>
    </w:p>
    <w:p w:rsidR="00971AE2" w:rsidRDefault="00971AE2" w:rsidP="00A343DF">
      <w:pPr>
        <w:pStyle w:val="SingleTxt"/>
        <w:rPr>
          <w:rFonts w:hint="cs"/>
          <w:rtl/>
          <w:lang w:bidi="ar-EG"/>
        </w:rPr>
      </w:pPr>
      <w:r>
        <w:rPr>
          <w:rFonts w:hint="cs"/>
          <w:rtl/>
          <w:lang w:bidi="ar-EG"/>
        </w:rPr>
        <w:tab/>
        <w:t>وتشمل الأنشطة المضطلع بها ما يلي: حصول جميع السكان على وسائل منع الحمل المختلفة المضمونة والمقبولة وموضع الثقة، بما في ذلك منع الحمل العاجل؛ تعزيز وممارسة الجنس على نحويتسم بتقدير المسؤولية وتنمية مواقف وقدرات الرعاية الذاتية مثل الممارسة الجنسية والتناسلية؛ وتنظيم الأسرة؛ والنشر على الخدمات والحقوق؛ ودعم المشاركة الاجتماعية التي تسعى إلى تمكين المجتمع</w:t>
      </w:r>
      <w:r>
        <w:rPr>
          <w:rFonts w:hint="cs"/>
          <w:vertAlign w:val="superscript"/>
          <w:rtl/>
          <w:lang w:bidi="ar-EG"/>
        </w:rPr>
        <w:t>(118)</w:t>
      </w:r>
      <w:r w:rsidR="003D7EB4">
        <w:rPr>
          <w:rFonts w:hint="cs"/>
          <w:rtl/>
          <w:lang w:bidi="ar-EG"/>
        </w:rPr>
        <w:t>،</w:t>
      </w:r>
    </w:p>
    <w:p w:rsidR="00971AE2" w:rsidRDefault="00971AE2" w:rsidP="00A343DF">
      <w:pPr>
        <w:pStyle w:val="SingleTxt"/>
        <w:rPr>
          <w:rFonts w:hint="cs"/>
          <w:rtl/>
          <w:lang w:bidi="ar-EG"/>
        </w:rPr>
      </w:pPr>
      <w:r>
        <w:rPr>
          <w:rFonts w:hint="cs"/>
          <w:rtl/>
          <w:lang w:bidi="ar-EG"/>
        </w:rPr>
        <w:tab/>
        <w:t>ترد الإجراءات الرامية إلى تقوية الإدارة المؤسسية لضمان منع الإجهاض والعناية بحالات الإجهاض في الظروف الخطرة في قواعد تنظيم الأسرة للرجال والنساء وأدلة الرعاية المتكاملة لمضاعفات الحمل النزفية، التي تُمتثل بصورة إجبارية في الخطة الصحية الإلزامية لنظام التأمينات الصحية والتي نظمها القرار 412 لسنة 2000 لوزارة الصحة (وزارة الرعاية حاليا)</w:t>
      </w:r>
      <w:r w:rsidR="003D7EB4">
        <w:rPr>
          <w:rFonts w:hint="cs"/>
          <w:rtl/>
          <w:lang w:bidi="ar-EG"/>
        </w:rPr>
        <w:t>،</w:t>
      </w:r>
    </w:p>
    <w:p w:rsidR="00971AE2" w:rsidRDefault="00971AE2" w:rsidP="00A343DF">
      <w:pPr>
        <w:pStyle w:val="SingleTxt"/>
        <w:rPr>
          <w:rFonts w:hint="cs"/>
          <w:rtl/>
          <w:lang w:bidi="ar-EG"/>
        </w:rPr>
      </w:pPr>
      <w:r>
        <w:rPr>
          <w:rFonts w:hint="cs"/>
          <w:rtl/>
          <w:lang w:bidi="ar-EG"/>
        </w:rPr>
        <w:tab/>
        <w:t>وترد في المرفق رقم 10 الإحصاءات المتعلقة بمعدلات وفيات الأمهات مصنفة حسب المنطقة</w:t>
      </w:r>
      <w:r w:rsidR="003D7EB4">
        <w:rPr>
          <w:rFonts w:hint="cs"/>
          <w:rtl/>
          <w:lang w:bidi="ar-EG"/>
        </w:rPr>
        <w:t>،</w:t>
      </w:r>
    </w:p>
    <w:p w:rsidR="00971AE2" w:rsidRDefault="00971AE2" w:rsidP="00A343DF">
      <w:pPr>
        <w:pStyle w:val="SingleTxt"/>
        <w:rPr>
          <w:rFonts w:hint="cs"/>
          <w:rtl/>
          <w:lang w:bidi="ar-EG"/>
        </w:rPr>
      </w:pPr>
      <w:r>
        <w:rPr>
          <w:rFonts w:hint="cs"/>
          <w:b/>
          <w:bCs/>
          <w:rtl/>
          <w:lang w:bidi="ar-EG"/>
        </w:rPr>
        <w:t>التوصية الخاصة رقم 19: النشر عن استعمال الرجال والنساء لوسائل منع الحمل وزيادة التوصل إلى استعمال هذه الوسائل</w:t>
      </w:r>
      <w:r>
        <w:rPr>
          <w:rFonts w:hint="cs"/>
          <w:rtl/>
          <w:lang w:bidi="ar-EG"/>
        </w:rPr>
        <w:t xml:space="preserve"> (سوف يُرد على هذه التوصية طوال الفقرة)</w:t>
      </w:r>
      <w:r w:rsidR="003D7EB4">
        <w:rPr>
          <w:rFonts w:hint="cs"/>
          <w:rtl/>
          <w:lang w:bidi="ar-EG"/>
        </w:rPr>
        <w:t>،</w:t>
      </w:r>
    </w:p>
    <w:p w:rsidR="00971AE2" w:rsidRDefault="00971AE2" w:rsidP="00A343DF">
      <w:pPr>
        <w:pStyle w:val="SingleTxt"/>
        <w:rPr>
          <w:rFonts w:hint="cs"/>
          <w:rtl/>
          <w:lang w:bidi="ar-EG"/>
        </w:rPr>
      </w:pPr>
      <w:r>
        <w:rPr>
          <w:rFonts w:hint="cs"/>
          <w:b/>
          <w:bCs/>
          <w:rtl/>
          <w:lang w:bidi="ar-EG"/>
        </w:rPr>
        <w:tab/>
      </w:r>
      <w:r>
        <w:rPr>
          <w:rFonts w:hint="cs"/>
          <w:rtl/>
          <w:lang w:bidi="ar-EG"/>
        </w:rPr>
        <w:t>فيما يتعلق بالرعاية الصحية عن طريق النظام العام للتأمينات الاجتماعية يجري السعي إلى ضمان الحصول التدريجي لجميع السكان على الخدمات الصحية عن طريق انتساب السكان القادرين بالدفع في نظام الاشتراكات والسكان العاجزين عن الدفع في النظام المدعم</w:t>
      </w:r>
      <w:r w:rsidR="003D7EB4">
        <w:rPr>
          <w:rFonts w:hint="cs"/>
          <w:rtl/>
          <w:lang w:bidi="ar-EG"/>
        </w:rPr>
        <w:t>،</w:t>
      </w:r>
      <w:r>
        <w:rPr>
          <w:rFonts w:hint="cs"/>
          <w:rtl/>
          <w:lang w:bidi="ar-EG"/>
        </w:rPr>
        <w:t xml:space="preserve"> ويحصل السكان المنتسبون إلى النظام على الخدمات الصحية عن طريق خطط مختلفة</w:t>
      </w:r>
      <w:r w:rsidR="003D7EB4">
        <w:rPr>
          <w:rFonts w:hint="cs"/>
          <w:rtl/>
          <w:lang w:bidi="ar-EG"/>
        </w:rPr>
        <w:t>،</w:t>
      </w:r>
      <w:r>
        <w:rPr>
          <w:rFonts w:hint="cs"/>
          <w:rtl/>
          <w:lang w:bidi="ar-EG"/>
        </w:rPr>
        <w:t xml:space="preserve"> وفي سنة 2002 كان 25</w:t>
      </w:r>
      <w:r w:rsidR="00CC17E1">
        <w:rPr>
          <w:rFonts w:hint="cs"/>
          <w:rtl/>
          <w:lang w:bidi="ar-EG"/>
        </w:rPr>
        <w:t>.</w:t>
      </w:r>
      <w:r>
        <w:rPr>
          <w:rFonts w:hint="cs"/>
          <w:rtl/>
          <w:lang w:bidi="ar-EG"/>
        </w:rPr>
        <w:t>7 في المائة من مجموع السكان منتسبين إلى النظام المدعم بلغت التغطية في نظام الاشتراك 30</w:t>
      </w:r>
      <w:r w:rsidR="00CC17E1">
        <w:rPr>
          <w:rFonts w:hint="cs"/>
          <w:rtl/>
          <w:lang w:bidi="ar-EG"/>
        </w:rPr>
        <w:t>.</w:t>
      </w:r>
      <w:r>
        <w:rPr>
          <w:rFonts w:hint="cs"/>
          <w:rtl/>
          <w:lang w:bidi="ar-EG"/>
        </w:rPr>
        <w:t>9 في المائة لكن لا يزال 43</w:t>
      </w:r>
      <w:r w:rsidR="00CC17E1">
        <w:rPr>
          <w:rFonts w:hint="cs"/>
          <w:rtl/>
          <w:lang w:bidi="ar-EG"/>
        </w:rPr>
        <w:t>.</w:t>
      </w:r>
      <w:r>
        <w:rPr>
          <w:rFonts w:hint="cs"/>
          <w:rtl/>
          <w:lang w:bidi="ar-EG"/>
        </w:rPr>
        <w:t>4 في المائة من السكان بلا تغطية (انظر المرفق رقم 9)</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وفي الـ 10 سنوات الأخيرة أُحرز تقدم كبير في تطوير اللائحة التي تعزز إجراءات </w:t>
      </w:r>
      <w:r>
        <w:rPr>
          <w:rtl/>
          <w:lang w:bidi="ar-EG"/>
        </w:rPr>
        <w:t>الصحة الجنسية والتناسلية</w:t>
      </w:r>
      <w:r>
        <w:rPr>
          <w:rFonts w:hint="cs"/>
          <w:rtl/>
          <w:lang w:bidi="ar-EG"/>
        </w:rPr>
        <w:t>، وتتضمن قواعد فنية تحدد إجراءات</w:t>
      </w:r>
      <w:r>
        <w:rPr>
          <w:rFonts w:hint="cs"/>
          <w:vertAlign w:val="superscript"/>
          <w:rtl/>
          <w:lang w:bidi="ar-EG"/>
        </w:rPr>
        <w:t>(119)</w:t>
      </w:r>
      <w:r>
        <w:rPr>
          <w:rFonts w:hint="cs"/>
          <w:rtl/>
          <w:lang w:bidi="ar-EG"/>
        </w:rPr>
        <w:t xml:space="preserve"> الامتثال الإلزامي بشأن السكان المؤمن عليهم، وتشمل موارد النظام الصحي الإلزامي المدعم والمتاح بالاشتراك لتطويره</w:t>
      </w:r>
      <w:r w:rsidR="003D7EB4">
        <w:rPr>
          <w:rFonts w:hint="cs"/>
          <w:rtl/>
          <w:lang w:bidi="ar-EG"/>
        </w:rPr>
        <w:t>،</w:t>
      </w:r>
      <w:r>
        <w:rPr>
          <w:rFonts w:hint="cs"/>
          <w:rtl/>
          <w:lang w:bidi="ar-EG"/>
        </w:rPr>
        <w:t xml:space="preserve"> ومع ذلك فإنه ما زالت توجد حدود للتمويل وحصول السكان الفقراء غير المؤمنين على الخدمات</w:t>
      </w:r>
      <w:r w:rsidR="003D7EB4">
        <w:rPr>
          <w:rFonts w:hint="cs"/>
          <w:rtl/>
          <w:lang w:bidi="ar-EG"/>
        </w:rPr>
        <w:t>،</w:t>
      </w:r>
    </w:p>
    <w:p w:rsidR="00971AE2" w:rsidRDefault="00971AE2" w:rsidP="00A343DF">
      <w:pPr>
        <w:pStyle w:val="SingleTxt"/>
        <w:rPr>
          <w:rFonts w:hint="cs"/>
          <w:b/>
          <w:bCs/>
          <w:rtl/>
          <w:lang w:bidi="ar-EG"/>
        </w:rPr>
      </w:pPr>
      <w:r>
        <w:rPr>
          <w:rFonts w:hint="cs"/>
          <w:rtl/>
          <w:lang w:bidi="ar-EG"/>
        </w:rPr>
        <w:tab/>
      </w:r>
      <w:r>
        <w:rPr>
          <w:rFonts w:hint="cs"/>
          <w:b/>
          <w:bCs/>
          <w:rtl/>
          <w:lang w:bidi="ar-EG"/>
        </w:rPr>
        <w:t>ومن بين الإنجازات الكبيرة المحرزة في النظام العام للتأمينات الاجتماعية الصحية تمويل انتساب ما يربوعلى 11 مليون شخص فقير في التأمينات الاجتماعية الصحية (381 883 8 مستفيد منتسب)، وهذا يعني إنفاق أكبر في مجال الصحة لصالح 69 في المائة من أفقر السكان</w:t>
      </w:r>
      <w:r w:rsidR="003D7EB4">
        <w:rPr>
          <w:rFonts w:hint="cs"/>
          <w:b/>
          <w:bCs/>
          <w:rtl/>
          <w:lang w:bidi="ar-EG"/>
        </w:rPr>
        <w:t>،</w:t>
      </w:r>
      <w:r>
        <w:rPr>
          <w:rFonts w:hint="cs"/>
          <w:b/>
          <w:bCs/>
          <w:rtl/>
          <w:lang w:bidi="ar-EG"/>
        </w:rPr>
        <w:t xml:space="preserve"> وتُمنح الأولوية في هذه الفئة بموجب الدستور للحوامل والرضع الذين يقل عمرهم عن سنة</w:t>
      </w:r>
      <w:r w:rsidR="003D7EB4">
        <w:rPr>
          <w:rFonts w:hint="cs"/>
          <w:b/>
          <w:bCs/>
          <w:rtl/>
          <w:lang w:bidi="ar-EG"/>
        </w:rPr>
        <w:t>،</w:t>
      </w:r>
      <w:r>
        <w:rPr>
          <w:rFonts w:hint="cs"/>
          <w:b/>
          <w:bCs/>
          <w:rtl/>
          <w:lang w:bidi="ar-EG"/>
        </w:rPr>
        <w:t xml:space="preserve"> وثمة جانب إيجابي آخر للنظام هوأنه يشمل المنتسب ومجموعاته الأسرية سواء في نظام الاشتراك أوفي النظام المدعم</w:t>
      </w:r>
      <w:r w:rsidR="003D7EB4">
        <w:rPr>
          <w:rFonts w:hint="cs"/>
          <w:b/>
          <w:bCs/>
          <w:rtl/>
          <w:lang w:bidi="ar-EG"/>
        </w:rPr>
        <w:t>،</w:t>
      </w:r>
    </w:p>
    <w:p w:rsidR="00971AE2" w:rsidRDefault="00971AE2" w:rsidP="00A343DF">
      <w:pPr>
        <w:pStyle w:val="SingleTxt"/>
        <w:rPr>
          <w:rFonts w:hint="cs"/>
          <w:rtl/>
          <w:lang w:bidi="ar-EG"/>
        </w:rPr>
      </w:pPr>
      <w:r>
        <w:rPr>
          <w:rFonts w:hint="cs"/>
          <w:b/>
          <w:bCs/>
          <w:rtl/>
          <w:lang w:bidi="ar-EG"/>
        </w:rPr>
        <w:tab/>
      </w:r>
      <w:r>
        <w:rPr>
          <w:rFonts w:hint="cs"/>
          <w:rtl/>
          <w:lang w:bidi="ar-EG"/>
        </w:rPr>
        <w:t>وتضع وزارة الرعاية والمجلس الوطني للتأمينات الاجتماعية السياسات وتحدد مصادر تمويل الخدمات الصحية والمساعدة التقنية؛ والهيئات الإقليمية هي المعنية بتقديم الخدمات</w:t>
      </w:r>
      <w:r w:rsidR="003D7EB4">
        <w:rPr>
          <w:rFonts w:hint="cs"/>
          <w:rtl/>
          <w:lang w:bidi="ar-EG"/>
        </w:rPr>
        <w:t>،</w:t>
      </w:r>
      <w:r>
        <w:rPr>
          <w:rFonts w:hint="cs"/>
          <w:rtl/>
          <w:lang w:bidi="ar-EG"/>
        </w:rPr>
        <w:t xml:space="preserve"> وترد فيما يلي بعض الاستراتيجيات والخطط والبرامج التي قررتها هذه الوزارة لصالح الأطفال والأمهات والحوامل والمرضعات وكبار السن:</w:t>
      </w:r>
    </w:p>
    <w:p w:rsidR="00971AE2" w:rsidRDefault="00971AE2" w:rsidP="00A343DF">
      <w:pPr>
        <w:pStyle w:val="SingleTxt"/>
        <w:rPr>
          <w:rFonts w:hint="cs"/>
          <w:rtl/>
          <w:lang w:bidi="ar-EG"/>
        </w:rPr>
      </w:pPr>
      <w:r>
        <w:rPr>
          <w:rFonts w:hint="cs"/>
          <w:rtl/>
          <w:lang w:bidi="ar-EG"/>
        </w:rPr>
        <w:tab/>
        <w:t>-</w:t>
      </w:r>
      <w:r>
        <w:rPr>
          <w:rFonts w:hint="cs"/>
          <w:rtl/>
          <w:lang w:bidi="ar-EG"/>
        </w:rPr>
        <w:tab/>
        <w:t>العلاج المتكامل لأمراض الطفولة المنتشرة</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برنامج تحصينات واسع النطاق</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الخطة العشرية لرعاية ودعم الإرضاع الطبيعي</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أدلة غذائية لصالح السكان الذين لم يبلغوا الثانية من عمرهم</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الخطة الوطنية للصحة والتغذية</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السياسة الوطنية للصحة الجنسية والتناسلية</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دعم عمليات تعزيز الصحة الجنسية بالرفال</w:t>
      </w:r>
      <w:r w:rsidR="003D7EB4">
        <w:rPr>
          <w:rFonts w:hint="cs"/>
          <w:rtl/>
          <w:lang w:bidi="ar-EG"/>
        </w:rPr>
        <w:t>،</w:t>
      </w:r>
    </w:p>
    <w:p w:rsidR="00971AE2" w:rsidRDefault="00971AE2" w:rsidP="00A343DF">
      <w:pPr>
        <w:pStyle w:val="SingleTxt"/>
        <w:rPr>
          <w:rFonts w:hint="cs"/>
          <w:rtl/>
          <w:lang w:bidi="ar-EG"/>
        </w:rPr>
      </w:pPr>
      <w:r>
        <w:rPr>
          <w:rFonts w:hint="cs"/>
          <w:rtl/>
          <w:lang w:bidi="ar-EG"/>
        </w:rPr>
        <w:tab/>
        <w:t>وقد أصدرت وزارة الرعايـــة السياســة الوطنيــة والصحة الجنسية والتناسلية للفترة 2002-2006، التي تنطلق من تصور</w:t>
      </w:r>
      <w:r>
        <w:rPr>
          <w:rFonts w:hint="cs"/>
          <w:vertAlign w:val="superscript"/>
          <w:rtl/>
          <w:lang w:bidi="ar-EG"/>
        </w:rPr>
        <w:t>(120)</w:t>
      </w:r>
      <w:r>
        <w:rPr>
          <w:rFonts w:hint="cs"/>
          <w:rtl/>
          <w:lang w:bidi="ar-EG"/>
        </w:rPr>
        <w:t xml:space="preserve"> للصحة الجنسية والتناسلية، في ظل الفردية الأساسية التي مفادها أن الحقوق الجنسية والتناسلية هي جزء من حقوق الإنسان ولذا فإنه ينبغي إعمالها من خلال هذا المنظور، إلى جانب الأطراف بأن الخدمات الصحية هي خدمات عامة والمواضيع الرئيسية التي يدور حولها الاقتراح هي: الأمومة المأمونة وتنظيم الأسرة والصحة الجنسية والتناسلية للمراهقين وسرطان عنق الرحم والأمراض التي تنتقل عن طريق الاتصال الجنسي بما في ذلك فيروس نقص المناعة البشرية/الإيدز والعنف العائلي والجنسي</w:t>
      </w:r>
      <w:r w:rsidR="003D7EB4">
        <w:rPr>
          <w:rFonts w:hint="cs"/>
          <w:rtl/>
          <w:lang w:bidi="ar-EG"/>
        </w:rPr>
        <w:t>،</w:t>
      </w:r>
      <w:r>
        <w:rPr>
          <w:rFonts w:hint="cs"/>
          <w:rtl/>
          <w:lang w:bidi="ar-EG"/>
        </w:rPr>
        <w:t xml:space="preserve"> ويتمثل الهدف العام في تحسين الصحة الجنسية والتناسلية والتشجيع على ممارسة جميع السكان للحق في الصحة الجنسية والتناسلية، مع التركيز بصفة خاصة على تمكين المرأة</w:t>
      </w:r>
      <w:r>
        <w:rPr>
          <w:rFonts w:hint="cs"/>
          <w:vertAlign w:val="superscript"/>
          <w:rtl/>
          <w:lang w:bidi="ar-EG"/>
        </w:rPr>
        <w:t>(121)</w:t>
      </w:r>
      <w:r>
        <w:rPr>
          <w:rFonts w:hint="cs"/>
          <w:rtl/>
          <w:lang w:bidi="ar-EG"/>
        </w:rPr>
        <w:t>، وخفض عوامل الضعف وأن السلوك الخطرة، وتنشيط العوامل الحمائية ++++ المجموعات ذات الاحتياجات الخاصة</w:t>
      </w:r>
      <w:r w:rsidR="003D7EB4">
        <w:rPr>
          <w:rFonts w:hint="cs"/>
          <w:rtl/>
          <w:lang w:bidi="ar-EG"/>
        </w:rPr>
        <w:t>،</w:t>
      </w:r>
    </w:p>
    <w:p w:rsidR="00971AE2" w:rsidRDefault="00971AE2" w:rsidP="00A343DF">
      <w:pPr>
        <w:pStyle w:val="SingleTxt"/>
        <w:rPr>
          <w:rFonts w:hint="cs"/>
          <w:rtl/>
          <w:lang w:bidi="ar-EG"/>
        </w:rPr>
      </w:pPr>
      <w:r>
        <w:rPr>
          <w:rFonts w:hint="cs"/>
          <w:rtl/>
          <w:lang w:bidi="ar-EG"/>
        </w:rPr>
        <w:tab/>
        <w:t>وترد فيما يلي الاستراتيجيات التي وضعتها وزارة الرعاية لتحسين حالة المرأة:</w:t>
      </w:r>
    </w:p>
    <w:p w:rsidR="00971AE2" w:rsidRDefault="00971AE2" w:rsidP="00A343DF">
      <w:pPr>
        <w:pStyle w:val="SingleTxt"/>
        <w:rPr>
          <w:rFonts w:hint="cs"/>
          <w:rtl/>
          <w:lang w:bidi="ar-EG"/>
        </w:rPr>
      </w:pPr>
      <w:r>
        <w:rPr>
          <w:rFonts w:hint="cs"/>
          <w:rtl/>
          <w:lang w:bidi="ar-EG"/>
        </w:rPr>
        <w:tab/>
        <w:t>(أ)</w:t>
      </w:r>
      <w:r>
        <w:rPr>
          <w:rFonts w:hint="cs"/>
          <w:rtl/>
          <w:lang w:bidi="ar-EG"/>
        </w:rPr>
        <w:tab/>
        <w:t>زيادة الالتزام السياسي بتعزيز استخدام المرأة للخدمات الصحية</w:t>
      </w:r>
      <w:r>
        <w:rPr>
          <w:rFonts w:hint="cs"/>
          <w:vertAlign w:val="superscript"/>
          <w:rtl/>
          <w:lang w:bidi="ar-EG"/>
        </w:rPr>
        <w:t>(122)</w:t>
      </w:r>
      <w:r w:rsidR="003D7EB4">
        <w:rPr>
          <w:rFonts w:hint="cs"/>
          <w:rtl/>
          <w:lang w:bidi="ar-EG"/>
        </w:rPr>
        <w:t>،</w:t>
      </w:r>
    </w:p>
    <w:p w:rsidR="00971AE2" w:rsidRDefault="00971AE2" w:rsidP="00A343DF">
      <w:pPr>
        <w:pStyle w:val="SingleTxt"/>
        <w:rPr>
          <w:rFonts w:hint="cs"/>
          <w:rtl/>
          <w:lang w:bidi="ar-EG"/>
        </w:rPr>
      </w:pPr>
      <w:r>
        <w:rPr>
          <w:rFonts w:hint="cs"/>
          <w:rtl/>
          <w:lang w:bidi="ar-EG"/>
        </w:rPr>
        <w:tab/>
        <w:t>(ب)</w:t>
      </w:r>
      <w:r>
        <w:rPr>
          <w:rFonts w:hint="cs"/>
          <w:rtl/>
          <w:lang w:bidi="ar-EG"/>
        </w:rPr>
        <w:tab/>
        <w:t>تحسين القدرة الإدارية عن طريق وضع ونشر قواعد وأدلة للرعاية في مجال الصحة الجنسية والتناسلية في النظام العام للتأمينات الاجتماعية والصحية</w:t>
      </w:r>
      <w:r>
        <w:rPr>
          <w:rFonts w:hint="cs"/>
          <w:vertAlign w:val="superscript"/>
          <w:rtl/>
          <w:lang w:bidi="ar-EG"/>
        </w:rPr>
        <w:t>(123)</w:t>
      </w:r>
      <w:r w:rsidR="003D7EB4">
        <w:rPr>
          <w:rFonts w:hint="cs"/>
          <w:rtl/>
          <w:lang w:bidi="ar-EG"/>
        </w:rPr>
        <w:t>،</w:t>
      </w:r>
    </w:p>
    <w:p w:rsidR="00971AE2" w:rsidRDefault="00971AE2" w:rsidP="00A343DF">
      <w:pPr>
        <w:pStyle w:val="SingleTxt"/>
        <w:rPr>
          <w:rFonts w:hint="cs"/>
          <w:rtl/>
          <w:lang w:bidi="ar-EG"/>
        </w:rPr>
      </w:pPr>
      <w:r>
        <w:rPr>
          <w:rFonts w:hint="cs"/>
          <w:rtl/>
          <w:lang w:bidi="ar-EG"/>
        </w:rPr>
        <w:tab/>
        <w:t>(ج)</w:t>
      </w:r>
      <w:r>
        <w:rPr>
          <w:rFonts w:hint="cs"/>
          <w:rtl/>
          <w:lang w:bidi="ar-EG"/>
        </w:rPr>
        <w:tab/>
        <w:t>تقوية التنسيق المشترك بين القطاعات بشأن الصحة الجنسية والتناسلية عن طريق إجراءات مختلفة</w:t>
      </w:r>
      <w:r>
        <w:rPr>
          <w:rFonts w:hint="cs"/>
          <w:vertAlign w:val="superscript"/>
          <w:rtl/>
          <w:lang w:bidi="ar-EG"/>
        </w:rPr>
        <w:t>(124)</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مع مراعاة أن السكان المشردين معرضين لخطر الإصابة بفيروس نقص المناعة البشرية/الإيدز بسبب قلة حصولهم على الخدمات الصحية والاختلافات الثقافية في النشاط الجنسي وآلية التنسيق الوطني </w:t>
      </w:r>
      <w:r>
        <w:rPr>
          <w:rtl/>
          <w:lang w:bidi="ar-EG"/>
        </w:rPr>
        <w:t>–</w:t>
      </w:r>
      <w:r>
        <w:rPr>
          <w:rFonts w:hint="cs"/>
          <w:rtl/>
          <w:lang w:bidi="ar-EG"/>
        </w:rPr>
        <w:t xml:space="preserve"> آلية التنسيق القطري </w:t>
      </w:r>
      <w:r>
        <w:rPr>
          <w:rtl/>
          <w:lang w:bidi="ar-EG"/>
        </w:rPr>
        <w:t>–</w:t>
      </w:r>
      <w:r>
        <w:rPr>
          <w:rFonts w:hint="cs"/>
          <w:rtl/>
          <w:lang w:bidi="ar-EG"/>
        </w:rPr>
        <w:t xml:space="preserve"> في كولومبيا قُدم اقتراح بمشروع يسمى إعداد متصد شامل في مجال الصحة الجنسية والتناسلية، مع التركيز على الوقاية من الأمراض التي تنتقل عن طريق الاتصال الجنسي ومعالجتها وفيروس نقص المناعة البشرية/ الإيدز لدى المراهقين والمراهقات والراشدين والراشدات والشباب الذين يعيشون في ظروف تشرد داخلية في كولومبيا بقيمة كلية تبلغ 000 678 8 دولار سيساهم بها الصندوق العالمي لمكافحة السل والملاريا والإيدز</w:t>
      </w:r>
      <w:r w:rsidR="003D7EB4">
        <w:rPr>
          <w:rFonts w:hint="cs"/>
          <w:rtl/>
          <w:lang w:bidi="ar-EG"/>
        </w:rPr>
        <w:t>،</w:t>
      </w:r>
      <w:r>
        <w:rPr>
          <w:rFonts w:hint="cs"/>
          <w:rtl/>
          <w:lang w:bidi="ar-EG"/>
        </w:rPr>
        <w:t xml:space="preserve"> وسوف يُنفذ هذا المشروع في الـ 48 بلدية الأكثر تضررا بحالة التشرد</w:t>
      </w:r>
      <w:r w:rsidR="003D7EB4">
        <w:rPr>
          <w:rFonts w:hint="cs"/>
          <w:rtl/>
          <w:lang w:bidi="ar-EG"/>
        </w:rPr>
        <w:t>،</w:t>
      </w:r>
      <w:r>
        <w:rPr>
          <w:rFonts w:hint="cs"/>
          <w:rtl/>
          <w:lang w:bidi="ar-EG"/>
        </w:rPr>
        <w:t xml:space="preserve"> وترمي الاستراتيجيات الثلاث للمشروع الذي سينفذ لمدة أربع سنوات اعتبارا من كانون الثاني/يناير 2004 إلى ما يلي: ’1‘ دعم التصدي الاجتماعي للبلديات المختارة؛ وتحسين نوعية وتخطيط الخدمات المقدمة إلى الشكان المستهدفين في قطاعي الصحة والتعليم؛ وتدريب وتمكين 000 600 مراهق وراشد وفتيان تتراوح أعمارهم بين 10 و24 سنة</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الإحصاءات</w:t>
      </w:r>
    </w:p>
    <w:p w:rsidR="00971AE2" w:rsidRDefault="00971AE2" w:rsidP="00A343DF">
      <w:pPr>
        <w:pStyle w:val="SingleTxt"/>
        <w:rPr>
          <w:rFonts w:hint="cs"/>
          <w:rtl/>
          <w:lang w:bidi="ar-EG"/>
        </w:rPr>
      </w:pPr>
      <w:r>
        <w:rPr>
          <w:rFonts w:hint="cs"/>
          <w:b/>
          <w:bCs/>
          <w:rtl/>
          <w:lang w:bidi="ar-EG"/>
        </w:rPr>
        <w:tab/>
      </w:r>
      <w:r>
        <w:rPr>
          <w:rFonts w:hint="cs"/>
          <w:rtl/>
          <w:lang w:bidi="ar-EG"/>
        </w:rPr>
        <w:t>في سنة 2000 كان الذكور يمثلون 48 في المائة من السكان والإناث يمثلن 52 في المائة؛ وفي المنطقة الريفية كان الذكور يمثلون 52</w:t>
      </w:r>
      <w:r w:rsidR="00CC17E1">
        <w:rPr>
          <w:rFonts w:hint="cs"/>
          <w:rtl/>
          <w:lang w:bidi="ar-EG"/>
        </w:rPr>
        <w:t>.</w:t>
      </w:r>
      <w:r>
        <w:rPr>
          <w:rFonts w:hint="cs"/>
          <w:rtl/>
          <w:lang w:bidi="ar-EG"/>
        </w:rPr>
        <w:t>40 في المائة والإناث يمثلن 47</w:t>
      </w:r>
      <w:r w:rsidR="00CC17E1">
        <w:rPr>
          <w:rFonts w:hint="cs"/>
          <w:rtl/>
          <w:lang w:bidi="ar-EG"/>
        </w:rPr>
        <w:t>.</w:t>
      </w:r>
      <w:r>
        <w:rPr>
          <w:rFonts w:hint="cs"/>
          <w:rtl/>
          <w:lang w:bidi="ar-EG"/>
        </w:rPr>
        <w:t>60 في المائة</w:t>
      </w:r>
      <w:r w:rsidR="003D7EB4">
        <w:rPr>
          <w:rFonts w:hint="cs"/>
          <w:rtl/>
          <w:lang w:bidi="ar-EG"/>
        </w:rPr>
        <w:t>،</w:t>
      </w:r>
      <w:r>
        <w:rPr>
          <w:rFonts w:hint="cs"/>
          <w:rtl/>
          <w:lang w:bidi="ar-EG"/>
        </w:rPr>
        <w:t xml:space="preserve"> ومعظم سكان البلد تقليديا من الشباب؛ فيما بين عامي 1998 و2002 كان ما</w:t>
      </w:r>
      <w:r>
        <w:rPr>
          <w:rFonts w:hint="eastAsia"/>
          <w:rtl/>
          <w:lang w:bidi="ar-EG"/>
        </w:rPr>
        <w:t> </w:t>
      </w:r>
      <w:r>
        <w:rPr>
          <w:rFonts w:hint="cs"/>
          <w:rtl/>
          <w:lang w:bidi="ar-EG"/>
        </w:rPr>
        <w:t>يتراوح بين 36 في المائة و40 في المائة من مجموع عدد السكان لم يبلغوا الثامنة عشرة من عمرهم وكان 67 في المائة منهم يعيشون في المنطقة الحضرية و33 في المائة يعيشون في المنطقة الريفية</w:t>
      </w:r>
      <w:r w:rsidR="003D7EB4">
        <w:rPr>
          <w:rFonts w:hint="cs"/>
          <w:rtl/>
          <w:lang w:bidi="ar-EG"/>
        </w:rPr>
        <w:t>،</w:t>
      </w:r>
    </w:p>
    <w:p w:rsidR="00971AE2" w:rsidRDefault="00971AE2" w:rsidP="00A343DF">
      <w:pPr>
        <w:pStyle w:val="SingleTxt"/>
        <w:rPr>
          <w:rFonts w:hint="cs"/>
          <w:rtl/>
          <w:lang w:bidi="ar-EG"/>
        </w:rPr>
      </w:pPr>
      <w:r>
        <w:rPr>
          <w:rFonts w:hint="cs"/>
          <w:rtl/>
          <w:lang w:bidi="ar-EG"/>
        </w:rPr>
        <w:tab/>
        <w:t>وكان 52 في المائة من مجموع عدد سكان كولومبيا (981 847 21 شخص) مشمولين بالخدمات الصحية في نظام الاشتراكات والنظام المدعم، وكان 52</w:t>
      </w:r>
      <w:r w:rsidR="00CC17E1">
        <w:rPr>
          <w:rFonts w:hint="cs"/>
          <w:rtl/>
          <w:lang w:bidi="ar-EG"/>
        </w:rPr>
        <w:t>.</w:t>
      </w:r>
      <w:r>
        <w:rPr>
          <w:rFonts w:hint="cs"/>
          <w:rtl/>
          <w:lang w:bidi="ar-EG"/>
        </w:rPr>
        <w:t>67 في المائة (998 504 11) منهم نساء و47</w:t>
      </w:r>
      <w:r w:rsidR="00CC17E1">
        <w:rPr>
          <w:rFonts w:hint="cs"/>
          <w:rtl/>
          <w:lang w:bidi="ar-EG"/>
        </w:rPr>
        <w:t>.</w:t>
      </w:r>
      <w:r>
        <w:rPr>
          <w:rFonts w:hint="cs"/>
          <w:rtl/>
          <w:lang w:bidi="ar-EG"/>
        </w:rPr>
        <w:t>32 في المائة (983 342 10) منهم ذكور</w:t>
      </w:r>
      <w:r>
        <w:rPr>
          <w:rFonts w:hint="cs"/>
          <w:vertAlign w:val="superscript"/>
          <w:rtl/>
          <w:lang w:bidi="ar-EG"/>
        </w:rPr>
        <w:t>(125)</w:t>
      </w:r>
      <w:r w:rsidR="003D7EB4">
        <w:rPr>
          <w:rFonts w:hint="cs"/>
          <w:rtl/>
          <w:lang w:bidi="ar-EG"/>
        </w:rPr>
        <w:t>،</w:t>
      </w:r>
      <w:r>
        <w:rPr>
          <w:rFonts w:hint="cs"/>
          <w:rtl/>
          <w:lang w:bidi="ar-EG"/>
        </w:rPr>
        <w:t xml:space="preserve"> وفي ما بين عامي 1998 و2002 ازداد عدد المنتسبين إلى النظام المدعم من 55</w:t>
      </w:r>
      <w:r w:rsidR="00CC17E1">
        <w:rPr>
          <w:rFonts w:hint="cs"/>
          <w:rtl/>
          <w:lang w:bidi="ar-EG"/>
        </w:rPr>
        <w:t>.</w:t>
      </w:r>
      <w:r>
        <w:rPr>
          <w:rFonts w:hint="cs"/>
          <w:rtl/>
          <w:lang w:bidi="ar-EG"/>
        </w:rPr>
        <w:t>51 في المائة إلى 69</w:t>
      </w:r>
      <w:r w:rsidR="00CC17E1">
        <w:rPr>
          <w:rFonts w:hint="cs"/>
          <w:rtl/>
          <w:lang w:bidi="ar-EG"/>
        </w:rPr>
        <w:t>.</w:t>
      </w:r>
      <w:r>
        <w:rPr>
          <w:rFonts w:hint="cs"/>
          <w:rtl/>
          <w:lang w:bidi="ar-EG"/>
        </w:rPr>
        <w:t>67 في المائة</w:t>
      </w:r>
      <w:r w:rsidR="003D7EB4">
        <w:rPr>
          <w:rFonts w:hint="cs"/>
          <w:rtl/>
          <w:lang w:bidi="ar-EG"/>
        </w:rPr>
        <w:t>،</w:t>
      </w:r>
      <w:r>
        <w:rPr>
          <w:rFonts w:hint="cs"/>
          <w:rtl/>
          <w:lang w:bidi="ar-EG"/>
        </w:rPr>
        <w:t xml:space="preserve"> وكان 39</w:t>
      </w:r>
      <w:r w:rsidR="00CC17E1">
        <w:rPr>
          <w:rFonts w:hint="cs"/>
          <w:rtl/>
          <w:lang w:bidi="ar-EG"/>
        </w:rPr>
        <w:t>.</w:t>
      </w:r>
      <w:r>
        <w:rPr>
          <w:rFonts w:hint="cs"/>
          <w:rtl/>
          <w:lang w:bidi="ar-EG"/>
        </w:rPr>
        <w:t>47 في المائة (918 541 4) من مجموع عدد النساء اللائي يحصلون على الخدمات الصحية منتسبات إلى النظام الصحي المدعم في حين كان 60</w:t>
      </w:r>
      <w:r w:rsidR="00CC17E1">
        <w:rPr>
          <w:rFonts w:hint="cs"/>
          <w:rtl/>
          <w:lang w:bidi="ar-EG"/>
        </w:rPr>
        <w:t>.</w:t>
      </w:r>
      <w:r>
        <w:rPr>
          <w:rFonts w:hint="cs"/>
          <w:rtl/>
          <w:lang w:bidi="ar-EG"/>
        </w:rPr>
        <w:t>52 في المائة (500 963 6) منتسبين إلى النظام الصحي ذي الاشتراكات</w:t>
      </w:r>
      <w:r w:rsidR="003D7EB4">
        <w:rPr>
          <w:rFonts w:hint="cs"/>
          <w:rtl/>
          <w:lang w:bidi="ar-EG"/>
        </w:rPr>
        <w:t>،</w:t>
      </w:r>
      <w:r>
        <w:rPr>
          <w:rFonts w:hint="cs"/>
          <w:rtl/>
          <w:lang w:bidi="ar-EG"/>
        </w:rPr>
        <w:t xml:space="preserve"> وكانت المتغيرات السكانية التقديرية لسنة 2002 تتمثل فيما يلي:</w:t>
      </w:r>
    </w:p>
    <w:p w:rsidR="00971AE2" w:rsidRDefault="00971AE2" w:rsidP="00A343DF">
      <w:pPr>
        <w:pStyle w:val="SingleTxt"/>
        <w:spacing w:after="0" w:line="120" w:lineRule="exact"/>
        <w:rPr>
          <w:rFonts w:hint="cs"/>
          <w:sz w:val="10"/>
          <w:rtl/>
          <w:lang w:bidi="ar-EG"/>
        </w:rPr>
      </w:pPr>
    </w:p>
    <w:tbl>
      <w:tblPr>
        <w:bidiVisual/>
        <w:tblW w:w="7828" w:type="dxa"/>
        <w:tblInd w:w="1095" w:type="dxa"/>
        <w:tblLayout w:type="fixed"/>
        <w:tblCellMar>
          <w:left w:w="0" w:type="dxa"/>
          <w:right w:w="0" w:type="dxa"/>
        </w:tblCellMar>
        <w:tblLook w:val="0000" w:firstRow="0" w:lastRow="0" w:firstColumn="0" w:lastColumn="0" w:noHBand="0" w:noVBand="0"/>
      </w:tblPr>
      <w:tblGrid>
        <w:gridCol w:w="6695"/>
        <w:gridCol w:w="1133"/>
      </w:tblGrid>
      <w:tr w:rsidR="00971AE2" w:rsidRPr="00587BFF">
        <w:tblPrEx>
          <w:tblCellMar>
            <w:top w:w="0" w:type="dxa"/>
            <w:bottom w:w="0" w:type="dxa"/>
          </w:tblCellMar>
        </w:tblPrEx>
        <w:tc>
          <w:tcPr>
            <w:tcW w:w="6695"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b/>
                <w:bCs/>
                <w:sz w:val="24"/>
                <w:szCs w:val="24"/>
                <w:rtl/>
              </w:rPr>
              <w:tab/>
            </w:r>
            <w:r w:rsidRPr="00587BFF">
              <w:rPr>
                <w:rFonts w:hint="cs"/>
                <w:b/>
                <w:bCs/>
                <w:sz w:val="24"/>
                <w:szCs w:val="24"/>
                <w:rtl/>
              </w:rPr>
              <w:t>-</w:t>
            </w:r>
            <w:r w:rsidRPr="00587BFF">
              <w:rPr>
                <w:b/>
                <w:bCs/>
                <w:sz w:val="24"/>
                <w:szCs w:val="24"/>
                <w:rtl/>
              </w:rPr>
              <w:tab/>
            </w:r>
            <w:r w:rsidRPr="00587BFF">
              <w:rPr>
                <w:rFonts w:hint="cs"/>
                <w:b/>
                <w:bCs/>
                <w:sz w:val="24"/>
                <w:szCs w:val="24"/>
                <w:rtl/>
              </w:rPr>
              <w:t>المعدل الإجمالي لخصوبة النساء</w:t>
            </w:r>
          </w:p>
        </w:tc>
        <w:tc>
          <w:tcPr>
            <w:tcW w:w="1133"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rFonts w:hint="cs"/>
                <w:b/>
                <w:bCs/>
                <w:sz w:val="24"/>
                <w:szCs w:val="24"/>
                <w:rtl/>
              </w:rPr>
              <w:t>2</w:t>
            </w:r>
            <w:r w:rsidR="00CC17E1">
              <w:rPr>
                <w:rFonts w:hint="cs"/>
                <w:b/>
                <w:bCs/>
                <w:sz w:val="24"/>
                <w:szCs w:val="24"/>
                <w:rtl/>
              </w:rPr>
              <w:t>.</w:t>
            </w:r>
            <w:r w:rsidRPr="00587BFF">
              <w:rPr>
                <w:rFonts w:hint="cs"/>
                <w:b/>
                <w:bCs/>
                <w:sz w:val="24"/>
                <w:szCs w:val="24"/>
                <w:rtl/>
              </w:rPr>
              <w:t>6</w:t>
            </w:r>
          </w:p>
        </w:tc>
      </w:tr>
      <w:tr w:rsidR="00971AE2" w:rsidRPr="00587BFF">
        <w:tblPrEx>
          <w:tblCellMar>
            <w:top w:w="0" w:type="dxa"/>
            <w:bottom w:w="0" w:type="dxa"/>
          </w:tblCellMar>
        </w:tblPrEx>
        <w:tc>
          <w:tcPr>
            <w:tcW w:w="6695" w:type="dxa"/>
          </w:tcPr>
          <w:p w:rsidR="00971AE2" w:rsidRPr="00587BFF" w:rsidRDefault="00971AE2" w:rsidP="00A343DF">
            <w:pPr>
              <w:tabs>
                <w:tab w:val="left" w:pos="288"/>
                <w:tab w:val="left" w:pos="576"/>
                <w:tab w:val="left" w:pos="864"/>
                <w:tab w:val="left" w:pos="1152"/>
              </w:tabs>
              <w:ind w:left="576" w:right="40" w:hanging="576"/>
              <w:jc w:val="lowKashida"/>
              <w:rPr>
                <w:b/>
                <w:bCs/>
                <w:sz w:val="24"/>
                <w:szCs w:val="24"/>
                <w:rtl/>
              </w:rPr>
            </w:pPr>
            <w:r w:rsidRPr="00587BFF">
              <w:rPr>
                <w:b/>
                <w:bCs/>
                <w:sz w:val="24"/>
                <w:szCs w:val="24"/>
                <w:rtl/>
              </w:rPr>
              <w:tab/>
            </w:r>
            <w:r w:rsidRPr="00587BFF">
              <w:rPr>
                <w:rFonts w:hint="cs"/>
                <w:b/>
                <w:bCs/>
                <w:sz w:val="24"/>
                <w:szCs w:val="24"/>
                <w:rtl/>
              </w:rPr>
              <w:t>-</w:t>
            </w:r>
            <w:r w:rsidRPr="00587BFF">
              <w:rPr>
                <w:b/>
                <w:bCs/>
                <w:sz w:val="24"/>
                <w:szCs w:val="24"/>
                <w:rtl/>
              </w:rPr>
              <w:tab/>
            </w:r>
            <w:r w:rsidRPr="00587BFF">
              <w:rPr>
                <w:rFonts w:hint="cs"/>
                <w:b/>
                <w:bCs/>
                <w:sz w:val="24"/>
                <w:szCs w:val="24"/>
                <w:rtl/>
              </w:rPr>
              <w:t>المعدل الخاص بخصوبة النساء اللائي تتراوح أعمارهم بين 15 و19 سنة</w:t>
            </w:r>
          </w:p>
        </w:tc>
        <w:tc>
          <w:tcPr>
            <w:tcW w:w="1133"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rFonts w:hint="cs"/>
                <w:b/>
                <w:bCs/>
                <w:sz w:val="24"/>
                <w:szCs w:val="24"/>
                <w:rtl/>
              </w:rPr>
              <w:t>79</w:t>
            </w:r>
            <w:r w:rsidR="00CC17E1">
              <w:rPr>
                <w:rFonts w:hint="cs"/>
                <w:b/>
                <w:bCs/>
                <w:sz w:val="24"/>
                <w:szCs w:val="24"/>
                <w:rtl/>
              </w:rPr>
              <w:t>.</w:t>
            </w:r>
            <w:r w:rsidRPr="00587BFF">
              <w:rPr>
                <w:rFonts w:hint="cs"/>
                <w:b/>
                <w:bCs/>
                <w:sz w:val="24"/>
                <w:szCs w:val="24"/>
                <w:rtl/>
              </w:rPr>
              <w:t>5</w:t>
            </w:r>
          </w:p>
        </w:tc>
      </w:tr>
      <w:tr w:rsidR="00971AE2" w:rsidRPr="00587BFF">
        <w:tblPrEx>
          <w:tblCellMar>
            <w:top w:w="0" w:type="dxa"/>
            <w:bottom w:w="0" w:type="dxa"/>
          </w:tblCellMar>
        </w:tblPrEx>
        <w:tc>
          <w:tcPr>
            <w:tcW w:w="6695" w:type="dxa"/>
          </w:tcPr>
          <w:p w:rsidR="00971AE2" w:rsidRPr="00587BFF" w:rsidRDefault="00971AE2" w:rsidP="00A343DF">
            <w:pPr>
              <w:tabs>
                <w:tab w:val="left" w:pos="288"/>
                <w:tab w:val="left" w:pos="576"/>
                <w:tab w:val="left" w:pos="864"/>
                <w:tab w:val="left" w:pos="1152"/>
              </w:tabs>
              <w:ind w:right="40"/>
              <w:jc w:val="lowKashida"/>
              <w:rPr>
                <w:b/>
                <w:bCs/>
                <w:sz w:val="24"/>
                <w:szCs w:val="24"/>
                <w:rtl/>
              </w:rPr>
            </w:pPr>
            <w:r w:rsidRPr="00587BFF">
              <w:rPr>
                <w:b/>
                <w:bCs/>
                <w:sz w:val="24"/>
                <w:szCs w:val="24"/>
                <w:rtl/>
              </w:rPr>
              <w:tab/>
            </w:r>
            <w:r w:rsidRPr="00587BFF">
              <w:rPr>
                <w:rFonts w:hint="cs"/>
                <w:b/>
                <w:bCs/>
                <w:sz w:val="24"/>
                <w:szCs w:val="24"/>
                <w:rtl/>
              </w:rPr>
              <w:t>-</w:t>
            </w:r>
            <w:r w:rsidRPr="00587BFF">
              <w:rPr>
                <w:b/>
                <w:bCs/>
                <w:sz w:val="24"/>
                <w:szCs w:val="24"/>
                <w:rtl/>
              </w:rPr>
              <w:tab/>
            </w:r>
            <w:r w:rsidRPr="00587BFF">
              <w:rPr>
                <w:rFonts w:hint="cs"/>
                <w:b/>
                <w:bCs/>
                <w:sz w:val="24"/>
                <w:szCs w:val="24"/>
                <w:rtl/>
              </w:rPr>
              <w:t>المتوسط السنوي للمواليد</w:t>
            </w:r>
          </w:p>
        </w:tc>
        <w:tc>
          <w:tcPr>
            <w:tcW w:w="1133"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rFonts w:hint="cs"/>
                <w:b/>
                <w:bCs/>
                <w:sz w:val="24"/>
                <w:szCs w:val="24"/>
                <w:rtl/>
              </w:rPr>
              <w:t>260 979</w:t>
            </w:r>
          </w:p>
        </w:tc>
      </w:tr>
      <w:tr w:rsidR="00971AE2" w:rsidRPr="00587BFF">
        <w:tblPrEx>
          <w:tblCellMar>
            <w:top w:w="0" w:type="dxa"/>
            <w:bottom w:w="0" w:type="dxa"/>
          </w:tblCellMar>
        </w:tblPrEx>
        <w:tc>
          <w:tcPr>
            <w:tcW w:w="6695" w:type="dxa"/>
          </w:tcPr>
          <w:p w:rsidR="00971AE2" w:rsidRPr="00587BFF" w:rsidRDefault="00971AE2" w:rsidP="00A343DF">
            <w:pPr>
              <w:tabs>
                <w:tab w:val="left" w:pos="288"/>
                <w:tab w:val="left" w:pos="576"/>
                <w:tab w:val="left" w:pos="864"/>
                <w:tab w:val="left" w:pos="1152"/>
              </w:tabs>
              <w:ind w:left="576" w:right="40" w:hanging="576"/>
              <w:jc w:val="lowKashida"/>
              <w:rPr>
                <w:b/>
                <w:bCs/>
                <w:sz w:val="24"/>
                <w:szCs w:val="24"/>
                <w:rtl/>
              </w:rPr>
            </w:pPr>
            <w:r w:rsidRPr="00587BFF">
              <w:rPr>
                <w:b/>
                <w:bCs/>
                <w:sz w:val="24"/>
                <w:szCs w:val="24"/>
                <w:rtl/>
              </w:rPr>
              <w:tab/>
            </w:r>
            <w:r w:rsidRPr="00587BFF">
              <w:rPr>
                <w:rFonts w:hint="cs"/>
                <w:b/>
                <w:bCs/>
                <w:sz w:val="24"/>
                <w:szCs w:val="24"/>
                <w:rtl/>
              </w:rPr>
              <w:t>-</w:t>
            </w:r>
            <w:r w:rsidRPr="00587BFF">
              <w:rPr>
                <w:b/>
                <w:bCs/>
                <w:sz w:val="24"/>
                <w:szCs w:val="24"/>
                <w:rtl/>
              </w:rPr>
              <w:tab/>
            </w:r>
            <w:r w:rsidRPr="00587BFF">
              <w:rPr>
                <w:rFonts w:hint="cs"/>
                <w:b/>
                <w:bCs/>
                <w:sz w:val="24"/>
                <w:szCs w:val="24"/>
                <w:rtl/>
              </w:rPr>
              <w:t>المعدل الإجمالي للولادات (عدد المولودين أحياء لكل 000 1 نسمة)</w:t>
            </w:r>
          </w:p>
        </w:tc>
        <w:tc>
          <w:tcPr>
            <w:tcW w:w="1133"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rFonts w:hint="cs"/>
                <w:b/>
                <w:bCs/>
                <w:sz w:val="24"/>
                <w:szCs w:val="24"/>
                <w:rtl/>
              </w:rPr>
              <w:t>22</w:t>
            </w:r>
            <w:r w:rsidR="00CC17E1">
              <w:rPr>
                <w:rFonts w:hint="cs"/>
                <w:b/>
                <w:bCs/>
                <w:sz w:val="24"/>
                <w:szCs w:val="24"/>
                <w:rtl/>
              </w:rPr>
              <w:t>.</w:t>
            </w:r>
            <w:r w:rsidRPr="00587BFF">
              <w:rPr>
                <w:rFonts w:hint="cs"/>
                <w:b/>
                <w:bCs/>
                <w:sz w:val="24"/>
                <w:szCs w:val="24"/>
                <w:rtl/>
              </w:rPr>
              <w:t>4</w:t>
            </w:r>
          </w:p>
        </w:tc>
      </w:tr>
      <w:tr w:rsidR="00971AE2" w:rsidRPr="00587BFF">
        <w:tblPrEx>
          <w:tblCellMar>
            <w:top w:w="0" w:type="dxa"/>
            <w:bottom w:w="0" w:type="dxa"/>
          </w:tblCellMar>
        </w:tblPrEx>
        <w:tc>
          <w:tcPr>
            <w:tcW w:w="6695" w:type="dxa"/>
          </w:tcPr>
          <w:p w:rsidR="00971AE2" w:rsidRPr="00587BFF" w:rsidRDefault="00971AE2" w:rsidP="00A343DF">
            <w:pPr>
              <w:tabs>
                <w:tab w:val="left" w:pos="288"/>
                <w:tab w:val="left" w:pos="576"/>
                <w:tab w:val="left" w:pos="864"/>
                <w:tab w:val="left" w:pos="1152"/>
              </w:tabs>
              <w:ind w:left="576" w:right="40" w:hanging="576"/>
              <w:jc w:val="lowKashida"/>
              <w:rPr>
                <w:b/>
                <w:bCs/>
                <w:sz w:val="24"/>
                <w:szCs w:val="24"/>
                <w:rtl/>
              </w:rPr>
            </w:pPr>
            <w:r w:rsidRPr="00587BFF">
              <w:rPr>
                <w:b/>
                <w:bCs/>
                <w:sz w:val="24"/>
                <w:szCs w:val="24"/>
                <w:rtl/>
              </w:rPr>
              <w:tab/>
            </w:r>
            <w:r w:rsidRPr="00587BFF">
              <w:rPr>
                <w:rFonts w:hint="cs"/>
                <w:b/>
                <w:bCs/>
                <w:sz w:val="24"/>
                <w:szCs w:val="24"/>
                <w:rtl/>
              </w:rPr>
              <w:t>-</w:t>
            </w:r>
            <w:r w:rsidRPr="00587BFF">
              <w:rPr>
                <w:b/>
                <w:bCs/>
                <w:sz w:val="24"/>
                <w:szCs w:val="24"/>
                <w:rtl/>
              </w:rPr>
              <w:tab/>
            </w:r>
            <w:r w:rsidRPr="00587BFF">
              <w:rPr>
                <w:rFonts w:hint="cs"/>
                <w:b/>
                <w:bCs/>
                <w:sz w:val="24"/>
                <w:szCs w:val="24"/>
                <w:rtl/>
              </w:rPr>
              <w:t>مجموع العمر المتوقع عند الولادة (سنوات)</w:t>
            </w:r>
          </w:p>
        </w:tc>
        <w:tc>
          <w:tcPr>
            <w:tcW w:w="1133"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rFonts w:hint="cs"/>
                <w:b/>
                <w:bCs/>
                <w:sz w:val="24"/>
                <w:szCs w:val="24"/>
                <w:rtl/>
              </w:rPr>
              <w:t>72</w:t>
            </w:r>
            <w:r w:rsidR="00CC17E1">
              <w:rPr>
                <w:rFonts w:hint="cs"/>
                <w:b/>
                <w:bCs/>
                <w:sz w:val="24"/>
                <w:szCs w:val="24"/>
                <w:rtl/>
              </w:rPr>
              <w:t>.</w:t>
            </w:r>
            <w:r w:rsidRPr="00587BFF">
              <w:rPr>
                <w:rFonts w:hint="cs"/>
                <w:b/>
                <w:bCs/>
                <w:sz w:val="24"/>
                <w:szCs w:val="24"/>
                <w:rtl/>
              </w:rPr>
              <w:t>2</w:t>
            </w:r>
          </w:p>
        </w:tc>
      </w:tr>
      <w:tr w:rsidR="00971AE2" w:rsidRPr="00587BFF">
        <w:tblPrEx>
          <w:tblCellMar>
            <w:top w:w="0" w:type="dxa"/>
            <w:bottom w:w="0" w:type="dxa"/>
          </w:tblCellMar>
        </w:tblPrEx>
        <w:tc>
          <w:tcPr>
            <w:tcW w:w="6695"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b/>
                <w:bCs/>
                <w:sz w:val="24"/>
                <w:szCs w:val="24"/>
                <w:rtl/>
              </w:rPr>
              <w:tab/>
            </w:r>
            <w:r w:rsidRPr="00587BFF">
              <w:rPr>
                <w:rFonts w:hint="cs"/>
                <w:b/>
                <w:bCs/>
                <w:sz w:val="24"/>
                <w:szCs w:val="24"/>
                <w:rtl/>
              </w:rPr>
              <w:t>-</w:t>
            </w:r>
            <w:r w:rsidRPr="00587BFF">
              <w:rPr>
                <w:b/>
                <w:bCs/>
                <w:sz w:val="24"/>
                <w:szCs w:val="24"/>
                <w:rtl/>
              </w:rPr>
              <w:tab/>
            </w:r>
            <w:r w:rsidRPr="00587BFF">
              <w:rPr>
                <w:rFonts w:hint="cs"/>
                <w:b/>
                <w:bCs/>
                <w:sz w:val="24"/>
                <w:szCs w:val="24"/>
                <w:rtl/>
              </w:rPr>
              <w:t>للرجال</w:t>
            </w:r>
          </w:p>
        </w:tc>
        <w:tc>
          <w:tcPr>
            <w:tcW w:w="1133"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rFonts w:hint="cs"/>
                <w:b/>
                <w:bCs/>
                <w:sz w:val="24"/>
                <w:szCs w:val="24"/>
                <w:rtl/>
              </w:rPr>
              <w:t>69</w:t>
            </w:r>
            <w:r w:rsidR="00CC17E1">
              <w:rPr>
                <w:rFonts w:hint="cs"/>
                <w:b/>
                <w:bCs/>
                <w:sz w:val="24"/>
                <w:szCs w:val="24"/>
                <w:rtl/>
              </w:rPr>
              <w:t>.</w:t>
            </w:r>
            <w:r w:rsidRPr="00587BFF">
              <w:rPr>
                <w:rFonts w:hint="cs"/>
                <w:b/>
                <w:bCs/>
                <w:sz w:val="24"/>
                <w:szCs w:val="24"/>
                <w:rtl/>
              </w:rPr>
              <w:t>2</w:t>
            </w:r>
          </w:p>
        </w:tc>
      </w:tr>
      <w:tr w:rsidR="00971AE2" w:rsidRPr="00587BFF">
        <w:tblPrEx>
          <w:tblCellMar>
            <w:top w:w="0" w:type="dxa"/>
            <w:bottom w:w="0" w:type="dxa"/>
          </w:tblCellMar>
        </w:tblPrEx>
        <w:tc>
          <w:tcPr>
            <w:tcW w:w="6695"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b/>
                <w:bCs/>
                <w:sz w:val="24"/>
                <w:szCs w:val="24"/>
                <w:rtl/>
              </w:rPr>
              <w:tab/>
            </w:r>
            <w:r w:rsidRPr="00587BFF">
              <w:rPr>
                <w:rFonts w:hint="cs"/>
                <w:b/>
                <w:bCs/>
                <w:sz w:val="24"/>
                <w:szCs w:val="24"/>
                <w:rtl/>
              </w:rPr>
              <w:t>-</w:t>
            </w:r>
            <w:r w:rsidRPr="00587BFF">
              <w:rPr>
                <w:b/>
                <w:bCs/>
                <w:sz w:val="24"/>
                <w:szCs w:val="24"/>
                <w:rtl/>
              </w:rPr>
              <w:tab/>
            </w:r>
            <w:r w:rsidRPr="00587BFF">
              <w:rPr>
                <w:rFonts w:hint="cs"/>
                <w:b/>
                <w:bCs/>
                <w:sz w:val="24"/>
                <w:szCs w:val="24"/>
                <w:rtl/>
              </w:rPr>
              <w:t>للنساء</w:t>
            </w:r>
          </w:p>
        </w:tc>
        <w:tc>
          <w:tcPr>
            <w:tcW w:w="1133" w:type="dxa"/>
          </w:tcPr>
          <w:p w:rsidR="00971AE2" w:rsidRPr="00587BFF" w:rsidRDefault="00971AE2" w:rsidP="00A343DF">
            <w:pPr>
              <w:tabs>
                <w:tab w:val="left" w:pos="288"/>
                <w:tab w:val="left" w:pos="576"/>
                <w:tab w:val="left" w:pos="864"/>
                <w:tab w:val="left" w:pos="1152"/>
              </w:tabs>
              <w:ind w:right="40"/>
              <w:jc w:val="lowKashida"/>
              <w:rPr>
                <w:rFonts w:hint="cs"/>
                <w:b/>
                <w:bCs/>
                <w:sz w:val="24"/>
                <w:szCs w:val="24"/>
                <w:rtl/>
              </w:rPr>
            </w:pPr>
            <w:r w:rsidRPr="00587BFF">
              <w:rPr>
                <w:rFonts w:hint="cs"/>
                <w:b/>
                <w:bCs/>
                <w:sz w:val="24"/>
                <w:szCs w:val="24"/>
                <w:rtl/>
              </w:rPr>
              <w:t>75</w:t>
            </w:r>
            <w:r w:rsidR="00CC17E1">
              <w:rPr>
                <w:rFonts w:hint="cs"/>
                <w:b/>
                <w:bCs/>
                <w:sz w:val="24"/>
                <w:szCs w:val="24"/>
                <w:rtl/>
              </w:rPr>
              <w:t>.</w:t>
            </w:r>
            <w:r w:rsidRPr="00587BFF">
              <w:rPr>
                <w:rFonts w:hint="cs"/>
                <w:b/>
                <w:bCs/>
                <w:sz w:val="24"/>
                <w:szCs w:val="24"/>
                <w:rtl/>
              </w:rPr>
              <w:t>3</w:t>
            </w:r>
          </w:p>
        </w:tc>
      </w:tr>
    </w:tbl>
    <w:p w:rsidR="00971AE2" w:rsidRDefault="00971AE2" w:rsidP="00A343DF">
      <w:pPr>
        <w:pStyle w:val="SingleTxt"/>
        <w:spacing w:after="0" w:line="120" w:lineRule="exact"/>
        <w:rPr>
          <w:rFonts w:hint="cs"/>
          <w:sz w:val="10"/>
          <w:rtl/>
          <w:lang w:bidi="ar-EG"/>
        </w:rPr>
      </w:pPr>
    </w:p>
    <w:p w:rsidR="00971AE2" w:rsidRDefault="00971AE2" w:rsidP="00A343DF">
      <w:pPr>
        <w:pStyle w:val="SingleTxt"/>
        <w:rPr>
          <w:rFonts w:hint="cs"/>
          <w:rtl/>
          <w:lang w:bidi="ar-EG"/>
        </w:rPr>
      </w:pPr>
      <w:r>
        <w:rPr>
          <w:rFonts w:hint="cs"/>
          <w:rtl/>
          <w:lang w:bidi="ar-EG"/>
        </w:rPr>
        <w:tab/>
        <w:t xml:space="preserve">وفقا للدراسة الاستقصائية الوطنية للسكان والصحة - </w:t>
      </w:r>
      <w:r>
        <w:t>PROFAMILIA</w:t>
      </w:r>
      <w:r>
        <w:rPr>
          <w:rFonts w:hint="cs"/>
          <w:rtl/>
          <w:lang w:bidi="ar-EG"/>
        </w:rPr>
        <w:t>، 2000، يبلغ المعدل العام للخصوبة 91 ولادة لكل 000 1 امرأة في سن الإنجاب</w:t>
      </w:r>
      <w:r w:rsidR="003D7EB4">
        <w:rPr>
          <w:rFonts w:hint="cs"/>
          <w:rtl/>
          <w:lang w:bidi="ar-EG"/>
        </w:rPr>
        <w:t>،</w:t>
      </w:r>
      <w:r>
        <w:rPr>
          <w:rFonts w:hint="cs"/>
          <w:rtl/>
          <w:lang w:bidi="ar-EG"/>
        </w:rPr>
        <w:t xml:space="preserve"> ويبلغ المعدل في المدن الرئيسية في البلديات 2</w:t>
      </w:r>
      <w:r w:rsidR="00CC17E1">
        <w:rPr>
          <w:rFonts w:hint="cs"/>
          <w:rtl/>
          <w:lang w:bidi="ar-EG"/>
        </w:rPr>
        <w:t>.</w:t>
      </w:r>
      <w:r>
        <w:rPr>
          <w:rFonts w:hint="cs"/>
          <w:rtl/>
          <w:lang w:bidi="ar-EG"/>
        </w:rPr>
        <w:t>3 ولد لكل امرأة وفي المنطقة الريفية 3</w:t>
      </w:r>
      <w:r w:rsidR="00CC17E1">
        <w:rPr>
          <w:rFonts w:hint="cs"/>
          <w:rtl/>
          <w:lang w:bidi="ar-EG"/>
        </w:rPr>
        <w:t>.</w:t>
      </w:r>
      <w:r>
        <w:rPr>
          <w:rFonts w:hint="cs"/>
          <w:rtl/>
          <w:lang w:bidi="ar-EG"/>
        </w:rPr>
        <w:t>8 ولد لكل امرأة</w:t>
      </w:r>
      <w:r w:rsidR="003D7EB4">
        <w:rPr>
          <w:rFonts w:hint="cs"/>
          <w:rtl/>
          <w:lang w:bidi="ar-EG"/>
        </w:rPr>
        <w:t>،</w:t>
      </w:r>
      <w:r>
        <w:rPr>
          <w:rFonts w:hint="cs"/>
          <w:rtl/>
          <w:lang w:bidi="ar-EG"/>
        </w:rPr>
        <w:t xml:space="preserve"> وتشير البيانات إلى انخفاض معدل الخصوبة في سنة 2000 حيث بلغ 2</w:t>
      </w:r>
      <w:r w:rsidR="00CC17E1">
        <w:rPr>
          <w:rFonts w:hint="cs"/>
          <w:rtl/>
          <w:lang w:bidi="ar-EG"/>
        </w:rPr>
        <w:t>.</w:t>
      </w:r>
      <w:r>
        <w:rPr>
          <w:rFonts w:hint="cs"/>
          <w:rtl/>
          <w:lang w:bidi="ar-EG"/>
        </w:rPr>
        <w:t>6 ولد لكل امرأة، مقارنة بسنة 1990 حيث كان في المتوسط 2</w:t>
      </w:r>
      <w:r w:rsidR="00CC17E1">
        <w:rPr>
          <w:rFonts w:hint="cs"/>
          <w:rtl/>
          <w:lang w:bidi="ar-EG"/>
        </w:rPr>
        <w:t>.</w:t>
      </w:r>
      <w:r>
        <w:rPr>
          <w:rFonts w:hint="cs"/>
          <w:rtl/>
          <w:lang w:bidi="ar-EG"/>
        </w:rPr>
        <w:t>9 ولد لكل امرأة</w:t>
      </w:r>
      <w:r w:rsidR="003D7EB4">
        <w:rPr>
          <w:rFonts w:hint="cs"/>
          <w:rtl/>
          <w:lang w:bidi="ar-EG"/>
        </w:rPr>
        <w:t>،</w:t>
      </w:r>
      <w:r>
        <w:rPr>
          <w:rFonts w:hint="cs"/>
          <w:rtl/>
          <w:lang w:bidi="ar-EG"/>
        </w:rPr>
        <w:t xml:space="preserve"> وكان متوسط العمر المتوقع عند الولادة في سنة 2001، 68</w:t>
      </w:r>
      <w:r w:rsidR="00CC17E1">
        <w:rPr>
          <w:rFonts w:hint="cs"/>
          <w:rtl/>
          <w:lang w:bidi="ar-EG"/>
        </w:rPr>
        <w:t>.</w:t>
      </w:r>
      <w:r>
        <w:rPr>
          <w:rFonts w:hint="cs"/>
          <w:rtl/>
          <w:lang w:bidi="ar-EG"/>
        </w:rPr>
        <w:t>8 سنة للرجال و75</w:t>
      </w:r>
      <w:r w:rsidR="00CC17E1">
        <w:rPr>
          <w:rFonts w:hint="cs"/>
          <w:rtl/>
          <w:lang w:bidi="ar-EG"/>
        </w:rPr>
        <w:t>.</w:t>
      </w:r>
      <w:r>
        <w:rPr>
          <w:rFonts w:hint="cs"/>
          <w:rtl/>
          <w:lang w:bidi="ar-EG"/>
        </w:rPr>
        <w:t>1 سنة للنساء</w:t>
      </w:r>
      <w:r>
        <w:rPr>
          <w:rFonts w:hint="cs"/>
          <w:vertAlign w:val="superscript"/>
          <w:rtl/>
          <w:lang w:bidi="ar-EG"/>
        </w:rPr>
        <w:t>(126)</w:t>
      </w:r>
      <w:r w:rsidR="003D7EB4">
        <w:rPr>
          <w:rFonts w:hint="cs"/>
          <w:rtl/>
          <w:lang w:bidi="ar-EG"/>
        </w:rPr>
        <w:t>،</w:t>
      </w:r>
    </w:p>
    <w:p w:rsidR="00971AE2" w:rsidRDefault="00971AE2" w:rsidP="00A343DF">
      <w:pPr>
        <w:pStyle w:val="SingleTxt"/>
        <w:rPr>
          <w:rFonts w:hint="cs"/>
          <w:rtl/>
          <w:lang w:bidi="ar-EG"/>
        </w:rPr>
      </w:pPr>
      <w:r>
        <w:rPr>
          <w:rFonts w:hint="cs"/>
          <w:b/>
          <w:bCs/>
          <w:rtl/>
          <w:lang w:bidi="ar-EG"/>
        </w:rPr>
        <w:tab/>
        <w:t>وفقا للمستوى التعليمي يختلف معدل الخصوبة بين النساء الحاصلات على التعليم الجامعي (ولد واحد لكل امرأة) والنساء غير المتعلمات (4 أولاد لكل امرأة)</w:t>
      </w:r>
      <w:r>
        <w:rPr>
          <w:rFonts w:hint="cs"/>
          <w:b/>
          <w:bCs/>
          <w:vertAlign w:val="superscript"/>
          <w:rtl/>
          <w:lang w:bidi="ar-EG"/>
        </w:rPr>
        <w:t>(127)</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وفي المجموعة العمرية 15 إلى 19 سنة لوحظت زيادة تدريجية في معدل الخصوبة فقد ارتفع من 13 في المائة في سنة 1990 إلى 19 في المائة في سنة 2000</w:t>
      </w:r>
      <w:r w:rsidR="003D7EB4">
        <w:rPr>
          <w:rFonts w:hint="cs"/>
          <w:rtl/>
          <w:lang w:bidi="ar-EG"/>
        </w:rPr>
        <w:t>،</w:t>
      </w:r>
      <w:r>
        <w:rPr>
          <w:rFonts w:hint="cs"/>
          <w:rtl/>
          <w:lang w:bidi="ar-EG"/>
        </w:rPr>
        <w:t xml:space="preserve"> وتوجد أدنى خصوبة لدى المراهقات في المنطقة الشرقية وفي بوغوتا وتوجد أعلى خصوبة على ساحل المحيط الهادئ</w:t>
      </w:r>
      <w:r w:rsidR="003D7EB4">
        <w:rPr>
          <w:rFonts w:hint="cs"/>
          <w:rtl/>
          <w:lang w:bidi="ar-EG"/>
        </w:rPr>
        <w:t>،</w:t>
      </w:r>
      <w:r>
        <w:rPr>
          <w:rFonts w:hint="cs"/>
          <w:rtl/>
          <w:lang w:bidi="ar-EG"/>
        </w:rPr>
        <w:t xml:space="preserve"> ووفقا للدراسة الاستقصائية الوطنية للسكان والصحة لسنة 2000 كانت 15 في المائة من المراهقات أمهات و4 في المائة حوامل في أولادهن الأوائل، وكان العدد الإجمالي للحوامل واللائي أُجهضن من قبل 19 في المائة مقارنة بـ 17 في المائة في الدراسة الاستقصائية لسنة 1995</w:t>
      </w:r>
      <w:r w:rsidR="003D7EB4">
        <w:rPr>
          <w:rFonts w:hint="cs"/>
          <w:rtl/>
          <w:lang w:bidi="ar-EG"/>
        </w:rPr>
        <w:t>،</w:t>
      </w:r>
    </w:p>
    <w:p w:rsidR="00971AE2" w:rsidRDefault="00971AE2" w:rsidP="00A343DF">
      <w:pPr>
        <w:pStyle w:val="SingleTxt"/>
        <w:rPr>
          <w:rFonts w:hint="cs"/>
          <w:rtl/>
          <w:lang w:bidi="ar-EG"/>
        </w:rPr>
      </w:pPr>
      <w:r>
        <w:rPr>
          <w:rFonts w:hint="cs"/>
          <w:rtl/>
          <w:lang w:bidi="ar-EG"/>
        </w:rPr>
        <w:tab/>
        <w:t>ومتوسط السن في الولادة الأولى للنساء اللائي تتراوح أعمارهن بين 25 و49 سنة هو22</w:t>
      </w:r>
      <w:r w:rsidR="00CC17E1">
        <w:rPr>
          <w:rFonts w:hint="cs"/>
          <w:rtl/>
          <w:lang w:bidi="ar-EG"/>
        </w:rPr>
        <w:t>.</w:t>
      </w:r>
      <w:r>
        <w:rPr>
          <w:rFonts w:hint="cs"/>
          <w:rtl/>
          <w:lang w:bidi="ar-EG"/>
        </w:rPr>
        <w:t>1 سنة وهومساوللسن الذي سُجل في سنة 1995</w:t>
      </w:r>
      <w:r w:rsidR="003D7EB4">
        <w:rPr>
          <w:rFonts w:hint="cs"/>
          <w:rtl/>
          <w:lang w:bidi="ar-EG"/>
        </w:rPr>
        <w:t>،</w:t>
      </w:r>
      <w:r>
        <w:rPr>
          <w:rFonts w:hint="cs"/>
          <w:rtl/>
          <w:lang w:bidi="ar-EG"/>
        </w:rPr>
        <w:t xml:space="preserve"> وفي ميديلين كان متوسط السن الذي حدثت فيه الولادة الأولى هو24 سنة في حين كان على ساحل المحيط الأطلسي وفي غياهيرا - سيزار - ماغدالينا 20 سنة</w:t>
      </w:r>
      <w:r w:rsidR="003D7EB4">
        <w:rPr>
          <w:rFonts w:hint="cs"/>
          <w:rtl/>
          <w:lang w:bidi="ar-EG"/>
        </w:rPr>
        <w:t>،</w:t>
      </w:r>
    </w:p>
    <w:p w:rsidR="00971AE2" w:rsidRDefault="00971AE2" w:rsidP="00A343DF">
      <w:pPr>
        <w:pStyle w:val="SingleTxt"/>
        <w:rPr>
          <w:rFonts w:hint="cs"/>
          <w:rtl/>
          <w:lang w:bidi="ar-EG"/>
        </w:rPr>
      </w:pPr>
      <w:r>
        <w:rPr>
          <w:rFonts w:hint="cs"/>
          <w:rtl/>
          <w:lang w:bidi="ar-EG"/>
        </w:rPr>
        <w:tab/>
        <w:t>والخصوبة لدى النساء اللائي تتراوح أعمارهن بين 30 و49 سنة له علاقة عكسية بالسن والمستوى التعليمي والحالة الاجتماعية الاقتصادية والثقافية للنساء وبإمكانية حصول الرجال والنساء على وسائل منع الحمل واستخدامها</w:t>
      </w:r>
      <w:r w:rsidR="003D7EB4">
        <w:rPr>
          <w:rFonts w:hint="cs"/>
          <w:rtl/>
          <w:lang w:bidi="ar-EG"/>
        </w:rPr>
        <w:t>،</w:t>
      </w:r>
      <w:r>
        <w:rPr>
          <w:rFonts w:hint="cs"/>
          <w:rtl/>
          <w:lang w:bidi="ar-EG"/>
        </w:rPr>
        <w:t xml:space="preserve"> وتنخفض الخصوبة الخاصة مع ارتفاع السن وكذلك تبلغ الخصوبة لدى النساء اللائي تتراوح أعمارهن بين 30 و34 سنة 99 ولادة لكل 000 1، ولدى النساء اللائي تتراوح أعمارهن بين 35 و39 سنة 49 لكل 000 1، ولدى النساء اللائي تتراوح أعمارهن بين 45 و49 سنة 2 لكل 000 1</w:t>
      </w:r>
      <w:r w:rsidR="003D7EB4">
        <w:rPr>
          <w:rFonts w:hint="cs"/>
          <w:rtl/>
          <w:lang w:bidi="ar-EG"/>
        </w:rPr>
        <w:t>،</w:t>
      </w:r>
    </w:p>
    <w:p w:rsidR="00971AE2" w:rsidRDefault="00971AE2" w:rsidP="00A343DF">
      <w:pPr>
        <w:pStyle w:val="SingleTxt"/>
        <w:rPr>
          <w:rFonts w:hint="cs"/>
          <w:rtl/>
          <w:lang w:bidi="ar-EG"/>
        </w:rPr>
      </w:pPr>
      <w:r>
        <w:rPr>
          <w:rFonts w:hint="cs"/>
          <w:rtl/>
          <w:lang w:bidi="ar-EG"/>
        </w:rPr>
        <w:tab/>
        <w:t>ويبلغ متوسط الفترة الفاصلة بين الولادات 37 شهرا، وهوأكبر من المتوسط المسجل في سنة 1995 الذي كان 34 شهرا</w:t>
      </w:r>
      <w:r w:rsidR="003D7EB4">
        <w:rPr>
          <w:rFonts w:hint="cs"/>
          <w:rtl/>
          <w:lang w:bidi="ar-EG"/>
        </w:rPr>
        <w:t>،</w:t>
      </w:r>
      <w:r>
        <w:rPr>
          <w:rFonts w:hint="cs"/>
          <w:rtl/>
          <w:lang w:bidi="ar-EG"/>
        </w:rPr>
        <w:t xml:space="preserve"> والمتوسط في المنطقة الحضرية يبلغ 40 شهرا مقارنة بـ 33 شهرا في المنطقة الريفية</w:t>
      </w:r>
      <w:r w:rsidR="003D7EB4">
        <w:rPr>
          <w:rFonts w:hint="cs"/>
          <w:rtl/>
          <w:lang w:bidi="ar-EG"/>
        </w:rPr>
        <w:t>،</w:t>
      </w:r>
      <w:r>
        <w:rPr>
          <w:rFonts w:hint="cs"/>
          <w:rtl/>
          <w:lang w:bidi="ar-EG"/>
        </w:rPr>
        <w:t xml:space="preserve"> ويوجد أعلى متوسط في بوغوتا ويبلغ 41 شهرا، ويوجد أدنى متوسط في المنطقة المطلة على المحيط الأطلسي ويبلغ 34 شهرا</w:t>
      </w:r>
      <w:r w:rsidR="003D7EB4">
        <w:rPr>
          <w:rFonts w:hint="cs"/>
          <w:rtl/>
          <w:lang w:bidi="ar-EG"/>
        </w:rPr>
        <w:t>،</w:t>
      </w:r>
      <w:r>
        <w:rPr>
          <w:rFonts w:hint="cs"/>
          <w:rtl/>
          <w:lang w:bidi="ar-EG"/>
        </w:rPr>
        <w:t xml:space="preserve"> ويبلغ المتوسط بين النساء الحاصلات على تعليم جامعي 46 شهرا وبين النساء غير المتعلمات 34 شهرا</w:t>
      </w:r>
      <w:r w:rsidR="003D7EB4">
        <w:rPr>
          <w:rFonts w:hint="cs"/>
          <w:rtl/>
          <w:lang w:bidi="ar-EG"/>
        </w:rPr>
        <w:t>،</w:t>
      </w:r>
      <w:r>
        <w:rPr>
          <w:rFonts w:hint="cs"/>
          <w:rtl/>
          <w:lang w:bidi="ar-EG"/>
        </w:rPr>
        <w:t xml:space="preserve"> وفي كولومبيا تعرف كل النساء اللائي في سن الإنجاب بغض النظر عن حالتهن الاجتماعية وسيلة واحدة لمنع الحمل على الأقل</w:t>
      </w:r>
      <w:r w:rsidR="003D7EB4">
        <w:rPr>
          <w:rFonts w:hint="cs"/>
          <w:rtl/>
          <w:lang w:bidi="ar-EG"/>
        </w:rPr>
        <w:t>،</w:t>
      </w:r>
      <w:r>
        <w:rPr>
          <w:rFonts w:hint="cs"/>
          <w:rtl/>
          <w:lang w:bidi="ar-EG"/>
        </w:rPr>
        <w:t xml:space="preserve"> وقد استخدمت 76 في المائة من مجموع عدد النساء اللائي في سن الإنجاب و95 في المائة من النساء المعاشرات أوالمتزوجات حاليا وسيلة واحدة لمنع الحمل لمرة واحدة على الأقل</w:t>
      </w:r>
      <w:r w:rsidR="003D7EB4">
        <w:rPr>
          <w:rFonts w:hint="cs"/>
          <w:rtl/>
          <w:lang w:bidi="ar-EG"/>
        </w:rPr>
        <w:t>،</w:t>
      </w:r>
      <w:r>
        <w:rPr>
          <w:rFonts w:hint="cs"/>
          <w:rtl/>
          <w:lang w:bidi="ar-EG"/>
        </w:rPr>
        <w:t xml:space="preserve"> وتوجد أدنى خبرة في استخدام الوسائل بين النساء اللائي تتراوح أعمارهن بين 15 و19 سنة وتزداد مع السن حتى سن 40 وتقل بعد ذلك بصورة طفيفة</w:t>
      </w:r>
      <w:r w:rsidR="003D7EB4">
        <w:rPr>
          <w:rFonts w:hint="cs"/>
          <w:rtl/>
          <w:lang w:bidi="ar-EG"/>
        </w:rPr>
        <w:t>،</w:t>
      </w:r>
    </w:p>
    <w:p w:rsidR="00971AE2" w:rsidRDefault="00971AE2" w:rsidP="00A343DF">
      <w:pPr>
        <w:pStyle w:val="SingleTxt"/>
        <w:rPr>
          <w:rFonts w:hint="cs"/>
          <w:rtl/>
          <w:lang w:bidi="ar-EG"/>
        </w:rPr>
      </w:pPr>
      <w:r>
        <w:rPr>
          <w:rFonts w:hint="cs"/>
          <w:rtl/>
          <w:lang w:bidi="ar-EG"/>
        </w:rPr>
        <w:tab/>
        <w:t>ويبلغ متوسط عدد الولادات في السنة 260 979 ولادة</w:t>
      </w:r>
      <w:r w:rsidR="003D7EB4">
        <w:rPr>
          <w:rFonts w:hint="cs"/>
          <w:rtl/>
          <w:lang w:bidi="ar-EG"/>
        </w:rPr>
        <w:t>،</w:t>
      </w:r>
      <w:r>
        <w:rPr>
          <w:rFonts w:hint="cs"/>
          <w:rtl/>
          <w:lang w:bidi="ar-EG"/>
        </w:rPr>
        <w:t xml:space="preserve"> وفيما يتعلق بالجنس فإنه يكون بين كل 000 1 مولود حي 31</w:t>
      </w:r>
      <w:r w:rsidR="00CC17E1">
        <w:rPr>
          <w:rFonts w:hint="cs"/>
          <w:rtl/>
          <w:lang w:bidi="ar-EG"/>
        </w:rPr>
        <w:t>.</w:t>
      </w:r>
      <w:r>
        <w:rPr>
          <w:rFonts w:hint="cs"/>
          <w:rtl/>
          <w:lang w:bidi="ar-EG"/>
        </w:rPr>
        <w:t>1 ولد و22</w:t>
      </w:r>
      <w:r w:rsidR="00CC17E1">
        <w:rPr>
          <w:rFonts w:hint="cs"/>
          <w:rtl/>
          <w:lang w:bidi="ar-EG"/>
        </w:rPr>
        <w:t>.</w:t>
      </w:r>
      <w:r>
        <w:rPr>
          <w:rFonts w:hint="cs"/>
          <w:rtl/>
          <w:lang w:bidi="ar-EG"/>
        </w:rPr>
        <w:t>5 بنت</w:t>
      </w:r>
      <w:r>
        <w:rPr>
          <w:rFonts w:hint="cs"/>
          <w:vertAlign w:val="superscript"/>
          <w:rtl/>
          <w:lang w:bidi="ar-EG"/>
        </w:rPr>
        <w:t>(128)</w:t>
      </w:r>
      <w:r w:rsidR="003D7EB4">
        <w:rPr>
          <w:rFonts w:hint="cs"/>
          <w:rtl/>
          <w:lang w:bidi="ar-EG"/>
        </w:rPr>
        <w:t>،</w:t>
      </w:r>
      <w:r>
        <w:rPr>
          <w:rFonts w:hint="cs"/>
          <w:rtl/>
          <w:lang w:bidi="ar-EG"/>
        </w:rPr>
        <w:t xml:space="preserve"> وكان معدل وفيات الأطفال في فترة الخمس سنوات 1995-2000، 21</w:t>
      </w:r>
      <w:r w:rsidR="00CC17E1">
        <w:rPr>
          <w:rFonts w:hint="cs"/>
          <w:rtl/>
          <w:lang w:bidi="ar-EG"/>
        </w:rPr>
        <w:t>.</w:t>
      </w:r>
      <w:r>
        <w:rPr>
          <w:rFonts w:hint="cs"/>
          <w:rtl/>
          <w:lang w:bidi="ar-EG"/>
        </w:rPr>
        <w:t>4 لكل 000 1 ولادة، وكان معدل الوفيات بين المولودين حديثا 15 لكل 000 1 وبين الأطفال في الفترة التالية 6</w:t>
      </w:r>
      <w:r w:rsidR="00CC17E1">
        <w:rPr>
          <w:rFonts w:hint="cs"/>
          <w:rtl/>
          <w:lang w:bidi="ar-EG"/>
        </w:rPr>
        <w:t>.</w:t>
      </w:r>
      <w:r>
        <w:rPr>
          <w:rFonts w:hint="cs"/>
          <w:rtl/>
          <w:lang w:bidi="ar-EG"/>
        </w:rPr>
        <w:t>5 لكل 000 1</w:t>
      </w:r>
      <w:r w:rsidR="003D7EB4">
        <w:rPr>
          <w:rFonts w:hint="cs"/>
          <w:rtl/>
          <w:lang w:bidi="ar-EG"/>
        </w:rPr>
        <w:t>،</w:t>
      </w:r>
      <w:r>
        <w:rPr>
          <w:rFonts w:hint="cs"/>
          <w:rtl/>
          <w:lang w:bidi="ar-EG"/>
        </w:rPr>
        <w:t xml:space="preserve"> ويبلغ معدل وفيات الفترة القريبة من الولادة 52 لكل 000 1 حالة حمل مدتها سبعة أشهر أوأكثر</w:t>
      </w:r>
      <w:r w:rsidR="003D7EB4">
        <w:rPr>
          <w:rFonts w:hint="cs"/>
          <w:rtl/>
          <w:lang w:bidi="ar-EG"/>
        </w:rPr>
        <w:t>،</w:t>
      </w:r>
    </w:p>
    <w:p w:rsidR="00971AE2" w:rsidRDefault="00971AE2" w:rsidP="00A343DF">
      <w:pPr>
        <w:pStyle w:val="SingleTxt"/>
        <w:rPr>
          <w:rFonts w:hint="cs"/>
          <w:rtl/>
          <w:lang w:bidi="ar-EG"/>
        </w:rPr>
      </w:pPr>
      <w:r>
        <w:rPr>
          <w:rFonts w:hint="cs"/>
          <w:rtl/>
          <w:lang w:bidi="ar-EG"/>
        </w:rPr>
        <w:tab/>
        <w:t>وفي جميع مناطق البلد باستثناء المنطقة الشرقية انخفض معدل وفيات الأطفال في الفترة بين عامي 1995 و2000</w:t>
      </w:r>
      <w:r w:rsidR="003D7EB4">
        <w:rPr>
          <w:rFonts w:hint="cs"/>
          <w:rtl/>
          <w:lang w:bidi="ar-EG"/>
        </w:rPr>
        <w:t>،</w:t>
      </w:r>
      <w:r>
        <w:rPr>
          <w:rFonts w:hint="cs"/>
          <w:rtl/>
          <w:lang w:bidi="ar-EG"/>
        </w:rPr>
        <w:t xml:space="preserve"> وعلى الرغم من التقدم المحرز في خفض وفيات الأطفال فإنه ما زالت توجد اختلافات ملحوظة حسب درجة التقدم الإقليمي</w:t>
      </w:r>
      <w:r w:rsidR="003D7EB4">
        <w:rPr>
          <w:rFonts w:hint="cs"/>
          <w:rtl/>
          <w:lang w:bidi="ar-EG"/>
        </w:rPr>
        <w:t>،</w:t>
      </w:r>
      <w:r>
        <w:rPr>
          <w:rFonts w:hint="cs"/>
          <w:rtl/>
          <w:lang w:bidi="ar-EG"/>
        </w:rPr>
        <w:t xml:space="preserve"> على سبيل المثال، يتوفى في التشوكو98</w:t>
      </w:r>
      <w:r w:rsidR="00CC17E1">
        <w:rPr>
          <w:rFonts w:hint="cs"/>
          <w:rtl/>
          <w:lang w:bidi="ar-EG"/>
        </w:rPr>
        <w:t>.</w:t>
      </w:r>
      <w:r>
        <w:rPr>
          <w:rFonts w:hint="cs"/>
          <w:rtl/>
          <w:lang w:bidi="ar-EG"/>
        </w:rPr>
        <w:t>8 ولد و81</w:t>
      </w:r>
      <w:r w:rsidR="00CC17E1">
        <w:rPr>
          <w:rFonts w:hint="cs"/>
          <w:rtl/>
          <w:lang w:bidi="ar-EG"/>
        </w:rPr>
        <w:t>.</w:t>
      </w:r>
      <w:r>
        <w:rPr>
          <w:rFonts w:hint="cs"/>
          <w:rtl/>
          <w:lang w:bidi="ar-EG"/>
        </w:rPr>
        <w:t>3 بنت بين كل 000 1 مولود حي في حين يبلغ معدل وفيات الأطفال في إلفي 22</w:t>
      </w:r>
      <w:r w:rsidR="00CC17E1">
        <w:rPr>
          <w:rFonts w:hint="cs"/>
          <w:rtl/>
          <w:lang w:bidi="ar-EG"/>
        </w:rPr>
        <w:t>.</w:t>
      </w:r>
      <w:r>
        <w:rPr>
          <w:rFonts w:hint="cs"/>
          <w:rtl/>
          <w:lang w:bidi="ar-EG"/>
        </w:rPr>
        <w:t>1 و16</w:t>
      </w:r>
      <w:r w:rsidR="00CC17E1">
        <w:rPr>
          <w:rFonts w:hint="cs"/>
          <w:rtl/>
          <w:lang w:bidi="ar-EG"/>
        </w:rPr>
        <w:t>.</w:t>
      </w:r>
      <w:r>
        <w:rPr>
          <w:rFonts w:hint="cs"/>
          <w:rtl/>
          <w:lang w:bidi="ar-EG"/>
        </w:rPr>
        <w:t>4</w:t>
      </w:r>
      <w:r w:rsidR="003D7EB4">
        <w:rPr>
          <w:rFonts w:hint="cs"/>
          <w:rtl/>
          <w:lang w:bidi="ar-EG"/>
        </w:rPr>
        <w:t>،</w:t>
      </w:r>
      <w:r>
        <w:rPr>
          <w:rFonts w:hint="cs"/>
          <w:rtl/>
          <w:lang w:bidi="ar-EG"/>
        </w:rPr>
        <w:t xml:space="preserve"> ويوجد أدنى معدل لوفيات الأطفال في منطقة بوغوتا ووسط البلد (17 و20 لكل 000 1 على التوالي)، في حين أنه في كلتا المنطقتين الساحليتين 29 لكل 000 1</w:t>
      </w:r>
      <w:r w:rsidR="003D7EB4">
        <w:rPr>
          <w:rFonts w:hint="cs"/>
          <w:rtl/>
          <w:lang w:bidi="ar-EG"/>
        </w:rPr>
        <w:t>،</w:t>
      </w:r>
      <w:r>
        <w:rPr>
          <w:rFonts w:hint="cs"/>
          <w:rtl/>
          <w:lang w:bidi="ar-EG"/>
        </w:rPr>
        <w:t xml:space="preserve"> وقد حدث أكبر انخفاض في منطقة المحيط الهادئ فقد انخفض من 39 إلى 29 لكل 000 1</w:t>
      </w:r>
      <w:r w:rsidR="003D7EB4">
        <w:rPr>
          <w:rFonts w:hint="cs"/>
          <w:rtl/>
          <w:lang w:bidi="ar-EG"/>
        </w:rPr>
        <w:t>،</w:t>
      </w:r>
    </w:p>
    <w:p w:rsidR="00971AE2" w:rsidRDefault="00971AE2" w:rsidP="00A343DF">
      <w:pPr>
        <w:pStyle w:val="SingleTxt"/>
        <w:rPr>
          <w:rFonts w:hint="cs"/>
          <w:b/>
          <w:bCs/>
          <w:rtl/>
          <w:lang w:bidi="ar-EG"/>
        </w:rPr>
      </w:pPr>
      <w:r>
        <w:rPr>
          <w:rFonts w:hint="cs"/>
          <w:rtl/>
          <w:lang w:bidi="ar-EG"/>
        </w:rPr>
        <w:tab/>
      </w:r>
      <w:r>
        <w:rPr>
          <w:rFonts w:hint="cs"/>
          <w:b/>
          <w:bCs/>
          <w:rtl/>
          <w:lang w:bidi="ar-EG"/>
        </w:rPr>
        <w:t>يبلغ المعدل الإجمالي للولادة 22</w:t>
      </w:r>
      <w:r w:rsidR="00CC17E1">
        <w:rPr>
          <w:rFonts w:hint="cs"/>
          <w:b/>
          <w:bCs/>
          <w:rtl/>
          <w:lang w:bidi="ar-EG"/>
        </w:rPr>
        <w:t>.</w:t>
      </w:r>
      <w:r>
        <w:rPr>
          <w:rFonts w:hint="cs"/>
          <w:b/>
          <w:bCs/>
          <w:rtl/>
          <w:lang w:bidi="ar-EG"/>
        </w:rPr>
        <w:t>4 مولود حي لكل 000 1 امرأة</w:t>
      </w:r>
      <w:r w:rsidR="003D7EB4">
        <w:rPr>
          <w:rFonts w:hint="cs"/>
          <w:b/>
          <w:bCs/>
          <w:rtl/>
          <w:lang w:bidi="ar-EG"/>
        </w:rPr>
        <w:t>،</w:t>
      </w:r>
      <w:r>
        <w:rPr>
          <w:rFonts w:hint="cs"/>
          <w:b/>
          <w:bCs/>
          <w:rtl/>
          <w:lang w:bidi="ar-EG"/>
        </w:rPr>
        <w:t xml:space="preserve"> وقد انخفض معدل الوفيات من 28 في سنة 1998 إلى 25</w:t>
      </w:r>
      <w:r w:rsidR="00CC17E1">
        <w:rPr>
          <w:rFonts w:hint="cs"/>
          <w:b/>
          <w:bCs/>
          <w:rtl/>
          <w:lang w:bidi="ar-EG"/>
        </w:rPr>
        <w:t>.</w:t>
      </w:r>
      <w:r>
        <w:rPr>
          <w:rFonts w:hint="cs"/>
          <w:b/>
          <w:bCs/>
          <w:rtl/>
          <w:lang w:bidi="ar-EG"/>
        </w:rPr>
        <w:t>6 في سنة 2002، وهذا يعني انخفاض معدل وفيات الأطفال بمقدار 2</w:t>
      </w:r>
      <w:r w:rsidR="00CC17E1">
        <w:rPr>
          <w:rFonts w:hint="cs"/>
          <w:b/>
          <w:bCs/>
          <w:rtl/>
          <w:lang w:bidi="ar-EG"/>
        </w:rPr>
        <w:t>.</w:t>
      </w:r>
      <w:r>
        <w:rPr>
          <w:rFonts w:hint="cs"/>
          <w:b/>
          <w:bCs/>
          <w:rtl/>
          <w:lang w:bidi="ar-EG"/>
        </w:rPr>
        <w:t>4</w:t>
      </w:r>
      <w:r w:rsidR="003D7EB4">
        <w:rPr>
          <w:rFonts w:hint="cs"/>
          <w:b/>
          <w:bCs/>
          <w:rtl/>
          <w:lang w:bidi="ar-EG"/>
        </w:rPr>
        <w:t>،</w:t>
      </w:r>
      <w:r>
        <w:rPr>
          <w:rFonts w:hint="cs"/>
          <w:b/>
          <w:bCs/>
          <w:rtl/>
          <w:lang w:bidi="ar-EG"/>
        </w:rPr>
        <w:t xml:space="preserve"> وعندما تكون الأمهات غير المتعلمات يكون معدل وفيات الأطفال أعلى بثلاثة أمثال ممن يكن حاصلات على تعليم عال</w:t>
      </w:r>
      <w:r w:rsidR="003D7EB4">
        <w:rPr>
          <w:rFonts w:hint="cs"/>
          <w:b/>
          <w:bCs/>
          <w:rtl/>
          <w:lang w:bidi="ar-EG"/>
        </w:rPr>
        <w:t>،</w:t>
      </w:r>
      <w:r>
        <w:rPr>
          <w:rFonts w:hint="cs"/>
          <w:b/>
          <w:bCs/>
          <w:rtl/>
          <w:lang w:bidi="ar-EG"/>
        </w:rPr>
        <w:t xml:space="preserve"> وعندما تكون المرأة حاصلة على رعاية طبية قبل الولادة وعند الإجهاض يكون متوسط وفيات الأطفال 15 لكل 000 1 في حين أنه يزداج بثلاثة أمثال عندما لا تتوافر هذه الرعاية</w:t>
      </w:r>
      <w:r w:rsidR="003D7EB4">
        <w:rPr>
          <w:rFonts w:hint="cs"/>
          <w:b/>
          <w:bCs/>
          <w:rtl/>
          <w:lang w:bidi="ar-EG"/>
        </w:rPr>
        <w:t>،</w:t>
      </w:r>
      <w:r>
        <w:rPr>
          <w:rFonts w:hint="cs"/>
          <w:b/>
          <w:bCs/>
          <w:rtl/>
          <w:lang w:bidi="ar-EG"/>
        </w:rPr>
        <w:t xml:space="preserve"> ولوحظ أن أدنى متوسط وفيات الأطفال يكون لدى النساء اللائي تتراوح أعمارهن وقت الولادة بين 20 و29 سنة ويكون الضعف عندما تكون المرأة قد تجاوزت سن الأربعين</w:t>
      </w:r>
      <w:r w:rsidR="003D7EB4">
        <w:rPr>
          <w:rFonts w:hint="cs"/>
          <w:b/>
          <w:bCs/>
          <w:rtl/>
          <w:lang w:bidi="ar-EG"/>
        </w:rPr>
        <w:t>،</w:t>
      </w:r>
      <w:r>
        <w:rPr>
          <w:rFonts w:hint="cs"/>
          <w:b/>
          <w:bCs/>
          <w:rtl/>
          <w:lang w:bidi="ar-EG"/>
        </w:rPr>
        <w:t xml:space="preserve"> وكلما قلت الفترة الفاصلة عن الولادة السابقة كلما ازداد معدل وفيات الأطفال</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وقد انخفض معدل وفيات الأمهات بمقدار 3</w:t>
      </w:r>
      <w:r w:rsidR="00CC17E1">
        <w:rPr>
          <w:rFonts w:hint="cs"/>
          <w:rtl/>
          <w:lang w:bidi="ar-EG"/>
        </w:rPr>
        <w:t>.</w:t>
      </w:r>
      <w:r>
        <w:rPr>
          <w:rFonts w:hint="cs"/>
          <w:rtl/>
          <w:lang w:bidi="ar-EG"/>
        </w:rPr>
        <w:t>5 فيما بين عامي 1998 و2000، حسب الأرقام المسجلة لدى وزارة الرعاية</w:t>
      </w:r>
      <w:r>
        <w:rPr>
          <w:rFonts w:hint="cs"/>
          <w:vertAlign w:val="superscript"/>
          <w:rtl/>
          <w:lang w:bidi="ar-EG"/>
        </w:rPr>
        <w:t>(129)</w:t>
      </w:r>
      <w:r>
        <w:rPr>
          <w:rFonts w:hint="cs"/>
          <w:rtl/>
          <w:lang w:bidi="ar-EG"/>
        </w:rPr>
        <w:t>، وتتوفى في كولومبيا لأسباب مرتبطة بالأمومة 67</w:t>
      </w:r>
      <w:r w:rsidR="00CC17E1">
        <w:rPr>
          <w:rFonts w:hint="cs"/>
          <w:rtl/>
          <w:lang w:bidi="ar-EG"/>
        </w:rPr>
        <w:t>.</w:t>
      </w:r>
      <w:r>
        <w:rPr>
          <w:rFonts w:hint="cs"/>
          <w:rtl/>
          <w:lang w:bidi="ar-EG"/>
        </w:rPr>
        <w:t>7 نساء لكل 000 100 مولود حي</w:t>
      </w:r>
      <w:r>
        <w:rPr>
          <w:rFonts w:hint="cs"/>
          <w:vertAlign w:val="superscript"/>
          <w:rtl/>
          <w:lang w:bidi="ar-EG"/>
        </w:rPr>
        <w:t>(130)</w:t>
      </w:r>
      <w:r>
        <w:rPr>
          <w:rFonts w:hint="cs"/>
          <w:rtl/>
          <w:lang w:bidi="ar-EG"/>
        </w:rPr>
        <w:t>، على الرغم من أنه توجد في بعض المناطق معدلات مرتفعة للغاية عن المتوسط ولا توجد وفيات بين الأمهات المسجلة بهذه الصفة</w:t>
      </w:r>
      <w:r w:rsidR="003D7EB4">
        <w:rPr>
          <w:rFonts w:hint="cs"/>
          <w:rtl/>
          <w:lang w:bidi="ar-EG"/>
        </w:rPr>
        <w:t>،</w:t>
      </w:r>
      <w:r>
        <w:rPr>
          <w:rFonts w:hint="cs"/>
          <w:rtl/>
          <w:lang w:bidi="ar-EG"/>
        </w:rPr>
        <w:t xml:space="preserve"> والسبب الأول للوفاة هومضاعفات الولادة والسبب الخامس للوفاة بين الأمهات هوالإجهاض (انظر المرفق رقم 10)</w:t>
      </w:r>
      <w:r w:rsidR="003D7EB4">
        <w:rPr>
          <w:rFonts w:hint="cs"/>
          <w:rtl/>
          <w:lang w:bidi="ar-EG"/>
        </w:rPr>
        <w:t>،</w:t>
      </w:r>
    </w:p>
    <w:p w:rsidR="00971AE2" w:rsidRDefault="00971AE2" w:rsidP="00A343DF">
      <w:pPr>
        <w:pStyle w:val="SingleTxt"/>
        <w:rPr>
          <w:rFonts w:hint="cs"/>
          <w:rtl/>
          <w:lang w:bidi="ar-EG"/>
        </w:rPr>
      </w:pPr>
      <w:r>
        <w:rPr>
          <w:rFonts w:hint="cs"/>
          <w:rtl/>
          <w:lang w:bidi="ar-EG"/>
        </w:rPr>
        <w:tab/>
        <w:t>فيما يتعلق بحالة العلاقة بين الإصابة بالأمراض والوفاة تجدر الإشارة إلى أن المعضلة الاجتماعية والبيئية في البلد تتفاقم بسبب حالة النظام العام والصراع والتشرد والمشاكل الهيكلية المتعلقة بالتهميش والفقر، التي تزيد من صعوبة الوصول إلى الخدمات والتغطية العامة بالتأمينات الاجتماعية والصحية</w:t>
      </w:r>
      <w:r w:rsidR="003D7EB4">
        <w:rPr>
          <w:rFonts w:hint="cs"/>
          <w:rtl/>
          <w:lang w:bidi="ar-EG"/>
        </w:rPr>
        <w:t>،</w:t>
      </w:r>
      <w:r>
        <w:rPr>
          <w:rFonts w:hint="cs"/>
          <w:rtl/>
          <w:lang w:bidi="ar-EG"/>
        </w:rPr>
        <w:t xml:space="preserve"> وعلى الرغم من المنجزات المحرزة في العقد الأخير فإن أمراض الجهاز التنفسي وأمراض الإسهال ما زالت تمثل بين الأطفال الذين لم يبلغوا سن الخمس سنوات مشكلة صحة عامة؛ ويشغل هؤلاء الأطفال المراتب الأولى للإصابة بالأمراض والوفاة بين هذه الفئة السكانية، ولا سيما في البلديات الأدنى مستوى من ناحية التنمية</w:t>
      </w:r>
      <w:r w:rsidR="003D7EB4">
        <w:rPr>
          <w:rFonts w:hint="cs"/>
          <w:rtl/>
          <w:lang w:bidi="ar-EG"/>
        </w:rPr>
        <w:t>،</w:t>
      </w:r>
      <w:r>
        <w:rPr>
          <w:rFonts w:hint="cs"/>
          <w:rtl/>
          <w:lang w:bidi="ar-EG"/>
        </w:rPr>
        <w:t xml:space="preserve"> وعلى الرغم من أن معدلات الوفيات لكل </w:t>
      </w:r>
      <w:r>
        <w:t>EDA</w:t>
      </w:r>
      <w:r>
        <w:rPr>
          <w:rFonts w:hint="cs"/>
          <w:rtl/>
          <w:lang w:bidi="ar-EG"/>
        </w:rPr>
        <w:t xml:space="preserve"> انخفضت بين الأطفال الذين لم</w:t>
      </w:r>
      <w:r>
        <w:rPr>
          <w:rFonts w:hint="eastAsia"/>
          <w:rtl/>
          <w:lang w:bidi="ar-EG"/>
        </w:rPr>
        <w:t> </w:t>
      </w:r>
      <w:r>
        <w:rPr>
          <w:rFonts w:hint="cs"/>
          <w:rtl/>
          <w:lang w:bidi="ar-EG"/>
        </w:rPr>
        <w:t>يبلغوا سن الخامسة فإن لهذا الاتجاه موجود فيما يتعلق بإصابة الأطفال بالأمراض</w:t>
      </w:r>
      <w:r w:rsidR="003D7EB4">
        <w:rPr>
          <w:rFonts w:hint="cs"/>
          <w:rtl/>
          <w:lang w:bidi="ar-EG"/>
        </w:rPr>
        <w:t>،</w:t>
      </w:r>
    </w:p>
    <w:p w:rsidR="00971AE2" w:rsidRDefault="00971AE2" w:rsidP="00A343DF">
      <w:pPr>
        <w:pStyle w:val="SingleTxt"/>
        <w:rPr>
          <w:rFonts w:hint="cs"/>
          <w:rtl/>
          <w:lang w:bidi="ar-EG"/>
        </w:rPr>
      </w:pPr>
      <w:r>
        <w:rPr>
          <w:rFonts w:hint="cs"/>
          <w:rtl/>
          <w:lang w:bidi="ar-EG"/>
        </w:rPr>
        <w:tab/>
        <w:t>وتتعلق الأسباب الأخرى للوفاة بين السكان بالعنف الشائع في البلد</w:t>
      </w:r>
      <w:r w:rsidR="003D7EB4">
        <w:rPr>
          <w:rFonts w:hint="cs"/>
          <w:rtl/>
          <w:lang w:bidi="ar-EG"/>
        </w:rPr>
        <w:t>،</w:t>
      </w:r>
      <w:r>
        <w:rPr>
          <w:rFonts w:hint="cs"/>
          <w:rtl/>
          <w:lang w:bidi="ar-EG"/>
        </w:rPr>
        <w:t xml:space="preserve"> ويتضح من بيانات سنة 2002</w:t>
      </w:r>
      <w:r>
        <w:rPr>
          <w:rFonts w:hint="cs"/>
          <w:vertAlign w:val="superscript"/>
          <w:rtl/>
          <w:lang w:bidi="ar-EG"/>
        </w:rPr>
        <w:t>(131)</w:t>
      </w:r>
      <w:r>
        <w:rPr>
          <w:rFonts w:hint="cs"/>
          <w:rtl/>
          <w:lang w:bidi="ar-EG"/>
        </w:rPr>
        <w:t xml:space="preserve"> ازدياد حالات قتل الأطفال الذين تقل أعمارهم عن سنة، بنسبة 54 في المائة، والأطفال الذين لم يبلغوا سن الخامسة بنحو53 في المائة، والأطفال القصر بنسبة 30 في المائة</w:t>
      </w:r>
      <w:r w:rsidR="003D7EB4">
        <w:rPr>
          <w:rFonts w:hint="cs"/>
          <w:rtl/>
          <w:lang w:bidi="ar-EG"/>
        </w:rPr>
        <w:t>،</w:t>
      </w:r>
      <w:r>
        <w:rPr>
          <w:rFonts w:hint="cs"/>
          <w:rtl/>
          <w:lang w:bidi="ar-EG"/>
        </w:rPr>
        <w:t xml:space="preserve"> وفيما يتعلق بقرارات الطب الشرعي المتعلقة بالقتل فقد أجرى معهد الطب الشرعي خلال عام 2002، 174 4 عملية تشريح لجثث قصر واكتُشفت 212 جريمة قتل لقصر دون سن الثامنة عشرة حدثت 762 حالة منها نتيجة حادث مرور، و274 حالة نتيجة انتحار، و854 حالة نتيجة حادث غير متعمد</w:t>
      </w:r>
      <w:r w:rsidR="003D7EB4">
        <w:rPr>
          <w:rFonts w:hint="cs"/>
          <w:rtl/>
          <w:lang w:bidi="ar-EG"/>
        </w:rPr>
        <w:t>،</w:t>
      </w:r>
      <w:r>
        <w:rPr>
          <w:rFonts w:hint="cs"/>
          <w:rtl/>
          <w:lang w:bidi="ar-EG"/>
        </w:rPr>
        <w:t xml:space="preserve"> ويجدر توضيح أن المعدلات السكانية لا تبين أي اختلاف إحصائي كبير، وهذا يبين لنا أنه كلما ازداد عدد السكان تكررت الظاهرة</w:t>
      </w:r>
      <w:r w:rsidR="003D7EB4">
        <w:rPr>
          <w:rFonts w:hint="cs"/>
          <w:rtl/>
          <w:lang w:bidi="ar-EG"/>
        </w:rPr>
        <w:t>،</w:t>
      </w:r>
    </w:p>
    <w:p w:rsidR="00971AE2" w:rsidRDefault="00971AE2" w:rsidP="00A343DF">
      <w:pPr>
        <w:pStyle w:val="SingleTxt"/>
        <w:rPr>
          <w:rFonts w:hint="cs"/>
          <w:rtl/>
          <w:lang w:bidi="ar-EG"/>
        </w:rPr>
      </w:pPr>
      <w:r>
        <w:rPr>
          <w:rFonts w:hint="cs"/>
          <w:rtl/>
          <w:lang w:bidi="ar-EG"/>
        </w:rPr>
        <w:tab/>
        <w:t>وتتعلق بيانات أخرى تدل على حالة العنف ومعدل وقوعه وتنطوي على جروح غير مميتة بـ 284 20 قرارا للطب الشرعي</w:t>
      </w:r>
      <w:r>
        <w:rPr>
          <w:rFonts w:hint="cs"/>
          <w:vertAlign w:val="superscript"/>
          <w:rtl/>
          <w:lang w:bidi="ar-EG"/>
        </w:rPr>
        <w:t>(132)</w:t>
      </w:r>
      <w:r>
        <w:rPr>
          <w:rFonts w:hint="cs"/>
          <w:rtl/>
          <w:lang w:bidi="ar-EG"/>
        </w:rPr>
        <w:t xml:space="preserve"> بشأن عنف عائلي وجنسي قصر (صفر - 17 سنة)، 50 في المائة (115 10) منها بسبب سوء معاملة القاصر</w:t>
      </w:r>
      <w:r w:rsidR="003D7EB4">
        <w:rPr>
          <w:rFonts w:hint="cs"/>
          <w:rtl/>
          <w:lang w:bidi="ar-EG"/>
        </w:rPr>
        <w:t>،</w:t>
      </w:r>
      <w:r>
        <w:rPr>
          <w:rFonts w:hint="cs"/>
          <w:rtl/>
          <w:lang w:bidi="ar-EG"/>
        </w:rPr>
        <w:t xml:space="preserve"> وهذا الرقم أكبر من رقم سنة 1998 بـ 203 حالات</w:t>
      </w:r>
      <w:r w:rsidR="003D7EB4">
        <w:rPr>
          <w:rFonts w:hint="cs"/>
          <w:rtl/>
          <w:lang w:bidi="ar-EG"/>
        </w:rPr>
        <w:t>،</w:t>
      </w:r>
      <w:r>
        <w:rPr>
          <w:rFonts w:hint="cs"/>
          <w:rtl/>
          <w:lang w:bidi="ar-EG"/>
        </w:rPr>
        <w:t xml:space="preserve"> وبالمثل ازدادت قرارات الطب الشرعي المتعلقة بجرائم جنسية بـ 49 حالة لأطفال دون الخامسة من العمر وبـ 470 حالة بالنسبة لجميع القصر (دون سن الثامنة عشرة)</w:t>
      </w:r>
      <w:r w:rsidR="003D7EB4">
        <w:rPr>
          <w:rFonts w:hint="cs"/>
          <w:rtl/>
          <w:lang w:bidi="ar-EG"/>
        </w:rPr>
        <w:t>،</w:t>
      </w:r>
      <w:r>
        <w:rPr>
          <w:rFonts w:hint="cs"/>
          <w:rtl/>
          <w:lang w:bidi="ar-EG"/>
        </w:rPr>
        <w:t xml:space="preserve"> وتبين لنا هذه الأرقام في حدود السجل الفرعي ازدياد الحالات والظروف التي اعتدى فيها على حق الطفل في الحياة</w:t>
      </w:r>
      <w:r w:rsidR="003D7EB4">
        <w:rPr>
          <w:rFonts w:hint="cs"/>
          <w:rtl/>
          <w:lang w:bidi="ar-EG"/>
        </w:rPr>
        <w:t>،</w:t>
      </w:r>
    </w:p>
    <w:p w:rsidR="00971AE2" w:rsidRDefault="00971AE2" w:rsidP="00A343DF">
      <w:pPr>
        <w:pStyle w:val="SingleTxt"/>
        <w:rPr>
          <w:rFonts w:hint="cs"/>
          <w:rtl/>
          <w:lang w:bidi="ar-EG"/>
        </w:rPr>
      </w:pPr>
      <w:r>
        <w:rPr>
          <w:rFonts w:hint="cs"/>
          <w:rtl/>
          <w:lang w:bidi="ar-EG"/>
        </w:rPr>
        <w:tab/>
        <w:t>ويبلغ نقص التغذية العام</w:t>
      </w:r>
      <w:r>
        <w:rPr>
          <w:rFonts w:hint="cs"/>
          <w:vertAlign w:val="superscript"/>
          <w:rtl/>
          <w:lang w:bidi="ar-EG"/>
        </w:rPr>
        <w:t>(133)</w:t>
      </w:r>
      <w:r>
        <w:rPr>
          <w:rFonts w:hint="cs"/>
          <w:rtl/>
          <w:lang w:bidi="ar-EG"/>
        </w:rPr>
        <w:t xml:space="preserve"> 6</w:t>
      </w:r>
      <w:r w:rsidR="00CC17E1">
        <w:rPr>
          <w:rFonts w:hint="cs"/>
          <w:rtl/>
          <w:lang w:bidi="ar-EG"/>
        </w:rPr>
        <w:t>.</w:t>
      </w:r>
      <w:r>
        <w:rPr>
          <w:rFonts w:hint="cs"/>
          <w:rtl/>
          <w:lang w:bidi="ar-EG"/>
        </w:rPr>
        <w:t>7 في المائة ونقص التغذية الشديد 0</w:t>
      </w:r>
      <w:r w:rsidR="00CC17E1">
        <w:rPr>
          <w:rFonts w:hint="cs"/>
          <w:rtl/>
          <w:lang w:bidi="ar-EG"/>
        </w:rPr>
        <w:t>.</w:t>
      </w:r>
      <w:r>
        <w:rPr>
          <w:rFonts w:hint="cs"/>
          <w:rtl/>
          <w:lang w:bidi="ar-EG"/>
        </w:rPr>
        <w:t>8 في المائة، وتبلغ نسبة الذكور الذين يعانون من نقص التغذية 6</w:t>
      </w:r>
      <w:r w:rsidR="00CC17E1">
        <w:rPr>
          <w:rFonts w:hint="cs"/>
          <w:rtl/>
          <w:lang w:bidi="ar-EG"/>
        </w:rPr>
        <w:t>.</w:t>
      </w:r>
      <w:r>
        <w:rPr>
          <w:rFonts w:hint="cs"/>
          <w:rtl/>
          <w:lang w:bidi="ar-EG"/>
        </w:rPr>
        <w:t>6 في المائة وتبلغ نسبة النساء اللائي تعانين منه 6</w:t>
      </w:r>
      <w:r w:rsidR="00CC17E1">
        <w:rPr>
          <w:rFonts w:hint="cs"/>
          <w:rtl/>
          <w:lang w:bidi="ar-EG"/>
        </w:rPr>
        <w:t>.</w:t>
      </w:r>
      <w:r>
        <w:rPr>
          <w:rFonts w:hint="cs"/>
          <w:rtl/>
          <w:lang w:bidi="ar-EG"/>
        </w:rPr>
        <w:t>9 في المائة</w:t>
      </w:r>
      <w:r w:rsidR="003D7EB4">
        <w:rPr>
          <w:rFonts w:hint="cs"/>
          <w:rtl/>
          <w:lang w:bidi="ar-EG"/>
        </w:rPr>
        <w:t>،</w:t>
      </w:r>
      <w:r>
        <w:rPr>
          <w:rFonts w:hint="cs"/>
          <w:rtl/>
          <w:lang w:bidi="ar-EG"/>
        </w:rPr>
        <w:t xml:space="preserve"> وأكثر الأشخاص تضررا هم الأطفال الذين يبلغون من العمر سنة وسنتين، الذين تبلغ معدل نقص التغذية بينهم 10 في المائة</w:t>
      </w:r>
      <w:r w:rsidR="003D7EB4">
        <w:rPr>
          <w:rFonts w:hint="cs"/>
          <w:rtl/>
          <w:lang w:bidi="ar-EG"/>
        </w:rPr>
        <w:t>،</w:t>
      </w:r>
      <w:r>
        <w:rPr>
          <w:rFonts w:hint="cs"/>
          <w:rtl/>
          <w:lang w:bidi="ar-EG"/>
        </w:rPr>
        <w:t xml:space="preserve"> ويبلغ نقص التغذية الشديد بين الأطفال الذين يبلغون من العمر سنتين 2 في المائة</w:t>
      </w:r>
      <w:r w:rsidR="003D7EB4">
        <w:rPr>
          <w:rFonts w:hint="cs"/>
          <w:rtl/>
          <w:lang w:bidi="ar-EG"/>
        </w:rPr>
        <w:t>،</w:t>
      </w:r>
      <w:r>
        <w:rPr>
          <w:rFonts w:hint="cs"/>
          <w:rtl/>
          <w:lang w:bidi="ar-EG"/>
        </w:rPr>
        <w:t xml:space="preserve"> وتبلغ نسبة القصر الذين كان وزنهم منخفضا عند الولادة (أقل من 500 2 غرام) 7 في المائة</w:t>
      </w:r>
      <w:r>
        <w:rPr>
          <w:rFonts w:hint="cs"/>
          <w:vertAlign w:val="superscript"/>
          <w:rtl/>
          <w:lang w:bidi="ar-EG"/>
        </w:rPr>
        <w:t>(134)</w:t>
      </w:r>
      <w:r w:rsidR="003D7EB4">
        <w:rPr>
          <w:rFonts w:hint="cs"/>
          <w:rtl/>
          <w:lang w:bidi="ar-EG"/>
        </w:rPr>
        <w:t>،</w:t>
      </w:r>
      <w:r>
        <w:rPr>
          <w:rFonts w:hint="cs"/>
          <w:rtl/>
          <w:lang w:bidi="ar-EG"/>
        </w:rPr>
        <w:t xml:space="preserve"> وإن المقارنة بالدراسة الاستقصائية الوطنية للسكان والصحة لسنة 1995 يتضح تحسن جميع مؤشرات نقص التغذية، لا سيما نقص التغذية المزمن</w:t>
      </w:r>
      <w:r w:rsidR="003D7EB4">
        <w:rPr>
          <w:rFonts w:hint="cs"/>
          <w:rtl/>
          <w:lang w:bidi="ar-EG"/>
        </w:rPr>
        <w:t>،</w:t>
      </w:r>
    </w:p>
    <w:p w:rsidR="00971AE2" w:rsidRDefault="00971AE2" w:rsidP="00A343DF">
      <w:pPr>
        <w:pStyle w:val="SingleTxt"/>
        <w:rPr>
          <w:rFonts w:hint="cs"/>
          <w:rtl/>
          <w:lang w:bidi="ar-EG"/>
        </w:rPr>
      </w:pPr>
      <w:r>
        <w:rPr>
          <w:rFonts w:hint="cs"/>
          <w:rtl/>
          <w:lang w:bidi="ar-EG"/>
        </w:rPr>
        <w:tab/>
        <w:t>فيما يتعلق بمدى شمول ونوعية الرعاية السابقة للولادة وأثناء الإجهاض ارتفعت الرعاية المؤسسية للحوامل من 82 في المائة في سنة 1995 إلى 91 في المائة في سنة 2000</w:t>
      </w:r>
      <w:r>
        <w:rPr>
          <w:rFonts w:hint="cs"/>
          <w:vertAlign w:val="superscript"/>
          <w:rtl/>
          <w:lang w:bidi="ar-EG"/>
        </w:rPr>
        <w:t>(135)</w:t>
      </w:r>
      <w:r>
        <w:rPr>
          <w:rFonts w:hint="cs"/>
          <w:rtl/>
          <w:lang w:bidi="ar-EG"/>
        </w:rPr>
        <w:t>، ويتعلق 87 في المائة منها بتقديم المشورة من جانب طبيب، و4 في المائة بتقديم المشورة من جانب ممرضة، وظل نحو9 في المائة دون رعاية</w:t>
      </w:r>
      <w:r w:rsidR="003D7EB4">
        <w:rPr>
          <w:rFonts w:hint="cs"/>
          <w:rtl/>
          <w:lang w:bidi="ar-EG"/>
        </w:rPr>
        <w:t>،</w:t>
      </w:r>
      <w:r>
        <w:rPr>
          <w:rFonts w:hint="cs"/>
          <w:rtl/>
          <w:lang w:bidi="ar-EG"/>
        </w:rPr>
        <w:t xml:space="preserve"> وتقديم الرعاية من جانب مولدة منخفض للغاية وليس له أهمية إحصائية</w:t>
      </w:r>
      <w:r w:rsidR="003D7EB4">
        <w:rPr>
          <w:rFonts w:hint="cs"/>
          <w:rtl/>
          <w:lang w:bidi="ar-EG"/>
        </w:rPr>
        <w:t>،</w:t>
      </w:r>
      <w:r>
        <w:rPr>
          <w:rFonts w:hint="cs"/>
          <w:rtl/>
          <w:lang w:bidi="ar-EG"/>
        </w:rPr>
        <w:t xml:space="preserve"> ونسبة الحالات التي تقدم فيها الرعاية السابقة للولادة مرتفعة في حالات الولادة الأولى وتنخفض مع ازدياد عدد الأولاد</w:t>
      </w:r>
      <w:r w:rsidR="003D7EB4">
        <w:rPr>
          <w:rFonts w:hint="cs"/>
          <w:rtl/>
          <w:lang w:bidi="ar-EG"/>
        </w:rPr>
        <w:t>،</w:t>
      </w:r>
      <w:r>
        <w:rPr>
          <w:rFonts w:hint="cs"/>
          <w:rtl/>
          <w:lang w:bidi="ar-EG"/>
        </w:rPr>
        <w:t xml:space="preserve"> ويقدم 50 في المائة من الرعاية خلال الثلاثة أشهر الأولى من الحمل</w:t>
      </w:r>
      <w:r w:rsidR="003D7EB4">
        <w:rPr>
          <w:rFonts w:hint="cs"/>
          <w:rtl/>
          <w:lang w:bidi="ar-EG"/>
        </w:rPr>
        <w:t>،</w:t>
      </w:r>
      <w:r>
        <w:rPr>
          <w:rFonts w:hint="cs"/>
          <w:rtl/>
          <w:lang w:bidi="ar-EG"/>
        </w:rPr>
        <w:t xml:space="preserve"> واللامساواة في الحصول على الخدمات السابقة للولادة كبيرة جدا بالنسبة إلى الأمهات في المنطقة الريفية والأمهات ذوات المستوى التعليمي المنخفض: تحصل 94 في المائة من الحوامل في المنطقة الحضرية على رعاية سابقة للولادة مقارنة بـ 84 في المائة في المنطقة الريفية</w:t>
      </w:r>
      <w:r w:rsidR="003D7EB4">
        <w:rPr>
          <w:rFonts w:hint="cs"/>
          <w:rtl/>
          <w:lang w:bidi="ar-EG"/>
        </w:rPr>
        <w:t>،</w:t>
      </w:r>
      <w:r>
        <w:rPr>
          <w:rFonts w:hint="cs"/>
          <w:rtl/>
          <w:lang w:bidi="ar-EG"/>
        </w:rPr>
        <w:t xml:space="preserve"> وفيما يتعلق بالمستوى التعليمي للأم قُدمت الرعاية الصحية من جانب طبيب إلى 59</w:t>
      </w:r>
      <w:r w:rsidR="00CC17E1">
        <w:rPr>
          <w:rFonts w:hint="cs"/>
          <w:rtl/>
          <w:lang w:bidi="ar-EG"/>
        </w:rPr>
        <w:t>.</w:t>
      </w:r>
      <w:r>
        <w:rPr>
          <w:rFonts w:hint="cs"/>
          <w:rtl/>
          <w:lang w:bidi="ar-EG"/>
        </w:rPr>
        <w:t>4 في المائة من الأمهات ذوي المستوى التعليمي المنخفض في حين قُدمت إلى 99</w:t>
      </w:r>
      <w:r w:rsidR="00CC17E1">
        <w:rPr>
          <w:rFonts w:hint="cs"/>
          <w:rtl/>
          <w:lang w:bidi="ar-EG"/>
        </w:rPr>
        <w:t>.</w:t>
      </w:r>
      <w:r>
        <w:rPr>
          <w:rFonts w:hint="cs"/>
          <w:rtl/>
          <w:lang w:bidi="ar-EG"/>
        </w:rPr>
        <w:t>1 في المائة من الأمهات ذوات المستوى التعليمي العالي (الجامعي)</w:t>
      </w:r>
      <w:r>
        <w:rPr>
          <w:rFonts w:hint="cs"/>
          <w:vertAlign w:val="superscript"/>
          <w:rtl/>
          <w:lang w:bidi="ar-EG"/>
        </w:rPr>
        <w:t>(136)</w:t>
      </w:r>
      <w:r w:rsidR="003D7EB4">
        <w:rPr>
          <w:rFonts w:hint="cs"/>
          <w:rtl/>
          <w:lang w:bidi="ar-EG"/>
        </w:rPr>
        <w:t>،</w:t>
      </w:r>
    </w:p>
    <w:p w:rsidR="00971AE2" w:rsidRDefault="00971AE2" w:rsidP="00A343DF">
      <w:pPr>
        <w:pStyle w:val="SingleTxt"/>
        <w:rPr>
          <w:rFonts w:hint="cs"/>
          <w:b/>
          <w:bCs/>
          <w:rtl/>
          <w:lang w:bidi="ar-EG"/>
        </w:rPr>
      </w:pPr>
      <w:r>
        <w:rPr>
          <w:rFonts w:hint="cs"/>
          <w:rtl/>
          <w:lang w:bidi="ar-EG"/>
        </w:rPr>
        <w:tab/>
      </w:r>
      <w:r>
        <w:rPr>
          <w:rFonts w:hint="cs"/>
          <w:b/>
          <w:bCs/>
          <w:rtl/>
          <w:lang w:bidi="ar-EG"/>
        </w:rPr>
        <w:t>ارتفعت الرعاية المؤسسية أثناء الولادة من 84</w:t>
      </w:r>
      <w:r w:rsidR="00CC17E1">
        <w:rPr>
          <w:rFonts w:hint="cs"/>
          <w:b/>
          <w:bCs/>
          <w:rtl/>
          <w:lang w:bidi="ar-EG"/>
        </w:rPr>
        <w:t>.</w:t>
      </w:r>
      <w:r>
        <w:rPr>
          <w:rFonts w:hint="cs"/>
          <w:b/>
          <w:bCs/>
          <w:rtl/>
          <w:lang w:bidi="ar-EG"/>
        </w:rPr>
        <w:t>8 في المائة من الحالات في سنة 1995 إلى 88 في المائة في سنة 2000؛ وارتفعت في المنطقة الحضرية من 93 في المائة من الحالات في سنة 1995 إلى 94 في المائة في سنة 2000 وفي المنطقة الريفية من 65 في المائة إلى 70 في المائة</w:t>
      </w:r>
      <w:r w:rsidR="003D7EB4">
        <w:rPr>
          <w:rFonts w:hint="cs"/>
          <w:b/>
          <w:bCs/>
          <w:rtl/>
          <w:lang w:bidi="ar-EG"/>
        </w:rPr>
        <w:t>،</w:t>
      </w:r>
      <w:r>
        <w:rPr>
          <w:rFonts w:hint="cs"/>
          <w:b/>
          <w:bCs/>
          <w:rtl/>
          <w:lang w:bidi="ar-EG"/>
        </w:rPr>
        <w:t xml:space="preserve"> وقُدمت الرعاية في 83 في المائة من الحالات من جانب طبيب وفي 4 في المائة من جانب ممرضة وفي 9 في المائة من جانب قابلة وفي نحو4 في المائة من جانب أحد الأقارب</w:t>
      </w:r>
      <w:r w:rsidR="003D7EB4">
        <w:rPr>
          <w:rFonts w:hint="cs"/>
          <w:b/>
          <w:bCs/>
          <w:rtl/>
          <w:lang w:bidi="ar-EG"/>
        </w:rPr>
        <w:t>،</w:t>
      </w:r>
      <w:r>
        <w:rPr>
          <w:rFonts w:hint="cs"/>
          <w:b/>
          <w:bCs/>
          <w:rtl/>
          <w:lang w:bidi="ar-EG"/>
        </w:rPr>
        <w:t xml:space="preserve"> ولوحظ ازدياد عدد الحالات التي قُدمت فيها الرعاية من جانب طبيب وانخفاض عدد الحالات التي قُدمت فيها الرعاية من جانب قابلة وتؤثر في ذلك إمكانيات الحصول على الخدمات الصحية والمستوى التعليمي للنساء</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وعلى الرغم من أن المؤشرات تبين ازديادا كبيرا في مدة الرضاعة الخالصة للأشهر، التي ارتفعت من 0</w:t>
      </w:r>
      <w:r w:rsidR="00CC17E1">
        <w:rPr>
          <w:rFonts w:hint="cs"/>
          <w:b/>
          <w:bCs/>
          <w:rtl/>
          <w:lang w:bidi="ar-EG"/>
        </w:rPr>
        <w:t>.</w:t>
      </w:r>
      <w:r>
        <w:rPr>
          <w:rFonts w:hint="cs"/>
          <w:b/>
          <w:bCs/>
          <w:rtl/>
          <w:lang w:bidi="ar-EG"/>
        </w:rPr>
        <w:t>6 شهر في سنة 1990 إلى 1</w:t>
      </w:r>
      <w:r w:rsidR="00CC17E1">
        <w:rPr>
          <w:rFonts w:hint="cs"/>
          <w:b/>
          <w:bCs/>
          <w:rtl/>
          <w:lang w:bidi="ar-EG"/>
        </w:rPr>
        <w:t>.</w:t>
      </w:r>
      <w:r>
        <w:rPr>
          <w:rFonts w:hint="cs"/>
          <w:b/>
          <w:bCs/>
          <w:rtl/>
          <w:lang w:bidi="ar-EG"/>
        </w:rPr>
        <w:t>7 شهر في سنة 2000 فقد انخفضت مواصلة الرضاعة الخالصة</w:t>
      </w:r>
      <w:r>
        <w:rPr>
          <w:rFonts w:hint="cs"/>
          <w:b/>
          <w:bCs/>
          <w:vertAlign w:val="superscript"/>
          <w:rtl/>
          <w:lang w:bidi="ar-EG"/>
        </w:rPr>
        <w:t>(137)</w:t>
      </w:r>
      <w:r>
        <w:rPr>
          <w:rFonts w:hint="cs"/>
          <w:b/>
          <w:bCs/>
          <w:rtl/>
          <w:lang w:bidi="ar-EG"/>
        </w:rPr>
        <w:t xml:space="preserve"> حتى ستة أشهر انخفاضا كبيرا إذ انخفضت من 15 في المائة في سنة 1995 إلى 11</w:t>
      </w:r>
      <w:r w:rsidR="00CC17E1">
        <w:rPr>
          <w:rFonts w:hint="cs"/>
          <w:b/>
          <w:bCs/>
          <w:rtl/>
          <w:lang w:bidi="ar-EG"/>
        </w:rPr>
        <w:t>.</w:t>
      </w:r>
      <w:r>
        <w:rPr>
          <w:rFonts w:hint="cs"/>
          <w:b/>
          <w:bCs/>
          <w:rtl/>
          <w:lang w:bidi="ar-EG"/>
        </w:rPr>
        <w:t>6 في المائة في سنة 2000</w:t>
      </w:r>
      <w:r w:rsidR="003D7EB4">
        <w:rPr>
          <w:rFonts w:hint="cs"/>
          <w:b/>
          <w:bCs/>
          <w:rtl/>
          <w:lang w:bidi="ar-EG"/>
        </w:rPr>
        <w:t>،</w:t>
      </w:r>
      <w:r>
        <w:rPr>
          <w:rFonts w:hint="cs"/>
          <w:b/>
          <w:bCs/>
          <w:rtl/>
          <w:lang w:bidi="ar-EG"/>
        </w:rPr>
        <w:t xml:space="preserve"> وقد يكون هذا الانخفاض مرتبطا بعوامل ثقافية ناشئة عن الاعتقاد بالحاجة إلى السوائل في الأشهر الأولى من الحياة وإلى ضعف الرسائل الثقافية الموجهة إلى المجتمع وإلى توصيات غير ملائمة من جانب العاملين الصحيين وإلى الدعاية للأغذية البديلة للبن الأم</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والبرنامج الحكومي للتحصين هومن أجمل برامج التحصين في أمريكا</w:t>
      </w:r>
      <w:r w:rsidR="003D7EB4">
        <w:rPr>
          <w:rFonts w:hint="cs"/>
          <w:rtl/>
          <w:lang w:bidi="ar-EG"/>
        </w:rPr>
        <w:t>،</w:t>
      </w:r>
      <w:r>
        <w:rPr>
          <w:rFonts w:hint="cs"/>
          <w:rtl/>
          <w:lang w:bidi="ar-EG"/>
        </w:rPr>
        <w:t xml:space="preserve"> والسكان المستهدفين بهذا البرنامج هم الأطفال الذين تقل أعمارهم عن 5 سنوات والإناث اللائي في سن الإنجاب (اللائي تتراوح أعمارهن بين 10 و49 سنة)</w:t>
      </w:r>
      <w:r w:rsidR="003D7EB4">
        <w:rPr>
          <w:rFonts w:hint="cs"/>
          <w:rtl/>
          <w:lang w:bidi="ar-EG"/>
        </w:rPr>
        <w:t>،</w:t>
      </w:r>
      <w:r>
        <w:rPr>
          <w:rFonts w:hint="cs"/>
          <w:rtl/>
          <w:lang w:bidi="ar-EG"/>
        </w:rPr>
        <w:t xml:space="preserve"> ومع ذلك فإنه وفقا للتقرير الوارد من </w:t>
      </w:r>
      <w:r>
        <w:t>Paisoft</w:t>
      </w:r>
      <w:r>
        <w:rPr>
          <w:rFonts w:hint="cs"/>
          <w:rtl/>
          <w:lang w:bidi="ar-EG"/>
        </w:rPr>
        <w:t>، وهوبرنامج لوزارة الرعاية، فإنه لم تحقق في سنة 2002 تغطية مفيدة</w:t>
      </w:r>
      <w:r>
        <w:rPr>
          <w:rFonts w:hint="cs"/>
          <w:vertAlign w:val="superscript"/>
          <w:rtl/>
          <w:lang w:bidi="ar-EG"/>
        </w:rPr>
        <w:t>(138)</w:t>
      </w:r>
      <w:r w:rsidR="003D7EB4">
        <w:rPr>
          <w:rFonts w:hint="cs"/>
          <w:rtl/>
          <w:lang w:bidi="ar-EG"/>
        </w:rPr>
        <w:t>،</w:t>
      </w:r>
      <w:r>
        <w:rPr>
          <w:rFonts w:hint="cs"/>
          <w:rtl/>
          <w:lang w:bidi="ar-EG"/>
        </w:rPr>
        <w:t xml:space="preserve"> وهذا على الرغم من الجهود الحكومية المبذولة في إطار عدة خدمات وطنية من بينها ما يلي: القضاء على الحصبة وخطة توثيق القضاء على شلل الأطفال وخطة القضاء على الكزاز الذي يصيب المولودين حديثا</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ووفقا </w:t>
      </w:r>
      <w:r>
        <w:rPr>
          <w:rFonts w:hint="cs"/>
          <w:b/>
          <w:bCs/>
          <w:rtl/>
          <w:lang w:bidi="ar-EG"/>
        </w:rPr>
        <w:t>لتقرير وزارة الرعاية عما أحرزه قطاع الصحة فيما يتعلق بحالة المرأة، 1999-2002</w:t>
      </w:r>
      <w:r>
        <w:rPr>
          <w:rFonts w:hint="cs"/>
          <w:rtl/>
          <w:lang w:bidi="ar-EG"/>
        </w:rPr>
        <w:t>، شهدت السنوات العشر الأخيرة زيادة في استعمال وسائل منع الحمل بين النساء اللائي في سن الإنجاب والمعاشرات فارتفع من 66 في المائة في سنة 1990 إلى 77 في المائة في سنة 2000</w:t>
      </w:r>
      <w:r w:rsidR="003D7EB4">
        <w:rPr>
          <w:rFonts w:hint="cs"/>
          <w:rtl/>
          <w:lang w:bidi="ar-EG"/>
        </w:rPr>
        <w:t>،</w:t>
      </w:r>
      <w:r>
        <w:rPr>
          <w:rFonts w:hint="cs"/>
          <w:rtl/>
          <w:lang w:bidi="ar-EG"/>
        </w:rPr>
        <w:t xml:space="preserve"> وعلى الرغم من هذا التحسن فقد لوحظت اختلافات شديدة بين المناطق والمجموعات السكانية</w:t>
      </w:r>
      <w:r w:rsidR="003D7EB4">
        <w:rPr>
          <w:rFonts w:hint="cs"/>
          <w:rtl/>
          <w:lang w:bidi="ar-EG"/>
        </w:rPr>
        <w:t>،</w:t>
      </w:r>
      <w:r>
        <w:rPr>
          <w:rFonts w:hint="cs"/>
          <w:rtl/>
          <w:lang w:bidi="ar-EG"/>
        </w:rPr>
        <w:t xml:space="preserve"> فبين المراهقات اللائي تتراوح أعمارهن بين 15 و19 سنة لم يبلغ انتشار استعمال وسائل منع الحمل إلا نحو57 في المائة وتبلغ نسبة الطلب الملبى على وسائل منع الحمل 79 في المائة، وتبلغ الحاجة غير المشبعة بين النساء غير المتعلمات ضعف الحاجة غير المشبع التقديرية للإناث الحاصلات على تعليم عال</w:t>
      </w:r>
      <w:r w:rsidR="003D7EB4">
        <w:rPr>
          <w:rFonts w:hint="cs"/>
          <w:rtl/>
          <w:lang w:bidi="ar-EG"/>
        </w:rPr>
        <w:t>،</w:t>
      </w:r>
    </w:p>
    <w:p w:rsidR="00971AE2" w:rsidRDefault="00971AE2" w:rsidP="00A343DF">
      <w:pPr>
        <w:pStyle w:val="SingleTxt"/>
        <w:rPr>
          <w:rFonts w:hint="cs"/>
          <w:rtl/>
          <w:lang w:bidi="ar-EG"/>
        </w:rPr>
      </w:pPr>
      <w:r>
        <w:rPr>
          <w:rFonts w:hint="cs"/>
          <w:rtl/>
          <w:lang w:bidi="ar-EG"/>
        </w:rPr>
        <w:tab/>
        <w:t>وفي سنة 2000 كان الفرق بالنسبة المئوية في استعمال وسائل منع الحمل بين المنطقة الريفية (78 في المائة) والمنطقة الحضرية (75 في المائة) يبلغ 3 نقاط</w:t>
      </w:r>
      <w:r w:rsidR="003D7EB4">
        <w:rPr>
          <w:rFonts w:hint="cs"/>
          <w:rtl/>
          <w:lang w:bidi="ar-EG"/>
        </w:rPr>
        <w:t>،</w:t>
      </w:r>
      <w:r>
        <w:rPr>
          <w:rFonts w:hint="cs"/>
          <w:rtl/>
          <w:lang w:bidi="ar-EG"/>
        </w:rPr>
        <w:t xml:space="preserve"> وفيما يتعلق بالمناطق فإن أكثر المناطق استعمالا لوسائل منع الحمل هي المنطقة الشرقية (83 في المائة) تليها بوغوتا (81 في المائة) والمنطقة المطلة على المحيط الأطلسي (71 في المائة)</w:t>
      </w:r>
      <w:r w:rsidR="003D7EB4">
        <w:rPr>
          <w:rFonts w:hint="cs"/>
          <w:rtl/>
          <w:lang w:bidi="ar-EG"/>
        </w:rPr>
        <w:t>،</w:t>
      </w:r>
      <w:r>
        <w:rPr>
          <w:rFonts w:hint="cs"/>
          <w:rtl/>
          <w:lang w:bidi="ar-EG"/>
        </w:rPr>
        <w:t xml:space="preserve"> وبالنسبة إلى المستوى التعليمي فإن معدل الاستخدام بين النساء غير المتعلمات يبلغ 73 في المائة، وقد تزايد هذا المعدل بين الإناث الحاصلات على التعليم الابتدائي والتعليم الثانوي إلى 77 في المائة و78 في المائة على التوالي، لكنه انخفض بعد ذلك بين الإناث الحاصلات على تعليم عال إلى 75 في المائة</w:t>
      </w:r>
      <w:r w:rsidR="003D7EB4">
        <w:rPr>
          <w:rFonts w:hint="cs"/>
          <w:rtl/>
          <w:lang w:bidi="ar-EG"/>
        </w:rPr>
        <w:t>،</w:t>
      </w:r>
    </w:p>
    <w:p w:rsidR="00971AE2" w:rsidRDefault="00971AE2" w:rsidP="00A343DF">
      <w:pPr>
        <w:pStyle w:val="SingleTxt"/>
        <w:rPr>
          <w:rFonts w:hint="cs"/>
          <w:rtl/>
          <w:lang w:bidi="ar-EG"/>
        </w:rPr>
      </w:pPr>
      <w:r>
        <w:rPr>
          <w:rFonts w:hint="cs"/>
          <w:rtl/>
          <w:lang w:bidi="ar-EG"/>
        </w:rPr>
        <w:tab/>
        <w:t>وحاجة الصحة التناسلية بين المراهقين كانت شاهدا كبيرا في السنوات الأخيرة بسبب الاتجاه إلى ازدياد الخصوبة لدى المراهقات والأمومة والأبوة المبكرتين، الأمر الذي تحول إلى مشكلة خطيرة من مشاكل الصحة العامة ومشكلة أكبر إذا أُخذت في الاعتبار علاقته بحالات الحمل غير المرغوب فيها والإجهاض تضاف إلى النتائج الاجتماعية والاقتصادية والصحية التي تواجه هذه المجموعة السكانية</w:t>
      </w:r>
      <w:r w:rsidR="003D7EB4">
        <w:rPr>
          <w:rFonts w:hint="cs"/>
          <w:rtl/>
          <w:lang w:bidi="ar-EG"/>
        </w:rPr>
        <w:t>،</w:t>
      </w:r>
      <w:r>
        <w:rPr>
          <w:rFonts w:hint="cs"/>
          <w:rtl/>
          <w:lang w:bidi="ar-EG"/>
        </w:rPr>
        <w:t xml:space="preserve"> وقد حملت واحدة من كل 5 مراهقات يبلغن من العمر 17 سنة مرة واحدة وحملت واحدة من كل ثلاث مراهقات يبلغن من العمر 19 سنة</w:t>
      </w:r>
      <w:r w:rsidR="003D7EB4">
        <w:rPr>
          <w:rFonts w:hint="cs"/>
          <w:rtl/>
          <w:lang w:bidi="ar-EG"/>
        </w:rPr>
        <w:t>،</w:t>
      </w:r>
      <w:r>
        <w:rPr>
          <w:rFonts w:hint="cs"/>
          <w:rtl/>
          <w:lang w:bidi="ar-EG"/>
        </w:rPr>
        <w:t xml:space="preserve"> كما يواجه المراهقون قيودا على الوصول إلى خدمات الصحة الجنسية والتناسلية المناسبة لاحتياجاتهم الخاصة ومدى توافرها واستعمال وسائل منع الحمل منخفض للغاية أوتستخدم وسائل منخفضة الفعالية لمنع الحمل</w:t>
      </w:r>
      <w:r w:rsidR="003D7EB4">
        <w:rPr>
          <w:rFonts w:hint="cs"/>
          <w:rtl/>
          <w:lang w:bidi="ar-EG"/>
        </w:rPr>
        <w:t>،</w:t>
      </w:r>
    </w:p>
    <w:p w:rsidR="00971AE2" w:rsidRDefault="00971AE2" w:rsidP="00A343DF">
      <w:pPr>
        <w:pStyle w:val="SingleTxt"/>
        <w:rPr>
          <w:rFonts w:hint="cs"/>
          <w:rtl/>
          <w:lang w:bidi="ar-EG"/>
        </w:rPr>
      </w:pPr>
      <w:r>
        <w:rPr>
          <w:rFonts w:hint="cs"/>
          <w:rtl/>
          <w:lang w:bidi="ar-EG"/>
        </w:rPr>
        <w:tab/>
        <w:t>والمتوسط أعلى في المنطقة الريفية: فقد حملت 26 في المائة من المراهقات مقارنة بنحو17 في المائة في المنطقة الحضرية</w:t>
      </w:r>
      <w:r w:rsidR="003D7EB4">
        <w:rPr>
          <w:rFonts w:hint="cs"/>
          <w:rtl/>
          <w:lang w:bidi="ar-EG"/>
        </w:rPr>
        <w:t>،</w:t>
      </w:r>
      <w:r>
        <w:rPr>
          <w:rFonts w:hint="cs"/>
          <w:rtl/>
          <w:lang w:bidi="ar-EG"/>
        </w:rPr>
        <w:t xml:space="preserve"> و18 في المائة من المراهقات لهن حاجة غير مشبعة إلى تنظيم الأسرة</w:t>
      </w:r>
      <w:r w:rsidR="003D7EB4">
        <w:rPr>
          <w:rFonts w:hint="cs"/>
          <w:rtl/>
          <w:lang w:bidi="ar-EG"/>
        </w:rPr>
        <w:t>،</w:t>
      </w:r>
      <w:r>
        <w:rPr>
          <w:rFonts w:hint="cs"/>
          <w:rtl/>
          <w:lang w:bidi="ar-EG"/>
        </w:rPr>
        <w:t xml:space="preserve"> وقد أدت هذه الحالات إلى وجود 000 450 1 حامل سنويا في كولومبيا يلدن 000 100 1 مولود حي (المرفق رقم 10)</w:t>
      </w:r>
      <w:r w:rsidR="003D7EB4">
        <w:rPr>
          <w:rFonts w:hint="cs"/>
          <w:rtl/>
          <w:lang w:bidi="ar-EG"/>
        </w:rPr>
        <w:t>،</w:t>
      </w:r>
    </w:p>
    <w:p w:rsidR="00971AE2" w:rsidRDefault="00971AE2" w:rsidP="00A343DF">
      <w:pPr>
        <w:pStyle w:val="SingleTxt"/>
        <w:rPr>
          <w:rFonts w:hint="cs"/>
          <w:rtl/>
          <w:lang w:bidi="ar-EG"/>
        </w:rPr>
      </w:pPr>
      <w:r>
        <w:rPr>
          <w:rFonts w:hint="cs"/>
          <w:rtl/>
          <w:lang w:bidi="ar-EG"/>
        </w:rPr>
        <w:tab/>
        <w:t>ويبلغ متوسط السن الذي يحدث فيه الاغتصاب الجنسي الأول 13</w:t>
      </w:r>
      <w:r w:rsidR="00AA7A05">
        <w:rPr>
          <w:rFonts w:hint="cs"/>
          <w:rtl/>
          <w:lang w:bidi="ar-EG"/>
        </w:rPr>
        <w:t>.</w:t>
      </w:r>
      <w:r>
        <w:rPr>
          <w:rFonts w:hint="cs"/>
          <w:rtl/>
          <w:lang w:bidi="ar-EG"/>
        </w:rPr>
        <w:t>4 للذكور و14</w:t>
      </w:r>
      <w:r w:rsidR="00AA7A05">
        <w:rPr>
          <w:rFonts w:hint="cs"/>
          <w:rtl/>
          <w:lang w:bidi="ar-EG"/>
        </w:rPr>
        <w:t>.</w:t>
      </w:r>
      <w:r>
        <w:rPr>
          <w:rFonts w:hint="cs"/>
          <w:rtl/>
          <w:lang w:bidi="ar-EG"/>
        </w:rPr>
        <w:t>8 للإناث</w:t>
      </w:r>
      <w:r w:rsidR="003D7EB4">
        <w:rPr>
          <w:rFonts w:hint="cs"/>
          <w:rtl/>
          <w:lang w:bidi="ar-EG"/>
        </w:rPr>
        <w:t>،</w:t>
      </w:r>
      <w:r>
        <w:rPr>
          <w:rFonts w:hint="cs"/>
          <w:rtl/>
          <w:lang w:bidi="ar-EG"/>
        </w:rPr>
        <w:t xml:space="preserve"> وهذا الوضع يختلف باختلاف السن والجنس والثقافة الأسرية</w:t>
      </w:r>
      <w:r w:rsidR="003D7EB4">
        <w:rPr>
          <w:rFonts w:hint="cs"/>
          <w:rtl/>
          <w:lang w:bidi="ar-EG"/>
        </w:rPr>
        <w:t>،</w:t>
      </w:r>
      <w:r>
        <w:rPr>
          <w:rFonts w:hint="cs"/>
          <w:rtl/>
          <w:lang w:bidi="ar-EG"/>
        </w:rPr>
        <w:t xml:space="preserve"> وبين سني 13 و14 سنة كان لواحد من بين كل 10 مراهقين علاقات جنسية، وتبلغ هذه النسبة بين الذين تتراوح أعمارهم بين 15 و17 سنة 4 من كل 10، وتبلغ في نهاية مرحلة المراهقة 7 بين كل 10</w:t>
      </w:r>
      <w:r w:rsidR="003D7EB4">
        <w:rPr>
          <w:rFonts w:hint="cs"/>
          <w:rtl/>
          <w:lang w:bidi="ar-EG"/>
        </w:rPr>
        <w:t>،</w:t>
      </w:r>
    </w:p>
    <w:p w:rsidR="00971AE2" w:rsidRDefault="00971AE2" w:rsidP="00A343DF">
      <w:pPr>
        <w:pStyle w:val="SingleTxt"/>
        <w:rPr>
          <w:rFonts w:hint="cs"/>
          <w:rtl/>
          <w:lang w:bidi="ar-EG"/>
        </w:rPr>
      </w:pPr>
      <w:r>
        <w:rPr>
          <w:rFonts w:hint="cs"/>
          <w:rtl/>
          <w:lang w:bidi="ar-EG"/>
        </w:rPr>
        <w:tab/>
        <w:t>وأقوى العوامل سرعة بازدياد الخصوبة بين السكان المراهقين هوانخفاض مستوى المواظبة على الذهاب إلى المدرسة والفقر</w:t>
      </w:r>
      <w:r w:rsidR="003D7EB4">
        <w:rPr>
          <w:rFonts w:hint="cs"/>
          <w:rtl/>
          <w:lang w:bidi="ar-EG"/>
        </w:rPr>
        <w:t>،</w:t>
      </w:r>
      <w:r>
        <w:rPr>
          <w:rFonts w:hint="cs"/>
          <w:rtl/>
          <w:lang w:bidi="ar-EG"/>
        </w:rPr>
        <w:t xml:space="preserve"> وثمة عامل آخر هومحل الإقامة فالفتيات في المناطق الريفية يملن إلى إقامة علاقاتهن الجنسية وإلى أن يكون لهن أولاد قبل فتيات المناطق الحضرية</w:t>
      </w:r>
      <w:r w:rsidR="003D7EB4">
        <w:rPr>
          <w:rFonts w:hint="cs"/>
          <w:rtl/>
          <w:lang w:bidi="ar-EG"/>
        </w:rPr>
        <w:t>،</w:t>
      </w:r>
      <w:r>
        <w:rPr>
          <w:rFonts w:hint="cs"/>
          <w:rtl/>
          <w:lang w:bidi="ar-EG"/>
        </w:rPr>
        <w:t xml:space="preserve"> وعلى ساحل المحيط الهادئ يبلغ عدد المراهقات الحوامل ضعف عدد الحوامل في سائر البلد</w:t>
      </w:r>
      <w:r w:rsidR="003D7EB4">
        <w:rPr>
          <w:rFonts w:hint="cs"/>
          <w:rtl/>
          <w:lang w:bidi="ar-EG"/>
        </w:rPr>
        <w:t>،</w:t>
      </w:r>
      <w:r>
        <w:rPr>
          <w:rFonts w:hint="cs"/>
          <w:rtl/>
          <w:lang w:bidi="ar-EG"/>
        </w:rPr>
        <w:t xml:space="preserve"> وبالمثل يتزايد الحمل المبكر شيوعا بين الفتيات اللائي يعانين من التشرد</w:t>
      </w:r>
      <w:r w:rsidR="003D7EB4">
        <w:rPr>
          <w:rFonts w:hint="cs"/>
          <w:rtl/>
          <w:lang w:bidi="ar-EG"/>
        </w:rPr>
        <w:t>،</w:t>
      </w:r>
    </w:p>
    <w:p w:rsidR="00971AE2" w:rsidRDefault="00971AE2" w:rsidP="00A343DF">
      <w:pPr>
        <w:pStyle w:val="SingleTxt"/>
        <w:rPr>
          <w:rFonts w:hint="cs"/>
          <w:rtl/>
          <w:lang w:bidi="ar-EG"/>
        </w:rPr>
      </w:pPr>
      <w:r>
        <w:rPr>
          <w:rFonts w:hint="cs"/>
          <w:rtl/>
          <w:lang w:bidi="ar-EG"/>
        </w:rPr>
        <w:tab/>
        <w:t>وسرطان عنق الرحم هوالسبب الأول للوفاة ومرض السرطان بين السكان الإناث اللائي تتراوح أعمارهن بين 30 و59 سنة والسبب الثاني للوفيات العامة هوالأورام</w:t>
      </w:r>
      <w:r w:rsidR="003D7EB4">
        <w:rPr>
          <w:rFonts w:hint="cs"/>
          <w:rtl/>
          <w:lang w:bidi="ar-EG"/>
        </w:rPr>
        <w:t>،</w:t>
      </w:r>
      <w:r>
        <w:rPr>
          <w:rFonts w:hint="cs"/>
          <w:rtl/>
          <w:lang w:bidi="ar-EG"/>
        </w:rPr>
        <w:t xml:space="preserve"> ومع ذلك فإنه نتيجة للميل إلى العلاقات الجنسية في سن أبكر بإن سرطان عنق الرحم يؤثر في الإناث في سن أبكر بصورة متزايدة</w:t>
      </w:r>
      <w:r w:rsidR="003D7EB4">
        <w:rPr>
          <w:rFonts w:hint="cs"/>
          <w:rtl/>
          <w:lang w:bidi="ar-EG"/>
        </w:rPr>
        <w:t>،</w:t>
      </w:r>
    </w:p>
    <w:p w:rsidR="00971AE2" w:rsidRDefault="00971AE2" w:rsidP="00A343DF">
      <w:pPr>
        <w:pStyle w:val="SingleTxt"/>
        <w:rPr>
          <w:rFonts w:hint="cs"/>
          <w:rtl/>
          <w:lang w:bidi="ar-EG"/>
        </w:rPr>
      </w:pPr>
      <w:r>
        <w:rPr>
          <w:rFonts w:hint="cs"/>
          <w:rtl/>
          <w:lang w:bidi="ar-EG"/>
        </w:rPr>
        <w:tab/>
        <w:t>والأمراض التي تنتقل عن طريق الاتصال الجنسي مثلا السيفليس ومرض السيلان والسوطية منتشرة بدرجة أعلى من المتوسطات العالمية</w:t>
      </w:r>
      <w:r w:rsidR="003D7EB4">
        <w:rPr>
          <w:rFonts w:hint="cs"/>
          <w:rtl/>
          <w:lang w:bidi="ar-EG"/>
        </w:rPr>
        <w:t>،</w:t>
      </w:r>
      <w:r>
        <w:rPr>
          <w:rFonts w:hint="cs"/>
          <w:rtl/>
          <w:lang w:bidi="ar-EG"/>
        </w:rPr>
        <w:t xml:space="preserve"> ويبلغ معدل انتشار السيفليس 0</w:t>
      </w:r>
      <w:r w:rsidR="00AA7A05">
        <w:rPr>
          <w:rFonts w:hint="cs"/>
          <w:rtl/>
          <w:lang w:bidi="ar-EG"/>
        </w:rPr>
        <w:t>.</w:t>
      </w:r>
      <w:r>
        <w:rPr>
          <w:rFonts w:hint="cs"/>
          <w:rtl/>
          <w:lang w:bidi="ar-EG"/>
        </w:rPr>
        <w:t>95 لكل 000 1 مولود حي لكن يقدر أن هذا الرقم يخفي قدرا كبيرا من عدم التسجيل</w:t>
      </w:r>
      <w:r w:rsidR="003D7EB4">
        <w:rPr>
          <w:rFonts w:hint="cs"/>
          <w:rtl/>
          <w:lang w:bidi="ar-EG"/>
        </w:rPr>
        <w:t>،</w:t>
      </w:r>
      <w:r>
        <w:rPr>
          <w:rFonts w:hint="cs"/>
          <w:rtl/>
          <w:lang w:bidi="ar-EG"/>
        </w:rPr>
        <w:t xml:space="preserve"> ويميل التهاب الكبد الوبائي من النوع باء هوالـ+++++ إلى الازدياد</w:t>
      </w:r>
      <w:r w:rsidR="003D7EB4">
        <w:rPr>
          <w:rFonts w:hint="cs"/>
          <w:rtl/>
          <w:lang w:bidi="ar-EG"/>
        </w:rPr>
        <w:t>،</w:t>
      </w:r>
    </w:p>
    <w:p w:rsidR="00971AE2" w:rsidRDefault="00971AE2" w:rsidP="00A343DF">
      <w:pPr>
        <w:pStyle w:val="SingleTxt"/>
        <w:rPr>
          <w:rFonts w:hint="cs"/>
          <w:b/>
          <w:bCs/>
          <w:rtl/>
          <w:lang w:bidi="ar-EG"/>
        </w:rPr>
      </w:pPr>
      <w:r>
        <w:rPr>
          <w:rFonts w:hint="cs"/>
          <w:rtl/>
          <w:lang w:bidi="ar-EG"/>
        </w:rPr>
        <w:tab/>
      </w:r>
      <w:r>
        <w:rPr>
          <w:rFonts w:hint="cs"/>
          <w:b/>
          <w:bCs/>
          <w:rtl/>
          <w:lang w:bidi="ar-EG"/>
        </w:rPr>
        <w:t>وأهم مشكلة بين المراهقات المشردات هي الخصوبة التي تبلغ 30 في المائة وهي أعلى من المتوسط الوطني بعشر نقاط والطلب غير الملبى على وسائل منع الحمل الذي تبلغ نسبته 60 في المائة</w:t>
      </w:r>
      <w:r w:rsidR="003D7EB4">
        <w:rPr>
          <w:rFonts w:hint="cs"/>
          <w:b/>
          <w:bCs/>
          <w:rtl/>
          <w:lang w:bidi="ar-EG"/>
        </w:rPr>
        <w:t>،</w:t>
      </w:r>
    </w:p>
    <w:p w:rsidR="00971AE2" w:rsidRDefault="00971AE2" w:rsidP="00A343DF">
      <w:pPr>
        <w:pStyle w:val="SingleTxt"/>
        <w:rPr>
          <w:rFonts w:hint="cs"/>
          <w:rtl/>
          <w:lang w:bidi="ar-EG"/>
        </w:rPr>
      </w:pPr>
      <w:r>
        <w:rPr>
          <w:rFonts w:hint="cs"/>
          <w:rtl/>
          <w:lang w:bidi="ar-EG"/>
        </w:rPr>
        <w:tab/>
        <w:t>وقد ازداد انتشار فيروس نقص المناعة البشرية/الإيدز في مجموعات سكانية مختلفة عن المجموعات التي تعتبر تقليدية ضعيفة أومعرضة للخطر، لا سيما الشباب والنساء إلى جانب مشتهي المثيل</w:t>
      </w:r>
      <w:r w:rsidR="003D7EB4">
        <w:rPr>
          <w:rFonts w:hint="cs"/>
          <w:rtl/>
          <w:lang w:bidi="ar-EG"/>
        </w:rPr>
        <w:t>،</w:t>
      </w:r>
      <w:r>
        <w:rPr>
          <w:rFonts w:hint="cs"/>
          <w:rtl/>
          <w:lang w:bidi="ar-EG"/>
        </w:rPr>
        <w:t xml:space="preserve"> وفيما بين عامي 1986 و2000 ارتفعت نسبة المصابين من 7 إلى 47 رجلا لكل امرأة</w:t>
      </w:r>
      <w:r>
        <w:rPr>
          <w:rFonts w:hint="cs"/>
          <w:vertAlign w:val="superscript"/>
          <w:rtl/>
          <w:lang w:bidi="ar-EG"/>
        </w:rPr>
        <w:t>(139)</w:t>
      </w:r>
      <w:r w:rsidR="003D7EB4">
        <w:rPr>
          <w:rFonts w:hint="cs"/>
          <w:rtl/>
          <w:lang w:bidi="ar-EG"/>
        </w:rPr>
        <w:t>،</w:t>
      </w:r>
    </w:p>
    <w:p w:rsidR="00971AE2" w:rsidRDefault="00971AE2" w:rsidP="00A343DF">
      <w:pPr>
        <w:pStyle w:val="SingleTxt"/>
        <w:rPr>
          <w:rFonts w:hint="cs"/>
          <w:rtl/>
          <w:lang w:bidi="ar-EG"/>
        </w:rPr>
      </w:pPr>
      <w:r>
        <w:rPr>
          <w:rFonts w:hint="cs"/>
          <w:rtl/>
          <w:lang w:bidi="ar-EG"/>
        </w:rPr>
        <w:tab/>
        <w:t>ومنذ عام 1983 وحتى الآن أُبلغ عن 879 38 حالة، منها 982 طفلا دون سن الخامسة و272 في الفئة العمرية 5 إلى 14 سنة</w:t>
      </w:r>
      <w:r w:rsidR="003D7EB4">
        <w:rPr>
          <w:rFonts w:hint="cs"/>
          <w:rtl/>
          <w:lang w:bidi="ar-EG"/>
        </w:rPr>
        <w:t>،</w:t>
      </w:r>
      <w:r>
        <w:rPr>
          <w:rFonts w:hint="cs"/>
          <w:rtl/>
          <w:lang w:bidi="ar-EG"/>
        </w:rPr>
        <w:t xml:space="preserve"> وهذا يعني أن 3</w:t>
      </w:r>
      <w:r w:rsidR="00AA7A05">
        <w:rPr>
          <w:rFonts w:hint="cs"/>
          <w:rtl/>
          <w:lang w:bidi="ar-EG"/>
        </w:rPr>
        <w:t>.</w:t>
      </w:r>
      <w:r>
        <w:rPr>
          <w:rFonts w:hint="cs"/>
          <w:rtl/>
          <w:lang w:bidi="ar-EG"/>
        </w:rPr>
        <w:t>22 في المائة من حالات الإصابة موجودة لدى الأطفال</w:t>
      </w:r>
      <w:r w:rsidR="003D7EB4">
        <w:rPr>
          <w:rFonts w:hint="cs"/>
          <w:rtl/>
          <w:lang w:bidi="ar-EG"/>
        </w:rPr>
        <w:t>،</w:t>
      </w:r>
      <w:r>
        <w:rPr>
          <w:rFonts w:hint="cs"/>
          <w:rtl/>
          <w:lang w:bidi="ar-EG"/>
        </w:rPr>
        <w:t xml:space="preserve"> وتحدث الإصابة في هذه المجموعة السكانية أساسا بالانتقال من الأم إلى الإبن، وهذا يعني تحديات متزايدة باستمرار لوقف انتشار الوباء بين النساء اللائي في سن الإنجاب والأطفال المولودين عن طريق تدابير فعالة لمنع الرصد قبل الولادة</w:t>
      </w:r>
    </w:p>
    <w:p w:rsidR="00971AE2" w:rsidRDefault="00971AE2" w:rsidP="00A343DF">
      <w:pPr>
        <w:pStyle w:val="SingleTxt"/>
        <w:rPr>
          <w:rFonts w:hint="cs"/>
          <w:b/>
          <w:bCs/>
          <w:rtl/>
          <w:lang w:bidi="ar-EG"/>
        </w:rPr>
      </w:pPr>
      <w:r>
        <w:rPr>
          <w:rFonts w:hint="cs"/>
          <w:rtl/>
          <w:lang w:bidi="ar-EG"/>
        </w:rPr>
        <w:tab/>
      </w:r>
      <w:r>
        <w:rPr>
          <w:rFonts w:hint="cs"/>
          <w:b/>
          <w:bCs/>
          <w:rtl/>
          <w:lang w:bidi="ar-EG"/>
        </w:rPr>
        <w:t>وتبلغ نسبة الإصابة بفيروس نقص المناعة البشرية بين الحوامل الخاضعات للمراقبة قبل الولادة 0</w:t>
      </w:r>
      <w:r w:rsidR="00AA7A05">
        <w:rPr>
          <w:rFonts w:hint="cs"/>
          <w:b/>
          <w:bCs/>
          <w:rtl/>
          <w:lang w:bidi="ar-EG"/>
        </w:rPr>
        <w:t>.</w:t>
      </w:r>
      <w:r>
        <w:rPr>
          <w:rFonts w:hint="cs"/>
          <w:b/>
          <w:bCs/>
          <w:rtl/>
          <w:lang w:bidi="ar-EG"/>
        </w:rPr>
        <w:t>2 في المائة</w:t>
      </w:r>
      <w:r w:rsidR="003D7EB4">
        <w:rPr>
          <w:rFonts w:hint="cs"/>
          <w:b/>
          <w:bCs/>
          <w:rtl/>
          <w:lang w:bidi="ar-EG"/>
        </w:rPr>
        <w:t>،</w:t>
      </w:r>
      <w:r>
        <w:rPr>
          <w:rFonts w:hint="cs"/>
          <w:b/>
          <w:bCs/>
          <w:rtl/>
          <w:lang w:bidi="ar-EG"/>
        </w:rPr>
        <w:t xml:space="preserve"> وبالنسبة إلى كل حالة إصابة بفيروس نقص المناعة البشرية/ الإيدز يبلغ عنها قد تكون هناك 10 حالات لم يبلغ عنها أوببساطة لم تضخص</w:t>
      </w:r>
      <w:r w:rsidR="003D7EB4">
        <w:rPr>
          <w:rFonts w:hint="cs"/>
          <w:b/>
          <w:bCs/>
          <w:rtl/>
          <w:lang w:bidi="ar-EG"/>
        </w:rPr>
        <w:t>،</w:t>
      </w:r>
      <w:r>
        <w:rPr>
          <w:rFonts w:hint="cs"/>
          <w:b/>
          <w:bCs/>
          <w:rtl/>
          <w:lang w:bidi="ar-EG"/>
        </w:rPr>
        <w:t xml:space="preserve"> وختاما فإنه قد شُخصت نحو300 2 حامل بصورة مؤكدة على أنهن يحملن فيروس نقص المناعة البشرية وتوجد 000 23 حامل مصابة بفيروس نقص المناعة البشرية لكنها لم تُكتشف</w:t>
      </w:r>
      <w:r w:rsidR="003D7EB4">
        <w:rPr>
          <w:rFonts w:hint="cs"/>
          <w:b/>
          <w:bCs/>
          <w:rtl/>
          <w:lang w:bidi="ar-EG"/>
        </w:rPr>
        <w:t>،</w:t>
      </w:r>
      <w:r>
        <w:rPr>
          <w:rFonts w:hint="cs"/>
          <w:b/>
          <w:bCs/>
          <w:rtl/>
          <w:lang w:bidi="ar-EG"/>
        </w:rPr>
        <w:t xml:space="preserve"> ويبلغ انتشار السيفليس بين الحوامل حاليا 7</w:t>
      </w:r>
      <w:r w:rsidR="00AA7A05">
        <w:rPr>
          <w:rFonts w:hint="cs"/>
          <w:b/>
          <w:bCs/>
          <w:rtl/>
          <w:lang w:bidi="ar-EG"/>
        </w:rPr>
        <w:t>.</w:t>
      </w:r>
      <w:r>
        <w:rPr>
          <w:rFonts w:hint="cs"/>
          <w:b/>
          <w:bCs/>
          <w:rtl/>
          <w:lang w:bidi="ar-EG"/>
        </w:rPr>
        <w:t>7 في المائة، وهذا يمثل نحو000 91 حامل في البلد</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ووفقا للاستطلاع الوطني لاستهلاك المخدرات بين الشباب، الذي أجراه برنامج رومبوس الرئاسي في الفترة 1999-2000 فإن نحو9</w:t>
      </w:r>
      <w:r w:rsidR="00AA7A05">
        <w:rPr>
          <w:rFonts w:hint="cs"/>
          <w:b/>
          <w:bCs/>
          <w:rtl/>
          <w:lang w:bidi="ar-EG"/>
        </w:rPr>
        <w:t>.</w:t>
      </w:r>
      <w:r>
        <w:rPr>
          <w:rFonts w:hint="cs"/>
          <w:b/>
          <w:bCs/>
          <w:rtl/>
          <w:lang w:bidi="ar-EG"/>
        </w:rPr>
        <w:t>3 في المائة من المراهقين (000 500 1) يتعاطون الماريوانا و3</w:t>
      </w:r>
      <w:r w:rsidR="00AA7A05">
        <w:rPr>
          <w:rFonts w:hint="cs"/>
          <w:b/>
          <w:bCs/>
          <w:rtl/>
          <w:lang w:bidi="ar-EG"/>
        </w:rPr>
        <w:t>.</w:t>
      </w:r>
      <w:r>
        <w:rPr>
          <w:rFonts w:hint="cs"/>
          <w:b/>
          <w:bCs/>
          <w:rtl/>
          <w:lang w:bidi="ar-EG"/>
        </w:rPr>
        <w:t>6 في المائة يتعاطون البازوكا و2</w:t>
      </w:r>
      <w:r w:rsidR="00AA7A05">
        <w:rPr>
          <w:rFonts w:hint="cs"/>
          <w:b/>
          <w:bCs/>
          <w:rtl/>
          <w:lang w:bidi="ar-EG"/>
        </w:rPr>
        <w:t>.</w:t>
      </w:r>
      <w:r>
        <w:rPr>
          <w:rFonts w:hint="cs"/>
          <w:b/>
          <w:bCs/>
          <w:rtl/>
          <w:lang w:bidi="ar-EG"/>
        </w:rPr>
        <w:t>8 في المائة يتعاطون الكوكايين</w:t>
      </w:r>
      <w:r w:rsidR="003D7EB4">
        <w:rPr>
          <w:rFonts w:hint="cs"/>
          <w:b/>
          <w:bCs/>
          <w:rtl/>
          <w:lang w:bidi="ar-EG"/>
        </w:rPr>
        <w:t>،</w:t>
      </w:r>
      <w:r>
        <w:rPr>
          <w:rFonts w:hint="cs"/>
          <w:b/>
          <w:bCs/>
          <w:rtl/>
          <w:lang w:bidi="ar-EG"/>
        </w:rPr>
        <w:t xml:space="preserve"> ولم تظهر اختلافات كبيرة مرتبطة بنوع الجنس أوبالمستوى الاجتماعي الثقافي</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2-13</w:t>
      </w:r>
      <w:r>
        <w:rPr>
          <w:rFonts w:hint="cs"/>
          <w:b/>
          <w:bCs/>
          <w:rtl/>
          <w:lang w:bidi="ar-EG"/>
        </w:rPr>
        <w:tab/>
        <w:t>المادة 13</w:t>
      </w:r>
    </w:p>
    <w:p w:rsidR="00971AE2" w:rsidRDefault="00971AE2" w:rsidP="00A343DF">
      <w:pPr>
        <w:pStyle w:val="SingleTxt"/>
        <w:rPr>
          <w:rFonts w:hint="cs"/>
          <w:b/>
          <w:bCs/>
          <w:rtl/>
          <w:lang w:bidi="ar-EG"/>
        </w:rPr>
      </w:pPr>
      <w:r>
        <w:rPr>
          <w:rFonts w:hint="cs"/>
          <w:b/>
          <w:bCs/>
          <w:rtl/>
          <w:lang w:bidi="ar-EG"/>
        </w:rPr>
        <w:t>الحياة الاقتصادية والاجتماعية</w:t>
      </w:r>
    </w:p>
    <w:p w:rsidR="00971AE2" w:rsidRDefault="00971AE2" w:rsidP="00A343DF">
      <w:pPr>
        <w:pStyle w:val="SingleTxt"/>
        <w:rPr>
          <w:rFonts w:hint="cs"/>
          <w:rtl/>
          <w:lang w:bidi="ar-EG"/>
        </w:rPr>
      </w:pPr>
      <w:r>
        <w:rPr>
          <w:rFonts w:hint="cs"/>
          <w:b/>
          <w:bCs/>
          <w:rtl/>
          <w:lang w:bidi="ar-EG"/>
        </w:rPr>
        <w:t>المنجزات التشريعية</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300"/>
        <w:gridCol w:w="5020"/>
      </w:tblGrid>
      <w:tr w:rsidR="00971AE2" w:rsidRPr="00AE0BD8">
        <w:tblPrEx>
          <w:tblCellMar>
            <w:top w:w="0" w:type="dxa"/>
            <w:bottom w:w="0" w:type="dxa"/>
          </w:tblCellMar>
        </w:tblPrEx>
        <w:trPr>
          <w:cantSplit/>
          <w:tblHeader/>
        </w:trPr>
        <w:tc>
          <w:tcPr>
            <w:tcW w:w="2300" w:type="dxa"/>
            <w:tcBorders>
              <w:top w:val="single" w:sz="4" w:space="0" w:color="auto"/>
              <w:bottom w:val="single" w:sz="12" w:space="0" w:color="auto"/>
            </w:tcBorders>
            <w:vAlign w:val="bottom"/>
          </w:tcPr>
          <w:p w:rsidR="00971AE2" w:rsidRPr="00AE0BD8"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AE0BD8">
              <w:rPr>
                <w:rFonts w:hint="cs"/>
                <w:i/>
                <w:iCs/>
                <w:sz w:val="24"/>
                <w:szCs w:val="24"/>
                <w:rtl/>
              </w:rPr>
              <w:t>القاعدة</w:t>
            </w:r>
          </w:p>
        </w:tc>
        <w:tc>
          <w:tcPr>
            <w:tcW w:w="5020" w:type="dxa"/>
            <w:tcBorders>
              <w:top w:val="single" w:sz="4" w:space="0" w:color="auto"/>
              <w:bottom w:val="single" w:sz="12" w:space="0" w:color="auto"/>
            </w:tcBorders>
            <w:vAlign w:val="bottom"/>
          </w:tcPr>
          <w:p w:rsidR="00971AE2" w:rsidRPr="00AE0BD8"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AE0BD8">
              <w:rPr>
                <w:rFonts w:hint="cs"/>
                <w:i/>
                <w:iCs/>
                <w:sz w:val="24"/>
                <w:szCs w:val="24"/>
                <w:rtl/>
              </w:rPr>
              <w:t>الموضوع</w:t>
            </w:r>
          </w:p>
        </w:tc>
      </w:tr>
      <w:tr w:rsidR="00971AE2" w:rsidRPr="00AE0BD8">
        <w:tblPrEx>
          <w:tblCellMar>
            <w:top w:w="0" w:type="dxa"/>
            <w:bottom w:w="0" w:type="dxa"/>
          </w:tblCellMar>
        </w:tblPrEx>
        <w:trPr>
          <w:cantSplit/>
          <w:trHeight w:hRule="exact" w:val="115"/>
          <w:tblHeader/>
        </w:trPr>
        <w:tc>
          <w:tcPr>
            <w:tcW w:w="2300" w:type="dxa"/>
            <w:tcBorders>
              <w:top w:val="single" w:sz="12" w:space="0" w:color="auto"/>
            </w:tcBorders>
            <w:vAlign w:val="bottom"/>
          </w:tcPr>
          <w:p w:rsidR="00971AE2" w:rsidRPr="00AE0BD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5020" w:type="dxa"/>
            <w:tcBorders>
              <w:top w:val="single" w:sz="12" w:space="0" w:color="auto"/>
            </w:tcBorders>
            <w:vAlign w:val="bottom"/>
          </w:tcPr>
          <w:p w:rsidR="00971AE2" w:rsidRPr="00AE0BD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AE0BD8">
        <w:tblPrEx>
          <w:tblCellMar>
            <w:top w:w="0" w:type="dxa"/>
            <w:bottom w:w="0" w:type="dxa"/>
          </w:tblCellMar>
        </w:tblPrEx>
        <w:trPr>
          <w:cantSplit/>
        </w:trPr>
        <w:tc>
          <w:tcPr>
            <w:tcW w:w="2300" w:type="dxa"/>
          </w:tcPr>
          <w:p w:rsidR="00971AE2" w:rsidRPr="00AE0BD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AE0BD8">
              <w:rPr>
                <w:rFonts w:hint="cs"/>
                <w:sz w:val="24"/>
                <w:szCs w:val="24"/>
                <w:rtl/>
              </w:rPr>
              <w:t>المرسوم رقم 1333 لسنة 2000</w:t>
            </w:r>
          </w:p>
        </w:tc>
        <w:tc>
          <w:tcPr>
            <w:tcW w:w="5020" w:type="dxa"/>
          </w:tcPr>
          <w:p w:rsidR="00971AE2" w:rsidRPr="00AE0BD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AE0BD8">
              <w:rPr>
                <w:rFonts w:hint="cs"/>
                <w:sz w:val="24"/>
                <w:szCs w:val="24"/>
                <w:rtl/>
              </w:rPr>
              <w:t>تنص المادة 21 على أن معايير تأهل المرشحين لاستحقاق إعانة المعيشة على إعانة المعيشة لصالح سكان المناطق الريفية ينبغي أن تمنح الأولوية للسكان ذوي الدخل المنخفض والأضعف من الناحية الاجتماعية</w:t>
            </w:r>
            <w:r w:rsidR="003D7EB4">
              <w:rPr>
                <w:rFonts w:hint="cs"/>
                <w:sz w:val="24"/>
                <w:szCs w:val="24"/>
                <w:rtl/>
              </w:rPr>
              <w:t>،</w:t>
            </w:r>
            <w:r w:rsidRPr="00AE0BD8">
              <w:rPr>
                <w:rFonts w:hint="cs"/>
                <w:sz w:val="24"/>
                <w:szCs w:val="24"/>
                <w:rtl/>
              </w:rPr>
              <w:t xml:space="preserve"> وتحصل حالة رئيسة الأسرة على نقطة إضافية في التأهل</w:t>
            </w:r>
            <w:r w:rsidR="003D7EB4">
              <w:rPr>
                <w:rFonts w:hint="cs"/>
                <w:sz w:val="24"/>
                <w:szCs w:val="24"/>
                <w:rtl/>
              </w:rPr>
              <w:t>،</w:t>
            </w:r>
          </w:p>
        </w:tc>
      </w:tr>
      <w:tr w:rsidR="00971AE2" w:rsidRPr="00AE0BD8">
        <w:tblPrEx>
          <w:tblCellMar>
            <w:top w:w="0" w:type="dxa"/>
            <w:bottom w:w="0" w:type="dxa"/>
          </w:tblCellMar>
        </w:tblPrEx>
        <w:trPr>
          <w:cantSplit/>
        </w:trPr>
        <w:tc>
          <w:tcPr>
            <w:tcW w:w="2300" w:type="dxa"/>
          </w:tcPr>
          <w:p w:rsidR="00971AE2" w:rsidRPr="00AE0BD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AE0BD8">
              <w:rPr>
                <w:rFonts w:hint="cs"/>
                <w:sz w:val="24"/>
                <w:szCs w:val="24"/>
                <w:rtl/>
              </w:rPr>
              <w:t>القانون رقم 731 لسنة 2002</w:t>
            </w:r>
          </w:p>
        </w:tc>
        <w:tc>
          <w:tcPr>
            <w:tcW w:w="5020" w:type="dxa"/>
          </w:tcPr>
          <w:p w:rsidR="00971AE2" w:rsidRPr="00AE0BD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AE0BD8">
              <w:rPr>
                <w:rFonts w:hint="cs"/>
                <w:sz w:val="24"/>
                <w:szCs w:val="24"/>
                <w:rtl/>
              </w:rPr>
              <w:t>قواعد لصالح المرأة الريفية</w:t>
            </w:r>
            <w:r w:rsidRPr="00AE0BD8">
              <w:rPr>
                <w:rFonts w:hint="cs"/>
                <w:sz w:val="24"/>
                <w:szCs w:val="24"/>
                <w:vertAlign w:val="superscript"/>
                <w:rtl/>
              </w:rPr>
              <w:t>(140)</w:t>
            </w:r>
            <w:r w:rsidR="003D7EB4">
              <w:rPr>
                <w:rFonts w:hint="cs"/>
                <w:sz w:val="24"/>
                <w:szCs w:val="24"/>
                <w:rtl/>
              </w:rPr>
              <w:t>،</w:t>
            </w:r>
          </w:p>
        </w:tc>
      </w:tr>
      <w:tr w:rsidR="00971AE2" w:rsidRPr="00AE0BD8">
        <w:tblPrEx>
          <w:tblCellMar>
            <w:top w:w="0" w:type="dxa"/>
            <w:bottom w:w="0" w:type="dxa"/>
          </w:tblCellMar>
        </w:tblPrEx>
        <w:trPr>
          <w:cantSplit/>
        </w:trPr>
        <w:tc>
          <w:tcPr>
            <w:tcW w:w="2300" w:type="dxa"/>
          </w:tcPr>
          <w:p w:rsidR="00971AE2" w:rsidRPr="00AE0BD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AE0BD8">
              <w:rPr>
                <w:rFonts w:hint="cs"/>
                <w:sz w:val="24"/>
                <w:szCs w:val="24"/>
                <w:rtl/>
              </w:rPr>
              <w:t>القانون رقم 790 لسنة 2002</w:t>
            </w:r>
          </w:p>
        </w:tc>
        <w:tc>
          <w:tcPr>
            <w:tcW w:w="5020" w:type="dxa"/>
          </w:tcPr>
          <w:p w:rsidR="00971AE2" w:rsidRPr="00AE0BD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AE0BD8">
              <w:rPr>
                <w:rFonts w:hint="cs"/>
                <w:sz w:val="24"/>
                <w:szCs w:val="24"/>
                <w:rtl/>
              </w:rPr>
              <w:t>أنشأ الشبكة الاجتماعية لضمان العمالة للأمهات رئيسات الأسر في إطار برنامج تجديد الإدارة العامة</w:t>
            </w:r>
            <w:r w:rsidR="003D7EB4">
              <w:rPr>
                <w:rFonts w:hint="cs"/>
                <w:sz w:val="24"/>
                <w:szCs w:val="24"/>
                <w:rtl/>
              </w:rPr>
              <w:t>،</w:t>
            </w:r>
          </w:p>
        </w:tc>
      </w:tr>
      <w:tr w:rsidR="00971AE2" w:rsidRPr="00AE0BD8">
        <w:tblPrEx>
          <w:tblCellMar>
            <w:top w:w="0" w:type="dxa"/>
            <w:bottom w:w="0" w:type="dxa"/>
          </w:tblCellMar>
        </w:tblPrEx>
        <w:trPr>
          <w:cantSplit/>
        </w:trPr>
        <w:tc>
          <w:tcPr>
            <w:tcW w:w="2300" w:type="dxa"/>
          </w:tcPr>
          <w:p w:rsidR="00971AE2" w:rsidRPr="00AE0BD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AE0BD8">
              <w:rPr>
                <w:rFonts w:hint="cs"/>
                <w:sz w:val="24"/>
                <w:szCs w:val="24"/>
                <w:rtl/>
              </w:rPr>
              <w:t>القانون رقم 823 لسنة 2003</w:t>
            </w:r>
          </w:p>
        </w:tc>
        <w:tc>
          <w:tcPr>
            <w:tcW w:w="5020" w:type="dxa"/>
          </w:tcPr>
          <w:p w:rsidR="00971AE2" w:rsidRPr="00AE0BD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AE0BD8">
              <w:rPr>
                <w:rFonts w:hint="cs"/>
                <w:sz w:val="24"/>
                <w:szCs w:val="24"/>
                <w:rtl/>
              </w:rPr>
              <w:t>يتضمن أحكاما خاصة في مجال الائتمان وينص على تقديم دعم خاص للمؤسسات الصغيرة والمتوسطة والصغيرة جدا لصالح النساء وحصول رئيسات الأسر في أفقر الطبقات والعاملات في القطاع غير الرسمي والمهمشات في المناطق الحضرية والريفية على مساكن</w:t>
            </w:r>
            <w:r w:rsidRPr="00AE0BD8">
              <w:rPr>
                <w:rFonts w:hint="cs"/>
                <w:sz w:val="24"/>
                <w:szCs w:val="24"/>
                <w:vertAlign w:val="superscript"/>
                <w:rtl/>
              </w:rPr>
              <w:t>(141)</w:t>
            </w:r>
            <w:r w:rsidR="003D7EB4">
              <w:rPr>
                <w:rFonts w:hint="cs"/>
                <w:sz w:val="24"/>
                <w:szCs w:val="24"/>
                <w:rtl/>
              </w:rPr>
              <w:t>،</w:t>
            </w:r>
          </w:p>
        </w:tc>
      </w:tr>
      <w:tr w:rsidR="00971AE2" w:rsidRPr="00AE0BD8">
        <w:tblPrEx>
          <w:tblCellMar>
            <w:top w:w="0" w:type="dxa"/>
            <w:bottom w:w="0" w:type="dxa"/>
          </w:tblCellMar>
        </w:tblPrEx>
        <w:trPr>
          <w:cantSplit/>
        </w:trPr>
        <w:tc>
          <w:tcPr>
            <w:tcW w:w="2300" w:type="dxa"/>
          </w:tcPr>
          <w:p w:rsidR="00971AE2" w:rsidRPr="00AE0BD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AE0BD8">
              <w:rPr>
                <w:rFonts w:hint="cs"/>
                <w:sz w:val="24"/>
                <w:szCs w:val="24"/>
                <w:rtl/>
              </w:rPr>
              <w:t>المرسوم رقم 1042 لسنة 2003</w:t>
            </w:r>
          </w:p>
        </w:tc>
        <w:tc>
          <w:tcPr>
            <w:tcW w:w="5020" w:type="dxa"/>
          </w:tcPr>
          <w:p w:rsidR="00971AE2" w:rsidRPr="00AE0BD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AE0BD8">
              <w:rPr>
                <w:rFonts w:hint="cs"/>
                <w:sz w:val="24"/>
                <w:szCs w:val="24"/>
                <w:rtl/>
              </w:rPr>
              <w:t>تفيد المادة 25 رئيسة الأسرة على غرار المرسوم رقم 1133 لكنها تنص على شرط إضافي للحصول على نقاط تفضيلية هو: الارتباط بمشروع إنتاجي للزراعة وتربية الماشية وبرامج بيئية اجتماعية في المناطق التابعة للمنتزعات الوطنية؛ وبرامج تعاونية للصناعات القائمة على الزراعة وبرامج نسائية تعاونية</w:t>
            </w:r>
            <w:r w:rsidR="003D7EB4">
              <w:rPr>
                <w:rFonts w:hint="cs"/>
                <w:sz w:val="24"/>
                <w:szCs w:val="24"/>
                <w:rtl/>
              </w:rPr>
              <w:t>،</w:t>
            </w:r>
          </w:p>
        </w:tc>
      </w:tr>
      <w:tr w:rsidR="00971AE2" w:rsidRPr="00AE0BD8">
        <w:tblPrEx>
          <w:tblCellMar>
            <w:top w:w="0" w:type="dxa"/>
            <w:bottom w:w="0" w:type="dxa"/>
          </w:tblCellMar>
        </w:tblPrEx>
        <w:trPr>
          <w:cantSplit/>
        </w:trPr>
        <w:tc>
          <w:tcPr>
            <w:tcW w:w="2300" w:type="dxa"/>
          </w:tcPr>
          <w:p w:rsidR="00971AE2" w:rsidRPr="00AE0BD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AE0BD8">
              <w:rPr>
                <w:rFonts w:hint="cs"/>
                <w:sz w:val="24"/>
                <w:szCs w:val="24"/>
                <w:rtl/>
              </w:rPr>
              <w:t>القرار رقم 1 لسنة 2002 للجنة الوطنية للائتمان من أجل الزراعة وتربية الماشية</w:t>
            </w:r>
          </w:p>
        </w:tc>
        <w:tc>
          <w:tcPr>
            <w:tcW w:w="5020" w:type="dxa"/>
          </w:tcPr>
          <w:p w:rsidR="00971AE2" w:rsidRPr="00AE0BD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AE0BD8">
              <w:rPr>
                <w:rFonts w:hint="cs"/>
                <w:sz w:val="24"/>
                <w:szCs w:val="24"/>
                <w:rtl/>
              </w:rPr>
              <w:t>يحدد مفهوم المرأة الريفية للحصول على قروض من موارد صندوق تمويل قطاع الزراعة وتربية الماشية ، ويعرف القرض المقدم من أجل الأنشطة الريفية التي تضطلع بها المرأة الريفية ومقصده وينص على شروط الحصول على تلك القروض وضمانات صندوق الضمانات من أجل الزراعة وتربية الماشية</w:t>
            </w:r>
            <w:r w:rsidR="003D7EB4">
              <w:rPr>
                <w:rFonts w:hint="cs"/>
                <w:sz w:val="24"/>
                <w:szCs w:val="24"/>
                <w:rtl/>
              </w:rPr>
              <w:t>،</w:t>
            </w:r>
          </w:p>
        </w:tc>
      </w:tr>
      <w:tr w:rsidR="00971AE2" w:rsidRPr="00AE0BD8">
        <w:tblPrEx>
          <w:tblCellMar>
            <w:top w:w="0" w:type="dxa"/>
            <w:bottom w:w="0" w:type="dxa"/>
          </w:tblCellMar>
        </w:tblPrEx>
        <w:trPr>
          <w:cantSplit/>
        </w:trPr>
        <w:tc>
          <w:tcPr>
            <w:tcW w:w="2300" w:type="dxa"/>
            <w:tcBorders>
              <w:bottom w:val="single" w:sz="12" w:space="0" w:color="auto"/>
            </w:tcBorders>
          </w:tcPr>
          <w:p w:rsidR="00971AE2" w:rsidRPr="00AE0BD8"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AE0BD8">
              <w:rPr>
                <w:rFonts w:hint="cs"/>
                <w:sz w:val="24"/>
                <w:szCs w:val="24"/>
                <w:rtl/>
              </w:rPr>
              <w:t>القرار رقم 6 لسنة 2002 للجنة الوطنية للائتمان من أجل الزراعة وتربية الماشية</w:t>
            </w:r>
          </w:p>
        </w:tc>
        <w:tc>
          <w:tcPr>
            <w:tcW w:w="5020" w:type="dxa"/>
            <w:tcBorders>
              <w:bottom w:val="single" w:sz="12" w:space="0" w:color="auto"/>
            </w:tcBorders>
          </w:tcPr>
          <w:p w:rsidR="00971AE2" w:rsidRPr="00AE0BD8"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AE0BD8">
              <w:rPr>
                <w:rFonts w:hint="cs"/>
                <w:sz w:val="24"/>
                <w:szCs w:val="24"/>
                <w:rtl/>
              </w:rPr>
              <w:t>يأذن لصندوق تمويل قطاع الزراعة وتربية الماشية بفتح خطوط لإعادة خصم القرض لتمويل أنشطة ريفية</w:t>
            </w:r>
            <w:r w:rsidR="003D7EB4">
              <w:rPr>
                <w:rFonts w:hint="cs"/>
                <w:sz w:val="24"/>
                <w:szCs w:val="24"/>
                <w:rtl/>
              </w:rPr>
              <w:t>،</w:t>
            </w:r>
            <w:r w:rsidRPr="00AE0BD8">
              <w:rPr>
                <w:rFonts w:hint="cs"/>
                <w:sz w:val="24"/>
                <w:szCs w:val="24"/>
                <w:rtl/>
              </w:rPr>
              <w:t xml:space="preserve"> ويستطيع الأشخاص الطبيعيون أوالاعتباريون الذين يحصلون على قروض الحصول على ضمانات صندوق الضمانات من أجل الزراعة وتربية الماشية وفقا للقرارين رقمي 5 و13 لسنة 2001</w:t>
            </w:r>
          </w:p>
        </w:tc>
      </w:tr>
    </w:tbl>
    <w:p w:rsidR="00971AE2" w:rsidRDefault="00971AE2" w:rsidP="00A343DF">
      <w:pPr>
        <w:pStyle w:val="SingleTxt"/>
        <w:rPr>
          <w:rFonts w:hint="cs"/>
          <w:b/>
          <w:bCs/>
          <w:rtl/>
          <w:lang w:bidi="ar-EG"/>
        </w:rPr>
      </w:pPr>
      <w:r>
        <w:rPr>
          <w:rFonts w:hint="cs"/>
          <w:b/>
          <w:bCs/>
          <w:rtl/>
          <w:lang w:bidi="ar-EG"/>
        </w:rPr>
        <w:t>المنجزات القضائية</w:t>
      </w:r>
    </w:p>
    <w:p w:rsidR="00971AE2" w:rsidRDefault="00971AE2" w:rsidP="00A343DF">
      <w:pPr>
        <w:pStyle w:val="SingleTxt"/>
        <w:rPr>
          <w:rFonts w:hint="cs"/>
          <w:rtl/>
          <w:lang w:bidi="ar-EG"/>
        </w:rPr>
      </w:pPr>
      <w:r>
        <w:rPr>
          <w:rFonts w:hint="cs"/>
          <w:b/>
          <w:bCs/>
          <w:rtl/>
          <w:lang w:bidi="ar-EG"/>
        </w:rPr>
        <w:t xml:space="preserve">الحكم </w:t>
      </w:r>
      <w:r>
        <w:rPr>
          <w:b/>
          <w:bCs/>
        </w:rPr>
        <w:t>C-034</w:t>
      </w:r>
      <w:r>
        <w:rPr>
          <w:rFonts w:hint="cs"/>
          <w:b/>
          <w:bCs/>
          <w:rtl/>
          <w:lang w:bidi="ar-EG"/>
        </w:rPr>
        <w:t xml:space="preserve"> لسنة 1999</w:t>
      </w:r>
      <w:r>
        <w:rPr>
          <w:rFonts w:hint="cs"/>
          <w:rtl/>
          <w:lang w:bidi="ar-EG"/>
        </w:rPr>
        <w:t xml:space="preserve">: طالبت المدعية بإعلان عدم دستورية المادة 2 من القانون رقم 82 لسنة 1993 باعتبارها أنها تميز ضد مجموعة من النساء، لأن هذه المادة تعرف رئيسة الأسرة بأنها </w:t>
      </w:r>
      <w:r>
        <w:rPr>
          <w:rFonts w:hint="eastAsia"/>
          <w:rtl/>
          <w:lang w:bidi="ar-EG"/>
        </w:rPr>
        <w:t>”التي تكون عازبة أومتزوجة</w:t>
      </w:r>
      <w:r w:rsidR="003D7EB4">
        <w:rPr>
          <w:rFonts w:hint="eastAsia"/>
          <w:rtl/>
          <w:lang w:bidi="ar-EG"/>
        </w:rPr>
        <w:t>،،،</w:t>
      </w:r>
      <w:r>
        <w:rPr>
          <w:rFonts w:hint="cs"/>
          <w:rtl/>
          <w:lang w:bidi="ar-EG"/>
        </w:rPr>
        <w:t>“</w:t>
      </w:r>
      <w:r w:rsidR="003D7EB4">
        <w:rPr>
          <w:rFonts w:hint="cs"/>
          <w:rtl/>
          <w:lang w:bidi="ar-EG"/>
        </w:rPr>
        <w:t>،</w:t>
      </w:r>
      <w:r>
        <w:rPr>
          <w:rFonts w:hint="cs"/>
          <w:rtl/>
          <w:lang w:bidi="ar-EG"/>
        </w:rPr>
        <w:t xml:space="preserve"> ورأت أنها لا تشمل الأرامل أوالمطلقات</w:t>
      </w:r>
      <w:r w:rsidR="003D7EB4">
        <w:rPr>
          <w:rFonts w:hint="cs"/>
          <w:rtl/>
          <w:lang w:bidi="ar-EG"/>
        </w:rPr>
        <w:t>،</w:t>
      </w:r>
      <w:r>
        <w:rPr>
          <w:rFonts w:hint="cs"/>
          <w:rtl/>
          <w:lang w:bidi="ar-EG"/>
        </w:rPr>
        <w:t xml:space="preserve"> وقد أعلنت المحكمة قابلية العبارة بالانطباق بأن خلصت إلى أن المشرع لم يستبعد هؤلاء النسوة من التعريف القانوني، شأنهن كشأن المعاشرات</w:t>
      </w:r>
      <w:r w:rsidR="003D7EB4">
        <w:rPr>
          <w:rFonts w:hint="cs"/>
          <w:rtl/>
          <w:lang w:bidi="ar-EG"/>
        </w:rPr>
        <w:t>،</w:t>
      </w:r>
    </w:p>
    <w:p w:rsidR="00971AE2" w:rsidRDefault="00971AE2" w:rsidP="00A343DF">
      <w:pPr>
        <w:pStyle w:val="SingleTxt"/>
        <w:rPr>
          <w:rFonts w:hint="cs"/>
          <w:b/>
          <w:bCs/>
          <w:rtl/>
          <w:lang w:bidi="ar-EG"/>
        </w:rPr>
      </w:pPr>
      <w:r>
        <w:rPr>
          <w:rFonts w:hint="cs"/>
          <w:b/>
          <w:bCs/>
          <w:u w:val="single"/>
          <w:rtl/>
          <w:lang w:bidi="ar-EG"/>
        </w:rPr>
        <w:t>التوصية الخاص رقم 21: التدريب الجنساني للأشخاص المكلفين بالتخطيط للبرامج وتنفيذها</w:t>
      </w:r>
      <w:r w:rsidR="003D7EB4">
        <w:rPr>
          <w:rFonts w:hint="cs"/>
          <w:b/>
          <w:bCs/>
          <w:u w:val="single"/>
          <w:rtl/>
          <w:lang w:bidi="ar-EG"/>
        </w:rPr>
        <w:t>،</w:t>
      </w:r>
      <w:r>
        <w:rPr>
          <w:rFonts w:hint="cs"/>
          <w:b/>
          <w:bCs/>
          <w:u w:val="single"/>
          <w:rtl/>
          <w:lang w:bidi="ar-EG"/>
        </w:rPr>
        <w:t xml:space="preserve"> وتقديم قروض صغيرة للغاية لتحسين الحالة الاقتصادية للمرأة وبرامج لتعزيز حقوق الإنسان في الصحة والتعليم للنساء المشردات والنساء الريفيات</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والجزء الأول من هذه التوصية يرد في التوصية الخاصة رقم 3، وكذلك في الفقرة المتعلقة بالمنجزات الإدارية في الفقرة 3 من هذا التقرير</w:t>
      </w:r>
      <w:r w:rsidR="003D7EB4">
        <w:rPr>
          <w:rFonts w:hint="cs"/>
          <w:b/>
          <w:bCs/>
          <w:rtl/>
          <w:lang w:bidi="ar-EG"/>
        </w:rPr>
        <w:t>،</w:t>
      </w:r>
      <w:r>
        <w:rPr>
          <w:rFonts w:hint="cs"/>
          <w:b/>
          <w:bCs/>
          <w:rtl/>
          <w:lang w:bidi="ar-EG"/>
        </w:rPr>
        <w:t xml:space="preserve"> ويرد الجزء الثاني فيما</w:t>
      </w:r>
      <w:r>
        <w:rPr>
          <w:rFonts w:hint="eastAsia"/>
          <w:b/>
          <w:bCs/>
          <w:rtl/>
          <w:lang w:bidi="ar-EG"/>
        </w:rPr>
        <w:t> </w:t>
      </w:r>
      <w:r>
        <w:rPr>
          <w:rFonts w:hint="cs"/>
          <w:b/>
          <w:bCs/>
          <w:rtl/>
          <w:lang w:bidi="ar-EG"/>
        </w:rPr>
        <w:t>يلي</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برنامج رئيسة الأسرة صاحبة المؤسسة الصغيرة للغاية</w:t>
      </w:r>
    </w:p>
    <w:p w:rsidR="00971AE2" w:rsidRDefault="00971AE2" w:rsidP="00A343DF">
      <w:pPr>
        <w:pStyle w:val="SingleTxt"/>
        <w:rPr>
          <w:rFonts w:hint="cs"/>
          <w:rtl/>
          <w:lang w:bidi="ar-EG"/>
        </w:rPr>
      </w:pPr>
      <w:r>
        <w:rPr>
          <w:rFonts w:hint="cs"/>
          <w:rtl/>
          <w:lang w:bidi="ar-EG"/>
        </w:rPr>
        <w:tab/>
        <w:t>كان البرنامج الذي بدأ في عهد الحكومة السابقة يتضمن العناصر التالية: الائتمان والتدريب والمتابعة</w:t>
      </w:r>
      <w:r w:rsidR="003D7EB4">
        <w:rPr>
          <w:rFonts w:hint="cs"/>
          <w:rtl/>
          <w:lang w:bidi="ar-EG"/>
        </w:rPr>
        <w:t>،</w:t>
      </w:r>
      <w:r>
        <w:rPr>
          <w:rFonts w:hint="cs"/>
          <w:rtl/>
          <w:lang w:bidi="ar-EG"/>
        </w:rPr>
        <w:t xml:space="preserve"> وقد خصصت إدارة التنظيم التابعة لرئيس الجمهورية 000 000 000 3 دولار لإنشاء خط ائتمان خاص لرئيسات الأسر نظرا للفقر الشديد لهؤلاء السكان ووفقا للمنصوص عليه في القانون رقم 82 لسنة 1993، </w:t>
      </w:r>
      <w:r>
        <w:rPr>
          <w:rFonts w:hint="eastAsia"/>
          <w:rtl/>
          <w:lang w:bidi="ar-EG"/>
        </w:rPr>
        <w:t>”رئيسة الأسرة</w:t>
      </w:r>
      <w:r>
        <w:rPr>
          <w:rFonts w:hint="cs"/>
          <w:rtl/>
          <w:lang w:bidi="ar-EG"/>
        </w:rPr>
        <w:t>“</w:t>
      </w:r>
      <w:r w:rsidR="003D7EB4">
        <w:rPr>
          <w:rFonts w:hint="cs"/>
          <w:rtl/>
          <w:lang w:bidi="ar-EG"/>
        </w:rPr>
        <w:t>،</w:t>
      </w:r>
      <w:r>
        <w:rPr>
          <w:rFonts w:hint="cs"/>
          <w:rtl/>
          <w:lang w:bidi="ar-EG"/>
        </w:rPr>
        <w:t xml:space="preserve"> وفي كانون الثاني/يناير 2003 كانت توجد مشاكل مختلفة معقدة في البرنامج، يجدر بنا أن نذكر منها ما يلي: (أ) معايير الاختيار لا تتكيف في معظم الحالات مع ما حددته الهيئة الاستشارية لرئيس الجمهورية فيما يتعلق بالمساواة بين الرجل والمرأة؛ (ب) انخفاض قدرة المشتركات على الدفع</w:t>
      </w:r>
      <w:r w:rsidR="00A660FF">
        <w:rPr>
          <w:rFonts w:hint="cs"/>
          <w:rtl/>
          <w:lang w:bidi="ar-EG"/>
        </w:rPr>
        <w:t xml:space="preserve"> </w:t>
      </w:r>
      <w:r>
        <w:rPr>
          <w:rFonts w:hint="cs"/>
          <w:rtl/>
          <w:lang w:bidi="ar-EG"/>
        </w:rPr>
        <w:t>(كرئيسات الأسر في الطبقتين 1 و2)؛ (ج) عدم كفاية اختيار رئيسات الأسر والافتقار إلى الموارد اللازمة للمتابعة والمساهمة بهيئات خبراء</w:t>
      </w:r>
      <w:r w:rsidR="003D7EB4">
        <w:rPr>
          <w:rFonts w:hint="cs"/>
          <w:rtl/>
          <w:lang w:bidi="ar-EG"/>
        </w:rPr>
        <w:t>،</w:t>
      </w:r>
      <w:r>
        <w:rPr>
          <w:rFonts w:hint="cs"/>
          <w:rtl/>
          <w:lang w:bidi="ar-EG"/>
        </w:rPr>
        <w:t xml:space="preserve"> وعلى الرغم من الصعوبات استمر البرنامج وحُددت خطة للتحسين وتنفيذه خلال عام 2003 وعملية إعادة تصميم شاملة لمواصلته في العامين التاليين</w:t>
      </w:r>
      <w:r w:rsidR="003D7EB4">
        <w:rPr>
          <w:rFonts w:hint="cs"/>
          <w:rtl/>
          <w:lang w:bidi="ar-EG"/>
        </w:rPr>
        <w:t>،</w:t>
      </w:r>
      <w:r>
        <w:rPr>
          <w:rFonts w:hint="cs"/>
          <w:rtl/>
          <w:lang w:bidi="ar-EG"/>
        </w:rPr>
        <w:t xml:space="preserve"> </w:t>
      </w:r>
      <w:r>
        <w:rPr>
          <w:rFonts w:hint="cs"/>
          <w:b/>
          <w:bCs/>
          <w:rtl/>
          <w:lang w:bidi="ar-EG"/>
        </w:rPr>
        <w:t>وشملت خطة التحسين لسنة 2003 ما يلي</w:t>
      </w:r>
      <w:r>
        <w:rPr>
          <w:rFonts w:hint="cs"/>
          <w:rtl/>
          <w:lang w:bidi="ar-EG"/>
        </w:rPr>
        <w:t>: تجميع الأرقام وتبسيط عملية تقييم المشاريع، والإسراع في تقديم الضمانات وصرف القروض؛ وقيام الهيئة الاستشارية لرئيس الجمهورية فيما يتعلق بالمساواة بين الرجل والمرأة ومتابعة كل مستفيدة من المستفيدات من القروض عن طريق إجراء اتصالات هاتفية وزيارة للمناطق</w:t>
      </w:r>
      <w:r w:rsidR="003D7EB4">
        <w:rPr>
          <w:rFonts w:hint="cs"/>
          <w:rtl/>
          <w:lang w:bidi="ar-EG"/>
        </w:rPr>
        <w:t>،</w:t>
      </w:r>
      <w:r>
        <w:rPr>
          <w:rFonts w:hint="cs"/>
          <w:rtl/>
          <w:lang w:bidi="ar-EG"/>
        </w:rPr>
        <w:t xml:space="preserve"> وفيما يتعلق بعنصر التدريب فقد نُفذ في القطاع الحضري عن طريق تحالفات مع منظمة العمل الدولية ووزارة الرعاية الاجتماعية و</w:t>
      </w:r>
      <w:r>
        <w:t>DANSOCIAL</w:t>
      </w:r>
      <w:r>
        <w:rPr>
          <w:rFonts w:hint="cs"/>
          <w:rtl/>
          <w:lang w:bidi="ar-EG"/>
        </w:rPr>
        <w:t>؛ والخط الريفي عن طريق أمانات أسرع</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وبدأ تنفيذ البرنامج الجديد المسمى </w:t>
      </w:r>
      <w:r>
        <w:rPr>
          <w:rFonts w:hint="eastAsia"/>
          <w:rtl/>
          <w:lang w:bidi="ar-EG"/>
        </w:rPr>
        <w:t>”رئيسة الأسرة صاحبة المؤسسة الصغيرة للغاية</w:t>
      </w:r>
      <w:r>
        <w:rPr>
          <w:rFonts w:hint="cs"/>
          <w:rtl/>
          <w:lang w:bidi="ar-EG"/>
        </w:rPr>
        <w:t>“، في شهر حزيران/يونيه 2004 حسب بارامترات جديدة (المرفق رقم 12)</w:t>
      </w:r>
      <w:r w:rsidR="003D7EB4">
        <w:rPr>
          <w:rFonts w:hint="cs"/>
          <w:rtl/>
          <w:lang w:bidi="ar-EG"/>
        </w:rPr>
        <w:t>،</w:t>
      </w:r>
    </w:p>
    <w:p w:rsidR="00971AE2" w:rsidRDefault="00971AE2" w:rsidP="00A343DF">
      <w:pPr>
        <w:pStyle w:val="SingleTxt"/>
        <w:rPr>
          <w:rFonts w:hint="cs"/>
          <w:rtl/>
          <w:lang w:bidi="ar-EG"/>
        </w:rPr>
      </w:pPr>
      <w:r>
        <w:rPr>
          <w:rFonts w:hint="cs"/>
          <w:rtl/>
          <w:lang w:bidi="ar-EG"/>
        </w:rPr>
        <w:tab/>
        <w:t>واتفقت وزارة التجارة باعتبارها الكيان الحكومي الذي يقوم بإدارة وتنسيق سياسات دعم المؤسسات الصغيرة والمتوسطة والصغيرة للغاية مع الهيئة الاستشارية لرئيس الجمهورية فيما يتعلق بالمساواة بين الرجل والمرأة على اعتماد تقديم الدعم إلى الأنشطة الإنتاجية وإلى تنمية مشاريع المرأة ومؤسساتها باعتبارها أحل مجالاتها المواضيعية المتعلقة بالعمل، وكذلك دراسة أدوات وآليات تيسر وصول المرأة إلى الخطوط الائتمانية والنشر عنها</w:t>
      </w:r>
      <w:r w:rsidR="003D7EB4">
        <w:rPr>
          <w:rFonts w:hint="cs"/>
          <w:rtl/>
          <w:lang w:bidi="ar-EG"/>
        </w:rPr>
        <w:t>،</w:t>
      </w:r>
      <w:r>
        <w:rPr>
          <w:rFonts w:hint="cs"/>
          <w:rtl/>
          <w:lang w:bidi="ar-EG"/>
        </w:rPr>
        <w:t xml:space="preserve"> وتحقيقا لهذه الغاية تم التعهد بدعم الإجراءات المؤسسية التالية التي تقوم بها الهيئة الاستشارية لرئيس الجمهورية فيما يتعلق بالمساواة بين الرجل والمرأة</w:t>
      </w:r>
      <w:r w:rsidR="003D7EB4">
        <w:rPr>
          <w:rFonts w:hint="cs"/>
          <w:rtl/>
          <w:lang w:bidi="ar-EG"/>
        </w:rPr>
        <w:t>،</w:t>
      </w:r>
    </w:p>
    <w:p w:rsidR="00971AE2" w:rsidRDefault="00971AE2" w:rsidP="00A343DF">
      <w:pPr>
        <w:pStyle w:val="SingleTxt"/>
        <w:rPr>
          <w:rFonts w:hint="cs"/>
          <w:rtl/>
          <w:lang w:bidi="ar-EG"/>
        </w:rPr>
      </w:pPr>
      <w:r>
        <w:rPr>
          <w:rFonts w:hint="cs"/>
          <w:rtl/>
          <w:lang w:bidi="ar-EG"/>
        </w:rPr>
        <w:t>1 -</w:t>
      </w:r>
      <w:r>
        <w:rPr>
          <w:rFonts w:hint="cs"/>
          <w:rtl/>
          <w:lang w:bidi="ar-EG"/>
        </w:rPr>
        <w:tab/>
        <w:t>العمل على أن يمنح الصندوق الوطني للضمانات ضمانا فعليا للقروض التي يوافق عليها برنامج تقديم الدعم المتكامل لرئيسات الأسر</w:t>
      </w:r>
      <w:r w:rsidR="003D7EB4">
        <w:rPr>
          <w:rFonts w:hint="cs"/>
          <w:rtl/>
          <w:lang w:bidi="ar-EG"/>
        </w:rPr>
        <w:t>،</w:t>
      </w:r>
    </w:p>
    <w:p w:rsidR="00971AE2" w:rsidRDefault="00971AE2" w:rsidP="00A343DF">
      <w:pPr>
        <w:pStyle w:val="SingleTxt"/>
        <w:rPr>
          <w:rFonts w:hint="cs"/>
          <w:rtl/>
          <w:lang w:bidi="ar-EG"/>
        </w:rPr>
      </w:pPr>
      <w:r>
        <w:rPr>
          <w:rFonts w:hint="cs"/>
          <w:rtl/>
          <w:lang w:bidi="ar-EG"/>
        </w:rPr>
        <w:t>2 -</w:t>
      </w:r>
      <w:r>
        <w:rPr>
          <w:rFonts w:hint="cs"/>
          <w:rtl/>
          <w:lang w:bidi="ar-EG"/>
        </w:rPr>
        <w:tab/>
        <w:t xml:space="preserve">دعم إقامة صكوك المرأة صاحبة المؤسسة عن طريق </w:t>
      </w:r>
      <w:r>
        <w:t>FOMIPYME</w:t>
      </w:r>
      <w:r w:rsidR="003D7EB4">
        <w:rPr>
          <w:rFonts w:hint="cs"/>
          <w:rtl/>
          <w:lang w:bidi="ar-EG"/>
        </w:rPr>
        <w:t>،</w:t>
      </w:r>
    </w:p>
    <w:p w:rsidR="00971AE2" w:rsidRDefault="00971AE2" w:rsidP="00A343DF">
      <w:pPr>
        <w:pStyle w:val="SingleTxt"/>
        <w:rPr>
          <w:rFonts w:hint="cs"/>
          <w:rtl/>
          <w:lang w:bidi="ar-EG"/>
        </w:rPr>
      </w:pPr>
      <w:r>
        <w:rPr>
          <w:rFonts w:hint="cs"/>
          <w:rtl/>
          <w:lang w:bidi="ar-EG"/>
        </w:rPr>
        <w:t>3 -</w:t>
      </w:r>
      <w:r>
        <w:rPr>
          <w:rFonts w:hint="cs"/>
          <w:rtl/>
          <w:lang w:bidi="ar-EG"/>
        </w:rPr>
        <w:tab/>
        <w:t>دعم الخطة الوطنية لتدريب مديرات المؤسسات الصغيرة للغاية في المنطقة الحضرية والريفية</w:t>
      </w:r>
      <w:r w:rsidR="003D7EB4">
        <w:rPr>
          <w:rFonts w:hint="cs"/>
          <w:rtl/>
          <w:lang w:bidi="ar-EG"/>
        </w:rPr>
        <w:t>،</w:t>
      </w:r>
    </w:p>
    <w:p w:rsidR="00971AE2" w:rsidRDefault="00971AE2" w:rsidP="00A343DF">
      <w:pPr>
        <w:pStyle w:val="SingleTxt"/>
        <w:rPr>
          <w:rFonts w:hint="cs"/>
          <w:rtl/>
          <w:lang w:bidi="ar-EG"/>
        </w:rPr>
      </w:pPr>
      <w:r>
        <w:rPr>
          <w:rFonts w:hint="cs"/>
          <w:rtl/>
          <w:lang w:bidi="ar-EG"/>
        </w:rPr>
        <w:t>4 -</w:t>
      </w:r>
      <w:r>
        <w:rPr>
          <w:rFonts w:hint="cs"/>
          <w:rtl/>
          <w:lang w:bidi="ar-EG"/>
        </w:rPr>
        <w:tab/>
        <w:t>تقديم اقتراح اقتصادي عن طريق شركة المؤسسات الصغيرة للغاية لتقييم المشاريع الموجودة في الهيئة الاستشارية لرئيس الجمهورية فيما يتعلق بالمساواة بين الرجل والمرأة في سنة 2004، في إطار برنامج تقديم الدعم المتكامل لرئيسات الأسر مديرة المؤسسات الصغيرة للغاية في المناطق الحضرية والريفية اللائي في الطبقتين 1 و2</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يوجد في الوقت الحاضر تمويل للمشاريع الإنتاجية في المناطق الريفية من خلال </w:t>
      </w:r>
      <w:r>
        <w:rPr>
          <w:rFonts w:hint="cs"/>
          <w:rtl/>
        </w:rPr>
        <w:t>صندوق تمويل قطاع الزراعة وتربية الماشية</w:t>
      </w:r>
      <w:r>
        <w:rPr>
          <w:rFonts w:hint="cs"/>
          <w:rtl/>
          <w:lang w:bidi="ar-EG"/>
        </w:rPr>
        <w:t xml:space="preserve"> عن طريق خط ائتماني خاص للسكان الذين جعلهم الصراع في وضع هش، وقد اعتمدت اللجنة الوطنية للائتمان هذا الخط، الذي يقدم إلى السكان المشردين المسجلين والسكان الذين في وضع هش بسبب الصراع</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وقد وضعت </w:t>
      </w:r>
      <w:r>
        <w:rPr>
          <w:rFonts w:hint="cs"/>
          <w:rtl/>
        </w:rPr>
        <w:t>الدئرة الوطنية للتلمذة الصناعية</w:t>
      </w:r>
      <w:r>
        <w:rPr>
          <w:rFonts w:hint="cs"/>
          <w:rtl/>
          <w:lang w:bidi="ar-EG"/>
        </w:rPr>
        <w:t xml:space="preserve"> من جانبها برنامج </w:t>
      </w:r>
      <w:r>
        <w:rPr>
          <w:rFonts w:hint="eastAsia"/>
          <w:rtl/>
          <w:lang w:bidi="ar-EG"/>
        </w:rPr>
        <w:t>”الوحدات الإنتاجية المنشأة لرعاية السكان ذوي الاحتياجات الخاصة</w:t>
      </w:r>
      <w:r>
        <w:rPr>
          <w:rFonts w:hint="cs"/>
          <w:rtl/>
          <w:lang w:bidi="ar-EG"/>
        </w:rPr>
        <w:t>“،</w:t>
      </w:r>
      <w:r>
        <w:rPr>
          <w:rFonts w:hint="eastAsia"/>
          <w:rtl/>
          <w:lang w:bidi="ar-EG"/>
        </w:rPr>
        <w:t xml:space="preserve"> </w:t>
      </w:r>
      <w:r>
        <w:rPr>
          <w:rFonts w:hint="cs"/>
          <w:rtl/>
          <w:lang w:bidi="ar-EG"/>
        </w:rPr>
        <w:t>الذي سعى إلى إنشاء آليات تتيح للقطاعات السكانية ذات الاحتياجات الخاصة تحسين وضعهم الإنتاجي ووضعهم في المجتمع</w:t>
      </w:r>
      <w:r w:rsidR="003D7EB4">
        <w:rPr>
          <w:rFonts w:hint="cs"/>
          <w:rtl/>
          <w:lang w:bidi="ar-EG"/>
        </w:rPr>
        <w:t>،</w:t>
      </w:r>
      <w:r>
        <w:rPr>
          <w:rFonts w:hint="cs"/>
          <w:rtl/>
          <w:lang w:bidi="ar-EG"/>
        </w:rPr>
        <w:t xml:space="preserve"> ويوجد في هذا البرنامج السكان الذين شردهم العنف ورئيسات الأسر والأشخاص المعاد إدماجهم والأحداث الجانحين والطوائف الإثنية والمعوقين</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الإحصاءات</w:t>
      </w:r>
    </w:p>
    <w:p w:rsidR="00971AE2" w:rsidRDefault="00971AE2" w:rsidP="00A343DF">
      <w:pPr>
        <w:pStyle w:val="SingleTxt"/>
        <w:rPr>
          <w:rFonts w:hint="cs"/>
          <w:b/>
          <w:bCs/>
          <w:rtl/>
          <w:lang w:bidi="ar-EG"/>
        </w:rPr>
      </w:pPr>
      <w:r>
        <w:rPr>
          <w:rFonts w:hint="cs"/>
          <w:b/>
          <w:bCs/>
          <w:rtl/>
          <w:lang w:bidi="ar-EG"/>
        </w:rPr>
        <w:t>التغطية</w:t>
      </w:r>
    </w:p>
    <w:p w:rsidR="00971AE2" w:rsidRDefault="00971AE2" w:rsidP="00A343DF">
      <w:pPr>
        <w:pStyle w:val="SingleTxt"/>
        <w:rPr>
          <w:rFonts w:hint="cs"/>
          <w:b/>
          <w:bCs/>
          <w:rtl/>
          <w:lang w:bidi="ar-EG"/>
        </w:rPr>
      </w:pPr>
      <w:r>
        <w:rPr>
          <w:rFonts w:hint="cs"/>
          <w:b/>
          <w:bCs/>
          <w:rtl/>
          <w:lang w:bidi="ar-EG"/>
        </w:rPr>
        <w:tab/>
        <w:t>ينفذ في الوقت الحاضر في المقاطعات التالية ويلا وبوليفار وأنتوكيا وكونتيناماركا وبوغوتا وتشوكووسوكرين وسيزار ومجدلينا وكاكيتا وقرطبة</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عدد القروض التي صُرفت</w:t>
      </w:r>
    </w:p>
    <w:p w:rsidR="00971AE2" w:rsidRDefault="00971AE2" w:rsidP="00A343DF">
      <w:pPr>
        <w:pStyle w:val="SingleTxt"/>
        <w:rPr>
          <w:rFonts w:hint="cs"/>
          <w:b/>
          <w:bCs/>
          <w:rtl/>
          <w:lang w:bidi="ar-EG"/>
        </w:rPr>
      </w:pPr>
      <w:r>
        <w:rPr>
          <w:rFonts w:hint="cs"/>
          <w:b/>
          <w:bCs/>
          <w:rtl/>
          <w:lang w:bidi="ar-EG"/>
        </w:rPr>
        <w:tab/>
        <w:t>أُنشئ صندوق دوار من جانب إدارة التنظيم التابعة لرئيس الجمهورية ووزارة الزراعة والبنك الزراعي والصندوق الوطني للضمانات يتيح صرف مبلغ يصل إلى 000 000 500 12 دولار للقطاعي الحضري والريفي بنسبتين متساويتين</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ab/>
        <w:t xml:space="preserve">ومن جهة أخرى يمول </w:t>
      </w:r>
      <w:r>
        <w:rPr>
          <w:b/>
          <w:bCs/>
        </w:rPr>
        <w:t>FOMIPYME</w:t>
      </w:r>
      <w:r>
        <w:rPr>
          <w:rFonts w:hint="cs"/>
          <w:b/>
          <w:bCs/>
          <w:rtl/>
          <w:lang w:bidi="ar-EG"/>
        </w:rPr>
        <w:t xml:space="preserve"> منذ عام 2001 سبعة مشاريع مهمة للتقدم الاجتماعي والاقتصادي للأمهات رئيسات الأسر بقيمة إجمالية تبلغ 800</w:t>
      </w:r>
      <w:r>
        <w:rPr>
          <w:rFonts w:hint="eastAsia"/>
          <w:b/>
          <w:bCs/>
          <w:rtl/>
          <w:lang w:bidi="ar-EG"/>
        </w:rPr>
        <w:t> </w:t>
      </w:r>
      <w:r>
        <w:rPr>
          <w:rFonts w:hint="cs"/>
          <w:b/>
          <w:bCs/>
          <w:rtl/>
          <w:lang w:bidi="ar-EG"/>
        </w:rPr>
        <w:t>408</w:t>
      </w:r>
      <w:r>
        <w:rPr>
          <w:rFonts w:hint="eastAsia"/>
          <w:b/>
          <w:bCs/>
          <w:rtl/>
          <w:lang w:bidi="ar-EG"/>
        </w:rPr>
        <w:t> </w:t>
      </w:r>
      <w:r>
        <w:rPr>
          <w:rFonts w:hint="cs"/>
          <w:b/>
          <w:bCs/>
          <w:rtl/>
          <w:lang w:bidi="ar-EG"/>
        </w:rPr>
        <w:t>062 1 دولار (انظر المرفق رقم 11)</w:t>
      </w:r>
      <w:r w:rsidR="003D7EB4">
        <w:rPr>
          <w:rFonts w:hint="cs"/>
          <w:b/>
          <w:bCs/>
          <w:rtl/>
          <w:lang w:bidi="ar-EG"/>
        </w:rPr>
        <w:t>،</w:t>
      </w:r>
    </w:p>
    <w:p w:rsidR="00971AE2" w:rsidRDefault="00971AE2" w:rsidP="00A343DF">
      <w:pPr>
        <w:pStyle w:val="SingleTxt"/>
        <w:rPr>
          <w:rFonts w:hint="cs"/>
          <w:b/>
          <w:bCs/>
          <w:rtl/>
          <w:lang w:bidi="ar-EG"/>
        </w:rPr>
      </w:pPr>
      <w:r>
        <w:rPr>
          <w:rFonts w:hint="cs"/>
          <w:b/>
          <w:bCs/>
          <w:rtl/>
          <w:lang w:bidi="ar-EG"/>
        </w:rPr>
        <w:t>2-14 المادة 14</w:t>
      </w:r>
    </w:p>
    <w:p w:rsidR="00971AE2" w:rsidRDefault="00971AE2" w:rsidP="00A343DF">
      <w:pPr>
        <w:pStyle w:val="SingleTxt"/>
        <w:rPr>
          <w:rFonts w:hint="cs"/>
          <w:b/>
          <w:bCs/>
          <w:rtl/>
          <w:lang w:bidi="ar-EG"/>
        </w:rPr>
      </w:pPr>
      <w:r>
        <w:rPr>
          <w:rFonts w:hint="cs"/>
          <w:b/>
          <w:bCs/>
          <w:rtl/>
          <w:lang w:bidi="ar-EG"/>
        </w:rPr>
        <w:t>المرأة الريفية</w:t>
      </w:r>
    </w:p>
    <w:p w:rsidR="00971AE2" w:rsidRDefault="00971AE2" w:rsidP="00A343DF">
      <w:pPr>
        <w:pStyle w:val="SingleTxt"/>
        <w:rPr>
          <w:rFonts w:hint="cs"/>
          <w:rtl/>
          <w:lang w:bidi="ar-EG"/>
        </w:rPr>
      </w:pPr>
      <w:r>
        <w:rPr>
          <w:rFonts w:hint="cs"/>
          <w:b/>
          <w:bCs/>
          <w:rtl/>
          <w:lang w:bidi="ar-EG"/>
        </w:rPr>
        <w:tab/>
      </w:r>
      <w:r>
        <w:rPr>
          <w:rFonts w:hint="cs"/>
          <w:rtl/>
          <w:lang w:bidi="ar-EG"/>
        </w:rPr>
        <w:t xml:space="preserve">وفقا </w:t>
      </w:r>
      <w:r>
        <w:rPr>
          <w:rFonts w:hint="cs"/>
          <w:b/>
          <w:bCs/>
          <w:rtl/>
          <w:lang w:bidi="ar-EG"/>
        </w:rPr>
        <w:t>للتوصية العامة رقم 19</w:t>
      </w:r>
      <w:r>
        <w:rPr>
          <w:rFonts w:hint="cs"/>
          <w:vertAlign w:val="superscript"/>
          <w:rtl/>
          <w:lang w:bidi="ar-EG"/>
        </w:rPr>
        <w:t>(142)</w:t>
      </w:r>
      <w:r>
        <w:rPr>
          <w:rFonts w:hint="cs"/>
          <w:rtl/>
          <w:lang w:bidi="ar-EG"/>
        </w:rPr>
        <w:t>، نورد فيما يلي المنجزات المتعلقة بالمرأة الريفية في كولومبيا</w:t>
      </w:r>
      <w:r w:rsidR="003D7EB4">
        <w:rPr>
          <w:rFonts w:hint="cs"/>
          <w:rtl/>
          <w:lang w:bidi="ar-EG"/>
        </w:rPr>
        <w:t>،</w:t>
      </w:r>
    </w:p>
    <w:p w:rsidR="00971AE2" w:rsidRDefault="00971AE2" w:rsidP="00A343DF">
      <w:pPr>
        <w:pStyle w:val="SingleTxt"/>
        <w:rPr>
          <w:rFonts w:hint="cs"/>
          <w:b/>
          <w:bCs/>
          <w:u w:val="single"/>
          <w:rtl/>
          <w:lang w:bidi="ar-EG"/>
        </w:rPr>
      </w:pPr>
      <w:r>
        <w:rPr>
          <w:rFonts w:hint="cs"/>
          <w:b/>
          <w:bCs/>
          <w:u w:val="single"/>
          <w:rtl/>
          <w:lang w:bidi="ar-EG"/>
        </w:rPr>
        <w:t>التوصية الخاصة رقم 20: المتعلقة بالتقدم المحرز بشأن مؤشرات وبرامج تحسين أحوال المرأة الريفية</w:t>
      </w:r>
    </w:p>
    <w:p w:rsidR="00971AE2" w:rsidRDefault="00971AE2" w:rsidP="00A343DF">
      <w:pPr>
        <w:pStyle w:val="SingleTxt"/>
        <w:rPr>
          <w:rFonts w:hint="cs"/>
          <w:b/>
          <w:bCs/>
          <w:rtl/>
          <w:lang w:bidi="ar-EG"/>
        </w:rPr>
      </w:pPr>
      <w:r>
        <w:rPr>
          <w:rFonts w:hint="cs"/>
          <w:b/>
          <w:bCs/>
          <w:rtl/>
          <w:lang w:bidi="ar-EG"/>
        </w:rPr>
        <w:t>المنجزات التشريعية</w:t>
      </w:r>
    </w:p>
    <w:p w:rsidR="00971AE2" w:rsidRDefault="00971AE2"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4814"/>
      </w:tblGrid>
      <w:tr w:rsidR="00971AE2" w:rsidRPr="00686B23">
        <w:tblPrEx>
          <w:tblCellMar>
            <w:top w:w="0" w:type="dxa"/>
            <w:bottom w:w="0" w:type="dxa"/>
          </w:tblCellMar>
        </w:tblPrEx>
        <w:trPr>
          <w:cantSplit/>
          <w:tblHeader/>
        </w:trPr>
        <w:tc>
          <w:tcPr>
            <w:tcW w:w="2506" w:type="dxa"/>
            <w:tcBorders>
              <w:top w:val="single" w:sz="4" w:space="0" w:color="auto"/>
              <w:bottom w:val="single" w:sz="12" w:space="0" w:color="auto"/>
            </w:tcBorders>
            <w:vAlign w:val="bottom"/>
          </w:tcPr>
          <w:p w:rsidR="00971AE2" w:rsidRPr="00686B23"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686B23">
              <w:rPr>
                <w:rFonts w:hint="cs"/>
                <w:i/>
                <w:iCs/>
                <w:sz w:val="24"/>
                <w:szCs w:val="24"/>
                <w:rtl/>
              </w:rPr>
              <w:t>القاعدة</w:t>
            </w:r>
          </w:p>
        </w:tc>
        <w:tc>
          <w:tcPr>
            <w:tcW w:w="4814" w:type="dxa"/>
            <w:tcBorders>
              <w:top w:val="single" w:sz="4" w:space="0" w:color="auto"/>
              <w:bottom w:val="single" w:sz="12" w:space="0" w:color="auto"/>
            </w:tcBorders>
            <w:vAlign w:val="bottom"/>
          </w:tcPr>
          <w:p w:rsidR="00971AE2" w:rsidRPr="00686B23"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686B23">
              <w:rPr>
                <w:rFonts w:hint="cs"/>
                <w:i/>
                <w:iCs/>
                <w:sz w:val="24"/>
                <w:szCs w:val="24"/>
                <w:rtl/>
              </w:rPr>
              <w:t>الموضوع</w:t>
            </w:r>
          </w:p>
        </w:tc>
      </w:tr>
      <w:tr w:rsidR="00971AE2" w:rsidRPr="00686B23">
        <w:tblPrEx>
          <w:tblCellMar>
            <w:top w:w="0" w:type="dxa"/>
            <w:bottom w:w="0" w:type="dxa"/>
          </w:tblCellMar>
        </w:tblPrEx>
        <w:trPr>
          <w:cantSplit/>
          <w:trHeight w:hRule="exact" w:val="115"/>
          <w:tblHeader/>
        </w:trPr>
        <w:tc>
          <w:tcPr>
            <w:tcW w:w="2506" w:type="dxa"/>
            <w:tcBorders>
              <w:top w:val="single" w:sz="12" w:space="0" w:color="auto"/>
            </w:tcBorders>
            <w:vAlign w:val="bottom"/>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4814" w:type="dxa"/>
            <w:tcBorders>
              <w:top w:val="single" w:sz="12" w:space="0" w:color="auto"/>
            </w:tcBorders>
            <w:vAlign w:val="bottom"/>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686B23">
        <w:tblPrEx>
          <w:tblCellMar>
            <w:top w:w="0" w:type="dxa"/>
            <w:bottom w:w="0" w:type="dxa"/>
          </w:tblCellMar>
        </w:tblPrEx>
        <w:trPr>
          <w:cantSplit/>
        </w:trPr>
        <w:tc>
          <w:tcPr>
            <w:tcW w:w="2506" w:type="dxa"/>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القانون رقم 546 لسنة 1999</w:t>
            </w:r>
          </w:p>
        </w:tc>
        <w:tc>
          <w:tcPr>
            <w:tcW w:w="4814" w:type="dxa"/>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يدعم المرأة الريفية في مجال الإسكان</w:t>
            </w:r>
            <w:r w:rsidR="003D7EB4">
              <w:rPr>
                <w:rFonts w:hint="cs"/>
                <w:sz w:val="24"/>
                <w:szCs w:val="24"/>
                <w:rtl/>
              </w:rPr>
              <w:t>،</w:t>
            </w:r>
          </w:p>
        </w:tc>
      </w:tr>
      <w:tr w:rsidR="00971AE2" w:rsidRPr="00686B23">
        <w:tblPrEx>
          <w:tblCellMar>
            <w:top w:w="0" w:type="dxa"/>
            <w:bottom w:w="0" w:type="dxa"/>
          </w:tblCellMar>
        </w:tblPrEx>
        <w:trPr>
          <w:cantSplit/>
        </w:trPr>
        <w:tc>
          <w:tcPr>
            <w:tcW w:w="2506" w:type="dxa"/>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القانون رقم 731 لسنة 2002</w:t>
            </w:r>
          </w:p>
        </w:tc>
        <w:tc>
          <w:tcPr>
            <w:tcW w:w="4814" w:type="dxa"/>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يتضمن قواعد لصالح المرأة الريفية، لا سيما نوعية معيشتها</w:t>
            </w:r>
            <w:r w:rsidR="003D7EB4">
              <w:rPr>
                <w:rFonts w:hint="cs"/>
                <w:sz w:val="24"/>
                <w:szCs w:val="24"/>
                <w:rtl/>
              </w:rPr>
              <w:t>،</w:t>
            </w:r>
            <w:r w:rsidRPr="00686B23">
              <w:rPr>
                <w:rFonts w:hint="cs"/>
                <w:sz w:val="24"/>
                <w:szCs w:val="24"/>
                <w:rtl/>
              </w:rPr>
              <w:t xml:space="preserve"> ويمنح الأولوية لذوات أقل الموارد ويكرس تدابير خاصة ترمي إلى التعجيل بتحقيق المساواة بين الرجل والمرأةفي المناطق الريفية</w:t>
            </w:r>
            <w:r w:rsidR="003D7EB4">
              <w:rPr>
                <w:rFonts w:hint="cs"/>
                <w:sz w:val="24"/>
                <w:szCs w:val="24"/>
                <w:rtl/>
              </w:rPr>
              <w:t>،</w:t>
            </w:r>
            <w:r w:rsidRPr="00686B23">
              <w:rPr>
                <w:rFonts w:hint="cs"/>
                <w:sz w:val="24"/>
                <w:szCs w:val="24"/>
                <w:rtl/>
              </w:rPr>
              <w:t xml:space="preserve"> ويتضمن عناصر المشاركة والائتمان وصندوق الدعم والإعانة الأسرية والتأمينات الاجتماعية والصحية والتعليم والتدريب والترفيه والإصلاح الزراعي وإعادة تحريج والإسكان والتوثيق والمؤسسات الصغيرة للغاية</w:t>
            </w:r>
            <w:r w:rsidR="003D7EB4">
              <w:rPr>
                <w:rFonts w:hint="cs"/>
                <w:sz w:val="24"/>
                <w:szCs w:val="24"/>
                <w:rtl/>
              </w:rPr>
              <w:t>،</w:t>
            </w:r>
            <w:r w:rsidRPr="00686B23">
              <w:rPr>
                <w:rFonts w:hint="cs"/>
                <w:sz w:val="24"/>
                <w:szCs w:val="24"/>
                <w:rtl/>
              </w:rPr>
              <w:t xml:space="preserve"> وتقوم حاليا الهيئة الاستشارية لرئيس الجمهورية فيما يتعلق بالمساواة بين الرجل والمرأة ووزارة الزراعة بتنسيق عملية التنظيم</w:t>
            </w:r>
            <w:r w:rsidR="003D7EB4">
              <w:rPr>
                <w:rFonts w:hint="cs"/>
                <w:sz w:val="24"/>
                <w:szCs w:val="24"/>
                <w:rtl/>
              </w:rPr>
              <w:t>،</w:t>
            </w:r>
          </w:p>
        </w:tc>
      </w:tr>
      <w:tr w:rsidR="00971AE2" w:rsidRPr="00686B23">
        <w:tblPrEx>
          <w:tblCellMar>
            <w:top w:w="0" w:type="dxa"/>
            <w:bottom w:w="0" w:type="dxa"/>
          </w:tblCellMar>
        </w:tblPrEx>
        <w:trPr>
          <w:cantSplit/>
        </w:trPr>
        <w:tc>
          <w:tcPr>
            <w:tcW w:w="2506" w:type="dxa"/>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القرار رقم 1 لسنة 2002 للجنة الوطنية للائتمان من أجل الزراعة وتربية الماشية</w:t>
            </w:r>
          </w:p>
        </w:tc>
        <w:tc>
          <w:tcPr>
            <w:tcW w:w="4814" w:type="dxa"/>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يعرف الائتمان للأنشطة الريفية التي تضطلع بها المرأة الريفية ومقصده؛ ويحدد شروط الحصول على هذه القروض وعلى ضمانات صندوق الضمانات من أجل الزراعة وتربية الماشية</w:t>
            </w:r>
            <w:r w:rsidR="003D7EB4">
              <w:rPr>
                <w:rFonts w:hint="cs"/>
                <w:sz w:val="24"/>
                <w:szCs w:val="24"/>
                <w:rtl/>
              </w:rPr>
              <w:t>،</w:t>
            </w:r>
          </w:p>
        </w:tc>
      </w:tr>
      <w:tr w:rsidR="00971AE2" w:rsidRPr="00686B23">
        <w:tblPrEx>
          <w:tblCellMar>
            <w:top w:w="0" w:type="dxa"/>
            <w:bottom w:w="0" w:type="dxa"/>
          </w:tblCellMar>
        </w:tblPrEx>
        <w:trPr>
          <w:cantSplit/>
        </w:trPr>
        <w:tc>
          <w:tcPr>
            <w:tcW w:w="2506" w:type="dxa"/>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القرار رقم 6 لسنة 2002 للجنة الوطنية للائتمان من أجل الزراعة وتربية الماشية</w:t>
            </w:r>
          </w:p>
        </w:tc>
        <w:tc>
          <w:tcPr>
            <w:tcW w:w="4814" w:type="dxa"/>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يأذن لصندوق تمويل قطاع الزراعة وتربين الماشية بفتح خطوط لإعادة خصم القروض لتمويل الأنشطة الريفية</w:t>
            </w:r>
            <w:r w:rsidR="003D7EB4">
              <w:rPr>
                <w:rFonts w:hint="cs"/>
                <w:sz w:val="24"/>
                <w:szCs w:val="24"/>
                <w:rtl/>
              </w:rPr>
              <w:t>،</w:t>
            </w:r>
          </w:p>
        </w:tc>
      </w:tr>
      <w:tr w:rsidR="00971AE2" w:rsidRPr="00686B23">
        <w:tblPrEx>
          <w:tblCellMar>
            <w:top w:w="0" w:type="dxa"/>
            <w:bottom w:w="0" w:type="dxa"/>
          </w:tblCellMar>
        </w:tblPrEx>
        <w:trPr>
          <w:cantSplit/>
        </w:trPr>
        <w:tc>
          <w:tcPr>
            <w:tcW w:w="2506" w:type="dxa"/>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القانون رقم 823 لسنة 2003</w:t>
            </w:r>
          </w:p>
        </w:tc>
        <w:tc>
          <w:tcPr>
            <w:tcW w:w="4814" w:type="dxa"/>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يكرس أحكاما خاصة لصالح المرأة الريفية في المادتين 5 و10</w:t>
            </w:r>
            <w:r w:rsidRPr="00686B23">
              <w:rPr>
                <w:rFonts w:hint="cs"/>
                <w:sz w:val="24"/>
                <w:szCs w:val="24"/>
                <w:vertAlign w:val="superscript"/>
                <w:rtl/>
              </w:rPr>
              <w:t>(143)</w:t>
            </w:r>
            <w:r w:rsidR="003D7EB4">
              <w:rPr>
                <w:rFonts w:hint="cs"/>
                <w:sz w:val="24"/>
                <w:szCs w:val="24"/>
                <w:rtl/>
              </w:rPr>
              <w:t>،</w:t>
            </w:r>
          </w:p>
        </w:tc>
      </w:tr>
      <w:tr w:rsidR="00971AE2" w:rsidRPr="00686B23">
        <w:tblPrEx>
          <w:tblCellMar>
            <w:top w:w="0" w:type="dxa"/>
            <w:bottom w:w="0" w:type="dxa"/>
          </w:tblCellMar>
        </w:tblPrEx>
        <w:trPr>
          <w:cantSplit/>
        </w:trPr>
        <w:tc>
          <w:tcPr>
            <w:tcW w:w="2506" w:type="dxa"/>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المرسوم رقم 2998 لسنة 2003</w:t>
            </w:r>
          </w:p>
        </w:tc>
        <w:tc>
          <w:tcPr>
            <w:tcW w:w="4814" w:type="dxa"/>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يمنح المرأة الريفية مزايا لتملك الأرض</w:t>
            </w:r>
            <w:r w:rsidRPr="00686B23">
              <w:rPr>
                <w:rFonts w:hint="cs"/>
                <w:sz w:val="24"/>
                <w:szCs w:val="24"/>
                <w:vertAlign w:val="superscript"/>
                <w:rtl/>
              </w:rPr>
              <w:t>(144)</w:t>
            </w:r>
            <w:r w:rsidR="003D7EB4">
              <w:rPr>
                <w:rFonts w:hint="cs"/>
                <w:sz w:val="24"/>
                <w:szCs w:val="24"/>
                <w:rtl/>
              </w:rPr>
              <w:t>،</w:t>
            </w:r>
          </w:p>
        </w:tc>
      </w:tr>
      <w:tr w:rsidR="00971AE2" w:rsidRPr="00686B23">
        <w:tblPrEx>
          <w:tblCellMar>
            <w:top w:w="0" w:type="dxa"/>
            <w:bottom w:w="0" w:type="dxa"/>
          </w:tblCellMar>
        </w:tblPrEx>
        <w:trPr>
          <w:cantSplit/>
        </w:trPr>
        <w:tc>
          <w:tcPr>
            <w:tcW w:w="2506" w:type="dxa"/>
            <w:tcBorders>
              <w:bottom w:val="single" w:sz="12" w:space="0" w:color="auto"/>
            </w:tcBorders>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القرار رقم 127الصادر في 6 حزيران/ يونيه 2003 عن وزارة التنمية الريفية</w:t>
            </w:r>
          </w:p>
        </w:tc>
        <w:tc>
          <w:tcPr>
            <w:tcW w:w="4814" w:type="dxa"/>
            <w:tcBorders>
              <w:bottom w:val="single" w:sz="12" w:space="0" w:color="auto"/>
            </w:tcBorders>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أُنشئ بموجبه صندوق تعزيز المرأة الريفية</w:t>
            </w:r>
            <w:r w:rsidR="003D7EB4">
              <w:rPr>
                <w:rFonts w:hint="cs"/>
                <w:sz w:val="24"/>
                <w:szCs w:val="24"/>
                <w:rtl/>
              </w:rPr>
              <w:t>،</w:t>
            </w:r>
          </w:p>
        </w:tc>
      </w:tr>
    </w:tbl>
    <w:p w:rsidR="00971AE2" w:rsidRDefault="00971AE2" w:rsidP="00A343DF">
      <w:pPr>
        <w:pStyle w:val="SingleTxt"/>
        <w:spacing w:after="0" w:line="120" w:lineRule="exact"/>
        <w:rPr>
          <w:rFonts w:hint="cs"/>
          <w:sz w:val="10"/>
          <w:rtl/>
          <w:lang w:bidi="ar-EG"/>
        </w:rPr>
      </w:pPr>
    </w:p>
    <w:p w:rsidR="00971AE2" w:rsidRDefault="00971AE2" w:rsidP="00A343DF">
      <w:pPr>
        <w:pStyle w:val="SingleTxt"/>
        <w:rPr>
          <w:rFonts w:hint="cs"/>
          <w:b/>
          <w:bCs/>
          <w:rtl/>
          <w:lang w:bidi="ar-EG"/>
        </w:rPr>
      </w:pPr>
      <w:r>
        <w:rPr>
          <w:rFonts w:hint="cs"/>
          <w:b/>
          <w:bCs/>
          <w:rtl/>
          <w:lang w:bidi="ar-EG"/>
        </w:rPr>
        <w:t>المنجزات القضائية</w:t>
      </w:r>
    </w:p>
    <w:p w:rsidR="00971AE2" w:rsidRDefault="00971AE2" w:rsidP="003D7EB4">
      <w:pPr>
        <w:pStyle w:val="SingleTxt"/>
        <w:rPr>
          <w:rFonts w:hint="cs"/>
          <w:rtl/>
          <w:lang w:bidi="ar-EG"/>
        </w:rPr>
      </w:pPr>
      <w:r>
        <w:rPr>
          <w:rFonts w:hint="cs"/>
          <w:rtl/>
          <w:lang w:bidi="ar-EG"/>
        </w:rPr>
        <w:t xml:space="preserve">الحكم </w:t>
      </w:r>
      <w:r>
        <w:t>C-673</w:t>
      </w:r>
      <w:r>
        <w:rPr>
          <w:rFonts w:hint="cs"/>
          <w:rtl/>
          <w:lang w:bidi="ar-EG"/>
        </w:rPr>
        <w:t>: أعلن إمكانية تنفيذ المادة 20 من القانون رقم 160 لسنة 1994 التي أُنشئ بموجبها النظام الوطني للإصلاح الزراعي</w:t>
      </w:r>
      <w:r w:rsidR="003D7EB4">
        <w:rPr>
          <w:rFonts w:hint="cs"/>
          <w:rtl/>
          <w:lang w:bidi="ar-EG"/>
        </w:rPr>
        <w:t>،</w:t>
      </w:r>
      <w:r>
        <w:rPr>
          <w:rFonts w:hint="cs"/>
          <w:rtl/>
          <w:lang w:bidi="ar-EG"/>
        </w:rPr>
        <w:t xml:space="preserve"> ويعيد تناول المزايا </w:t>
      </w:r>
      <w:r w:rsidR="003D7EB4">
        <w:rPr>
          <w:rFonts w:hint="cs"/>
          <w:rtl/>
          <w:lang w:bidi="ar-EG"/>
        </w:rPr>
        <w:t xml:space="preserve">التي يجب منحها </w:t>
      </w:r>
      <w:r>
        <w:rPr>
          <w:rFonts w:hint="cs"/>
          <w:rtl/>
          <w:lang w:bidi="ar-EG"/>
        </w:rPr>
        <w:t>للمرأة الريفية</w:t>
      </w:r>
      <w:r w:rsidR="00D9185D">
        <w:rPr>
          <w:rFonts w:hint="cs"/>
          <w:rtl/>
          <w:lang w:bidi="ar-EG"/>
        </w:rPr>
        <w:t xml:space="preserve"> فيما يتعلق بمسألة حيازة الأراضي</w:t>
      </w:r>
      <w:bookmarkStart w:id="1" w:name="TmpSave"/>
      <w:bookmarkEnd w:id="1"/>
      <w:r w:rsidR="003D7EB4">
        <w:rPr>
          <w:rFonts w:hint="cs"/>
          <w:rtl/>
          <w:lang w:bidi="ar-EG"/>
        </w:rPr>
        <w:t>،</w:t>
      </w:r>
    </w:p>
    <w:p w:rsidR="00971AE2" w:rsidRDefault="00971AE2" w:rsidP="00A343DF">
      <w:pPr>
        <w:pStyle w:val="SingleTxt"/>
        <w:rPr>
          <w:rFonts w:hint="cs"/>
          <w:rtl/>
          <w:lang w:bidi="ar-EG"/>
        </w:rPr>
      </w:pPr>
      <w:r>
        <w:rPr>
          <w:rFonts w:hint="cs"/>
          <w:rtl/>
          <w:lang w:bidi="ar-EG"/>
        </w:rPr>
        <w:t xml:space="preserve">الحكم </w:t>
      </w:r>
      <w:r>
        <w:t>C-557</w:t>
      </w:r>
      <w:r>
        <w:rPr>
          <w:rFonts w:hint="cs"/>
          <w:rtl/>
          <w:lang w:bidi="ar-EG"/>
        </w:rPr>
        <w:t xml:space="preserve"> لسنة 2000: المتعلق بالخطة الإنمائية الوطنية</w:t>
      </w:r>
      <w:r w:rsidR="003D7EB4">
        <w:rPr>
          <w:rFonts w:hint="cs"/>
          <w:rtl/>
          <w:lang w:bidi="ar-EG"/>
        </w:rPr>
        <w:t>،</w:t>
      </w:r>
      <w:r>
        <w:rPr>
          <w:rFonts w:hint="cs"/>
          <w:rtl/>
          <w:lang w:bidi="ar-EG"/>
        </w:rPr>
        <w:t xml:space="preserve"> يشير إلى المساواة بين الرجل والمرأة في الحقوق وإلى أهمية قطاع الزراعة وتربية الماشية</w:t>
      </w:r>
      <w:r w:rsidR="003D7EB4">
        <w:rPr>
          <w:rFonts w:hint="cs"/>
          <w:rtl/>
          <w:lang w:bidi="ar-EG"/>
        </w:rPr>
        <w:t>،</w:t>
      </w:r>
    </w:p>
    <w:p w:rsidR="00971AE2" w:rsidRDefault="00971AE2" w:rsidP="00A343DF">
      <w:pPr>
        <w:pStyle w:val="SingleTxt"/>
        <w:rPr>
          <w:rFonts w:hint="cs"/>
          <w:rtl/>
          <w:lang w:bidi="ar-EG"/>
        </w:rPr>
      </w:pPr>
      <w:r>
        <w:rPr>
          <w:rFonts w:hint="cs"/>
          <w:rtl/>
          <w:lang w:bidi="ar-EG"/>
        </w:rPr>
        <w:t>المنجزات الإدارية</w:t>
      </w:r>
    </w:p>
    <w:p w:rsidR="00971AE2" w:rsidRDefault="00971AE2" w:rsidP="00A343DF">
      <w:pPr>
        <w:pStyle w:val="SingleTxt"/>
        <w:rPr>
          <w:rFonts w:hint="cs"/>
          <w:rtl/>
          <w:lang w:bidi="ar-EG"/>
        </w:rPr>
      </w:pPr>
      <w:r>
        <w:rPr>
          <w:rFonts w:hint="cs"/>
          <w:rtl/>
          <w:lang w:bidi="ar-EG"/>
        </w:rPr>
        <w:tab/>
        <w:t>بدأ التفاهم مع حكومات المقاطعات وأمانات الصحة والزراعة و</w:t>
      </w:r>
      <w:r>
        <w:t>COMCAJA</w:t>
      </w:r>
      <w:r>
        <w:rPr>
          <w:rFonts w:hint="cs"/>
          <w:rtl/>
          <w:lang w:bidi="ar-EG"/>
        </w:rPr>
        <w:t xml:space="preserve"> والمكاتب الإقليمية للمرأة وعمد البلديات نُظمت أيام للوقاية من الأمراض التي تؤثر بصفة خاصة في النساء الريفيات في 5 بلديات في مقاطعة الأطلسي وفي 3 بلديات في سوكري وفي بلدية في نارينيولصالح ما مجموعه 890 2 امرأة وطفلا</w:t>
      </w:r>
      <w:r w:rsidR="003D7EB4">
        <w:rPr>
          <w:rFonts w:hint="cs"/>
          <w:rtl/>
          <w:lang w:bidi="ar-EG"/>
        </w:rPr>
        <w:t>،</w:t>
      </w:r>
    </w:p>
    <w:p w:rsidR="00971AE2" w:rsidRDefault="00971AE2" w:rsidP="00A343DF">
      <w:pPr>
        <w:pStyle w:val="SingleTxt"/>
        <w:rPr>
          <w:rFonts w:hint="cs"/>
          <w:rtl/>
          <w:lang w:bidi="ar-EG"/>
        </w:rPr>
      </w:pPr>
      <w:r>
        <w:rPr>
          <w:rFonts w:hint="cs"/>
          <w:rtl/>
          <w:lang w:bidi="ar-EG"/>
        </w:rPr>
        <w:tab/>
        <w:t>تتمثل أهداف مشروع التعليم الريفي التابع لوزارة التربية</w:t>
      </w:r>
      <w:r>
        <w:rPr>
          <w:rFonts w:hint="cs"/>
          <w:vertAlign w:val="superscript"/>
          <w:rtl/>
          <w:lang w:bidi="ar-EG"/>
        </w:rPr>
        <w:t>(145)</w:t>
      </w:r>
      <w:r>
        <w:rPr>
          <w:rFonts w:hint="cs"/>
          <w:rtl/>
          <w:lang w:bidi="ar-EG"/>
        </w:rPr>
        <w:t xml:space="preserve"> فيما يلي: شمول القطاع الريفي بتعليم نوعي جيد؛ تقويض القدرة على الإدارة التعليمية في الكيانات الإقليمية؛ وعمليات التدريب في المدارس والمجتمعات على التعايش والسلم؛ ورسم السياسة من أجل التعليم</w:t>
      </w:r>
      <w:r w:rsidR="003D7EB4">
        <w:rPr>
          <w:rFonts w:hint="cs"/>
          <w:rtl/>
          <w:lang w:bidi="ar-EG"/>
        </w:rPr>
        <w:t>،</w:t>
      </w:r>
      <w:r>
        <w:rPr>
          <w:rFonts w:hint="cs"/>
          <w:rtl/>
          <w:lang w:bidi="ar-EG"/>
        </w:rPr>
        <w:t xml:space="preserve"> وتحقيقا لهذه الأهداف أُنفق فيما بين عامي 2001 و2003، 40 مليون دولار (20 مليون تمثل قرضا من البنك الدولي و20 مليونا إضافية تمثل المبلغ الوطني المناظر) مخصص بنسبة 70 في المائة للإجراءات في البلديات والـ 30 في المائة الباقية بالإجراءات على مستوى المدن</w:t>
      </w:r>
      <w:r w:rsidR="003D7EB4">
        <w:rPr>
          <w:rFonts w:hint="cs"/>
          <w:rtl/>
          <w:lang w:bidi="ar-EG"/>
        </w:rPr>
        <w:t>،</w:t>
      </w:r>
      <w:r>
        <w:rPr>
          <w:rFonts w:hint="cs"/>
          <w:rtl/>
          <w:lang w:bidi="ar-EG"/>
        </w:rPr>
        <w:t xml:space="preserve"> ويضع مشروع التعليم الريفي نماذج تعليمية لتحسين نوعية التعليم في القطاع الريفي ولتصحيح عوامل اللامساواة أوالتمييز أوفرض العزلة</w:t>
      </w:r>
      <w:r w:rsidR="003D7EB4">
        <w:rPr>
          <w:rFonts w:hint="cs"/>
          <w:rtl/>
          <w:lang w:bidi="ar-EG"/>
        </w:rPr>
        <w:t>،</w:t>
      </w:r>
      <w:r>
        <w:rPr>
          <w:rFonts w:hint="cs"/>
          <w:rtl/>
          <w:lang w:bidi="ar-EG"/>
        </w:rPr>
        <w:t xml:space="preserve"> ومن عناصر مشروع التعليم الريفي مسار عمل </w:t>
      </w:r>
      <w:r>
        <w:rPr>
          <w:rFonts w:hint="eastAsia"/>
          <w:rtl/>
          <w:lang w:bidi="ar-EG"/>
        </w:rPr>
        <w:t xml:space="preserve">”التدريب على </w:t>
      </w:r>
      <w:r>
        <w:rPr>
          <w:rFonts w:hint="cs"/>
          <w:rtl/>
          <w:lang w:bidi="ar-EG"/>
        </w:rPr>
        <w:t>التعايش المدرسي“ الذي يسعى إلى إيجاد ثقافة ديمقراطية حقيقية في المؤسسات التعليمية في البلد وتحسين البيئة المدرسية عن طريق إقامة علاقات ممتازة بين الجهات التعليمية الفاعلة</w:t>
      </w:r>
      <w:r w:rsidR="003D7EB4">
        <w:rPr>
          <w:rFonts w:hint="cs"/>
          <w:rtl/>
          <w:lang w:bidi="ar-EG"/>
        </w:rPr>
        <w:t>،</w:t>
      </w:r>
      <w:r>
        <w:rPr>
          <w:rFonts w:hint="cs"/>
          <w:rtl/>
          <w:lang w:bidi="ar-EG"/>
        </w:rPr>
        <w:t xml:space="preserve"> وتتمثل بعض خطوط التدخل لبلوغ هذا الهدف فيما يلي: التدريب على حقوق الإنسان، والتدريب على الحل السلمي للمنازعات والقيادة الشبابية والتعليم المختلط</w:t>
      </w:r>
      <w:r>
        <w:rPr>
          <w:rFonts w:hint="cs"/>
          <w:vertAlign w:val="superscript"/>
          <w:rtl/>
          <w:lang w:bidi="ar-EG"/>
        </w:rPr>
        <w:t>(146)</w:t>
      </w:r>
      <w:r w:rsidR="003D7EB4">
        <w:rPr>
          <w:rFonts w:hint="cs"/>
          <w:rtl/>
          <w:lang w:bidi="ar-EG"/>
        </w:rPr>
        <w:t>،</w:t>
      </w:r>
    </w:p>
    <w:p w:rsidR="00971AE2" w:rsidRDefault="00971AE2" w:rsidP="00A343DF">
      <w:pPr>
        <w:pStyle w:val="SingleTxt"/>
        <w:rPr>
          <w:rFonts w:hint="cs"/>
          <w:rtl/>
          <w:lang w:bidi="ar-EG"/>
        </w:rPr>
      </w:pPr>
      <w:r>
        <w:rPr>
          <w:rFonts w:hint="cs"/>
          <w:rtl/>
          <w:lang w:bidi="ar-EG"/>
        </w:rPr>
        <w:tab/>
        <w:t>وتقوم وزارة التربية والبنك الدولي في الوقت الحاضر بوضع اقتراح بإدماج عنصر التعليم المختلط في عنصر التعايش الموجود في مشروع التعليم الريفي، الذي يرمي إلى إجراء التكييفات المتصلة في دليل التعليم المختلط تراعي خصائص القطاع الريفي</w:t>
      </w:r>
      <w:r w:rsidR="003D7EB4">
        <w:rPr>
          <w:rFonts w:hint="cs"/>
          <w:rtl/>
          <w:lang w:bidi="ar-EG"/>
        </w:rPr>
        <w:t>،</w:t>
      </w:r>
    </w:p>
    <w:p w:rsidR="00971AE2" w:rsidRDefault="00971AE2" w:rsidP="00A343DF">
      <w:pPr>
        <w:pStyle w:val="SingleTxt"/>
        <w:rPr>
          <w:rFonts w:hint="cs"/>
          <w:rtl/>
          <w:lang w:bidi="ar-EG"/>
        </w:rPr>
      </w:pPr>
      <w:r>
        <w:rPr>
          <w:rFonts w:hint="cs"/>
          <w:rtl/>
          <w:lang w:bidi="ar-EG"/>
        </w:rPr>
        <w:tab/>
        <w:t>ومنذ عام 1997 قام مكتب المرأة الريفية التابع لجزر التنمية الريفية بالاتفاق مع وزارة التربية وحكومات مقاطعات نارينيووكوكا وسيزار، وبرنامج السلم في مجدلينا الوسطى وخطة باتيا وجامعة كوكا بوضع مشروع للتعليم المتكامل للكبار بمنظور إنساني ودُرب فيه نظام التسجيل الوحيد في سيزار 35 مدرسا على الاتجاهات الجديدة للكبار والمساواة بين الجنسين</w:t>
      </w:r>
      <w:r w:rsidR="003D7EB4">
        <w:rPr>
          <w:rFonts w:hint="cs"/>
          <w:rtl/>
          <w:lang w:bidi="ar-EG"/>
        </w:rPr>
        <w:t>،</w:t>
      </w:r>
      <w:r>
        <w:rPr>
          <w:rFonts w:hint="cs"/>
          <w:rtl/>
          <w:lang w:bidi="ar-EG"/>
        </w:rPr>
        <w:t xml:space="preserve"> ودُرب 45 مدرسا ريفيا في مقاطعة كوكا ونارينيا (منطقة التوباتيا الفرعية) على المواضيع التالية: البحث والعمل التشاركي والاتجاهات الجديدة في تعليم الكبار والمساواة بين الجنسين</w:t>
      </w:r>
      <w:r w:rsidR="003D7EB4">
        <w:rPr>
          <w:rFonts w:hint="cs"/>
          <w:rtl/>
          <w:lang w:bidi="ar-EG"/>
        </w:rPr>
        <w:t>،</w:t>
      </w:r>
      <w:r>
        <w:rPr>
          <w:rFonts w:hint="cs"/>
          <w:rtl/>
          <w:lang w:bidi="ar-EG"/>
        </w:rPr>
        <w:t xml:space="preserve"> وعلاوة على ذلك أُجريت دراسة تحليلية عن مشاركة المرأة في تنمية المنطقة ودورها في المجتمع</w:t>
      </w:r>
      <w:r>
        <w:rPr>
          <w:rFonts w:hint="cs"/>
          <w:vertAlign w:val="superscript"/>
          <w:rtl/>
          <w:lang w:bidi="ar-EG"/>
        </w:rPr>
        <w:t>(147)</w:t>
      </w:r>
      <w:r w:rsidR="003D7EB4">
        <w:rPr>
          <w:rFonts w:hint="cs"/>
          <w:rtl/>
          <w:lang w:bidi="ar-EG"/>
        </w:rPr>
        <w:t>،</w:t>
      </w:r>
    </w:p>
    <w:p w:rsidR="00971AE2" w:rsidRDefault="00971AE2" w:rsidP="00A343DF">
      <w:pPr>
        <w:pStyle w:val="SingleTxt"/>
        <w:rPr>
          <w:rFonts w:hint="cs"/>
          <w:rtl/>
          <w:lang w:bidi="ar-EG"/>
        </w:rPr>
      </w:pPr>
      <w:r>
        <w:rPr>
          <w:rFonts w:hint="cs"/>
          <w:rtl/>
          <w:lang w:bidi="ar-EG"/>
        </w:rPr>
        <w:tab/>
        <w:t>وفيما يتعلق بتدريب الأمهات المجتمعيات وممثلي المنظمات الريفية قامت وزارة الزراعة، بالتعاون مع المؤسسة الكولومبية الرفاهية الأسرية ومكتب السيدة الأولى للأمة، بتدريب 150 امرأة على عمل منتجات أساسها فول الصويا</w:t>
      </w:r>
      <w:r w:rsidR="003D7EB4">
        <w:rPr>
          <w:rFonts w:hint="cs"/>
          <w:rtl/>
          <w:lang w:bidi="ar-EG"/>
        </w:rPr>
        <w:t>،</w:t>
      </w:r>
    </w:p>
    <w:p w:rsidR="00971AE2" w:rsidRDefault="00971AE2" w:rsidP="00A343DF">
      <w:pPr>
        <w:pStyle w:val="SingleTxt"/>
        <w:rPr>
          <w:rFonts w:hint="cs"/>
          <w:rtl/>
          <w:lang w:bidi="ar-EG"/>
        </w:rPr>
      </w:pPr>
      <w:r>
        <w:rPr>
          <w:rFonts w:hint="cs"/>
          <w:rtl/>
          <w:lang w:bidi="ar-EG"/>
        </w:rPr>
        <w:tab/>
        <w:t>وتنفذ وزارة الزراعة منذ عام 1994 مجموعة استراتيجيات إنمائية لصالح المرأة الريفية تتضمن تدابير ترمي إلى تحسين مشاركتها في الأنشطة الإنتاجية في الريف وتحسين ظروف معيشتها</w:t>
      </w:r>
      <w:r w:rsidR="003D7EB4">
        <w:rPr>
          <w:rFonts w:hint="cs"/>
          <w:rtl/>
          <w:lang w:bidi="ar-EG"/>
        </w:rPr>
        <w:t>،</w:t>
      </w:r>
      <w:r>
        <w:rPr>
          <w:rFonts w:hint="cs"/>
          <w:rtl/>
          <w:lang w:bidi="ar-EG"/>
        </w:rPr>
        <w:t xml:space="preserve"> وهذه الاستراتيجية هي ما يلي: الكفاءة المؤسسية</w:t>
      </w:r>
      <w:r>
        <w:rPr>
          <w:rFonts w:hint="cs"/>
          <w:vertAlign w:val="superscript"/>
          <w:rtl/>
          <w:lang w:bidi="ar-EG"/>
        </w:rPr>
        <w:t>(148)</w:t>
      </w:r>
      <w:r>
        <w:rPr>
          <w:rFonts w:hint="cs"/>
          <w:rtl/>
          <w:lang w:bidi="ar-EG"/>
        </w:rPr>
        <w:t xml:space="preserve">، وتقييمات الزراعة وتربية الماشية </w:t>
      </w:r>
      <w:r>
        <w:rPr>
          <w:rFonts w:hint="cs"/>
          <w:vertAlign w:val="superscript"/>
          <w:rtl/>
          <w:lang w:bidi="ar-EG"/>
        </w:rPr>
        <w:t>(149)</w:t>
      </w:r>
      <w:r>
        <w:rPr>
          <w:rFonts w:hint="cs"/>
          <w:rtl/>
          <w:lang w:bidi="ar-EG"/>
        </w:rPr>
        <w:t>، وفريق العمل المشترك بين المؤسسات</w:t>
      </w:r>
      <w:r>
        <w:rPr>
          <w:rFonts w:hint="cs"/>
          <w:vertAlign w:val="superscript"/>
          <w:rtl/>
          <w:lang w:bidi="ar-EG"/>
        </w:rPr>
        <w:t>(150)</w:t>
      </w:r>
      <w:r>
        <w:rPr>
          <w:rFonts w:hint="cs"/>
          <w:rtl/>
          <w:lang w:bidi="ar-EG"/>
        </w:rPr>
        <w:t>، وحملات لتسجيل النساء الريفيات وأولادهن وبناتهن</w:t>
      </w:r>
      <w:r>
        <w:rPr>
          <w:rFonts w:hint="cs"/>
          <w:vertAlign w:val="superscript"/>
          <w:rtl/>
          <w:lang w:bidi="ar-EG"/>
        </w:rPr>
        <w:t>(151)</w:t>
      </w:r>
      <w:r w:rsidR="003D7EB4">
        <w:rPr>
          <w:rFonts w:hint="cs"/>
          <w:rtl/>
          <w:lang w:bidi="ar-EG"/>
        </w:rPr>
        <w:t>،</w:t>
      </w:r>
    </w:p>
    <w:p w:rsidR="00971AE2" w:rsidRDefault="00971AE2" w:rsidP="00A343DF">
      <w:pPr>
        <w:pStyle w:val="SingleTxt"/>
        <w:rPr>
          <w:rFonts w:hint="cs"/>
          <w:rtl/>
          <w:lang w:bidi="ar-EG"/>
        </w:rPr>
      </w:pPr>
      <w:r>
        <w:rPr>
          <w:rFonts w:hint="cs"/>
          <w:rtl/>
          <w:lang w:bidi="ar-EG"/>
        </w:rPr>
        <w:tab/>
        <w:t>ومن أجل رعاية النساء الريفيات اللائي يعشن وسط صراع مسلح وُضعت الاستراتيجيات التالية:</w:t>
      </w:r>
    </w:p>
    <w:p w:rsidR="00971AE2" w:rsidRDefault="00971AE2" w:rsidP="00A343DF">
      <w:pPr>
        <w:pStyle w:val="SingleTxt"/>
        <w:rPr>
          <w:rFonts w:hint="cs"/>
          <w:rtl/>
          <w:lang w:bidi="ar-EG"/>
        </w:rPr>
      </w:pPr>
      <w:r>
        <w:rPr>
          <w:rFonts w:hint="cs"/>
          <w:rtl/>
          <w:lang w:bidi="ar-EG"/>
        </w:rPr>
        <w:tab/>
        <w:t>-</w:t>
      </w:r>
      <w:r>
        <w:rPr>
          <w:rFonts w:hint="cs"/>
          <w:rtl/>
          <w:lang w:bidi="ar-EG"/>
        </w:rPr>
        <w:tab/>
        <w:t>النشر عن كرامة الإنسان بين النساء الريفيات والسلطات المحلية باعتبار ذلك أداة لحماية السكان المدنيين في المنازعات المسلحة</w:t>
      </w:r>
      <w:r w:rsidR="003D7EB4">
        <w:rPr>
          <w:rFonts w:hint="cs"/>
          <w:rtl/>
          <w:lang w:bidi="ar-EG"/>
        </w:rPr>
        <w:t>،</w:t>
      </w:r>
      <w:r>
        <w:rPr>
          <w:rFonts w:hint="cs"/>
          <w:rtl/>
          <w:lang w:bidi="ar-EG"/>
        </w:rPr>
        <w:t xml:space="preserve"> وقد دُرب 250 مروجة و250 مروج فيما يتعلق بكرامة الإنسان، عن طريق اتفاق وُقع بين وزارة التنمية الريفية والصليب الأحمر</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دعم عودة النساء والأسر اللائي شردهن العنف إلى الريف</w:t>
      </w:r>
      <w:r w:rsidR="003D7EB4">
        <w:rPr>
          <w:rFonts w:hint="cs"/>
          <w:rtl/>
          <w:lang w:bidi="ar-EG"/>
        </w:rPr>
        <w:t>،</w:t>
      </w:r>
      <w:r>
        <w:rPr>
          <w:rFonts w:hint="cs"/>
          <w:rtl/>
          <w:lang w:bidi="ar-EG"/>
        </w:rPr>
        <w:t xml:space="preserve"> ومُنحت الأولوية لمقاطعتي كوكا ونانيولارتفاع معدل النزاع المسلح وعمليات تشريد السكان فيهما وارتفاع مؤشرات الطابع الريفي والاحتياجات الأساسية غير المشبعة والرئاسة النسائية للأسر فيهما</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جرى العمل في البيئة المؤسسية من أجل مساندة عمليات عودة أوإعادة توطين 172 أسرة مشردة في مناطق الإصلاح الزراعي في مشاريع الأغذية القائمة على الزراعة في مقاطعتي بوريفار وقرطبة</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تقوم وزارة الزراعة بالتنسيق مع الهيئة الاستشارية لرئيس الجمهورية فيما يتعلق بالمساواة بين الرجل والمرأة، في سياق سياسة </w:t>
      </w:r>
      <w:r>
        <w:rPr>
          <w:rFonts w:hint="eastAsia"/>
          <w:rtl/>
          <w:lang w:bidi="ar-EG"/>
        </w:rPr>
        <w:t>”المرأة صانعة السلام والتنمية</w:t>
      </w:r>
      <w:r>
        <w:rPr>
          <w:rFonts w:hint="cs"/>
          <w:rtl/>
          <w:lang w:bidi="ar-EG"/>
        </w:rPr>
        <w:t xml:space="preserve">“ بتنسيق برنامج عمل من أجل تعزيز ما يلي: الإدماج التدريجي للنهج الإنساني في رسم وتنفيذ سياسات الوزارة؛ وإشراك المرأة في برامج ومشاريع التنمية الريفية التي ينفذها </w:t>
      </w:r>
      <w:r>
        <w:t>INCODER</w:t>
      </w:r>
      <w:r>
        <w:rPr>
          <w:rFonts w:hint="cs"/>
          <w:rtl/>
          <w:lang w:bidi="ar-EG"/>
        </w:rPr>
        <w:t>؛ وإشراك المرأة الريفية في إنشاء المؤسسات وفي تنويع الأنشطة الزراعية؛ وإعطاء دفعة قوية للتمكين الاقتصادي للمرأة الكولومبية الريفية</w:t>
      </w:r>
      <w:r w:rsidR="003D7EB4">
        <w:rPr>
          <w:rFonts w:hint="cs"/>
          <w:rtl/>
          <w:lang w:bidi="ar-EG"/>
        </w:rPr>
        <w:t>،</w:t>
      </w:r>
      <w:r>
        <w:rPr>
          <w:rFonts w:hint="cs"/>
          <w:rtl/>
          <w:lang w:bidi="ar-EG"/>
        </w:rPr>
        <w:t xml:space="preserve"> وسوف تقوم الهيئة الاستشارية لرئيس الجمهورية فيما يتعلق بالمساواة بين الرجل والمرأة بتنفيذ الخطة الوطنية لتدريب المرأة الريفية على تنظيم مشاريع بالتنسيق مع نفس هذه الوزارة</w:t>
      </w:r>
      <w:r>
        <w:rPr>
          <w:rFonts w:hint="cs"/>
          <w:vertAlign w:val="superscript"/>
          <w:rtl/>
          <w:lang w:bidi="ar-EG"/>
        </w:rPr>
        <w:t>(152)</w:t>
      </w:r>
      <w:r w:rsidR="003D7EB4">
        <w:rPr>
          <w:rFonts w:hint="cs"/>
          <w:rtl/>
          <w:lang w:bidi="ar-EG"/>
        </w:rPr>
        <w:t>،</w:t>
      </w:r>
    </w:p>
    <w:p w:rsidR="00971AE2" w:rsidRDefault="00971AE2" w:rsidP="00A343DF">
      <w:pPr>
        <w:pStyle w:val="SingleTxt"/>
        <w:rPr>
          <w:rFonts w:hint="cs"/>
          <w:rtl/>
          <w:lang w:bidi="ar-EG"/>
        </w:rPr>
      </w:pPr>
      <w:r>
        <w:rPr>
          <w:rFonts w:hint="cs"/>
          <w:rtl/>
          <w:lang w:bidi="ar-EG"/>
        </w:rPr>
        <w:tab/>
        <w:t>تشارك الهيئة الاستشارية لرئيس الجمهورية فيما يتعلق بالمساواة بين الرجل والمرأة والممثلة للمنظمات النسائية بنشاط في اجتماعات لجنة إدارة صندوق تعزيز المرأة الريفية الذي يتمثل هدفه في دعم خطط وبرامج ومشاريع الأنشطة الريفية التي ++++ إدماج وتعزيز المرأة الريفية ومنظماتها في إدارة السياسة الاقتصادية والاجتماعية للبلد</w:t>
      </w:r>
      <w:r w:rsidR="003D7EB4">
        <w:rPr>
          <w:rFonts w:hint="cs"/>
          <w:rtl/>
          <w:lang w:bidi="ar-EG"/>
        </w:rPr>
        <w:t>،</w:t>
      </w:r>
    </w:p>
    <w:p w:rsidR="00971AE2" w:rsidRDefault="00971AE2" w:rsidP="00A343DF">
      <w:pPr>
        <w:pStyle w:val="SingleTxt"/>
        <w:rPr>
          <w:rFonts w:hint="cs"/>
          <w:rtl/>
          <w:lang w:bidi="ar-EG"/>
        </w:rPr>
      </w:pPr>
      <w:r>
        <w:rPr>
          <w:rFonts w:hint="cs"/>
          <w:rtl/>
          <w:lang w:bidi="ar-EG"/>
        </w:rPr>
        <w:tab/>
        <w:t>وبتنسيق من الإدارة العامة المعنية بالمخاطر المالية التابعة لوزارة الرعاية الاجتماعية وبموارد صندوق المخاطر المهنية أُنشأ برنامج الصحة المهنية بمشاركة من النساء العاملات في القطاع غير الرسمي في المنطقة الريفية (بما في ذلك النساء السكان الأصليين والأفريقيات الكولومبيات والريفيين) في قطاع الزراعة وتربية الماشية في مقاطعات تشوكووارينيووزهوبس</w:t>
      </w:r>
      <w:r w:rsidR="003D7EB4">
        <w:rPr>
          <w:rFonts w:hint="cs"/>
          <w:rtl/>
          <w:lang w:bidi="ar-EG"/>
        </w:rPr>
        <w:t>،</w:t>
      </w:r>
    </w:p>
    <w:p w:rsidR="00971AE2" w:rsidRDefault="00971AE2" w:rsidP="00A343DF">
      <w:pPr>
        <w:pStyle w:val="SingleTxt"/>
        <w:rPr>
          <w:rFonts w:hint="cs"/>
          <w:rtl/>
          <w:lang w:bidi="ar-EG"/>
        </w:rPr>
      </w:pPr>
      <w:r>
        <w:rPr>
          <w:rFonts w:hint="cs"/>
          <w:rtl/>
          <w:lang w:bidi="ar-EG"/>
        </w:rPr>
        <w:t>الإحصاءات</w:t>
      </w:r>
    </w:p>
    <w:p w:rsidR="00971AE2" w:rsidRDefault="00971AE2" w:rsidP="00A343DF">
      <w:pPr>
        <w:pStyle w:val="SingleTxt"/>
        <w:rPr>
          <w:rFonts w:hint="eastAsia"/>
          <w:rtl/>
          <w:lang w:bidi="ar-EG"/>
        </w:rPr>
      </w:pPr>
      <w:r>
        <w:rPr>
          <w:rFonts w:hint="cs"/>
          <w:rtl/>
          <w:lang w:bidi="ar-EG"/>
        </w:rPr>
        <w:tab/>
        <w:t>في سنة 2000 كان يوجد في كولومبيا 12</w:t>
      </w:r>
      <w:r w:rsidR="00AA7A05">
        <w:rPr>
          <w:rFonts w:hint="cs"/>
          <w:rtl/>
          <w:lang w:bidi="ar-EG"/>
        </w:rPr>
        <w:t>.</w:t>
      </w:r>
      <w:r>
        <w:rPr>
          <w:rFonts w:hint="cs"/>
          <w:rtl/>
          <w:lang w:bidi="ar-EG"/>
        </w:rPr>
        <w:t>1 مليون نسمة في المناطق الريفية، أي أن السكان الحضريون كانوا يمثلون 72 في المائة من مجموع عدد السكان</w:t>
      </w:r>
      <w:r w:rsidR="003D7EB4">
        <w:rPr>
          <w:rFonts w:hint="cs"/>
          <w:rtl/>
          <w:lang w:bidi="ar-EG"/>
        </w:rPr>
        <w:t>،</w:t>
      </w:r>
      <w:r>
        <w:rPr>
          <w:rFonts w:hint="cs"/>
          <w:rtl/>
          <w:lang w:bidi="ar-EG"/>
        </w:rPr>
        <w:t xml:space="preserve"> ويتألف السكان الريفيون من 52</w:t>
      </w:r>
      <w:r w:rsidR="00AA7A05">
        <w:rPr>
          <w:rFonts w:hint="cs"/>
          <w:rtl/>
          <w:lang w:bidi="ar-EG"/>
        </w:rPr>
        <w:t>.</w:t>
      </w:r>
      <w:r>
        <w:rPr>
          <w:rFonts w:hint="cs"/>
          <w:rtl/>
          <w:lang w:bidi="ar-EG"/>
        </w:rPr>
        <w:t>4 في المائة ذكور (000 534 6) ونحو47</w:t>
      </w:r>
      <w:r w:rsidR="00AA7A05">
        <w:rPr>
          <w:rFonts w:hint="cs"/>
          <w:rtl/>
          <w:lang w:bidi="ar-EG"/>
        </w:rPr>
        <w:t>.</w:t>
      </w:r>
      <w:r>
        <w:rPr>
          <w:rFonts w:hint="cs"/>
          <w:rtl/>
          <w:lang w:bidi="ar-EG"/>
        </w:rPr>
        <w:t>6 في المائة إناث (600 759 5)</w:t>
      </w:r>
      <w:r>
        <w:rPr>
          <w:rFonts w:hint="cs"/>
          <w:vertAlign w:val="superscript"/>
          <w:rtl/>
          <w:lang w:bidi="ar-EG"/>
        </w:rPr>
        <w:t>(153)</w:t>
      </w:r>
      <w:r w:rsidR="003D7EB4">
        <w:rPr>
          <w:rFonts w:hint="cs"/>
          <w:rtl/>
          <w:lang w:bidi="ar-EG"/>
        </w:rPr>
        <w:t>،</w:t>
      </w:r>
      <w:r>
        <w:rPr>
          <w:rFonts w:hint="cs"/>
          <w:rtl/>
          <w:lang w:bidi="ar-EG"/>
        </w:rPr>
        <w:t xml:space="preserve"> ومع ذلك فإنه كما ذكر مرصد التنمية الريفية التابع لـ </w:t>
      </w:r>
      <w:r>
        <w:t>IICA</w:t>
      </w:r>
      <w:r>
        <w:rPr>
          <w:rFonts w:hint="cs"/>
          <w:rtl/>
          <w:lang w:bidi="ar-EG"/>
        </w:rPr>
        <w:t xml:space="preserve"> فإن معدل الذكورة قد انخفض فيما يتعلق بالبيانات الواردة في الدراسة الاستقصائية الوطنية للصحة) لسنة 1995، فانخفض من 113 رجلا لكل 100 امرأة إلى 110 رجلا لكل 100 امرأة في الدراسة الاستقصائية الوطنية للصحة لسنة 2000</w:t>
      </w:r>
      <w:r w:rsidR="003D7EB4">
        <w:rPr>
          <w:rFonts w:hint="cs"/>
          <w:rtl/>
          <w:lang w:bidi="ar-EG"/>
        </w:rPr>
        <w:t>،</w:t>
      </w:r>
      <w:r>
        <w:rPr>
          <w:rFonts w:hint="cs"/>
          <w:rtl/>
          <w:lang w:bidi="ar-EG"/>
        </w:rPr>
        <w:t xml:space="preserve"> وقد يعكس هذا الرقم الأخير النزوح إلى المنطقة الحضرية، لا سيما نزوح العازبات أورئيسات الأسر</w:t>
      </w:r>
      <w:r>
        <w:rPr>
          <w:rFonts w:hint="eastAsia"/>
          <w:rtl/>
          <w:lang w:bidi="ar-EG"/>
        </w:rPr>
        <w:t>“</w:t>
      </w:r>
      <w:r w:rsidR="003D7EB4">
        <w:rPr>
          <w:rFonts w:hint="eastAsia"/>
          <w:rtl/>
          <w:lang w:bidi="ar-EG"/>
        </w:rPr>
        <w:t>،</w:t>
      </w:r>
    </w:p>
    <w:p w:rsidR="00971AE2" w:rsidRDefault="00971AE2" w:rsidP="00A343DF">
      <w:pPr>
        <w:pStyle w:val="SingleTxt"/>
        <w:rPr>
          <w:rFonts w:hint="cs"/>
          <w:rtl/>
          <w:lang w:bidi="ar-EG"/>
        </w:rPr>
      </w:pPr>
      <w:r>
        <w:rPr>
          <w:rFonts w:hint="cs"/>
          <w:rtl/>
          <w:lang w:bidi="ar-EG"/>
        </w:rPr>
        <w:tab/>
        <w:t>وقد ازدادت نسبة الأسر التي ترأسها نساء: في سنة 1995 كانت هذه الأسر تمثل 24 في المائة وفي سنة 2000 ارتفعت هذه النسبة إلى 28 في المائة؛ وفي المنطقة الحضرية كانت رئيسات الأسر يمثلن 31 في المائة</w:t>
      </w:r>
      <w:r w:rsidR="003D7EB4">
        <w:rPr>
          <w:rFonts w:hint="cs"/>
          <w:rtl/>
          <w:lang w:bidi="ar-EG"/>
        </w:rPr>
        <w:t>،</w:t>
      </w:r>
      <w:r>
        <w:rPr>
          <w:rFonts w:hint="cs"/>
          <w:rtl/>
          <w:lang w:bidi="ar-EG"/>
        </w:rPr>
        <w:t xml:space="preserve"> وبغض النظر عن أن يرأس الأسرة فإن جميع الأسر الحضرية والريفية تميل إلى أن يكون لها عدد أقل من الأولاد؛ والواقع أنه على المستوى الوطني انخفض حجم الأسرة من 4</w:t>
      </w:r>
      <w:r w:rsidR="00AA7A05">
        <w:rPr>
          <w:rFonts w:hint="cs"/>
          <w:rtl/>
          <w:lang w:bidi="ar-EG"/>
        </w:rPr>
        <w:t>.</w:t>
      </w:r>
      <w:r>
        <w:rPr>
          <w:rFonts w:hint="cs"/>
          <w:rtl/>
          <w:lang w:bidi="ar-EG"/>
        </w:rPr>
        <w:t>4 شخص إلى 4</w:t>
      </w:r>
      <w:r w:rsidR="00AA7A05">
        <w:rPr>
          <w:rFonts w:hint="cs"/>
          <w:rtl/>
          <w:lang w:bidi="ar-EG"/>
        </w:rPr>
        <w:t>.</w:t>
      </w:r>
      <w:r>
        <w:rPr>
          <w:rFonts w:hint="cs"/>
          <w:rtl/>
          <w:lang w:bidi="ar-EG"/>
        </w:rPr>
        <w:t>2 في المتوسط وانخفض في المناطق الريفية من 4</w:t>
      </w:r>
      <w:r w:rsidR="00AA7A05">
        <w:rPr>
          <w:rFonts w:hint="cs"/>
          <w:rtl/>
          <w:lang w:bidi="ar-EG"/>
        </w:rPr>
        <w:t>.</w:t>
      </w:r>
      <w:r>
        <w:rPr>
          <w:rFonts w:hint="cs"/>
          <w:rtl/>
          <w:lang w:bidi="ar-EG"/>
        </w:rPr>
        <w:t>7 إلى 4</w:t>
      </w:r>
      <w:r w:rsidR="00AA7A05">
        <w:rPr>
          <w:rFonts w:hint="cs"/>
          <w:rtl/>
          <w:lang w:bidi="ar-EG"/>
        </w:rPr>
        <w:t>.</w:t>
      </w:r>
      <w:r>
        <w:rPr>
          <w:rFonts w:hint="cs"/>
          <w:rtl/>
          <w:lang w:bidi="ar-EG"/>
        </w:rPr>
        <w:t>4 شخص</w:t>
      </w:r>
      <w:r>
        <w:rPr>
          <w:rFonts w:hint="cs"/>
          <w:vertAlign w:val="superscript"/>
          <w:rtl/>
          <w:lang w:bidi="ar-EG"/>
        </w:rPr>
        <w:t>(154)</w:t>
      </w:r>
      <w:r w:rsidR="003D7EB4">
        <w:rPr>
          <w:rFonts w:hint="cs"/>
          <w:rtl/>
          <w:lang w:bidi="ar-EG"/>
        </w:rPr>
        <w:t>،</w:t>
      </w:r>
    </w:p>
    <w:p w:rsidR="00971AE2" w:rsidRDefault="00971AE2" w:rsidP="00A343DF">
      <w:pPr>
        <w:pStyle w:val="SingleTxt"/>
        <w:rPr>
          <w:rFonts w:hint="cs"/>
          <w:rtl/>
          <w:lang w:bidi="ar-EG"/>
        </w:rPr>
      </w:pPr>
      <w:r>
        <w:rPr>
          <w:rFonts w:hint="cs"/>
          <w:rtl/>
          <w:lang w:bidi="ar-EG"/>
        </w:rPr>
        <w:tab/>
        <w:t>و26 في المائة من النساء الريفيات اللائي في سن الإنجاب عازبات و33</w:t>
      </w:r>
      <w:r w:rsidR="00AA7A05">
        <w:rPr>
          <w:rFonts w:hint="cs"/>
          <w:rtl/>
          <w:lang w:bidi="ar-EG"/>
        </w:rPr>
        <w:t>.</w:t>
      </w:r>
      <w:r>
        <w:rPr>
          <w:rFonts w:hint="cs"/>
          <w:rtl/>
          <w:lang w:bidi="ar-EG"/>
        </w:rPr>
        <w:t>2 في المائة منهن معاشرات و30</w:t>
      </w:r>
      <w:r w:rsidR="00AA7A05">
        <w:rPr>
          <w:rFonts w:hint="cs"/>
          <w:rtl/>
          <w:lang w:bidi="ar-EG"/>
        </w:rPr>
        <w:t>.</w:t>
      </w:r>
      <w:r>
        <w:rPr>
          <w:rFonts w:hint="cs"/>
          <w:rtl/>
          <w:lang w:bidi="ar-EG"/>
        </w:rPr>
        <w:t>5 في المائة متزوجات و7</w:t>
      </w:r>
      <w:r w:rsidR="00AA7A05">
        <w:rPr>
          <w:rFonts w:hint="cs"/>
          <w:rtl/>
          <w:lang w:bidi="ar-EG"/>
        </w:rPr>
        <w:t>.</w:t>
      </w:r>
      <w:r>
        <w:rPr>
          <w:rFonts w:hint="cs"/>
          <w:rtl/>
          <w:lang w:bidi="ar-EG"/>
        </w:rPr>
        <w:t>4 في المائة منفصلات و2</w:t>
      </w:r>
      <w:r w:rsidR="00AA7A05">
        <w:rPr>
          <w:rFonts w:hint="cs"/>
          <w:rtl/>
          <w:lang w:bidi="ar-EG"/>
        </w:rPr>
        <w:t>.</w:t>
      </w:r>
      <w:r>
        <w:rPr>
          <w:rFonts w:hint="cs"/>
          <w:rtl/>
          <w:lang w:bidi="ar-EG"/>
        </w:rPr>
        <w:t>1 في المائة أرامل</w:t>
      </w:r>
      <w:r>
        <w:rPr>
          <w:rFonts w:hint="cs"/>
          <w:vertAlign w:val="superscript"/>
          <w:rtl/>
          <w:lang w:bidi="ar-EG"/>
        </w:rPr>
        <w:t>(155)</w:t>
      </w:r>
      <w:r w:rsidR="003D7EB4">
        <w:rPr>
          <w:rFonts w:hint="cs"/>
          <w:rtl/>
          <w:lang w:bidi="ar-EG"/>
        </w:rPr>
        <w:t>،</w:t>
      </w:r>
    </w:p>
    <w:p w:rsidR="00971AE2" w:rsidRDefault="00971AE2" w:rsidP="00A343DF">
      <w:pPr>
        <w:pStyle w:val="SingleTxt"/>
        <w:rPr>
          <w:rFonts w:hint="cs"/>
          <w:rtl/>
          <w:lang w:bidi="ar-EG"/>
        </w:rPr>
      </w:pPr>
      <w:r>
        <w:rPr>
          <w:rFonts w:hint="cs"/>
          <w:rtl/>
          <w:lang w:bidi="ar-EG"/>
        </w:rPr>
        <w:tab/>
        <w:t>يقدر المعدل الإجمالي للخصوبة بـ 2</w:t>
      </w:r>
      <w:r w:rsidR="00E46A7A">
        <w:rPr>
          <w:rFonts w:hint="cs"/>
          <w:rtl/>
          <w:lang w:bidi="ar-EG"/>
        </w:rPr>
        <w:t>.</w:t>
      </w:r>
      <w:r>
        <w:rPr>
          <w:rFonts w:hint="cs"/>
          <w:rtl/>
          <w:lang w:bidi="ar-EG"/>
        </w:rPr>
        <w:t>6 ولد لكل امرأة؛ ويبلغ في المنطقة الريفية 3</w:t>
      </w:r>
      <w:r w:rsidR="00E46A7A">
        <w:rPr>
          <w:rFonts w:hint="cs"/>
          <w:rtl/>
          <w:lang w:bidi="ar-EG"/>
        </w:rPr>
        <w:t>.</w:t>
      </w:r>
      <w:r>
        <w:rPr>
          <w:rFonts w:hint="cs"/>
          <w:rtl/>
          <w:lang w:bidi="ar-EG"/>
        </w:rPr>
        <w:t>8 وفي المنطقة الحضرية 2</w:t>
      </w:r>
      <w:r w:rsidR="00E46A7A">
        <w:rPr>
          <w:rFonts w:hint="cs"/>
          <w:rtl/>
          <w:lang w:bidi="ar-EG"/>
        </w:rPr>
        <w:t>.</w:t>
      </w:r>
      <w:r>
        <w:rPr>
          <w:rFonts w:hint="cs"/>
          <w:rtl/>
          <w:lang w:bidi="ar-EG"/>
        </w:rPr>
        <w:t>3 ويقدر المعدل العام للخصوبة بـ 91 ولادة لكل 000 1 في سن الإنجاب؛ وللخصوبة ذروة مبكرة في مجموعة النساء اللائي تتراوح أعمارهن بين 20 و24 سنة</w:t>
      </w:r>
      <w:r>
        <w:rPr>
          <w:rFonts w:hint="cs"/>
          <w:vertAlign w:val="superscript"/>
          <w:rtl/>
          <w:lang w:bidi="ar-EG"/>
        </w:rPr>
        <w:t>(156)</w:t>
      </w:r>
      <w:r w:rsidR="003D7EB4">
        <w:rPr>
          <w:rFonts w:hint="cs"/>
          <w:rtl/>
          <w:lang w:bidi="ar-EG"/>
        </w:rPr>
        <w:t>،</w:t>
      </w:r>
    </w:p>
    <w:p w:rsidR="00971AE2" w:rsidRDefault="00971AE2" w:rsidP="00A343DF">
      <w:pPr>
        <w:pStyle w:val="SingleTxt"/>
        <w:rPr>
          <w:rFonts w:hint="eastAsia"/>
          <w:rtl/>
          <w:lang w:bidi="ar-EG"/>
        </w:rPr>
      </w:pPr>
      <w:r>
        <w:rPr>
          <w:rFonts w:hint="cs"/>
          <w:rtl/>
          <w:lang w:bidi="ar-EG"/>
        </w:rPr>
        <w:tab/>
        <w:t>ولوحظ أكبر انخفاض لمعدلات الخصوبة بين النساء الريفيات لدى الئي تتراوح أعمارهن بين 25 و39 سنة</w:t>
      </w:r>
      <w:r w:rsidR="003D7EB4">
        <w:rPr>
          <w:rFonts w:hint="cs"/>
          <w:rtl/>
          <w:lang w:bidi="ar-EG"/>
        </w:rPr>
        <w:t>،</w:t>
      </w:r>
      <w:r>
        <w:rPr>
          <w:rFonts w:hint="cs"/>
          <w:rtl/>
          <w:lang w:bidi="ar-EG"/>
        </w:rPr>
        <w:t xml:space="preserve"> ومع ذلك فقد ازدادت خصوبة المراهقات في جميع المناطق منذ عام 1978</w:t>
      </w:r>
      <w:r>
        <w:rPr>
          <w:rFonts w:hint="cs"/>
          <w:vertAlign w:val="superscript"/>
          <w:rtl/>
          <w:lang w:bidi="ar-EG"/>
        </w:rPr>
        <w:t>(157)</w:t>
      </w:r>
      <w:r w:rsidR="003D7EB4">
        <w:rPr>
          <w:rFonts w:hint="cs"/>
          <w:rtl/>
          <w:lang w:bidi="ar-EG"/>
        </w:rPr>
        <w:t>،</w:t>
      </w:r>
      <w:r>
        <w:rPr>
          <w:rFonts w:hint="cs"/>
          <w:rtl/>
          <w:lang w:bidi="ar-EG"/>
        </w:rPr>
        <w:t xml:space="preserve"> وفي المنطقة الريفية يبلغ متوسط عمر النساء في الولادة الأولى 20</w:t>
      </w:r>
      <w:r w:rsidR="00E46A7A">
        <w:rPr>
          <w:rFonts w:hint="cs"/>
          <w:rtl/>
          <w:lang w:bidi="ar-EG"/>
        </w:rPr>
        <w:t>.</w:t>
      </w:r>
      <w:r>
        <w:rPr>
          <w:rFonts w:hint="cs"/>
          <w:rtl/>
          <w:lang w:bidi="ar-EG"/>
        </w:rPr>
        <w:t>7 سنة</w:t>
      </w:r>
      <w:r w:rsidR="003D7EB4">
        <w:rPr>
          <w:rFonts w:hint="cs"/>
          <w:rtl/>
          <w:lang w:bidi="ar-EG"/>
        </w:rPr>
        <w:t>،</w:t>
      </w:r>
      <w:r>
        <w:rPr>
          <w:rFonts w:hint="cs"/>
          <w:rtl/>
          <w:lang w:bidi="ar-EG"/>
        </w:rPr>
        <w:t xml:space="preserve"> وواحدة من كل خمس مراهقات أم، و5</w:t>
      </w:r>
      <w:r w:rsidR="00E46A7A">
        <w:rPr>
          <w:rFonts w:hint="cs"/>
          <w:rtl/>
          <w:lang w:bidi="ar-EG"/>
        </w:rPr>
        <w:t>.</w:t>
      </w:r>
      <w:r>
        <w:rPr>
          <w:rFonts w:hint="cs"/>
          <w:rtl/>
          <w:lang w:bidi="ar-EG"/>
        </w:rPr>
        <w:t>4 حوامل و/أوتعرضن للإجهاض، أي أن 26</w:t>
      </w:r>
      <w:r w:rsidR="00E46A7A">
        <w:rPr>
          <w:rFonts w:hint="cs"/>
          <w:rtl/>
          <w:lang w:bidi="ar-EG"/>
        </w:rPr>
        <w:t>.</w:t>
      </w:r>
      <w:r>
        <w:rPr>
          <w:rFonts w:hint="cs"/>
          <w:rtl/>
          <w:lang w:bidi="ar-EG"/>
        </w:rPr>
        <w:t>2 في المائة حوامل و/أوتعرضن للإجهاض في حين أن الرقم بالنسبة للبلد هو19 في المائة</w:t>
      </w:r>
      <w:r>
        <w:rPr>
          <w:rFonts w:hint="cs"/>
          <w:vertAlign w:val="superscript"/>
          <w:rtl/>
          <w:lang w:bidi="ar-EG"/>
        </w:rPr>
        <w:t>(158)</w:t>
      </w:r>
      <w:r w:rsidR="003D7EB4">
        <w:rPr>
          <w:rFonts w:hint="cs"/>
          <w:rtl/>
          <w:lang w:bidi="ar-EG"/>
        </w:rPr>
        <w:t>،</w:t>
      </w:r>
      <w:r>
        <w:rPr>
          <w:rFonts w:hint="cs"/>
          <w:rtl/>
          <w:lang w:bidi="ar-EG"/>
        </w:rPr>
        <w:t xml:space="preserve"> </w:t>
      </w:r>
      <w:r>
        <w:rPr>
          <w:rFonts w:hint="eastAsia"/>
          <w:rtl/>
          <w:lang w:bidi="ar-EG"/>
        </w:rPr>
        <w:t>”ومتوسط سنوات التعليم يبلغ 4</w:t>
      </w:r>
      <w:r w:rsidR="00E46A7A">
        <w:rPr>
          <w:rFonts w:hint="eastAsia"/>
          <w:rtl/>
          <w:lang w:bidi="ar-EG"/>
        </w:rPr>
        <w:t>.</w:t>
      </w:r>
      <w:r>
        <w:rPr>
          <w:rFonts w:hint="eastAsia"/>
          <w:rtl/>
          <w:lang w:bidi="ar-EG"/>
        </w:rPr>
        <w:t xml:space="preserve">1 سنة، ويوجد أدنى متوسط في المنطقة المطلة على المحيط الهادئ </w:t>
      </w:r>
      <w:r>
        <w:rPr>
          <w:rFonts w:hint="cs"/>
          <w:rtl/>
          <w:lang w:bidi="ar-EG"/>
        </w:rPr>
        <w:t>(</w:t>
      </w:r>
      <w:r>
        <w:rPr>
          <w:rFonts w:hint="eastAsia"/>
          <w:rtl/>
          <w:lang w:bidi="ar-EG"/>
        </w:rPr>
        <w:t>3</w:t>
      </w:r>
      <w:r w:rsidR="00E46A7A">
        <w:rPr>
          <w:rFonts w:hint="eastAsia"/>
          <w:rtl/>
          <w:lang w:bidi="ar-EG"/>
        </w:rPr>
        <w:t>.</w:t>
      </w:r>
      <w:r>
        <w:rPr>
          <w:rFonts w:hint="eastAsia"/>
          <w:rtl/>
          <w:lang w:bidi="ar-EG"/>
        </w:rPr>
        <w:t>9)</w:t>
      </w:r>
      <w:r w:rsidR="003D7EB4">
        <w:rPr>
          <w:rFonts w:hint="cs"/>
          <w:rtl/>
          <w:lang w:bidi="ar-EG"/>
        </w:rPr>
        <w:t>،</w:t>
      </w:r>
      <w:r>
        <w:rPr>
          <w:rFonts w:hint="cs"/>
          <w:rtl/>
          <w:lang w:bidi="ar-EG"/>
        </w:rPr>
        <w:t xml:space="preserve"> ويوجد أعلى متوسط لسنوات التعليم في المنطقة الشرقية (4</w:t>
      </w:r>
      <w:r w:rsidR="00E46A7A">
        <w:rPr>
          <w:rFonts w:hint="cs"/>
          <w:rtl/>
          <w:lang w:bidi="ar-EG"/>
        </w:rPr>
        <w:t>.</w:t>
      </w:r>
      <w:r>
        <w:rPr>
          <w:rFonts w:hint="cs"/>
          <w:rtl/>
          <w:lang w:bidi="ar-EG"/>
        </w:rPr>
        <w:t>3)</w:t>
      </w:r>
      <w:r>
        <w:rPr>
          <w:rFonts w:hint="eastAsia"/>
          <w:rtl/>
          <w:lang w:bidi="ar-EG"/>
        </w:rPr>
        <w:t>“</w:t>
      </w:r>
      <w:r>
        <w:rPr>
          <w:rFonts w:hint="eastAsia"/>
          <w:vertAlign w:val="superscript"/>
          <w:rtl/>
          <w:lang w:bidi="ar-EG"/>
        </w:rPr>
        <w:t>(159)</w:t>
      </w:r>
      <w:r w:rsidR="003D7EB4">
        <w:rPr>
          <w:rFonts w:hint="eastAsia"/>
          <w:rtl/>
          <w:lang w:bidi="ar-EG"/>
        </w:rPr>
        <w:t>،</w:t>
      </w:r>
    </w:p>
    <w:p w:rsidR="00971AE2" w:rsidRDefault="00971AE2" w:rsidP="00A343DF">
      <w:pPr>
        <w:pStyle w:val="SingleTxt"/>
        <w:rPr>
          <w:rFonts w:hint="cs"/>
          <w:rtl/>
          <w:lang w:bidi="ar-EG"/>
        </w:rPr>
      </w:pPr>
      <w:r>
        <w:rPr>
          <w:rFonts w:hint="cs"/>
          <w:rtl/>
          <w:lang w:bidi="ar-EG"/>
        </w:rPr>
        <w:tab/>
        <w:t>وعلى الرغم من أن متوسط العمر المتوقع للسكان الريفيين ما زال أدنى من متوسط العمر المتوقع للسكان الحضريين فإن الفرق بينهما قد انخفض</w:t>
      </w:r>
      <w:r w:rsidR="003D7EB4">
        <w:rPr>
          <w:rFonts w:hint="cs"/>
          <w:rtl/>
          <w:lang w:bidi="ar-EG"/>
        </w:rPr>
        <w:t>،</w:t>
      </w:r>
      <w:r>
        <w:rPr>
          <w:rFonts w:hint="cs"/>
          <w:rtl/>
          <w:lang w:bidi="ar-EG"/>
        </w:rPr>
        <w:t xml:space="preserve"> والواقع أنه في حين كان الفرق بينهما في سنة 1965 خمس سنوات فإنه يقدر في السنوات الأخيرة بسنتين فقط</w:t>
      </w:r>
      <w:r w:rsidR="003D7EB4">
        <w:rPr>
          <w:rFonts w:hint="cs"/>
          <w:rtl/>
          <w:lang w:bidi="ar-EG"/>
        </w:rPr>
        <w:t>،</w:t>
      </w:r>
      <w:r>
        <w:rPr>
          <w:rFonts w:hint="cs"/>
          <w:rtl/>
          <w:lang w:bidi="ar-EG"/>
        </w:rPr>
        <w:t xml:space="preserve"> وفي حالة النساء ازداد متوسط العمر المتوقع للنساء في المناطق الحضرية بـ 10</w:t>
      </w:r>
      <w:r w:rsidR="00E46A7A">
        <w:rPr>
          <w:rFonts w:hint="cs"/>
          <w:rtl/>
          <w:lang w:bidi="ar-EG"/>
        </w:rPr>
        <w:t>.</w:t>
      </w:r>
      <w:r>
        <w:rPr>
          <w:rFonts w:hint="cs"/>
          <w:rtl/>
          <w:lang w:bidi="ar-EG"/>
        </w:rPr>
        <w:t>6 سنة، في حين ارتفع بالنسبة إلى النساء في المناطق الريفية بـ 13</w:t>
      </w:r>
      <w:r w:rsidR="00E46A7A">
        <w:rPr>
          <w:rFonts w:hint="cs"/>
          <w:rtl/>
          <w:lang w:bidi="ar-EG"/>
        </w:rPr>
        <w:t>.</w:t>
      </w:r>
      <w:r>
        <w:rPr>
          <w:rFonts w:hint="cs"/>
          <w:rtl/>
          <w:lang w:bidi="ar-EG"/>
        </w:rPr>
        <w:t>6 سنة</w:t>
      </w:r>
      <w:r w:rsidR="003D7EB4">
        <w:rPr>
          <w:rFonts w:hint="cs"/>
          <w:rtl/>
          <w:lang w:bidi="ar-EG"/>
        </w:rPr>
        <w:t>،</w:t>
      </w:r>
    </w:p>
    <w:p w:rsidR="00971AE2" w:rsidRDefault="00971AE2" w:rsidP="00A343DF">
      <w:pPr>
        <w:pStyle w:val="SingleTxt"/>
        <w:rPr>
          <w:rFonts w:hint="cs"/>
          <w:rtl/>
          <w:lang w:bidi="ar-EG"/>
        </w:rPr>
      </w:pPr>
      <w:r>
        <w:rPr>
          <w:rFonts w:hint="cs"/>
          <w:rtl/>
          <w:lang w:bidi="ar-EG"/>
        </w:rPr>
        <w:tab/>
        <w:t>وسُجلت للنساء الريفيات معدل وفيات أعلى بكثير من معدلات وفيات سائر النساء في البلد كله</w:t>
      </w:r>
      <w:r w:rsidR="003D7EB4">
        <w:rPr>
          <w:rFonts w:hint="cs"/>
          <w:rtl/>
          <w:lang w:bidi="ar-EG"/>
        </w:rPr>
        <w:t>،</w:t>
      </w:r>
      <w:r>
        <w:rPr>
          <w:rFonts w:hint="cs"/>
          <w:rtl/>
          <w:lang w:bidi="ar-EG"/>
        </w:rPr>
        <w:t xml:space="preserve"> ووفقا للدراسة المتعلقة بتكلفة المرض في كولومبيا فإن السبب الأول للوفاة بين النساء هوفقر الدم الموضعي في القلب الذي يبلغ معدل الإصابة به 77</w:t>
      </w:r>
      <w:r w:rsidR="00E46A7A">
        <w:rPr>
          <w:rFonts w:hint="cs"/>
          <w:rtl/>
          <w:lang w:bidi="ar-EG"/>
        </w:rPr>
        <w:t>.</w:t>
      </w:r>
      <w:r>
        <w:rPr>
          <w:rFonts w:hint="cs"/>
          <w:rtl/>
          <w:lang w:bidi="ar-EG"/>
        </w:rPr>
        <w:t>3 لكل 000 10 من الإناث في المناطق الريفية و6</w:t>
      </w:r>
      <w:r w:rsidR="00E46A7A">
        <w:rPr>
          <w:rFonts w:hint="cs"/>
          <w:rtl/>
          <w:lang w:bidi="ar-EG"/>
        </w:rPr>
        <w:t>.</w:t>
      </w:r>
      <w:r>
        <w:rPr>
          <w:rFonts w:hint="cs"/>
          <w:rtl/>
          <w:lang w:bidi="ar-EG"/>
        </w:rPr>
        <w:t>95 لكل 000 10 من الإناث في المنطقة الحضرية</w:t>
      </w:r>
      <w:r w:rsidR="003D7EB4">
        <w:rPr>
          <w:rFonts w:hint="cs"/>
          <w:rtl/>
          <w:lang w:bidi="ar-EG"/>
        </w:rPr>
        <w:t>،</w:t>
      </w:r>
    </w:p>
    <w:p w:rsidR="00971AE2" w:rsidRDefault="00971AE2" w:rsidP="00A343DF">
      <w:pPr>
        <w:pStyle w:val="SingleTxt"/>
        <w:rPr>
          <w:rFonts w:hint="cs"/>
          <w:rtl/>
          <w:lang w:bidi="ar-EG"/>
        </w:rPr>
      </w:pPr>
      <w:r>
        <w:rPr>
          <w:rFonts w:hint="cs"/>
          <w:rtl/>
          <w:lang w:bidi="ar-EG"/>
        </w:rPr>
        <w:tab/>
        <w:t>ويبلغ معدل الوفيات بين النساء في المناطق الريفية بسبب الأمراض التي تصيب الأوعية الدموية الدماغية 63</w:t>
      </w:r>
      <w:r w:rsidR="00E46A7A">
        <w:rPr>
          <w:rFonts w:hint="cs"/>
          <w:rtl/>
          <w:lang w:bidi="ar-EG"/>
        </w:rPr>
        <w:t>.</w:t>
      </w:r>
      <w:r>
        <w:rPr>
          <w:rFonts w:hint="cs"/>
          <w:rtl/>
          <w:lang w:bidi="ar-EG"/>
        </w:rPr>
        <w:t>8 لكل 000 10، في حين يبلغ 3</w:t>
      </w:r>
      <w:r w:rsidR="00E46A7A">
        <w:rPr>
          <w:rFonts w:hint="cs"/>
          <w:rtl/>
          <w:lang w:bidi="ar-EG"/>
        </w:rPr>
        <w:t>.</w:t>
      </w:r>
      <w:r>
        <w:rPr>
          <w:rFonts w:hint="cs"/>
          <w:rtl/>
          <w:lang w:bidi="ar-EG"/>
        </w:rPr>
        <w:t>64 في المائة في المناطق الحضرية</w:t>
      </w:r>
      <w:r w:rsidR="003D7EB4">
        <w:rPr>
          <w:rFonts w:hint="cs"/>
          <w:rtl/>
          <w:lang w:bidi="ar-EG"/>
        </w:rPr>
        <w:t>،</w:t>
      </w:r>
    </w:p>
    <w:p w:rsidR="00971AE2" w:rsidRDefault="00971AE2" w:rsidP="00A343DF">
      <w:pPr>
        <w:pStyle w:val="SingleTxt"/>
        <w:rPr>
          <w:rFonts w:hint="cs"/>
          <w:rtl/>
          <w:lang w:bidi="ar-EG"/>
        </w:rPr>
      </w:pPr>
      <w:r>
        <w:rPr>
          <w:rFonts w:hint="cs"/>
          <w:rtl/>
          <w:lang w:bidi="ar-EG"/>
        </w:rPr>
        <w:tab/>
        <w:t>فيما يتعلق بفقدان الصحة، الذي لا يعني عدم الوفاة فحسب بل أيضا عدم القدرة على تلافي الأمراض، يتضح أن توزيع تكلفة المرض ليس متساويا بين جميع مناطق البلد</w:t>
      </w:r>
      <w:r w:rsidR="003D7EB4">
        <w:rPr>
          <w:rFonts w:hint="cs"/>
          <w:rtl/>
          <w:lang w:bidi="ar-EG"/>
        </w:rPr>
        <w:t>،</w:t>
      </w:r>
    </w:p>
    <w:p w:rsidR="00971AE2" w:rsidRDefault="00971AE2" w:rsidP="00A343DF">
      <w:pPr>
        <w:pStyle w:val="SingleTxt"/>
        <w:rPr>
          <w:rFonts w:hint="cs"/>
          <w:rtl/>
          <w:lang w:bidi="ar-EG"/>
        </w:rPr>
      </w:pPr>
      <w:r>
        <w:rPr>
          <w:rFonts w:hint="cs"/>
          <w:rtl/>
          <w:lang w:bidi="ar-EG"/>
        </w:rPr>
        <w:tab/>
        <w:t>وتطلب المرأة الريفية المشورة الخارجية بأعداد أقل مما تطلبها المرأة الحضرية؛ وهكذا تحصل 23 في المائة من النساء الريفيات اللائي تتراوح أعمارهن بين 15 و24 سنة و30 في المائة من النساء اللائي تتراوح أعمارهم بين 24 و44 سنة على مشورات طبية شهرية</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وفقا للمعلومات التي حصل عليها مرصد التنمية الريفية التابع لـ </w:t>
      </w:r>
      <w:r>
        <w:t>IICA</w:t>
      </w:r>
      <w:r>
        <w:rPr>
          <w:rFonts w:hint="cs"/>
          <w:rtl/>
          <w:lang w:bidi="ar-EG"/>
        </w:rPr>
        <w:t xml:space="preserve"> فإن ثلاث من كل أربع نساء ريفيات قد استعملن وسيلة لمنع الحمل مرة واحدة، و65</w:t>
      </w:r>
      <w:r w:rsidR="00E46A7A">
        <w:rPr>
          <w:rFonts w:hint="cs"/>
          <w:rtl/>
          <w:lang w:bidi="ar-EG"/>
        </w:rPr>
        <w:t>.</w:t>
      </w:r>
      <w:r>
        <w:rPr>
          <w:rFonts w:hint="cs"/>
          <w:rtl/>
          <w:lang w:bidi="ar-EG"/>
        </w:rPr>
        <w:t>7 في المائة قد استعملن وسائل حديثة (41</w:t>
      </w:r>
      <w:r w:rsidR="00E46A7A">
        <w:rPr>
          <w:rFonts w:hint="cs"/>
          <w:rtl/>
          <w:lang w:bidi="ar-EG"/>
        </w:rPr>
        <w:t>.</w:t>
      </w:r>
      <w:r>
        <w:rPr>
          <w:rFonts w:hint="cs"/>
          <w:rtl/>
          <w:lang w:bidi="ar-EG"/>
        </w:rPr>
        <w:t>1 في المائة من الحبوب و21</w:t>
      </w:r>
      <w:r w:rsidR="00E46A7A">
        <w:rPr>
          <w:rFonts w:hint="cs"/>
          <w:rtl/>
          <w:lang w:bidi="ar-EG"/>
        </w:rPr>
        <w:t>.</w:t>
      </w:r>
      <w:r>
        <w:rPr>
          <w:rFonts w:hint="cs"/>
          <w:rtl/>
          <w:lang w:bidi="ar-EG"/>
        </w:rPr>
        <w:t>7 في المائة الريفال و19</w:t>
      </w:r>
      <w:r w:rsidR="00E46A7A">
        <w:rPr>
          <w:rFonts w:hint="cs"/>
          <w:rtl/>
          <w:lang w:bidi="ar-EG"/>
        </w:rPr>
        <w:t>.</w:t>
      </w:r>
      <w:r>
        <w:rPr>
          <w:rFonts w:hint="cs"/>
          <w:rtl/>
          <w:lang w:bidi="ar-EG"/>
        </w:rPr>
        <w:t>8 في المائة التعقيم و18</w:t>
      </w:r>
      <w:r w:rsidR="00E46A7A">
        <w:rPr>
          <w:rFonts w:hint="cs"/>
          <w:rtl/>
          <w:lang w:bidi="ar-EG"/>
        </w:rPr>
        <w:t>.</w:t>
      </w:r>
      <w:r>
        <w:rPr>
          <w:rFonts w:hint="cs"/>
          <w:rtl/>
          <w:lang w:bidi="ar-EG"/>
        </w:rPr>
        <w:t>4 في المائة الوسائل الرحمية) والوسائل التقليدية 40 في المائة (31 في المائة السحب و20 في المائة الامتناع الدوري)</w:t>
      </w:r>
      <w:r w:rsidR="003D7EB4">
        <w:rPr>
          <w:rFonts w:hint="cs"/>
          <w:rtl/>
          <w:lang w:bidi="ar-EG"/>
        </w:rPr>
        <w:t>،</w:t>
      </w:r>
      <w:r>
        <w:rPr>
          <w:rFonts w:hint="cs"/>
          <w:rtl/>
          <w:lang w:bidi="ar-EG"/>
        </w:rPr>
        <w:t xml:space="preserve"> وقد استعملت جميع المعاشرات حاليا تقريبا (93</w:t>
      </w:r>
      <w:r w:rsidR="00E46A7A">
        <w:rPr>
          <w:rFonts w:hint="cs"/>
          <w:rtl/>
          <w:lang w:bidi="ar-EG"/>
        </w:rPr>
        <w:t>.</w:t>
      </w:r>
      <w:r>
        <w:rPr>
          <w:rFonts w:hint="cs"/>
          <w:rtl/>
          <w:lang w:bidi="ar-EG"/>
        </w:rPr>
        <w:t>5 في المائة) وغير المعاشرات لكن الناشطات جنسيا (91</w:t>
      </w:r>
      <w:r w:rsidR="00E46A7A">
        <w:rPr>
          <w:rFonts w:hint="cs"/>
          <w:rtl/>
          <w:lang w:bidi="ar-EG"/>
        </w:rPr>
        <w:t>.</w:t>
      </w:r>
      <w:r>
        <w:rPr>
          <w:rFonts w:hint="cs"/>
          <w:rtl/>
          <w:lang w:bidi="ar-EG"/>
        </w:rPr>
        <w:t>8 في المائة) وسائل منع الحمل مرة واحدة</w:t>
      </w:r>
      <w:r w:rsidR="003D7EB4">
        <w:rPr>
          <w:rFonts w:hint="cs"/>
          <w:rtl/>
          <w:lang w:bidi="ar-EG"/>
        </w:rPr>
        <w:t>،</w:t>
      </w:r>
    </w:p>
    <w:p w:rsidR="00971AE2" w:rsidRDefault="00971AE2" w:rsidP="00A343DF">
      <w:pPr>
        <w:pStyle w:val="SingleTxt"/>
        <w:rPr>
          <w:rFonts w:hint="cs"/>
          <w:rtl/>
          <w:lang w:bidi="ar-EG"/>
        </w:rPr>
      </w:pPr>
      <w:r>
        <w:rPr>
          <w:rFonts w:hint="cs"/>
          <w:rtl/>
          <w:lang w:bidi="ar-EG"/>
        </w:rPr>
        <w:tab/>
        <w:t>وعلى المستوى الوطني فإن 60 في المائة من النساء منتسبات إلى نظام للتأمينات الاجتماعية، و62 في المائة بدون في المنطقة الحضرية و53</w:t>
      </w:r>
      <w:r w:rsidR="007354DF">
        <w:rPr>
          <w:rFonts w:hint="cs"/>
          <w:rtl/>
          <w:lang w:bidi="ar-EG"/>
        </w:rPr>
        <w:t>.</w:t>
      </w:r>
      <w:r>
        <w:rPr>
          <w:rFonts w:hint="cs"/>
          <w:rtl/>
          <w:lang w:bidi="ar-EG"/>
        </w:rPr>
        <w:t>8 في المائة في المنطقة الريفية</w:t>
      </w:r>
      <w:r w:rsidR="003D7EB4">
        <w:rPr>
          <w:rFonts w:hint="cs"/>
          <w:rtl/>
          <w:lang w:bidi="ar-EG"/>
        </w:rPr>
        <w:t>،</w:t>
      </w:r>
      <w:r>
        <w:rPr>
          <w:rFonts w:hint="cs"/>
          <w:rtl/>
          <w:lang w:bidi="ar-EG"/>
        </w:rPr>
        <w:t xml:space="preserve"> ويوجد في المنطقة المطلة على المحيط الأطلسي أقل عدد من المنتسبات ويبدوأنه توجد في بوغوتا أكبر نسبة من المنتسبات (73</w:t>
      </w:r>
      <w:r w:rsidR="007354DF">
        <w:rPr>
          <w:rFonts w:hint="cs"/>
          <w:rtl/>
          <w:lang w:bidi="ar-EG"/>
        </w:rPr>
        <w:t>.</w:t>
      </w:r>
      <w:r>
        <w:rPr>
          <w:rFonts w:hint="cs"/>
          <w:rtl/>
          <w:lang w:bidi="ar-EG"/>
        </w:rPr>
        <w:t>1 في المائة)</w:t>
      </w:r>
      <w:r>
        <w:rPr>
          <w:rFonts w:hint="cs"/>
          <w:vertAlign w:val="superscript"/>
          <w:rtl/>
          <w:lang w:bidi="ar-EG"/>
        </w:rPr>
        <w:t>(160)</w:t>
      </w:r>
      <w:r w:rsidR="003D7EB4">
        <w:rPr>
          <w:rFonts w:hint="cs"/>
          <w:rtl/>
          <w:lang w:bidi="ar-EG"/>
        </w:rPr>
        <w:t>،</w:t>
      </w:r>
    </w:p>
    <w:p w:rsidR="00971AE2" w:rsidRDefault="00971AE2" w:rsidP="00A343DF">
      <w:pPr>
        <w:pStyle w:val="SingleTxt"/>
        <w:rPr>
          <w:rFonts w:hint="cs"/>
          <w:rtl/>
          <w:lang w:bidi="ar-EG"/>
        </w:rPr>
      </w:pPr>
      <w:r>
        <w:rPr>
          <w:rFonts w:hint="cs"/>
          <w:rtl/>
          <w:lang w:bidi="ar-EG"/>
        </w:rPr>
        <w:tab/>
        <w:t>والمواظبة المدرسية للفتيات الريفيات أكبر من المواظبة المدرسية للرجال الريفيين</w:t>
      </w:r>
      <w:r w:rsidR="003D7EB4">
        <w:rPr>
          <w:rFonts w:hint="cs"/>
          <w:rtl/>
          <w:lang w:bidi="ar-EG"/>
        </w:rPr>
        <w:t>،</w:t>
      </w:r>
      <w:r>
        <w:rPr>
          <w:rFonts w:hint="cs"/>
          <w:rtl/>
          <w:lang w:bidi="ar-EG"/>
        </w:rPr>
        <w:t xml:space="preserve"> و17</w:t>
      </w:r>
      <w:r w:rsidR="007354DF">
        <w:rPr>
          <w:rFonts w:hint="cs"/>
          <w:rtl/>
          <w:lang w:bidi="ar-EG"/>
        </w:rPr>
        <w:t>.</w:t>
      </w:r>
      <w:r>
        <w:rPr>
          <w:rFonts w:hint="cs"/>
          <w:rtl/>
          <w:lang w:bidi="ar-EG"/>
        </w:rPr>
        <w:t>2 في المائة من النساء و18</w:t>
      </w:r>
      <w:r w:rsidR="007354DF">
        <w:rPr>
          <w:rFonts w:hint="cs"/>
          <w:rtl/>
          <w:lang w:bidi="ar-EG"/>
        </w:rPr>
        <w:t>.</w:t>
      </w:r>
      <w:r>
        <w:rPr>
          <w:rFonts w:hint="cs"/>
          <w:rtl/>
          <w:lang w:bidi="ar-EG"/>
        </w:rPr>
        <w:t>7 في المائة من الرجال في المنطقة الريفية غير حاصلين على أي تعليم</w:t>
      </w:r>
      <w:r w:rsidR="003D7EB4">
        <w:rPr>
          <w:rFonts w:hint="cs"/>
          <w:rtl/>
          <w:lang w:bidi="ar-EG"/>
        </w:rPr>
        <w:t>،</w:t>
      </w:r>
      <w:r>
        <w:rPr>
          <w:rFonts w:hint="cs"/>
          <w:rtl/>
          <w:lang w:bidi="ar-EG"/>
        </w:rPr>
        <w:t xml:space="preserve"> وكلما ارتفع المستوى الدراسي كانت نسبة الإناث في المنطقة الريفية أعلى من نسبة الذكور: ففي التعليم الابتدائي تبلغ نسبة الإناث 66 في المائة ونسبة الذكور 64 في المائة، وفي التعليم الثانوي تبلغ نسبة الإناث 15</w:t>
      </w:r>
      <w:r w:rsidR="007354DF">
        <w:rPr>
          <w:rFonts w:hint="cs"/>
          <w:rtl/>
          <w:lang w:bidi="ar-EG"/>
        </w:rPr>
        <w:t>.</w:t>
      </w:r>
      <w:r>
        <w:rPr>
          <w:rFonts w:hint="cs"/>
          <w:rtl/>
          <w:lang w:bidi="ar-EG"/>
        </w:rPr>
        <w:t>1 في المائة ونسبة الذكور 12</w:t>
      </w:r>
      <w:r w:rsidR="007354DF">
        <w:rPr>
          <w:rFonts w:hint="cs"/>
          <w:rtl/>
          <w:lang w:bidi="ar-EG"/>
        </w:rPr>
        <w:t>.</w:t>
      </w:r>
      <w:r>
        <w:rPr>
          <w:rFonts w:hint="cs"/>
          <w:rtl/>
          <w:lang w:bidi="ar-EG"/>
        </w:rPr>
        <w:t>9 في المائة، وفي الدراسات العليا تبلغ نسبة النساء 2 في المائة ونسبة الرجال 1 في المائة</w:t>
      </w:r>
      <w:r>
        <w:rPr>
          <w:rFonts w:hint="cs"/>
          <w:vertAlign w:val="superscript"/>
          <w:rtl/>
          <w:lang w:bidi="ar-EG"/>
        </w:rPr>
        <w:t>(161)</w:t>
      </w:r>
      <w:r w:rsidR="003D7EB4">
        <w:rPr>
          <w:rFonts w:hint="cs"/>
          <w:rtl/>
          <w:lang w:bidi="ar-EG"/>
        </w:rPr>
        <w:t>،</w:t>
      </w:r>
      <w:r>
        <w:rPr>
          <w:rFonts w:hint="cs"/>
          <w:rtl/>
          <w:lang w:bidi="ar-EG"/>
        </w:rPr>
        <w:t xml:space="preserve"> وعلى الرغم من أن حضور الإناث في المنطقة الريفية وبقائهن في النظام التعليمي أكبر اليوم فإن المتوسط المدرسي ما زال 4</w:t>
      </w:r>
      <w:r w:rsidR="007354DF">
        <w:rPr>
          <w:rFonts w:hint="cs"/>
          <w:rtl/>
          <w:lang w:bidi="ar-EG"/>
        </w:rPr>
        <w:t>.</w:t>
      </w:r>
      <w:r>
        <w:rPr>
          <w:rFonts w:hint="cs"/>
          <w:rtl/>
          <w:lang w:bidi="ar-EG"/>
        </w:rPr>
        <w:t>3 مقارنة بالمتوسط المدرسي لقريناتهن في المناطق الحضرية الذي يبلغ 8</w:t>
      </w:r>
      <w:r>
        <w:rPr>
          <w:rFonts w:hint="cs"/>
          <w:vertAlign w:val="superscript"/>
          <w:rtl/>
          <w:lang w:bidi="ar-EG"/>
        </w:rPr>
        <w:t>(162)</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ويشير مرصد التنمية الريفية التابع لـ </w:t>
      </w:r>
      <w:r>
        <w:t>IICA</w:t>
      </w:r>
      <w:r>
        <w:rPr>
          <w:rFonts w:hint="cs"/>
          <w:rtl/>
          <w:lang w:bidi="ar-EG"/>
        </w:rPr>
        <w:t xml:space="preserve"> إلى أن المنطقة الريفية أكثر تأخرا بكثير في مجال التعليم من المنطقة الحضرية</w:t>
      </w:r>
      <w:r w:rsidR="003D7EB4">
        <w:rPr>
          <w:rFonts w:hint="cs"/>
          <w:rtl/>
          <w:lang w:bidi="ar-EG"/>
        </w:rPr>
        <w:t>،</w:t>
      </w:r>
      <w:r>
        <w:rPr>
          <w:rFonts w:hint="cs"/>
          <w:rtl/>
          <w:lang w:bidi="ar-EG"/>
        </w:rPr>
        <w:t xml:space="preserve"> والواقع هوأنه توجد الآن بالمنطقة الريفية 7</w:t>
      </w:r>
      <w:r w:rsidR="007354DF">
        <w:rPr>
          <w:rFonts w:hint="cs"/>
          <w:rtl/>
          <w:lang w:bidi="ar-EG"/>
        </w:rPr>
        <w:t>.</w:t>
      </w:r>
      <w:r>
        <w:rPr>
          <w:rFonts w:hint="cs"/>
          <w:rtl/>
          <w:lang w:bidi="ar-EG"/>
        </w:rPr>
        <w:t>8 في المائة من النساء الأميات، وأن 39 في المائة من النساء اللائي في سن الإنجاب لم يكملن المرحلة الابتدائية و21</w:t>
      </w:r>
      <w:r w:rsidR="007354DF">
        <w:rPr>
          <w:rFonts w:hint="cs"/>
          <w:rtl/>
          <w:lang w:bidi="ar-EG"/>
        </w:rPr>
        <w:t>.</w:t>
      </w:r>
      <w:r>
        <w:rPr>
          <w:rFonts w:hint="cs"/>
          <w:rtl/>
          <w:lang w:bidi="ar-EG"/>
        </w:rPr>
        <w:t>6 في المائة لم يكملن المرحلة الثانوية و2</w:t>
      </w:r>
      <w:r w:rsidR="007354DF">
        <w:rPr>
          <w:rFonts w:hint="cs"/>
          <w:rtl/>
          <w:lang w:bidi="ar-EG"/>
        </w:rPr>
        <w:t>.</w:t>
      </w:r>
      <w:r>
        <w:rPr>
          <w:rFonts w:hint="cs"/>
          <w:rtl/>
          <w:lang w:bidi="ar-EG"/>
        </w:rPr>
        <w:t>6 في المائة فقط قد وصلن إلى المستوى الجامعي</w:t>
      </w:r>
      <w:r>
        <w:rPr>
          <w:rFonts w:hint="cs"/>
          <w:vertAlign w:val="superscript"/>
          <w:rtl/>
          <w:lang w:bidi="ar-EG"/>
        </w:rPr>
        <w:t>(163)</w:t>
      </w:r>
      <w:r w:rsidR="003D7EB4">
        <w:rPr>
          <w:rFonts w:hint="cs"/>
          <w:rtl/>
          <w:lang w:bidi="ar-EG"/>
        </w:rPr>
        <w:t>،</w:t>
      </w:r>
    </w:p>
    <w:p w:rsidR="00971AE2" w:rsidRDefault="00971AE2" w:rsidP="00A343DF">
      <w:pPr>
        <w:pStyle w:val="SingleTxt"/>
        <w:rPr>
          <w:rFonts w:hint="cs"/>
          <w:rtl/>
          <w:lang w:bidi="ar-EG"/>
        </w:rPr>
      </w:pPr>
      <w:r>
        <w:rPr>
          <w:rFonts w:hint="cs"/>
          <w:rtl/>
          <w:lang w:bidi="ar-EG"/>
        </w:rPr>
        <w:tab/>
        <w:t>فيما بين عامي 1991 و1997 وصل الدخل في المنطقة الحضرية إلى 2</w:t>
      </w:r>
      <w:r w:rsidR="007354DF">
        <w:rPr>
          <w:rFonts w:hint="cs"/>
          <w:rtl/>
          <w:lang w:bidi="ar-EG"/>
        </w:rPr>
        <w:t>.</w:t>
      </w:r>
      <w:r>
        <w:rPr>
          <w:rFonts w:hint="cs"/>
          <w:rtl/>
          <w:lang w:bidi="ar-EG"/>
        </w:rPr>
        <w:t>89 مثل الدخل في المنطقة الريفية</w:t>
      </w:r>
      <w:r>
        <w:rPr>
          <w:rFonts w:hint="cs"/>
          <w:vertAlign w:val="superscript"/>
          <w:rtl/>
          <w:lang w:bidi="ar-EG"/>
        </w:rPr>
        <w:t>(164)</w:t>
      </w:r>
      <w:r w:rsidR="003D7EB4">
        <w:rPr>
          <w:rFonts w:hint="cs"/>
          <w:rtl/>
          <w:lang w:bidi="ar-EG"/>
        </w:rPr>
        <w:t>،</w:t>
      </w:r>
      <w:r>
        <w:rPr>
          <w:rFonts w:hint="cs"/>
          <w:rtl/>
          <w:lang w:bidi="ar-EG"/>
        </w:rPr>
        <w:t xml:space="preserve"> وتغير هذا الاتجاه اعتبارا من عام 1997، وذلك يرجع بصورة رئيسية إلى التدهور الحضري وليس إلى النموالريفي</w:t>
      </w:r>
      <w:r w:rsidR="003D7EB4">
        <w:rPr>
          <w:rFonts w:hint="cs"/>
          <w:rtl/>
          <w:lang w:bidi="ar-EG"/>
        </w:rPr>
        <w:t>،</w:t>
      </w:r>
      <w:r>
        <w:rPr>
          <w:rFonts w:hint="cs"/>
          <w:rtl/>
          <w:lang w:bidi="ar-EG"/>
        </w:rPr>
        <w:t xml:space="preserve"> ويتعلق هذا التدهور بحالة الكساد التي اتسم بها  في الفترة من عام 1997 إلى عام 2000، وقلل ذلك من الفرق بين القطاعين، وبالتالي صار الدخل في المنطقة الحضرية 2</w:t>
      </w:r>
      <w:r w:rsidR="007354DF">
        <w:rPr>
          <w:rFonts w:hint="cs"/>
          <w:rtl/>
          <w:lang w:bidi="ar-EG"/>
        </w:rPr>
        <w:t>.</w:t>
      </w:r>
      <w:r>
        <w:rPr>
          <w:rFonts w:hint="cs"/>
          <w:rtl/>
          <w:lang w:bidi="ar-EG"/>
        </w:rPr>
        <w:t>35 مثل الدخل في المنطقة الريفية</w:t>
      </w:r>
      <w:r>
        <w:rPr>
          <w:rFonts w:hint="cs"/>
          <w:vertAlign w:val="superscript"/>
          <w:rtl/>
          <w:lang w:bidi="ar-EG"/>
        </w:rPr>
        <w:t>(165)</w:t>
      </w:r>
      <w:r w:rsidR="003D7EB4">
        <w:rPr>
          <w:rFonts w:hint="cs"/>
          <w:rtl/>
          <w:lang w:bidi="ar-EG"/>
        </w:rPr>
        <w:t>،</w:t>
      </w:r>
    </w:p>
    <w:p w:rsidR="00971AE2" w:rsidRDefault="00971AE2" w:rsidP="00A343DF">
      <w:pPr>
        <w:pStyle w:val="SingleTxt"/>
        <w:rPr>
          <w:rFonts w:hint="cs"/>
          <w:rtl/>
          <w:lang w:bidi="ar-EG"/>
        </w:rPr>
      </w:pPr>
      <w:r>
        <w:rPr>
          <w:rFonts w:hint="cs"/>
          <w:rtl/>
          <w:lang w:bidi="ar-EG"/>
        </w:rPr>
        <w:tab/>
        <w:t>وفي سنة 1991 كانت نسبة النساء الريفيات اللائي في سن العمل (الناشطات اقتصاديا) 33 في المائة، وفي سنة 2000 ارتفعت هذه النسبة إلى 39</w:t>
      </w:r>
      <w:r w:rsidR="007354DF">
        <w:rPr>
          <w:rFonts w:hint="cs"/>
          <w:rtl/>
          <w:lang w:bidi="ar-EG"/>
        </w:rPr>
        <w:t>.</w:t>
      </w:r>
      <w:r>
        <w:rPr>
          <w:rFonts w:hint="cs"/>
          <w:rtl/>
          <w:lang w:bidi="ar-EG"/>
        </w:rPr>
        <w:t>6 في المائة</w:t>
      </w:r>
      <w:r w:rsidR="003D7EB4">
        <w:rPr>
          <w:rFonts w:hint="cs"/>
          <w:rtl/>
          <w:lang w:bidi="ar-EG"/>
        </w:rPr>
        <w:t>،</w:t>
      </w:r>
      <w:r>
        <w:rPr>
          <w:rFonts w:hint="cs"/>
          <w:rtl/>
          <w:lang w:bidi="ar-EG"/>
        </w:rPr>
        <w:t xml:space="preserve"> وفي سنة 1991 كان معدل العمالة في القطاع الريفي 78</w:t>
      </w:r>
      <w:r w:rsidR="007354DF">
        <w:rPr>
          <w:rFonts w:hint="cs"/>
          <w:rtl/>
          <w:lang w:bidi="ar-EG"/>
        </w:rPr>
        <w:t>.</w:t>
      </w:r>
      <w:r>
        <w:rPr>
          <w:rFonts w:hint="cs"/>
          <w:rtl/>
          <w:lang w:bidi="ar-EG"/>
        </w:rPr>
        <w:t>3 في المائة للرجال و30</w:t>
      </w:r>
      <w:r w:rsidR="007354DF">
        <w:rPr>
          <w:rFonts w:hint="cs"/>
          <w:rtl/>
          <w:lang w:bidi="ar-EG"/>
        </w:rPr>
        <w:t>.</w:t>
      </w:r>
      <w:r>
        <w:rPr>
          <w:rFonts w:hint="cs"/>
          <w:rtl/>
          <w:lang w:bidi="ar-EG"/>
        </w:rPr>
        <w:t>2 في المائة للنساء؛ وفي سنة 2000 كان 76</w:t>
      </w:r>
      <w:r w:rsidR="007354DF">
        <w:rPr>
          <w:rFonts w:hint="cs"/>
          <w:rtl/>
          <w:lang w:bidi="ar-EG"/>
        </w:rPr>
        <w:t>.</w:t>
      </w:r>
      <w:r>
        <w:rPr>
          <w:rFonts w:hint="cs"/>
          <w:rtl/>
          <w:lang w:bidi="ar-EG"/>
        </w:rPr>
        <w:t>9 في المائة و30 في المائة على التوالي</w:t>
      </w:r>
      <w:r>
        <w:rPr>
          <w:rFonts w:hint="cs"/>
          <w:vertAlign w:val="superscript"/>
          <w:rtl/>
          <w:lang w:bidi="ar-EG"/>
        </w:rPr>
        <w:t>(166)</w:t>
      </w:r>
      <w:r w:rsidR="003D7EB4">
        <w:rPr>
          <w:rFonts w:hint="cs"/>
          <w:rtl/>
          <w:lang w:bidi="ar-EG"/>
        </w:rPr>
        <w:t>،</w:t>
      </w:r>
    </w:p>
    <w:p w:rsidR="00971AE2" w:rsidRDefault="00971AE2" w:rsidP="00A343DF">
      <w:pPr>
        <w:pStyle w:val="SingleTxt"/>
        <w:rPr>
          <w:rFonts w:hint="eastAsia"/>
          <w:rtl/>
          <w:lang w:bidi="ar-EG"/>
        </w:rPr>
      </w:pPr>
      <w:r>
        <w:rPr>
          <w:rFonts w:hint="cs"/>
          <w:rtl/>
          <w:lang w:bidi="ar-EG"/>
        </w:rPr>
        <w:tab/>
        <w:t xml:space="preserve">وقام مرصد التنمية الريفية بتعديل أرقام عمالة السكان الريفيين على النحوالتالي: </w:t>
      </w:r>
      <w:r>
        <w:rPr>
          <w:rFonts w:hint="eastAsia"/>
          <w:rtl/>
          <w:lang w:bidi="ar-EG"/>
        </w:rPr>
        <w:t xml:space="preserve">”في المنطقة الريفية وصل تطور معدل العمالة لجميع السنوات إلى نسب مئوية عالية للغاية لعمالة الرجال على الرغم من أن الأرقام المذكورة قد لا </w:t>
      </w:r>
      <w:r>
        <w:rPr>
          <w:rFonts w:hint="cs"/>
          <w:rtl/>
          <w:lang w:bidi="ar-EG"/>
        </w:rPr>
        <w:t>ت</w:t>
      </w:r>
      <w:r>
        <w:rPr>
          <w:rFonts w:hint="eastAsia"/>
          <w:rtl/>
          <w:lang w:bidi="ar-EG"/>
        </w:rPr>
        <w:t>ع</w:t>
      </w:r>
      <w:r>
        <w:rPr>
          <w:rFonts w:hint="cs"/>
          <w:rtl/>
          <w:lang w:bidi="ar-EG"/>
        </w:rPr>
        <w:t>كس عمالة المرأة في أنشطة مختلفة غير منظورة ثقافيا لأنها لا تعتبر "عملا</w:t>
      </w:r>
      <w:r>
        <w:rPr>
          <w:rFonts w:hint="eastAsia"/>
          <w:rtl/>
          <w:lang w:bidi="ar-EG"/>
        </w:rPr>
        <w:t>“ بالمعنى الرسمي للحصول على أجر عنها أولإنتاجها لأن الكمية قابلة للقياس كما هوالحال بالنسبة ل</w:t>
      </w:r>
      <w:r>
        <w:rPr>
          <w:rFonts w:hint="cs"/>
          <w:rtl/>
          <w:lang w:bidi="ar-EG"/>
        </w:rPr>
        <w:t>لأ</w:t>
      </w:r>
      <w:r>
        <w:rPr>
          <w:rFonts w:hint="eastAsia"/>
          <w:rtl/>
          <w:lang w:bidi="ar-EG"/>
        </w:rPr>
        <w:t xml:space="preserve">عمال </w:t>
      </w:r>
      <w:r>
        <w:rPr>
          <w:rFonts w:hint="cs"/>
          <w:rtl/>
          <w:lang w:bidi="ar-EG"/>
        </w:rPr>
        <w:t>التقليدية في مجالات العمل الأخرى</w:t>
      </w:r>
      <w:r>
        <w:rPr>
          <w:rFonts w:hint="eastAsia"/>
          <w:rtl/>
          <w:lang w:bidi="ar-EG"/>
        </w:rPr>
        <w:t>“</w:t>
      </w:r>
      <w:r w:rsidR="003D7EB4">
        <w:rPr>
          <w:rFonts w:hint="eastAsia"/>
          <w:rtl/>
          <w:lang w:bidi="ar-EG"/>
        </w:rPr>
        <w:t>،</w:t>
      </w:r>
    </w:p>
    <w:p w:rsidR="00971AE2" w:rsidRDefault="00971AE2" w:rsidP="00A343DF">
      <w:pPr>
        <w:pStyle w:val="SingleTxt"/>
        <w:rPr>
          <w:rFonts w:hint="cs"/>
          <w:rtl/>
          <w:lang w:bidi="ar-EG"/>
        </w:rPr>
      </w:pPr>
      <w:r>
        <w:rPr>
          <w:rFonts w:hint="cs"/>
          <w:rtl/>
          <w:lang w:bidi="ar-EG"/>
        </w:rPr>
        <w:tab/>
        <w:t>وقد ازدادت بطالة المرأة الريفية في السنوات الأخيرة، وهذا يرجع جزئيا إلى أن الأعمال التي لا يُدفع عنها أجر مثل العمل المنزلي والدعم الزراعي في المزارع الأسرية غير منظورة من الناحية الإحصائية</w:t>
      </w:r>
      <w:r w:rsidR="003D7EB4">
        <w:rPr>
          <w:rFonts w:hint="cs"/>
          <w:rtl/>
          <w:lang w:bidi="ar-EG"/>
        </w:rPr>
        <w:t>،</w:t>
      </w:r>
      <w:r>
        <w:rPr>
          <w:rFonts w:hint="cs"/>
          <w:rtl/>
          <w:lang w:bidi="ar-EG"/>
        </w:rPr>
        <w:t xml:space="preserve"> والواقع هوأن معدل البطالة الريفية بلغ في سنة 1991 2</w:t>
      </w:r>
      <w:r w:rsidR="00A26D60">
        <w:rPr>
          <w:rFonts w:hint="cs"/>
          <w:rtl/>
          <w:lang w:bidi="ar-EG"/>
        </w:rPr>
        <w:t>.</w:t>
      </w:r>
      <w:r>
        <w:rPr>
          <w:rFonts w:hint="cs"/>
          <w:rtl/>
          <w:lang w:bidi="ar-EG"/>
        </w:rPr>
        <w:t>5 في المائة للرجال و8</w:t>
      </w:r>
      <w:r w:rsidR="00A26D60">
        <w:rPr>
          <w:rFonts w:hint="cs"/>
          <w:rtl/>
          <w:lang w:bidi="ar-EG"/>
        </w:rPr>
        <w:t>.</w:t>
      </w:r>
      <w:r>
        <w:rPr>
          <w:rFonts w:hint="cs"/>
          <w:rtl/>
          <w:lang w:bidi="ar-EG"/>
        </w:rPr>
        <w:t>4 في المائة للنساء</w:t>
      </w:r>
      <w:r w:rsidR="003D7EB4">
        <w:rPr>
          <w:rFonts w:hint="cs"/>
          <w:rtl/>
          <w:lang w:bidi="ar-EG"/>
        </w:rPr>
        <w:t>،</w:t>
      </w:r>
      <w:r>
        <w:rPr>
          <w:rFonts w:hint="cs"/>
          <w:rtl/>
          <w:lang w:bidi="ar-EG"/>
        </w:rPr>
        <w:t xml:space="preserve"> وفي سنة 2000 ازداد المعدل بنسبة 19</w:t>
      </w:r>
      <w:r w:rsidR="00A26D60">
        <w:rPr>
          <w:rFonts w:hint="cs"/>
          <w:rtl/>
          <w:lang w:bidi="ar-EG"/>
        </w:rPr>
        <w:t>.</w:t>
      </w:r>
      <w:r>
        <w:rPr>
          <w:rFonts w:hint="cs"/>
          <w:rtl/>
          <w:lang w:bidi="ar-EG"/>
        </w:rPr>
        <w:t>3 في المائة و19</w:t>
      </w:r>
      <w:r w:rsidR="00A26D60">
        <w:rPr>
          <w:rFonts w:hint="cs"/>
          <w:rtl/>
          <w:lang w:bidi="ar-EG"/>
        </w:rPr>
        <w:t>.</w:t>
      </w:r>
      <w:r>
        <w:rPr>
          <w:rFonts w:hint="cs"/>
          <w:rtl/>
          <w:lang w:bidi="ar-EG"/>
        </w:rPr>
        <w:t>4 في المائة على التوالي</w:t>
      </w:r>
      <w:r>
        <w:rPr>
          <w:rFonts w:hint="cs"/>
          <w:vertAlign w:val="superscript"/>
          <w:rtl/>
          <w:lang w:bidi="ar-EG"/>
        </w:rPr>
        <w:t>(167)</w:t>
      </w:r>
      <w:r w:rsidR="003D7EB4">
        <w:rPr>
          <w:rFonts w:hint="cs"/>
          <w:rtl/>
          <w:lang w:bidi="ar-EG"/>
        </w:rPr>
        <w:t>،</w:t>
      </w:r>
    </w:p>
    <w:p w:rsidR="00971AE2" w:rsidRDefault="00971AE2" w:rsidP="00A343DF">
      <w:pPr>
        <w:pStyle w:val="SingleTxt"/>
        <w:rPr>
          <w:rFonts w:hint="cs"/>
          <w:rtl/>
          <w:lang w:bidi="ar-EG"/>
        </w:rPr>
      </w:pPr>
      <w:r>
        <w:rPr>
          <w:rFonts w:hint="cs"/>
          <w:rtl/>
          <w:lang w:bidi="ar-EG"/>
        </w:rPr>
        <w:tab/>
        <w:t>ووفقا لمعلومات مرصد التنمية الريفية فإن 65</w:t>
      </w:r>
      <w:r w:rsidR="00A26D60">
        <w:rPr>
          <w:rFonts w:hint="cs"/>
          <w:rtl/>
          <w:lang w:bidi="ar-EG"/>
        </w:rPr>
        <w:t>.</w:t>
      </w:r>
      <w:r>
        <w:rPr>
          <w:rFonts w:hint="cs"/>
          <w:rtl/>
          <w:lang w:bidi="ar-EG"/>
        </w:rPr>
        <w:t>2 في المائة من النساء الريفيات اللائي يعملن حاليا يحصلن على أجر مالي عن عملهن، و10</w:t>
      </w:r>
      <w:r w:rsidR="00A26D60">
        <w:rPr>
          <w:rFonts w:hint="cs"/>
          <w:rtl/>
          <w:lang w:bidi="ar-EG"/>
        </w:rPr>
        <w:t>.</w:t>
      </w:r>
      <w:r>
        <w:rPr>
          <w:rFonts w:hint="cs"/>
          <w:rtl/>
          <w:lang w:bidi="ar-EG"/>
        </w:rPr>
        <w:t>9 في المائة على أجر مالي وعيني، و23</w:t>
      </w:r>
      <w:r w:rsidR="00A26D60">
        <w:rPr>
          <w:rFonts w:hint="cs"/>
          <w:rtl/>
          <w:lang w:bidi="ar-EG"/>
        </w:rPr>
        <w:t>.</w:t>
      </w:r>
      <w:r>
        <w:rPr>
          <w:rFonts w:hint="cs"/>
          <w:rtl/>
          <w:lang w:bidi="ar-EG"/>
        </w:rPr>
        <w:t>6 في المائة لا يحصلن على أجر أويحصلن على أجر عيني ضئيل</w:t>
      </w:r>
      <w:r w:rsidR="003D7EB4">
        <w:rPr>
          <w:rFonts w:hint="cs"/>
          <w:rtl/>
          <w:lang w:bidi="ar-EG"/>
        </w:rPr>
        <w:t>،</w:t>
      </w:r>
      <w:r>
        <w:rPr>
          <w:rFonts w:hint="cs"/>
          <w:rtl/>
          <w:lang w:bidi="ar-EG"/>
        </w:rPr>
        <w:t xml:space="preserve"> والأخيرات هن على وجه الخصوص مساعدات للأسرة</w:t>
      </w:r>
      <w:r>
        <w:rPr>
          <w:rFonts w:hint="cs"/>
          <w:vertAlign w:val="superscript"/>
          <w:rtl/>
          <w:lang w:bidi="ar-EG"/>
        </w:rPr>
        <w:t>(168)</w:t>
      </w:r>
      <w:r w:rsidR="003D7EB4">
        <w:rPr>
          <w:rFonts w:hint="cs"/>
          <w:rtl/>
          <w:lang w:bidi="ar-EG"/>
        </w:rPr>
        <w:t>،</w:t>
      </w:r>
    </w:p>
    <w:p w:rsidR="00971AE2" w:rsidRDefault="00971AE2" w:rsidP="00A343DF">
      <w:pPr>
        <w:pStyle w:val="SingleTxt"/>
        <w:rPr>
          <w:rFonts w:hint="cs"/>
          <w:rtl/>
          <w:lang w:bidi="ar-EG"/>
        </w:rPr>
      </w:pPr>
      <w:r>
        <w:rPr>
          <w:rFonts w:hint="cs"/>
          <w:rtl/>
          <w:lang w:bidi="ar-EG"/>
        </w:rPr>
        <w:tab/>
        <w:t>ولا تحصر الأجيال الجديدة من النساء الريفيات بنفسها في مجرد الأنشطة التناسلية أوفي العمل في قطعة الأرض الريفية فحسب</w:t>
      </w:r>
      <w:r w:rsidR="003D7EB4">
        <w:rPr>
          <w:rFonts w:hint="cs"/>
          <w:rtl/>
          <w:lang w:bidi="ar-EG"/>
        </w:rPr>
        <w:t>،</w:t>
      </w:r>
      <w:r>
        <w:rPr>
          <w:rFonts w:hint="cs"/>
          <w:rtl/>
          <w:lang w:bidi="ar-EG"/>
        </w:rPr>
        <w:t xml:space="preserve"> فتعمل نساء كثيرات بوصفن عاملات زراعيات ويشاركن في كل سلسلة الأغذية القائمة على الزراعة</w:t>
      </w:r>
      <w:r w:rsidR="003D7EB4">
        <w:rPr>
          <w:rFonts w:hint="cs"/>
          <w:rtl/>
          <w:lang w:bidi="ar-EG"/>
        </w:rPr>
        <w:t>،</w:t>
      </w:r>
      <w:r>
        <w:rPr>
          <w:rFonts w:hint="cs"/>
          <w:rtl/>
          <w:lang w:bidi="ar-EG"/>
        </w:rPr>
        <w:t xml:space="preserve"> وبالمثل ترتبط نسبة كبيرة من النساء الريفيات بأنشطة غير زراعية، مثل الارتباط بالخدمات وصيد الأسماك والتجارة والتعدين على نطاق صغير</w:t>
      </w:r>
      <w:r>
        <w:rPr>
          <w:rFonts w:hint="cs"/>
          <w:vertAlign w:val="superscript"/>
          <w:rtl/>
          <w:lang w:bidi="ar-EG"/>
        </w:rPr>
        <w:t>(169)</w:t>
      </w:r>
      <w:r w:rsidR="003D7EB4">
        <w:rPr>
          <w:rFonts w:hint="cs"/>
          <w:rtl/>
          <w:lang w:bidi="ar-EG"/>
        </w:rPr>
        <w:t>،</w:t>
      </w:r>
    </w:p>
    <w:p w:rsidR="00971AE2" w:rsidRDefault="00971AE2" w:rsidP="00A343DF">
      <w:pPr>
        <w:pStyle w:val="SingleTxt"/>
        <w:rPr>
          <w:rFonts w:hint="cs"/>
          <w:rtl/>
          <w:lang w:bidi="ar-EG"/>
        </w:rPr>
      </w:pPr>
      <w:r>
        <w:rPr>
          <w:rFonts w:hint="cs"/>
          <w:rtl/>
          <w:lang w:bidi="ar-EG"/>
        </w:rPr>
        <w:tab/>
        <w:t>ويشمل الاتجاه إلى الاشتراك في ضم طلبات الحصول على القروض من أجل الزراعة وتربية الماشية نحو77 في المائة من الرجال في سنة 2001 و75 في المائة في سنة 2002 و74 في المائة في سنة 2003، وبالنسبة إلى النساء في نفس السنوات المذكورة 23 في المائة و25 في المائة و26 في المائة على التوالي</w:t>
      </w:r>
      <w:r w:rsidR="003D7EB4">
        <w:rPr>
          <w:rFonts w:hint="cs"/>
          <w:rtl/>
          <w:lang w:bidi="ar-EG"/>
        </w:rPr>
        <w:t>،</w:t>
      </w:r>
      <w:r>
        <w:rPr>
          <w:rFonts w:hint="cs"/>
          <w:rtl/>
          <w:lang w:bidi="ar-EG"/>
        </w:rPr>
        <w:t xml:space="preserve"> أما الاتجاه إلى الاشتراك في إعادة التزامات القروض المقدمة من أجل الزراعة وتربية الماشية بالنسبة إلى النساء فقد كان وحده 20 في المائة في سنة 1999 و25 في المائة في سنة 2002، وبالنسبة إلى الرجال في نفس فترة السنوات المذكورة كان 79 في المائة و75 في المائة على التوالي</w:t>
      </w:r>
      <w:r w:rsidR="003D7EB4">
        <w:rPr>
          <w:rFonts w:hint="cs"/>
          <w:rtl/>
          <w:lang w:bidi="ar-EG"/>
        </w:rPr>
        <w:t>،</w:t>
      </w:r>
      <w:r>
        <w:rPr>
          <w:rFonts w:hint="cs"/>
          <w:rtl/>
          <w:lang w:bidi="ar-EG"/>
        </w:rPr>
        <w:t xml:space="preserve"> وكان مجموع التزامات الزراعة وتربية الماشية من المنتجين الصغار والمتوسطين أكبر في الحالتين؛ فارتفع ما يحصل عليه الرجال من موارد من 994 2 مليون دولار في سنة 1999 إلى 195 195 مليون دولار في سنة 2002، وارتفع ما تحصل عليه النساء من موارد من 768 مليون دولار في سنة 1999 إلى 601 52 مليون دولار في سنة 2002</w:t>
      </w:r>
      <w:r>
        <w:rPr>
          <w:rFonts w:hint="cs"/>
          <w:vertAlign w:val="superscript"/>
          <w:rtl/>
          <w:lang w:bidi="ar-EG"/>
        </w:rPr>
        <w:t>(170)</w:t>
      </w:r>
      <w:r w:rsidR="003D7EB4">
        <w:rPr>
          <w:rFonts w:hint="cs"/>
          <w:rtl/>
          <w:lang w:bidi="ar-EG"/>
        </w:rPr>
        <w:t>،</w:t>
      </w:r>
    </w:p>
    <w:p w:rsidR="00971AE2" w:rsidRDefault="00971AE2" w:rsidP="00A343DF">
      <w:pPr>
        <w:pStyle w:val="SingleTxt"/>
        <w:rPr>
          <w:rFonts w:hint="cs"/>
          <w:rtl/>
          <w:lang w:bidi="ar-EG"/>
        </w:rPr>
      </w:pPr>
      <w:r>
        <w:rPr>
          <w:rFonts w:hint="cs"/>
          <w:rtl/>
          <w:lang w:bidi="ar-EG"/>
        </w:rPr>
        <w:tab/>
        <w:t>وحقق برنامج الدعم المتكامل لرئيسات الأسر في القطاع الريفي النتائج التالية: عدد المشاريع المقدمة إلى البنك الزراعي: 378 2؛ والقروض المعتمدة: 185 1؛ عدد القروض التي صُرفت: 086 1؛ قيمتها: 971 431 515 2 دولار</w:t>
      </w:r>
      <w:r w:rsidR="003D7EB4">
        <w:rPr>
          <w:rFonts w:hint="cs"/>
          <w:rtl/>
          <w:lang w:bidi="ar-EG"/>
        </w:rPr>
        <w:t>،</w:t>
      </w:r>
    </w:p>
    <w:p w:rsidR="00971AE2" w:rsidRDefault="00971AE2" w:rsidP="00A343DF">
      <w:pPr>
        <w:pStyle w:val="SingleTxt"/>
        <w:rPr>
          <w:rFonts w:hint="cs"/>
          <w:rtl/>
          <w:lang w:bidi="ar-EG"/>
        </w:rPr>
      </w:pPr>
      <w:r>
        <w:rPr>
          <w:rFonts w:hint="cs"/>
          <w:rtl/>
          <w:lang w:bidi="ar-EG"/>
        </w:rPr>
        <w:tab/>
        <w:t>ومثلت مشاركة المرأة في تملك الأراضي اتجاها متزايدا في السنوات الأخيرة، فبلغت 11 في المائة في سنة 1999، و23 في المائة في سنة 2000، و47 في المائة في سنة 2001</w:t>
      </w:r>
      <w:r w:rsidR="003D7EB4">
        <w:rPr>
          <w:rFonts w:hint="cs"/>
          <w:rtl/>
          <w:lang w:bidi="ar-EG"/>
        </w:rPr>
        <w:t>،</w:t>
      </w:r>
      <w:r>
        <w:rPr>
          <w:rFonts w:hint="cs"/>
          <w:rtl/>
          <w:lang w:bidi="ar-EG"/>
        </w:rPr>
        <w:t xml:space="preserve"> ودون المساس بما سبق كانت مشاركة الرجال أكبر، فبلغت 41 في المائة في سنة 1999، و34 في المائة في سنة 2000، و56 في المائة في سنة 2002</w:t>
      </w:r>
      <w:r w:rsidR="003D7EB4">
        <w:rPr>
          <w:rFonts w:hint="cs"/>
          <w:rtl/>
          <w:lang w:bidi="ar-EG"/>
        </w:rPr>
        <w:t>،</w:t>
      </w:r>
      <w:r>
        <w:rPr>
          <w:rFonts w:hint="cs"/>
          <w:rtl/>
          <w:lang w:bidi="ar-EG"/>
        </w:rPr>
        <w:t xml:space="preserve"> ومن مجموع الأراضي التي مُلكت حصل الرجال على 44 في المائة منها (620 9) وحصل الأزواج والزوجات على 28</w:t>
      </w:r>
      <w:r w:rsidR="00A26D60">
        <w:rPr>
          <w:rFonts w:hint="cs"/>
          <w:rtl/>
          <w:lang w:bidi="ar-EG"/>
        </w:rPr>
        <w:t>.</w:t>
      </w:r>
      <w:r>
        <w:rPr>
          <w:rFonts w:hint="cs"/>
          <w:rtl/>
          <w:lang w:bidi="ar-EG"/>
        </w:rPr>
        <w:t>4 في المائة (247 6)، وحصلت النساء على 27</w:t>
      </w:r>
      <w:r w:rsidR="00A26D60">
        <w:rPr>
          <w:rFonts w:hint="cs"/>
          <w:rtl/>
          <w:lang w:bidi="ar-EG"/>
        </w:rPr>
        <w:t>.</w:t>
      </w:r>
      <w:r>
        <w:rPr>
          <w:rFonts w:hint="cs"/>
          <w:rtl/>
          <w:lang w:bidi="ar-EG"/>
        </w:rPr>
        <w:t>9 في المائة (153 6)</w:t>
      </w:r>
      <w:r>
        <w:rPr>
          <w:rFonts w:hint="cs"/>
          <w:vertAlign w:val="superscript"/>
          <w:rtl/>
          <w:lang w:bidi="ar-EG"/>
        </w:rPr>
        <w:t>(171)</w:t>
      </w:r>
      <w:r w:rsidR="003D7EB4">
        <w:rPr>
          <w:rFonts w:hint="cs"/>
          <w:rtl/>
          <w:lang w:bidi="ar-EG"/>
        </w:rPr>
        <w:t>،</w:t>
      </w:r>
    </w:p>
    <w:p w:rsidR="00971AE2" w:rsidRDefault="00971AE2" w:rsidP="00A343DF">
      <w:pPr>
        <w:pStyle w:val="SingleTxt"/>
        <w:rPr>
          <w:rFonts w:hint="cs"/>
          <w:rtl/>
          <w:lang w:bidi="ar-EG"/>
        </w:rPr>
      </w:pPr>
      <w:r>
        <w:rPr>
          <w:rFonts w:hint="cs"/>
          <w:rtl/>
          <w:lang w:bidi="ar-EG"/>
        </w:rPr>
        <w:tab/>
        <w:t>وفي إطــار برنامج الإسكان والتنمية الاجتماعية الريفية، خُصصت في الفترة 2000-2002، 103 11 إعانة لعدد مساولها من الأسر التي ترأسها نساء ريفيات، بما</w:t>
      </w:r>
      <w:r>
        <w:rPr>
          <w:rFonts w:hint="eastAsia"/>
          <w:rtl/>
          <w:lang w:bidi="ar-EG"/>
        </w:rPr>
        <w:t> </w:t>
      </w:r>
      <w:r>
        <w:rPr>
          <w:rFonts w:hint="cs"/>
          <w:rtl/>
          <w:lang w:bidi="ar-EG"/>
        </w:rPr>
        <w:t>يعادل مبلغ إجمالي قدره 973 209 475 51 دولار، أُسهم به بصورة حاسمة في تحسين نوعية معيشة المرأة الريفية وأسرتها وبيئتها</w:t>
      </w:r>
      <w:r w:rsidR="003D7EB4">
        <w:rPr>
          <w:rFonts w:hint="cs"/>
          <w:rtl/>
          <w:lang w:bidi="ar-EG"/>
        </w:rPr>
        <w:t>،</w:t>
      </w:r>
    </w:p>
    <w:p w:rsidR="00971AE2" w:rsidRDefault="00971AE2" w:rsidP="00A343DF">
      <w:pPr>
        <w:pStyle w:val="SingleTxt"/>
        <w:rPr>
          <w:rFonts w:hint="cs"/>
          <w:rtl/>
          <w:lang w:bidi="ar-EG"/>
        </w:rPr>
      </w:pPr>
      <w:r>
        <w:rPr>
          <w:rFonts w:hint="cs"/>
          <w:rtl/>
          <w:lang w:bidi="ar-EG"/>
        </w:rPr>
        <w:tab/>
        <w:t>ووفقا لمعلومات ممارسة التنمية الريفية فإنه في حين كان لدى 92 في المائة من الأسر في سنة 1995 خدمة الكهرباء ارتفعت هذه النسبة في سنة 2000 إلى 95 في المائة</w:t>
      </w:r>
      <w:r w:rsidR="003D7EB4">
        <w:rPr>
          <w:rFonts w:hint="cs"/>
          <w:rtl/>
          <w:lang w:bidi="ar-EG"/>
        </w:rPr>
        <w:t>،</w:t>
      </w:r>
      <w:r>
        <w:rPr>
          <w:rFonts w:hint="cs"/>
          <w:rtl/>
          <w:lang w:bidi="ar-EG"/>
        </w:rPr>
        <w:t xml:space="preserve"> وفي المنطقة الحضرية وصلت هذه النسبة إلى 99 في المائة من الأسر وفي المنطقة الريفية إلى 84 في المائة؛ وفي المنطقة الأخيرة كانت التغطية بهذه الخدمة في سنة 1995، 74 في المائة فقط</w:t>
      </w:r>
      <w:r w:rsidR="003D7EB4">
        <w:rPr>
          <w:rFonts w:hint="cs"/>
          <w:rtl/>
          <w:lang w:bidi="ar-EG"/>
        </w:rPr>
        <w:t>،</w:t>
      </w:r>
      <w:r>
        <w:rPr>
          <w:rFonts w:hint="cs"/>
          <w:rtl/>
          <w:lang w:bidi="ar-EG"/>
        </w:rPr>
        <w:t xml:space="preserve"> وكان الإنتاج ++++ في سنة 2000، 78 في المائة، 97 في المائة بالنسبة إلى المنطقة الحضرية و27 في المائة بالنسبة إلى المنطقة الريفية</w:t>
      </w:r>
      <w:r w:rsidR="003D7EB4">
        <w:rPr>
          <w:rFonts w:hint="cs"/>
          <w:rtl/>
          <w:lang w:bidi="ar-EG"/>
        </w:rPr>
        <w:t>،</w:t>
      </w:r>
      <w:r>
        <w:rPr>
          <w:rFonts w:hint="cs"/>
          <w:rtl/>
          <w:lang w:bidi="ar-EG"/>
        </w:rPr>
        <w:t xml:space="preserve"> و91 في المائة من ++++ الحضرية مزودة بالإصحاح في حين أن 14 في المائة فقط من الأسر مزودة به في المنطقة الريفية</w:t>
      </w:r>
      <w:r w:rsidR="003D7EB4">
        <w:rPr>
          <w:rFonts w:hint="cs"/>
          <w:rtl/>
          <w:lang w:bidi="ar-EG"/>
        </w:rPr>
        <w:t>،</w:t>
      </w:r>
    </w:p>
    <w:p w:rsidR="00397AB6" w:rsidRPr="00397AB6" w:rsidRDefault="00397AB6" w:rsidP="00397AB6">
      <w:pPr>
        <w:pStyle w:val="SingleTxt"/>
        <w:spacing w:after="0" w:line="120" w:lineRule="exact"/>
        <w:rPr>
          <w:rFonts w:hint="cs"/>
          <w:sz w:val="10"/>
          <w:rtl/>
          <w:lang w:bidi="ar-EG"/>
        </w:rPr>
      </w:pPr>
    </w:p>
    <w:p w:rsidR="00971AE2" w:rsidRDefault="00397AB6" w:rsidP="00397A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2-15</w:t>
      </w:r>
      <w:r w:rsidR="00971AE2">
        <w:rPr>
          <w:rFonts w:hint="cs"/>
          <w:rtl/>
          <w:lang w:bidi="ar-EG"/>
        </w:rPr>
        <w:tab/>
        <w:t>المادة 15</w:t>
      </w:r>
    </w:p>
    <w:p w:rsidR="00971AE2" w:rsidRDefault="00397AB6" w:rsidP="00397A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التساوي أمام القانون والمساواة القانونية المدنية</w:t>
      </w:r>
    </w:p>
    <w:p w:rsidR="00971AE2" w:rsidRDefault="00971AE2" w:rsidP="00A343DF">
      <w:pPr>
        <w:pStyle w:val="SingleTxt"/>
        <w:rPr>
          <w:rFonts w:hint="cs"/>
          <w:rtl/>
          <w:lang w:bidi="ar-EG"/>
        </w:rPr>
      </w:pPr>
      <w:r>
        <w:rPr>
          <w:rFonts w:hint="cs"/>
          <w:rtl/>
          <w:lang w:bidi="ar-EG"/>
        </w:rPr>
        <w:tab/>
        <w:t>تتفق هذه المادة مع التوصية العامة رقم 21 المشار إليها في المادة التالية ومع التوصية العامة رقم 19 المشار إليها عدة مرات</w:t>
      </w:r>
      <w:r w:rsidR="003D7EB4">
        <w:rPr>
          <w:rFonts w:hint="cs"/>
          <w:rtl/>
          <w:lang w:bidi="ar-EG"/>
        </w:rPr>
        <w:t>،</w:t>
      </w:r>
      <w:r>
        <w:rPr>
          <w:rFonts w:hint="cs"/>
          <w:rtl/>
          <w:lang w:bidi="ar-EG"/>
        </w:rPr>
        <w:t xml:space="preserve"> وعلاوة على ذلك ينبغي قراءة هذه المادة على نحوتكاملي مع التقدم المحرز في جميع المواد، ولا سيما المادة 2 المتعلقة بعدم التمييز ضد المرأة والمادة 4 المتعلقة بالتدابير الإيجابية والمادة 7 المتعلقة بالمشاركة السياسية والعامة حيث أن كل تدبير تشريعي أوقضائي أوإداري يناهض التمييز ضد المرأة يكون لصالح المساواة بين الرجل والمرأة وهذا ينعكس في الإحصاءات المختلفة</w:t>
      </w:r>
      <w:r w:rsidR="003D7EB4">
        <w:rPr>
          <w:rFonts w:hint="cs"/>
          <w:rtl/>
          <w:lang w:bidi="ar-EG"/>
        </w:rPr>
        <w:t>،</w:t>
      </w:r>
    </w:p>
    <w:p w:rsidR="00F57CF2" w:rsidRPr="00F57CF2" w:rsidRDefault="00F57CF2" w:rsidP="00F57CF2">
      <w:pPr>
        <w:pStyle w:val="SingleTxt"/>
        <w:spacing w:after="0" w:line="120" w:lineRule="exact"/>
        <w:rPr>
          <w:rFonts w:hint="cs"/>
          <w:sz w:val="10"/>
          <w:rtl/>
          <w:lang w:bidi="ar-EG"/>
        </w:rPr>
      </w:pPr>
    </w:p>
    <w:p w:rsidR="00971AE2" w:rsidRDefault="00397AB6" w:rsidP="00397A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المنجزات التشريعية</w:t>
      </w:r>
    </w:p>
    <w:p w:rsidR="00971AE2" w:rsidRDefault="00971AE2" w:rsidP="00A343DF">
      <w:pPr>
        <w:pStyle w:val="SingleTxt"/>
        <w:rPr>
          <w:rFonts w:hint="cs"/>
          <w:rtl/>
          <w:lang w:bidi="ar-EG"/>
        </w:rPr>
      </w:pPr>
      <w:r>
        <w:rPr>
          <w:rFonts w:hint="cs"/>
          <w:rtl/>
          <w:lang w:bidi="ar-EG"/>
        </w:rPr>
        <w:t>القانون رقم 812 لسنة 2003: الخطة الإنمائية الوطنية</w:t>
      </w:r>
      <w:r w:rsidR="003D7EB4">
        <w:rPr>
          <w:rFonts w:hint="cs"/>
          <w:rtl/>
          <w:lang w:bidi="ar-EG"/>
        </w:rPr>
        <w:t>،</w:t>
      </w:r>
      <w:r>
        <w:rPr>
          <w:rFonts w:hint="cs"/>
          <w:rtl/>
          <w:lang w:bidi="ar-EG"/>
        </w:rPr>
        <w:t xml:space="preserve"> تكرس تدابير لتحقيق المساواة بين الجنسين في كولومبيا</w:t>
      </w:r>
      <w:r w:rsidR="003D7EB4">
        <w:rPr>
          <w:rFonts w:hint="cs"/>
          <w:rtl/>
          <w:lang w:bidi="ar-EG"/>
        </w:rPr>
        <w:t>،</w:t>
      </w:r>
    </w:p>
    <w:p w:rsidR="00971AE2" w:rsidRDefault="00971AE2" w:rsidP="00A343DF">
      <w:pPr>
        <w:pStyle w:val="SingleTxt"/>
        <w:rPr>
          <w:rFonts w:hint="cs"/>
          <w:rtl/>
          <w:lang w:bidi="ar-EG"/>
        </w:rPr>
      </w:pPr>
      <w:r>
        <w:rPr>
          <w:rFonts w:hint="cs"/>
          <w:rtl/>
          <w:lang w:bidi="ar-EG"/>
        </w:rPr>
        <w:t>القانون رقم 823 لسنة 2003: يوفر إطارا متينا لتحقيق التنمية والنهوض بالمرأة في كولومبيا</w:t>
      </w:r>
      <w:r w:rsidR="003D7EB4">
        <w:rPr>
          <w:rFonts w:hint="cs"/>
          <w:rtl/>
          <w:lang w:bidi="ar-EG"/>
        </w:rPr>
        <w:t>،</w:t>
      </w:r>
    </w:p>
    <w:p w:rsidR="00971AE2" w:rsidRDefault="00397AB6" w:rsidP="00397A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المنجزات القضائية</w:t>
      </w:r>
    </w:p>
    <w:p w:rsidR="00971AE2" w:rsidRDefault="00971AE2" w:rsidP="00A343DF">
      <w:pPr>
        <w:pStyle w:val="SingleTxt"/>
        <w:rPr>
          <w:rFonts w:hint="cs"/>
          <w:rtl/>
          <w:lang w:bidi="ar-EG"/>
        </w:rPr>
      </w:pPr>
      <w:r>
        <w:rPr>
          <w:rFonts w:hint="cs"/>
          <w:rtl/>
          <w:lang w:bidi="ar-EG"/>
        </w:rPr>
        <w:t xml:space="preserve">الحكم </w:t>
      </w:r>
      <w:r>
        <w:t>T-610</w:t>
      </w:r>
      <w:r>
        <w:rPr>
          <w:rFonts w:hint="cs"/>
          <w:rtl/>
          <w:lang w:bidi="ar-EG"/>
        </w:rPr>
        <w:t xml:space="preserve"> لسنة 2002: يطور على نحوخاص مفهوم المساواة بين الرجل والمرأة والتساوي أمام القانون</w:t>
      </w:r>
      <w:r w:rsidR="003D7EB4">
        <w:rPr>
          <w:rFonts w:hint="cs"/>
          <w:rtl/>
          <w:lang w:bidi="ar-EG"/>
        </w:rPr>
        <w:t>،</w:t>
      </w:r>
    </w:p>
    <w:p w:rsidR="00397AB6" w:rsidRPr="00397AB6" w:rsidRDefault="00397AB6" w:rsidP="00397AB6">
      <w:pPr>
        <w:pStyle w:val="SingleTxt"/>
        <w:spacing w:after="0" w:line="120" w:lineRule="exact"/>
        <w:rPr>
          <w:rFonts w:hint="cs"/>
          <w:sz w:val="10"/>
          <w:rtl/>
          <w:lang w:bidi="ar-EG"/>
        </w:rPr>
      </w:pPr>
    </w:p>
    <w:p w:rsidR="00971AE2" w:rsidRDefault="00F57CF2" w:rsidP="00397A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2-</w:t>
      </w:r>
      <w:r w:rsidR="00397AB6">
        <w:rPr>
          <w:rFonts w:hint="cs"/>
          <w:rtl/>
          <w:lang w:bidi="ar-EG"/>
        </w:rPr>
        <w:t>16</w:t>
      </w:r>
      <w:r w:rsidR="00397AB6">
        <w:rPr>
          <w:rFonts w:hint="cs"/>
          <w:rtl/>
          <w:lang w:bidi="ar-EG"/>
        </w:rPr>
        <w:tab/>
      </w:r>
      <w:r w:rsidR="00397AB6">
        <w:rPr>
          <w:rFonts w:hint="cs"/>
          <w:rtl/>
          <w:lang w:bidi="ar-EG"/>
        </w:rPr>
        <w:tab/>
      </w:r>
      <w:r w:rsidR="00971AE2">
        <w:rPr>
          <w:rFonts w:hint="cs"/>
          <w:rtl/>
          <w:lang w:bidi="ar-EG"/>
        </w:rPr>
        <w:t>المادة 16</w:t>
      </w:r>
    </w:p>
    <w:p w:rsidR="00971AE2" w:rsidRDefault="00F57CF2" w:rsidP="00F57C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الزواج والأسرة</w:t>
      </w:r>
    </w:p>
    <w:p w:rsidR="00971AE2" w:rsidRDefault="00971AE2" w:rsidP="00A343DF">
      <w:pPr>
        <w:pStyle w:val="SingleTxt"/>
        <w:rPr>
          <w:rFonts w:hint="cs"/>
          <w:rtl/>
          <w:lang w:bidi="ar-EG"/>
        </w:rPr>
      </w:pPr>
      <w:r>
        <w:rPr>
          <w:rFonts w:hint="cs"/>
          <w:rtl/>
          <w:lang w:bidi="ar-EG"/>
        </w:rPr>
        <w:tab/>
        <w:t>تتفق هذه المادة مع التوصية العامة رقم 19</w:t>
      </w:r>
      <w:r>
        <w:rPr>
          <w:rFonts w:hint="cs"/>
          <w:vertAlign w:val="superscript"/>
          <w:rtl/>
          <w:lang w:bidi="ar-EG"/>
        </w:rPr>
        <w:t>(172)</w:t>
      </w:r>
      <w:r>
        <w:rPr>
          <w:rFonts w:hint="cs"/>
          <w:rtl/>
          <w:lang w:bidi="ar-EG"/>
        </w:rPr>
        <w:t xml:space="preserve"> المتعلقة بالعنف ضد المرأة، ولا</w:t>
      </w:r>
      <w:r>
        <w:rPr>
          <w:rFonts w:hint="eastAsia"/>
          <w:rtl/>
          <w:lang w:bidi="ar-EG"/>
        </w:rPr>
        <w:t> </w:t>
      </w:r>
      <w:r>
        <w:rPr>
          <w:rFonts w:hint="cs"/>
          <w:rtl/>
          <w:lang w:bidi="ar-EG"/>
        </w:rPr>
        <w:t>سيما في إطار الأسرة، وكذلك مع التوصية العامة رقم 21</w:t>
      </w:r>
      <w:r>
        <w:rPr>
          <w:rFonts w:hint="cs"/>
          <w:vertAlign w:val="superscript"/>
          <w:rtl/>
          <w:lang w:bidi="ar-EG"/>
        </w:rPr>
        <w:t>(173)</w:t>
      </w:r>
      <w:r>
        <w:rPr>
          <w:rFonts w:hint="cs"/>
          <w:rtl/>
          <w:lang w:bidi="ar-EG"/>
        </w:rPr>
        <w:t xml:space="preserve"> المتعلقة بالمساواة في الزواج وفي العلاقات الأسرية</w:t>
      </w:r>
      <w:r w:rsidR="003D7EB4">
        <w:rPr>
          <w:rFonts w:hint="cs"/>
          <w:rtl/>
          <w:lang w:bidi="ar-EG"/>
        </w:rPr>
        <w:t>،</w:t>
      </w:r>
      <w:r>
        <w:rPr>
          <w:rFonts w:hint="cs"/>
          <w:rtl/>
          <w:lang w:bidi="ar-EG"/>
        </w:rPr>
        <w:t xml:space="preserve"> وسوف يعالج كلاهما بصورة مستفيضة في سرد المادة</w:t>
      </w:r>
      <w:r w:rsidR="003D7EB4">
        <w:rPr>
          <w:rFonts w:hint="cs"/>
          <w:rtl/>
          <w:lang w:bidi="ar-EG"/>
        </w:rPr>
        <w:t>،</w:t>
      </w:r>
    </w:p>
    <w:p w:rsidR="00397AB6" w:rsidRPr="00397AB6" w:rsidRDefault="00397AB6" w:rsidP="00397AB6">
      <w:pPr>
        <w:pStyle w:val="SingleTxt"/>
        <w:spacing w:after="0" w:line="120" w:lineRule="exact"/>
        <w:rPr>
          <w:rFonts w:hint="cs"/>
          <w:sz w:val="10"/>
          <w:rtl/>
          <w:lang w:bidi="ar-EG"/>
        </w:rPr>
      </w:pPr>
    </w:p>
    <w:p w:rsidR="00971AE2" w:rsidRDefault="00397AB6" w:rsidP="00397A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المنجزات التشريعية</w:t>
      </w:r>
    </w:p>
    <w:p w:rsidR="00971AE2" w:rsidRDefault="00971AE2" w:rsidP="00A343DF">
      <w:pPr>
        <w:pStyle w:val="SingleTxt"/>
        <w:rPr>
          <w:rFonts w:hint="cs"/>
          <w:rtl/>
          <w:lang w:bidi="ar-EG"/>
        </w:rPr>
      </w:pPr>
      <w:r>
        <w:rPr>
          <w:rFonts w:hint="cs"/>
          <w:rtl/>
          <w:lang w:bidi="ar-EG"/>
        </w:rPr>
        <w:tab/>
        <w:t>وفي هذه الفقرة تسرد القواعد الأوثق صلة المتعلقة بالزواج والأسرة، السابقة واللاحقة بالفترة المشمولة بهذا التقرير والتي لا غنى عنها لفهم الموضوع</w:t>
      </w:r>
      <w:r w:rsidR="003D7EB4">
        <w:rPr>
          <w:rFonts w:hint="cs"/>
          <w:rtl/>
          <w:lang w:bidi="ar-EG"/>
        </w:rPr>
        <w:t>،</w:t>
      </w:r>
    </w:p>
    <w:p w:rsidR="00F57CF2" w:rsidRDefault="00F57CF2" w:rsidP="00A343DF">
      <w:pPr>
        <w:pStyle w:val="SingleTxt"/>
        <w:rPr>
          <w:rFonts w:hint="cs"/>
          <w:rtl/>
          <w:lang w:bidi="ar-EG"/>
        </w:rPr>
      </w:pPr>
    </w:p>
    <w:p w:rsidR="00F57CF2" w:rsidRDefault="00F57CF2" w:rsidP="00A343DF">
      <w:pPr>
        <w:pStyle w:val="SingleTxt"/>
        <w:rPr>
          <w:rFonts w:hint="cs"/>
          <w:rtl/>
          <w:lang w:bidi="ar-EG"/>
        </w:rPr>
      </w:pPr>
    </w:p>
    <w:p w:rsidR="00F57CF2" w:rsidRDefault="00F57CF2" w:rsidP="00A343DF">
      <w:pPr>
        <w:pStyle w:val="SingleTxt"/>
        <w:rPr>
          <w:rFonts w:hint="cs"/>
          <w:rtl/>
          <w:lang w:bidi="ar-EG"/>
        </w:rPr>
      </w:pPr>
    </w:p>
    <w:p w:rsidR="00F57CF2" w:rsidRDefault="00F57CF2" w:rsidP="00A343DF">
      <w:pPr>
        <w:pStyle w:val="SingleTxt"/>
        <w:rPr>
          <w:rFonts w:hint="cs"/>
          <w:rtl/>
          <w:lang w:bidi="ar-EG"/>
        </w:rPr>
      </w:pPr>
    </w:p>
    <w:p w:rsidR="00F57CF2" w:rsidRDefault="00F57CF2" w:rsidP="00A343DF">
      <w:pPr>
        <w:pStyle w:val="SingleTxt"/>
        <w:rPr>
          <w:rFonts w:hint="cs"/>
          <w:rtl/>
          <w:lang w:bidi="ar-EG"/>
        </w:rPr>
      </w:pPr>
    </w:p>
    <w:p w:rsidR="00F57CF2" w:rsidRDefault="00F57CF2" w:rsidP="00A343DF">
      <w:pPr>
        <w:pStyle w:val="SingleTxt"/>
        <w:rPr>
          <w:rFonts w:hint="cs"/>
          <w:rtl/>
          <w:lang w:bidi="ar-EG"/>
        </w:rPr>
      </w:pPr>
    </w:p>
    <w:p w:rsidR="00686B23" w:rsidRPr="00686B23" w:rsidRDefault="00686B23" w:rsidP="00A343DF">
      <w:pPr>
        <w:pStyle w:val="SingleTxt"/>
        <w:spacing w:after="0" w:line="120" w:lineRule="exact"/>
        <w:rPr>
          <w:rFonts w:hint="cs"/>
          <w:sz w:val="10"/>
          <w:rtl/>
          <w:lang w:bidi="ar-EG"/>
        </w:rPr>
      </w:pPr>
    </w:p>
    <w:p w:rsidR="00686B23" w:rsidRPr="00686B23" w:rsidRDefault="00686B23" w:rsidP="00A343D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76"/>
        <w:gridCol w:w="5844"/>
      </w:tblGrid>
      <w:tr w:rsidR="00971AE2" w:rsidRPr="00686B23">
        <w:tblPrEx>
          <w:tblCellMar>
            <w:top w:w="0" w:type="dxa"/>
            <w:bottom w:w="0" w:type="dxa"/>
          </w:tblCellMar>
        </w:tblPrEx>
        <w:trPr>
          <w:cantSplit/>
          <w:tblHeader/>
        </w:trPr>
        <w:tc>
          <w:tcPr>
            <w:tcW w:w="1476" w:type="dxa"/>
            <w:tcBorders>
              <w:top w:val="single" w:sz="4" w:space="0" w:color="auto"/>
              <w:bottom w:val="single" w:sz="12" w:space="0" w:color="auto"/>
            </w:tcBorders>
            <w:vAlign w:val="bottom"/>
          </w:tcPr>
          <w:p w:rsidR="00971AE2" w:rsidRPr="00686B23" w:rsidRDefault="00971AE2" w:rsidP="00A343DF">
            <w:pPr>
              <w:tabs>
                <w:tab w:val="left" w:pos="288"/>
                <w:tab w:val="left" w:pos="576"/>
                <w:tab w:val="left" w:pos="864"/>
                <w:tab w:val="left" w:pos="1152"/>
              </w:tabs>
              <w:spacing w:before="80" w:after="80" w:line="240" w:lineRule="exact"/>
              <w:ind w:right="40"/>
              <w:jc w:val="lowKashida"/>
              <w:rPr>
                <w:rFonts w:hint="cs"/>
                <w:i/>
                <w:iCs/>
                <w:sz w:val="24"/>
                <w:szCs w:val="24"/>
                <w:rtl/>
              </w:rPr>
            </w:pPr>
            <w:r w:rsidRPr="00686B23">
              <w:rPr>
                <w:rFonts w:hint="cs"/>
                <w:i/>
                <w:iCs/>
                <w:sz w:val="24"/>
                <w:szCs w:val="24"/>
                <w:rtl/>
              </w:rPr>
              <w:t>القاعدة</w:t>
            </w:r>
          </w:p>
        </w:tc>
        <w:tc>
          <w:tcPr>
            <w:tcW w:w="5844" w:type="dxa"/>
            <w:tcBorders>
              <w:top w:val="single" w:sz="4" w:space="0" w:color="auto"/>
              <w:bottom w:val="single" w:sz="12" w:space="0" w:color="auto"/>
            </w:tcBorders>
            <w:vAlign w:val="bottom"/>
          </w:tcPr>
          <w:p w:rsidR="00971AE2" w:rsidRPr="00686B23" w:rsidRDefault="00971AE2" w:rsidP="00A343DF">
            <w:pPr>
              <w:tabs>
                <w:tab w:val="left" w:pos="288"/>
                <w:tab w:val="left" w:pos="576"/>
                <w:tab w:val="left" w:pos="864"/>
                <w:tab w:val="left" w:pos="1152"/>
              </w:tabs>
              <w:spacing w:before="80" w:after="80" w:line="240" w:lineRule="exact"/>
              <w:ind w:right="144"/>
              <w:jc w:val="lowKashida"/>
              <w:rPr>
                <w:rFonts w:hint="cs"/>
                <w:i/>
                <w:iCs/>
                <w:sz w:val="24"/>
                <w:szCs w:val="24"/>
                <w:rtl/>
              </w:rPr>
            </w:pPr>
            <w:r w:rsidRPr="00686B23">
              <w:rPr>
                <w:rFonts w:hint="cs"/>
                <w:i/>
                <w:iCs/>
                <w:sz w:val="24"/>
                <w:szCs w:val="24"/>
                <w:rtl/>
              </w:rPr>
              <w:t>الموضوع</w:t>
            </w:r>
          </w:p>
        </w:tc>
      </w:tr>
      <w:tr w:rsidR="00971AE2" w:rsidRPr="00686B23">
        <w:tblPrEx>
          <w:tblCellMar>
            <w:top w:w="0" w:type="dxa"/>
            <w:bottom w:w="0" w:type="dxa"/>
          </w:tblCellMar>
        </w:tblPrEx>
        <w:trPr>
          <w:cantSplit/>
          <w:trHeight w:hRule="exact" w:val="115"/>
          <w:tblHeader/>
        </w:trPr>
        <w:tc>
          <w:tcPr>
            <w:tcW w:w="1476" w:type="dxa"/>
            <w:tcBorders>
              <w:top w:val="single" w:sz="12" w:space="0" w:color="auto"/>
            </w:tcBorders>
            <w:vAlign w:val="bottom"/>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p>
        </w:tc>
        <w:tc>
          <w:tcPr>
            <w:tcW w:w="5844" w:type="dxa"/>
            <w:tcBorders>
              <w:top w:val="single" w:sz="12" w:space="0" w:color="auto"/>
            </w:tcBorders>
            <w:vAlign w:val="bottom"/>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p>
        </w:tc>
      </w:tr>
      <w:tr w:rsidR="00971AE2" w:rsidRPr="00686B23">
        <w:tblPrEx>
          <w:tblCellMar>
            <w:top w:w="0" w:type="dxa"/>
            <w:bottom w:w="0" w:type="dxa"/>
          </w:tblCellMar>
        </w:tblPrEx>
        <w:trPr>
          <w:cantSplit/>
        </w:trPr>
        <w:tc>
          <w:tcPr>
            <w:tcW w:w="1476" w:type="dxa"/>
          </w:tcPr>
          <w:p w:rsidR="00971AE2" w:rsidRPr="00686B23" w:rsidRDefault="00971AE2" w:rsidP="00397AB6">
            <w:pPr>
              <w:tabs>
                <w:tab w:val="left" w:pos="288"/>
                <w:tab w:val="left" w:pos="576"/>
                <w:tab w:val="left" w:pos="864"/>
                <w:tab w:val="left" w:pos="1152"/>
              </w:tabs>
              <w:spacing w:before="40" w:after="80" w:line="300" w:lineRule="exact"/>
              <w:ind w:right="40"/>
              <w:jc w:val="lowKashida"/>
              <w:rPr>
                <w:rFonts w:hint="cs"/>
                <w:sz w:val="24"/>
                <w:szCs w:val="24"/>
                <w:rtl/>
              </w:rPr>
            </w:pPr>
            <w:r w:rsidRPr="00686B23">
              <w:rPr>
                <w:rFonts w:hint="cs"/>
                <w:sz w:val="24"/>
                <w:szCs w:val="24"/>
                <w:rtl/>
              </w:rPr>
              <w:t>المادة رقم 42 من الدستور الوطني</w:t>
            </w:r>
          </w:p>
        </w:tc>
        <w:tc>
          <w:tcPr>
            <w:tcW w:w="5844" w:type="dxa"/>
          </w:tcPr>
          <w:p w:rsidR="00971AE2" w:rsidRPr="00686B23" w:rsidRDefault="00971AE2" w:rsidP="00397AB6">
            <w:pPr>
              <w:tabs>
                <w:tab w:val="left" w:pos="288"/>
                <w:tab w:val="left" w:pos="576"/>
                <w:tab w:val="left" w:pos="864"/>
                <w:tab w:val="left" w:pos="1152"/>
              </w:tabs>
              <w:spacing w:before="40" w:after="80" w:line="300" w:lineRule="exact"/>
              <w:ind w:right="144"/>
              <w:jc w:val="lowKashida"/>
              <w:rPr>
                <w:rFonts w:hint="eastAsia"/>
                <w:sz w:val="24"/>
                <w:szCs w:val="24"/>
                <w:rtl/>
              </w:rPr>
            </w:pPr>
            <w:r w:rsidRPr="00686B23">
              <w:rPr>
                <w:rFonts w:hint="eastAsia"/>
                <w:sz w:val="24"/>
                <w:szCs w:val="24"/>
                <w:rtl/>
              </w:rPr>
              <w:t>”الأسرة هي النواة الأساسية للمجتمع</w:t>
            </w:r>
            <w:r w:rsidR="003D7EB4">
              <w:rPr>
                <w:rFonts w:hint="eastAsia"/>
                <w:sz w:val="24"/>
                <w:szCs w:val="24"/>
                <w:rtl/>
              </w:rPr>
              <w:t>،</w:t>
            </w:r>
            <w:r w:rsidRPr="00686B23">
              <w:rPr>
                <w:rFonts w:hint="eastAsia"/>
                <w:sz w:val="24"/>
                <w:szCs w:val="24"/>
                <w:rtl/>
              </w:rPr>
              <w:t xml:space="preserve"> </w:t>
            </w:r>
            <w:r w:rsidRPr="00686B23">
              <w:rPr>
                <w:rFonts w:hint="cs"/>
                <w:sz w:val="24"/>
                <w:szCs w:val="24"/>
                <w:rtl/>
              </w:rPr>
              <w:t>وتتكون بروابط طبيعية أوقانونية بقار يتخذه رجل وامرأة بحرية لعقد الزواج أوبالرغبة المتسمة بتقدير المسؤولية في تكوينها</w:t>
            </w:r>
            <w:r w:rsidR="003D7EB4">
              <w:rPr>
                <w:rFonts w:hint="cs"/>
                <w:sz w:val="24"/>
                <w:szCs w:val="24"/>
                <w:rtl/>
              </w:rPr>
              <w:t>،</w:t>
            </w:r>
            <w:r w:rsidRPr="00686B23">
              <w:rPr>
                <w:rFonts w:hint="cs"/>
                <w:sz w:val="24"/>
                <w:szCs w:val="24"/>
                <w:rtl/>
              </w:rPr>
              <w:t xml:space="preserve"> وتكفل الدولة والمجتمع الحماية المتكاملة للأسرة</w:t>
            </w:r>
            <w:r w:rsidR="003D7EB4">
              <w:rPr>
                <w:rFonts w:hint="cs"/>
                <w:sz w:val="24"/>
                <w:szCs w:val="24"/>
                <w:rtl/>
              </w:rPr>
              <w:t>،</w:t>
            </w:r>
            <w:r w:rsidRPr="00686B23">
              <w:rPr>
                <w:rFonts w:hint="cs"/>
                <w:sz w:val="24"/>
                <w:szCs w:val="24"/>
                <w:rtl/>
              </w:rPr>
              <w:t xml:space="preserve"> ويستطيع القانون أن يحدد الزواج الأسري غير القابل للتصرف وغير القابل للحجر عليه</w:t>
            </w:r>
            <w:r w:rsidR="003D7EB4">
              <w:rPr>
                <w:rFonts w:hint="cs"/>
                <w:sz w:val="24"/>
                <w:szCs w:val="24"/>
                <w:rtl/>
              </w:rPr>
              <w:t>،</w:t>
            </w:r>
            <w:r w:rsidRPr="00686B23">
              <w:rPr>
                <w:rFonts w:hint="cs"/>
                <w:sz w:val="24"/>
                <w:szCs w:val="24"/>
                <w:rtl/>
              </w:rPr>
              <w:t xml:space="preserve"> وشرف وكرامة وخصوصية الأسرة مصونة</w:t>
            </w:r>
            <w:r w:rsidR="003D7EB4">
              <w:rPr>
                <w:rFonts w:hint="cs"/>
                <w:sz w:val="24"/>
                <w:szCs w:val="24"/>
                <w:rtl/>
              </w:rPr>
              <w:t>،</w:t>
            </w:r>
            <w:r w:rsidRPr="00686B23">
              <w:rPr>
                <w:rFonts w:hint="cs"/>
                <w:sz w:val="24"/>
                <w:szCs w:val="24"/>
                <w:rtl/>
              </w:rPr>
              <w:t xml:space="preserve"> وتقوم العلاقات الأسرية على أساس تساوي الزوجين في الحقوق والواجبات والاحترام المتبادل بين جميع أفرادها</w:t>
            </w:r>
            <w:r w:rsidR="003D7EB4">
              <w:rPr>
                <w:rFonts w:hint="cs"/>
                <w:sz w:val="24"/>
                <w:szCs w:val="24"/>
                <w:rtl/>
              </w:rPr>
              <w:t>،</w:t>
            </w:r>
            <w:r w:rsidRPr="00686B23">
              <w:rPr>
                <w:rFonts w:hint="cs"/>
                <w:sz w:val="24"/>
                <w:szCs w:val="24"/>
                <w:rtl/>
              </w:rPr>
              <w:t xml:space="preserve"> ويعتبر أي شكل من أشكال العنف في الأسرة محطما لوئامها ووحدتها ويعاقب عليه وفقا للقانون</w:t>
            </w:r>
            <w:r w:rsidR="003D7EB4">
              <w:rPr>
                <w:rFonts w:hint="cs"/>
                <w:sz w:val="24"/>
                <w:szCs w:val="24"/>
                <w:rtl/>
              </w:rPr>
              <w:t>،</w:t>
            </w:r>
            <w:r w:rsidRPr="00686B23">
              <w:rPr>
                <w:rFonts w:hint="cs"/>
                <w:sz w:val="24"/>
                <w:szCs w:val="24"/>
                <w:rtl/>
              </w:rPr>
              <w:t xml:space="preserve"> والأولاد الذين يُنجبون بطريقة طبيعية أوبمساعدة علمية في ظل الزواج أوخارجه أو+++ يتساوون في الحقوق والواجبات</w:t>
            </w:r>
            <w:r w:rsidR="003D7EB4">
              <w:rPr>
                <w:rFonts w:hint="cs"/>
                <w:sz w:val="24"/>
                <w:szCs w:val="24"/>
                <w:rtl/>
              </w:rPr>
              <w:t>،</w:t>
            </w:r>
            <w:r w:rsidRPr="00686B23">
              <w:rPr>
                <w:rFonts w:hint="cs"/>
                <w:sz w:val="24"/>
                <w:szCs w:val="24"/>
                <w:rtl/>
              </w:rPr>
              <w:t xml:space="preserve"> وسوف ينظم القانون إنجاب الأولاد على نحويتسم بتقدير المسؤولية</w:t>
            </w:r>
            <w:r w:rsidR="003D7EB4">
              <w:rPr>
                <w:rFonts w:hint="cs"/>
                <w:sz w:val="24"/>
                <w:szCs w:val="24"/>
                <w:rtl/>
              </w:rPr>
              <w:t>،</w:t>
            </w:r>
            <w:r w:rsidRPr="00686B23">
              <w:rPr>
                <w:rFonts w:hint="cs"/>
                <w:sz w:val="24"/>
                <w:szCs w:val="24"/>
                <w:rtl/>
              </w:rPr>
              <w:t xml:space="preserve"> وللزوجين الحق في أن يقرر بحرية وبطريقة تنم عن تقدير المسؤولية عدد أولادهم ويجب عليهما إعالتهم وتعليمهم وهم قصر أوعاجزون</w:t>
            </w:r>
            <w:r w:rsidR="003D7EB4">
              <w:rPr>
                <w:rFonts w:hint="cs"/>
                <w:sz w:val="24"/>
                <w:szCs w:val="24"/>
                <w:rtl/>
              </w:rPr>
              <w:t>،</w:t>
            </w:r>
            <w:r w:rsidRPr="00686B23">
              <w:rPr>
                <w:rFonts w:hint="cs"/>
                <w:sz w:val="24"/>
                <w:szCs w:val="24"/>
                <w:rtl/>
              </w:rPr>
              <w:t xml:space="preserve"> وينظم القانون المدني أشكال الزواج والسن والأهلية اللازمان لعقده وحقوق وواجبات الزوجان وانفصالهما وحل رباط الزوجية</w:t>
            </w:r>
            <w:r w:rsidR="003D7EB4">
              <w:rPr>
                <w:rFonts w:hint="cs"/>
                <w:sz w:val="24"/>
                <w:szCs w:val="24"/>
                <w:rtl/>
              </w:rPr>
              <w:t>،</w:t>
            </w:r>
            <w:r w:rsidRPr="00686B23">
              <w:rPr>
                <w:rFonts w:hint="cs"/>
                <w:sz w:val="24"/>
                <w:szCs w:val="24"/>
                <w:rtl/>
              </w:rPr>
              <w:t xml:space="preserve"> وتترتب على الزواج الديني آثار مدنية للأحكام التي ينص عليها القانون</w:t>
            </w:r>
            <w:r w:rsidR="003D7EB4">
              <w:rPr>
                <w:rFonts w:hint="cs"/>
                <w:sz w:val="24"/>
                <w:szCs w:val="24"/>
                <w:rtl/>
              </w:rPr>
              <w:t>،</w:t>
            </w:r>
            <w:r w:rsidRPr="00686B23">
              <w:rPr>
                <w:rFonts w:hint="cs"/>
                <w:sz w:val="24"/>
                <w:szCs w:val="24"/>
                <w:rtl/>
              </w:rPr>
              <w:t xml:space="preserve"> وتتوقف الآثار المدنية لكل زواج بالطلاق طبقا للقانون المدني</w:t>
            </w:r>
            <w:r w:rsidR="003D7EB4">
              <w:rPr>
                <w:rFonts w:hint="cs"/>
                <w:sz w:val="24"/>
                <w:szCs w:val="24"/>
                <w:rtl/>
              </w:rPr>
              <w:t>،</w:t>
            </w:r>
            <w:r w:rsidRPr="00686B23">
              <w:rPr>
                <w:rFonts w:hint="cs"/>
                <w:sz w:val="24"/>
                <w:szCs w:val="24"/>
                <w:rtl/>
              </w:rPr>
              <w:t xml:space="preserve"> كما تترتب على أحكام بطلان الزواج الديني الصادرة من سلطات الدين ذي الصلة آثار مدنية بالأحكام التي ينص عليها القانون</w:t>
            </w:r>
            <w:r w:rsidR="003D7EB4">
              <w:rPr>
                <w:rFonts w:hint="cs"/>
                <w:sz w:val="24"/>
                <w:szCs w:val="24"/>
                <w:rtl/>
              </w:rPr>
              <w:t>،</w:t>
            </w:r>
            <w:r w:rsidRPr="00686B23">
              <w:rPr>
                <w:rFonts w:hint="cs"/>
                <w:sz w:val="24"/>
                <w:szCs w:val="24"/>
                <w:rtl/>
              </w:rPr>
              <w:t xml:space="preserve"> وسوف يحدد القانون ما يتعلق بالحالة الاجتماعية للأشخاص والحقوق والواجبات المترتبة على الزواج</w:t>
            </w:r>
            <w:r w:rsidRPr="00686B23">
              <w:rPr>
                <w:rFonts w:hint="eastAsia"/>
                <w:sz w:val="24"/>
                <w:szCs w:val="24"/>
                <w:rtl/>
              </w:rPr>
              <w:t>“</w:t>
            </w:r>
          </w:p>
        </w:tc>
      </w:tr>
      <w:tr w:rsidR="00971AE2" w:rsidRPr="00686B23">
        <w:tblPrEx>
          <w:tblCellMar>
            <w:top w:w="0" w:type="dxa"/>
            <w:bottom w:w="0" w:type="dxa"/>
          </w:tblCellMar>
        </w:tblPrEx>
        <w:trPr>
          <w:cantSplit/>
        </w:trPr>
        <w:tc>
          <w:tcPr>
            <w:tcW w:w="1476" w:type="dxa"/>
          </w:tcPr>
          <w:p w:rsidR="00971AE2" w:rsidRPr="00686B23" w:rsidRDefault="00971AE2" w:rsidP="00397AB6">
            <w:pPr>
              <w:tabs>
                <w:tab w:val="left" w:pos="288"/>
                <w:tab w:val="left" w:pos="576"/>
                <w:tab w:val="left" w:pos="864"/>
                <w:tab w:val="left" w:pos="1152"/>
              </w:tabs>
              <w:spacing w:before="40" w:after="80" w:line="300" w:lineRule="exact"/>
              <w:ind w:right="40"/>
              <w:jc w:val="lowKashida"/>
              <w:rPr>
                <w:rFonts w:hint="cs"/>
                <w:sz w:val="24"/>
                <w:szCs w:val="24"/>
                <w:rtl/>
              </w:rPr>
            </w:pPr>
            <w:r w:rsidRPr="00686B23">
              <w:rPr>
                <w:rFonts w:hint="cs"/>
                <w:sz w:val="24"/>
                <w:szCs w:val="24"/>
                <w:rtl/>
              </w:rPr>
              <w:t>المادة رقم 44 من الدستور الوطني</w:t>
            </w:r>
          </w:p>
        </w:tc>
        <w:tc>
          <w:tcPr>
            <w:tcW w:w="5844" w:type="dxa"/>
          </w:tcPr>
          <w:p w:rsidR="00971AE2" w:rsidRPr="00686B23" w:rsidRDefault="00971AE2" w:rsidP="00397AB6">
            <w:pPr>
              <w:tabs>
                <w:tab w:val="left" w:pos="288"/>
                <w:tab w:val="left" w:pos="576"/>
                <w:tab w:val="left" w:pos="864"/>
                <w:tab w:val="left" w:pos="1152"/>
              </w:tabs>
              <w:spacing w:before="40" w:after="80" w:line="300" w:lineRule="exact"/>
              <w:ind w:right="144"/>
              <w:jc w:val="lowKashida"/>
              <w:rPr>
                <w:rFonts w:hint="cs"/>
                <w:sz w:val="24"/>
                <w:szCs w:val="24"/>
                <w:rtl/>
              </w:rPr>
            </w:pPr>
            <w:r w:rsidRPr="00686B23">
              <w:rPr>
                <w:rFonts w:hint="cs"/>
                <w:sz w:val="24"/>
                <w:szCs w:val="24"/>
                <w:rtl/>
              </w:rPr>
              <w:t>حقوق الطفل</w:t>
            </w:r>
            <w:r w:rsidR="003D7EB4">
              <w:rPr>
                <w:rFonts w:hint="cs"/>
                <w:sz w:val="24"/>
                <w:szCs w:val="24"/>
                <w:rtl/>
              </w:rPr>
              <w:t>،</w:t>
            </w:r>
          </w:p>
        </w:tc>
      </w:tr>
      <w:tr w:rsidR="00971AE2" w:rsidRPr="00686B23">
        <w:tblPrEx>
          <w:tblCellMar>
            <w:top w:w="0" w:type="dxa"/>
            <w:bottom w:w="0" w:type="dxa"/>
          </w:tblCellMar>
        </w:tblPrEx>
        <w:trPr>
          <w:cantSplit/>
        </w:trPr>
        <w:tc>
          <w:tcPr>
            <w:tcW w:w="1476" w:type="dxa"/>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المادة رقم 45 من الدستور الوطني</w:t>
            </w:r>
          </w:p>
        </w:tc>
        <w:tc>
          <w:tcPr>
            <w:tcW w:w="5844" w:type="dxa"/>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حماية المراهق</w:t>
            </w:r>
            <w:r w:rsidR="003D7EB4">
              <w:rPr>
                <w:rFonts w:hint="cs"/>
                <w:sz w:val="24"/>
                <w:szCs w:val="24"/>
                <w:rtl/>
              </w:rPr>
              <w:t>،</w:t>
            </w:r>
          </w:p>
        </w:tc>
      </w:tr>
      <w:tr w:rsidR="00971AE2" w:rsidRPr="00686B23">
        <w:tblPrEx>
          <w:tblCellMar>
            <w:top w:w="0" w:type="dxa"/>
            <w:bottom w:w="0" w:type="dxa"/>
          </w:tblCellMar>
        </w:tblPrEx>
        <w:trPr>
          <w:cantSplit/>
        </w:trPr>
        <w:tc>
          <w:tcPr>
            <w:tcW w:w="1476" w:type="dxa"/>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المادة رقم 46 من الدستور الوطني</w:t>
            </w:r>
          </w:p>
        </w:tc>
        <w:tc>
          <w:tcPr>
            <w:tcW w:w="5844" w:type="dxa"/>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حماية كبار السن</w:t>
            </w:r>
            <w:r w:rsidR="003D7EB4">
              <w:rPr>
                <w:rFonts w:hint="cs"/>
                <w:sz w:val="24"/>
                <w:szCs w:val="24"/>
                <w:rtl/>
              </w:rPr>
              <w:t>،</w:t>
            </w:r>
          </w:p>
        </w:tc>
      </w:tr>
      <w:tr w:rsidR="00971AE2" w:rsidRPr="00686B23">
        <w:tblPrEx>
          <w:tblCellMar>
            <w:top w:w="0" w:type="dxa"/>
            <w:bottom w:w="0" w:type="dxa"/>
          </w:tblCellMar>
        </w:tblPrEx>
        <w:trPr>
          <w:cantSplit/>
        </w:trPr>
        <w:tc>
          <w:tcPr>
            <w:tcW w:w="1476" w:type="dxa"/>
          </w:tcPr>
          <w:p w:rsidR="00971AE2" w:rsidRPr="00686B23" w:rsidRDefault="00971AE2" w:rsidP="00A343DF">
            <w:pPr>
              <w:tabs>
                <w:tab w:val="left" w:pos="288"/>
                <w:tab w:val="left" w:pos="576"/>
                <w:tab w:val="left" w:pos="864"/>
                <w:tab w:val="left" w:pos="1152"/>
              </w:tabs>
              <w:spacing w:before="40" w:after="80" w:line="240" w:lineRule="exact"/>
              <w:ind w:right="40"/>
              <w:jc w:val="lowKashida"/>
              <w:rPr>
                <w:rFonts w:hint="cs"/>
                <w:sz w:val="24"/>
                <w:szCs w:val="24"/>
                <w:rtl/>
              </w:rPr>
            </w:pPr>
            <w:r w:rsidRPr="00686B23">
              <w:rPr>
                <w:rFonts w:hint="cs"/>
                <w:sz w:val="24"/>
                <w:szCs w:val="24"/>
                <w:rtl/>
              </w:rPr>
              <w:t>المادة رقم 98 من الدستور الوطني</w:t>
            </w:r>
          </w:p>
        </w:tc>
        <w:tc>
          <w:tcPr>
            <w:tcW w:w="5844" w:type="dxa"/>
          </w:tcPr>
          <w:p w:rsidR="00971AE2" w:rsidRPr="00686B23" w:rsidRDefault="00971AE2" w:rsidP="00A343DF">
            <w:pPr>
              <w:tabs>
                <w:tab w:val="left" w:pos="288"/>
                <w:tab w:val="left" w:pos="576"/>
                <w:tab w:val="left" w:pos="864"/>
                <w:tab w:val="left" w:pos="1152"/>
              </w:tabs>
              <w:spacing w:before="40" w:after="80" w:line="240" w:lineRule="exact"/>
              <w:ind w:right="144"/>
              <w:jc w:val="lowKashida"/>
              <w:rPr>
                <w:rFonts w:hint="cs"/>
                <w:sz w:val="24"/>
                <w:szCs w:val="24"/>
                <w:rtl/>
              </w:rPr>
            </w:pPr>
            <w:r w:rsidRPr="00686B23">
              <w:rPr>
                <w:rFonts w:hint="cs"/>
                <w:sz w:val="24"/>
                <w:szCs w:val="24"/>
                <w:rtl/>
              </w:rPr>
              <w:t>تنص على أن سن الثامنة عشر هوالسن اللازم لكي يصبح الشخص مواطنا</w:t>
            </w:r>
            <w:r w:rsidR="003D7EB4">
              <w:rPr>
                <w:rFonts w:hint="cs"/>
                <w:sz w:val="24"/>
                <w:szCs w:val="24"/>
                <w:rtl/>
              </w:rPr>
              <w:t>،</w:t>
            </w:r>
            <w:r w:rsidRPr="00686B23">
              <w:rPr>
                <w:rFonts w:hint="cs"/>
                <w:sz w:val="24"/>
                <w:szCs w:val="24"/>
                <w:rtl/>
              </w:rPr>
              <w:t xml:space="preserve"> ولا يوجد أي اختلاف بين الرجل والمرأة فيما يتعلق بسن الرشد</w:t>
            </w:r>
            <w:r w:rsidR="003D7EB4">
              <w:rPr>
                <w:rFonts w:hint="cs"/>
                <w:sz w:val="24"/>
                <w:szCs w:val="24"/>
                <w:rtl/>
              </w:rPr>
              <w:t>،</w:t>
            </w:r>
            <w:r w:rsidRPr="00686B23">
              <w:rPr>
                <w:rFonts w:hint="cs"/>
                <w:sz w:val="24"/>
                <w:szCs w:val="24"/>
                <w:rtl/>
              </w:rPr>
              <w:t xml:space="preserve"> ويفقد الشخص المواطنة فعلا عندما يتخلى عن جنسيته ويمكن تعليق ممارسة المواطنة بموجب قرار قضائي في الحالات التي يحددها القانون</w:t>
            </w:r>
            <w:r w:rsidR="003D7EB4">
              <w:rPr>
                <w:rFonts w:hint="cs"/>
                <w:sz w:val="24"/>
                <w:szCs w:val="24"/>
                <w:rtl/>
              </w:rPr>
              <w:t>،</w:t>
            </w:r>
          </w:p>
        </w:tc>
      </w:tr>
      <w:tr w:rsidR="00971AE2" w:rsidRPr="00686B23">
        <w:tblPrEx>
          <w:tblCellMar>
            <w:top w:w="0" w:type="dxa"/>
            <w:bottom w:w="0" w:type="dxa"/>
          </w:tblCellMar>
        </w:tblPrEx>
        <w:trPr>
          <w:cantSplit/>
        </w:trPr>
        <w:tc>
          <w:tcPr>
            <w:tcW w:w="1476" w:type="dxa"/>
          </w:tcPr>
          <w:p w:rsidR="00971AE2" w:rsidRPr="00686B23" w:rsidRDefault="00971AE2" w:rsidP="00397AB6">
            <w:pPr>
              <w:tabs>
                <w:tab w:val="left" w:pos="288"/>
                <w:tab w:val="left" w:pos="576"/>
                <w:tab w:val="left" w:pos="864"/>
                <w:tab w:val="left" w:pos="1152"/>
              </w:tabs>
              <w:spacing w:before="40" w:after="80" w:line="300" w:lineRule="exact"/>
              <w:ind w:right="40"/>
              <w:jc w:val="lowKashida"/>
              <w:rPr>
                <w:rFonts w:hint="cs"/>
                <w:sz w:val="24"/>
                <w:szCs w:val="24"/>
                <w:rtl/>
              </w:rPr>
            </w:pPr>
            <w:r w:rsidRPr="00686B23">
              <w:rPr>
                <w:rFonts w:hint="cs"/>
                <w:sz w:val="24"/>
                <w:szCs w:val="24"/>
                <w:rtl/>
              </w:rPr>
              <w:t>القانون المدني:</w:t>
            </w:r>
          </w:p>
        </w:tc>
        <w:tc>
          <w:tcPr>
            <w:tcW w:w="5844" w:type="dxa"/>
          </w:tcPr>
          <w:p w:rsidR="00971AE2" w:rsidRPr="00686B23" w:rsidRDefault="00971AE2" w:rsidP="00397AB6">
            <w:pPr>
              <w:tabs>
                <w:tab w:val="left" w:pos="288"/>
                <w:tab w:val="left" w:pos="576"/>
                <w:tab w:val="left" w:pos="864"/>
                <w:tab w:val="left" w:pos="1152"/>
              </w:tabs>
              <w:spacing w:before="40" w:after="80" w:line="300" w:lineRule="exact"/>
              <w:ind w:right="144"/>
              <w:jc w:val="lowKashida"/>
              <w:rPr>
                <w:rFonts w:hint="cs"/>
                <w:sz w:val="24"/>
                <w:szCs w:val="24"/>
                <w:rtl/>
              </w:rPr>
            </w:pPr>
            <w:r w:rsidRPr="00686B23">
              <w:rPr>
                <w:rFonts w:hint="cs"/>
                <w:sz w:val="24"/>
                <w:szCs w:val="24"/>
                <w:rtl/>
              </w:rPr>
              <w:t>يتم الزواج بالموافقة الحرة والمتبادلة للمتعاقدين التي يعربا عنها أمام الموظف المختص بالطريقة والمراسم والشروط المقررة، ولا تترتب عليه أي آثار مدنية أوسياسية إذا تعارض عقده مع تلك الأشكال والمراسم والشروط</w:t>
            </w:r>
            <w:r w:rsidRPr="00686B23">
              <w:rPr>
                <w:rFonts w:hint="cs"/>
                <w:sz w:val="24"/>
                <w:szCs w:val="24"/>
                <w:vertAlign w:val="superscript"/>
                <w:rtl/>
              </w:rPr>
              <w:t>(174)</w:t>
            </w:r>
            <w:r w:rsidR="003D7EB4">
              <w:rPr>
                <w:rFonts w:hint="cs"/>
                <w:sz w:val="24"/>
                <w:szCs w:val="24"/>
                <w:rtl/>
              </w:rPr>
              <w:t>،</w:t>
            </w:r>
            <w:r w:rsidRPr="00686B23">
              <w:rPr>
                <w:rFonts w:hint="cs"/>
                <w:sz w:val="24"/>
                <w:szCs w:val="24"/>
                <w:rtl/>
              </w:rPr>
              <w:t xml:space="preserve"> وفي حالة عدم وجود عقد مكتوب تعتبر الشركة الزوجية مقامة بمجرد الزواج</w:t>
            </w:r>
            <w:r w:rsidRPr="00686B23">
              <w:rPr>
                <w:rFonts w:hint="cs"/>
                <w:sz w:val="24"/>
                <w:szCs w:val="24"/>
                <w:vertAlign w:val="superscript"/>
                <w:rtl/>
              </w:rPr>
              <w:t>(175)</w:t>
            </w:r>
            <w:r w:rsidRPr="00686B23">
              <w:rPr>
                <w:rFonts w:hint="cs"/>
                <w:sz w:val="24"/>
                <w:szCs w:val="24"/>
                <w:rtl/>
              </w:rPr>
              <w:t>، وتحل هذه الشركة محل الزواج أوالانفصال الجسدي القانوني أوبحكم بالفصل بين الأموال أوبإعلان بطلان الزواج أوبالاتفاق المشترك للزوجين ذوي الأهلية (إلا في حالات الاستثناءات القانونية)</w:t>
            </w:r>
            <w:r w:rsidRPr="00686B23">
              <w:rPr>
                <w:rFonts w:hint="cs"/>
                <w:sz w:val="24"/>
                <w:szCs w:val="24"/>
                <w:vertAlign w:val="superscript"/>
                <w:rtl/>
              </w:rPr>
              <w:t>(176)</w:t>
            </w:r>
            <w:r w:rsidR="003D7EB4">
              <w:rPr>
                <w:rFonts w:hint="cs"/>
                <w:sz w:val="24"/>
                <w:szCs w:val="24"/>
                <w:rtl/>
              </w:rPr>
              <w:t>،</w:t>
            </w:r>
            <w:r w:rsidRPr="00686B23">
              <w:rPr>
                <w:rFonts w:hint="cs"/>
                <w:sz w:val="24"/>
                <w:szCs w:val="24"/>
                <w:rtl/>
              </w:rPr>
              <w:t xml:space="preserve"> وبعد حل الشركة تبدأ تصفيتها، وعلى الرغم من أن أحد الزوجين لم يساهم في ممتلكات الشركة فإنه يكون لكلا الزوجين حق متساوفي أن يحكم له بنصف مجموع أصول الشركة المصفاة</w:t>
            </w:r>
            <w:r w:rsidR="003D7EB4">
              <w:rPr>
                <w:rFonts w:hint="cs"/>
                <w:sz w:val="24"/>
                <w:szCs w:val="24"/>
                <w:rtl/>
              </w:rPr>
              <w:t>،</w:t>
            </w:r>
          </w:p>
          <w:p w:rsidR="00971AE2" w:rsidRPr="00686B23" w:rsidRDefault="00971AE2" w:rsidP="00397AB6">
            <w:pPr>
              <w:tabs>
                <w:tab w:val="left" w:pos="288"/>
                <w:tab w:val="left" w:pos="576"/>
                <w:tab w:val="left" w:pos="864"/>
                <w:tab w:val="left" w:pos="1152"/>
              </w:tabs>
              <w:spacing w:before="40" w:after="80" w:line="300" w:lineRule="exact"/>
              <w:ind w:right="144"/>
              <w:jc w:val="lowKashida"/>
              <w:rPr>
                <w:rFonts w:hint="cs"/>
                <w:sz w:val="24"/>
                <w:szCs w:val="24"/>
                <w:rtl/>
              </w:rPr>
            </w:pPr>
            <w:r w:rsidRPr="00686B23">
              <w:rPr>
                <w:rFonts w:hint="cs"/>
                <w:sz w:val="24"/>
                <w:szCs w:val="24"/>
                <w:rtl/>
              </w:rPr>
              <w:t>وتستطيع المرأة المتزوجة والرشيدة المثول أمام المحكمة ولا تحتاج إلى إذن من زوجها ولا إلى تصريح من القاضي لإدارة أموالها والتصرف فيها ولا يكون زوجها هوممثلها القانوني</w:t>
            </w:r>
            <w:r w:rsidRPr="00686B23">
              <w:rPr>
                <w:rFonts w:hint="cs"/>
                <w:sz w:val="24"/>
                <w:szCs w:val="24"/>
                <w:vertAlign w:val="superscript"/>
                <w:rtl/>
              </w:rPr>
              <w:t>(177)</w:t>
            </w:r>
            <w:r w:rsidR="003D7EB4">
              <w:rPr>
                <w:rFonts w:hint="cs"/>
                <w:sz w:val="24"/>
                <w:szCs w:val="24"/>
                <w:rtl/>
              </w:rPr>
              <w:t>،</w:t>
            </w:r>
          </w:p>
          <w:p w:rsidR="00971AE2" w:rsidRPr="00686B23" w:rsidRDefault="00971AE2" w:rsidP="00397AB6">
            <w:pPr>
              <w:tabs>
                <w:tab w:val="left" w:pos="288"/>
                <w:tab w:val="left" w:pos="576"/>
                <w:tab w:val="left" w:pos="864"/>
                <w:tab w:val="left" w:pos="1152"/>
              </w:tabs>
              <w:spacing w:before="40" w:after="80" w:line="300" w:lineRule="exact"/>
              <w:ind w:right="144"/>
              <w:jc w:val="lowKashida"/>
              <w:rPr>
                <w:rFonts w:hint="cs"/>
                <w:sz w:val="24"/>
                <w:szCs w:val="24"/>
                <w:rtl/>
              </w:rPr>
            </w:pPr>
            <w:r w:rsidRPr="00686B23">
              <w:rPr>
                <w:rFonts w:hint="cs"/>
                <w:sz w:val="24"/>
                <w:szCs w:val="24"/>
                <w:rtl/>
              </w:rPr>
              <w:t>ويكون الزواج باطلا وغير ذي مفعول إذا كان لا يزال للرجل أوللمرأة أولكليهما صلة بزواج سابق</w:t>
            </w:r>
            <w:r w:rsidRPr="00686B23">
              <w:rPr>
                <w:rFonts w:hint="cs"/>
                <w:sz w:val="24"/>
                <w:szCs w:val="24"/>
                <w:vertAlign w:val="superscript"/>
                <w:rtl/>
              </w:rPr>
              <w:t>(178)</w:t>
            </w:r>
            <w:r w:rsidR="003D7EB4">
              <w:rPr>
                <w:rFonts w:hint="cs"/>
                <w:sz w:val="24"/>
                <w:szCs w:val="24"/>
                <w:rtl/>
              </w:rPr>
              <w:t>،</w:t>
            </w:r>
          </w:p>
          <w:p w:rsidR="00971AE2" w:rsidRPr="00686B23" w:rsidRDefault="00971AE2" w:rsidP="00397AB6">
            <w:pPr>
              <w:tabs>
                <w:tab w:val="left" w:pos="288"/>
                <w:tab w:val="left" w:pos="576"/>
                <w:tab w:val="left" w:pos="864"/>
                <w:tab w:val="left" w:pos="1152"/>
              </w:tabs>
              <w:spacing w:before="40" w:after="80" w:line="300" w:lineRule="exact"/>
              <w:ind w:right="144"/>
              <w:jc w:val="lowKashida"/>
              <w:rPr>
                <w:rFonts w:hint="cs"/>
                <w:sz w:val="24"/>
                <w:szCs w:val="24"/>
                <w:rtl/>
              </w:rPr>
            </w:pPr>
            <w:r w:rsidRPr="00686B23">
              <w:rPr>
                <w:rFonts w:hint="cs"/>
                <w:sz w:val="24"/>
                <w:szCs w:val="24"/>
                <w:rtl/>
              </w:rPr>
              <w:t>وفي حالة الانفصال أوالطلاق يجب على كلا الزوجين تلبية احتياجات الأسرة المشتركة بما يتناسب مع قدرات كل منهما</w:t>
            </w:r>
            <w:r w:rsidR="003D7EB4">
              <w:rPr>
                <w:rFonts w:hint="cs"/>
                <w:sz w:val="24"/>
                <w:szCs w:val="24"/>
                <w:rtl/>
              </w:rPr>
              <w:t>،</w:t>
            </w:r>
          </w:p>
          <w:p w:rsidR="00971AE2" w:rsidRPr="00686B23" w:rsidRDefault="00971AE2" w:rsidP="00397AB6">
            <w:pPr>
              <w:tabs>
                <w:tab w:val="left" w:pos="288"/>
                <w:tab w:val="left" w:pos="576"/>
                <w:tab w:val="left" w:pos="864"/>
                <w:tab w:val="left" w:pos="1152"/>
              </w:tabs>
              <w:spacing w:before="40" w:after="80" w:line="300" w:lineRule="exact"/>
              <w:ind w:right="144"/>
              <w:jc w:val="lowKashida"/>
              <w:rPr>
                <w:rFonts w:hint="cs"/>
                <w:sz w:val="24"/>
                <w:szCs w:val="24"/>
                <w:rtl/>
              </w:rPr>
            </w:pPr>
            <w:r w:rsidRPr="00686B23">
              <w:rPr>
                <w:rFonts w:hint="cs"/>
                <w:sz w:val="24"/>
                <w:szCs w:val="24"/>
                <w:rtl/>
              </w:rPr>
              <w:t>وتستحق الأغذية للأولاد والزوج والرفاق الدائمين</w:t>
            </w:r>
            <w:r w:rsidRPr="00686B23">
              <w:rPr>
                <w:rFonts w:hint="cs"/>
                <w:sz w:val="24"/>
                <w:szCs w:val="24"/>
                <w:vertAlign w:val="superscript"/>
                <w:rtl/>
              </w:rPr>
              <w:t>(179)</w:t>
            </w:r>
            <w:r w:rsidRPr="00686B23">
              <w:rPr>
                <w:rFonts w:hint="cs"/>
                <w:sz w:val="24"/>
                <w:szCs w:val="24"/>
                <w:rtl/>
              </w:rPr>
              <w:t>، وللأسلاف وللأبناء المتبنين وللآباء المتبنين وللأشقاء الشرعيين، على نفقة الزوج المذنب أوالزوج المطلق أوالمنفصل جسديا دون ذنب اقترفه</w:t>
            </w:r>
            <w:r w:rsidRPr="00686B23">
              <w:rPr>
                <w:rFonts w:hint="cs"/>
                <w:sz w:val="24"/>
                <w:szCs w:val="24"/>
                <w:vertAlign w:val="superscript"/>
                <w:rtl/>
              </w:rPr>
              <w:t>(180)</w:t>
            </w:r>
            <w:r w:rsidR="003D7EB4">
              <w:rPr>
                <w:rFonts w:hint="cs"/>
                <w:sz w:val="24"/>
                <w:szCs w:val="24"/>
                <w:rtl/>
              </w:rPr>
              <w:t>،</w:t>
            </w:r>
            <w:r w:rsidRPr="00686B23">
              <w:rPr>
                <w:rFonts w:hint="cs"/>
                <w:sz w:val="24"/>
                <w:szCs w:val="24"/>
                <w:rtl/>
              </w:rPr>
              <w:t xml:space="preserve"> ولا تستحق الأغذية الملائمة أواللازمة إلا بالجزء الذي لا تغطيه وسائل معيشة الشخص القائم بدفع نفقة الغذاء للإعالة بطريقة تتناسب مع مركزه الاجتماعي أوللإبقاء على قيد الحياة</w:t>
            </w:r>
            <w:r w:rsidR="003D7EB4">
              <w:rPr>
                <w:rFonts w:hint="cs"/>
                <w:sz w:val="24"/>
                <w:szCs w:val="24"/>
                <w:rtl/>
              </w:rPr>
              <w:t>،</w:t>
            </w:r>
          </w:p>
          <w:p w:rsidR="00971AE2" w:rsidRPr="00686B23" w:rsidRDefault="00971AE2" w:rsidP="00397AB6">
            <w:pPr>
              <w:tabs>
                <w:tab w:val="left" w:pos="288"/>
                <w:tab w:val="left" w:pos="576"/>
                <w:tab w:val="left" w:pos="864"/>
                <w:tab w:val="left" w:pos="1152"/>
              </w:tabs>
              <w:spacing w:before="40" w:after="80" w:line="300" w:lineRule="exact"/>
              <w:ind w:right="144"/>
              <w:jc w:val="lowKashida"/>
              <w:rPr>
                <w:rFonts w:hint="cs"/>
                <w:sz w:val="24"/>
                <w:szCs w:val="24"/>
                <w:rtl/>
              </w:rPr>
            </w:pPr>
            <w:r w:rsidRPr="00686B23">
              <w:rPr>
                <w:rFonts w:hint="cs"/>
                <w:sz w:val="24"/>
                <w:szCs w:val="24"/>
                <w:rtl/>
              </w:rPr>
              <w:t>ويستطيع الأشخاص (الرجال والنساء) الذين بلغوا سن الثامنة عشرة أن يتزوجوا بحرية</w:t>
            </w:r>
            <w:r w:rsidRPr="00686B23">
              <w:rPr>
                <w:rFonts w:hint="cs"/>
                <w:sz w:val="24"/>
                <w:szCs w:val="24"/>
                <w:vertAlign w:val="superscript"/>
                <w:rtl/>
              </w:rPr>
              <w:t>(181)</w:t>
            </w:r>
            <w:r w:rsidR="003D7EB4">
              <w:rPr>
                <w:rFonts w:hint="cs"/>
                <w:sz w:val="24"/>
                <w:szCs w:val="24"/>
                <w:rtl/>
              </w:rPr>
              <w:t>،</w:t>
            </w:r>
            <w:r w:rsidRPr="00686B23">
              <w:rPr>
                <w:rFonts w:hint="cs"/>
                <w:sz w:val="24"/>
                <w:szCs w:val="24"/>
                <w:rtl/>
              </w:rPr>
              <w:t xml:space="preserve"> ويكون الزواج باطلا وقابلا للتصحيح إذا عُقد بين قصر غير بالغين، أي أنثى لم تبلغ سن الثانية عشرة وذكر لم يبلغ سن الرابعة عشرة</w:t>
            </w:r>
            <w:r w:rsidR="003D7EB4">
              <w:rPr>
                <w:rFonts w:hint="cs"/>
                <w:sz w:val="24"/>
                <w:szCs w:val="24"/>
                <w:rtl/>
              </w:rPr>
              <w:t>،</w:t>
            </w:r>
            <w:r w:rsidRPr="00686B23">
              <w:rPr>
                <w:rFonts w:hint="cs"/>
                <w:sz w:val="24"/>
                <w:szCs w:val="24"/>
                <w:rtl/>
              </w:rPr>
              <w:t xml:space="preserve"> ويكون البطلان قابلا للتصحيح إذا كانت الإنثى حاملا، بمرور الوقت (3 أشهر من بلوغها) أوبتصديق صريح من الطرفين بمجرد بلوغهما</w:t>
            </w:r>
            <w:r w:rsidR="003D7EB4">
              <w:rPr>
                <w:rFonts w:hint="cs"/>
                <w:sz w:val="24"/>
                <w:szCs w:val="24"/>
                <w:rtl/>
              </w:rPr>
              <w:t>،</w:t>
            </w:r>
            <w:r w:rsidRPr="00686B23">
              <w:rPr>
                <w:rFonts w:hint="cs"/>
                <w:sz w:val="24"/>
                <w:szCs w:val="24"/>
                <w:rtl/>
              </w:rPr>
              <w:t xml:space="preserve"> وفيما يتعلق بالقصر البالغين الذين تجاوزا سن الثانية عشرة والرابعة عشرة لكنهم لم يبلغوا الثامنة عشرة يلزم إذن من أبويهما أوكافليهما أوالقيمين عليهما حتى يتسنى عقد الزواج</w:t>
            </w:r>
            <w:r w:rsidRPr="00686B23">
              <w:rPr>
                <w:rFonts w:hint="cs"/>
                <w:sz w:val="24"/>
                <w:szCs w:val="24"/>
                <w:vertAlign w:val="superscript"/>
                <w:rtl/>
              </w:rPr>
              <w:t>(182)</w:t>
            </w:r>
            <w:r w:rsidR="003D7EB4">
              <w:rPr>
                <w:rFonts w:hint="cs"/>
                <w:sz w:val="24"/>
                <w:szCs w:val="24"/>
                <w:rtl/>
              </w:rPr>
              <w:t>،</w:t>
            </w:r>
            <w:r w:rsidRPr="00686B23">
              <w:rPr>
                <w:rFonts w:hint="cs"/>
                <w:sz w:val="24"/>
                <w:szCs w:val="24"/>
                <w:rtl/>
              </w:rPr>
              <w:t xml:space="preserve"> ومع ذلك فإن عدم وجود إذن لا يمثل بطلانا بل هوشرط يترتب على عدم استيائه نتائج تتعلق بالزواج</w:t>
            </w:r>
            <w:r w:rsidRPr="00686B23">
              <w:rPr>
                <w:rFonts w:hint="cs"/>
                <w:sz w:val="24"/>
                <w:szCs w:val="24"/>
                <w:vertAlign w:val="superscript"/>
                <w:rtl/>
              </w:rPr>
              <w:t>(183)</w:t>
            </w:r>
            <w:r w:rsidR="003D7EB4">
              <w:rPr>
                <w:rFonts w:hint="cs"/>
                <w:sz w:val="24"/>
                <w:szCs w:val="24"/>
                <w:rtl/>
              </w:rPr>
              <w:t>،</w:t>
            </w:r>
          </w:p>
        </w:tc>
      </w:tr>
      <w:tr w:rsidR="00971AE2" w:rsidRPr="00686B23">
        <w:tblPrEx>
          <w:tblCellMar>
            <w:top w:w="0" w:type="dxa"/>
            <w:bottom w:w="0" w:type="dxa"/>
          </w:tblCellMar>
        </w:tblPrEx>
        <w:trPr>
          <w:cantSplit/>
        </w:trPr>
        <w:tc>
          <w:tcPr>
            <w:tcW w:w="1476" w:type="dxa"/>
            <w:tcBorders>
              <w:bottom w:val="single" w:sz="12" w:space="0" w:color="auto"/>
            </w:tcBorders>
          </w:tcPr>
          <w:p w:rsidR="00971AE2" w:rsidRPr="00686B23" w:rsidRDefault="00971AE2" w:rsidP="00397AB6">
            <w:pPr>
              <w:tabs>
                <w:tab w:val="left" w:pos="288"/>
                <w:tab w:val="left" w:pos="576"/>
                <w:tab w:val="left" w:pos="864"/>
                <w:tab w:val="left" w:pos="1152"/>
              </w:tabs>
              <w:spacing w:before="40" w:after="80" w:line="300" w:lineRule="exact"/>
              <w:ind w:right="40"/>
              <w:jc w:val="lowKashida"/>
              <w:rPr>
                <w:rFonts w:hint="cs"/>
                <w:sz w:val="24"/>
                <w:szCs w:val="24"/>
                <w:rtl/>
              </w:rPr>
            </w:pPr>
            <w:r w:rsidRPr="00686B23">
              <w:rPr>
                <w:rFonts w:hint="cs"/>
                <w:sz w:val="24"/>
                <w:szCs w:val="24"/>
                <w:rtl/>
              </w:rPr>
              <w:t>القانون رقم 28 لسنة 1932</w:t>
            </w:r>
          </w:p>
        </w:tc>
        <w:tc>
          <w:tcPr>
            <w:tcW w:w="5844" w:type="dxa"/>
            <w:tcBorders>
              <w:bottom w:val="single" w:sz="12" w:space="0" w:color="auto"/>
            </w:tcBorders>
          </w:tcPr>
          <w:p w:rsidR="00971AE2" w:rsidRPr="00686B23" w:rsidRDefault="00971AE2" w:rsidP="00397AB6">
            <w:pPr>
              <w:tabs>
                <w:tab w:val="left" w:pos="288"/>
                <w:tab w:val="left" w:pos="576"/>
                <w:tab w:val="left" w:pos="864"/>
                <w:tab w:val="left" w:pos="1152"/>
              </w:tabs>
              <w:spacing w:before="40" w:after="80" w:line="300" w:lineRule="exact"/>
              <w:ind w:right="144"/>
              <w:jc w:val="lowKashida"/>
              <w:rPr>
                <w:rFonts w:hint="cs"/>
                <w:sz w:val="24"/>
                <w:szCs w:val="24"/>
                <w:rtl/>
              </w:rPr>
            </w:pPr>
            <w:r w:rsidRPr="00686B23">
              <w:rPr>
                <w:rFonts w:hint="cs"/>
                <w:sz w:val="24"/>
                <w:szCs w:val="24"/>
                <w:rtl/>
              </w:rPr>
              <w:t>يلغي السلطات العليا للزوج ويمنح المرأة المتزوجة الأهلية المدنية التي فقدتها بسبب الزواج ويوفر ظروف المساواة مع الرجل في اكتساب الممتلكات وإدارتها والتصرف فيها</w:t>
            </w:r>
            <w:r w:rsidR="003D7EB4">
              <w:rPr>
                <w:rFonts w:hint="cs"/>
                <w:sz w:val="24"/>
                <w:szCs w:val="24"/>
                <w:rtl/>
              </w:rPr>
              <w:t>،</w:t>
            </w:r>
          </w:p>
        </w:tc>
      </w:tr>
    </w:tbl>
    <w:p w:rsidR="00971AE2" w:rsidRDefault="00971AE2" w:rsidP="00A343DF">
      <w:pPr>
        <w:pStyle w:val="SingleTxt"/>
        <w:spacing w:after="0" w:line="120" w:lineRule="exact"/>
        <w:rPr>
          <w:rFonts w:hint="cs"/>
          <w:sz w:val="10"/>
          <w:rtl/>
          <w:lang w:bidi="ar-EG"/>
        </w:rPr>
      </w:pPr>
    </w:p>
    <w:tbl>
      <w:tblPr>
        <w:tblW w:w="7313" w:type="dxa"/>
        <w:tblInd w:w="13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56"/>
        <w:gridCol w:w="1957"/>
      </w:tblGrid>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397AB6">
              <w:rPr>
                <w:sz w:val="24"/>
                <w:szCs w:val="24"/>
                <w:rtl/>
              </w:rPr>
              <w:t>القانون الأساسي للحالة المدنية</w:t>
            </w:r>
            <w:r w:rsidRPr="00686B23">
              <w:rPr>
                <w:sz w:val="24"/>
                <w:szCs w:val="24"/>
                <w:rtl/>
              </w:rPr>
              <w:t xml:space="preserve"> للأشخاص</w:t>
            </w:r>
            <w:r w:rsidR="003D7EB4">
              <w:rPr>
                <w:sz w:val="24"/>
                <w:szCs w:val="24"/>
                <w:rtl/>
              </w:rPr>
              <w:t>،</w:t>
            </w:r>
            <w:r w:rsidRPr="00686B23">
              <w:rPr>
                <w:sz w:val="24"/>
                <w:szCs w:val="24"/>
                <w:rtl/>
              </w:rPr>
              <w:t xml:space="preserve"> أنهى الالتزام باستعمال لفظة (حرم) باعتبارها اسماً للزوجة؛ وأصبح استعمالها اختياريا حالياً</w:t>
            </w:r>
            <w:r w:rsidR="003D7EB4">
              <w:rPr>
                <w:sz w:val="24"/>
                <w:szCs w:val="24"/>
                <w:rtl/>
              </w:rPr>
              <w:t>،</w:t>
            </w:r>
            <w:r w:rsidRPr="00686B23">
              <w:rPr>
                <w:sz w:val="24"/>
                <w:szCs w:val="24"/>
                <w:rtl/>
              </w:rPr>
              <w:t xml:space="preserve"> ونص هذا القانون على أن الإثبات الوحيد للحالة المدنية هو السجل، بحيث أصبح تسجيل الزواج والطلاق إجبارياً</w:t>
            </w:r>
            <w:r w:rsidR="003D7EB4">
              <w:rPr>
                <w:sz w:val="24"/>
                <w:szCs w:val="24"/>
                <w:rtl/>
              </w:rPr>
              <w:t>،</w:t>
            </w:r>
          </w:p>
        </w:tc>
        <w:tc>
          <w:tcPr>
            <w:tcW w:w="1957" w:type="dxa"/>
          </w:tcPr>
          <w:p w:rsidR="00971AE2" w:rsidRPr="00397AB6" w:rsidRDefault="00971AE2" w:rsidP="00A343DF">
            <w:pPr>
              <w:jc w:val="lowKashida"/>
              <w:rPr>
                <w:sz w:val="24"/>
                <w:szCs w:val="24"/>
                <w:rtl/>
              </w:rPr>
            </w:pPr>
            <w:r w:rsidRPr="00397AB6">
              <w:rPr>
                <w:sz w:val="24"/>
                <w:szCs w:val="24"/>
                <w:rtl/>
              </w:rPr>
              <w:t>المرسوم رقم 1260 لسنة 1970</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يكرس المساواة في الحقوق والالتزامات بين الرجل والمرأة، بما في ذلك السلطة على الأبناء</w:t>
            </w:r>
            <w:r w:rsidR="003D7EB4">
              <w:rPr>
                <w:sz w:val="24"/>
                <w:szCs w:val="24"/>
                <w:rtl/>
              </w:rPr>
              <w:t>،</w:t>
            </w:r>
            <w:r w:rsidRPr="00686B23">
              <w:rPr>
                <w:sz w:val="24"/>
                <w:szCs w:val="24"/>
                <w:rtl/>
              </w:rPr>
              <w:t xml:space="preserve"> ويقع على كل من الزوج والزوجة التزام بالعيش معاً وإدارة شؤون الأسرة بصورة مشتركة (وتقع هذه المسؤولية على عاتق أحد الزوجين عندما يعجز الطرف الآخر عن القيام بها أو في حالة غيابه) وسلطة تحديد محل الإقامة (في حالة غياب أو حجز أو حبس أحد الزوجين يحدده الآخر)</w:t>
            </w:r>
            <w:r w:rsidR="003D7EB4">
              <w:rPr>
                <w:sz w:val="24"/>
                <w:szCs w:val="24"/>
                <w:rtl/>
              </w:rPr>
              <w:t>،</w:t>
            </w:r>
            <w:r w:rsidRPr="00686B23">
              <w:rPr>
                <w:sz w:val="24"/>
                <w:szCs w:val="24"/>
                <w:rtl/>
              </w:rPr>
              <w:t xml:space="preserve"> ويجب على كل من الزوجين تلبية الاحتياجات المنزلية العادية حسب قدرته</w:t>
            </w:r>
            <w:r w:rsidR="003D7EB4">
              <w:rPr>
                <w:sz w:val="24"/>
                <w:szCs w:val="24"/>
                <w:rtl/>
              </w:rPr>
              <w:t>،</w:t>
            </w:r>
            <w:r w:rsidRPr="00686B23">
              <w:rPr>
                <w:sz w:val="24"/>
                <w:szCs w:val="24"/>
                <w:rtl/>
              </w:rPr>
              <w:t xml:space="preserve"> ويصدق هذا القانون على الشركة الزوجية أو على التشارك في الأموال نتيجة للزواج، ويفرض على الرجال التزام بالإخلاص، وكان هذا الالتزام مفروضاً على النساء فقط من قبل</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المرسوم رقم 2820 لسنة 1974</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النظام الأساسي للتبني</w:t>
            </w:r>
            <w:r w:rsidR="003D7EB4">
              <w:rPr>
                <w:sz w:val="24"/>
                <w:szCs w:val="24"/>
                <w:rtl/>
              </w:rPr>
              <w:t>،</w:t>
            </w:r>
            <w:r w:rsidRPr="00686B23">
              <w:rPr>
                <w:sz w:val="24"/>
                <w:szCs w:val="24"/>
                <w:rtl/>
              </w:rPr>
              <w:t xml:space="preserve"> تدابير لحماية القصر</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5 لسنة 1975</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المساواة في الحق في الإرث أو الميراث بين الأبناء الشرعيين والمولودين خارج نطاق الزوجية والمتبنيين، ويُدخل هذا القانون التعديلات اللازمة على نظم الميراث المختلفة</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29 لسنة 1982</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يشمل الرفيقة الدائمة باعتبارها مستفيدة من المعاش</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113 لسنة 1975</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ينظِم الارتباط بحكم الواقع ويعرفه بأنه "الارتباط بين رجل وامرأة غير متزوجين ويعاشر كل منهما الآخر فقط بصفة دائمة معاشرة الأزواج دون أي شخص آخر"</w:t>
            </w:r>
            <w:r w:rsidR="003D7EB4">
              <w:rPr>
                <w:sz w:val="24"/>
                <w:szCs w:val="24"/>
                <w:rtl/>
              </w:rPr>
              <w:t>،</w:t>
            </w:r>
            <w:r w:rsidRPr="00686B23">
              <w:rPr>
                <w:sz w:val="24"/>
                <w:szCs w:val="24"/>
                <w:rtl/>
              </w:rPr>
              <w:t xml:space="preserve"> وهو يحمي الارتباط بحكم الواقع باعتباره شكلاً من أشكال الأسرة وينص على أن الأولاد المولودين نتيجة هذا الارتباط لهم بالضبط ما لأولاد الزيجات من حقوق</w:t>
            </w:r>
            <w:r w:rsidR="003D7EB4">
              <w:rPr>
                <w:sz w:val="24"/>
                <w:szCs w:val="24"/>
                <w:rtl/>
              </w:rPr>
              <w:t>،</w:t>
            </w:r>
            <w:r w:rsidRPr="00686B23">
              <w:rPr>
                <w:sz w:val="24"/>
                <w:szCs w:val="24"/>
                <w:rtl/>
              </w:rPr>
              <w:t xml:space="preserve"> ويشترط في هذا الارتباط أن يستمر لمدة عامين على الأقل لكي يعتبر شركة زوجية بين رفيقين دائمين</w:t>
            </w:r>
            <w:r w:rsidR="003D7EB4">
              <w:rPr>
                <w:sz w:val="24"/>
                <w:szCs w:val="24"/>
                <w:rtl/>
              </w:rPr>
              <w:t>،</w:t>
            </w:r>
            <w:r w:rsidRPr="00686B23">
              <w:rPr>
                <w:sz w:val="24"/>
                <w:szCs w:val="24"/>
                <w:rtl/>
              </w:rPr>
              <w:t xml:space="preserve"> ويقع على عاتق هذين الرفيقين التزام متبادل بإغاثة ومساعدة الطرف الآخر، شأنهما في ذلك كشأن الزوجين، ولهما نفقة بنفس الشروط المنطبقة على الأزواج والزوجات</w:t>
            </w:r>
            <w:r w:rsidR="003D7EB4">
              <w:rPr>
                <w:sz w:val="24"/>
                <w:szCs w:val="24"/>
                <w:rtl/>
              </w:rPr>
              <w:t>،</w:t>
            </w:r>
          </w:p>
        </w:tc>
        <w:tc>
          <w:tcPr>
            <w:tcW w:w="1957" w:type="dxa"/>
          </w:tcPr>
          <w:p w:rsidR="00971AE2" w:rsidRPr="00686B23" w:rsidRDefault="00971AE2" w:rsidP="00A343DF">
            <w:pPr>
              <w:jc w:val="lowKashida"/>
              <w:rPr>
                <w:sz w:val="24"/>
                <w:szCs w:val="24"/>
                <w:rtl/>
              </w:rPr>
            </w:pPr>
            <w:r w:rsidRPr="00686B23">
              <w:rPr>
                <w:sz w:val="24"/>
                <w:szCs w:val="24"/>
                <w:rtl/>
              </w:rPr>
              <w:t>القانون رقم 54 لسنة 1990</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يحظر التمييز ضد المرأة في العلاقات الأسرية ويمنحها نفس حقوق والتزامات الرجل، ويحظر التمييز بسبب الإنجاب ويلقي على عاتق الشريكين مسؤولية مشتركة عن تعليم الأولاد</w:t>
            </w:r>
            <w:r w:rsidR="003D7EB4">
              <w:rPr>
                <w:sz w:val="24"/>
                <w:szCs w:val="24"/>
                <w:rtl/>
              </w:rPr>
              <w:t>،</w:t>
            </w:r>
          </w:p>
        </w:tc>
        <w:tc>
          <w:tcPr>
            <w:tcW w:w="1957" w:type="dxa"/>
          </w:tcPr>
          <w:p w:rsidR="00971AE2" w:rsidRPr="00686B23" w:rsidRDefault="00971AE2" w:rsidP="00A343DF">
            <w:pPr>
              <w:jc w:val="lowKashida"/>
              <w:rPr>
                <w:sz w:val="24"/>
                <w:szCs w:val="24"/>
                <w:rtl/>
              </w:rPr>
            </w:pPr>
            <w:r w:rsidRPr="00686B23">
              <w:rPr>
                <w:sz w:val="24"/>
                <w:szCs w:val="24"/>
                <w:rtl/>
              </w:rPr>
              <w:t>المرسوم رقم 1398 لسنة 1990</w:t>
            </w:r>
          </w:p>
        </w:tc>
      </w:tr>
      <w:tr w:rsidR="00971AE2" w:rsidRPr="00686B23">
        <w:tblPrEx>
          <w:tblCellMar>
            <w:top w:w="0" w:type="dxa"/>
            <w:bottom w:w="0" w:type="dxa"/>
          </w:tblCellMar>
        </w:tblPrEx>
        <w:tc>
          <w:tcPr>
            <w:tcW w:w="5356" w:type="dxa"/>
          </w:tcPr>
          <w:p w:rsidR="00971AE2" w:rsidRPr="00686B23" w:rsidRDefault="00971AE2" w:rsidP="000A316D">
            <w:pPr>
              <w:jc w:val="lowKashida"/>
              <w:rPr>
                <w:sz w:val="24"/>
                <w:szCs w:val="24"/>
                <w:rtl/>
              </w:rPr>
            </w:pPr>
            <w:r w:rsidRPr="00686B23">
              <w:rPr>
                <w:sz w:val="24"/>
                <w:szCs w:val="24"/>
                <w:rtl/>
              </w:rPr>
              <w:t>يرتب على الزيجات المعقودة وفقاً لتعاليم أو قواعد أي عقيدة دينية أو كنسية آثار قانونية كاملة</w:t>
            </w:r>
            <w:r w:rsidR="000A316D" w:rsidRPr="000A316D">
              <w:rPr>
                <w:rFonts w:hint="cs"/>
                <w:sz w:val="24"/>
                <w:szCs w:val="24"/>
                <w:vertAlign w:val="superscript"/>
                <w:rtl/>
              </w:rPr>
              <w:t>184</w:t>
            </w:r>
            <w:r w:rsidRPr="00686B23">
              <w:rPr>
                <w:sz w:val="24"/>
                <w:szCs w:val="24"/>
                <w:rtl/>
              </w:rPr>
              <w:t xml:space="preserve"> وفقاً لاتفاقات ومعاهدات القانون الدولي أو القانون العام الداخلي للدولة الكولومبية على أن تكون هذه العقيدة أو الكنيسة ذات شخصية اعتبارية ومسجلة في سجل الهيئات الدينية في وزارة الداخلية/ العدل وأن تكون لها بشأن نظام الزواج أحكام تنظيِمية لا تتعارض مع الدستور الوطني وتكفل جدية واستمرار تنظيمه الديني</w:t>
            </w:r>
            <w:r w:rsidR="000A316D" w:rsidRPr="000A316D">
              <w:rPr>
                <w:rFonts w:hint="cs"/>
                <w:sz w:val="24"/>
                <w:szCs w:val="24"/>
                <w:vertAlign w:val="superscript"/>
                <w:rtl/>
              </w:rPr>
              <w:t>185</w:t>
            </w:r>
            <w:r w:rsidR="003D7EB4">
              <w:rPr>
                <w:sz w:val="24"/>
                <w:szCs w:val="24"/>
                <w:rtl/>
              </w:rPr>
              <w:t>،</w:t>
            </w:r>
          </w:p>
          <w:p w:rsidR="00971AE2" w:rsidRPr="00686B23" w:rsidRDefault="00971AE2" w:rsidP="00A343DF">
            <w:pPr>
              <w:jc w:val="lowKashida"/>
              <w:rPr>
                <w:sz w:val="24"/>
                <w:szCs w:val="24"/>
                <w:rtl/>
              </w:rPr>
            </w:pPr>
            <w:r w:rsidRPr="00686B23">
              <w:rPr>
                <w:sz w:val="24"/>
                <w:szCs w:val="24"/>
                <w:rtl/>
              </w:rPr>
              <w:t>يحل الزواج المدني بالوفاة الفعلية أو المفترضة لأحد الزوجين أو بالطلاق بقرار قضائي</w:t>
            </w:r>
            <w:r w:rsidR="000A316D" w:rsidRPr="000A316D">
              <w:rPr>
                <w:rFonts w:hint="cs"/>
                <w:sz w:val="24"/>
                <w:szCs w:val="24"/>
                <w:vertAlign w:val="superscript"/>
                <w:rtl/>
              </w:rPr>
              <w:t>186</w:t>
            </w:r>
            <w:r w:rsidR="003D7EB4">
              <w:rPr>
                <w:sz w:val="24"/>
                <w:szCs w:val="24"/>
                <w:rtl/>
              </w:rPr>
              <w:t>،</w:t>
            </w:r>
            <w:r w:rsidRPr="00686B23">
              <w:rPr>
                <w:sz w:val="24"/>
                <w:szCs w:val="24"/>
                <w:rtl/>
              </w:rPr>
              <w:t xml:space="preserve"> وأسباب الطلاق المنصوص عليها في القانون متاحة للرجل والمرأة على قدم المساواة</w:t>
            </w:r>
            <w:r w:rsidR="003D7EB4">
              <w:rPr>
                <w:sz w:val="24"/>
                <w:szCs w:val="24"/>
                <w:rtl/>
              </w:rPr>
              <w:t>،</w:t>
            </w:r>
            <w:r w:rsidRPr="00686B23">
              <w:rPr>
                <w:sz w:val="24"/>
                <w:szCs w:val="24"/>
                <w:rtl/>
              </w:rPr>
              <w:t xml:space="preserve"> ولا يوجد طلاق بالهجر بل للأسباب المحدقة للطلاق يصبح أيضاً بالطلاق بموافقة الطرفين</w:t>
            </w:r>
            <w:r w:rsidR="000A316D" w:rsidRPr="000A316D">
              <w:rPr>
                <w:rFonts w:hint="cs"/>
                <w:sz w:val="24"/>
                <w:szCs w:val="24"/>
                <w:vertAlign w:val="superscript"/>
                <w:rtl/>
              </w:rPr>
              <w:t>187</w:t>
            </w:r>
            <w:r w:rsidR="003D7EB4">
              <w:rPr>
                <w:sz w:val="24"/>
                <w:szCs w:val="24"/>
                <w:rtl/>
              </w:rPr>
              <w:t>،</w:t>
            </w:r>
            <w:r w:rsidRPr="00686B23">
              <w:rPr>
                <w:sz w:val="24"/>
                <w:szCs w:val="24"/>
                <w:rtl/>
              </w:rPr>
              <w:t xml:space="preserve"> وفيما يتعلق بحل أو تصفية الشركة الزوجية وقانون التوارث تتمتع المرأة بنفس ما يتمتع به الرجل من حقوق</w:t>
            </w:r>
            <w:r w:rsidR="003D7EB4">
              <w:rPr>
                <w:sz w:val="24"/>
                <w:szCs w:val="24"/>
                <w:rtl/>
              </w:rPr>
              <w:t>،</w:t>
            </w:r>
            <w:r w:rsidRPr="00686B23">
              <w:rPr>
                <w:sz w:val="24"/>
                <w:szCs w:val="24"/>
                <w:rtl/>
              </w:rPr>
              <w:t xml:space="preserve"> ومتى نُفذ الحكم بالطلاق يحل رباط الزوجية والشركة الزوجية لكن تستمر حقوق وواجبات الطرفين تجاه الأولاد المشتركين والحقوق والواجبات المتعلقة بنفقة الزوجين، حسب الحالة</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25 لسنة 1992</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يمنح الرفيقة الدائمة المسجلة حسب الأصول نفس الحق الذي تتمتع به الزوجة فيما يتعلق بقروض المتوفي</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100 لسنة 1993</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lang w:val="fr-CH"/>
              </w:rPr>
            </w:pPr>
            <w:r w:rsidRPr="00686B23">
              <w:rPr>
                <w:sz w:val="24"/>
                <w:szCs w:val="24"/>
                <w:rtl/>
              </w:rPr>
              <w:t>يعتمد اتفاقية البلدان الأمريكية لمنع وقمع واستئصال العنف ضد</w:t>
            </w:r>
            <w:r w:rsidRPr="00686B23">
              <w:rPr>
                <w:sz w:val="24"/>
                <w:szCs w:val="24"/>
                <w:lang w:val="fr-CH"/>
              </w:rPr>
              <w:t xml:space="preserve"> </w:t>
            </w:r>
          </w:p>
          <w:p w:rsidR="00971AE2" w:rsidRPr="00686B23" w:rsidRDefault="00971AE2" w:rsidP="00A343DF">
            <w:pPr>
              <w:jc w:val="lowKashida"/>
              <w:rPr>
                <w:sz w:val="24"/>
                <w:szCs w:val="24"/>
                <w:rtl/>
              </w:rPr>
            </w:pPr>
            <w:r w:rsidRPr="00686B23">
              <w:rPr>
                <w:sz w:val="24"/>
                <w:szCs w:val="24"/>
                <w:lang w:val="fr-CH"/>
              </w:rPr>
              <w:t>C'408</w:t>
            </w:r>
            <w:r w:rsidRPr="00686B23">
              <w:rPr>
                <w:sz w:val="24"/>
                <w:szCs w:val="24"/>
                <w:rtl/>
              </w:rPr>
              <w:t xml:space="preserve"> المرأة لسنة 1996</w:t>
            </w:r>
            <w:r w:rsidR="003D7EB4">
              <w:rPr>
                <w:sz w:val="24"/>
                <w:szCs w:val="24"/>
                <w:rtl/>
              </w:rPr>
              <w:t>،،</w:t>
            </w:r>
            <w:r w:rsidRPr="00686B23">
              <w:rPr>
                <w:sz w:val="24"/>
                <w:szCs w:val="24"/>
                <w:rtl/>
              </w:rPr>
              <w:t xml:space="preserve"> </w:t>
            </w:r>
          </w:p>
          <w:p w:rsidR="00971AE2" w:rsidRPr="00686B23" w:rsidRDefault="00971AE2" w:rsidP="00A343DF">
            <w:pPr>
              <w:jc w:val="lowKashida"/>
              <w:rPr>
                <w:sz w:val="24"/>
                <w:szCs w:val="24"/>
                <w:rtl/>
              </w:rPr>
            </w:pPr>
            <w:r w:rsidRPr="00686B23">
              <w:rPr>
                <w:sz w:val="24"/>
                <w:szCs w:val="24"/>
                <w:rtl/>
              </w:rPr>
              <w:t>لدى الحكم بانطباقها</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248 لسنة 1995</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من أجل منع ومعالجة وقمع العنف العائلي</w:t>
            </w:r>
            <w:r w:rsidR="003D7EB4">
              <w:rPr>
                <w:sz w:val="24"/>
                <w:szCs w:val="24"/>
                <w:rtl/>
              </w:rPr>
              <w:t>،</w:t>
            </w:r>
            <w:r w:rsidRPr="00686B23">
              <w:rPr>
                <w:sz w:val="24"/>
                <w:szCs w:val="24"/>
                <w:rtl/>
              </w:rPr>
              <w:t xml:space="preserve"> يهدف هذا القانون إلى تطوير الفقرة الخامسة  من المادة 42، من الدستور الوطني عن طريق المعالجة المتكاملة لمختلف أشكال العنف العائلي، من أجل كفالة توافقها ووحدتها</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294 لسنة 1996</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نظام العقارات المخصصة للمسكن الأسري</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258 لسنة 1996</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ينشئ السجل الوطني للرعاية الأسرية الذي تدرج فيه أسماء وأرقام هوية ومحال إقامة الأشخاص الذين يحصلون هم وأولادهم القصر أو كبار السن المعوقون على الإعانة الغذائية المستحقة بمقتضى القانون</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311 لسنة 1996</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يعتمد "اتفاقية البلدان الأمريكية المتعلقة بالتزامات النفقة"، المبرمة في مونتيفيديو في 15 تموز/ يوليه 1989</w:t>
            </w:r>
            <w:r w:rsidR="003D7EB4">
              <w:rPr>
                <w:sz w:val="24"/>
                <w:szCs w:val="24"/>
                <w:rtl/>
              </w:rPr>
              <w:t>،</w:t>
            </w:r>
          </w:p>
        </w:tc>
        <w:tc>
          <w:tcPr>
            <w:tcW w:w="1957" w:type="dxa"/>
          </w:tcPr>
          <w:p w:rsidR="00971AE2" w:rsidRPr="00686B23" w:rsidRDefault="00971AE2" w:rsidP="00A343DF">
            <w:pPr>
              <w:jc w:val="lowKashida"/>
              <w:rPr>
                <w:sz w:val="24"/>
                <w:szCs w:val="24"/>
                <w:rtl/>
              </w:rPr>
            </w:pPr>
            <w:r w:rsidRPr="00686B23">
              <w:rPr>
                <w:sz w:val="24"/>
                <w:szCs w:val="24"/>
                <w:rtl/>
              </w:rPr>
              <w:t>القانون رقم 349 لسنة 1998</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يقرر التكوين الطوعي للذمة المالية الأسرية</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495 لسنة 1999</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يعدِّل جزئياً القانون رقم 294 لسنة 1996: ينقل الاختصاص في مجال العنف العائلي من قضاة الأسرة إلى مفوضي الأسرة وفي حالة عدم وجود هؤلاء إلى مفتشي الشرطة</w:t>
            </w:r>
            <w:r w:rsidR="003D7EB4">
              <w:rPr>
                <w:sz w:val="24"/>
                <w:szCs w:val="24"/>
                <w:rtl/>
              </w:rPr>
              <w:t>،</w:t>
            </w:r>
            <w:r w:rsidRPr="00686B23">
              <w:rPr>
                <w:sz w:val="24"/>
                <w:szCs w:val="24"/>
                <w:rtl/>
              </w:rPr>
              <w:t xml:space="preserve"> ويمنح مساعدة لضحايا سوء المعاملة</w:t>
            </w:r>
            <w:r w:rsidR="003D7EB4">
              <w:rPr>
                <w:sz w:val="24"/>
                <w:szCs w:val="24"/>
                <w:rtl/>
              </w:rPr>
              <w:t>،</w:t>
            </w:r>
          </w:p>
        </w:tc>
        <w:tc>
          <w:tcPr>
            <w:tcW w:w="1957" w:type="dxa"/>
          </w:tcPr>
          <w:p w:rsidR="00971AE2" w:rsidRPr="00686B23" w:rsidRDefault="00971AE2" w:rsidP="00A343DF">
            <w:pPr>
              <w:jc w:val="lowKashida"/>
              <w:rPr>
                <w:sz w:val="24"/>
                <w:szCs w:val="24"/>
                <w:rtl/>
              </w:rPr>
            </w:pPr>
            <w:r w:rsidRPr="00686B23">
              <w:rPr>
                <w:sz w:val="24"/>
                <w:szCs w:val="24"/>
                <w:rtl/>
              </w:rPr>
              <w:t>القانون رقم 575 لسنة 2000</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القانون الجنائي، الفصل الرابع، الجرائم المرتكبة ضد الأسرة - المواد 229 إلى 237</w:t>
            </w:r>
            <w:r w:rsidR="000A316D">
              <w:rPr>
                <w:rFonts w:hint="cs"/>
                <w:sz w:val="24"/>
                <w:szCs w:val="24"/>
                <w:rtl/>
              </w:rPr>
              <w:t xml:space="preserve"> </w:t>
            </w:r>
            <w:r w:rsidR="000A316D" w:rsidRPr="000A316D">
              <w:rPr>
                <w:rFonts w:hint="cs"/>
                <w:sz w:val="24"/>
                <w:szCs w:val="24"/>
                <w:vertAlign w:val="superscript"/>
                <w:rtl/>
              </w:rPr>
              <w:t>188</w:t>
            </w:r>
            <w:r w:rsidR="003D7EB4">
              <w:rPr>
                <w:sz w:val="24"/>
                <w:szCs w:val="24"/>
                <w:rtl/>
              </w:rPr>
              <w:t>،</w:t>
            </w:r>
            <w:r w:rsidRPr="00686B23">
              <w:rPr>
                <w:sz w:val="24"/>
                <w:szCs w:val="24"/>
                <w:rtl/>
              </w:rPr>
              <w:t xml:space="preserve"> المادة 229 - العنف العائلي؛ المادة 230- سوء المعاملة بتقييد الحرية الجسمانية؛ المادة 231- الشحاذة والاتجار بالقصَّر؛ المادة 232- التبني الشاذ؛ المادة 233 إلى المادة 235- عدم دفع النفقة؛ المادة 236- اختلاس وتبديد أموال الأسرة؛ المادة 237- زنا المحارم؛ المادة 238- إخفاء أو تعديل أو انتحال حالة مدنية</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القانون رقم 599 لسنة 2000</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قانون الإجراءات الجنائية</w:t>
            </w:r>
            <w:r w:rsidR="003D7EB4">
              <w:rPr>
                <w:sz w:val="24"/>
                <w:szCs w:val="24"/>
                <w:rtl/>
              </w:rPr>
              <w:t>،</w:t>
            </w:r>
            <w:r w:rsidRPr="00686B23">
              <w:rPr>
                <w:sz w:val="24"/>
                <w:szCs w:val="24"/>
                <w:rtl/>
              </w:rPr>
              <w:t xml:space="preserve"> اشتراط تقديم شكوى</w:t>
            </w:r>
            <w:r w:rsidRPr="00686B23">
              <w:rPr>
                <w:color w:val="FF0000"/>
                <w:sz w:val="24"/>
                <w:szCs w:val="24"/>
                <w:rtl/>
              </w:rPr>
              <w:t xml:space="preserve"> </w:t>
            </w:r>
            <w:r w:rsidRPr="00686B23">
              <w:rPr>
                <w:sz w:val="24"/>
                <w:szCs w:val="24"/>
                <w:rtl/>
              </w:rPr>
              <w:t>باعتباره شرطاً إجرائياً لإقامة الدعوى الجنائية</w:t>
            </w:r>
            <w:r w:rsidR="003D7EB4">
              <w:rPr>
                <w:sz w:val="24"/>
                <w:szCs w:val="24"/>
                <w:rtl/>
              </w:rPr>
              <w:t>،</w:t>
            </w:r>
          </w:p>
        </w:tc>
        <w:tc>
          <w:tcPr>
            <w:tcW w:w="1957" w:type="dxa"/>
          </w:tcPr>
          <w:p w:rsidR="00971AE2" w:rsidRPr="00686B23" w:rsidRDefault="00971AE2" w:rsidP="00A343DF">
            <w:pPr>
              <w:jc w:val="lowKashida"/>
              <w:rPr>
                <w:sz w:val="24"/>
                <w:szCs w:val="24"/>
                <w:rtl/>
              </w:rPr>
            </w:pPr>
            <w:r w:rsidRPr="00686B23">
              <w:rPr>
                <w:sz w:val="24"/>
                <w:szCs w:val="24"/>
                <w:rtl/>
              </w:rPr>
              <w:t>القانون رقم 600 لسنة 2000</w:t>
            </w:r>
          </w:p>
        </w:tc>
      </w:tr>
      <w:tr w:rsidR="00971AE2" w:rsidRPr="00686B23">
        <w:tblPrEx>
          <w:tblCellMar>
            <w:top w:w="0" w:type="dxa"/>
            <w:bottom w:w="0" w:type="dxa"/>
          </w:tblCellMar>
        </w:tblPrEx>
        <w:tc>
          <w:tcPr>
            <w:tcW w:w="5356" w:type="dxa"/>
          </w:tcPr>
          <w:p w:rsidR="00971AE2" w:rsidRPr="00686B23" w:rsidRDefault="00971AE2" w:rsidP="00A343DF">
            <w:pPr>
              <w:jc w:val="lowKashida"/>
              <w:rPr>
                <w:rFonts w:hint="cs"/>
                <w:sz w:val="24"/>
                <w:szCs w:val="24"/>
                <w:rtl/>
              </w:rPr>
            </w:pPr>
            <w:r w:rsidRPr="00686B23">
              <w:rPr>
                <w:sz w:val="24"/>
                <w:szCs w:val="24"/>
                <w:rtl/>
              </w:rPr>
              <w:t>ينظم القانونين رقمي 294 لسنة 1996 و575 لسنة 20</w:t>
            </w:r>
            <w:r w:rsidRPr="00686B23">
              <w:rPr>
                <w:rFonts w:hint="cs"/>
                <w:sz w:val="24"/>
                <w:szCs w:val="24"/>
                <w:rtl/>
              </w:rPr>
              <w:t>00</w:t>
            </w:r>
          </w:p>
        </w:tc>
        <w:tc>
          <w:tcPr>
            <w:tcW w:w="1957" w:type="dxa"/>
          </w:tcPr>
          <w:p w:rsidR="00971AE2" w:rsidRPr="00686B23" w:rsidRDefault="00971AE2" w:rsidP="00A343DF">
            <w:pPr>
              <w:jc w:val="lowKashida"/>
              <w:rPr>
                <w:sz w:val="24"/>
                <w:szCs w:val="24"/>
                <w:rtl/>
              </w:rPr>
            </w:pPr>
            <w:r w:rsidRPr="00686B23">
              <w:rPr>
                <w:sz w:val="24"/>
                <w:szCs w:val="24"/>
                <w:rtl/>
              </w:rPr>
              <w:t>المرسوم رقم 652 لسنة 2001</w:t>
            </w:r>
          </w:p>
        </w:tc>
      </w:tr>
      <w:tr w:rsidR="00971AE2" w:rsidRPr="00686B23">
        <w:tblPrEx>
          <w:tblCellMar>
            <w:top w:w="0" w:type="dxa"/>
            <w:bottom w:w="0" w:type="dxa"/>
          </w:tblCellMar>
        </w:tblPrEx>
        <w:tc>
          <w:tcPr>
            <w:tcW w:w="5356" w:type="dxa"/>
          </w:tcPr>
          <w:p w:rsidR="00971AE2" w:rsidRPr="00686B23" w:rsidRDefault="00971AE2" w:rsidP="00A343DF">
            <w:pPr>
              <w:jc w:val="lowKashida"/>
              <w:rPr>
                <w:sz w:val="24"/>
                <w:szCs w:val="24"/>
                <w:rtl/>
              </w:rPr>
            </w:pPr>
            <w:r w:rsidRPr="00686B23">
              <w:rPr>
                <w:sz w:val="24"/>
                <w:szCs w:val="24"/>
                <w:rtl/>
              </w:rPr>
              <w:t>ينص على المراقبة الخاصة لبرامج رعاية ووقاية وحماية ضحايا العنف العائلي والعنف الجنسي والاستغلال الجنسي للأطفال والاتجار بالأشخاص وكذلك على مراقبة خاصة لامتثال القانون رقم 82 لسنة 1993 الذي صدرت بموجبه قواعد لتقديم الدعم إلى رئيسات الأسر بصفة خاصة</w:t>
            </w:r>
            <w:r w:rsidR="003D7EB4">
              <w:rPr>
                <w:sz w:val="24"/>
                <w:szCs w:val="24"/>
                <w:rtl/>
              </w:rPr>
              <w:t>،</w:t>
            </w:r>
            <w:r w:rsidRPr="00686B23">
              <w:rPr>
                <w:sz w:val="24"/>
                <w:szCs w:val="24"/>
                <w:rtl/>
              </w:rPr>
              <w:t xml:space="preserve"> </w:t>
            </w:r>
          </w:p>
        </w:tc>
        <w:tc>
          <w:tcPr>
            <w:tcW w:w="1957" w:type="dxa"/>
          </w:tcPr>
          <w:p w:rsidR="00971AE2" w:rsidRPr="00686B23" w:rsidRDefault="00971AE2" w:rsidP="00A343DF">
            <w:pPr>
              <w:jc w:val="lowKashida"/>
              <w:rPr>
                <w:sz w:val="24"/>
                <w:szCs w:val="24"/>
                <w:rtl/>
              </w:rPr>
            </w:pPr>
            <w:r w:rsidRPr="00686B23">
              <w:rPr>
                <w:sz w:val="24"/>
                <w:szCs w:val="24"/>
                <w:rtl/>
              </w:rPr>
              <w:t xml:space="preserve">القرار رقم 49 لسنة 2002 </w:t>
            </w:r>
          </w:p>
          <w:p w:rsidR="00971AE2" w:rsidRPr="00686B23" w:rsidRDefault="00971AE2" w:rsidP="00A343DF">
            <w:pPr>
              <w:jc w:val="lowKashida"/>
              <w:rPr>
                <w:sz w:val="24"/>
                <w:szCs w:val="24"/>
                <w:rtl/>
              </w:rPr>
            </w:pPr>
            <w:r w:rsidRPr="00686B23">
              <w:rPr>
                <w:sz w:val="24"/>
                <w:szCs w:val="24"/>
                <w:rtl/>
              </w:rPr>
              <w:t>للمدعي العام للأمة (المفوضة للدفاع عن القصر والأسرة)</w:t>
            </w:r>
          </w:p>
        </w:tc>
      </w:tr>
    </w:tbl>
    <w:p w:rsidR="00686B23" w:rsidRPr="00686B23" w:rsidRDefault="00971AE2" w:rsidP="00A343DF">
      <w:pPr>
        <w:spacing w:line="120" w:lineRule="exact"/>
        <w:jc w:val="lowKashida"/>
        <w:rPr>
          <w:sz w:val="10"/>
          <w:rtl/>
        </w:rPr>
      </w:pPr>
      <w:r>
        <w:rPr>
          <w:sz w:val="24"/>
          <w:rtl/>
        </w:rPr>
        <w:tab/>
      </w:r>
    </w:p>
    <w:p w:rsidR="00F57CF2" w:rsidRDefault="00971AE2" w:rsidP="00F57CF2">
      <w:pPr>
        <w:pStyle w:val="SingleTxt"/>
        <w:rPr>
          <w:rFonts w:hint="cs"/>
          <w:rtl/>
        </w:rPr>
      </w:pPr>
      <w:r>
        <w:rPr>
          <w:rtl/>
        </w:rPr>
        <w:t>التوصية الخاصة رقم 9: تقييم التشريع الراهن في مجال العنف العائلي والاعتداء الجنسي الذي يمثل نكسة للأسرة</w:t>
      </w:r>
      <w:r w:rsidR="003D7EB4">
        <w:rPr>
          <w:rtl/>
        </w:rPr>
        <w:t>،</w:t>
      </w:r>
    </w:p>
    <w:p w:rsidR="00971AE2" w:rsidRDefault="00971AE2" w:rsidP="00A343DF">
      <w:pPr>
        <w:pStyle w:val="SingleTxt"/>
        <w:rPr>
          <w:rtl/>
        </w:rPr>
      </w:pPr>
      <w:r>
        <w:rPr>
          <w:rFonts w:hint="cs"/>
          <w:rtl/>
        </w:rPr>
        <w:tab/>
      </w:r>
      <w:r>
        <w:rPr>
          <w:rtl/>
        </w:rPr>
        <w:t>على الرغم من أنه قد جرى العرف في كولومبيا على الاعتراف بالأسرة بوصفها مجالاً خاصاً وأن الدستور الوطني يعتبرها صراحة النواة الأساسية للمجتمع ويلقي على عاتق الدولة التزاماً بحمايتها</w:t>
      </w:r>
      <w:r w:rsidR="003D7EB4">
        <w:rPr>
          <w:rtl/>
        </w:rPr>
        <w:t>،</w:t>
      </w:r>
      <w:r>
        <w:rPr>
          <w:rtl/>
        </w:rPr>
        <w:t xml:space="preserve"> وفي تطوير المفهوم الدستوري ووفقاً للالتزامات الدولية يقدم التشريع الساري عدة آليات وينشئ سلطات مختلفة لمنع وقمع واستئصال العنف العائلي</w:t>
      </w:r>
      <w:r w:rsidR="003D7EB4">
        <w:rPr>
          <w:rtl/>
        </w:rPr>
        <w:t>،</w:t>
      </w:r>
      <w:r>
        <w:rPr>
          <w:rtl/>
        </w:rPr>
        <w:t xml:space="preserve"> </w:t>
      </w:r>
    </w:p>
    <w:p w:rsidR="00971AE2" w:rsidRDefault="00971AE2" w:rsidP="00EF0777">
      <w:pPr>
        <w:pStyle w:val="SingleTxt"/>
        <w:rPr>
          <w:rtl/>
        </w:rPr>
      </w:pPr>
      <w:r>
        <w:rPr>
          <w:rtl/>
        </w:rPr>
        <w:t>يمنح القانون رقم 294 لسنة 1996 قضاة الأسرة وفي حالة عدم وجود القضاة المدنيين أو المسؤولين البلديين اختصاص فرض تدابير حمائية لصالح أي شخص يصاب بضرر بدني أو نفسي أو يتعرض لتهديد أو لظلم أو لجريمة أو لأي شكل آخر من أشكال الاعتداء من جانب فرد آخر من مجموعته الأسرية</w:t>
      </w:r>
      <w:r w:rsidR="003D7EB4">
        <w:rPr>
          <w:rtl/>
        </w:rPr>
        <w:t>،</w:t>
      </w:r>
      <w:r>
        <w:rPr>
          <w:rtl/>
        </w:rPr>
        <w:t xml:space="preserve"> وعدَّل القانون رقم 575 لسنة 2000 جزئياً القانون رقم 294 بأن نقل إلى مفوضي الأسرة وفي حالة عدم وجودهم إلى القضاة المدنيين والمسؤولين البلديين اختصاص فرض التدابير الحمائية</w:t>
      </w:r>
      <w:r w:rsidR="00EF0777" w:rsidRPr="00EF0777">
        <w:rPr>
          <w:rFonts w:hint="cs"/>
          <w:vertAlign w:val="superscript"/>
          <w:rtl/>
        </w:rPr>
        <w:t>189</w:t>
      </w:r>
      <w:r w:rsidR="003D7EB4">
        <w:rPr>
          <w:rtl/>
        </w:rPr>
        <w:t>،</w:t>
      </w:r>
      <w:r>
        <w:rPr>
          <w:rtl/>
        </w:rPr>
        <w:t xml:space="preserve"> وخوِّل قضاة الأسرة سلطة فرض تدابير حمائية في قضايا الطلاق والانفصال الجسدي والوصاية والحضانة وأسند هذه السلطة إلى المدعين العامين</w:t>
      </w:r>
      <w:r w:rsidR="00EF0777" w:rsidRPr="00EF0777">
        <w:rPr>
          <w:rFonts w:hint="cs"/>
          <w:vertAlign w:val="superscript"/>
          <w:rtl/>
        </w:rPr>
        <w:t>190</w:t>
      </w:r>
      <w:r w:rsidR="00EF0777">
        <w:rPr>
          <w:rFonts w:hint="cs"/>
          <w:rtl/>
        </w:rPr>
        <w:t xml:space="preserve"> </w:t>
      </w:r>
      <w:r>
        <w:rPr>
          <w:rtl/>
        </w:rPr>
        <w:t xml:space="preserve">ويسمح القانون رقم 575 لضحايا العنف العائلي باستصدار تدابير إضافية علاوة على التدابير المنصوص عليها فعلاً في القانون رقم 294 </w:t>
      </w:r>
      <w:r w:rsidR="00EF0777" w:rsidRPr="00EF0777">
        <w:rPr>
          <w:rFonts w:hint="cs"/>
          <w:vertAlign w:val="superscript"/>
          <w:rtl/>
        </w:rPr>
        <w:t>191</w:t>
      </w:r>
      <w:r>
        <w:rPr>
          <w:rtl/>
        </w:rPr>
        <w:t>، لحماية حياتهم وسلامتهم البدنية</w:t>
      </w:r>
      <w:r w:rsidR="003D7EB4">
        <w:rPr>
          <w:rtl/>
        </w:rPr>
        <w:t>،</w:t>
      </w:r>
      <w:r>
        <w:rPr>
          <w:rtl/>
        </w:rPr>
        <w:t xml:space="preserve"> ويمكن للموظف حالياً حسب الحالة أن يفرض التدابير الحمائية التالية: ‘1‘ أن يأمر المعتدي بترك المنزل الذي يتقاسمه مع الضحية ما دام قد ثبت أن وجوده يمثل خطراً على حياة أي فرد من أفراد الأسرة أو سلامته البدنية أو صحته؛ و‘2‘ أن يأمر المعتدي، حسب تقدير الموظف، بالامتناع عن دخول أي مكان يوجد فيه المجني عليه، وذلك بهدف الحيلولة دون إيذائه أو تخويفه أو تهديده أو التعرض له أو لأبنائه أو بناته – أن يوفر حماية خاصة من جانب الشرطة للضحايا - ؛ و‘3‘ أن يحظر على المـعتدي إخفاء أو نقل الأولاد أو البنات أو المعوقين غير القادرين على الدفاع عن أنفسهم من محل الإقامة دون إخطار سابق بل يسمح بأمر المعتدي بعدم دخول الأماكن التي يوجد فيها المجني عليه؛ و‘4‘ أن يرغم المعتدي الذي له سوابق في العنف العائلي على ما يتلقاه من علاج لإعادة التأهل في مؤسسة عامة أو خاصة؛ ‘5‘ أن يأمر المعتدي بدفع نفقات العلاج الطبي والسيكولوجي والنفسي الذي يحتاجه المجني عليه؛ و‘6‘ أن يأمر بتوفير حماية مؤقتة للمجني عليه من جانب سلطات الشرطة إما في منزله أو في محل عمله</w:t>
      </w:r>
      <w:r w:rsidR="003D7EB4">
        <w:rPr>
          <w:rtl/>
        </w:rPr>
        <w:t>،</w:t>
      </w:r>
      <w:r>
        <w:rPr>
          <w:rtl/>
        </w:rPr>
        <w:t xml:space="preserve"> </w:t>
      </w:r>
    </w:p>
    <w:p w:rsidR="00971AE2" w:rsidRDefault="00971AE2" w:rsidP="00A343DF">
      <w:pPr>
        <w:pStyle w:val="SingleTxt"/>
        <w:rPr>
          <w:rtl/>
        </w:rPr>
      </w:pPr>
      <w:r>
        <w:rPr>
          <w:rFonts w:hint="cs"/>
          <w:rtl/>
        </w:rPr>
        <w:t xml:space="preserve">من أجل </w:t>
      </w:r>
      <w:r>
        <w:rPr>
          <w:rtl/>
        </w:rPr>
        <w:t xml:space="preserve">تنفيذ </w:t>
      </w:r>
      <w:r>
        <w:rPr>
          <w:rFonts w:hint="cs"/>
          <w:rtl/>
        </w:rPr>
        <w:t>الت</w:t>
      </w:r>
      <w:r>
        <w:rPr>
          <w:rtl/>
        </w:rPr>
        <w:t>دبير الحمائي ذي الصلة يكون للسلطات المعنية سلطة التماس تعاون سلطات الشرطة لتنفيذه بفعالية</w:t>
      </w:r>
      <w:r w:rsidR="003D7EB4">
        <w:rPr>
          <w:rtl/>
        </w:rPr>
        <w:t>،</w:t>
      </w:r>
      <w:r>
        <w:rPr>
          <w:rtl/>
        </w:rPr>
        <w:t xml:space="preserve"> ويفرض القانون عقوبات على المعتدي إذا لم يمتثل التدابير الحمائية وتتراوح هذه العقوبات بين غرامة يمكن أن تتحول إلى 3 أيام حبس والسجن لمدة تتراوح بين 30 و45 يوماً لتكرر السلوك</w:t>
      </w:r>
      <w:r w:rsidR="003D7EB4">
        <w:rPr>
          <w:rtl/>
        </w:rPr>
        <w:t>،</w:t>
      </w:r>
    </w:p>
    <w:p w:rsidR="00971AE2" w:rsidRDefault="00971AE2" w:rsidP="00A343DF">
      <w:pPr>
        <w:pStyle w:val="SingleTxt"/>
        <w:rPr>
          <w:rtl/>
        </w:rPr>
      </w:pPr>
      <w:r>
        <w:rPr>
          <w:rtl/>
        </w:rPr>
        <w:tab/>
        <w:t>ووفقاً للقانونين رقمي 294 لسنة 1996 و575 لسنة 2000 يجب على سلطات الشرطة تقديم جميع المساعدات اللازمة إلى ضحية سوء المعاملة الأسرية للحيلولة دون تكرر الحوادث ومعالجة الآثار البدنية والنفسية التي حدثت وتلافي عمليات الانتقام</w:t>
      </w:r>
      <w:r w:rsidR="003D7EB4">
        <w:rPr>
          <w:rtl/>
        </w:rPr>
        <w:t>،</w:t>
      </w:r>
      <w:r>
        <w:rPr>
          <w:rtl/>
        </w:rPr>
        <w:t xml:space="preserve"> وتستطيع سلطات السلطة أن تتخذ التدابير التالية: أن تأخذ المجني عليه فوراً إلى أقرب مركز لتقديم المساعدة، حتى إذا كانت الإصابة غير ظاهرة؛ وأن تصحبه إلى مكان آمن أو إلى بيته لأخذ متعلقاته الشخصية، إذا رأت أن أمنه يقتضي ذلك؛ وأن تقدم المشورة إلى المجني عليه فيما يتعلق بالمحافظة على الأدلة على أعمال العنف؛ وأن تقدم إليه معلومات عن حقوقه وعن الخدمات الحكومية والخاصة المتاحة له</w:t>
      </w:r>
      <w:r w:rsidR="003D7EB4">
        <w:rPr>
          <w:rtl/>
        </w:rPr>
        <w:t>،</w:t>
      </w:r>
    </w:p>
    <w:p w:rsidR="00971AE2" w:rsidRDefault="00971AE2" w:rsidP="00EF0777">
      <w:pPr>
        <w:pStyle w:val="SingleTxt"/>
        <w:rPr>
          <w:rtl/>
        </w:rPr>
      </w:pPr>
      <w:r>
        <w:rPr>
          <w:rtl/>
        </w:rPr>
        <w:t xml:space="preserve">تراعي التغييرات التي أدخلها القانون 575 </w:t>
      </w:r>
      <w:r w:rsidR="00EF0777" w:rsidRPr="00EF0777">
        <w:rPr>
          <w:rFonts w:hint="cs"/>
          <w:vertAlign w:val="superscript"/>
          <w:rtl/>
        </w:rPr>
        <w:t>192</w:t>
      </w:r>
      <w:r>
        <w:rPr>
          <w:rtl/>
        </w:rPr>
        <w:t xml:space="preserve"> الازدحام الذي يعاني منه الجهاز القضائي فيما يتعلق بالتصدي للعنف الأسري</w:t>
      </w:r>
      <w:r w:rsidR="003D7EB4">
        <w:rPr>
          <w:rtl/>
        </w:rPr>
        <w:t>،</w:t>
      </w:r>
      <w:r>
        <w:rPr>
          <w:rtl/>
        </w:rPr>
        <w:t xml:space="preserve"> بيد أنه على الرغم من أن المفوضيات قد ساعدت على حل المشاكل في المجتمعات الفقيرة فإنها تمثل </w:t>
      </w:r>
      <w:r>
        <w:rPr>
          <w:color w:val="FF0000"/>
          <w:rtl/>
        </w:rPr>
        <w:t xml:space="preserve">أماكن ذات موارد </w:t>
      </w:r>
      <w:r>
        <w:rPr>
          <w:rtl/>
        </w:rPr>
        <w:t>وآليات فعالة ضئيلة فيما يتعلق بالمحاكم</w:t>
      </w:r>
      <w:r w:rsidR="003D7EB4">
        <w:rPr>
          <w:rtl/>
        </w:rPr>
        <w:t>،</w:t>
      </w:r>
      <w:r>
        <w:rPr>
          <w:rtl/>
        </w:rPr>
        <w:t xml:space="preserve"> ويشير بعض الأكاديميين إلى أن الاكتظاظ الذي تعاني منه المحاكم قد انتقل بطريقة ما إلى المفوضيات</w:t>
      </w:r>
      <w:r w:rsidR="003D7EB4">
        <w:rPr>
          <w:rtl/>
        </w:rPr>
        <w:t>،</w:t>
      </w:r>
      <w:r>
        <w:rPr>
          <w:rtl/>
        </w:rPr>
        <w:t>ونظراً لأنه قد بدأ سريان القانون رقم 575 منذ ثلاث سنوات فحسب فإنه من الصعب تحديد أثره الحقيقي في العنف العائلي</w:t>
      </w:r>
      <w:r w:rsidR="003D7EB4">
        <w:rPr>
          <w:rtl/>
        </w:rPr>
        <w:t>،</w:t>
      </w:r>
      <w:r>
        <w:rPr>
          <w:rtl/>
        </w:rPr>
        <w:t xml:space="preserve"> ومن المعروف أنه فيما يتعلق بالمقارنة بسنة 2001 انخفض العنف العائلي في سنة 2002 بنسبة تبلغ نحو 7 في المائة (681 69 حالة في سنة 2001 و979 64 حالة في سنة 2002) ومع ذلك فإن لم يجر بعد تحليل للعوامل التي تسببت في هذا الانخفاض</w:t>
      </w:r>
      <w:r w:rsidR="00EF0777" w:rsidRPr="00EF0777">
        <w:rPr>
          <w:rFonts w:hint="cs"/>
          <w:vertAlign w:val="superscript"/>
          <w:rtl/>
        </w:rPr>
        <w:t>193</w:t>
      </w:r>
      <w:r w:rsidR="003D7EB4">
        <w:rPr>
          <w:rtl/>
        </w:rPr>
        <w:t>،</w:t>
      </w:r>
    </w:p>
    <w:p w:rsidR="00971AE2" w:rsidRDefault="00971AE2" w:rsidP="00A343DF">
      <w:pPr>
        <w:pStyle w:val="SingleTxt"/>
        <w:rPr>
          <w:rtl/>
        </w:rPr>
      </w:pPr>
      <w:r>
        <w:rPr>
          <w:rtl/>
        </w:rPr>
        <w:tab/>
        <w:t>ومن حيث المبدأ واجه كلً من القانون رقم 294 والقانون رقم 575 إخفاقاً في تطبيقه بسبب ثغرات في القواعد ومشاكل في التفسير</w:t>
      </w:r>
      <w:r w:rsidR="003D7EB4">
        <w:rPr>
          <w:rtl/>
        </w:rPr>
        <w:t>،</w:t>
      </w:r>
      <w:r>
        <w:rPr>
          <w:rtl/>
        </w:rPr>
        <w:t xml:space="preserve"> ولهذا السبب، صدر المرسوم رقم 652 لسنة 2001 الذي نظم جوانب أساسية وأدى إلى التغلب على تلك الصعوبات</w:t>
      </w:r>
      <w:r w:rsidR="003D7EB4">
        <w:rPr>
          <w:rtl/>
        </w:rPr>
        <w:t>،</w:t>
      </w:r>
      <w:r>
        <w:rPr>
          <w:rtl/>
        </w:rPr>
        <w:t xml:space="preserve"> فوضح مثلاً جوانب إجرائية مثل النواحي المتعلقة بتبليغ القرارات وفرص الدفاع عن الجاني والموارد وأدلة الخبراء وإجراءات القبض، ضمن أمور أخرى</w:t>
      </w:r>
      <w:r w:rsidR="003D7EB4">
        <w:rPr>
          <w:rtl/>
        </w:rPr>
        <w:t>،</w:t>
      </w:r>
    </w:p>
    <w:p w:rsidR="00971AE2" w:rsidRDefault="00971AE2" w:rsidP="00EF0777">
      <w:pPr>
        <w:pStyle w:val="SingleTxt"/>
        <w:rPr>
          <w:rFonts w:hint="cs"/>
          <w:rtl/>
        </w:rPr>
      </w:pPr>
      <w:r>
        <w:rPr>
          <w:rtl/>
        </w:rPr>
        <w:tab/>
        <w:t>ويرفع القانون رقم 599 لسنة 2000 من القانون الجنائي، المجلد الثاني، الفرع السادس المتعلق بالجرائم المرتكبة ضد الأسرة، الفصل الأول (العنف العائلي)، العنف العائلي إلى مستوى الجريمة معتبراً أنه لا يصلح للاندراج في الفئات الأخرى في القانون الجنائي، مثل الإصابات الشخصية</w:t>
      </w:r>
      <w:r w:rsidR="003D7EB4">
        <w:rPr>
          <w:rtl/>
        </w:rPr>
        <w:t>،</w:t>
      </w:r>
      <w:r>
        <w:rPr>
          <w:rtl/>
        </w:rPr>
        <w:t xml:space="preserve"> وتشير المادة 229 إلى الجريمة التي تمثلها سوء المعاملة البدنية أو النفسية أو الجنسية لأي فرد من أفراد الأسرة (يعاقب عليه بالسجن لمدة 3 سنوات)، وتصف المادة 230 سوء المعاملة الذي يقيد بالقوة الحرية البدنية لأي شخص ينتمي إلى المجموعة الأسرية (يعاقب عليه بالحبس لمدة تتراوح بين سنة وسنتين)</w:t>
      </w:r>
      <w:r w:rsidR="003D7EB4">
        <w:rPr>
          <w:rtl/>
        </w:rPr>
        <w:t>،</w:t>
      </w:r>
      <w:r w:rsidR="00EF0777" w:rsidRPr="00EF0777">
        <w:rPr>
          <w:rFonts w:hint="cs"/>
          <w:vertAlign w:val="superscript"/>
          <w:rtl/>
        </w:rPr>
        <w:t>194</w:t>
      </w:r>
    </w:p>
    <w:p w:rsidR="00971AE2" w:rsidRDefault="00971AE2" w:rsidP="00EF0777">
      <w:pPr>
        <w:pStyle w:val="SingleTxt"/>
        <w:rPr>
          <w:rtl/>
        </w:rPr>
      </w:pPr>
      <w:r>
        <w:rPr>
          <w:rtl/>
        </w:rPr>
        <w:tab/>
        <w:t>وأخيراً، تنص المادة 35 من القانون 600 لسنة 2000 على أنه بالنسبة لجريمة العنف العائلي المنصوص عليها في القانون الجنائي يعتبر تقديم الشكوى إجراء لازما لرفع الدعوى الجنائية</w:t>
      </w:r>
      <w:r w:rsidR="003D7EB4">
        <w:rPr>
          <w:rtl/>
        </w:rPr>
        <w:t>،</w:t>
      </w:r>
      <w:r>
        <w:rPr>
          <w:rtl/>
        </w:rPr>
        <w:t xml:space="preserve"> ولا ينطبق ما سبق إذا كان الشخص السلبي قاصرا</w:t>
      </w:r>
      <w:r w:rsidR="00EF0777" w:rsidRPr="00EF0777">
        <w:rPr>
          <w:rFonts w:hint="cs"/>
          <w:vertAlign w:val="superscript"/>
          <w:rtl/>
        </w:rPr>
        <w:t>195</w:t>
      </w:r>
      <w:r w:rsidR="003D7EB4">
        <w:rPr>
          <w:rtl/>
        </w:rPr>
        <w:t>،</w:t>
      </w:r>
    </w:p>
    <w:p w:rsidR="00971AE2" w:rsidRDefault="00971AE2" w:rsidP="00EF0777">
      <w:pPr>
        <w:pStyle w:val="SingleTxt"/>
        <w:rPr>
          <w:rFonts w:hint="cs"/>
          <w:rtl/>
        </w:rPr>
      </w:pPr>
      <w:r>
        <w:rPr>
          <w:rtl/>
        </w:rPr>
        <w:tab/>
        <w:t>وتنص القواعد الجنائية على أن العنف العائلي جريمة يمكن أن يتصالح الطرفان (الضحية والجاني) بشأنها؛ بيد أن الالتزامات الدولية التي أخذتها كولومبيا</w:t>
      </w:r>
      <w:r w:rsidR="00EF0777" w:rsidRPr="00EF0777">
        <w:rPr>
          <w:rFonts w:hint="cs"/>
          <w:vertAlign w:val="superscript"/>
          <w:rtl/>
        </w:rPr>
        <w:t>196</w:t>
      </w:r>
      <w:r>
        <w:rPr>
          <w:rtl/>
        </w:rPr>
        <w:t xml:space="preserve"> على عاتقها وأحكام الدستور الوطني تقرر أن جرائم العنف العائلي والجرائم الجنسية تعتدي على حقوق أساسية مثل كرامة الشخص وحياته ونمو الشخصية بحرية</w:t>
      </w:r>
      <w:r w:rsidR="003D7EB4">
        <w:rPr>
          <w:rtl/>
        </w:rPr>
        <w:t>،</w:t>
      </w:r>
      <w:r>
        <w:rPr>
          <w:rtl/>
        </w:rPr>
        <w:t xml:space="preserve"> ولم يستعمل بعض العاملين في القضاء بصورة كافية وصف "الضرر" معتبرين إياه "توفيقاً" يعطي الأولوية للمحافظة على "الوحدة الأسرية" من ضرر متصور وتركوا جانباً حماية الضحية</w:t>
      </w:r>
      <w:r w:rsidR="003D7EB4">
        <w:rPr>
          <w:rtl/>
        </w:rPr>
        <w:t>،</w:t>
      </w:r>
      <w:r w:rsidR="00EF0777" w:rsidRPr="00EF0777">
        <w:rPr>
          <w:rFonts w:hint="cs"/>
          <w:vertAlign w:val="superscript"/>
          <w:rtl/>
        </w:rPr>
        <w:t>197</w:t>
      </w:r>
    </w:p>
    <w:p w:rsidR="00971AE2" w:rsidRDefault="00971AE2" w:rsidP="00A343DF">
      <w:pPr>
        <w:pStyle w:val="SingleTxt"/>
        <w:rPr>
          <w:rtl/>
        </w:rPr>
      </w:pPr>
      <w:r>
        <w:rPr>
          <w:rtl/>
        </w:rPr>
        <w:tab/>
        <w:t>ولهذا السبب، يوصى بأن تحدد القواعد في مجال العنف العائلي بوضوح الإطار القانوني للتوفيق، والظروف التي يستخدم فيها، والأمور القابلة للتوفيق فيما يتعلق بجرائم العنف العائلي، مع مراعاة أن الأمور التي تنتهك الحقوق الأساسية غير قابلة للتوفيق</w:t>
      </w:r>
      <w:r w:rsidR="003D7EB4">
        <w:rPr>
          <w:rtl/>
        </w:rPr>
        <w:t>،</w:t>
      </w:r>
      <w:r>
        <w:rPr>
          <w:rtl/>
        </w:rPr>
        <w:t xml:space="preserve"> وينبغي أن يمثل التوفيق إحدى الآليات المنصوص عليها لحل المشاكل داخل الأسرة لا أن يكون إجراء يجب استنفاذه</w:t>
      </w:r>
      <w:r w:rsidR="003D7EB4">
        <w:rPr>
          <w:rtl/>
        </w:rPr>
        <w:t>،</w:t>
      </w:r>
    </w:p>
    <w:p w:rsidR="00971AE2" w:rsidRDefault="00971AE2" w:rsidP="00A343DF">
      <w:pPr>
        <w:pStyle w:val="SingleTxt"/>
        <w:rPr>
          <w:rtl/>
        </w:rPr>
      </w:pPr>
      <w:r>
        <w:rPr>
          <w:rtl/>
        </w:rPr>
        <w:tab/>
        <w:t>ويتمثل أحد العوامل التي تقيد تطبيق القانون رقم 575 في الصعوبات التي تعترض تنفيذ التدابير الحمائية المنصوص عليها في ذلك القانون بسبب صلاحيات المفوضين وسلطاتهم المحدودة (فليس لهم سلطات قضائية) لاعتماد آليات جبرية تجعل امتثالها إلزامياً</w:t>
      </w:r>
      <w:r w:rsidR="003D7EB4">
        <w:rPr>
          <w:rtl/>
        </w:rPr>
        <w:t>،</w:t>
      </w:r>
      <w:r>
        <w:rPr>
          <w:rtl/>
        </w:rPr>
        <w:t xml:space="preserve"> وبالمثل، نرى أن هناك حاجة إلى تدابير فعالة لحماية الضحية</w:t>
      </w:r>
      <w:r w:rsidRPr="00367FD1">
        <w:rPr>
          <w:rtl/>
        </w:rPr>
        <w:t xml:space="preserve"> بعد تصالحها </w:t>
      </w:r>
      <w:r>
        <w:rPr>
          <w:rtl/>
        </w:rPr>
        <w:t>مع المعتدي لتلافي إمكانية حدوث أعمال انتقامية من جانب المعتدي لشعوره بأنه معرض للخطر</w:t>
      </w:r>
      <w:r w:rsidR="003D7EB4">
        <w:rPr>
          <w:rtl/>
        </w:rPr>
        <w:t>،</w:t>
      </w:r>
      <w:r>
        <w:rPr>
          <w:rtl/>
        </w:rPr>
        <w:t xml:space="preserve"> ويوصى بأن تكون التدابير الحمائية والعقابية على السواء مصحوبة بطرق بديلة تسهم حقاً في حل قضايا العنف</w:t>
      </w:r>
      <w:r w:rsidR="003D7EB4">
        <w:rPr>
          <w:rtl/>
        </w:rPr>
        <w:t>،</w:t>
      </w:r>
    </w:p>
    <w:p w:rsidR="00971AE2" w:rsidRDefault="00971AE2" w:rsidP="00A343DF">
      <w:pPr>
        <w:pStyle w:val="SingleTxt"/>
        <w:rPr>
          <w:rtl/>
        </w:rPr>
      </w:pPr>
      <w:r>
        <w:rPr>
          <w:rtl/>
        </w:rPr>
        <w:tab/>
        <w:t>وتتمثل إحدى المشاكل الرئيسية التي تعترض تطبيق القانون رقم 575 في عدم وجود مفوضيات للأسرة في جميع أنحاء الإقليم الوطني على الرغم من التكليف الإلزامي الوارد في المادة 30 من القانون رقم 294، الذي يأمر بإنشاء وتشغيل مفوضية واحدة للأسرة على الأقل في كل بلدية من بلديات البلد في خلال سنة</w:t>
      </w:r>
      <w:r w:rsidR="003D7EB4">
        <w:rPr>
          <w:rtl/>
        </w:rPr>
        <w:t>،</w:t>
      </w:r>
    </w:p>
    <w:p w:rsidR="00971AE2" w:rsidRDefault="00971AE2" w:rsidP="00EF0777">
      <w:pPr>
        <w:pStyle w:val="SingleTxt"/>
        <w:rPr>
          <w:rtl/>
        </w:rPr>
      </w:pPr>
      <w:r>
        <w:rPr>
          <w:rtl/>
        </w:rPr>
        <w:tab/>
        <w:t>كما ظهرت صعوبات كبيرة في تنفيذ القانون رقم 575 بسبب عدم وجود فريق متعدد التخصصات في كل مفوضية من مفوضيات الأسرة في كل مكتب من المكاتب القضائية، وهذه الأفرقة ضرورية لمعالجة هذه المعضلة الأسرية بصورة كافية، لأن تعقد العوامل التي يشملها النـزاع تتطلب معرفة متخصصة للظروف التي يحدث ويتكرر فيها العنف</w:t>
      </w:r>
      <w:r w:rsidR="00EF0777" w:rsidRPr="00EF0777">
        <w:rPr>
          <w:rFonts w:hint="cs"/>
          <w:vertAlign w:val="superscript"/>
          <w:rtl/>
        </w:rPr>
        <w:t>198</w:t>
      </w:r>
      <w:r w:rsidR="003D7EB4">
        <w:rPr>
          <w:rtl/>
        </w:rPr>
        <w:t>،</w:t>
      </w:r>
    </w:p>
    <w:p w:rsidR="00971AE2" w:rsidRDefault="00F57CF2" w:rsidP="00EF0777">
      <w:pPr>
        <w:pStyle w:val="SingleTxt"/>
        <w:rPr>
          <w:rFonts w:hint="cs"/>
          <w:rtl/>
        </w:rPr>
      </w:pPr>
      <w:r>
        <w:rPr>
          <w:rFonts w:hint="cs"/>
          <w:rtl/>
        </w:rPr>
        <w:tab/>
      </w:r>
      <w:r w:rsidR="00971AE2">
        <w:rPr>
          <w:rtl/>
        </w:rPr>
        <w:t>وتمثل القوانين المناهضة للعنف العائلي فعلاً تقدماً في العلاقات بين الدولة والأسرة لكن تنفيذها لا يواجه مشاكل من الناحية الثقافية للفاعلين الأسريين والموظفين فحسب، بل إن وجودها ما زال مقلقلاً أيضاً لأنها تخضع للإرادة السياسية لكل حاكم</w:t>
      </w:r>
      <w:r w:rsidR="00EF0777" w:rsidRPr="00EF0777">
        <w:rPr>
          <w:rFonts w:hint="cs"/>
          <w:vertAlign w:val="superscript"/>
          <w:rtl/>
        </w:rPr>
        <w:t>199</w:t>
      </w:r>
      <w:r w:rsidR="003D7EB4">
        <w:rPr>
          <w:rtl/>
        </w:rPr>
        <w:t>،</w:t>
      </w:r>
    </w:p>
    <w:p w:rsidR="00971AE2" w:rsidRDefault="00971AE2" w:rsidP="00D3648E">
      <w:pPr>
        <w:pStyle w:val="SingleTxt"/>
        <w:rPr>
          <w:rFonts w:hint="cs"/>
          <w:rtl/>
        </w:rPr>
      </w:pPr>
      <w:r>
        <w:rPr>
          <w:rtl/>
        </w:rPr>
        <w:tab/>
        <w:t>ووفقاً لتقرير مكتب العمدة الرئيسي لبوغوتا</w:t>
      </w:r>
      <w:r w:rsidR="00D3648E" w:rsidRPr="00D3648E">
        <w:rPr>
          <w:rFonts w:hint="cs"/>
          <w:vertAlign w:val="superscript"/>
          <w:rtl/>
        </w:rPr>
        <w:t>200</w:t>
      </w:r>
      <w:r w:rsidR="00D3648E">
        <w:rPr>
          <w:rFonts w:hint="cs"/>
          <w:rtl/>
        </w:rPr>
        <w:t xml:space="preserve">، </w:t>
      </w:r>
      <w:r>
        <w:rPr>
          <w:rtl/>
        </w:rPr>
        <w:t>تواجه الصعوبات التالية في مجال تشغيل المفوضيات وتنفيذ الآليات المتاحة:  (أ) عدم وجود موارد جبرية لإرغام المعتدي على المثول أمام المحكمة؛ (ب) دعم الشرطة الضعيف للاضطلاع بعمليات طرد أو اعتقال المعتدي وحماية الأسرة؛ (ج) التطبيق العشوائي للتوفيق؛ (د) قلة معرفة المعضلة المعقدة للعلاقات الأسرية من جانب الموظفين المكلفين بمعالجتها؛ (هـ) وجود نقص في الكفاءات اللازمة</w:t>
      </w:r>
      <w:r w:rsidRPr="00160C36">
        <w:rPr>
          <w:rtl/>
        </w:rPr>
        <w:t xml:space="preserve"> لم</w:t>
      </w:r>
      <w:r w:rsidRPr="00160C36">
        <w:rPr>
          <w:rFonts w:hint="cs"/>
          <w:rtl/>
        </w:rPr>
        <w:t>عالجة أسباب</w:t>
      </w:r>
      <w:r w:rsidRPr="00160C36">
        <w:rPr>
          <w:rtl/>
        </w:rPr>
        <w:t xml:space="preserve"> إحدى المشاكل </w:t>
      </w:r>
      <w:r>
        <w:rPr>
          <w:rtl/>
        </w:rPr>
        <w:t>الأكثر تكرراً، مثل كل ما يتعلق بالبقاء المادي</w:t>
      </w:r>
      <w:r w:rsidR="003D7EB4">
        <w:rPr>
          <w:rtl/>
        </w:rPr>
        <w:t>،</w:t>
      </w:r>
      <w:r>
        <w:rPr>
          <w:rtl/>
        </w:rPr>
        <w:t xml:space="preserve"> في سنة 2004، اعتمد كونغرس الجمهورية القانون رقم 882 لسنة 2004 الذي عدَّل بموجبه المادة 229 من القانون رقم 599 لسنة 2000، من القانون الجنائي فشدد بهذه الطريقة العقوبة المفروضة على المعتدي إذا كان ضحية سوء المعاملة قاصراً أو امرأة</w:t>
      </w:r>
      <w:r w:rsidR="003D7EB4">
        <w:rPr>
          <w:rtl/>
        </w:rPr>
        <w:t>،</w:t>
      </w:r>
    </w:p>
    <w:p w:rsidR="00971AE2" w:rsidRDefault="00971AE2" w:rsidP="00A343DF">
      <w:pPr>
        <w:jc w:val="lowKashida"/>
        <w:rPr>
          <w:rFonts w:hint="cs"/>
          <w:sz w:val="24"/>
          <w:rtl/>
        </w:rPr>
      </w:pPr>
    </w:p>
    <w:p w:rsidR="00971AE2" w:rsidRDefault="00971AE2" w:rsidP="00A343DF">
      <w:pPr>
        <w:jc w:val="lowKashida"/>
        <w:rPr>
          <w:sz w:val="24"/>
          <w:rtl/>
        </w:rPr>
      </w:pPr>
      <w:r>
        <w:rPr>
          <w:sz w:val="24"/>
          <w:rtl/>
        </w:rPr>
        <w:t>المنجزات القضائية</w:t>
      </w:r>
    </w:p>
    <w:tbl>
      <w:tblPr>
        <w:tblW w:w="0" w:type="auto"/>
        <w:tblInd w:w="-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
        <w:gridCol w:w="5142"/>
        <w:gridCol w:w="8"/>
        <w:gridCol w:w="3366"/>
        <w:gridCol w:w="33"/>
      </w:tblGrid>
      <w:tr w:rsidR="00971AE2" w:rsidRPr="00686B23">
        <w:tblPrEx>
          <w:tblCellMar>
            <w:top w:w="0" w:type="dxa"/>
            <w:bottom w:w="0" w:type="dxa"/>
          </w:tblCellMar>
        </w:tblPrEx>
        <w:trPr>
          <w:gridAfter w:val="1"/>
          <w:wAfter w:w="33" w:type="dxa"/>
        </w:trPr>
        <w:tc>
          <w:tcPr>
            <w:tcW w:w="5148" w:type="dxa"/>
            <w:gridSpan w:val="2"/>
          </w:tcPr>
          <w:p w:rsidR="00971AE2" w:rsidRPr="00686B23" w:rsidRDefault="00971AE2" w:rsidP="00A343DF">
            <w:pPr>
              <w:jc w:val="lowKashida"/>
              <w:rPr>
                <w:sz w:val="24"/>
                <w:szCs w:val="24"/>
                <w:rtl/>
              </w:rPr>
            </w:pPr>
            <w:r w:rsidRPr="00686B23">
              <w:rPr>
                <w:sz w:val="24"/>
                <w:szCs w:val="24"/>
                <w:rtl/>
              </w:rPr>
              <w:t>الموضوع</w:t>
            </w:r>
          </w:p>
        </w:tc>
        <w:tc>
          <w:tcPr>
            <w:tcW w:w="3374" w:type="dxa"/>
            <w:gridSpan w:val="2"/>
          </w:tcPr>
          <w:p w:rsidR="00971AE2" w:rsidRPr="00686B23" w:rsidRDefault="00971AE2" w:rsidP="00A343DF">
            <w:pPr>
              <w:jc w:val="lowKashida"/>
              <w:rPr>
                <w:sz w:val="24"/>
                <w:szCs w:val="24"/>
                <w:rtl/>
              </w:rPr>
            </w:pPr>
            <w:r w:rsidRPr="00686B23">
              <w:rPr>
                <w:sz w:val="24"/>
                <w:szCs w:val="24"/>
                <w:rtl/>
              </w:rPr>
              <w:t>الحكم</w:t>
            </w:r>
          </w:p>
        </w:tc>
      </w:tr>
      <w:tr w:rsidR="00971AE2" w:rsidRPr="00686B23">
        <w:tblPrEx>
          <w:tblCellMar>
            <w:top w:w="0" w:type="dxa"/>
            <w:bottom w:w="0" w:type="dxa"/>
          </w:tblCellMar>
        </w:tblPrEx>
        <w:trPr>
          <w:gridAfter w:val="1"/>
          <w:wAfter w:w="33" w:type="dxa"/>
        </w:trPr>
        <w:tc>
          <w:tcPr>
            <w:tcW w:w="5148" w:type="dxa"/>
            <w:gridSpan w:val="2"/>
          </w:tcPr>
          <w:p w:rsidR="00971AE2" w:rsidRPr="00686B23" w:rsidRDefault="00971AE2" w:rsidP="00A343DF">
            <w:pPr>
              <w:jc w:val="lowKashida"/>
              <w:rPr>
                <w:sz w:val="24"/>
                <w:szCs w:val="24"/>
                <w:rtl/>
              </w:rPr>
            </w:pPr>
            <w:r w:rsidRPr="00686B23">
              <w:rPr>
                <w:sz w:val="24"/>
                <w:szCs w:val="24"/>
                <w:rtl/>
              </w:rPr>
              <w:t>طعن في المادة 2 من القانون رقم 82 لسنة 1993 المتعلقة بتوفير حماية خاصة لرئيسة وأكد أنها لا تشمل جميع النساء اللائي في هذا الوضع وتستبعد الأرامل والمطلقات</w:t>
            </w:r>
            <w:r w:rsidR="003D7EB4">
              <w:rPr>
                <w:sz w:val="24"/>
                <w:szCs w:val="24"/>
                <w:rtl/>
              </w:rPr>
              <w:t>،</w:t>
            </w:r>
            <w:r w:rsidRPr="00686B23">
              <w:rPr>
                <w:sz w:val="24"/>
                <w:szCs w:val="24"/>
                <w:rtl/>
              </w:rPr>
              <w:t xml:space="preserve"> وقد أبقت المحكمة على القاعدة وأكدت أنها تشمل جميع النساء اللائي هن فعلاً رئيسات أسر دون استبعاد أي منهن</w:t>
            </w:r>
            <w:r w:rsidR="003D7EB4">
              <w:rPr>
                <w:sz w:val="24"/>
                <w:szCs w:val="24"/>
                <w:rtl/>
              </w:rPr>
              <w:t>،</w:t>
            </w:r>
          </w:p>
        </w:tc>
        <w:tc>
          <w:tcPr>
            <w:tcW w:w="3374" w:type="dxa"/>
            <w:gridSpan w:val="2"/>
          </w:tcPr>
          <w:p w:rsidR="00971AE2" w:rsidRPr="00686B23" w:rsidRDefault="00971AE2" w:rsidP="00A343DF">
            <w:pPr>
              <w:jc w:val="lowKashida"/>
              <w:rPr>
                <w:sz w:val="24"/>
                <w:szCs w:val="24"/>
                <w:rtl/>
              </w:rPr>
            </w:pPr>
            <w:r w:rsidRPr="00686B23">
              <w:rPr>
                <w:sz w:val="24"/>
                <w:szCs w:val="24"/>
                <w:rtl/>
              </w:rPr>
              <w:t xml:space="preserve">الحكم </w:t>
            </w:r>
            <w:r w:rsidRPr="00686B23">
              <w:rPr>
                <w:sz w:val="24"/>
                <w:szCs w:val="24"/>
                <w:lang w:val="fr-CH"/>
              </w:rPr>
              <w:t>C</w:t>
            </w:r>
            <w:r w:rsidRPr="00686B23">
              <w:rPr>
                <w:sz w:val="24"/>
                <w:szCs w:val="24"/>
              </w:rPr>
              <w:t>-</w:t>
            </w:r>
            <w:r w:rsidRPr="00686B23">
              <w:rPr>
                <w:sz w:val="24"/>
                <w:szCs w:val="24"/>
                <w:lang w:val="fr-CH"/>
              </w:rPr>
              <w:t>34</w:t>
            </w:r>
            <w:r w:rsidRPr="00686B23">
              <w:rPr>
                <w:sz w:val="24"/>
                <w:szCs w:val="24"/>
                <w:rtl/>
              </w:rPr>
              <w:t xml:space="preserve"> لسنة 1999</w:t>
            </w:r>
          </w:p>
        </w:tc>
      </w:tr>
      <w:tr w:rsidR="00971AE2" w:rsidRPr="00686B23">
        <w:tblPrEx>
          <w:tblCellMar>
            <w:top w:w="0" w:type="dxa"/>
            <w:bottom w:w="0" w:type="dxa"/>
          </w:tblCellMar>
        </w:tblPrEx>
        <w:trPr>
          <w:gridAfter w:val="1"/>
          <w:wAfter w:w="33" w:type="dxa"/>
        </w:trPr>
        <w:tc>
          <w:tcPr>
            <w:tcW w:w="5148" w:type="dxa"/>
            <w:gridSpan w:val="2"/>
          </w:tcPr>
          <w:p w:rsidR="00971AE2" w:rsidRPr="00686B23" w:rsidRDefault="00971AE2" w:rsidP="00A343DF">
            <w:pPr>
              <w:jc w:val="lowKashida"/>
              <w:rPr>
                <w:sz w:val="24"/>
                <w:szCs w:val="24"/>
                <w:rtl/>
              </w:rPr>
            </w:pPr>
            <w:r w:rsidRPr="00686B23">
              <w:rPr>
                <w:sz w:val="24"/>
                <w:szCs w:val="24"/>
                <w:rtl/>
              </w:rPr>
              <w:t>عدم إمكانية تطبيق الفقرة 8 من المادة 140 من القانون المدني، التي تعتبر أن إثبات ارتكاب الزنا على رجل في محاكمة سبب لبطلان الزواج الذي عقد بعد المحاكمة بين المرأة الزانية وشريكها</w:t>
            </w:r>
            <w:r w:rsidR="003D7EB4">
              <w:rPr>
                <w:sz w:val="24"/>
                <w:szCs w:val="24"/>
                <w:rtl/>
              </w:rPr>
              <w:t>،</w:t>
            </w:r>
            <w:r w:rsidRPr="00686B23">
              <w:rPr>
                <w:sz w:val="24"/>
                <w:szCs w:val="24"/>
                <w:rtl/>
              </w:rPr>
              <w:t xml:space="preserve"> </w:t>
            </w:r>
          </w:p>
        </w:tc>
        <w:tc>
          <w:tcPr>
            <w:tcW w:w="3374" w:type="dxa"/>
            <w:gridSpan w:val="2"/>
          </w:tcPr>
          <w:p w:rsidR="00971AE2" w:rsidRPr="00686B23" w:rsidRDefault="00971AE2" w:rsidP="00A343DF">
            <w:pPr>
              <w:jc w:val="lowKashida"/>
              <w:rPr>
                <w:sz w:val="24"/>
                <w:szCs w:val="24"/>
              </w:rPr>
            </w:pPr>
            <w:r w:rsidRPr="00686B23">
              <w:rPr>
                <w:sz w:val="24"/>
                <w:szCs w:val="24"/>
                <w:rtl/>
              </w:rPr>
              <w:t xml:space="preserve">الحكم </w:t>
            </w:r>
            <w:r w:rsidRPr="00686B23">
              <w:rPr>
                <w:sz w:val="24"/>
                <w:szCs w:val="24"/>
              </w:rPr>
              <w:t>C-82</w:t>
            </w:r>
            <w:r w:rsidRPr="00686B23">
              <w:rPr>
                <w:sz w:val="24"/>
                <w:szCs w:val="24"/>
                <w:rtl/>
              </w:rPr>
              <w:t xml:space="preserve"> لسنة 1999</w:t>
            </w:r>
          </w:p>
        </w:tc>
      </w:tr>
      <w:tr w:rsidR="00971AE2" w:rsidRPr="00686B23">
        <w:tblPrEx>
          <w:tblCellMar>
            <w:top w:w="0" w:type="dxa"/>
            <w:bottom w:w="0" w:type="dxa"/>
          </w:tblCellMar>
        </w:tblPrEx>
        <w:trPr>
          <w:gridAfter w:val="1"/>
          <w:wAfter w:w="33" w:type="dxa"/>
        </w:trPr>
        <w:tc>
          <w:tcPr>
            <w:tcW w:w="5148" w:type="dxa"/>
            <w:gridSpan w:val="2"/>
          </w:tcPr>
          <w:p w:rsidR="00971AE2" w:rsidRPr="00686B23" w:rsidRDefault="00971AE2" w:rsidP="00A343DF">
            <w:pPr>
              <w:jc w:val="lowKashida"/>
              <w:rPr>
                <w:sz w:val="24"/>
                <w:szCs w:val="24"/>
                <w:rtl/>
              </w:rPr>
            </w:pPr>
            <w:r w:rsidRPr="00686B23">
              <w:rPr>
                <w:sz w:val="24"/>
                <w:szCs w:val="24"/>
                <w:rtl/>
              </w:rPr>
              <w:t>اعتبار أن المعاشرة بين شخصين غير متزوجين والزنا والمضاجعة بين أبناء الجنس الواحد (اللواط) تخل بشرف الزوج المعني</w:t>
            </w:r>
            <w:r w:rsidR="003D7EB4">
              <w:rPr>
                <w:sz w:val="24"/>
                <w:szCs w:val="24"/>
                <w:rtl/>
              </w:rPr>
              <w:t>،</w:t>
            </w:r>
            <w:r w:rsidRPr="00686B23">
              <w:rPr>
                <w:sz w:val="24"/>
                <w:szCs w:val="24"/>
                <w:rtl/>
              </w:rPr>
              <w:t xml:space="preserve"> طُعن في القواعد التي تعتبر هذه الأفعال جرماً جسيماً في الجيش </w:t>
            </w:r>
            <w:r w:rsidR="003D7EB4">
              <w:rPr>
                <w:sz w:val="24"/>
                <w:szCs w:val="24"/>
                <w:rtl/>
              </w:rPr>
              <w:t>،</w:t>
            </w:r>
            <w:r w:rsidRPr="00686B23">
              <w:rPr>
                <w:sz w:val="24"/>
                <w:szCs w:val="24"/>
                <w:rtl/>
              </w:rPr>
              <w:t xml:space="preserve"> وأعلنت المحكمة عدم إمكانية تطبيق حظر المعاشرة بين شخصين لا يربطهما زواج، لأنها ينتميان إلى الجيش وكذلك الحال بالنسبة إلى العبارة التي تعتبر اللواطيين والمومسات أعداء للمجتمع</w:t>
            </w:r>
            <w:r w:rsidR="003D7EB4">
              <w:rPr>
                <w:sz w:val="24"/>
                <w:szCs w:val="24"/>
                <w:rtl/>
              </w:rPr>
              <w:t>،</w:t>
            </w:r>
          </w:p>
        </w:tc>
        <w:tc>
          <w:tcPr>
            <w:tcW w:w="3374" w:type="dxa"/>
            <w:gridSpan w:val="2"/>
          </w:tcPr>
          <w:p w:rsidR="00971AE2" w:rsidRPr="00686B23" w:rsidRDefault="00971AE2" w:rsidP="00A343DF">
            <w:pPr>
              <w:jc w:val="lowKashida"/>
              <w:rPr>
                <w:sz w:val="24"/>
                <w:szCs w:val="24"/>
                <w:rtl/>
              </w:rPr>
            </w:pPr>
            <w:r w:rsidRPr="00686B23">
              <w:rPr>
                <w:sz w:val="24"/>
                <w:szCs w:val="24"/>
                <w:rtl/>
              </w:rPr>
              <w:t xml:space="preserve">الحكم رقم </w:t>
            </w:r>
            <w:r w:rsidRPr="00686B23">
              <w:rPr>
                <w:sz w:val="24"/>
                <w:szCs w:val="24"/>
              </w:rPr>
              <w:t>C-507</w:t>
            </w:r>
            <w:r w:rsidRPr="00686B23">
              <w:rPr>
                <w:sz w:val="24"/>
                <w:szCs w:val="24"/>
                <w:rtl/>
              </w:rPr>
              <w:t xml:space="preserve"> لسنة 1999</w:t>
            </w:r>
          </w:p>
        </w:tc>
      </w:tr>
      <w:tr w:rsidR="00971AE2" w:rsidRPr="00686B23">
        <w:tblPrEx>
          <w:tblCellMar>
            <w:top w:w="0" w:type="dxa"/>
            <w:bottom w:w="0" w:type="dxa"/>
          </w:tblCellMar>
        </w:tblPrEx>
        <w:trPr>
          <w:gridAfter w:val="1"/>
          <w:wAfter w:w="33" w:type="dxa"/>
        </w:trPr>
        <w:tc>
          <w:tcPr>
            <w:tcW w:w="5148" w:type="dxa"/>
            <w:gridSpan w:val="2"/>
          </w:tcPr>
          <w:p w:rsidR="00971AE2" w:rsidRPr="00686B23" w:rsidRDefault="00971AE2" w:rsidP="00A343DF">
            <w:pPr>
              <w:jc w:val="lowKashida"/>
              <w:rPr>
                <w:sz w:val="24"/>
                <w:szCs w:val="24"/>
                <w:rtl/>
              </w:rPr>
            </w:pPr>
            <w:r w:rsidRPr="00686B23">
              <w:rPr>
                <w:sz w:val="24"/>
                <w:szCs w:val="24"/>
                <w:rtl/>
              </w:rPr>
              <w:t>محكمة العدل العليا: أكد المتهم في دعوى الطعن في الأبوة  الاستثناء الذي ينص على أن تعدد العلاقات الجنسية للأم مع رجال آخرين سبب كاف لبطلان الأبوة ويستبعد أي دليل وراثي آخر</w:t>
            </w:r>
            <w:r w:rsidR="003D7EB4">
              <w:rPr>
                <w:sz w:val="24"/>
                <w:szCs w:val="24"/>
                <w:rtl/>
              </w:rPr>
              <w:t>،</w:t>
            </w:r>
            <w:r w:rsidRPr="00686B23">
              <w:rPr>
                <w:sz w:val="24"/>
                <w:szCs w:val="24"/>
                <w:rtl/>
              </w:rPr>
              <w:t xml:space="preserve"> بيد أن المحكمة أكدت أن الاستثناء المذكور لا يطبق إذا ثبتت الأبوة بالدليل الوراثي</w:t>
            </w:r>
            <w:r w:rsidR="003D7EB4">
              <w:rPr>
                <w:sz w:val="24"/>
                <w:szCs w:val="24"/>
                <w:rtl/>
              </w:rPr>
              <w:t>،</w:t>
            </w:r>
          </w:p>
        </w:tc>
        <w:tc>
          <w:tcPr>
            <w:tcW w:w="3374" w:type="dxa"/>
            <w:gridSpan w:val="2"/>
          </w:tcPr>
          <w:p w:rsidR="00971AE2" w:rsidRPr="00686B23" w:rsidRDefault="00971AE2" w:rsidP="00A343DF">
            <w:pPr>
              <w:jc w:val="lowKashida"/>
              <w:rPr>
                <w:sz w:val="24"/>
                <w:szCs w:val="24"/>
                <w:rtl/>
              </w:rPr>
            </w:pPr>
            <w:r w:rsidRPr="00686B23">
              <w:rPr>
                <w:sz w:val="24"/>
                <w:szCs w:val="24"/>
                <w:rtl/>
              </w:rPr>
              <w:t xml:space="preserve">الحكم رقم </w:t>
            </w:r>
            <w:r w:rsidRPr="00686B23">
              <w:rPr>
                <w:sz w:val="24"/>
                <w:szCs w:val="24"/>
              </w:rPr>
              <w:t>5303</w:t>
            </w:r>
            <w:r w:rsidRPr="00686B23">
              <w:rPr>
                <w:sz w:val="24"/>
                <w:szCs w:val="24"/>
                <w:rtl/>
              </w:rPr>
              <w:t xml:space="preserve"> لسنة 1999</w:t>
            </w:r>
          </w:p>
        </w:tc>
      </w:tr>
      <w:tr w:rsidR="00971AE2" w:rsidRPr="00686B23">
        <w:tblPrEx>
          <w:tblCellMar>
            <w:top w:w="0" w:type="dxa"/>
            <w:bottom w:w="0" w:type="dxa"/>
          </w:tblCellMar>
        </w:tblPrEx>
        <w:trPr>
          <w:gridAfter w:val="1"/>
          <w:wAfter w:w="33" w:type="dxa"/>
        </w:trPr>
        <w:tc>
          <w:tcPr>
            <w:tcW w:w="5148" w:type="dxa"/>
            <w:gridSpan w:val="2"/>
          </w:tcPr>
          <w:p w:rsidR="00971AE2" w:rsidRPr="00686B23" w:rsidRDefault="00971AE2" w:rsidP="00A343DF">
            <w:pPr>
              <w:jc w:val="lowKashida"/>
              <w:rPr>
                <w:sz w:val="24"/>
                <w:szCs w:val="24"/>
                <w:rtl/>
              </w:rPr>
            </w:pPr>
            <w:r w:rsidRPr="00686B23">
              <w:rPr>
                <w:sz w:val="24"/>
                <w:szCs w:val="24"/>
                <w:rtl/>
              </w:rPr>
              <w:t>أعلن إمكانية تطبيق المادة 126 من القانون المدني، المتعلقة بمراسم عقد الزواج باستثناء عبارة "المرأة"</w:t>
            </w:r>
            <w:r w:rsidR="00EF0777" w:rsidRPr="00EF0777">
              <w:rPr>
                <w:rFonts w:hint="cs"/>
                <w:sz w:val="24"/>
                <w:szCs w:val="24"/>
                <w:vertAlign w:val="superscript"/>
                <w:rtl/>
              </w:rPr>
              <w:t>201</w:t>
            </w:r>
            <w:r w:rsidRPr="00686B23">
              <w:rPr>
                <w:sz w:val="24"/>
                <w:szCs w:val="24"/>
                <w:rtl/>
              </w:rPr>
              <w:t xml:space="preserve"> "على أساس أنه بموجب مبدأ المساواة بين الجنسين يكون القاضي المختص بعقد الزواج هو قاضي البلدية أو المسؤول في الحي الذي يعيش فيه أحد العروسين"</w:t>
            </w:r>
            <w:r w:rsidR="003D7EB4">
              <w:rPr>
                <w:sz w:val="24"/>
                <w:szCs w:val="24"/>
                <w:rtl/>
              </w:rPr>
              <w:t>،</w:t>
            </w:r>
            <w:r w:rsidRPr="00686B23">
              <w:rPr>
                <w:sz w:val="24"/>
                <w:szCs w:val="24"/>
                <w:rtl/>
              </w:rPr>
              <w:t xml:space="preserve"> وأعلن الحكم حذف لفظتي "المرأة" و"الرجل" من المادة 131 من القانون المدني و"المرأة" من الفقرة الأولى من المادة 1 من المرسوم رقم 2668 لسنة 1988، على أساس أن القاضي أو الموثق في محل إقامة أي من المتعاقدين ذو أهلية لعقد الزواج</w:t>
            </w:r>
            <w:r w:rsidR="003D7EB4">
              <w:rPr>
                <w:sz w:val="24"/>
                <w:szCs w:val="24"/>
                <w:rtl/>
              </w:rPr>
              <w:t>،</w:t>
            </w:r>
            <w:r w:rsidRPr="00686B23">
              <w:rPr>
                <w:sz w:val="24"/>
                <w:szCs w:val="24"/>
                <w:rtl/>
              </w:rPr>
              <w:t xml:space="preserve"> </w:t>
            </w:r>
          </w:p>
        </w:tc>
        <w:tc>
          <w:tcPr>
            <w:tcW w:w="3374" w:type="dxa"/>
            <w:gridSpan w:val="2"/>
          </w:tcPr>
          <w:p w:rsidR="00971AE2" w:rsidRPr="00686B23" w:rsidRDefault="00971AE2" w:rsidP="00A343DF">
            <w:pPr>
              <w:jc w:val="lowKashida"/>
              <w:rPr>
                <w:sz w:val="24"/>
                <w:szCs w:val="24"/>
                <w:rtl/>
              </w:rPr>
            </w:pPr>
            <w:r w:rsidRPr="00686B23">
              <w:rPr>
                <w:sz w:val="24"/>
                <w:szCs w:val="24"/>
                <w:rtl/>
              </w:rPr>
              <w:t xml:space="preserve">الحكم </w:t>
            </w:r>
            <w:r w:rsidRPr="00686B23">
              <w:rPr>
                <w:sz w:val="24"/>
                <w:szCs w:val="24"/>
              </w:rPr>
              <w:t>C-112</w:t>
            </w:r>
            <w:r w:rsidRPr="00686B23">
              <w:rPr>
                <w:sz w:val="24"/>
                <w:szCs w:val="24"/>
                <w:rtl/>
              </w:rPr>
              <w:t xml:space="preserve"> لسنة 2000</w:t>
            </w:r>
          </w:p>
        </w:tc>
      </w:tr>
      <w:tr w:rsidR="00971AE2" w:rsidRPr="00686B23">
        <w:tblPrEx>
          <w:tblCellMar>
            <w:top w:w="0" w:type="dxa"/>
            <w:bottom w:w="0" w:type="dxa"/>
          </w:tblCellMar>
        </w:tblPrEx>
        <w:trPr>
          <w:gridAfter w:val="1"/>
          <w:wAfter w:w="33" w:type="dxa"/>
        </w:trPr>
        <w:tc>
          <w:tcPr>
            <w:tcW w:w="5148" w:type="dxa"/>
            <w:gridSpan w:val="2"/>
          </w:tcPr>
          <w:p w:rsidR="00971AE2" w:rsidRPr="00686B23" w:rsidRDefault="00971AE2" w:rsidP="00A343DF">
            <w:pPr>
              <w:jc w:val="lowKashida"/>
              <w:rPr>
                <w:sz w:val="24"/>
                <w:szCs w:val="24"/>
                <w:rtl/>
              </w:rPr>
            </w:pPr>
            <w:r w:rsidRPr="00686B23">
              <w:rPr>
                <w:sz w:val="24"/>
                <w:szCs w:val="24"/>
                <w:rtl/>
              </w:rPr>
              <w:t>طعن في المادتين 173 و174 من القانون المدني</w:t>
            </w:r>
            <w:r w:rsidR="003D7EB4">
              <w:rPr>
                <w:sz w:val="24"/>
                <w:szCs w:val="24"/>
                <w:rtl/>
              </w:rPr>
              <w:t>،</w:t>
            </w:r>
            <w:r w:rsidRPr="00686B23">
              <w:rPr>
                <w:sz w:val="24"/>
                <w:szCs w:val="24"/>
                <w:rtl/>
              </w:rPr>
              <w:t xml:space="preserve"> ويرى المدعي أن المادتين المطعون فيهما ينتهكان مبدأ المساواة لفرضهما معاملة تمييزية على المرأة بمنعها من التعاقد على زواج جديد قبل الولادة في حالة حل رباط زواجها أو إعلان بطلانه، قبل مرور 270 يوماً على إعلان حل الزواج أو بطلانه</w:t>
            </w:r>
            <w:r w:rsidR="003D7EB4">
              <w:rPr>
                <w:sz w:val="24"/>
                <w:szCs w:val="24"/>
                <w:rtl/>
              </w:rPr>
              <w:t>،</w:t>
            </w:r>
            <w:r w:rsidRPr="00686B23">
              <w:rPr>
                <w:sz w:val="24"/>
                <w:szCs w:val="24"/>
                <w:rtl/>
              </w:rPr>
              <w:t xml:space="preserve"> ولا ينص القانون على هذه المعاملة فيما يتعلق بالرجل الذي يستطيع التعاقد على زواج ثان متى رغب في ذلك</w:t>
            </w:r>
            <w:r w:rsidR="003D7EB4">
              <w:rPr>
                <w:sz w:val="24"/>
                <w:szCs w:val="24"/>
                <w:rtl/>
              </w:rPr>
              <w:t>،</w:t>
            </w:r>
            <w:r w:rsidRPr="00686B23">
              <w:rPr>
                <w:sz w:val="24"/>
                <w:szCs w:val="24"/>
                <w:rtl/>
              </w:rPr>
              <w:t xml:space="preserve"> وأعلنت المحكمة بطلان القواعد المطعون فيها لانتهاكها حقوق المرأة في حرية تنمية شخصيتها وحريتها وشرفها</w:t>
            </w:r>
            <w:r w:rsidR="003D7EB4">
              <w:rPr>
                <w:sz w:val="24"/>
                <w:szCs w:val="24"/>
                <w:rtl/>
              </w:rPr>
              <w:t>،</w:t>
            </w:r>
            <w:r w:rsidRPr="00686B23">
              <w:rPr>
                <w:sz w:val="24"/>
                <w:szCs w:val="24"/>
                <w:rtl/>
              </w:rPr>
              <w:t xml:space="preserve"> </w:t>
            </w:r>
          </w:p>
        </w:tc>
        <w:tc>
          <w:tcPr>
            <w:tcW w:w="3374" w:type="dxa"/>
            <w:gridSpan w:val="2"/>
          </w:tcPr>
          <w:p w:rsidR="00971AE2" w:rsidRPr="00686B23" w:rsidRDefault="00971AE2" w:rsidP="00A343DF">
            <w:pPr>
              <w:jc w:val="lowKashida"/>
              <w:rPr>
                <w:sz w:val="24"/>
                <w:szCs w:val="24"/>
                <w:rtl/>
              </w:rPr>
            </w:pPr>
            <w:r w:rsidRPr="00686B23">
              <w:rPr>
                <w:sz w:val="24"/>
                <w:szCs w:val="24"/>
                <w:rtl/>
              </w:rPr>
              <w:t xml:space="preserve">الحكم </w:t>
            </w:r>
            <w:r w:rsidRPr="00686B23">
              <w:rPr>
                <w:sz w:val="24"/>
                <w:szCs w:val="24"/>
              </w:rPr>
              <w:t>C-1440</w:t>
            </w:r>
            <w:r w:rsidRPr="00686B23">
              <w:rPr>
                <w:sz w:val="24"/>
                <w:szCs w:val="24"/>
                <w:rtl/>
              </w:rPr>
              <w:t xml:space="preserve"> لسنة 2000</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sz w:val="24"/>
                <w:szCs w:val="24"/>
                <w:rtl/>
              </w:rPr>
            </w:pPr>
            <w:r w:rsidRPr="00686B23">
              <w:rPr>
                <w:sz w:val="24"/>
                <w:szCs w:val="24"/>
                <w:rtl/>
              </w:rPr>
              <w:t xml:space="preserve">طعن في المادة 140، الفقرة 5، من القانون المدني،المتعلقة بحرية العيش مع أي شخص دونما قسر، </w:t>
            </w:r>
            <w:r w:rsidRPr="00686B23">
              <w:rPr>
                <w:rFonts w:hint="cs"/>
                <w:sz w:val="24"/>
                <w:szCs w:val="24"/>
                <w:rtl/>
              </w:rPr>
              <w:t>وقالت</w:t>
            </w:r>
            <w:r w:rsidRPr="00686B23">
              <w:rPr>
                <w:sz w:val="24"/>
                <w:szCs w:val="24"/>
                <w:rtl/>
              </w:rPr>
              <w:t xml:space="preserve"> المحكمة </w:t>
            </w:r>
            <w:r w:rsidRPr="00686B23">
              <w:rPr>
                <w:rFonts w:hint="cs"/>
                <w:sz w:val="24"/>
                <w:szCs w:val="24"/>
                <w:rtl/>
              </w:rPr>
              <w:t xml:space="preserve">في قرارها: إن </w:t>
            </w:r>
            <w:r w:rsidRPr="00686B23">
              <w:rPr>
                <w:sz w:val="24"/>
                <w:szCs w:val="24"/>
                <w:rtl/>
              </w:rPr>
              <w:t xml:space="preserve">إعلان </w:t>
            </w:r>
            <w:r w:rsidRPr="00686B23">
              <w:rPr>
                <w:rFonts w:hint="cs"/>
                <w:sz w:val="24"/>
                <w:szCs w:val="24"/>
                <w:rtl/>
              </w:rPr>
              <w:t>صحة</w:t>
            </w:r>
            <w:r w:rsidRPr="00686B23">
              <w:rPr>
                <w:sz w:val="24"/>
                <w:szCs w:val="24"/>
                <w:rtl/>
              </w:rPr>
              <w:t xml:space="preserve"> </w:t>
            </w:r>
            <w:r w:rsidRPr="00686B23">
              <w:rPr>
                <w:rFonts w:hint="cs"/>
                <w:sz w:val="24"/>
                <w:szCs w:val="24"/>
                <w:rtl/>
              </w:rPr>
              <w:t>ال</w:t>
            </w:r>
            <w:r w:rsidRPr="00686B23">
              <w:rPr>
                <w:sz w:val="24"/>
                <w:szCs w:val="24"/>
                <w:rtl/>
              </w:rPr>
              <w:t xml:space="preserve">عبارة "لا تكون القوة أو الخوف سبباُ لبطلان الزواج إذا صُدق على الزواج بعد </w:t>
            </w:r>
            <w:r w:rsidRPr="00686B23">
              <w:rPr>
                <w:rFonts w:hint="cs"/>
                <w:sz w:val="24"/>
                <w:szCs w:val="24"/>
                <w:rtl/>
              </w:rPr>
              <w:t>زوال القوة</w:t>
            </w:r>
            <w:r w:rsidRPr="00686B23">
              <w:rPr>
                <w:sz w:val="24"/>
                <w:szCs w:val="24"/>
                <w:rtl/>
              </w:rPr>
              <w:t xml:space="preserve"> بعبارات صريحة أو بمجرد المعاشرة بين الزوجين"، الواردة في الفقرة 5 من المادة 140 من القانون المدني، والفقرة الثانية من المادة 145 من القانون ذاته، </w:t>
            </w:r>
            <w:r w:rsidRPr="00686B23">
              <w:rPr>
                <w:rFonts w:hint="cs"/>
                <w:sz w:val="24"/>
                <w:szCs w:val="24"/>
                <w:rtl/>
              </w:rPr>
              <w:t>تعني</w:t>
            </w:r>
            <w:r w:rsidRPr="00686B23">
              <w:rPr>
                <w:sz w:val="24"/>
                <w:szCs w:val="24"/>
                <w:rtl/>
              </w:rPr>
              <w:t xml:space="preserve"> أن المعاشرة المشار إليها تكون في جميع الأحوال طوعية وحرة ومسموح بها مع الحفاظ في جميع الأحوال على الحق في إثبات أن الهدف منها </w:t>
            </w:r>
            <w:r w:rsidRPr="00686B23">
              <w:rPr>
                <w:rFonts w:hint="cs"/>
                <w:sz w:val="24"/>
                <w:szCs w:val="24"/>
                <w:rtl/>
              </w:rPr>
              <w:t>لم يكن</w:t>
            </w:r>
            <w:r w:rsidRPr="00686B23">
              <w:rPr>
                <w:sz w:val="24"/>
                <w:szCs w:val="24"/>
                <w:rtl/>
              </w:rPr>
              <w:t xml:space="preserve"> إضفاء الشرعية على الزواج"</w:t>
            </w:r>
            <w:r w:rsidR="003D7EB4">
              <w:rPr>
                <w:sz w:val="24"/>
                <w:szCs w:val="24"/>
                <w:rtl/>
              </w:rPr>
              <w:t>،</w:t>
            </w:r>
          </w:p>
        </w:tc>
        <w:tc>
          <w:tcPr>
            <w:tcW w:w="3399" w:type="dxa"/>
            <w:gridSpan w:val="2"/>
          </w:tcPr>
          <w:p w:rsidR="00971AE2" w:rsidRPr="00686B23" w:rsidRDefault="00971AE2" w:rsidP="00A343DF">
            <w:pPr>
              <w:jc w:val="lowKashida"/>
              <w:rPr>
                <w:sz w:val="24"/>
                <w:szCs w:val="24"/>
                <w:rtl/>
              </w:rPr>
            </w:pPr>
            <w:r w:rsidRPr="00686B23">
              <w:rPr>
                <w:sz w:val="24"/>
                <w:szCs w:val="24"/>
                <w:rtl/>
              </w:rPr>
              <w:t xml:space="preserve">الحكم رقم </w:t>
            </w:r>
            <w:r w:rsidRPr="00686B23">
              <w:rPr>
                <w:sz w:val="24"/>
                <w:szCs w:val="24"/>
              </w:rPr>
              <w:t>C-533</w:t>
            </w:r>
            <w:r w:rsidRPr="00686B23">
              <w:rPr>
                <w:sz w:val="24"/>
                <w:szCs w:val="24"/>
                <w:rtl/>
              </w:rPr>
              <w:t xml:space="preserve"> لسنة 2000</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sz w:val="24"/>
                <w:szCs w:val="24"/>
                <w:rtl/>
              </w:rPr>
            </w:pPr>
            <w:r w:rsidRPr="00686B23">
              <w:rPr>
                <w:sz w:val="24"/>
                <w:szCs w:val="24"/>
                <w:rtl/>
              </w:rPr>
              <w:t>طعن في الفقرة الأولى من المادة 6 من القانون رقم 25 لسنة 1992</w:t>
            </w:r>
            <w:r w:rsidR="003D7EB4">
              <w:rPr>
                <w:sz w:val="24"/>
                <w:szCs w:val="24"/>
                <w:rtl/>
              </w:rPr>
              <w:t>،</w:t>
            </w:r>
            <w:r w:rsidRPr="00686B23">
              <w:rPr>
                <w:sz w:val="24"/>
                <w:szCs w:val="24"/>
                <w:rtl/>
              </w:rPr>
              <w:t xml:space="preserve"> أعلنت المحكمة عدم قابلية جزء من الفقرة موضع الطعن للتطبيق وقالت ما يلي: "6: يصبح نص المادة 154 من القانون المدني كما يلي: تكون أسباب الطلاق: 1- العلاقات الجنسية لأحد الزوجين خارج نطاق الزوجية إلا إذا وافق عليها المدعي أو يسرها أو عفا عنها</w:t>
            </w:r>
            <w:r w:rsidR="003D7EB4">
              <w:rPr>
                <w:sz w:val="24"/>
                <w:szCs w:val="24"/>
                <w:rtl/>
              </w:rPr>
              <w:t>،</w:t>
            </w:r>
            <w:r w:rsidRPr="00686B23">
              <w:rPr>
                <w:sz w:val="24"/>
                <w:szCs w:val="24"/>
                <w:rtl/>
              </w:rPr>
              <w:t xml:space="preserve"> وأعلنت حذف (النص الموضوع تحته خط) لأن القاعدة محل الطعن تتعارض مع حق الزوجين في حرية تنمية شخصيتهما وحرية الضمير في تقدير المواقف الفردية أو المشتركة الخاصة المتعلقة بتخويف الشريك لأنها تتمثل في تيسير العلاقات الجنسية للشريك  خارج نطاق الزوجية أو الموافقة عليها أو العفو عنها</w:t>
            </w:r>
            <w:r w:rsidR="003D7EB4">
              <w:rPr>
                <w:sz w:val="24"/>
                <w:szCs w:val="24"/>
                <w:rtl/>
              </w:rPr>
              <w:t>،</w:t>
            </w:r>
            <w:r w:rsidRPr="00686B23">
              <w:rPr>
                <w:sz w:val="24"/>
                <w:szCs w:val="24"/>
                <w:rtl/>
              </w:rPr>
              <w:t xml:space="preserve"> وباختصار فإن الأفعال الجسدية أو المشاعر والعواطف الخاصة بالعيش معاً تدخل في المجال الفردي لكل من الزوجين وليس للشريك بأي حال من الأحوال سلطة الرقابة عليها"</w:t>
            </w:r>
            <w:r w:rsidR="003D7EB4">
              <w:rPr>
                <w:sz w:val="24"/>
                <w:szCs w:val="24"/>
                <w:rtl/>
              </w:rPr>
              <w:t>،</w:t>
            </w:r>
          </w:p>
        </w:tc>
        <w:tc>
          <w:tcPr>
            <w:tcW w:w="3399" w:type="dxa"/>
            <w:gridSpan w:val="2"/>
          </w:tcPr>
          <w:p w:rsidR="00971AE2" w:rsidRPr="00686B23" w:rsidRDefault="00971AE2" w:rsidP="00A343DF">
            <w:pPr>
              <w:jc w:val="lowKashida"/>
              <w:rPr>
                <w:sz w:val="24"/>
                <w:szCs w:val="24"/>
                <w:rtl/>
              </w:rPr>
            </w:pPr>
            <w:r w:rsidRPr="00686B23">
              <w:rPr>
                <w:sz w:val="24"/>
                <w:szCs w:val="24"/>
                <w:rtl/>
              </w:rPr>
              <w:t xml:space="preserve">الحكم </w:t>
            </w:r>
            <w:r w:rsidRPr="00686B23">
              <w:rPr>
                <w:sz w:val="24"/>
                <w:szCs w:val="24"/>
                <w:lang w:val="fr-CH"/>
              </w:rPr>
              <w:t>C-660</w:t>
            </w:r>
            <w:r w:rsidRPr="00686B23">
              <w:rPr>
                <w:sz w:val="24"/>
                <w:szCs w:val="24"/>
                <w:rtl/>
              </w:rPr>
              <w:t xml:space="preserve"> لسنة 2000</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sz w:val="24"/>
                <w:szCs w:val="24"/>
                <w:rtl/>
              </w:rPr>
            </w:pPr>
            <w:r w:rsidRPr="00686B23">
              <w:rPr>
                <w:sz w:val="24"/>
                <w:szCs w:val="24"/>
                <w:rtl/>
              </w:rPr>
              <w:t>أكد القرار مجدداً أنه ليس لأحد المتعاشرين اللوطيين الحق في معاش الآخر؛ فقد أكدت المستشارة آن مارغريتا أولايا</w:t>
            </w:r>
            <w:r w:rsidRPr="00686B23">
              <w:rPr>
                <w:color w:val="FF0000"/>
                <w:sz w:val="24"/>
                <w:szCs w:val="24"/>
                <w:rtl/>
              </w:rPr>
              <w:t xml:space="preserve"> </w:t>
            </w:r>
            <w:r w:rsidRPr="00686B23">
              <w:rPr>
                <w:sz w:val="24"/>
                <w:szCs w:val="24"/>
                <w:rtl/>
              </w:rPr>
              <w:t>في النقض أنه ينبغي صرف المعاش لأن القرار المتخذ يميز ضد الأسر الناشئة عن معاشرات اللوطيين</w:t>
            </w:r>
            <w:r w:rsidR="003D7EB4">
              <w:rPr>
                <w:sz w:val="24"/>
                <w:szCs w:val="24"/>
                <w:rtl/>
              </w:rPr>
              <w:t>،</w:t>
            </w:r>
            <w:r w:rsidRPr="00686B23">
              <w:rPr>
                <w:sz w:val="24"/>
                <w:szCs w:val="24"/>
                <w:rtl/>
              </w:rPr>
              <w:t xml:space="preserve"> </w:t>
            </w:r>
          </w:p>
        </w:tc>
        <w:tc>
          <w:tcPr>
            <w:tcW w:w="3399" w:type="dxa"/>
            <w:gridSpan w:val="2"/>
          </w:tcPr>
          <w:p w:rsidR="00971AE2" w:rsidRPr="00686B23" w:rsidRDefault="00971AE2" w:rsidP="00A343DF">
            <w:pPr>
              <w:jc w:val="lowKashida"/>
              <w:rPr>
                <w:sz w:val="24"/>
                <w:szCs w:val="24"/>
                <w:rtl/>
              </w:rPr>
            </w:pPr>
            <w:r w:rsidRPr="00686B23">
              <w:rPr>
                <w:sz w:val="24"/>
                <w:szCs w:val="24"/>
                <w:rtl/>
              </w:rPr>
              <w:t xml:space="preserve">الحكم رقم </w:t>
            </w:r>
            <w:r w:rsidRPr="00686B23">
              <w:rPr>
                <w:sz w:val="24"/>
                <w:szCs w:val="24"/>
              </w:rPr>
              <w:t>2472</w:t>
            </w:r>
            <w:r w:rsidRPr="00686B23">
              <w:rPr>
                <w:sz w:val="24"/>
                <w:szCs w:val="24"/>
                <w:rtl/>
              </w:rPr>
              <w:t xml:space="preserve"> لسنة 2000 قانون العمل</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sz w:val="24"/>
                <w:szCs w:val="24"/>
                <w:rtl/>
              </w:rPr>
            </w:pPr>
            <w:r w:rsidRPr="00686B23">
              <w:rPr>
                <w:sz w:val="24"/>
                <w:szCs w:val="24"/>
                <w:rtl/>
              </w:rPr>
              <w:t xml:space="preserve">صدَّق على منح الأولوية في التحقيقات المعنية بالأبوة للأدلة </w:t>
            </w:r>
            <w:r w:rsidRPr="00686B23">
              <w:rPr>
                <w:rFonts w:hint="cs"/>
                <w:sz w:val="24"/>
                <w:szCs w:val="24"/>
                <w:rtl/>
              </w:rPr>
              <w:t>الوراثية</w:t>
            </w:r>
            <w:r w:rsidRPr="00686B23">
              <w:rPr>
                <w:sz w:val="24"/>
                <w:szCs w:val="24"/>
                <w:rtl/>
              </w:rPr>
              <w:t xml:space="preserve"> على الأدلة غير المباشرة</w:t>
            </w:r>
            <w:r w:rsidR="003D7EB4">
              <w:rPr>
                <w:sz w:val="24"/>
                <w:szCs w:val="24"/>
                <w:rtl/>
              </w:rPr>
              <w:t>،</w:t>
            </w:r>
            <w:r w:rsidRPr="00686B23">
              <w:rPr>
                <w:sz w:val="24"/>
                <w:szCs w:val="24"/>
                <w:rtl/>
              </w:rPr>
              <w:t xml:space="preserve"> ويوجد في نفس هذا الشأن الحكم رقم 6</w:t>
            </w:r>
            <w:r w:rsidRPr="00686B23">
              <w:rPr>
                <w:rFonts w:hint="cs"/>
                <w:sz w:val="24"/>
                <w:szCs w:val="24"/>
                <w:rtl/>
              </w:rPr>
              <w:t>3</w:t>
            </w:r>
            <w:r w:rsidRPr="00686B23">
              <w:rPr>
                <w:sz w:val="24"/>
                <w:szCs w:val="24"/>
                <w:rtl/>
              </w:rPr>
              <w:t>22</w:t>
            </w:r>
            <w:r w:rsidRPr="00686B23">
              <w:rPr>
                <w:rFonts w:hint="cs"/>
                <w:sz w:val="24"/>
                <w:szCs w:val="24"/>
                <w:rtl/>
              </w:rPr>
              <w:t xml:space="preserve"> لسنة 2002 المتعلق بالدفاع عن الأدلة الوراثية في التحقيق في الأبوة</w:t>
            </w:r>
            <w:r w:rsidR="003D7EB4">
              <w:rPr>
                <w:rFonts w:hint="cs"/>
                <w:sz w:val="24"/>
                <w:szCs w:val="24"/>
                <w:rtl/>
              </w:rPr>
              <w:t>،</w:t>
            </w:r>
          </w:p>
        </w:tc>
        <w:tc>
          <w:tcPr>
            <w:tcW w:w="3399" w:type="dxa"/>
            <w:gridSpan w:val="2"/>
          </w:tcPr>
          <w:p w:rsidR="00971AE2" w:rsidRPr="00686B23" w:rsidRDefault="00971AE2" w:rsidP="00A343DF">
            <w:pPr>
              <w:jc w:val="lowKashida"/>
              <w:rPr>
                <w:sz w:val="24"/>
                <w:szCs w:val="24"/>
                <w:rtl/>
              </w:rPr>
            </w:pPr>
            <w:r w:rsidRPr="00686B23">
              <w:rPr>
                <w:sz w:val="24"/>
                <w:szCs w:val="24"/>
                <w:rtl/>
              </w:rPr>
              <w:t xml:space="preserve">الحكم رقم </w:t>
            </w:r>
            <w:r w:rsidRPr="00686B23">
              <w:rPr>
                <w:sz w:val="24"/>
                <w:szCs w:val="24"/>
              </w:rPr>
              <w:t>6188</w:t>
            </w:r>
            <w:r w:rsidRPr="00686B23">
              <w:rPr>
                <w:sz w:val="24"/>
                <w:szCs w:val="24"/>
                <w:rtl/>
              </w:rPr>
              <w:t xml:space="preserve"> لسنة 2000 لمحكمة العدل العليا</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يتعلق بنطاق الصلاحية المؤقتة للقانون رقم 54 لسنة 1990، أو القانون المتعلق بالمعاشرة، ويؤكد مجددا الطريقة التي يحسب بها عاما المعاشرة</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الحكم 5883 لسنة 2001 لمحكمة العدل العليا</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يعدل الأمر الذي رفض السماح لامرأة مسجونة في سجن بلدية دوسكبراداس بتلقي زيارات حميمة من رفيقتها الدائمة</w:t>
            </w:r>
            <w:r w:rsidR="003D7EB4">
              <w:rPr>
                <w:rFonts w:hint="cs"/>
                <w:sz w:val="24"/>
                <w:szCs w:val="24"/>
                <w:rtl/>
              </w:rPr>
              <w:t>،</w:t>
            </w:r>
            <w:r w:rsidRPr="00686B23">
              <w:rPr>
                <w:rFonts w:hint="cs"/>
                <w:sz w:val="24"/>
                <w:szCs w:val="24"/>
                <w:rtl/>
              </w:rPr>
              <w:t xml:space="preserve"> فأمرت المحكمة بالسماح بالزيارات وحماية حقوقهن الأساسية</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 xml:space="preserve">الحكم </w:t>
            </w:r>
            <w:r w:rsidRPr="00686B23">
              <w:rPr>
                <w:sz w:val="24"/>
                <w:szCs w:val="24"/>
              </w:rPr>
              <w:t>66001</w:t>
            </w:r>
            <w:r w:rsidRPr="00686B23">
              <w:rPr>
                <w:rFonts w:hint="cs"/>
                <w:sz w:val="24"/>
                <w:szCs w:val="24"/>
                <w:rtl/>
              </w:rPr>
              <w:t xml:space="preserve"> لسنة2001 لمحكمة العدل العليا</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أقرت المحكمة الأبوة المطالب بها استنادا إلى الشهادات التي استمعت إليها التي ترمي إلى إثبات أنه كانت توجد معاملة حميمة بين المدعية والمدعى عليه خلال فترة الحمل، وهذا عنصر أساسي في هذا النوع من الدعاوى لكن من الصعب دائما إثباته، كما أكدت المحكمة ذاتها</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 xml:space="preserve">الحكم </w:t>
            </w:r>
            <w:r w:rsidRPr="00686B23">
              <w:rPr>
                <w:sz w:val="24"/>
                <w:szCs w:val="24"/>
              </w:rPr>
              <w:t>6353</w:t>
            </w:r>
            <w:r w:rsidRPr="00686B23">
              <w:rPr>
                <w:rFonts w:hint="cs"/>
                <w:sz w:val="24"/>
                <w:szCs w:val="24"/>
                <w:rtl/>
              </w:rPr>
              <w:t xml:space="preserve"> لسنة 2001 لمحكمة العدل العليا</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أكدت المحكمة إزاء الطعن المقدم من الزوج لنفي الأبوة أن إثبات عدم إخلاص الزوجة لا ينفي بحد ذاته افتراض أبوة الزوج، ولا يمكن إدعاء عدم الإخلاص دون واقعة أخرى تثبت أنه لم تكن هناك علاقة جنسية بين الزوج والزوجة</w:t>
            </w:r>
            <w:r w:rsidR="003D7EB4">
              <w:rPr>
                <w:rFonts w:hint="cs"/>
                <w:sz w:val="24"/>
                <w:szCs w:val="24"/>
                <w:rtl/>
              </w:rPr>
              <w:t>،</w:t>
            </w:r>
            <w:r w:rsidRPr="00686B23">
              <w:rPr>
                <w:rFonts w:hint="cs"/>
                <w:sz w:val="24"/>
                <w:szCs w:val="24"/>
                <w:rtl/>
              </w:rPr>
              <w:t xml:space="preserve"> والمسألة المعقدة في القضية هي أن المرأة قد اعترفت بأنها زنت مع إبن أخي زوجها لأن روجها طلب منها ذلك ووافق عليه حتى يكون له إبن ’’من دمه‘‘ لأنه لا يستطيع الإنجاب</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 xml:space="preserve">الحكم </w:t>
            </w:r>
            <w:r w:rsidRPr="00686B23">
              <w:rPr>
                <w:sz w:val="24"/>
                <w:szCs w:val="24"/>
              </w:rPr>
              <w:t>5694</w:t>
            </w:r>
            <w:r w:rsidRPr="00686B23">
              <w:rPr>
                <w:rFonts w:hint="cs"/>
                <w:sz w:val="24"/>
                <w:szCs w:val="24"/>
                <w:rtl/>
              </w:rPr>
              <w:t xml:space="preserve"> لسنة 2001 لمحكمة العدل العليا</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أعلنت إمكانية تنفيذ الفقرة 6 من المادة 140 من القانون المدني مادامت عبارة ’’خطفت طوعا‘‘ تعني أنهما قد هربا وأيضا على أساس أنه يمكن لأي من المتعاقدين الاستناد إلى سبب بطلان أو إثبات الزواج</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 xml:space="preserve">الحكم </w:t>
            </w:r>
            <w:r w:rsidRPr="00686B23">
              <w:rPr>
                <w:sz w:val="24"/>
                <w:szCs w:val="24"/>
              </w:rPr>
              <w:t>C-7</w:t>
            </w:r>
            <w:r w:rsidRPr="00686B23">
              <w:rPr>
                <w:rFonts w:hint="cs"/>
                <w:sz w:val="24"/>
                <w:szCs w:val="24"/>
                <w:rtl/>
              </w:rPr>
              <w:t xml:space="preserve"> لسنة 2001 </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sz w:val="24"/>
                <w:szCs w:val="24"/>
                <w:rtl/>
              </w:rPr>
            </w:pPr>
            <w:r w:rsidRPr="00686B23">
              <w:rPr>
                <w:rFonts w:hint="cs"/>
                <w:sz w:val="24"/>
                <w:szCs w:val="24"/>
                <w:rtl/>
              </w:rPr>
              <w:t>يتضمن تنقيح دستورية نظام روما للمحكمة الجنائية الدولية، الذي ينص على عدد من جرائم العنف الجنسي</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 xml:space="preserve">الحكم </w:t>
            </w:r>
            <w:r w:rsidRPr="00686B23">
              <w:rPr>
                <w:sz w:val="24"/>
                <w:szCs w:val="24"/>
              </w:rPr>
              <w:t>C-578</w:t>
            </w:r>
            <w:r w:rsidRPr="00686B23">
              <w:rPr>
                <w:rFonts w:hint="cs"/>
                <w:sz w:val="24"/>
                <w:szCs w:val="24"/>
                <w:rtl/>
              </w:rPr>
              <w:t xml:space="preserve"> لسنة 2002</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أعلن إمكانية تطبيق الفقرة الأولى من المادة 411 من القانون المدني (أصحاب الحق في النفقة) على أساس أن يكون مفهوما أنها تنطبق على المتعاشرين الدائمين اللذين يكونان زواجا بدون عقد</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 xml:space="preserve">الحكم </w:t>
            </w:r>
            <w:r w:rsidRPr="00686B23">
              <w:rPr>
                <w:sz w:val="24"/>
                <w:szCs w:val="24"/>
              </w:rPr>
              <w:t>C-1033</w:t>
            </w:r>
            <w:r w:rsidRPr="00686B23">
              <w:rPr>
                <w:rFonts w:hint="cs"/>
                <w:sz w:val="24"/>
                <w:szCs w:val="24"/>
                <w:rtl/>
              </w:rPr>
              <w:t xml:space="preserve"> لسنة 2002 </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حماية نزيلتين في سجن فيليا جوزيفينا دي منيزالس حتى تحترم حقوقهما الأساسية في حرية تنمية شخصيتهما وفي المساواة وفي حرمة حياتهما الخاصة للسماح لهما بزيارة حميمة في السجن، لأنهما مسجونتان في مركزين مختلفين للاعتقال</w:t>
            </w:r>
            <w:r w:rsidR="003D7EB4">
              <w:rPr>
                <w:rFonts w:hint="cs"/>
                <w:sz w:val="24"/>
                <w:szCs w:val="24"/>
                <w:rtl/>
              </w:rPr>
              <w:t>،</w:t>
            </w:r>
            <w:r w:rsidRPr="00686B23">
              <w:rPr>
                <w:rFonts w:hint="cs"/>
                <w:sz w:val="24"/>
                <w:szCs w:val="24"/>
                <w:rtl/>
              </w:rPr>
              <w:t xml:space="preserve"> وحمت هيئة المحكمة الحق الأساسي في حرية الاختيار الجنسي والحق في حرمة الحياة الخاصة وفي الزيارة الجنسية، وأمرت بالسماح لهما بالزيارة</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 xml:space="preserve">الحكم </w:t>
            </w:r>
            <w:r w:rsidRPr="00686B23">
              <w:rPr>
                <w:sz w:val="24"/>
                <w:szCs w:val="24"/>
              </w:rPr>
              <w:t>510</w:t>
            </w:r>
            <w:r w:rsidRPr="00686B23">
              <w:rPr>
                <w:rFonts w:hint="cs"/>
                <w:sz w:val="24"/>
                <w:szCs w:val="24"/>
                <w:rtl/>
              </w:rPr>
              <w:t xml:space="preserve"> لسنة 2003 لمحكمة العدل العليا</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أعلنت أنه لا يشترط تصفية الشركة الزوجية السابقة لتكوين ذمة مالية مشتركة بين المتعاشرين بصفة دائمة في الزواج بدون عقد</w:t>
            </w:r>
            <w:r w:rsidR="003D7EB4">
              <w:rPr>
                <w:rFonts w:hint="cs"/>
                <w:sz w:val="24"/>
                <w:szCs w:val="24"/>
                <w:rtl/>
              </w:rPr>
              <w:t>،</w:t>
            </w:r>
            <w:r w:rsidRPr="00686B23">
              <w:rPr>
                <w:rFonts w:hint="cs"/>
                <w:sz w:val="24"/>
                <w:szCs w:val="24"/>
                <w:rtl/>
              </w:rPr>
              <w:t xml:space="preserve"> وكان القانون رقم 54 لسنة 1990 يشترط لبدء فترة السنتين وتكوين الذمة المالية المشتركة أن يكون قد مر على حل وتصفية الشركة الزوجية سنة</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الحكم الصادر في أيلول/سبتمبر 2003 لمحكمة العدل العليا</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أعلن إمكانية تطبيق الفقرة 11 من المادة 140 من القانون المدني على أساس أن سبب البطلان المنصوص عليه في هذا الموضع هو يشمل الزواج المعقود بين الإبنة المتبناة والرجل الذي كان زوج المتبنية</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rPr>
            </w:pPr>
            <w:r w:rsidRPr="00686B23">
              <w:rPr>
                <w:rFonts w:hint="cs"/>
                <w:sz w:val="24"/>
                <w:szCs w:val="24"/>
                <w:rtl/>
              </w:rPr>
              <w:t xml:space="preserve">الحكم </w:t>
            </w:r>
            <w:r w:rsidRPr="00686B23">
              <w:rPr>
                <w:sz w:val="24"/>
                <w:szCs w:val="24"/>
              </w:rPr>
              <w:t>C-482</w:t>
            </w:r>
            <w:r w:rsidRPr="00686B23">
              <w:rPr>
                <w:rFonts w:hint="cs"/>
                <w:sz w:val="24"/>
                <w:szCs w:val="24"/>
                <w:rtl/>
              </w:rPr>
              <w:t xml:space="preserve"> لسنة 2003 </w:t>
            </w:r>
          </w:p>
        </w:tc>
      </w:tr>
      <w:tr w:rsidR="00971AE2" w:rsidRPr="00686B23">
        <w:tblPrEx>
          <w:tblCellMar>
            <w:top w:w="0" w:type="dxa"/>
            <w:bottom w:w="0" w:type="dxa"/>
          </w:tblCellMar>
        </w:tblPrEx>
        <w:trPr>
          <w:gridBefore w:val="1"/>
          <w:wBefore w:w="6" w:type="dxa"/>
        </w:trPr>
        <w:tc>
          <w:tcPr>
            <w:tcW w:w="5150" w:type="dxa"/>
            <w:gridSpan w:val="2"/>
          </w:tcPr>
          <w:p w:rsidR="00971AE2" w:rsidRPr="00686B23" w:rsidRDefault="00971AE2" w:rsidP="00A343DF">
            <w:pPr>
              <w:jc w:val="lowKashida"/>
              <w:rPr>
                <w:rFonts w:hint="cs"/>
                <w:sz w:val="24"/>
                <w:szCs w:val="24"/>
                <w:rtl/>
              </w:rPr>
            </w:pPr>
            <w:r w:rsidRPr="00686B23">
              <w:rPr>
                <w:rFonts w:hint="cs"/>
                <w:sz w:val="24"/>
                <w:szCs w:val="24"/>
                <w:rtl/>
              </w:rPr>
              <w:t>اللفظتان ’’امرأة‘‘ و’’نساء‘‘ الواردتان في المواد 2 إلى 21 من القانون رقم 82 لسنة 1993 تنتهكان الدستور الوطن</w:t>
            </w:r>
            <w:r w:rsidR="004404A1">
              <w:rPr>
                <w:rFonts w:hint="cs"/>
                <w:sz w:val="24"/>
                <w:szCs w:val="24"/>
                <w:rtl/>
              </w:rPr>
              <w:t>ي لأنهما: 1- ينصان على تمييز لا</w:t>
            </w:r>
            <w:r w:rsidR="004404A1">
              <w:rPr>
                <w:rFonts w:hint="eastAsia"/>
                <w:sz w:val="24"/>
                <w:szCs w:val="24"/>
                <w:rtl/>
              </w:rPr>
              <w:t> </w:t>
            </w:r>
            <w:r w:rsidRPr="00686B23">
              <w:rPr>
                <w:rFonts w:hint="cs"/>
                <w:sz w:val="24"/>
                <w:szCs w:val="24"/>
                <w:rtl/>
              </w:rPr>
              <w:t>سوغ له بين رئيس الأسرة ورئيسة الأسرة في تجاهل لحق الرجل والمرأة في التساوي في المعاملة، و2- ينصان على تمييز لا مسوغ له بين الأطفال الذين في رعاية رئيسة أسرة والأطفال الذين في رعاية رئيس أسرة في تجاهل في هذه الحالة لأفضلية حقوق الأطفال</w:t>
            </w:r>
            <w:r w:rsidR="003D7EB4">
              <w:rPr>
                <w:rFonts w:hint="cs"/>
                <w:sz w:val="24"/>
                <w:szCs w:val="24"/>
                <w:rtl/>
              </w:rPr>
              <w:t>،</w:t>
            </w:r>
            <w:r w:rsidRPr="00686B23">
              <w:rPr>
                <w:rFonts w:hint="cs"/>
                <w:sz w:val="24"/>
                <w:szCs w:val="24"/>
                <w:rtl/>
              </w:rPr>
              <w:t xml:space="preserve"> وأعلنت المحكمة إمكانية التنفيذ المكيف للمواد المطعون فيها على أساس أن المستحقات المقررة لصالح معالي رئيسة الأسرة تشمل الأبناء القصر والمعاقين الذين يعولهم الرجل الذي يوجد في الواقع في نفس وضع رئيسة الأسرة</w:t>
            </w:r>
            <w:r w:rsidR="003D7EB4">
              <w:rPr>
                <w:rFonts w:hint="cs"/>
                <w:sz w:val="24"/>
                <w:szCs w:val="24"/>
                <w:rtl/>
              </w:rPr>
              <w:t>،</w:t>
            </w:r>
          </w:p>
        </w:tc>
        <w:tc>
          <w:tcPr>
            <w:tcW w:w="3399" w:type="dxa"/>
            <w:gridSpan w:val="2"/>
          </w:tcPr>
          <w:p w:rsidR="00971AE2" w:rsidRPr="00686B23" w:rsidRDefault="00971AE2" w:rsidP="00A343DF">
            <w:pPr>
              <w:jc w:val="lowKashida"/>
              <w:rPr>
                <w:rFonts w:hint="cs"/>
                <w:sz w:val="24"/>
                <w:szCs w:val="24"/>
                <w:rtl/>
                <w:lang w:bidi="ar-EG"/>
              </w:rPr>
            </w:pPr>
            <w:r w:rsidRPr="00686B23">
              <w:rPr>
                <w:rFonts w:hint="cs"/>
                <w:sz w:val="24"/>
                <w:szCs w:val="24"/>
                <w:rtl/>
              </w:rPr>
              <w:t xml:space="preserve">الحكم </w:t>
            </w:r>
            <w:r w:rsidRPr="00686B23">
              <w:rPr>
                <w:sz w:val="24"/>
                <w:szCs w:val="24"/>
              </w:rPr>
              <w:t>C-964</w:t>
            </w:r>
            <w:r w:rsidRPr="00686B23">
              <w:rPr>
                <w:rFonts w:hint="cs"/>
                <w:sz w:val="24"/>
                <w:szCs w:val="24"/>
                <w:rtl/>
                <w:lang w:bidi="ar-EG"/>
              </w:rPr>
              <w:t xml:space="preserve"> لسنة 2003 </w:t>
            </w:r>
          </w:p>
        </w:tc>
      </w:tr>
    </w:tbl>
    <w:p w:rsidR="00971AE2" w:rsidRDefault="00971AE2" w:rsidP="00A343DF">
      <w:pPr>
        <w:jc w:val="lowKashida"/>
        <w:rPr>
          <w:sz w:val="24"/>
        </w:rPr>
      </w:pPr>
    </w:p>
    <w:p w:rsidR="00971AE2" w:rsidRDefault="00F57CF2" w:rsidP="00F57C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71AE2">
        <w:rPr>
          <w:rFonts w:hint="cs"/>
          <w:rtl/>
        </w:rPr>
        <w:t xml:space="preserve">المنجزات الإدارية </w:t>
      </w:r>
    </w:p>
    <w:p w:rsidR="00971AE2" w:rsidRDefault="00971AE2" w:rsidP="00A343DF">
      <w:pPr>
        <w:pStyle w:val="SingleTxt"/>
        <w:rPr>
          <w:rFonts w:hint="cs"/>
          <w:rtl/>
        </w:rPr>
      </w:pPr>
      <w:r>
        <w:rPr>
          <w:rFonts w:hint="cs"/>
          <w:rtl/>
        </w:rPr>
        <w:t>(أ) العنف العائلي</w:t>
      </w:r>
    </w:p>
    <w:p w:rsidR="00971AE2" w:rsidRDefault="00971AE2" w:rsidP="00A343DF">
      <w:pPr>
        <w:pStyle w:val="SingleTxt"/>
        <w:rPr>
          <w:rFonts w:hint="cs"/>
          <w:rtl/>
        </w:rPr>
      </w:pPr>
      <w:r>
        <w:rPr>
          <w:rFonts w:hint="cs"/>
          <w:rtl/>
        </w:rPr>
        <w:t>في سنة 2000 وضعت نتيجة عملية إنشاء جماعي لهيئات فوق قطاعية على المستوى الوطني السياسة الوطنية لإقامة السلم والتعايش الأسري ’’أقم السلم‘‘و التي يتمثل هدفها الأساسي في توطيد الديمقراطية والتغاطي عن الخلافات في الأسرة واحترام كرامة وحقوق أفرادها دونما تمييز على أساس السن أو الجنس أو الثقافة أو القدرة الجسمانية أو العقلية</w:t>
      </w:r>
      <w:r>
        <w:rPr>
          <w:rFonts w:hint="cs"/>
          <w:vertAlign w:val="superscript"/>
          <w:rtl/>
        </w:rPr>
        <w:t>202</w:t>
      </w:r>
      <w:r w:rsidR="003D7EB4">
        <w:rPr>
          <w:rFonts w:hint="cs"/>
          <w:rtl/>
        </w:rPr>
        <w:t>،</w:t>
      </w:r>
      <w:r>
        <w:rPr>
          <w:rFonts w:hint="cs"/>
          <w:rtl/>
        </w:rPr>
        <w:t xml:space="preserve"> وتنفذ سياسة ’’أقم السلم‘‘ من خلال أربعة عناصر هي: المنع</w:t>
      </w:r>
      <w:r>
        <w:rPr>
          <w:rFonts w:hint="cs"/>
          <w:vertAlign w:val="superscript"/>
          <w:rtl/>
        </w:rPr>
        <w:t>203</w:t>
      </w:r>
      <w:r>
        <w:rPr>
          <w:rFonts w:hint="cs"/>
          <w:rtl/>
        </w:rPr>
        <w:t>؛ والكشف المبكرواليقظة</w:t>
      </w:r>
      <w:r>
        <w:rPr>
          <w:rFonts w:hint="cs"/>
          <w:vertAlign w:val="superscript"/>
          <w:rtl/>
        </w:rPr>
        <w:t>204</w:t>
      </w:r>
      <w:r>
        <w:rPr>
          <w:rFonts w:hint="cs"/>
          <w:rtl/>
        </w:rPr>
        <w:t>؛ والرعاية</w:t>
      </w:r>
      <w:r>
        <w:rPr>
          <w:rFonts w:hint="cs"/>
          <w:vertAlign w:val="superscript"/>
          <w:rtl/>
        </w:rPr>
        <w:t>205</w:t>
      </w:r>
      <w:r>
        <w:rPr>
          <w:rFonts w:hint="cs"/>
          <w:rtl/>
        </w:rPr>
        <w:t>؛ والتغيير المؤسسي</w:t>
      </w:r>
      <w:r>
        <w:rPr>
          <w:rFonts w:hint="cs"/>
          <w:vertAlign w:val="superscript"/>
          <w:rtl/>
        </w:rPr>
        <w:t>206</w:t>
      </w:r>
      <w:r>
        <w:rPr>
          <w:rFonts w:hint="cs"/>
          <w:rtl/>
        </w:rPr>
        <w:t>:</w:t>
      </w:r>
    </w:p>
    <w:p w:rsidR="00971AE2" w:rsidRDefault="00971AE2" w:rsidP="00A343DF">
      <w:pPr>
        <w:pStyle w:val="SingleTxt"/>
        <w:rPr>
          <w:rFonts w:hint="cs"/>
        </w:rPr>
      </w:pPr>
      <w:r>
        <w:rPr>
          <w:rFonts w:hint="cs"/>
          <w:rtl/>
        </w:rPr>
        <w:t xml:space="preserve">ويعتمد نجاح تنفيذ سياسة أقم السلم على العناصر الرئيسية التالية: </w:t>
      </w:r>
    </w:p>
    <w:p w:rsidR="00971AE2" w:rsidRDefault="00971AE2" w:rsidP="00A343DF">
      <w:pPr>
        <w:pStyle w:val="SingleTxt"/>
        <w:rPr>
          <w:rFonts w:hint="cs"/>
          <w:rtl/>
        </w:rPr>
      </w:pPr>
      <w:r>
        <w:rPr>
          <w:rFonts w:hint="cs"/>
          <w:rtl/>
        </w:rPr>
        <w:t>حددت الهيئات التي تعمل في هذا المجال ووضحت صلاحيات كل منها</w:t>
      </w:r>
      <w:r w:rsidR="003D7EB4">
        <w:rPr>
          <w:rFonts w:hint="cs"/>
          <w:rtl/>
        </w:rPr>
        <w:t>،</w:t>
      </w:r>
    </w:p>
    <w:p w:rsidR="00971AE2" w:rsidRDefault="00971AE2" w:rsidP="00A343DF">
      <w:pPr>
        <w:pStyle w:val="SingleTxt"/>
        <w:rPr>
          <w:rFonts w:hint="cs"/>
        </w:rPr>
      </w:pPr>
      <w:r>
        <w:rPr>
          <w:rFonts w:hint="cs"/>
          <w:rtl/>
        </w:rPr>
        <w:t>أتاحت التغطية على المستوى الوطني وعلى مستوى الأقاليم قيام جميع الجهات الفاعلة المعنية بوضع وتنسيق السياسة ومعرفة الاستقلال الذاتي على المستويين الاقليمي والمحلي</w:t>
      </w:r>
      <w:r w:rsidR="003D7EB4">
        <w:rPr>
          <w:rFonts w:hint="cs"/>
          <w:rtl/>
        </w:rPr>
        <w:t>،</w:t>
      </w:r>
    </w:p>
    <w:p w:rsidR="00971AE2" w:rsidRDefault="00971AE2" w:rsidP="00A343DF">
      <w:pPr>
        <w:pStyle w:val="SingleTxt"/>
        <w:rPr>
          <w:rFonts w:hint="cs"/>
        </w:rPr>
      </w:pPr>
      <w:r>
        <w:rPr>
          <w:rFonts w:hint="cs"/>
          <w:rtl/>
        </w:rPr>
        <w:t>تستهدف العناصر الأربعة مهاجمة مشكلة العنف العائلي من جذورها وتتركز على توفير حماية خاصة للضحية؛ والسعي إلى اعتمادها من جانب المجتمعات المحلية ومنظمات المجتمع المدني</w:t>
      </w:r>
      <w:r w:rsidR="003D7EB4">
        <w:rPr>
          <w:rFonts w:hint="cs"/>
          <w:rtl/>
        </w:rPr>
        <w:t>،</w:t>
      </w:r>
    </w:p>
    <w:p w:rsidR="00971AE2" w:rsidRDefault="00971AE2" w:rsidP="00A343DF">
      <w:pPr>
        <w:pStyle w:val="SingleTxt"/>
      </w:pPr>
      <w:r>
        <w:rPr>
          <w:rFonts w:hint="cs"/>
          <w:rtl/>
        </w:rPr>
        <w:t xml:space="preserve">إنشاء نظام المعلومات </w:t>
      </w:r>
      <w:r>
        <w:t>SIVIF</w:t>
      </w:r>
      <w:r>
        <w:rPr>
          <w:rFonts w:hint="cs"/>
          <w:rtl/>
        </w:rPr>
        <w:t xml:space="preserve"> وهو النظام الوطني للمعلومات لتسجيل وتوحيد الإحصائيات الوطنية للعنف العائلي وسوء معاملة الأطفال والاعتداء الجنسي</w:t>
      </w:r>
      <w:r w:rsidR="003D7EB4">
        <w:rPr>
          <w:rFonts w:hint="cs"/>
          <w:rtl/>
        </w:rPr>
        <w:t>،</w:t>
      </w:r>
      <w:r>
        <w:rPr>
          <w:rFonts w:hint="cs"/>
          <w:rtl/>
        </w:rPr>
        <w:t xml:space="preserve"> ويجري السعي لجعله السجل الوطني للبلاغات: لتحديد الجناة ومتابعة الحالات وتحسين التدخلات الحكومية للتصدي لانتهاكات حقوق الضحايا</w:t>
      </w:r>
      <w:r w:rsidR="003D7EB4">
        <w:rPr>
          <w:rFonts w:hint="cs"/>
          <w:rtl/>
        </w:rPr>
        <w:t>،</w:t>
      </w:r>
    </w:p>
    <w:p w:rsidR="00971AE2" w:rsidRDefault="00971AE2" w:rsidP="00A343DF">
      <w:pPr>
        <w:pStyle w:val="SingleTxt"/>
        <w:rPr>
          <w:rFonts w:hint="cs"/>
          <w:rtl/>
          <w:lang w:bidi="ar-EG"/>
        </w:rPr>
      </w:pPr>
      <w:r>
        <w:rPr>
          <w:rFonts w:hint="cs"/>
          <w:rtl/>
          <w:lang w:bidi="ar-EG"/>
        </w:rPr>
        <w:t>والبرامج الحكومية الرامية إلى حل المنازعات هي أداة تعود بالنفع على الأسر</w:t>
      </w:r>
      <w:r w:rsidR="003D7EB4">
        <w:rPr>
          <w:rFonts w:hint="cs"/>
          <w:rtl/>
          <w:lang w:bidi="ar-EG"/>
        </w:rPr>
        <w:t>،</w:t>
      </w:r>
      <w:r>
        <w:rPr>
          <w:rFonts w:hint="cs"/>
          <w:rtl/>
          <w:lang w:bidi="ar-EG"/>
        </w:rPr>
        <w:t xml:space="preserve"> وينشئ</w:t>
      </w:r>
    </w:p>
    <w:p w:rsidR="00971AE2" w:rsidRDefault="00971AE2" w:rsidP="00A343DF">
      <w:pPr>
        <w:pStyle w:val="SingleTxt"/>
        <w:rPr>
          <w:rFonts w:hint="cs"/>
          <w:rtl/>
          <w:lang w:bidi="ar-EG"/>
        </w:rPr>
      </w:pPr>
      <w:r>
        <w:rPr>
          <w:rFonts w:hint="cs"/>
          <w:rtl/>
          <w:lang w:bidi="ar-EG"/>
        </w:rPr>
        <w:t>البرنامج الوطني لدور القضاء</w:t>
      </w:r>
      <w:r>
        <w:rPr>
          <w:rFonts w:hint="cs"/>
          <w:vertAlign w:val="superscript"/>
          <w:rtl/>
          <w:lang w:bidi="ar-EG"/>
        </w:rPr>
        <w:t>207</w:t>
      </w:r>
      <w:r>
        <w:rPr>
          <w:rFonts w:hint="cs"/>
          <w:rtl/>
          <w:lang w:bidi="ar-EG"/>
        </w:rPr>
        <w:t>، الذي تنفذه وزارة الداخلية/العدل، مراكز متعددة الوكالات للإحالة وتقديم خدمات حل المنازعات، مع تنفيذ آليات للقضاء الرسمي وغير الرسمي، وتقديم المشورة لتيسير عملية التعايش الاجتماعي السلمي</w:t>
      </w:r>
      <w:r>
        <w:rPr>
          <w:rFonts w:hint="cs"/>
          <w:vertAlign w:val="superscript"/>
          <w:rtl/>
          <w:lang w:bidi="ar-EG"/>
        </w:rPr>
        <w:t>208</w:t>
      </w:r>
      <w:r w:rsidR="003D7EB4">
        <w:rPr>
          <w:rFonts w:hint="cs"/>
          <w:rtl/>
          <w:lang w:bidi="ar-EG"/>
        </w:rPr>
        <w:t>،</w:t>
      </w:r>
      <w:r>
        <w:rPr>
          <w:rFonts w:hint="cs"/>
          <w:rtl/>
          <w:lang w:bidi="ar-EG"/>
        </w:rPr>
        <w:t xml:space="preserve"> وتكفل دور القضاء صون وحماية وإعادة حقوق النساء، اللائي يلجأن لها في معظم الحالات بسبب العنف العائلي</w:t>
      </w:r>
      <w:r w:rsidR="003D7EB4">
        <w:rPr>
          <w:rFonts w:hint="cs"/>
          <w:rtl/>
          <w:lang w:bidi="ar-EG"/>
        </w:rPr>
        <w:t>،</w:t>
      </w:r>
      <w:r>
        <w:rPr>
          <w:rFonts w:hint="cs"/>
          <w:rtl/>
          <w:lang w:bidi="ar-EG"/>
        </w:rPr>
        <w:t xml:space="preserve"> كما تلبي الحاجة إلى تقديم التدريب لمنفذي القوانين المتعلقة بالعنف العائلي وتمكين الضحايا انطلاقا من حقوقهم ووضع تصورات لتفسيرها وإعمالها</w:t>
      </w:r>
      <w:r>
        <w:rPr>
          <w:rFonts w:hint="cs"/>
          <w:vertAlign w:val="superscript"/>
          <w:rtl/>
          <w:lang w:bidi="ar-EG"/>
        </w:rPr>
        <w:t>209</w:t>
      </w:r>
      <w:r w:rsidR="003D7EB4">
        <w:rPr>
          <w:rFonts w:hint="cs"/>
          <w:rtl/>
          <w:lang w:bidi="ar-EG"/>
        </w:rPr>
        <w:t>،</w:t>
      </w:r>
    </w:p>
    <w:p w:rsidR="00971AE2" w:rsidRDefault="00971AE2" w:rsidP="00A343DF">
      <w:pPr>
        <w:pStyle w:val="SingleTxt"/>
        <w:rPr>
          <w:rFonts w:hint="cs"/>
          <w:rtl/>
          <w:lang w:bidi="ar-EG"/>
        </w:rPr>
      </w:pPr>
      <w:r>
        <w:rPr>
          <w:rFonts w:hint="cs"/>
          <w:rtl/>
          <w:lang w:bidi="ar-EG"/>
        </w:rPr>
        <w:t>وقد أنشئ حتى الآن 33 دارا للقضاء ويؤمل في أن يصل عددها إلى 50 دارا</w:t>
      </w:r>
      <w:r>
        <w:rPr>
          <w:rFonts w:hint="cs"/>
          <w:vertAlign w:val="superscript"/>
          <w:rtl/>
          <w:lang w:bidi="ar-EG"/>
        </w:rPr>
        <w:t>210</w:t>
      </w:r>
      <w:r w:rsidR="003D7EB4">
        <w:rPr>
          <w:rFonts w:hint="cs"/>
          <w:rtl/>
          <w:lang w:bidi="ar-EG"/>
        </w:rPr>
        <w:t>،</w:t>
      </w:r>
      <w:r>
        <w:rPr>
          <w:rFonts w:hint="cs"/>
          <w:rtl/>
          <w:lang w:bidi="ar-EG"/>
        </w:rPr>
        <w:t xml:space="preserve"> وفي سنة 2002 كان البرنامج الوطني لدور القضاء يرعى مامجموعه 808 396 شخصا، كان 60</w:t>
      </w:r>
      <w:r w:rsidR="00670415">
        <w:rPr>
          <w:rFonts w:hint="cs"/>
          <w:rtl/>
          <w:lang w:bidi="ar-EG"/>
        </w:rPr>
        <w:t>.</w:t>
      </w:r>
      <w:r>
        <w:rPr>
          <w:rFonts w:hint="cs"/>
          <w:rtl/>
          <w:lang w:bidi="ar-EG"/>
        </w:rPr>
        <w:t>2 في المائة منهم نساء</w:t>
      </w:r>
      <w:r w:rsidR="003D7EB4">
        <w:rPr>
          <w:rFonts w:hint="cs"/>
          <w:rtl/>
          <w:lang w:bidi="ar-EG"/>
        </w:rPr>
        <w:t>،</w:t>
      </w:r>
      <w:r>
        <w:rPr>
          <w:rFonts w:hint="cs"/>
          <w:rtl/>
          <w:lang w:bidi="ar-EG"/>
        </w:rPr>
        <w:t xml:space="preserve"> وكان معظم الأشخاص المشمولين بالرعاية راشدين (28</w:t>
      </w:r>
      <w:r w:rsidR="00670415">
        <w:rPr>
          <w:rFonts w:hint="cs"/>
          <w:rtl/>
          <w:lang w:bidi="ar-EG"/>
        </w:rPr>
        <w:t>.</w:t>
      </w:r>
      <w:r>
        <w:rPr>
          <w:rFonts w:hint="cs"/>
          <w:rtl/>
          <w:lang w:bidi="ar-EG"/>
        </w:rPr>
        <w:t>5 في المائة تتراوح أعمارهم بين 26 و35 سنة و23</w:t>
      </w:r>
      <w:r w:rsidR="00670415">
        <w:rPr>
          <w:rFonts w:hint="cs"/>
          <w:rtl/>
          <w:lang w:bidi="ar-EG"/>
        </w:rPr>
        <w:t>.</w:t>
      </w:r>
      <w:r>
        <w:rPr>
          <w:rFonts w:hint="cs"/>
          <w:rtl/>
          <w:lang w:bidi="ar-EG"/>
        </w:rPr>
        <w:t>2 في المائة تتراوح أعمارهم بين 36 و45 سنة) وكان 35</w:t>
      </w:r>
      <w:r w:rsidR="00670415">
        <w:rPr>
          <w:rFonts w:hint="cs"/>
          <w:rtl/>
          <w:lang w:bidi="ar-EG"/>
        </w:rPr>
        <w:t>.</w:t>
      </w:r>
      <w:r>
        <w:rPr>
          <w:rFonts w:hint="cs"/>
          <w:rtl/>
          <w:lang w:bidi="ar-EG"/>
        </w:rPr>
        <w:t>2 في المائة من مجموع هؤلاء الأشخاص ربات بيوت و24</w:t>
      </w:r>
      <w:r w:rsidR="00670415">
        <w:rPr>
          <w:rFonts w:hint="cs"/>
          <w:rtl/>
          <w:lang w:bidi="ar-EG"/>
        </w:rPr>
        <w:t>.</w:t>
      </w:r>
      <w:r>
        <w:rPr>
          <w:rFonts w:hint="cs"/>
          <w:rtl/>
          <w:lang w:bidi="ar-EG"/>
        </w:rPr>
        <w:t>2 في المائة موظفين و18</w:t>
      </w:r>
      <w:r w:rsidR="00670415">
        <w:rPr>
          <w:rFonts w:hint="cs"/>
          <w:rtl/>
          <w:lang w:bidi="ar-EG"/>
        </w:rPr>
        <w:t>.</w:t>
      </w:r>
      <w:r>
        <w:rPr>
          <w:rFonts w:hint="cs"/>
          <w:rtl/>
          <w:lang w:bidi="ar-EG"/>
        </w:rPr>
        <w:t>4 في المائة عمالا مستقلين</w:t>
      </w:r>
      <w:r>
        <w:rPr>
          <w:rFonts w:hint="cs"/>
          <w:vertAlign w:val="superscript"/>
          <w:rtl/>
          <w:lang w:bidi="ar-EG"/>
        </w:rPr>
        <w:t>211</w:t>
      </w:r>
      <w:r w:rsidR="003D7EB4">
        <w:rPr>
          <w:rFonts w:hint="cs"/>
          <w:rtl/>
          <w:lang w:bidi="ar-EG"/>
        </w:rPr>
        <w:t>،</w:t>
      </w:r>
      <w:r>
        <w:rPr>
          <w:rFonts w:hint="cs"/>
          <w:rtl/>
          <w:lang w:bidi="ar-EG"/>
        </w:rPr>
        <w:t xml:space="preserve"> وفي نفس السنة لجأ 39</w:t>
      </w:r>
      <w:r w:rsidR="00670415">
        <w:rPr>
          <w:rFonts w:hint="cs"/>
          <w:rtl/>
          <w:lang w:bidi="ar-EG"/>
        </w:rPr>
        <w:t>.</w:t>
      </w:r>
      <w:r>
        <w:rPr>
          <w:rFonts w:hint="cs"/>
          <w:rtl/>
          <w:lang w:bidi="ar-EG"/>
        </w:rPr>
        <w:t>4 في المائة من المستفيدين من هذه الدور إليها لحل منازعات عائلية</w:t>
      </w:r>
      <w:r>
        <w:rPr>
          <w:rFonts w:hint="cs"/>
          <w:vertAlign w:val="superscript"/>
          <w:rtl/>
          <w:lang w:bidi="ar-EG"/>
        </w:rPr>
        <w:t>212</w:t>
      </w:r>
      <w:r w:rsidR="003D7EB4">
        <w:rPr>
          <w:rFonts w:hint="cs"/>
          <w:rtl/>
          <w:lang w:bidi="ar-EG"/>
        </w:rPr>
        <w:t>،</w:t>
      </w:r>
    </w:p>
    <w:p w:rsidR="00971AE2" w:rsidRDefault="00971AE2" w:rsidP="00A343DF">
      <w:pPr>
        <w:pStyle w:val="SingleTxt"/>
        <w:rPr>
          <w:rFonts w:hint="cs"/>
          <w:rtl/>
          <w:lang w:bidi="ar-EG"/>
        </w:rPr>
      </w:pPr>
      <w:r>
        <w:rPr>
          <w:rFonts w:hint="cs"/>
          <w:rtl/>
          <w:lang w:bidi="ar-EG"/>
        </w:rPr>
        <w:t>ويرمي برنامج العدل يبدأ في البيت إلى تعزيز القيم في الأسرة عن طريق قراءة ومناقشة 12 قصة خيالية تمثل أحد الأعمال التي تسعى بها وزارة الداخلية/العدل إلى دعم الهيئة الاستشارية وتسعى إلى صون الحق في الحماية والحق في التنمية والحق في البقاء والحق في المشاركة المكرسة في الاتفاقية الدولية لحقوق الطفل</w:t>
      </w:r>
      <w:r w:rsidR="003D7EB4">
        <w:rPr>
          <w:rFonts w:hint="cs"/>
          <w:rtl/>
          <w:lang w:bidi="ar-EG"/>
        </w:rPr>
        <w:t>،</w:t>
      </w:r>
      <w:r>
        <w:rPr>
          <w:rFonts w:hint="cs"/>
          <w:rtl/>
          <w:lang w:bidi="ar-EG"/>
        </w:rPr>
        <w:t xml:space="preserve"> وصمم أساسا كتيب ينقسم إلى جزأين: القصص الخيالية ودليل الميسر، ووزع الكتيب على جميع مقاطعات كولومبيا عن طريق مندوبي الهيئات المختلفة التي تمثلها 29 دارا للقضاء تعمل في عدد مماثل من المقاطعات في الإقليم الوطني وبعض مندوبي البلديات</w:t>
      </w:r>
      <w:r w:rsidR="003D7EB4">
        <w:rPr>
          <w:rFonts w:hint="cs"/>
          <w:rtl/>
          <w:lang w:bidi="ar-EG"/>
        </w:rPr>
        <w:t>،</w:t>
      </w:r>
      <w:r>
        <w:rPr>
          <w:rFonts w:hint="cs"/>
          <w:rtl/>
          <w:lang w:bidi="ar-EG"/>
        </w:rPr>
        <w:t xml:space="preserve"> والرسالة المراد نشرها هي أنه ينبغي تحسين نوعية الحياة العاطفية في الأسرة وتعزيز الاتجاهات الايجابية للتعامل مع المنازعات</w:t>
      </w:r>
      <w:r w:rsidR="003D7EB4">
        <w:rPr>
          <w:rFonts w:hint="cs"/>
          <w:rtl/>
          <w:lang w:bidi="ar-EG"/>
        </w:rPr>
        <w:t>،</w:t>
      </w:r>
      <w:r>
        <w:rPr>
          <w:rFonts w:hint="cs"/>
          <w:rtl/>
          <w:lang w:bidi="ar-EG"/>
        </w:rPr>
        <w:t xml:space="preserve"> وهدف تغطيتها الأولية هو 000 17 أسرة</w:t>
      </w:r>
      <w:r w:rsidR="003D7EB4">
        <w:rPr>
          <w:rFonts w:hint="cs"/>
          <w:rtl/>
          <w:lang w:bidi="ar-EG"/>
        </w:rPr>
        <w:t>،</w:t>
      </w:r>
    </w:p>
    <w:p w:rsidR="00971AE2" w:rsidRDefault="00971AE2" w:rsidP="00A343DF">
      <w:pPr>
        <w:pStyle w:val="SingleTxt"/>
        <w:rPr>
          <w:rFonts w:hint="cs"/>
          <w:rtl/>
          <w:lang w:bidi="ar-EG"/>
        </w:rPr>
      </w:pPr>
      <w:r>
        <w:rPr>
          <w:rFonts w:hint="cs"/>
          <w:rtl/>
          <w:lang w:bidi="ar-EG"/>
        </w:rPr>
        <w:t>وينفذ بالاشتراك بين الشرطة الوطنية</w:t>
      </w:r>
      <w:r>
        <w:rPr>
          <w:rFonts w:hint="cs"/>
          <w:vertAlign w:val="superscript"/>
          <w:rtl/>
          <w:lang w:bidi="ar-EG"/>
        </w:rPr>
        <w:t>213</w:t>
      </w:r>
      <w:r>
        <w:rPr>
          <w:rFonts w:hint="cs"/>
          <w:rtl/>
          <w:lang w:bidi="ar-EG"/>
        </w:rPr>
        <w:t xml:space="preserve"> ومكتب العمدة الرئيسي لبوغوتا وجامعة كولومبيا الوطنية مشروع لترسيخ القيم المؤسسية في شرطة بوغوتا الكبرى</w:t>
      </w:r>
      <w:r w:rsidR="003D7EB4">
        <w:rPr>
          <w:rFonts w:hint="cs"/>
          <w:rtl/>
          <w:lang w:bidi="ar-EG"/>
        </w:rPr>
        <w:t>،</w:t>
      </w:r>
      <w:r>
        <w:rPr>
          <w:rFonts w:hint="cs"/>
          <w:rtl/>
          <w:lang w:bidi="ar-EG"/>
        </w:rPr>
        <w:t xml:space="preserve"> ويتمثل الهدف العام للمشروع في تعزيز القيم العامة والمؤسسية في مجموعة مؤلفة من 1600 فرد من شرطة العاصمة بوغوتا للاسهام في تحسين الحياة الداخلية في المؤسسة وفي خدمة المجتمع</w:t>
      </w:r>
      <w:r w:rsidR="003D7EB4">
        <w:rPr>
          <w:rFonts w:hint="cs"/>
          <w:rtl/>
          <w:lang w:bidi="ar-EG"/>
        </w:rPr>
        <w:t>،</w:t>
      </w:r>
    </w:p>
    <w:p w:rsidR="00971AE2" w:rsidRDefault="00971AE2" w:rsidP="00A343DF">
      <w:pPr>
        <w:pStyle w:val="SingleTxt"/>
        <w:rPr>
          <w:rFonts w:hint="cs"/>
          <w:rtl/>
          <w:lang w:bidi="ar-EG"/>
        </w:rPr>
      </w:pPr>
      <w:r>
        <w:rPr>
          <w:rFonts w:hint="cs"/>
          <w:rtl/>
          <w:lang w:bidi="ar-EG"/>
        </w:rPr>
        <w:t>ويسعى مشروع التدريب إلى أن يصبح أفراد شرطة العاصمة قدوة في الحياة اليومية أمام أنفسهم وأسرهم والمؤسسة والمجتمع، فيكونوا أشخاصا مخلصين لمبادئ الحياة التي تتيح ممارسة مهمة الشرطة الوطنية وفقا لاحتياجات الأمن والسكينة العامة عن طريق خدمة فعالة قائمة على المنع والتحقيق ومكافحة الجرائم والمخالفات وتوليد ثقافة التضامن</w:t>
      </w:r>
      <w:r w:rsidR="003D7EB4">
        <w:rPr>
          <w:rFonts w:hint="cs"/>
          <w:rtl/>
          <w:lang w:bidi="ar-EG"/>
        </w:rPr>
        <w:t>،</w:t>
      </w:r>
      <w:r>
        <w:rPr>
          <w:rFonts w:hint="cs"/>
          <w:rtl/>
          <w:lang w:bidi="ar-EG"/>
        </w:rPr>
        <w:t xml:space="preserve"> ويركز التدريب على ثلاثة محاور هي: الشعور بالحياة والمسؤولة الاجتماعية؛ والمسؤولية المؤسسية؛ والأسرة والمجتمع</w:t>
      </w:r>
      <w:r>
        <w:rPr>
          <w:rFonts w:hint="cs"/>
          <w:vertAlign w:val="superscript"/>
          <w:rtl/>
          <w:lang w:bidi="ar-EG"/>
        </w:rPr>
        <w:t>214</w:t>
      </w:r>
      <w:r w:rsidR="003D7EB4">
        <w:rPr>
          <w:rFonts w:hint="cs"/>
          <w:rtl/>
          <w:lang w:bidi="ar-EG"/>
        </w:rPr>
        <w:t>،</w:t>
      </w:r>
    </w:p>
    <w:p w:rsidR="00971AE2" w:rsidRDefault="00971AE2" w:rsidP="00A343DF">
      <w:pPr>
        <w:pStyle w:val="SingleTxt"/>
        <w:rPr>
          <w:rFonts w:hint="cs"/>
          <w:rtl/>
          <w:lang w:bidi="ar-EG"/>
        </w:rPr>
      </w:pPr>
      <w:r>
        <w:rPr>
          <w:rFonts w:hint="cs"/>
          <w:rtl/>
          <w:lang w:bidi="ar-EG"/>
        </w:rPr>
        <w:t>ما يقوم بها مكتب المدعية المفوضة لشؤون القصر والأسرة من أعمال ترمي إلى مكافحة العنف العائلي: حفز ومراقبة 14 شبكة لمنع سوء معاملة الأطفال على المستوى الوطني عن طريق ممثلي الإدعاء في محاكم الشؤون الأسرية وموظفي الفئة الفنية الملحقين بمكتب هذه المدعية المفوضة</w:t>
      </w:r>
      <w:r w:rsidR="003D7EB4">
        <w:rPr>
          <w:rFonts w:hint="cs"/>
          <w:rtl/>
          <w:lang w:bidi="ar-EG"/>
        </w:rPr>
        <w:t>،</w:t>
      </w:r>
    </w:p>
    <w:p w:rsidR="00971AE2" w:rsidRDefault="00971AE2" w:rsidP="00A343DF">
      <w:pPr>
        <w:pStyle w:val="SingleTxt"/>
        <w:rPr>
          <w:rFonts w:hint="cs"/>
          <w:rtl/>
          <w:lang w:bidi="ar-EG"/>
        </w:rPr>
      </w:pPr>
      <w:r>
        <w:rPr>
          <w:rFonts w:hint="cs"/>
          <w:rtl/>
          <w:lang w:bidi="ar-EG"/>
        </w:rPr>
        <w:t>الرعاية والتوجيه وتقديم المشورة في مركز رعاية المواطنين التابع لمكتب المدعية المفوضة إلى الأشخاص الذين يقومون بشرح الأوضاع الخطرة التي يجدون أنفسهم فيها أو انتهاك حقوق الأطفال أو المعوقين وكذلك مؤسسة الأسرة</w:t>
      </w:r>
      <w:r w:rsidR="003D7EB4">
        <w:rPr>
          <w:rFonts w:hint="cs"/>
          <w:rtl/>
          <w:lang w:bidi="ar-EG"/>
        </w:rPr>
        <w:t>،</w:t>
      </w:r>
      <w:r>
        <w:rPr>
          <w:rFonts w:hint="cs"/>
          <w:rtl/>
          <w:lang w:bidi="ar-EG"/>
        </w:rPr>
        <w:t xml:space="preserve"> وتقدم الرعاية في معضلات مثل: النفقة وسوء معاملة الأطفال والعنف العائلي والاعتداء الجنسي والاتجار بالنساء والأطفال الذين انتهكوا القانون وأطفال العمال، ضمن أمور أخرى</w:t>
      </w:r>
      <w:r w:rsidR="003D7EB4">
        <w:rPr>
          <w:rFonts w:hint="cs"/>
          <w:rtl/>
          <w:lang w:bidi="ar-EG"/>
        </w:rPr>
        <w:t>،</w:t>
      </w:r>
      <w:r>
        <w:rPr>
          <w:rFonts w:hint="cs"/>
          <w:rtl/>
          <w:lang w:bidi="ar-EG"/>
        </w:rPr>
        <w:t xml:space="preserve"> وتحقيقا لهذه الأغراض وقع اتفاق تنسيق مشترك بين المؤسسات بين مكتب المدعي العام وهيئات حكومية مختلف بهدف تضافر الجهود لإنشاء مركز للرعاية المتكاملة لضحايا العنف العائلي</w:t>
      </w:r>
      <w:r w:rsidR="003D7EB4">
        <w:rPr>
          <w:rFonts w:hint="cs"/>
          <w:rtl/>
          <w:lang w:bidi="ar-EG"/>
        </w:rPr>
        <w:t>،</w:t>
      </w:r>
    </w:p>
    <w:p w:rsidR="00971AE2" w:rsidRDefault="00971AE2" w:rsidP="00A343DF">
      <w:pPr>
        <w:pStyle w:val="SingleTxt"/>
        <w:rPr>
          <w:rFonts w:hint="cs"/>
          <w:rtl/>
        </w:rPr>
      </w:pPr>
      <w:r>
        <w:rPr>
          <w:rFonts w:hint="cs"/>
          <w:rtl/>
        </w:rPr>
        <w:t xml:space="preserve"> استراتيجية لتعريف المواطنين عن طريق وسائط الاتصال الجماهيري (الصحافة والتليفزيون والإذاعة) بالأعمال المثالية التي تقوم بها هذه المفوضة دفاعا عن الحقوق الأساسية للأطفال</w:t>
      </w:r>
      <w:r w:rsidR="003D7EB4">
        <w:rPr>
          <w:rFonts w:hint="cs"/>
          <w:rtl/>
        </w:rPr>
        <w:t>،</w:t>
      </w:r>
    </w:p>
    <w:p w:rsidR="00971AE2" w:rsidRDefault="00971AE2" w:rsidP="00A343DF">
      <w:pPr>
        <w:pStyle w:val="SingleTxt"/>
        <w:rPr>
          <w:rFonts w:hint="cs"/>
          <w:rtl/>
        </w:rPr>
      </w:pPr>
      <w:r>
        <w:rPr>
          <w:rFonts w:hint="cs"/>
          <w:rtl/>
        </w:rPr>
        <w:t xml:space="preserve"> * إعداد دليل للمبادئ الفنية للرعاية والتوجيه القانوني والإداري للمواطنين والمواطنات في مجال الطفولة والأسرة بهدف تقديم الرعاية والتوجيه والمشورة القانونية والإدارية للمواطنين والمواطنات الذين يلجأون إلى المفوضة لأنهم قد تعرضوا لمواقف خطرة انتهكت فيها حقوق أطفال ونساء وأشخاص مسنين  ومعوقين وأسر</w:t>
      </w:r>
      <w:r w:rsidR="003D7EB4">
        <w:rPr>
          <w:rFonts w:hint="cs"/>
          <w:rtl/>
        </w:rPr>
        <w:t>،</w:t>
      </w:r>
    </w:p>
    <w:p w:rsidR="00971AE2" w:rsidRDefault="00971AE2" w:rsidP="00A343DF">
      <w:pPr>
        <w:pStyle w:val="SingleTxt"/>
        <w:rPr>
          <w:rFonts w:hint="cs"/>
          <w:rtl/>
        </w:rPr>
      </w:pPr>
      <w:r>
        <w:rPr>
          <w:rFonts w:hint="cs"/>
          <w:rtl/>
        </w:rPr>
        <w:t>ووضعت الهيئة الاستشارية المعنية بتحقيق المساواة بين الرجل والمرأة برنامج ديمقراطية الأسرة</w:t>
      </w:r>
      <w:r>
        <w:rPr>
          <w:rFonts w:hint="cs"/>
          <w:vertAlign w:val="superscript"/>
          <w:rtl/>
        </w:rPr>
        <w:t>215</w:t>
      </w:r>
      <w:r>
        <w:rPr>
          <w:rFonts w:hint="cs"/>
          <w:rtl/>
        </w:rPr>
        <w:t xml:space="preserve"> الذي يتضمن نموذجا للتدخل وعملية لتدريب الموظفين والآباء والأمهات والرواد المجتمعيين المحليين لتعزيز إقامة علاقات ديمقراطية تتسم بالمساواة في الأسرة مما يعزز حدوث تغيرات ثقافية في المجتمع تعيد تقدير المرأة والرجل في مختلف مجالات النشاط الاجتماعي: الشخصية والأسرية والمجتمعية والسياسية والمتعلقة بالعمل</w:t>
      </w:r>
      <w:r w:rsidR="003D7EB4">
        <w:rPr>
          <w:rFonts w:hint="cs"/>
          <w:rtl/>
        </w:rPr>
        <w:t>،</w:t>
      </w:r>
      <w:r>
        <w:rPr>
          <w:rFonts w:hint="cs"/>
          <w:rtl/>
        </w:rPr>
        <w:t xml:space="preserve"> ويستلزم البرنامج نظام نشر عن موضوع الأسرة  وشن حملات جماعية عن السلوك الأسري والمدني وتحقيقات والنشر عن خبرات تدعم رسم سياسات ومبادئ للتدخل بشأن هذا الموضوع</w:t>
      </w:r>
      <w:r w:rsidR="003D7EB4">
        <w:rPr>
          <w:rFonts w:hint="cs"/>
          <w:rtl/>
        </w:rPr>
        <w:t>،</w:t>
      </w:r>
      <w:r>
        <w:rPr>
          <w:rFonts w:hint="cs"/>
          <w:rtl/>
        </w:rPr>
        <w:t xml:space="preserve"> ولإحراز تقدم في هذا المجال يجري إعداد ملف لتعزيز وحماية حقوق المرأة</w:t>
      </w:r>
      <w:r w:rsidR="003D7EB4">
        <w:rPr>
          <w:rFonts w:hint="cs"/>
          <w:rtl/>
        </w:rPr>
        <w:t>،</w:t>
      </w:r>
      <w:r>
        <w:rPr>
          <w:rFonts w:hint="cs"/>
          <w:rtl/>
        </w:rPr>
        <w:t xml:space="preserve"> </w:t>
      </w:r>
    </w:p>
    <w:p w:rsidR="00971AE2" w:rsidRDefault="00971AE2" w:rsidP="00A343DF">
      <w:pPr>
        <w:pStyle w:val="SingleTxt"/>
        <w:rPr>
          <w:rFonts w:hint="cs"/>
          <w:rtl/>
        </w:rPr>
      </w:pPr>
      <w:r>
        <w:rPr>
          <w:rFonts w:hint="cs"/>
          <w:rtl/>
        </w:rPr>
        <w:t>كما تنفذ الأعمال الحكومية المتعلقة برعاية الأسرة من خلال برنامج الأسرالنشيطة والرعاية التابع للمؤسسة الكولومبية للرعاية الأسرية للطفولة والأسرة</w:t>
      </w:r>
      <w:r w:rsidR="003D7EB4">
        <w:rPr>
          <w:rFonts w:hint="cs"/>
          <w:rtl/>
        </w:rPr>
        <w:t>،</w:t>
      </w:r>
      <w:r>
        <w:rPr>
          <w:rFonts w:hint="cs"/>
          <w:rtl/>
        </w:rPr>
        <w:t xml:space="preserve"> وهذه المؤسسة ذات أهمية خاصة لكفالة الحماية المتكاملة للأطفال وحقهم في أن تكون لهم أسرة وفي عدم فصلهم عن أبويهم وضمان الرعاية للأطفال الذين فصلوا عن أبويهم كحل أخير</w:t>
      </w:r>
      <w:r w:rsidR="003D7EB4">
        <w:rPr>
          <w:rFonts w:hint="cs"/>
          <w:rtl/>
        </w:rPr>
        <w:t>،</w:t>
      </w:r>
    </w:p>
    <w:p w:rsidR="00971AE2" w:rsidRDefault="00971AE2" w:rsidP="00A343DF">
      <w:pPr>
        <w:pStyle w:val="SingleTxt"/>
        <w:rPr>
          <w:rFonts w:hint="cs"/>
          <w:rtl/>
        </w:rPr>
      </w:pPr>
      <w:r>
        <w:rPr>
          <w:rFonts w:hint="cs"/>
          <w:rtl/>
        </w:rPr>
        <w:t>وبرنامج الأسر النشيطة المنبثق عن الخطة الكولومبية يدعم الأسر المنخفضة الموارد التعليمية والتغذوية عن طريق إعانات مالية</w:t>
      </w:r>
      <w:r w:rsidR="003D7EB4">
        <w:rPr>
          <w:rFonts w:hint="cs"/>
          <w:rtl/>
        </w:rPr>
        <w:t>،</w:t>
      </w:r>
      <w:r>
        <w:rPr>
          <w:rFonts w:hint="cs"/>
          <w:rtl/>
        </w:rPr>
        <w:t xml:space="preserve"> وتمنح للأسر التي يوجد فيها أطفال دون سن السابعة إعانة غذائية شهرية تبلغ 500 46 دولار</w:t>
      </w:r>
      <w:r w:rsidR="003D7EB4">
        <w:rPr>
          <w:rFonts w:hint="cs"/>
          <w:rtl/>
        </w:rPr>
        <w:t>،</w:t>
      </w:r>
      <w:r>
        <w:rPr>
          <w:rFonts w:hint="cs"/>
          <w:rtl/>
        </w:rPr>
        <w:t xml:space="preserve"> وتمنح للأطفال المسجلين في السنوات الثانية إلى الخامسة الإبتدائية إعانة مدرسية شهرية تبلغ 000 14 دولار</w:t>
      </w:r>
      <w:r w:rsidR="003D7EB4">
        <w:rPr>
          <w:rFonts w:hint="cs"/>
          <w:rtl/>
        </w:rPr>
        <w:t>،</w:t>
      </w:r>
      <w:r>
        <w:rPr>
          <w:rFonts w:hint="cs"/>
          <w:rtl/>
        </w:rPr>
        <w:t xml:space="preserve"> وتمنح للأولاد المقيدين في السنوات السادسة إلى الحادية عشرة الثانوية إعانة مدرسية شهرية مقدارها 000 28 دولار</w:t>
      </w:r>
      <w:r w:rsidR="003D7EB4">
        <w:rPr>
          <w:rFonts w:hint="cs"/>
          <w:rtl/>
        </w:rPr>
        <w:t>،</w:t>
      </w:r>
      <w:r>
        <w:rPr>
          <w:rFonts w:hint="cs"/>
          <w:rtl/>
        </w:rPr>
        <w:t xml:space="preserve">  وتحصل ربة الأسرة على الإعانة، لحفز المرأة على المشاركة والقيادة في النواة الأسرية وفي المجالين المجتمعي والبلدي</w:t>
      </w:r>
      <w:r w:rsidR="003D7EB4">
        <w:rPr>
          <w:rFonts w:hint="cs"/>
          <w:rtl/>
        </w:rPr>
        <w:t>،</w:t>
      </w:r>
    </w:p>
    <w:p w:rsidR="00971AE2" w:rsidRDefault="00971AE2" w:rsidP="00A343DF">
      <w:pPr>
        <w:pStyle w:val="SingleTxt"/>
        <w:rPr>
          <w:rFonts w:ascii="Traditional Arabic" w:hAnsi="Traditional Arabic" w:hint="cs"/>
          <w:i/>
          <w:iCs/>
          <w:sz w:val="32"/>
        </w:rPr>
      </w:pPr>
      <w:r>
        <w:rPr>
          <w:rFonts w:hint="cs"/>
          <w:rtl/>
        </w:rPr>
        <w:t>ونتائج التنفيذ في عام 2002 هي:في 621 بلدية في 26 مقاطعة، 008 353 أسر مستفيدة، و419 203 إعانة غذائية، و623 214 إعانة للتعليم الابتدائي، و251 115 إعانة للتعليم الثانوي</w:t>
      </w:r>
      <w:r w:rsidR="003D7EB4">
        <w:rPr>
          <w:rFonts w:hint="cs"/>
          <w:rtl/>
        </w:rPr>
        <w:t>،</w:t>
      </w:r>
      <w:r>
        <w:rPr>
          <w:rFonts w:hint="cs"/>
          <w:rtl/>
        </w:rPr>
        <w:t xml:space="preserve"> وفي شهر شباط/فبراير2003 قدم البرنامج تقديرات بأنه يوجد 656 803 طفلا مستفيدا و251 364 أسرة مستفيدة</w:t>
      </w:r>
      <w:r w:rsidR="003D7EB4">
        <w:rPr>
          <w:rFonts w:hint="cs"/>
          <w:rtl/>
        </w:rPr>
        <w:t>،</w:t>
      </w:r>
    </w:p>
    <w:p w:rsidR="00F57CF2" w:rsidRPr="00F57CF2" w:rsidRDefault="00F57CF2" w:rsidP="00F57CF2">
      <w:pPr>
        <w:pStyle w:val="SingleTxt"/>
        <w:spacing w:after="0" w:line="120" w:lineRule="exact"/>
        <w:rPr>
          <w:rFonts w:ascii="Traditional Arabic" w:hAnsi="Traditional Arabic" w:hint="cs"/>
          <w:i/>
          <w:iCs/>
          <w:sz w:val="10"/>
          <w:rtl/>
        </w:rPr>
      </w:pPr>
    </w:p>
    <w:p w:rsidR="00971AE2" w:rsidRDefault="00971AE2" w:rsidP="00A343DF">
      <w:pPr>
        <w:pStyle w:val="SingleTxt"/>
        <w:rPr>
          <w:rFonts w:hint="cs"/>
          <w:rtl/>
        </w:rPr>
      </w:pPr>
      <w:r>
        <w:rPr>
          <w:rFonts w:hint="cs"/>
          <w:i/>
          <w:iCs/>
          <w:rtl/>
        </w:rPr>
        <w:t>العنف الجنسي</w:t>
      </w:r>
    </w:p>
    <w:p w:rsidR="00971AE2" w:rsidRDefault="00971AE2" w:rsidP="00A343DF">
      <w:pPr>
        <w:pStyle w:val="SingleTxt"/>
        <w:rPr>
          <w:rFonts w:hint="cs"/>
          <w:rtl/>
        </w:rPr>
      </w:pPr>
      <w:r>
        <w:rPr>
          <w:rFonts w:hint="cs"/>
          <w:rtl/>
        </w:rPr>
        <w:t>في 25 أيلول/سبتمبر 2003 وقع على الاتفاق الاضافي الثالث للتعاون المشترك بين المؤسسات على المستوى الوطني (الاتفاق الثالث الذي يمدد الاتفاق الثاني المؤرخ 27 أيلول/سبتمبر 2001، ويضيف إليه، وكان الأخير قد مدد بدوره الاتفاق المؤرخ 3 تشرين الثاني/نوفمبر 1991)، لإضافة أعمال وطرق انتصاف بهدف ضمان رعاية متكاملة ومنسقة لضحايا الجرائم الجنسية والأشخاص الذين تعرضوا لها تؤدي إلى ضمان وحماية وإعادة حقوقهم على نحو كاف ومناسب وفعال؛ واتفاق عقده مكتب المدعي العام وإدارة الطب الشرعي والمؤسسة الكولومبية للرعاية الاجتماعية والشرطة الوطنية ووزارة الرعاية الاجتماعية ومكتب محامي الشعب ومجالس العمد ومكتب المدعي العام ووزارة التعليم والمجلس الأعلى للقضاء</w:t>
      </w:r>
      <w:r w:rsidR="003D7EB4">
        <w:rPr>
          <w:rFonts w:hint="cs"/>
          <w:rtl/>
        </w:rPr>
        <w:t>،</w:t>
      </w:r>
    </w:p>
    <w:p w:rsidR="00971AE2" w:rsidRDefault="00F57CF2" w:rsidP="00A343DF">
      <w:pPr>
        <w:pStyle w:val="SingleTxt"/>
        <w:rPr>
          <w:rFonts w:hint="cs"/>
          <w:rtl/>
        </w:rPr>
      </w:pPr>
      <w:r>
        <w:rPr>
          <w:rFonts w:hint="cs"/>
          <w:rtl/>
        </w:rPr>
        <w:tab/>
      </w:r>
      <w:r w:rsidR="00971AE2">
        <w:rPr>
          <w:rFonts w:hint="cs"/>
          <w:rtl/>
        </w:rPr>
        <w:t>وبترتب على الاتفاق إلتزام مشترك للهيئات بأن تقدم التوجيه والتدريب والدعم لقطاعها أو هيئاتها الاقليمية والبلدية والمحلية لتعزيز وتيسير وضع ردود متكاملة ومنسقة لرعاية ضحايا الجرائم الجنسية والعنف الجنسي والأشخاص الذين تعرضوا لهما</w:t>
      </w:r>
      <w:r w:rsidR="003D7EB4">
        <w:rPr>
          <w:rFonts w:hint="cs"/>
          <w:rtl/>
        </w:rPr>
        <w:t>،</w:t>
      </w:r>
      <w:r w:rsidR="00971AE2">
        <w:rPr>
          <w:rFonts w:hint="cs"/>
          <w:rtl/>
        </w:rPr>
        <w:t xml:space="preserve"> وسوف تقوم كل مؤسسة، وفقا لتنظيمها الوظيفي وولايتها واختصاصها القانوني، بتسمية مسؤول على المستوى المحلي والاقليمي لتنسيق وإدارة تصميم وتنفيذ وتطوير وضبط واستدامة ردود متكاملة ومدمجة، بصورة مستمرة، لرعاية ضحايا الجرائم والعنف الجنسي والأشخاص الذين تعرضوا لهما</w:t>
      </w:r>
      <w:r w:rsidR="003D7EB4">
        <w:rPr>
          <w:rFonts w:hint="cs"/>
          <w:rtl/>
        </w:rPr>
        <w:t>،</w:t>
      </w:r>
    </w:p>
    <w:p w:rsidR="00971AE2" w:rsidRDefault="00F57CF2" w:rsidP="00A343DF">
      <w:pPr>
        <w:pStyle w:val="SingleTxt"/>
        <w:rPr>
          <w:rFonts w:hint="cs"/>
          <w:rtl/>
          <w:lang w:bidi="ar-EG"/>
        </w:rPr>
      </w:pPr>
      <w:r>
        <w:rPr>
          <w:rFonts w:hint="cs"/>
          <w:rtl/>
          <w:lang w:bidi="ar-EG"/>
        </w:rPr>
        <w:tab/>
      </w:r>
      <w:r w:rsidR="00971AE2">
        <w:rPr>
          <w:rFonts w:hint="cs"/>
          <w:rtl/>
          <w:lang w:bidi="ar-EG"/>
        </w:rPr>
        <w:t>تعهدت كل مؤسسة من المؤسسات بأن تسند إلى إدارة تمثل جزءاً من لجنة فنية، مسؤولية تنسيق وإدارة تنظيم وتنفيذ وتطوير وتعديل واستدامة ردود متكاملة ومدمجة للتصدي لجرائم العنف الجنسي، وذلك بصفة مستمرة في كل الإقليم الوطني</w:t>
      </w:r>
      <w:r w:rsidR="003D7EB4">
        <w:rPr>
          <w:rFonts w:hint="cs"/>
          <w:rtl/>
          <w:lang w:bidi="ar-EG"/>
        </w:rPr>
        <w:t>،</w:t>
      </w:r>
      <w:r w:rsidR="00971AE2">
        <w:rPr>
          <w:rFonts w:hint="cs"/>
          <w:rtl/>
          <w:lang w:bidi="ar-EG"/>
        </w:rPr>
        <w:t xml:space="preserve"> وسوف تدرج الموارد المالية اللازمة لتنفيذ الاتفاق في ميزانية كل هيئة من الهيئات</w:t>
      </w:r>
      <w:r w:rsidR="003D7EB4">
        <w:rPr>
          <w:rFonts w:hint="cs"/>
          <w:rtl/>
          <w:lang w:bidi="ar-EG"/>
        </w:rPr>
        <w:t>،</w:t>
      </w:r>
      <w:r w:rsidR="00971AE2">
        <w:rPr>
          <w:rFonts w:hint="cs"/>
          <w:rtl/>
          <w:lang w:bidi="ar-EG"/>
        </w:rPr>
        <w:t xml:space="preserve"> وتعهدت كل مؤسسة بأن تدمج في خطتها السنوية صراحة المبادئ التوجيهية والتدابير والموارد المخصصة للرعاية المتكاملة لضحايا العنف الجنسي</w:t>
      </w:r>
      <w:r w:rsidR="003D7EB4">
        <w:rPr>
          <w:rFonts w:hint="cs"/>
          <w:rtl/>
          <w:lang w:bidi="ar-EG"/>
        </w:rPr>
        <w:t>،</w:t>
      </w:r>
    </w:p>
    <w:p w:rsidR="00971AE2" w:rsidRDefault="00971AE2" w:rsidP="007E6A7B">
      <w:pPr>
        <w:pStyle w:val="SingleTxt"/>
        <w:rPr>
          <w:rFonts w:hint="cs"/>
          <w:rtl/>
          <w:lang w:bidi="ar-EG"/>
        </w:rPr>
      </w:pPr>
      <w:r>
        <w:rPr>
          <w:rFonts w:hint="cs"/>
          <w:rtl/>
          <w:lang w:bidi="ar-EG"/>
        </w:rPr>
        <w:tab/>
        <w:t>ووقع مكتب المدعي العام اتفاقاً وطنياً مع المؤسسة الكولومبية للرعاية الأسرية وإدارة الطب الشرعي والشرطة ووزارة الصحة ومكتب العمدة الرئيسي لبوغوتا، العاصمة، ومكتب المحامي العام للشعب لمضاعفة الجهود من أجل توفير الرعاية المتكاملة لضحايا العنف الجنسي</w:t>
      </w:r>
      <w:r w:rsidR="003D7EB4">
        <w:rPr>
          <w:rFonts w:hint="cs"/>
          <w:rtl/>
          <w:lang w:bidi="ar-EG"/>
        </w:rPr>
        <w:t>،</w:t>
      </w:r>
      <w:r>
        <w:rPr>
          <w:rFonts w:hint="cs"/>
          <w:rtl/>
          <w:lang w:bidi="ar-EG"/>
        </w:rPr>
        <w:t xml:space="preserve"> وتتمثل العناصر الأساسية للسياسة في التدريب</w:t>
      </w:r>
      <w:r w:rsidR="007E6A7B" w:rsidRPr="007E6A7B">
        <w:rPr>
          <w:rFonts w:hint="cs"/>
          <w:vertAlign w:val="superscript"/>
          <w:rtl/>
          <w:lang w:bidi="ar-EG"/>
        </w:rPr>
        <w:t>216</w:t>
      </w:r>
      <w:r>
        <w:rPr>
          <w:rFonts w:hint="cs"/>
          <w:rtl/>
          <w:lang w:bidi="ar-EG"/>
        </w:rPr>
        <w:t xml:space="preserve"> والبحث</w:t>
      </w:r>
      <w:r w:rsidR="007E6A7B" w:rsidRPr="007E6A7B">
        <w:rPr>
          <w:rFonts w:hint="cs"/>
          <w:vertAlign w:val="superscript"/>
          <w:rtl/>
          <w:lang w:bidi="ar-EG"/>
        </w:rPr>
        <w:t>217</w:t>
      </w:r>
      <w:r>
        <w:rPr>
          <w:rFonts w:hint="cs"/>
          <w:rtl/>
          <w:lang w:bidi="ar-EG"/>
        </w:rPr>
        <w:t xml:space="preserve"> والرعاية</w:t>
      </w:r>
      <w:r w:rsidR="007E6A7B" w:rsidRPr="007E6A7B">
        <w:rPr>
          <w:rFonts w:hint="cs"/>
          <w:vertAlign w:val="superscript"/>
          <w:rtl/>
          <w:lang w:bidi="ar-EG"/>
        </w:rPr>
        <w:t>218</w:t>
      </w:r>
      <w:r>
        <w:rPr>
          <w:rFonts w:hint="cs"/>
          <w:rtl/>
          <w:lang w:bidi="ar-EG"/>
        </w:rPr>
        <w:t xml:space="preserve"> والتنسيق الداخلي</w:t>
      </w:r>
      <w:r w:rsidR="007E6A7B" w:rsidRPr="007E6A7B">
        <w:rPr>
          <w:rFonts w:hint="cs"/>
          <w:vertAlign w:val="superscript"/>
          <w:rtl/>
          <w:lang w:bidi="ar-EG"/>
        </w:rPr>
        <w:t>219</w:t>
      </w:r>
      <w:r>
        <w:rPr>
          <w:rFonts w:hint="cs"/>
          <w:rtl/>
          <w:lang w:bidi="ar-EG"/>
        </w:rPr>
        <w:t xml:space="preserve"> والخارجي</w:t>
      </w:r>
      <w:r w:rsidR="007E6A7B">
        <w:rPr>
          <w:rFonts w:hint="cs"/>
          <w:vertAlign w:val="superscript"/>
          <w:rtl/>
        </w:rPr>
        <w:t xml:space="preserve"> </w:t>
      </w:r>
      <w:r w:rsidR="007E6A7B" w:rsidRPr="007E6A7B">
        <w:rPr>
          <w:rFonts w:hint="cs"/>
          <w:vertAlign w:val="superscript"/>
          <w:rtl/>
        </w:rPr>
        <w:t>2</w:t>
      </w:r>
      <w:r w:rsidR="007E6A7B" w:rsidRPr="007E6A7B">
        <w:rPr>
          <w:rFonts w:hint="cs"/>
          <w:sz w:val="24"/>
          <w:vertAlign w:val="superscript"/>
          <w:rtl/>
          <w:lang w:bidi="ar-EG"/>
        </w:rPr>
        <w:t>20</w:t>
      </w:r>
      <w:r>
        <w:rPr>
          <w:rFonts w:hint="cs"/>
          <w:rtl/>
          <w:lang w:bidi="ar-EG"/>
        </w:rPr>
        <w:t>والنشر والإبلاغ</w:t>
      </w:r>
      <w:r w:rsidR="007E6A7B" w:rsidRPr="007E6A7B">
        <w:rPr>
          <w:rFonts w:hint="cs"/>
          <w:vertAlign w:val="superscript"/>
          <w:rtl/>
          <w:lang w:bidi="ar-EG"/>
        </w:rPr>
        <w:t>221</w:t>
      </w:r>
      <w:r w:rsidR="003D7EB4">
        <w:rPr>
          <w:rFonts w:hint="cs"/>
          <w:rtl/>
          <w:lang w:bidi="ar-EG"/>
        </w:rPr>
        <w:t>،</w:t>
      </w:r>
      <w:r>
        <w:rPr>
          <w:rFonts w:hint="cs"/>
          <w:rtl/>
          <w:lang w:bidi="ar-EG"/>
        </w:rPr>
        <w:t xml:space="preserve"> </w:t>
      </w:r>
    </w:p>
    <w:p w:rsidR="00971AE2" w:rsidRDefault="00971AE2" w:rsidP="00A343DF">
      <w:pPr>
        <w:pStyle w:val="SingleTxt"/>
        <w:rPr>
          <w:rFonts w:hint="cs"/>
          <w:rtl/>
          <w:lang w:bidi="ar-EG"/>
        </w:rPr>
      </w:pPr>
      <w:r>
        <w:rPr>
          <w:rFonts w:hint="cs"/>
          <w:rtl/>
          <w:lang w:bidi="ar-EG"/>
        </w:rPr>
        <w:tab/>
        <w:t>وقد حُث على إنشاء نماذج إقليمية لرعاية ضحايا العنف الجنسي وتقديم التدريب الفني بدعم من صندوق الأمم المتحدة للأنشطة السكانية إلى موظفي الفئة الفنية الملحقين بمكتب المفوضة ومكاتب المدعين في محاكم شؤون الأسرة في مجال الحقوق الجنسية والتناسلية والعنف الجنسي</w:t>
      </w:r>
      <w:r w:rsidR="003D7EB4">
        <w:rPr>
          <w:rFonts w:hint="cs"/>
          <w:rtl/>
          <w:lang w:bidi="ar-EG"/>
        </w:rPr>
        <w:t>،</w:t>
      </w:r>
      <w:r>
        <w:rPr>
          <w:rFonts w:hint="cs"/>
          <w:rtl/>
          <w:lang w:bidi="ar-EG"/>
        </w:rPr>
        <w:t xml:space="preserve"> </w:t>
      </w:r>
    </w:p>
    <w:p w:rsidR="00971AE2" w:rsidRDefault="00971AE2" w:rsidP="00A343DF">
      <w:pPr>
        <w:pStyle w:val="SingleTxt"/>
        <w:rPr>
          <w:rFonts w:hint="cs"/>
          <w:rtl/>
          <w:lang w:bidi="ar-EG"/>
        </w:rPr>
      </w:pPr>
      <w:r>
        <w:rPr>
          <w:rFonts w:hint="cs"/>
          <w:rtl/>
          <w:lang w:bidi="ar-EG"/>
        </w:rPr>
        <w:tab/>
        <w:t>وتعمل الوحدة المتخصصة المعنية بالجرائم المرتكبة ضد الحرية والسلامة والتربية الجنسية التابعة لمكتب المدعي العام في بوغوتا وكذلك أقسامها المحلية القائمة في مختلف مناطق البلد (سنسليخو ومونتريا وسانتاندر دي كويلتشاو وبوبان وفليافنسنسيو وأرمينيا وبريرا) بصورة متخصصة في مجال العنف الجنسي</w:t>
      </w:r>
      <w:r w:rsidR="003D7EB4">
        <w:rPr>
          <w:rFonts w:hint="cs"/>
          <w:rtl/>
          <w:lang w:bidi="ar-EG"/>
        </w:rPr>
        <w:t>،</w:t>
      </w:r>
    </w:p>
    <w:p w:rsidR="00971AE2" w:rsidRDefault="00971AE2" w:rsidP="00A343DF">
      <w:pPr>
        <w:pStyle w:val="SingleTxt"/>
        <w:rPr>
          <w:rFonts w:hint="cs"/>
          <w:rtl/>
          <w:lang w:bidi="ar-EG"/>
        </w:rPr>
      </w:pPr>
      <w:r>
        <w:rPr>
          <w:rFonts w:hint="cs"/>
          <w:rtl/>
          <w:lang w:bidi="ar-EG"/>
        </w:rPr>
        <w:tab/>
        <w:t>كما تتبع مكتب المدعي العام لجنة فنية مركزية مؤلفة من أربعة أعضاء يسميهم المدعي العام للأمة، وهم مكلفون بوضع كل السياسة المتعلقة بالعنف الجنسي</w:t>
      </w:r>
      <w:r w:rsidR="003D7EB4">
        <w:rPr>
          <w:rFonts w:hint="cs"/>
          <w:rtl/>
          <w:lang w:bidi="ar-EG"/>
        </w:rPr>
        <w:t>،</w:t>
      </w:r>
    </w:p>
    <w:p w:rsidR="00971AE2" w:rsidRDefault="00971AE2" w:rsidP="002E71C8">
      <w:pPr>
        <w:pStyle w:val="SingleTxt"/>
        <w:rPr>
          <w:rFonts w:hint="cs"/>
          <w:rtl/>
          <w:lang w:bidi="ar-EG"/>
        </w:rPr>
      </w:pPr>
      <w:r>
        <w:rPr>
          <w:rFonts w:hint="cs"/>
          <w:rtl/>
          <w:lang w:bidi="ar-EG"/>
        </w:rPr>
        <w:tab/>
        <w:t>وقد أنشأ مكتب المدعي العام، في إطار مفهومه الجديد للرعاية، مركز الرعاية المتكاملة لضحايا الجرائم الجنسية، الذي يقدم خدمات إلى الأشخاص الذين تعرضوا لجرائم مرتكبة ضد الحرية الجنسية، في إطار احترام كرامة الإنسان، من خلال عمل متعدد التخصصات ومشترك بين المؤسسات من جانب اختصاصيين في مجالات مختلفة: اختصاصي نفسي من                           ومدع مفوض وطبيب شرعي ومحامي للأسرة وموجه اجتماعي</w:t>
      </w:r>
      <w:r w:rsidR="002E71C8" w:rsidRPr="002E71C8">
        <w:rPr>
          <w:rFonts w:hint="cs"/>
          <w:vertAlign w:val="superscript"/>
          <w:rtl/>
          <w:lang w:bidi="ar-EG"/>
        </w:rPr>
        <w:t>222</w:t>
      </w:r>
      <w:r w:rsidR="003D7EB4">
        <w:rPr>
          <w:rFonts w:hint="cs"/>
          <w:rtl/>
          <w:lang w:bidi="ar-EG"/>
        </w:rPr>
        <w:t>،</w:t>
      </w:r>
    </w:p>
    <w:p w:rsidR="00971AE2" w:rsidRDefault="00971AE2" w:rsidP="00A343DF">
      <w:pPr>
        <w:pStyle w:val="SingleTxt"/>
        <w:rPr>
          <w:rFonts w:hint="cs"/>
          <w:rtl/>
          <w:lang w:bidi="ar-EG"/>
        </w:rPr>
      </w:pPr>
      <w:r>
        <w:rPr>
          <w:rFonts w:hint="cs"/>
          <w:rtl/>
          <w:lang w:bidi="ar-EG"/>
        </w:rPr>
        <w:tab/>
        <w:t>وقام مكتب محامي الشعب بعمل مهم يتمثل في الإعلام والنشر وإنشاء لجان مشتركة بين المؤسسات لتقديم رعاية كافية وفعالة لضحايا الجرائم الجنسية والأشخاص الذين تعرضوا لها، بهدف ضمان ملاءمة هذه الرعاية لحماية واستعادة حقوقهم كما تقدم مشورة خاصة وتوجيه في معالجة الحالات المتعلقة بهذه الانتهاكات</w:t>
      </w:r>
      <w:r w:rsidR="003D7EB4">
        <w:rPr>
          <w:rFonts w:hint="cs"/>
          <w:rtl/>
          <w:lang w:bidi="ar-EG"/>
        </w:rPr>
        <w:t>،</w:t>
      </w:r>
      <w:r>
        <w:rPr>
          <w:rFonts w:hint="cs"/>
          <w:rtl/>
          <w:lang w:bidi="ar-EG"/>
        </w:rPr>
        <w:t xml:space="preserve"> </w:t>
      </w:r>
    </w:p>
    <w:p w:rsidR="00971AE2" w:rsidRDefault="00971AE2" w:rsidP="002E71C8">
      <w:pPr>
        <w:pStyle w:val="SingleTxt"/>
        <w:rPr>
          <w:rFonts w:hint="cs"/>
          <w:rtl/>
          <w:lang w:bidi="ar-EG"/>
        </w:rPr>
      </w:pPr>
      <w:r>
        <w:rPr>
          <w:rFonts w:hint="cs"/>
          <w:rtl/>
          <w:lang w:bidi="ar-EG"/>
        </w:rPr>
        <w:tab/>
        <w:t>كما مارس مكتب المدعية المفوضة لشؤون القصر والأسرة وأيدت الاقتراح المشترك الذي قدمت فيه كولومبيا بدعم تقني ومهني من صندوق الأمم المتحدة للأنشطة السكانية، الذي أسس نماذج للرعاية المتكاملة لضحايا الجرائم الجنسية</w:t>
      </w:r>
      <w:r w:rsidR="003D7EB4">
        <w:rPr>
          <w:rFonts w:hint="cs"/>
          <w:rtl/>
          <w:lang w:bidi="ar-EG"/>
        </w:rPr>
        <w:t>،</w:t>
      </w:r>
      <w:r>
        <w:rPr>
          <w:rFonts w:hint="cs"/>
          <w:rtl/>
          <w:lang w:bidi="ar-EG"/>
        </w:rPr>
        <w:t xml:space="preserve"> وقد نفذ هذا العمل عن طريق ممثلي الإدعاء في محاكم الشؤون الأسرية</w:t>
      </w:r>
      <w:r w:rsidR="003D7EB4">
        <w:rPr>
          <w:rFonts w:hint="cs"/>
          <w:rtl/>
          <w:lang w:bidi="ar-EG"/>
        </w:rPr>
        <w:t>،</w:t>
      </w:r>
      <w:r>
        <w:rPr>
          <w:rFonts w:hint="cs"/>
          <w:rtl/>
          <w:lang w:bidi="ar-EG"/>
        </w:rPr>
        <w:t xml:space="preserve"> تنفيذاً للقرار رقم 49 لسنة 2002 الصادر عن مكتب المدعي العام للأمة</w:t>
      </w:r>
      <w:r w:rsidR="002E71C8" w:rsidRPr="002E71C8">
        <w:rPr>
          <w:rFonts w:hint="cs"/>
          <w:vertAlign w:val="superscript"/>
          <w:rtl/>
          <w:lang w:bidi="ar-EG"/>
        </w:rPr>
        <w:t>223</w:t>
      </w:r>
      <w:r w:rsidR="003D7EB4">
        <w:rPr>
          <w:rFonts w:hint="cs"/>
          <w:rtl/>
          <w:lang w:bidi="ar-EG"/>
        </w:rPr>
        <w:t>،</w:t>
      </w:r>
    </w:p>
    <w:p w:rsidR="00F57CF2" w:rsidRPr="00F57CF2" w:rsidRDefault="00F57CF2" w:rsidP="00F57CF2">
      <w:pPr>
        <w:pStyle w:val="SingleTxt"/>
        <w:spacing w:after="0" w:line="120" w:lineRule="exact"/>
        <w:rPr>
          <w:rFonts w:hint="cs"/>
          <w:sz w:val="10"/>
          <w:rtl/>
          <w:lang w:bidi="ar-EG"/>
        </w:rPr>
      </w:pPr>
    </w:p>
    <w:p w:rsidR="00971AE2" w:rsidRDefault="00971AE2" w:rsidP="00A343DF">
      <w:pPr>
        <w:pStyle w:val="SingleTxt"/>
        <w:rPr>
          <w:rFonts w:hint="cs"/>
          <w:rtl/>
          <w:lang w:bidi="ar-EG"/>
        </w:rPr>
      </w:pPr>
      <w:r>
        <w:rPr>
          <w:rFonts w:hint="cs"/>
          <w:rtl/>
          <w:lang w:bidi="ar-EG"/>
        </w:rPr>
        <w:t xml:space="preserve">الإحصاءات </w:t>
      </w:r>
    </w:p>
    <w:p w:rsidR="00971AE2" w:rsidRDefault="00971AE2" w:rsidP="002E71C8">
      <w:pPr>
        <w:pStyle w:val="SingleTxt"/>
        <w:rPr>
          <w:rFonts w:hint="cs"/>
          <w:rtl/>
          <w:lang w:bidi="ar-EG"/>
        </w:rPr>
      </w:pPr>
      <w:r>
        <w:rPr>
          <w:rFonts w:hint="cs"/>
          <w:rtl/>
          <w:lang w:bidi="ar-EG"/>
        </w:rPr>
        <w:tab/>
        <w:t>خلال عام 2002 أصدر الطب الشرعي 979 64 قراراً بشأن أضرار شخصية كانت سبباً في بلاغات عن عنف عائلي</w:t>
      </w:r>
      <w:r w:rsidR="003D7EB4">
        <w:rPr>
          <w:rFonts w:hint="cs"/>
          <w:rtl/>
          <w:lang w:bidi="ar-EG"/>
        </w:rPr>
        <w:t>،</w:t>
      </w:r>
      <w:r>
        <w:rPr>
          <w:rFonts w:hint="cs"/>
          <w:rtl/>
          <w:lang w:bidi="ar-EG"/>
        </w:rPr>
        <w:t xml:space="preserve"> وهذا يعني أنه صدر يومياً ما متوسطه 178 قراراً بشأن أضرار شخصية؛ يتعلق 62 في المائة منها بسوء معاملة زوجية (91 في المائة نساء، كانت نسبة ا لرجال الذين تعرضوا لعنف في الحياة الزوجية إلى النساء اللائي تعرضن له 11)، و23 في المائة لعنف بين أقارب، و16 في المائة لسوء معاملة أطفال</w:t>
      </w:r>
      <w:r w:rsidR="003D7EB4">
        <w:rPr>
          <w:rFonts w:hint="cs"/>
          <w:rtl/>
          <w:lang w:bidi="ar-EG"/>
        </w:rPr>
        <w:t>،</w:t>
      </w:r>
      <w:r>
        <w:rPr>
          <w:rFonts w:hint="cs"/>
          <w:rtl/>
          <w:lang w:bidi="ar-EG"/>
        </w:rPr>
        <w:t xml:space="preserve"> وكانت أكبر نسبة اختلاف عن الحالات التي حدثت خلال عام 2001 تتمثل في انخفاض عدد البلاغات المتعلقة بالعنف بين الأقارب بنسبة 16 في المائة</w:t>
      </w:r>
      <w:r w:rsidR="003D7EB4">
        <w:rPr>
          <w:rFonts w:hint="cs"/>
          <w:rtl/>
          <w:lang w:bidi="ar-EG"/>
        </w:rPr>
        <w:t>،</w:t>
      </w:r>
    </w:p>
    <w:p w:rsidR="00971AE2" w:rsidRDefault="00971AE2" w:rsidP="00A343DF">
      <w:pPr>
        <w:pStyle w:val="SingleTxt"/>
        <w:rPr>
          <w:rFonts w:ascii="Traditional Arabic" w:hAnsi="Traditional Arabic" w:hint="cs"/>
          <w:sz w:val="32"/>
          <w:rtl/>
          <w:lang w:bidi="ar-EG"/>
        </w:rPr>
      </w:pPr>
    </w:p>
    <w:p w:rsidR="00971AE2" w:rsidRDefault="00971AE2" w:rsidP="00A343DF">
      <w:pPr>
        <w:pStyle w:val="SingleTxt"/>
        <w:rPr>
          <w:rFonts w:hint="cs"/>
          <w:rtl/>
          <w:lang w:bidi="ar-EG"/>
        </w:rPr>
      </w:pPr>
      <w:r>
        <w:rPr>
          <w:rFonts w:hint="cs"/>
          <w:rtl/>
          <w:lang w:bidi="ar-EG"/>
        </w:rPr>
        <w:tab/>
        <w:t>وتعهدت كل مؤسسة من المؤسسات بأن تسند إلى إدارة تمثل جزءاً من لجنة فنية، مسؤولية تنسيق وإدارة تنظيم وتنفيذ وتطوير وتعديل واستدامة ردود متكاملة ومدمجة للتصدي لجرائم العنف الجنسي، وذلك بصفة مستمرة في كل الإقليم الوطني</w:t>
      </w:r>
      <w:r w:rsidR="003D7EB4">
        <w:rPr>
          <w:rFonts w:hint="cs"/>
          <w:rtl/>
          <w:lang w:bidi="ar-EG"/>
        </w:rPr>
        <w:t>،</w:t>
      </w:r>
      <w:r>
        <w:rPr>
          <w:rFonts w:hint="cs"/>
          <w:rtl/>
          <w:lang w:bidi="ar-EG"/>
        </w:rPr>
        <w:t xml:space="preserve"> وسوف تدرج الموارد المالية اللازمة لتنفيذ الاتفاق في ميزانية كل هيئة من الهيئات</w:t>
      </w:r>
      <w:r w:rsidR="003D7EB4">
        <w:rPr>
          <w:rFonts w:hint="cs"/>
          <w:rtl/>
          <w:lang w:bidi="ar-EG"/>
        </w:rPr>
        <w:t>،</w:t>
      </w:r>
      <w:r>
        <w:rPr>
          <w:rFonts w:hint="cs"/>
          <w:rtl/>
          <w:lang w:bidi="ar-EG"/>
        </w:rPr>
        <w:t xml:space="preserve"> وتعهدت كل مؤسسة بأن تدمج في خطتها السنوية صراحة الخطوط العريضة والتدابير والموارد المخصصة للرعاية المتكاملة لضحايا العنف الجنسي</w:t>
      </w:r>
      <w:r w:rsidR="003D7EB4">
        <w:rPr>
          <w:rFonts w:hint="cs"/>
          <w:rtl/>
          <w:lang w:bidi="ar-EG"/>
        </w:rPr>
        <w:t>،</w:t>
      </w:r>
    </w:p>
    <w:p w:rsidR="00971AE2" w:rsidRDefault="00971AE2" w:rsidP="002E71C8">
      <w:pPr>
        <w:pStyle w:val="SingleTxt"/>
        <w:rPr>
          <w:rFonts w:hint="cs"/>
          <w:rtl/>
          <w:lang w:bidi="ar-EG"/>
        </w:rPr>
      </w:pPr>
      <w:r>
        <w:rPr>
          <w:rFonts w:hint="cs"/>
          <w:rtl/>
          <w:lang w:bidi="ar-EG"/>
        </w:rPr>
        <w:tab/>
        <w:t>ووقع مكتب المدعي العام اتفاقاً وطنياً مع المؤسسة الكولومبية للرعاية الأسرية وإدارة الطب الشرعي والشرطة ووزارة الصحة ومكتب العمدة الرئيسي لبوغوتا، العاصمة، ومكتب المحامي العام للشعب لمضاعفة الجهود من أجل توفير الرعاية المتكاملة لضحايا العنف الجنسي</w:t>
      </w:r>
      <w:r w:rsidR="003D7EB4">
        <w:rPr>
          <w:rFonts w:hint="cs"/>
          <w:rtl/>
          <w:lang w:bidi="ar-EG"/>
        </w:rPr>
        <w:t>،</w:t>
      </w:r>
      <w:r>
        <w:rPr>
          <w:rFonts w:hint="cs"/>
          <w:rtl/>
          <w:lang w:bidi="ar-EG"/>
        </w:rPr>
        <w:t xml:space="preserve"> وتتمثل العناصر الأساسية للسياسة في التدريب</w:t>
      </w:r>
      <w:r w:rsidR="002E71C8" w:rsidRPr="002E71C8">
        <w:rPr>
          <w:rFonts w:hint="cs"/>
          <w:vertAlign w:val="superscript"/>
          <w:rtl/>
          <w:lang w:bidi="ar-EG"/>
        </w:rPr>
        <w:t>216</w:t>
      </w:r>
      <w:r>
        <w:rPr>
          <w:rFonts w:hint="cs"/>
          <w:rtl/>
          <w:lang w:bidi="ar-EG"/>
        </w:rPr>
        <w:t xml:space="preserve"> والبحث</w:t>
      </w:r>
      <w:r w:rsidR="002E71C8" w:rsidRPr="002E71C8">
        <w:rPr>
          <w:rFonts w:hint="cs"/>
          <w:vertAlign w:val="superscript"/>
          <w:rtl/>
          <w:lang w:bidi="ar-EG"/>
        </w:rPr>
        <w:t>217</w:t>
      </w:r>
      <w:r>
        <w:rPr>
          <w:rFonts w:hint="cs"/>
          <w:rtl/>
          <w:lang w:bidi="ar-EG"/>
        </w:rPr>
        <w:t xml:space="preserve"> والرعاية</w:t>
      </w:r>
      <w:r w:rsidR="002E71C8" w:rsidRPr="002E71C8">
        <w:rPr>
          <w:rFonts w:hint="cs"/>
          <w:vertAlign w:val="superscript"/>
          <w:rtl/>
          <w:lang w:bidi="ar-EG"/>
        </w:rPr>
        <w:t>218</w:t>
      </w:r>
      <w:r>
        <w:rPr>
          <w:rFonts w:hint="cs"/>
          <w:rtl/>
          <w:lang w:bidi="ar-EG"/>
        </w:rPr>
        <w:t xml:space="preserve"> والتنسيق الداخلي</w:t>
      </w:r>
      <w:r w:rsidR="002E71C8" w:rsidRPr="002E71C8">
        <w:rPr>
          <w:rFonts w:hint="cs"/>
          <w:vertAlign w:val="superscript"/>
          <w:rtl/>
          <w:lang w:bidi="ar-EG"/>
        </w:rPr>
        <w:t>219</w:t>
      </w:r>
      <w:r w:rsidR="002E71C8">
        <w:rPr>
          <w:rFonts w:hint="cs"/>
          <w:rtl/>
          <w:lang w:bidi="ar-EG"/>
        </w:rPr>
        <w:t xml:space="preserve"> </w:t>
      </w:r>
      <w:r>
        <w:rPr>
          <w:rFonts w:hint="cs"/>
          <w:rtl/>
          <w:lang w:bidi="ar-EG"/>
        </w:rPr>
        <w:t>والخارجي</w:t>
      </w:r>
      <w:r w:rsidR="002E71C8" w:rsidRPr="002E71C8">
        <w:rPr>
          <w:rFonts w:hint="cs"/>
          <w:vertAlign w:val="superscript"/>
          <w:rtl/>
          <w:lang w:bidi="ar-EG"/>
        </w:rPr>
        <w:t>220</w:t>
      </w:r>
      <w:r>
        <w:rPr>
          <w:rFonts w:hint="cs"/>
          <w:rtl/>
          <w:lang w:bidi="ar-EG"/>
        </w:rPr>
        <w:t xml:space="preserve"> والنشر والإبلاغ</w:t>
      </w:r>
      <w:r w:rsidR="002E71C8" w:rsidRPr="002E71C8">
        <w:rPr>
          <w:rFonts w:hint="cs"/>
          <w:vertAlign w:val="superscript"/>
          <w:rtl/>
          <w:lang w:bidi="ar-EG"/>
        </w:rPr>
        <w:t>221</w:t>
      </w:r>
      <w:r w:rsidR="003D7EB4">
        <w:rPr>
          <w:rFonts w:hint="cs"/>
          <w:rtl/>
          <w:lang w:bidi="ar-EG"/>
        </w:rPr>
        <w:t>،</w:t>
      </w:r>
      <w:r>
        <w:rPr>
          <w:rFonts w:hint="cs"/>
          <w:rtl/>
          <w:lang w:bidi="ar-EG"/>
        </w:rPr>
        <w:t xml:space="preserve"> </w:t>
      </w:r>
    </w:p>
    <w:p w:rsidR="00971AE2" w:rsidRDefault="00971AE2" w:rsidP="00A343DF">
      <w:pPr>
        <w:pStyle w:val="SingleTxt"/>
        <w:rPr>
          <w:rFonts w:hint="cs"/>
          <w:rtl/>
          <w:lang w:bidi="ar-EG"/>
        </w:rPr>
      </w:pPr>
      <w:r>
        <w:rPr>
          <w:rFonts w:hint="cs"/>
          <w:rtl/>
          <w:lang w:bidi="ar-EG"/>
        </w:rPr>
        <w:tab/>
        <w:t xml:space="preserve">وقد حُث على إنشاء </w:t>
      </w:r>
      <w:r>
        <w:rPr>
          <w:rFonts w:hint="cs"/>
          <w:b/>
          <w:bCs/>
          <w:rtl/>
          <w:lang w:bidi="ar-EG"/>
        </w:rPr>
        <w:t>نماذج إقليمية لرعاية ضحايا العنف الجنسي</w:t>
      </w:r>
      <w:r>
        <w:rPr>
          <w:rFonts w:hint="cs"/>
          <w:rtl/>
          <w:lang w:bidi="ar-EG"/>
        </w:rPr>
        <w:t xml:space="preserve"> وتقديم التدريب الفني بدعم من صندوق الأمم المتحدة للأنشطة السكانية إلى موظفي الفئة الفنية الملحقين بمكتب المفوضة ومكاتب المدعين في محاكم شؤون الأسرة في مجال الحقوق الجنسية والتناسلية والعنف الجنسي</w:t>
      </w:r>
      <w:r w:rsidR="003D7EB4">
        <w:rPr>
          <w:rFonts w:hint="cs"/>
          <w:rtl/>
          <w:lang w:bidi="ar-EG"/>
        </w:rPr>
        <w:t>،</w:t>
      </w:r>
      <w:r>
        <w:rPr>
          <w:rFonts w:hint="cs"/>
          <w:rtl/>
          <w:lang w:bidi="ar-EG"/>
        </w:rPr>
        <w:t xml:space="preserve"> </w:t>
      </w:r>
    </w:p>
    <w:p w:rsidR="00971AE2" w:rsidRDefault="00971AE2" w:rsidP="00F57CF2">
      <w:pPr>
        <w:pStyle w:val="SingleTxt"/>
        <w:rPr>
          <w:rFonts w:hint="cs"/>
          <w:rtl/>
          <w:lang w:bidi="ar-EG"/>
        </w:rPr>
      </w:pPr>
      <w:r>
        <w:rPr>
          <w:rFonts w:hint="cs"/>
          <w:rtl/>
          <w:lang w:bidi="ar-EG"/>
        </w:rPr>
        <w:tab/>
        <w:t>وتعمل الوحدة المتخصصة المعنية بالجرائم المرتكبة ضد الحرية والسلامة والتربية الجنسية التابعة لمكتب المدعي العام في بوغوتا وكذلك أقسامها المحلية القائمة في مختلف مناطق البلد (سنسليخو ومونتريا وسانتاندر دي هويلتشاو وهوبهيان وفليا فنسنيو وأرمينيا وبريرا) بصورة متخصصة في مجال العنف الجنسي</w:t>
      </w:r>
      <w:r w:rsidR="003D7EB4">
        <w:rPr>
          <w:rFonts w:hint="cs"/>
          <w:rtl/>
          <w:lang w:bidi="ar-EG"/>
        </w:rPr>
        <w:t>،</w:t>
      </w:r>
    </w:p>
    <w:p w:rsidR="00971AE2" w:rsidRDefault="00971AE2" w:rsidP="00A343DF">
      <w:pPr>
        <w:pStyle w:val="SingleTxt"/>
        <w:rPr>
          <w:rFonts w:hint="cs"/>
          <w:rtl/>
          <w:lang w:bidi="ar-EG"/>
        </w:rPr>
      </w:pPr>
      <w:r>
        <w:rPr>
          <w:rFonts w:hint="cs"/>
          <w:rtl/>
          <w:lang w:bidi="ar-EG"/>
        </w:rPr>
        <w:tab/>
        <w:t>كما تتبع مكتب المدعي العام لجنة فنية مركزية مؤلفة من أربعة أعضاء يسميهم المدعي العام للأمة، وهم مكلفون بوضع كل السياسة المتعلقة بالعنف الجنسي</w:t>
      </w:r>
      <w:r w:rsidR="003D7EB4">
        <w:rPr>
          <w:rFonts w:hint="cs"/>
          <w:rtl/>
          <w:lang w:bidi="ar-EG"/>
        </w:rPr>
        <w:t>،</w:t>
      </w:r>
    </w:p>
    <w:p w:rsidR="00971AE2" w:rsidRDefault="00971AE2" w:rsidP="002E71C8">
      <w:pPr>
        <w:pStyle w:val="SingleTxt"/>
        <w:rPr>
          <w:rFonts w:hint="cs"/>
          <w:rtl/>
          <w:lang w:bidi="ar-EG"/>
        </w:rPr>
      </w:pPr>
      <w:r>
        <w:rPr>
          <w:rFonts w:hint="cs"/>
          <w:rtl/>
          <w:lang w:bidi="ar-EG"/>
        </w:rPr>
        <w:tab/>
        <w:t xml:space="preserve">وقد أنشأ مكتب المدعي العام، في إطار مفهومه الجديد للرعاية، </w:t>
      </w:r>
      <w:r>
        <w:rPr>
          <w:rFonts w:hint="cs"/>
          <w:b/>
          <w:bCs/>
          <w:rtl/>
          <w:lang w:bidi="ar-EG"/>
        </w:rPr>
        <w:t>مركز الرعاية المتكاملة لضحايا الجرائم الجنسية</w:t>
      </w:r>
      <w:r>
        <w:rPr>
          <w:rFonts w:hint="cs"/>
          <w:rtl/>
          <w:lang w:bidi="ar-EG"/>
        </w:rPr>
        <w:t>، الذي يقدم خدمات إلى الأشخاص الذين تعرضوا لجرائم مرتكبة ضد الحرية الجنسية، في إطار احترام كرامة الإنسان، من خلال عمل متعدد التخصصات ومشترك بين المؤسسات من جانب اختصاصيين في مجالات مختلفة: اختصاصي نفسي من                           ومدع مفوض وطبيب شرعي ومحامي للأسرة وموجه اجتماعي</w:t>
      </w:r>
      <w:r w:rsidR="002E71C8" w:rsidRPr="002E71C8">
        <w:rPr>
          <w:rFonts w:hint="cs"/>
          <w:vertAlign w:val="superscript"/>
          <w:rtl/>
          <w:lang w:bidi="ar-EG"/>
        </w:rPr>
        <w:t>222</w:t>
      </w:r>
      <w:r w:rsidR="003D7EB4">
        <w:rPr>
          <w:rFonts w:hint="cs"/>
          <w:rtl/>
          <w:lang w:bidi="ar-EG"/>
        </w:rPr>
        <w:t>،</w:t>
      </w:r>
    </w:p>
    <w:p w:rsidR="00971AE2" w:rsidRDefault="00971AE2" w:rsidP="00A343DF">
      <w:pPr>
        <w:pStyle w:val="SingleTxt"/>
        <w:rPr>
          <w:rFonts w:hint="cs"/>
          <w:rtl/>
          <w:lang w:bidi="ar-EG"/>
        </w:rPr>
      </w:pPr>
      <w:r>
        <w:rPr>
          <w:rFonts w:hint="cs"/>
          <w:rtl/>
          <w:lang w:bidi="ar-EG"/>
        </w:rPr>
        <w:tab/>
        <w:t>وقام مكتب محامي الشعب بعمل مهم يتمثل في الإعلام والنشر وإنشاء لجان مشتركة بين المؤسسات لتقديم رعاية كافية وفعالة لضحايا الجرائم الجنسية والأشخاص الذين تعرضوا لها، بهدف ضمان ملاءمة هذه الرعاية لحماية واستعادة حقوقهم كما تقدم مشورة خاصة وتوجيه في معالجة الحالات المتعلقة بهذه الانتهاكات</w:t>
      </w:r>
      <w:r w:rsidR="003D7EB4">
        <w:rPr>
          <w:rFonts w:hint="cs"/>
          <w:rtl/>
          <w:lang w:bidi="ar-EG"/>
        </w:rPr>
        <w:t>،</w:t>
      </w:r>
      <w:r>
        <w:rPr>
          <w:rFonts w:hint="cs"/>
          <w:rtl/>
          <w:lang w:bidi="ar-EG"/>
        </w:rPr>
        <w:t xml:space="preserve"> </w:t>
      </w:r>
    </w:p>
    <w:p w:rsidR="00971AE2" w:rsidRDefault="00971AE2" w:rsidP="002E71C8">
      <w:pPr>
        <w:pStyle w:val="SingleTxt"/>
        <w:rPr>
          <w:rFonts w:hint="cs"/>
          <w:rtl/>
          <w:lang w:bidi="ar-EG"/>
        </w:rPr>
      </w:pPr>
      <w:r>
        <w:rPr>
          <w:rFonts w:hint="cs"/>
          <w:rtl/>
          <w:lang w:bidi="ar-EG"/>
        </w:rPr>
        <w:tab/>
        <w:t xml:space="preserve">كما مارس </w:t>
      </w:r>
      <w:r>
        <w:rPr>
          <w:rFonts w:hint="cs"/>
          <w:b/>
          <w:bCs/>
          <w:rtl/>
          <w:lang w:bidi="ar-EG"/>
        </w:rPr>
        <w:t>مكتب المدعية المفوضة لشؤون القصر والأسرة</w:t>
      </w:r>
      <w:r>
        <w:rPr>
          <w:rFonts w:hint="cs"/>
          <w:rtl/>
          <w:lang w:bidi="ar-EG"/>
        </w:rPr>
        <w:t xml:space="preserve"> الرقابة وأيدت الاقتراح المشترك الذي قدمت فيه كولومبيا بدعم تقني ومهني من صندوق الأمم المتحدة للأنشطة السكانية، الذي أسس نماذج للرعاية المتكاملة لضحايا الجرائم الجنسية</w:t>
      </w:r>
      <w:r w:rsidR="003D7EB4">
        <w:rPr>
          <w:rFonts w:hint="cs"/>
          <w:rtl/>
          <w:lang w:bidi="ar-EG"/>
        </w:rPr>
        <w:t>،</w:t>
      </w:r>
      <w:r>
        <w:rPr>
          <w:rFonts w:hint="cs"/>
          <w:rtl/>
          <w:lang w:bidi="ar-EG"/>
        </w:rPr>
        <w:t xml:space="preserve"> وقد نفذ هذا العمل عن طريق ممثلي الإدعاء في محاكم الشؤون الأسرية</w:t>
      </w:r>
      <w:r w:rsidR="003D7EB4">
        <w:rPr>
          <w:rFonts w:hint="cs"/>
          <w:rtl/>
          <w:lang w:bidi="ar-EG"/>
        </w:rPr>
        <w:t>،</w:t>
      </w:r>
      <w:r>
        <w:rPr>
          <w:rFonts w:hint="cs"/>
          <w:rtl/>
          <w:lang w:bidi="ar-EG"/>
        </w:rPr>
        <w:t xml:space="preserve"> تنفيذاً للقرار رقم 49 لسنة 2002 الصادر عن مكتب المدعي العام للأمة</w:t>
      </w:r>
      <w:r w:rsidR="002E71C8" w:rsidRPr="002E71C8">
        <w:rPr>
          <w:rFonts w:hint="cs"/>
          <w:vertAlign w:val="superscript"/>
          <w:rtl/>
          <w:lang w:bidi="ar-EG"/>
        </w:rPr>
        <w:t>223</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 xml:space="preserve">الإحصاءات </w:t>
      </w:r>
    </w:p>
    <w:p w:rsidR="00971AE2" w:rsidRDefault="00971AE2" w:rsidP="00002752">
      <w:pPr>
        <w:pStyle w:val="SingleTxt"/>
        <w:rPr>
          <w:rFonts w:hint="cs"/>
          <w:rtl/>
          <w:lang w:bidi="ar-EG"/>
        </w:rPr>
      </w:pPr>
      <w:r>
        <w:rPr>
          <w:rFonts w:hint="cs"/>
          <w:rtl/>
          <w:lang w:bidi="ar-EG"/>
        </w:rPr>
        <w:tab/>
        <w:t>خلال عام 2002 أصدر الطب الشرعي 979 64 قراراً بشأن أضرار شخصية كانت سبباً في بلاغات عن عنف عائلي</w:t>
      </w:r>
      <w:r w:rsidR="003D7EB4">
        <w:rPr>
          <w:rFonts w:hint="cs"/>
          <w:rtl/>
          <w:lang w:bidi="ar-EG"/>
        </w:rPr>
        <w:t>،</w:t>
      </w:r>
      <w:r>
        <w:rPr>
          <w:rFonts w:hint="cs"/>
          <w:rtl/>
          <w:lang w:bidi="ar-EG"/>
        </w:rPr>
        <w:t xml:space="preserve"> وهذا يعني أنه صدر يومياً ما متوسطه 178 قراراً بشأن أضرار شخصية؛ يتعلق 62 في المائة منها بسوء معاملة زوجية (91 في المائة نساء، كانت نسبة ا لرجال الذين تعرضوا لعنف في الحياة الزوجية إلى النساء اللائي تعرضن له 11)، و23 في المائة لعنف بين أقارب، و16 في المائة لسوء معاملة أطفال</w:t>
      </w:r>
      <w:r w:rsidR="003D7EB4">
        <w:rPr>
          <w:rFonts w:hint="cs"/>
          <w:rtl/>
          <w:lang w:bidi="ar-EG"/>
        </w:rPr>
        <w:t>،</w:t>
      </w:r>
      <w:r>
        <w:rPr>
          <w:rFonts w:hint="cs"/>
          <w:rtl/>
          <w:lang w:bidi="ar-EG"/>
        </w:rPr>
        <w:t xml:space="preserve"> وكانت أكبر نسبة اختلاف عن الحالات التي حدثت خلال عام 2001 تتمثل في انخفاض عدد البلاغات المتعلقة بالعنف بين الأقارب بنسبة 16 في المائة</w:t>
      </w:r>
      <w:r w:rsidR="003D7EB4">
        <w:rPr>
          <w:rFonts w:hint="cs"/>
          <w:rtl/>
          <w:lang w:bidi="ar-EG"/>
        </w:rPr>
        <w:t>،</w:t>
      </w:r>
    </w:p>
    <w:p w:rsidR="00002752" w:rsidRPr="00002752" w:rsidRDefault="00002752" w:rsidP="00002752">
      <w:pPr>
        <w:pStyle w:val="SingleTxt"/>
        <w:spacing w:after="0" w:line="120" w:lineRule="exact"/>
        <w:rPr>
          <w:rFonts w:hint="cs"/>
          <w:sz w:val="10"/>
          <w:rtl/>
          <w:lang w:bidi="ar-EG"/>
        </w:rPr>
      </w:pPr>
    </w:p>
    <w:p w:rsidR="00971AE2" w:rsidRPr="002E71C8" w:rsidRDefault="004404A1" w:rsidP="002E71C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rtl/>
          <w:lang w:bidi="ar-EG"/>
        </w:rPr>
      </w:pPr>
      <w:r>
        <w:rPr>
          <w:rFonts w:hint="cs"/>
          <w:rtl/>
          <w:lang w:bidi="ar-EG"/>
        </w:rPr>
        <w:tab/>
      </w:r>
      <w:r w:rsidR="00403F32">
        <w:rPr>
          <w:rFonts w:hint="cs"/>
          <w:rtl/>
          <w:lang w:bidi="ar-EG"/>
        </w:rPr>
        <w:tab/>
        <w:t>ا</w:t>
      </w:r>
      <w:r w:rsidR="00971AE2">
        <w:rPr>
          <w:rFonts w:hint="cs"/>
          <w:rtl/>
          <w:lang w:bidi="ar-EG"/>
        </w:rPr>
        <w:t>لعنف العائلي في كولومبيا لسنة 2002</w:t>
      </w:r>
      <w:r w:rsidR="002E71C8">
        <w:rPr>
          <w:rFonts w:hint="cs"/>
          <w:b w:val="0"/>
          <w:bCs w:val="0"/>
          <w:rtl/>
          <w:lang w:bidi="ar-EG"/>
        </w:rPr>
        <w:t xml:space="preserve"> </w:t>
      </w:r>
      <w:r w:rsidR="002E71C8" w:rsidRPr="002E71C8">
        <w:rPr>
          <w:rFonts w:hint="cs"/>
          <w:b w:val="0"/>
          <w:bCs w:val="0"/>
          <w:vertAlign w:val="superscript"/>
          <w:rtl/>
          <w:lang w:bidi="ar-EG"/>
        </w:rPr>
        <w:t>224</w:t>
      </w:r>
    </w:p>
    <w:p w:rsidR="00002752" w:rsidRPr="00002752" w:rsidRDefault="00002752" w:rsidP="00002752">
      <w:pPr>
        <w:pStyle w:val="SingleTxt"/>
        <w:spacing w:after="0" w:line="120" w:lineRule="exact"/>
        <w:rPr>
          <w:rFonts w:hint="cs"/>
          <w:b/>
          <w:bCs/>
          <w:spacing w:val="2"/>
          <w:sz w:val="10"/>
          <w:rtl/>
        </w:rPr>
      </w:pPr>
    </w:p>
    <w:tbl>
      <w:tblPr>
        <w:tblW w:w="0" w:type="auto"/>
        <w:tblInd w:w="2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2"/>
        <w:gridCol w:w="1030"/>
        <w:gridCol w:w="1236"/>
        <w:gridCol w:w="1030"/>
        <w:gridCol w:w="1236"/>
      </w:tblGrid>
      <w:tr w:rsidR="007A1F6F">
        <w:tblPrEx>
          <w:tblCellMar>
            <w:top w:w="0" w:type="dxa"/>
            <w:bottom w:w="0" w:type="dxa"/>
          </w:tblCellMar>
        </w:tblPrEx>
        <w:tc>
          <w:tcPr>
            <w:tcW w:w="1442" w:type="dxa"/>
            <w:shd w:val="clear" w:color="auto" w:fill="FFFFFF"/>
          </w:tcPr>
          <w:p w:rsidR="007A1F6F" w:rsidRDefault="007A1F6F" w:rsidP="003D1D50">
            <w:pPr>
              <w:rPr>
                <w:rFonts w:hint="cs"/>
                <w:b/>
                <w:sz w:val="24"/>
                <w:szCs w:val="24"/>
              </w:rPr>
            </w:pPr>
            <w:r>
              <w:rPr>
                <w:rFonts w:hint="cs"/>
                <w:b/>
                <w:sz w:val="24"/>
                <w:szCs w:val="24"/>
                <w:rtl/>
              </w:rPr>
              <w:t>النسبة المئوية للتغير</w:t>
            </w:r>
          </w:p>
        </w:tc>
        <w:tc>
          <w:tcPr>
            <w:tcW w:w="1030" w:type="dxa"/>
            <w:shd w:val="clear" w:color="auto" w:fill="FFFFFF"/>
          </w:tcPr>
          <w:p w:rsidR="007A1F6F" w:rsidRDefault="007A1F6F" w:rsidP="003D1D50">
            <w:pPr>
              <w:rPr>
                <w:rFonts w:hint="cs"/>
                <w:b/>
                <w:sz w:val="24"/>
                <w:szCs w:val="24"/>
              </w:rPr>
            </w:pPr>
            <w:r>
              <w:rPr>
                <w:rFonts w:hint="cs"/>
                <w:b/>
                <w:sz w:val="24"/>
                <w:szCs w:val="24"/>
                <w:rtl/>
              </w:rPr>
              <w:t>الفرق</w:t>
            </w:r>
          </w:p>
        </w:tc>
        <w:tc>
          <w:tcPr>
            <w:tcW w:w="1236" w:type="dxa"/>
            <w:shd w:val="clear" w:color="auto" w:fill="FFFFFF"/>
          </w:tcPr>
          <w:p w:rsidR="007A1F6F" w:rsidRDefault="007A1F6F" w:rsidP="003D1D50">
            <w:pPr>
              <w:rPr>
                <w:b/>
                <w:sz w:val="24"/>
                <w:szCs w:val="24"/>
              </w:rPr>
            </w:pPr>
            <w:r>
              <w:rPr>
                <w:b/>
                <w:sz w:val="24"/>
                <w:szCs w:val="24"/>
                <w:rtl/>
              </w:rPr>
              <w:t>2002</w:t>
            </w:r>
          </w:p>
        </w:tc>
        <w:tc>
          <w:tcPr>
            <w:tcW w:w="1030" w:type="dxa"/>
            <w:shd w:val="clear" w:color="auto" w:fill="FFFFFF"/>
          </w:tcPr>
          <w:p w:rsidR="007A1F6F" w:rsidRDefault="007A1F6F" w:rsidP="003D1D50">
            <w:pPr>
              <w:rPr>
                <w:b/>
                <w:sz w:val="24"/>
                <w:szCs w:val="24"/>
              </w:rPr>
            </w:pPr>
            <w:r>
              <w:rPr>
                <w:b/>
                <w:sz w:val="24"/>
                <w:szCs w:val="24"/>
                <w:rtl/>
              </w:rPr>
              <w:t>2001</w:t>
            </w:r>
          </w:p>
        </w:tc>
        <w:tc>
          <w:tcPr>
            <w:tcW w:w="1236" w:type="dxa"/>
            <w:shd w:val="clear" w:color="auto" w:fill="FFFFFF"/>
          </w:tcPr>
          <w:p w:rsidR="007A1F6F" w:rsidRDefault="007A1F6F" w:rsidP="003D1D50">
            <w:pPr>
              <w:rPr>
                <w:rFonts w:hint="cs"/>
                <w:b/>
                <w:sz w:val="24"/>
                <w:szCs w:val="24"/>
                <w:rtl/>
              </w:rPr>
            </w:pPr>
            <w:r>
              <w:rPr>
                <w:rFonts w:hint="cs"/>
                <w:b/>
                <w:sz w:val="24"/>
                <w:szCs w:val="24"/>
                <w:rtl/>
              </w:rPr>
              <w:t>نوع الصنف</w:t>
            </w:r>
          </w:p>
        </w:tc>
      </w:tr>
      <w:tr w:rsidR="007A1F6F">
        <w:tblPrEx>
          <w:tblCellMar>
            <w:top w:w="0" w:type="dxa"/>
            <w:bottom w:w="0" w:type="dxa"/>
          </w:tblCellMar>
        </w:tblPrEx>
        <w:tc>
          <w:tcPr>
            <w:tcW w:w="1442" w:type="dxa"/>
          </w:tcPr>
          <w:p w:rsidR="007A1F6F" w:rsidRDefault="007A1F6F" w:rsidP="003D1D50">
            <w:pPr>
              <w:rPr>
                <w:sz w:val="24"/>
                <w:szCs w:val="24"/>
              </w:rPr>
            </w:pPr>
            <w:r>
              <w:rPr>
                <w:sz w:val="24"/>
                <w:szCs w:val="24"/>
              </w:rPr>
              <w:t>-</w:t>
            </w:r>
            <w:r>
              <w:rPr>
                <w:sz w:val="24"/>
                <w:szCs w:val="24"/>
                <w:rtl/>
              </w:rPr>
              <w:t>3</w:t>
            </w:r>
            <w:r w:rsidR="003D7EB4">
              <w:rPr>
                <w:sz w:val="24"/>
                <w:szCs w:val="24"/>
                <w:rtl/>
              </w:rPr>
              <w:t>،</w:t>
            </w:r>
            <w:r>
              <w:rPr>
                <w:sz w:val="24"/>
                <w:szCs w:val="24"/>
                <w:rtl/>
              </w:rPr>
              <w:t>2</w:t>
            </w:r>
          </w:p>
        </w:tc>
        <w:tc>
          <w:tcPr>
            <w:tcW w:w="1030" w:type="dxa"/>
          </w:tcPr>
          <w:p w:rsidR="007A1F6F" w:rsidRDefault="007A1F6F" w:rsidP="003D1D50">
            <w:pPr>
              <w:rPr>
                <w:sz w:val="24"/>
                <w:szCs w:val="24"/>
              </w:rPr>
            </w:pPr>
            <w:r>
              <w:rPr>
                <w:sz w:val="24"/>
                <w:szCs w:val="24"/>
              </w:rPr>
              <w:t>-</w:t>
            </w:r>
            <w:r>
              <w:rPr>
                <w:sz w:val="24"/>
                <w:szCs w:val="24"/>
                <w:rtl/>
              </w:rPr>
              <w:t>1</w:t>
            </w:r>
            <w:r w:rsidR="003D7EB4">
              <w:rPr>
                <w:sz w:val="24"/>
                <w:szCs w:val="24"/>
                <w:rtl/>
              </w:rPr>
              <w:t>،</w:t>
            </w:r>
            <w:r>
              <w:rPr>
                <w:sz w:val="24"/>
                <w:szCs w:val="24"/>
                <w:rtl/>
              </w:rPr>
              <w:t>307</w:t>
            </w:r>
          </w:p>
        </w:tc>
        <w:tc>
          <w:tcPr>
            <w:tcW w:w="1236" w:type="dxa"/>
          </w:tcPr>
          <w:p w:rsidR="007A1F6F" w:rsidRDefault="007A1F6F" w:rsidP="003D1D50">
            <w:pPr>
              <w:rPr>
                <w:sz w:val="24"/>
                <w:szCs w:val="24"/>
              </w:rPr>
            </w:pPr>
            <w:r>
              <w:rPr>
                <w:sz w:val="24"/>
                <w:szCs w:val="24"/>
                <w:rtl/>
              </w:rPr>
              <w:t>40</w:t>
            </w:r>
            <w:r w:rsidR="003D7EB4">
              <w:rPr>
                <w:sz w:val="24"/>
                <w:szCs w:val="24"/>
                <w:rtl/>
              </w:rPr>
              <w:t>،</w:t>
            </w:r>
            <w:r>
              <w:rPr>
                <w:sz w:val="24"/>
                <w:szCs w:val="24"/>
                <w:rtl/>
              </w:rPr>
              <w:t>013</w:t>
            </w:r>
          </w:p>
        </w:tc>
        <w:tc>
          <w:tcPr>
            <w:tcW w:w="1030" w:type="dxa"/>
          </w:tcPr>
          <w:p w:rsidR="007A1F6F" w:rsidRDefault="007A1F6F" w:rsidP="003D1D50">
            <w:pPr>
              <w:rPr>
                <w:sz w:val="24"/>
                <w:szCs w:val="24"/>
              </w:rPr>
            </w:pPr>
            <w:r>
              <w:rPr>
                <w:sz w:val="24"/>
                <w:szCs w:val="24"/>
                <w:rtl/>
              </w:rPr>
              <w:t>41</w:t>
            </w:r>
            <w:r w:rsidR="003D7EB4">
              <w:rPr>
                <w:sz w:val="24"/>
                <w:szCs w:val="24"/>
                <w:rtl/>
              </w:rPr>
              <w:t>،</w:t>
            </w:r>
            <w:r>
              <w:rPr>
                <w:sz w:val="24"/>
                <w:szCs w:val="24"/>
                <w:rtl/>
              </w:rPr>
              <w:t>320</w:t>
            </w:r>
          </w:p>
        </w:tc>
        <w:tc>
          <w:tcPr>
            <w:tcW w:w="1236" w:type="dxa"/>
          </w:tcPr>
          <w:p w:rsidR="007A1F6F" w:rsidRDefault="007A1F6F" w:rsidP="003D1D50">
            <w:pPr>
              <w:rPr>
                <w:rFonts w:hint="cs"/>
                <w:sz w:val="24"/>
                <w:szCs w:val="24"/>
                <w:rtl/>
              </w:rPr>
            </w:pPr>
            <w:r>
              <w:rPr>
                <w:rFonts w:hint="cs"/>
                <w:sz w:val="24"/>
                <w:szCs w:val="24"/>
                <w:rtl/>
              </w:rPr>
              <w:t>بين الزوجين</w:t>
            </w:r>
          </w:p>
        </w:tc>
      </w:tr>
      <w:tr w:rsidR="007A1F6F">
        <w:tblPrEx>
          <w:tblCellMar>
            <w:top w:w="0" w:type="dxa"/>
            <w:bottom w:w="0" w:type="dxa"/>
          </w:tblCellMar>
        </w:tblPrEx>
        <w:tc>
          <w:tcPr>
            <w:tcW w:w="1442" w:type="dxa"/>
          </w:tcPr>
          <w:p w:rsidR="007A1F6F" w:rsidRDefault="007A1F6F" w:rsidP="003D1D50">
            <w:pPr>
              <w:rPr>
                <w:sz w:val="24"/>
                <w:szCs w:val="24"/>
              </w:rPr>
            </w:pPr>
            <w:r>
              <w:rPr>
                <w:sz w:val="24"/>
                <w:szCs w:val="24"/>
              </w:rPr>
              <w:t>-</w:t>
            </w:r>
            <w:r>
              <w:rPr>
                <w:sz w:val="24"/>
                <w:szCs w:val="24"/>
                <w:rtl/>
              </w:rPr>
              <w:t>16</w:t>
            </w:r>
            <w:r w:rsidR="003D7EB4">
              <w:rPr>
                <w:sz w:val="24"/>
                <w:szCs w:val="24"/>
                <w:rtl/>
              </w:rPr>
              <w:t>،</w:t>
            </w:r>
            <w:r>
              <w:rPr>
                <w:sz w:val="24"/>
                <w:szCs w:val="24"/>
                <w:rtl/>
              </w:rPr>
              <w:t>1</w:t>
            </w:r>
          </w:p>
        </w:tc>
        <w:tc>
          <w:tcPr>
            <w:tcW w:w="1030" w:type="dxa"/>
          </w:tcPr>
          <w:p w:rsidR="007A1F6F" w:rsidRDefault="007A1F6F" w:rsidP="003D1D50">
            <w:pPr>
              <w:rPr>
                <w:sz w:val="24"/>
                <w:szCs w:val="24"/>
              </w:rPr>
            </w:pPr>
            <w:r>
              <w:rPr>
                <w:sz w:val="24"/>
                <w:szCs w:val="24"/>
              </w:rPr>
              <w:t>-</w:t>
            </w:r>
            <w:r>
              <w:rPr>
                <w:sz w:val="24"/>
                <w:szCs w:val="24"/>
                <w:rtl/>
              </w:rPr>
              <w:t>2</w:t>
            </w:r>
            <w:r w:rsidR="003D7EB4">
              <w:rPr>
                <w:sz w:val="24"/>
                <w:szCs w:val="24"/>
                <w:rtl/>
              </w:rPr>
              <w:t>،</w:t>
            </w:r>
            <w:r>
              <w:rPr>
                <w:sz w:val="24"/>
                <w:szCs w:val="24"/>
                <w:rtl/>
              </w:rPr>
              <w:t>811</w:t>
            </w:r>
          </w:p>
        </w:tc>
        <w:tc>
          <w:tcPr>
            <w:tcW w:w="1236" w:type="dxa"/>
          </w:tcPr>
          <w:p w:rsidR="007A1F6F" w:rsidRDefault="007A1F6F" w:rsidP="003D1D50">
            <w:pPr>
              <w:rPr>
                <w:sz w:val="24"/>
                <w:szCs w:val="24"/>
              </w:rPr>
            </w:pPr>
            <w:r>
              <w:rPr>
                <w:sz w:val="24"/>
                <w:szCs w:val="24"/>
                <w:rtl/>
              </w:rPr>
              <w:t>14</w:t>
            </w:r>
            <w:r w:rsidR="003D7EB4">
              <w:rPr>
                <w:sz w:val="24"/>
                <w:szCs w:val="24"/>
                <w:rtl/>
              </w:rPr>
              <w:t>،</w:t>
            </w:r>
            <w:r>
              <w:rPr>
                <w:sz w:val="24"/>
                <w:szCs w:val="24"/>
                <w:rtl/>
              </w:rPr>
              <w:t>629</w:t>
            </w:r>
          </w:p>
        </w:tc>
        <w:tc>
          <w:tcPr>
            <w:tcW w:w="1030" w:type="dxa"/>
          </w:tcPr>
          <w:p w:rsidR="007A1F6F" w:rsidRDefault="007A1F6F" w:rsidP="003D1D50">
            <w:pPr>
              <w:rPr>
                <w:rFonts w:hint="cs"/>
                <w:sz w:val="24"/>
                <w:szCs w:val="24"/>
              </w:rPr>
            </w:pPr>
            <w:r>
              <w:rPr>
                <w:sz w:val="24"/>
                <w:szCs w:val="24"/>
                <w:rtl/>
              </w:rPr>
              <w:t>17</w:t>
            </w:r>
            <w:r w:rsidR="003D7EB4">
              <w:rPr>
                <w:sz w:val="24"/>
                <w:szCs w:val="24"/>
                <w:rtl/>
              </w:rPr>
              <w:t>،</w:t>
            </w:r>
            <w:r>
              <w:rPr>
                <w:sz w:val="24"/>
                <w:szCs w:val="24"/>
                <w:rtl/>
              </w:rPr>
              <w:t>440</w:t>
            </w:r>
          </w:p>
        </w:tc>
        <w:tc>
          <w:tcPr>
            <w:tcW w:w="1236" w:type="dxa"/>
          </w:tcPr>
          <w:p w:rsidR="007A1F6F" w:rsidRDefault="007A1F6F" w:rsidP="003D1D50">
            <w:pPr>
              <w:rPr>
                <w:rFonts w:hint="cs"/>
                <w:sz w:val="24"/>
                <w:szCs w:val="24"/>
                <w:rtl/>
              </w:rPr>
            </w:pPr>
            <w:r>
              <w:rPr>
                <w:rFonts w:hint="cs"/>
                <w:sz w:val="24"/>
                <w:szCs w:val="24"/>
                <w:rtl/>
              </w:rPr>
              <w:t>بين الأقارب</w:t>
            </w:r>
          </w:p>
        </w:tc>
      </w:tr>
      <w:tr w:rsidR="007A1F6F">
        <w:tblPrEx>
          <w:tblCellMar>
            <w:top w:w="0" w:type="dxa"/>
            <w:bottom w:w="0" w:type="dxa"/>
          </w:tblCellMar>
        </w:tblPrEx>
        <w:tc>
          <w:tcPr>
            <w:tcW w:w="1442" w:type="dxa"/>
          </w:tcPr>
          <w:p w:rsidR="007A1F6F" w:rsidRDefault="007A1F6F" w:rsidP="003D1D50">
            <w:pPr>
              <w:rPr>
                <w:sz w:val="24"/>
                <w:szCs w:val="24"/>
              </w:rPr>
            </w:pPr>
            <w:r>
              <w:rPr>
                <w:sz w:val="24"/>
                <w:szCs w:val="24"/>
              </w:rPr>
              <w:t>-</w:t>
            </w:r>
            <w:r>
              <w:rPr>
                <w:sz w:val="24"/>
                <w:szCs w:val="24"/>
                <w:rtl/>
              </w:rPr>
              <w:t>5</w:t>
            </w:r>
            <w:r w:rsidR="003D7EB4">
              <w:rPr>
                <w:sz w:val="24"/>
                <w:szCs w:val="24"/>
                <w:rtl/>
              </w:rPr>
              <w:t>،</w:t>
            </w:r>
            <w:r>
              <w:rPr>
                <w:sz w:val="24"/>
                <w:szCs w:val="24"/>
                <w:rtl/>
              </w:rPr>
              <w:t>3</w:t>
            </w:r>
          </w:p>
        </w:tc>
        <w:tc>
          <w:tcPr>
            <w:tcW w:w="1030" w:type="dxa"/>
          </w:tcPr>
          <w:p w:rsidR="007A1F6F" w:rsidRDefault="007A1F6F" w:rsidP="003D1D50">
            <w:pPr>
              <w:rPr>
                <w:sz w:val="24"/>
                <w:szCs w:val="24"/>
              </w:rPr>
            </w:pPr>
            <w:r>
              <w:rPr>
                <w:sz w:val="24"/>
                <w:szCs w:val="24"/>
              </w:rPr>
              <w:t>-</w:t>
            </w:r>
            <w:r>
              <w:rPr>
                <w:sz w:val="24"/>
                <w:szCs w:val="24"/>
                <w:rtl/>
              </w:rPr>
              <w:t>584</w:t>
            </w:r>
          </w:p>
        </w:tc>
        <w:tc>
          <w:tcPr>
            <w:tcW w:w="1236" w:type="dxa"/>
          </w:tcPr>
          <w:p w:rsidR="007A1F6F" w:rsidRDefault="007A1F6F" w:rsidP="003D1D50">
            <w:pPr>
              <w:rPr>
                <w:sz w:val="24"/>
                <w:szCs w:val="24"/>
              </w:rPr>
            </w:pPr>
            <w:r>
              <w:rPr>
                <w:sz w:val="24"/>
                <w:szCs w:val="24"/>
                <w:rtl/>
              </w:rPr>
              <w:t>10</w:t>
            </w:r>
            <w:r w:rsidR="003D7EB4">
              <w:rPr>
                <w:sz w:val="24"/>
                <w:szCs w:val="24"/>
                <w:rtl/>
              </w:rPr>
              <w:t>،</w:t>
            </w:r>
            <w:r>
              <w:rPr>
                <w:sz w:val="24"/>
                <w:szCs w:val="24"/>
                <w:rtl/>
              </w:rPr>
              <w:t>337</w:t>
            </w:r>
          </w:p>
        </w:tc>
        <w:tc>
          <w:tcPr>
            <w:tcW w:w="1030" w:type="dxa"/>
          </w:tcPr>
          <w:p w:rsidR="007A1F6F" w:rsidRDefault="007A1F6F" w:rsidP="003D1D50">
            <w:pPr>
              <w:rPr>
                <w:sz w:val="24"/>
                <w:szCs w:val="24"/>
              </w:rPr>
            </w:pPr>
            <w:r>
              <w:rPr>
                <w:sz w:val="24"/>
                <w:szCs w:val="24"/>
                <w:rtl/>
              </w:rPr>
              <w:t>10</w:t>
            </w:r>
            <w:r w:rsidR="003D7EB4">
              <w:rPr>
                <w:sz w:val="24"/>
                <w:szCs w:val="24"/>
                <w:rtl/>
              </w:rPr>
              <w:t>،</w:t>
            </w:r>
            <w:r>
              <w:rPr>
                <w:sz w:val="24"/>
                <w:szCs w:val="24"/>
                <w:rtl/>
              </w:rPr>
              <w:t>921</w:t>
            </w:r>
          </w:p>
        </w:tc>
        <w:tc>
          <w:tcPr>
            <w:tcW w:w="1236" w:type="dxa"/>
          </w:tcPr>
          <w:p w:rsidR="007A1F6F" w:rsidRDefault="007A1F6F" w:rsidP="003D1D50">
            <w:pPr>
              <w:rPr>
                <w:rFonts w:hint="cs"/>
                <w:sz w:val="24"/>
                <w:szCs w:val="24"/>
              </w:rPr>
            </w:pPr>
            <w:r>
              <w:rPr>
                <w:rFonts w:hint="cs"/>
                <w:sz w:val="24"/>
                <w:szCs w:val="24"/>
                <w:rtl/>
              </w:rPr>
              <w:t>ضد الأطفال</w:t>
            </w:r>
          </w:p>
        </w:tc>
      </w:tr>
      <w:tr w:rsidR="007A1F6F">
        <w:tblPrEx>
          <w:tblCellMar>
            <w:top w:w="0" w:type="dxa"/>
            <w:bottom w:w="0" w:type="dxa"/>
          </w:tblCellMar>
        </w:tblPrEx>
        <w:tc>
          <w:tcPr>
            <w:tcW w:w="1442" w:type="dxa"/>
          </w:tcPr>
          <w:p w:rsidR="007A1F6F" w:rsidRDefault="007A1F6F" w:rsidP="003D1D50">
            <w:pPr>
              <w:rPr>
                <w:sz w:val="24"/>
                <w:szCs w:val="24"/>
              </w:rPr>
            </w:pPr>
            <w:r>
              <w:rPr>
                <w:sz w:val="24"/>
                <w:szCs w:val="24"/>
              </w:rPr>
              <w:t xml:space="preserve">- </w:t>
            </w:r>
            <w:r>
              <w:rPr>
                <w:sz w:val="24"/>
                <w:szCs w:val="24"/>
                <w:rtl/>
              </w:rPr>
              <w:t>6</w:t>
            </w:r>
            <w:r w:rsidR="003D7EB4">
              <w:rPr>
                <w:sz w:val="24"/>
                <w:szCs w:val="24"/>
                <w:rtl/>
              </w:rPr>
              <w:t>،</w:t>
            </w:r>
            <w:r>
              <w:rPr>
                <w:sz w:val="24"/>
                <w:szCs w:val="24"/>
                <w:rtl/>
              </w:rPr>
              <w:t>7</w:t>
            </w:r>
          </w:p>
        </w:tc>
        <w:tc>
          <w:tcPr>
            <w:tcW w:w="1030" w:type="dxa"/>
          </w:tcPr>
          <w:p w:rsidR="007A1F6F" w:rsidRDefault="007A1F6F" w:rsidP="003D1D50">
            <w:pPr>
              <w:rPr>
                <w:sz w:val="24"/>
                <w:szCs w:val="24"/>
              </w:rPr>
            </w:pPr>
            <w:r>
              <w:rPr>
                <w:sz w:val="24"/>
                <w:szCs w:val="24"/>
              </w:rPr>
              <w:t>-</w:t>
            </w:r>
            <w:r>
              <w:rPr>
                <w:sz w:val="24"/>
                <w:szCs w:val="24"/>
                <w:rtl/>
              </w:rPr>
              <w:t>4</w:t>
            </w:r>
            <w:r w:rsidR="003D7EB4">
              <w:rPr>
                <w:sz w:val="24"/>
                <w:szCs w:val="24"/>
                <w:rtl/>
              </w:rPr>
              <w:t>،</w:t>
            </w:r>
            <w:r>
              <w:rPr>
                <w:sz w:val="24"/>
                <w:szCs w:val="24"/>
                <w:rtl/>
              </w:rPr>
              <w:t>702</w:t>
            </w:r>
          </w:p>
        </w:tc>
        <w:tc>
          <w:tcPr>
            <w:tcW w:w="1236" w:type="dxa"/>
          </w:tcPr>
          <w:p w:rsidR="007A1F6F" w:rsidRDefault="007A1F6F" w:rsidP="003D1D50">
            <w:pPr>
              <w:rPr>
                <w:sz w:val="24"/>
                <w:szCs w:val="24"/>
              </w:rPr>
            </w:pPr>
            <w:r>
              <w:rPr>
                <w:sz w:val="24"/>
                <w:szCs w:val="24"/>
                <w:rtl/>
              </w:rPr>
              <w:t>64</w:t>
            </w:r>
            <w:r w:rsidR="003D7EB4">
              <w:rPr>
                <w:sz w:val="24"/>
                <w:szCs w:val="24"/>
                <w:rtl/>
              </w:rPr>
              <w:t>،</w:t>
            </w:r>
            <w:r>
              <w:rPr>
                <w:sz w:val="24"/>
                <w:szCs w:val="24"/>
                <w:rtl/>
              </w:rPr>
              <w:t>979</w:t>
            </w:r>
          </w:p>
        </w:tc>
        <w:tc>
          <w:tcPr>
            <w:tcW w:w="1030" w:type="dxa"/>
          </w:tcPr>
          <w:p w:rsidR="007A1F6F" w:rsidRDefault="007A1F6F" w:rsidP="003D1D50">
            <w:pPr>
              <w:rPr>
                <w:sz w:val="24"/>
                <w:szCs w:val="24"/>
              </w:rPr>
            </w:pPr>
            <w:r>
              <w:rPr>
                <w:sz w:val="24"/>
                <w:szCs w:val="24"/>
                <w:rtl/>
              </w:rPr>
              <w:t>69</w:t>
            </w:r>
            <w:r w:rsidR="003D7EB4">
              <w:rPr>
                <w:sz w:val="24"/>
                <w:szCs w:val="24"/>
                <w:rtl/>
              </w:rPr>
              <w:t>،</w:t>
            </w:r>
            <w:r>
              <w:rPr>
                <w:sz w:val="24"/>
                <w:szCs w:val="24"/>
                <w:rtl/>
              </w:rPr>
              <w:t>681</w:t>
            </w:r>
          </w:p>
        </w:tc>
        <w:tc>
          <w:tcPr>
            <w:tcW w:w="1236" w:type="dxa"/>
          </w:tcPr>
          <w:p w:rsidR="007A1F6F" w:rsidRDefault="007A1F6F" w:rsidP="003D1D50">
            <w:pPr>
              <w:rPr>
                <w:rFonts w:hint="cs"/>
                <w:sz w:val="24"/>
                <w:szCs w:val="24"/>
                <w:rtl/>
              </w:rPr>
            </w:pPr>
            <w:r>
              <w:rPr>
                <w:rFonts w:hint="cs"/>
                <w:sz w:val="24"/>
                <w:szCs w:val="24"/>
                <w:rtl/>
              </w:rPr>
              <w:t>المجموع</w:t>
            </w:r>
          </w:p>
        </w:tc>
      </w:tr>
    </w:tbl>
    <w:p w:rsidR="005D162E" w:rsidRPr="005D162E" w:rsidRDefault="005D162E" w:rsidP="005D162E">
      <w:pPr>
        <w:pStyle w:val="SingleTxt"/>
        <w:spacing w:after="0" w:line="120" w:lineRule="exact"/>
        <w:rPr>
          <w:rFonts w:hint="cs"/>
          <w:sz w:val="10"/>
          <w:rtl/>
        </w:rPr>
      </w:pPr>
    </w:p>
    <w:p w:rsidR="00971AE2" w:rsidRDefault="00971AE2" w:rsidP="002E71C8">
      <w:pPr>
        <w:pStyle w:val="SingleTxt"/>
        <w:rPr>
          <w:rFonts w:hint="cs"/>
          <w:rtl/>
          <w:lang w:bidi="ar-EG"/>
        </w:rPr>
      </w:pPr>
      <w:r>
        <w:rPr>
          <w:rFonts w:hint="cs"/>
          <w:rtl/>
          <w:lang w:bidi="ar-EG"/>
        </w:rPr>
        <w:tab/>
        <w:t>وفيما يتعلق بسنة 2001 انخفض العنف العائلي بنسبة تبلغ نحو 7 في المائة (681 69 حالة في سنة 2001 و979 64 حالة في سنة 2002</w:t>
      </w:r>
      <w:r w:rsidR="002E71C8">
        <w:rPr>
          <w:rFonts w:hint="cs"/>
          <w:rtl/>
          <w:lang w:bidi="ar-EG"/>
        </w:rPr>
        <w:t xml:space="preserve"> </w:t>
      </w:r>
      <w:r w:rsidR="002E71C8" w:rsidRPr="002E71C8">
        <w:rPr>
          <w:rFonts w:hint="cs"/>
          <w:vertAlign w:val="superscript"/>
          <w:rtl/>
          <w:lang w:bidi="ar-EG"/>
        </w:rPr>
        <w:t>225</w:t>
      </w:r>
      <w:r w:rsidR="003D7EB4">
        <w:rPr>
          <w:rFonts w:hint="cs"/>
          <w:rtl/>
          <w:lang w:bidi="ar-EG"/>
        </w:rPr>
        <w:t>،</w:t>
      </w:r>
    </w:p>
    <w:p w:rsidR="00971AE2" w:rsidRDefault="00971AE2" w:rsidP="00A27558">
      <w:pPr>
        <w:pStyle w:val="SingleTxt"/>
        <w:rPr>
          <w:rFonts w:hint="cs"/>
          <w:rtl/>
          <w:lang w:bidi="ar-EG"/>
        </w:rPr>
      </w:pPr>
      <w:r>
        <w:rPr>
          <w:rFonts w:hint="cs"/>
          <w:rtl/>
          <w:lang w:bidi="ar-EG"/>
        </w:rPr>
        <w:tab/>
        <w:t>وعلى الرغم من الانخفاض الذي حدث فيما يتعلق بسنة 2001 صدر في سنة 2002 ما متوسطه 178 قراراً يومياً بشأن أضرار شخصية وقعت بسبب العنف العائلي، يتعلق 110 منها بعنف زوجي، و40 بعنف بين أقارب، و28 بسوء معاملة أطفال</w:t>
      </w:r>
      <w:r w:rsidR="003D7EB4">
        <w:rPr>
          <w:rFonts w:hint="cs"/>
          <w:rtl/>
          <w:lang w:bidi="ar-EG"/>
        </w:rPr>
        <w:t>،</w:t>
      </w:r>
      <w:r>
        <w:rPr>
          <w:rFonts w:hint="cs"/>
          <w:rtl/>
          <w:lang w:bidi="ar-EG"/>
        </w:rPr>
        <w:t xml:space="preserve"> </w:t>
      </w:r>
    </w:p>
    <w:p w:rsidR="00971AE2" w:rsidRDefault="00971AE2" w:rsidP="00A27558">
      <w:pPr>
        <w:pStyle w:val="SingleTxt"/>
        <w:rPr>
          <w:rFonts w:hint="cs"/>
          <w:rtl/>
          <w:lang w:bidi="ar-EG"/>
        </w:rPr>
      </w:pPr>
      <w:r>
        <w:rPr>
          <w:rFonts w:hint="cs"/>
          <w:rtl/>
          <w:lang w:bidi="ar-EG"/>
        </w:rPr>
        <w:tab/>
        <w:t>ويتعلق 78 في المائة (109 507) من حالات العنف العائلي بنساء، وتضررت منها بصورة رئيسية نساء راشدات تتراوح أعمارهن بين 25 و34 سنة (35 في المائة) وبين 18 و24 سنة (24 في المائة)</w:t>
      </w:r>
      <w:r w:rsidR="003D7EB4">
        <w:rPr>
          <w:rFonts w:hint="cs"/>
          <w:rtl/>
          <w:lang w:bidi="ar-EG"/>
        </w:rPr>
        <w:t>،</w:t>
      </w:r>
    </w:p>
    <w:p w:rsidR="00A27558" w:rsidRPr="00A27558" w:rsidRDefault="00A27558" w:rsidP="00A27558">
      <w:pPr>
        <w:pStyle w:val="SingleTxt"/>
        <w:spacing w:after="0" w:line="120" w:lineRule="exact"/>
        <w:rPr>
          <w:rFonts w:hint="cs"/>
          <w:sz w:val="10"/>
          <w:rtl/>
          <w:lang w:bidi="ar-EG"/>
        </w:rPr>
      </w:pPr>
    </w:p>
    <w:p w:rsidR="00971AE2" w:rsidRDefault="00A27558" w:rsidP="002E71C8">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rtl/>
        </w:rPr>
      </w:pPr>
      <w:r>
        <w:rPr>
          <w:rFonts w:hint="cs"/>
          <w:b/>
          <w:bCs/>
          <w:spacing w:val="2"/>
          <w:rtl/>
        </w:rPr>
        <w:tab/>
      </w:r>
      <w:r>
        <w:rPr>
          <w:rFonts w:hint="cs"/>
          <w:b/>
          <w:bCs/>
          <w:spacing w:val="2"/>
          <w:rtl/>
        </w:rPr>
        <w:tab/>
      </w:r>
      <w:r w:rsidR="00971AE2" w:rsidRPr="00A27558">
        <w:rPr>
          <w:rFonts w:hint="cs"/>
          <w:b/>
          <w:bCs/>
          <w:spacing w:val="2"/>
          <w:rtl/>
        </w:rPr>
        <w:t>معدل العنف العائلي في سنة 2002</w:t>
      </w:r>
      <w:r w:rsidR="00971AE2">
        <w:rPr>
          <w:rFonts w:hint="cs"/>
          <w:rtl/>
          <w:lang w:bidi="ar-EG"/>
        </w:rPr>
        <w:t xml:space="preserve"> </w:t>
      </w:r>
      <w:r w:rsidR="002E71C8" w:rsidRPr="002E71C8">
        <w:rPr>
          <w:rFonts w:hint="cs"/>
          <w:vertAlign w:val="superscript"/>
          <w:rtl/>
        </w:rPr>
        <w:t>226</w:t>
      </w:r>
    </w:p>
    <w:p w:rsidR="00F57CF2" w:rsidRPr="00F57CF2" w:rsidRDefault="00F57CF2" w:rsidP="00F57CF2">
      <w:pPr>
        <w:pStyle w:val="SingleTxt"/>
        <w:spacing w:after="0" w:line="120" w:lineRule="exact"/>
        <w:rPr>
          <w:rFonts w:hint="cs"/>
          <w:sz w:val="10"/>
          <w:rtl/>
          <w:lang w:bidi="ar-EG"/>
        </w:rPr>
      </w:pPr>
    </w:p>
    <w:tbl>
      <w:tblPr>
        <w:bidiVisual/>
        <w:tblW w:w="0" w:type="auto"/>
        <w:jc w:val="center"/>
        <w:tblInd w:w="-292" w:type="dxa"/>
        <w:tblLayout w:type="fixed"/>
        <w:tblCellMar>
          <w:left w:w="70" w:type="dxa"/>
          <w:right w:w="70" w:type="dxa"/>
        </w:tblCellMar>
        <w:tblLook w:val="0000" w:firstRow="0" w:lastRow="0" w:firstColumn="0" w:lastColumn="0" w:noHBand="0" w:noVBand="0"/>
      </w:tblPr>
      <w:tblGrid>
        <w:gridCol w:w="821"/>
        <w:gridCol w:w="1236"/>
        <w:gridCol w:w="927"/>
        <w:gridCol w:w="824"/>
        <w:gridCol w:w="1236"/>
        <w:gridCol w:w="824"/>
        <w:gridCol w:w="618"/>
        <w:gridCol w:w="1271"/>
        <w:gridCol w:w="926"/>
        <w:gridCol w:w="893"/>
      </w:tblGrid>
      <w:tr w:rsidR="00064DB0" w:rsidRPr="00BB52A5">
        <w:tblPrEx>
          <w:tblCellMar>
            <w:top w:w="0" w:type="dxa"/>
            <w:bottom w:w="0" w:type="dxa"/>
          </w:tblCellMar>
        </w:tblPrEx>
        <w:trPr>
          <w:cantSplit/>
          <w:tblHeader/>
          <w:jc w:val="center"/>
        </w:trPr>
        <w:tc>
          <w:tcPr>
            <w:tcW w:w="2984" w:type="dxa"/>
            <w:gridSpan w:val="3"/>
            <w:tcBorders>
              <w:top w:val="single" w:sz="4" w:space="0" w:color="auto"/>
              <w:bottom w:val="single" w:sz="8" w:space="0" w:color="auto"/>
            </w:tcBorders>
            <w:shd w:val="clear" w:color="auto" w:fill="auto"/>
            <w:vAlign w:val="center"/>
          </w:tcPr>
          <w:p w:rsidR="00064DB0" w:rsidRPr="00BB52A5" w:rsidRDefault="00064DB0" w:rsidP="005144CB">
            <w:pPr>
              <w:spacing w:before="80" w:after="80" w:line="240" w:lineRule="exact"/>
              <w:jc w:val="lowKashida"/>
              <w:rPr>
                <w:rFonts w:hint="cs"/>
                <w:b/>
                <w:i/>
                <w:iCs/>
                <w:sz w:val="16"/>
                <w:szCs w:val="24"/>
                <w:rtl/>
                <w:lang w:val="fr-CH"/>
              </w:rPr>
            </w:pPr>
            <w:r>
              <w:rPr>
                <w:rFonts w:hint="cs"/>
                <w:b/>
                <w:i/>
                <w:iCs/>
                <w:sz w:val="16"/>
                <w:szCs w:val="24"/>
                <w:rtl/>
                <w:lang w:val="fr-CH"/>
              </w:rPr>
              <w:t>المجموع</w:t>
            </w:r>
          </w:p>
        </w:tc>
        <w:tc>
          <w:tcPr>
            <w:tcW w:w="2884" w:type="dxa"/>
            <w:gridSpan w:val="3"/>
            <w:tcBorders>
              <w:top w:val="single" w:sz="4" w:space="0" w:color="auto"/>
              <w:bottom w:val="single" w:sz="8" w:space="0" w:color="auto"/>
            </w:tcBorders>
            <w:shd w:val="clear" w:color="auto" w:fill="auto"/>
            <w:vAlign w:val="center"/>
          </w:tcPr>
          <w:p w:rsidR="00064DB0" w:rsidRPr="00BB52A5" w:rsidRDefault="00064DB0" w:rsidP="005144CB">
            <w:pPr>
              <w:spacing w:before="80" w:after="80" w:line="240" w:lineRule="exact"/>
              <w:jc w:val="lowKashida"/>
              <w:rPr>
                <w:rFonts w:hint="cs"/>
                <w:b/>
                <w:i/>
                <w:iCs/>
                <w:sz w:val="16"/>
                <w:szCs w:val="24"/>
                <w:rtl/>
                <w:lang w:val="fr-CH"/>
              </w:rPr>
            </w:pPr>
            <w:r>
              <w:rPr>
                <w:rFonts w:hint="cs"/>
                <w:b/>
                <w:i/>
                <w:iCs/>
                <w:sz w:val="16"/>
                <w:szCs w:val="24"/>
                <w:rtl/>
                <w:lang w:val="fr-CH"/>
              </w:rPr>
              <w:t>إناث</w:t>
            </w:r>
          </w:p>
        </w:tc>
        <w:tc>
          <w:tcPr>
            <w:tcW w:w="2815" w:type="dxa"/>
            <w:gridSpan w:val="3"/>
            <w:tcBorders>
              <w:top w:val="single" w:sz="4" w:space="0" w:color="auto"/>
              <w:bottom w:val="single" w:sz="8" w:space="0" w:color="auto"/>
            </w:tcBorders>
            <w:shd w:val="clear" w:color="auto" w:fill="auto"/>
            <w:vAlign w:val="center"/>
          </w:tcPr>
          <w:p w:rsidR="00064DB0" w:rsidRPr="00BB52A5" w:rsidRDefault="00064DB0" w:rsidP="005144CB">
            <w:pPr>
              <w:spacing w:before="80" w:after="80" w:line="240" w:lineRule="exact"/>
              <w:jc w:val="lowKashida"/>
              <w:rPr>
                <w:rFonts w:hint="cs"/>
                <w:b/>
                <w:i/>
                <w:iCs/>
                <w:sz w:val="16"/>
                <w:szCs w:val="24"/>
                <w:rtl/>
                <w:lang w:val="fr-CH"/>
              </w:rPr>
            </w:pPr>
            <w:r>
              <w:rPr>
                <w:rFonts w:hint="cs"/>
                <w:b/>
                <w:i/>
                <w:iCs/>
                <w:sz w:val="16"/>
                <w:szCs w:val="24"/>
                <w:rtl/>
                <w:lang w:val="fr-CH"/>
              </w:rPr>
              <w:t>ذكور</w:t>
            </w:r>
          </w:p>
        </w:tc>
        <w:tc>
          <w:tcPr>
            <w:tcW w:w="893" w:type="dxa"/>
            <w:tcBorders>
              <w:top w:val="single" w:sz="4" w:space="0" w:color="auto"/>
              <w:bottom w:val="single" w:sz="8" w:space="0" w:color="auto"/>
            </w:tcBorders>
            <w:shd w:val="clear" w:color="auto" w:fill="auto"/>
            <w:vAlign w:val="center"/>
          </w:tcPr>
          <w:p w:rsidR="00064DB0" w:rsidRPr="00BB52A5" w:rsidRDefault="00064DB0" w:rsidP="005144CB">
            <w:pPr>
              <w:spacing w:before="80" w:after="80" w:line="240" w:lineRule="exact"/>
              <w:jc w:val="lowKashida"/>
              <w:rPr>
                <w:rFonts w:hint="cs"/>
                <w:b/>
                <w:i/>
                <w:iCs/>
                <w:sz w:val="16"/>
                <w:szCs w:val="24"/>
                <w:lang w:val="fr-CH"/>
              </w:rPr>
            </w:pPr>
            <w:r>
              <w:rPr>
                <w:rFonts w:hint="cs"/>
                <w:b/>
                <w:i/>
                <w:iCs/>
                <w:sz w:val="16"/>
                <w:szCs w:val="24"/>
                <w:rtl/>
                <w:lang w:val="fr-CH"/>
              </w:rPr>
              <w:t>الفئات العمرية</w:t>
            </w:r>
          </w:p>
        </w:tc>
      </w:tr>
      <w:tr w:rsidR="00971AE2" w:rsidRPr="00BB52A5">
        <w:tblPrEx>
          <w:tblCellMar>
            <w:top w:w="0" w:type="dxa"/>
            <w:bottom w:w="0" w:type="dxa"/>
          </w:tblCellMar>
        </w:tblPrEx>
        <w:trPr>
          <w:cantSplit/>
          <w:tblHeader/>
          <w:jc w:val="center"/>
        </w:trPr>
        <w:tc>
          <w:tcPr>
            <w:tcW w:w="821"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rFonts w:hint="cs"/>
                <w:b/>
                <w:i/>
                <w:iCs/>
                <w:sz w:val="16"/>
                <w:szCs w:val="24"/>
                <w:lang w:val="fr-CH"/>
              </w:rPr>
            </w:pPr>
            <w:r w:rsidRPr="00BB52A5">
              <w:rPr>
                <w:rFonts w:hint="cs"/>
                <w:b/>
                <w:i/>
                <w:iCs/>
                <w:sz w:val="16"/>
                <w:szCs w:val="24"/>
                <w:rtl/>
                <w:lang w:val="fr-CH"/>
              </w:rPr>
              <w:t>المعدل الإجمالي</w:t>
            </w:r>
          </w:p>
        </w:tc>
        <w:tc>
          <w:tcPr>
            <w:tcW w:w="1236"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rFonts w:hint="cs"/>
                <w:b/>
                <w:i/>
                <w:iCs/>
                <w:sz w:val="16"/>
                <w:szCs w:val="24"/>
                <w:lang w:val="fr-CH"/>
              </w:rPr>
            </w:pPr>
            <w:r w:rsidRPr="00BB52A5">
              <w:rPr>
                <w:rFonts w:hint="cs"/>
                <w:b/>
                <w:i/>
                <w:iCs/>
                <w:sz w:val="16"/>
                <w:szCs w:val="24"/>
                <w:rtl/>
                <w:lang w:val="fr-CH"/>
              </w:rPr>
              <w:t>عدد السكان</w:t>
            </w:r>
          </w:p>
        </w:tc>
        <w:tc>
          <w:tcPr>
            <w:tcW w:w="927"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rFonts w:hint="cs"/>
                <w:b/>
                <w:i/>
                <w:iCs/>
                <w:sz w:val="16"/>
                <w:szCs w:val="24"/>
                <w:lang w:val="fr-CH"/>
              </w:rPr>
            </w:pPr>
            <w:r w:rsidRPr="00BB52A5">
              <w:rPr>
                <w:rFonts w:hint="cs"/>
                <w:b/>
                <w:i/>
                <w:iCs/>
                <w:sz w:val="16"/>
                <w:szCs w:val="24"/>
                <w:rtl/>
                <w:lang w:val="fr-CH"/>
              </w:rPr>
              <w:t>المجموع</w:t>
            </w:r>
          </w:p>
        </w:tc>
        <w:tc>
          <w:tcPr>
            <w:tcW w:w="824"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rFonts w:hint="cs"/>
                <w:b/>
                <w:i/>
                <w:iCs/>
                <w:sz w:val="16"/>
                <w:szCs w:val="24"/>
                <w:lang w:val="fr-CH"/>
              </w:rPr>
            </w:pPr>
            <w:r w:rsidRPr="00BB52A5">
              <w:rPr>
                <w:rFonts w:hint="cs"/>
                <w:b/>
                <w:i/>
                <w:iCs/>
                <w:sz w:val="16"/>
                <w:szCs w:val="24"/>
                <w:rtl/>
                <w:lang w:val="fr-CH"/>
              </w:rPr>
              <w:t>المعدل</w:t>
            </w:r>
          </w:p>
        </w:tc>
        <w:tc>
          <w:tcPr>
            <w:tcW w:w="1236"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rFonts w:hint="cs"/>
                <w:b/>
                <w:i/>
                <w:iCs/>
                <w:sz w:val="16"/>
                <w:szCs w:val="24"/>
                <w:lang w:val="fr-CH"/>
              </w:rPr>
            </w:pPr>
            <w:r w:rsidRPr="00BB52A5">
              <w:rPr>
                <w:rFonts w:hint="cs"/>
                <w:b/>
                <w:i/>
                <w:iCs/>
                <w:sz w:val="16"/>
                <w:szCs w:val="24"/>
                <w:rtl/>
                <w:lang w:val="fr-CH"/>
              </w:rPr>
              <w:t>عدد السكان</w:t>
            </w:r>
          </w:p>
        </w:tc>
        <w:tc>
          <w:tcPr>
            <w:tcW w:w="824"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rFonts w:hint="cs"/>
                <w:b/>
                <w:i/>
                <w:iCs/>
                <w:sz w:val="16"/>
                <w:szCs w:val="24"/>
                <w:lang w:val="fr-CH"/>
              </w:rPr>
            </w:pPr>
            <w:r w:rsidRPr="00BB52A5">
              <w:rPr>
                <w:rFonts w:hint="cs"/>
                <w:b/>
                <w:i/>
                <w:iCs/>
                <w:sz w:val="16"/>
                <w:szCs w:val="24"/>
                <w:rtl/>
                <w:lang w:val="fr-CH"/>
              </w:rPr>
              <w:t>عدد الحالات</w:t>
            </w:r>
          </w:p>
        </w:tc>
        <w:tc>
          <w:tcPr>
            <w:tcW w:w="618"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rFonts w:hint="cs"/>
                <w:b/>
                <w:i/>
                <w:iCs/>
                <w:sz w:val="16"/>
                <w:szCs w:val="24"/>
                <w:lang w:val="fr-CH"/>
              </w:rPr>
            </w:pPr>
            <w:r w:rsidRPr="00BB52A5">
              <w:rPr>
                <w:rFonts w:hint="cs"/>
                <w:b/>
                <w:i/>
                <w:iCs/>
                <w:sz w:val="16"/>
                <w:szCs w:val="24"/>
                <w:rtl/>
                <w:lang w:val="fr-CH"/>
              </w:rPr>
              <w:t>المعدل</w:t>
            </w:r>
          </w:p>
        </w:tc>
        <w:tc>
          <w:tcPr>
            <w:tcW w:w="1271"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rFonts w:hint="cs"/>
                <w:b/>
                <w:i/>
                <w:iCs/>
                <w:sz w:val="16"/>
                <w:szCs w:val="24"/>
                <w:lang w:val="fr-CH"/>
              </w:rPr>
            </w:pPr>
            <w:r w:rsidRPr="00BB52A5">
              <w:rPr>
                <w:rFonts w:hint="cs"/>
                <w:b/>
                <w:i/>
                <w:iCs/>
                <w:sz w:val="16"/>
                <w:szCs w:val="24"/>
                <w:rtl/>
                <w:lang w:val="fr-CH"/>
              </w:rPr>
              <w:t>عدد السكان</w:t>
            </w:r>
          </w:p>
        </w:tc>
        <w:tc>
          <w:tcPr>
            <w:tcW w:w="926"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rFonts w:hint="cs"/>
                <w:b/>
                <w:i/>
                <w:iCs/>
                <w:sz w:val="16"/>
                <w:szCs w:val="24"/>
                <w:lang w:val="fr-CH"/>
              </w:rPr>
            </w:pPr>
            <w:r w:rsidRPr="00BB52A5">
              <w:rPr>
                <w:rFonts w:hint="cs"/>
                <w:b/>
                <w:i/>
                <w:iCs/>
                <w:sz w:val="16"/>
                <w:szCs w:val="24"/>
                <w:rtl/>
                <w:lang w:val="fr-CH"/>
              </w:rPr>
              <w:t>عدد الحالات</w:t>
            </w:r>
          </w:p>
        </w:tc>
        <w:tc>
          <w:tcPr>
            <w:tcW w:w="893" w:type="dxa"/>
            <w:tcBorders>
              <w:top w:val="single" w:sz="8" w:space="0" w:color="auto"/>
              <w:bottom w:val="single" w:sz="12" w:space="0" w:color="auto"/>
            </w:tcBorders>
            <w:shd w:val="clear" w:color="auto" w:fill="auto"/>
            <w:vAlign w:val="center"/>
          </w:tcPr>
          <w:p w:rsidR="00971AE2" w:rsidRPr="00BB52A5" w:rsidRDefault="00971AE2" w:rsidP="005144CB">
            <w:pPr>
              <w:spacing w:before="80" w:after="80" w:line="240" w:lineRule="exact"/>
              <w:jc w:val="lowKashida"/>
              <w:rPr>
                <w:b/>
                <w:i/>
                <w:iCs/>
                <w:sz w:val="16"/>
                <w:szCs w:val="24"/>
                <w:lang w:val="fr-CH"/>
              </w:rPr>
            </w:pPr>
          </w:p>
        </w:tc>
      </w:tr>
      <w:tr w:rsidR="00BB52A5" w:rsidRPr="00BB52A5">
        <w:tblPrEx>
          <w:tblCellMar>
            <w:top w:w="0" w:type="dxa"/>
            <w:bottom w:w="0" w:type="dxa"/>
          </w:tblCellMar>
        </w:tblPrEx>
        <w:trPr>
          <w:cantSplit/>
          <w:trHeight w:hRule="exact" w:val="115"/>
          <w:jc w:val="center"/>
        </w:trPr>
        <w:tc>
          <w:tcPr>
            <w:tcW w:w="821"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sz w:val="16"/>
                <w:szCs w:val="24"/>
                <w:lang w:val="fr-CH"/>
              </w:rPr>
            </w:pPr>
          </w:p>
        </w:tc>
        <w:tc>
          <w:tcPr>
            <w:tcW w:w="1236"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sz w:val="16"/>
                <w:szCs w:val="24"/>
                <w:lang w:val="fr-CH"/>
              </w:rPr>
            </w:pPr>
          </w:p>
        </w:tc>
        <w:tc>
          <w:tcPr>
            <w:tcW w:w="927"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sz w:val="16"/>
                <w:szCs w:val="24"/>
                <w:lang w:val="fr-CH"/>
              </w:rPr>
            </w:pPr>
          </w:p>
        </w:tc>
        <w:tc>
          <w:tcPr>
            <w:tcW w:w="824"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sz w:val="16"/>
                <w:szCs w:val="24"/>
                <w:lang w:val="fr-CH"/>
              </w:rPr>
            </w:pPr>
          </w:p>
        </w:tc>
        <w:tc>
          <w:tcPr>
            <w:tcW w:w="1236"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sz w:val="16"/>
                <w:szCs w:val="24"/>
                <w:lang w:val="fr-CH"/>
              </w:rPr>
            </w:pPr>
          </w:p>
        </w:tc>
        <w:tc>
          <w:tcPr>
            <w:tcW w:w="824"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sz w:val="16"/>
                <w:szCs w:val="24"/>
                <w:lang w:val="fr-CH"/>
              </w:rPr>
            </w:pPr>
          </w:p>
        </w:tc>
        <w:tc>
          <w:tcPr>
            <w:tcW w:w="618"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sz w:val="16"/>
                <w:szCs w:val="24"/>
                <w:lang w:val="fr-CH"/>
              </w:rPr>
            </w:pPr>
          </w:p>
        </w:tc>
        <w:tc>
          <w:tcPr>
            <w:tcW w:w="1271"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sz w:val="16"/>
                <w:szCs w:val="24"/>
                <w:lang w:val="fr-CH"/>
              </w:rPr>
            </w:pPr>
          </w:p>
        </w:tc>
        <w:tc>
          <w:tcPr>
            <w:tcW w:w="926"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rFonts w:hint="cs"/>
                <w:sz w:val="16"/>
                <w:szCs w:val="24"/>
                <w:rtl/>
                <w:lang w:val="fr-CH"/>
              </w:rPr>
            </w:pPr>
          </w:p>
        </w:tc>
        <w:tc>
          <w:tcPr>
            <w:tcW w:w="893" w:type="dxa"/>
            <w:tcBorders>
              <w:top w:val="single" w:sz="12" w:space="0" w:color="auto"/>
            </w:tcBorders>
            <w:shd w:val="clear" w:color="auto" w:fill="auto"/>
            <w:vAlign w:val="center"/>
          </w:tcPr>
          <w:p w:rsidR="00BB52A5" w:rsidRPr="00BB52A5" w:rsidRDefault="00BB52A5" w:rsidP="005144CB">
            <w:pPr>
              <w:spacing w:before="40" w:after="80" w:line="240" w:lineRule="exact"/>
              <w:jc w:val="lowKashida"/>
              <w:rPr>
                <w:rFonts w:hint="cs"/>
                <w:sz w:val="16"/>
                <w:szCs w:val="24"/>
              </w:rPr>
            </w:pPr>
          </w:p>
        </w:tc>
      </w:tr>
      <w:tr w:rsidR="00971AE2" w:rsidRPr="00BB52A5">
        <w:tblPrEx>
          <w:tblCellMar>
            <w:top w:w="0" w:type="dxa"/>
            <w:bottom w:w="0" w:type="dxa"/>
          </w:tblCellMar>
        </w:tblPrEx>
        <w:trPr>
          <w:cantSplit/>
          <w:jc w:val="center"/>
        </w:trPr>
        <w:tc>
          <w:tcPr>
            <w:tcW w:w="821" w:type="dxa"/>
            <w:shd w:val="clear" w:color="auto" w:fill="auto"/>
            <w:vAlign w:val="center"/>
          </w:tcPr>
          <w:p w:rsidR="00971AE2" w:rsidRPr="00BB52A5" w:rsidRDefault="00BB52A5" w:rsidP="005144CB">
            <w:pPr>
              <w:spacing w:before="40" w:after="80" w:line="240" w:lineRule="exact"/>
              <w:jc w:val="lowKashida"/>
              <w:rPr>
                <w:rFonts w:hint="cs"/>
                <w:sz w:val="16"/>
                <w:szCs w:val="24"/>
                <w:rtl/>
              </w:rPr>
            </w:pPr>
            <w:r>
              <w:rPr>
                <w:rFonts w:hint="cs"/>
                <w:sz w:val="16"/>
                <w:szCs w:val="24"/>
                <w:rtl/>
                <w:lang w:val="fr-CH"/>
              </w:rPr>
              <w:t>36</w:t>
            </w:r>
            <w:r w:rsidR="00500B0E">
              <w:rPr>
                <w:rFonts w:hint="cs"/>
                <w:sz w:val="16"/>
                <w:szCs w:val="24"/>
                <w:rtl/>
                <w:lang w:val="fr-CH"/>
              </w:rPr>
              <w:t>.</w:t>
            </w:r>
            <w:r>
              <w:rPr>
                <w:rFonts w:hint="cs"/>
                <w:sz w:val="16"/>
                <w:szCs w:val="24"/>
                <w:rtl/>
                <w:lang w:val="fr-CH"/>
              </w:rPr>
              <w:t>7</w:t>
            </w:r>
          </w:p>
        </w:tc>
        <w:tc>
          <w:tcPr>
            <w:tcW w:w="1236"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200 870</w:t>
            </w:r>
          </w:p>
        </w:tc>
        <w:tc>
          <w:tcPr>
            <w:tcW w:w="927" w:type="dxa"/>
            <w:shd w:val="clear" w:color="auto" w:fill="auto"/>
            <w:vAlign w:val="center"/>
          </w:tcPr>
          <w:p w:rsidR="00971AE2" w:rsidRPr="00BB52A5" w:rsidRDefault="00BB52A5" w:rsidP="005144CB">
            <w:pPr>
              <w:spacing w:before="40" w:after="80" w:line="240" w:lineRule="exact"/>
              <w:jc w:val="lowKashida"/>
              <w:rPr>
                <w:rFonts w:hint="cs"/>
                <w:sz w:val="16"/>
                <w:szCs w:val="24"/>
              </w:rPr>
            </w:pPr>
            <w:r>
              <w:rPr>
                <w:rFonts w:hint="cs"/>
                <w:sz w:val="16"/>
                <w:szCs w:val="24"/>
                <w:rtl/>
                <w:lang w:val="fr-CH"/>
              </w:rPr>
              <w:t>139</w:t>
            </w:r>
          </w:p>
        </w:tc>
        <w:tc>
          <w:tcPr>
            <w:tcW w:w="824"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32</w:t>
            </w:r>
            <w:r w:rsidR="00CE5A2B">
              <w:rPr>
                <w:rFonts w:hint="cs"/>
                <w:sz w:val="16"/>
                <w:szCs w:val="24"/>
                <w:rtl/>
                <w:lang w:val="fr-CH"/>
              </w:rPr>
              <w:t>.</w:t>
            </w:r>
            <w:r>
              <w:rPr>
                <w:rFonts w:hint="cs"/>
                <w:sz w:val="16"/>
                <w:szCs w:val="24"/>
                <w:rtl/>
                <w:lang w:val="fr-CH"/>
              </w:rPr>
              <w:t>7</w:t>
            </w:r>
          </w:p>
        </w:tc>
        <w:tc>
          <w:tcPr>
            <w:tcW w:w="1236"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828 424</w:t>
            </w:r>
          </w:p>
        </w:tc>
        <w:tc>
          <w:tcPr>
            <w:tcW w:w="824" w:type="dxa"/>
            <w:shd w:val="clear" w:color="auto" w:fill="auto"/>
            <w:vAlign w:val="center"/>
          </w:tcPr>
          <w:p w:rsidR="00971AE2" w:rsidRPr="00BB52A5" w:rsidRDefault="00BB52A5" w:rsidP="005144CB">
            <w:pPr>
              <w:spacing w:before="40" w:after="80" w:line="240" w:lineRule="exact"/>
              <w:jc w:val="lowKashida"/>
              <w:rPr>
                <w:rFonts w:hint="cs"/>
                <w:sz w:val="16"/>
                <w:szCs w:val="24"/>
                <w:rtl/>
              </w:rPr>
            </w:pPr>
            <w:r>
              <w:rPr>
                <w:rFonts w:hint="cs"/>
                <w:sz w:val="16"/>
                <w:szCs w:val="24"/>
                <w:rtl/>
              </w:rPr>
              <w:t>139</w:t>
            </w:r>
          </w:p>
        </w:tc>
        <w:tc>
          <w:tcPr>
            <w:tcW w:w="618"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40</w:t>
            </w:r>
            <w:r w:rsidR="00CE5A2B">
              <w:rPr>
                <w:rFonts w:hint="cs"/>
                <w:sz w:val="16"/>
                <w:szCs w:val="24"/>
                <w:rtl/>
                <w:lang w:val="fr-CH"/>
              </w:rPr>
              <w:t>.</w:t>
            </w:r>
            <w:r>
              <w:rPr>
                <w:rFonts w:hint="cs"/>
                <w:sz w:val="16"/>
                <w:szCs w:val="24"/>
                <w:rtl/>
                <w:lang w:val="fr-CH"/>
              </w:rPr>
              <w:t>4</w:t>
            </w:r>
          </w:p>
        </w:tc>
        <w:tc>
          <w:tcPr>
            <w:tcW w:w="1271"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372 445</w:t>
            </w:r>
          </w:p>
        </w:tc>
        <w:tc>
          <w:tcPr>
            <w:tcW w:w="926"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180</w:t>
            </w:r>
          </w:p>
        </w:tc>
        <w:tc>
          <w:tcPr>
            <w:tcW w:w="893" w:type="dxa"/>
            <w:shd w:val="clear" w:color="auto" w:fill="auto"/>
            <w:vAlign w:val="center"/>
          </w:tcPr>
          <w:p w:rsidR="00971AE2" w:rsidRPr="00BB52A5" w:rsidRDefault="00971AE2" w:rsidP="005144CB">
            <w:pPr>
              <w:spacing w:before="40" w:after="80" w:line="240" w:lineRule="exact"/>
              <w:jc w:val="lowKashida"/>
              <w:rPr>
                <w:sz w:val="16"/>
                <w:szCs w:val="24"/>
              </w:rPr>
            </w:pPr>
            <w:r w:rsidRPr="00BB52A5">
              <w:rPr>
                <w:sz w:val="16"/>
                <w:szCs w:val="24"/>
              </w:rPr>
              <w:sym w:font="Symbol" w:char="F03C"/>
            </w:r>
            <w:r w:rsidRPr="00BB52A5">
              <w:rPr>
                <w:sz w:val="16"/>
                <w:szCs w:val="24"/>
                <w:lang w:val="fr-CH"/>
              </w:rPr>
              <w:t xml:space="preserve"> 1</w:t>
            </w:r>
          </w:p>
        </w:tc>
      </w:tr>
      <w:tr w:rsidR="00971AE2" w:rsidRPr="00BB52A5">
        <w:tblPrEx>
          <w:tblCellMar>
            <w:top w:w="0" w:type="dxa"/>
            <w:bottom w:w="0" w:type="dxa"/>
          </w:tblCellMar>
        </w:tblPrEx>
        <w:trPr>
          <w:cantSplit/>
          <w:jc w:val="center"/>
        </w:trPr>
        <w:tc>
          <w:tcPr>
            <w:tcW w:w="821"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33</w:t>
            </w:r>
            <w:r w:rsidR="00064DB0">
              <w:rPr>
                <w:rFonts w:hint="cs"/>
                <w:sz w:val="16"/>
                <w:szCs w:val="24"/>
                <w:rtl/>
                <w:lang w:val="fr-CH"/>
              </w:rPr>
              <w:t>.</w:t>
            </w:r>
            <w:r>
              <w:rPr>
                <w:rFonts w:hint="cs"/>
                <w:sz w:val="16"/>
                <w:szCs w:val="24"/>
                <w:rtl/>
                <w:lang w:val="fr-CH"/>
              </w:rPr>
              <w:t>6</w:t>
            </w:r>
          </w:p>
        </w:tc>
        <w:tc>
          <w:tcPr>
            <w:tcW w:w="1236"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978 109 4</w:t>
            </w:r>
          </w:p>
        </w:tc>
        <w:tc>
          <w:tcPr>
            <w:tcW w:w="927"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382 1</w:t>
            </w:r>
          </w:p>
        </w:tc>
        <w:tc>
          <w:tcPr>
            <w:tcW w:w="824"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32</w:t>
            </w:r>
            <w:r w:rsidR="00500B0E">
              <w:rPr>
                <w:rFonts w:hint="cs"/>
                <w:sz w:val="16"/>
                <w:szCs w:val="24"/>
                <w:rtl/>
                <w:lang w:val="fr-CH"/>
              </w:rPr>
              <w:t>.</w:t>
            </w:r>
            <w:r>
              <w:rPr>
                <w:rFonts w:hint="cs"/>
                <w:sz w:val="16"/>
                <w:szCs w:val="24"/>
                <w:rtl/>
                <w:lang w:val="fr-CH"/>
              </w:rPr>
              <w:t>2</w:t>
            </w:r>
          </w:p>
        </w:tc>
        <w:tc>
          <w:tcPr>
            <w:tcW w:w="1236"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983 015 2</w:t>
            </w:r>
          </w:p>
        </w:tc>
        <w:tc>
          <w:tcPr>
            <w:tcW w:w="824" w:type="dxa"/>
            <w:shd w:val="clear" w:color="auto" w:fill="auto"/>
            <w:vAlign w:val="center"/>
          </w:tcPr>
          <w:p w:rsidR="00971AE2" w:rsidRPr="00BB52A5" w:rsidRDefault="00BB52A5" w:rsidP="005144CB">
            <w:pPr>
              <w:spacing w:before="40" w:after="80" w:line="240" w:lineRule="exact"/>
              <w:jc w:val="lowKashida"/>
              <w:rPr>
                <w:rFonts w:hint="cs"/>
                <w:sz w:val="16"/>
                <w:szCs w:val="24"/>
              </w:rPr>
            </w:pPr>
            <w:r>
              <w:rPr>
                <w:rFonts w:hint="cs"/>
                <w:sz w:val="16"/>
                <w:szCs w:val="24"/>
                <w:rtl/>
                <w:lang w:val="fr-CH"/>
              </w:rPr>
              <w:t>650</w:t>
            </w:r>
          </w:p>
        </w:tc>
        <w:tc>
          <w:tcPr>
            <w:tcW w:w="618"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35</w:t>
            </w:r>
          </w:p>
        </w:tc>
        <w:tc>
          <w:tcPr>
            <w:tcW w:w="1271"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995 093 2</w:t>
            </w:r>
          </w:p>
        </w:tc>
        <w:tc>
          <w:tcPr>
            <w:tcW w:w="926"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732</w:t>
            </w:r>
          </w:p>
        </w:tc>
        <w:tc>
          <w:tcPr>
            <w:tcW w:w="893" w:type="dxa"/>
            <w:shd w:val="clear" w:color="auto" w:fill="auto"/>
            <w:vAlign w:val="center"/>
          </w:tcPr>
          <w:p w:rsidR="00971AE2" w:rsidRPr="00BB52A5" w:rsidRDefault="00BB52A5" w:rsidP="005144CB">
            <w:pPr>
              <w:spacing w:before="40" w:after="80" w:line="240" w:lineRule="exact"/>
              <w:jc w:val="lowKashida"/>
              <w:rPr>
                <w:rFonts w:hint="cs"/>
                <w:sz w:val="16"/>
                <w:szCs w:val="24"/>
                <w:rtl/>
                <w:lang w:val="fr-CH"/>
              </w:rPr>
            </w:pPr>
            <w:r>
              <w:rPr>
                <w:rFonts w:hint="cs"/>
                <w:sz w:val="16"/>
                <w:szCs w:val="24"/>
                <w:rtl/>
                <w:lang w:val="fr-CH"/>
              </w:rPr>
              <w:t>1-4</w:t>
            </w:r>
          </w:p>
        </w:tc>
      </w:tr>
      <w:tr w:rsidR="00971AE2" w:rsidRPr="00BB52A5">
        <w:tblPrEx>
          <w:tblCellMar>
            <w:top w:w="0" w:type="dxa"/>
            <w:bottom w:w="0" w:type="dxa"/>
          </w:tblCellMar>
        </w:tblPrEx>
        <w:trPr>
          <w:cantSplit/>
          <w:jc w:val="center"/>
        </w:trPr>
        <w:tc>
          <w:tcPr>
            <w:tcW w:w="821"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60</w:t>
            </w:r>
            <w:r w:rsidR="00064DB0">
              <w:rPr>
                <w:rFonts w:hint="cs"/>
                <w:sz w:val="16"/>
                <w:szCs w:val="24"/>
                <w:rtl/>
                <w:lang w:val="fr-CH"/>
              </w:rPr>
              <w:t>.</w:t>
            </w:r>
            <w:r>
              <w:rPr>
                <w:rFonts w:hint="cs"/>
                <w:sz w:val="16"/>
                <w:szCs w:val="24"/>
                <w:rtl/>
                <w:lang w:val="fr-CH"/>
              </w:rPr>
              <w:t>4</w:t>
            </w:r>
          </w:p>
        </w:tc>
        <w:tc>
          <w:tcPr>
            <w:tcW w:w="1236"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933 141 10</w:t>
            </w:r>
          </w:p>
        </w:tc>
        <w:tc>
          <w:tcPr>
            <w:tcW w:w="927"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123 6</w:t>
            </w:r>
          </w:p>
        </w:tc>
        <w:tc>
          <w:tcPr>
            <w:tcW w:w="824"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64</w:t>
            </w:r>
            <w:r w:rsidR="00500B0E">
              <w:rPr>
                <w:rFonts w:hint="cs"/>
                <w:sz w:val="16"/>
                <w:szCs w:val="24"/>
                <w:rtl/>
                <w:lang w:val="fr-CH"/>
              </w:rPr>
              <w:t>.</w:t>
            </w:r>
            <w:r>
              <w:rPr>
                <w:rFonts w:hint="cs"/>
                <w:sz w:val="16"/>
                <w:szCs w:val="24"/>
                <w:rtl/>
                <w:lang w:val="fr-CH"/>
              </w:rPr>
              <w:t>1</w:t>
            </w:r>
          </w:p>
        </w:tc>
        <w:tc>
          <w:tcPr>
            <w:tcW w:w="1236"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462 988 4</w:t>
            </w:r>
          </w:p>
        </w:tc>
        <w:tc>
          <w:tcPr>
            <w:tcW w:w="824"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200 3</w:t>
            </w:r>
          </w:p>
        </w:tc>
        <w:tc>
          <w:tcPr>
            <w:tcW w:w="618"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56 7</w:t>
            </w:r>
          </w:p>
        </w:tc>
        <w:tc>
          <w:tcPr>
            <w:tcW w:w="1271"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471 153 5</w:t>
            </w:r>
          </w:p>
        </w:tc>
        <w:tc>
          <w:tcPr>
            <w:tcW w:w="926"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923 2</w:t>
            </w:r>
          </w:p>
        </w:tc>
        <w:tc>
          <w:tcPr>
            <w:tcW w:w="893" w:type="dxa"/>
            <w:shd w:val="clear" w:color="auto" w:fill="auto"/>
            <w:vAlign w:val="center"/>
          </w:tcPr>
          <w:p w:rsidR="00971AE2" w:rsidRPr="00BB52A5" w:rsidRDefault="00BB52A5" w:rsidP="005144CB">
            <w:pPr>
              <w:spacing w:before="40" w:after="80" w:line="240" w:lineRule="exact"/>
              <w:jc w:val="lowKashida"/>
              <w:rPr>
                <w:rFonts w:hint="cs"/>
                <w:sz w:val="16"/>
                <w:szCs w:val="24"/>
                <w:lang w:val="fr-CH"/>
              </w:rPr>
            </w:pPr>
            <w:r>
              <w:rPr>
                <w:rFonts w:hint="cs"/>
                <w:sz w:val="16"/>
                <w:szCs w:val="24"/>
                <w:rtl/>
                <w:lang w:val="fr-CH"/>
              </w:rPr>
              <w:t>5-14</w:t>
            </w:r>
          </w:p>
        </w:tc>
      </w:tr>
      <w:tr w:rsidR="00971AE2" w:rsidRPr="00BB52A5">
        <w:tblPrEx>
          <w:tblCellMar>
            <w:top w:w="0" w:type="dxa"/>
            <w:bottom w:w="0" w:type="dxa"/>
          </w:tblCellMar>
        </w:tblPrEx>
        <w:trPr>
          <w:cantSplit/>
          <w:jc w:val="center"/>
        </w:trPr>
        <w:tc>
          <w:tcPr>
            <w:tcW w:w="821"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136</w:t>
            </w:r>
            <w:r w:rsidR="00064DB0">
              <w:rPr>
                <w:rFonts w:hint="cs"/>
                <w:sz w:val="16"/>
                <w:szCs w:val="24"/>
                <w:rtl/>
                <w:lang w:val="fr-CH"/>
              </w:rPr>
              <w:t>.</w:t>
            </w:r>
            <w:r>
              <w:rPr>
                <w:rFonts w:hint="cs"/>
                <w:sz w:val="16"/>
                <w:szCs w:val="24"/>
                <w:rtl/>
                <w:lang w:val="fr-CH"/>
              </w:rPr>
              <w:t>4</w:t>
            </w:r>
          </w:p>
        </w:tc>
        <w:tc>
          <w:tcPr>
            <w:tcW w:w="1236"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270 681 2</w:t>
            </w:r>
          </w:p>
        </w:tc>
        <w:tc>
          <w:tcPr>
            <w:tcW w:w="927"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657 3</w:t>
            </w:r>
          </w:p>
        </w:tc>
        <w:tc>
          <w:tcPr>
            <w:tcW w:w="824"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5</w:t>
            </w:r>
            <w:r w:rsidR="00500B0E">
              <w:rPr>
                <w:rFonts w:hint="cs"/>
                <w:sz w:val="16"/>
                <w:szCs w:val="24"/>
                <w:rtl/>
                <w:lang w:val="fr-CH"/>
              </w:rPr>
              <w:t>.</w:t>
            </w:r>
            <w:r>
              <w:rPr>
                <w:rFonts w:hint="cs"/>
                <w:sz w:val="16"/>
                <w:szCs w:val="24"/>
                <w:rtl/>
                <w:lang w:val="fr-CH"/>
              </w:rPr>
              <w:t>1</w:t>
            </w:r>
          </w:p>
        </w:tc>
        <w:tc>
          <w:tcPr>
            <w:tcW w:w="1236"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651 360 1</w:t>
            </w:r>
          </w:p>
        </w:tc>
        <w:tc>
          <w:tcPr>
            <w:tcW w:w="824"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847 2</w:t>
            </w:r>
          </w:p>
        </w:tc>
        <w:tc>
          <w:tcPr>
            <w:tcW w:w="618"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61</w:t>
            </w:r>
            <w:r w:rsidR="00C1093F">
              <w:rPr>
                <w:rFonts w:hint="cs"/>
                <w:sz w:val="16"/>
                <w:szCs w:val="24"/>
                <w:rtl/>
                <w:lang w:val="fr-CH"/>
              </w:rPr>
              <w:t xml:space="preserve"> </w:t>
            </w:r>
            <w:r>
              <w:rPr>
                <w:rFonts w:hint="cs"/>
                <w:sz w:val="16"/>
                <w:szCs w:val="24"/>
                <w:rtl/>
                <w:lang w:val="fr-CH"/>
              </w:rPr>
              <w:t>3</w:t>
            </w:r>
          </w:p>
        </w:tc>
        <w:tc>
          <w:tcPr>
            <w:tcW w:w="1271"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619 320 1</w:t>
            </w:r>
          </w:p>
        </w:tc>
        <w:tc>
          <w:tcPr>
            <w:tcW w:w="926"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810</w:t>
            </w:r>
          </w:p>
        </w:tc>
        <w:tc>
          <w:tcPr>
            <w:tcW w:w="893"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15-17</w:t>
            </w:r>
          </w:p>
        </w:tc>
      </w:tr>
      <w:tr w:rsidR="00971AE2" w:rsidRPr="00BB52A5">
        <w:tblPrEx>
          <w:tblCellMar>
            <w:top w:w="0" w:type="dxa"/>
            <w:bottom w:w="0" w:type="dxa"/>
          </w:tblCellMar>
        </w:tblPrEx>
        <w:trPr>
          <w:cantSplit/>
          <w:jc w:val="center"/>
        </w:trPr>
        <w:tc>
          <w:tcPr>
            <w:tcW w:w="821"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240</w:t>
            </w:r>
            <w:r w:rsidR="00064DB0">
              <w:rPr>
                <w:rFonts w:hint="cs"/>
                <w:sz w:val="16"/>
                <w:szCs w:val="24"/>
                <w:rtl/>
                <w:lang w:val="fr-CH"/>
              </w:rPr>
              <w:t>.</w:t>
            </w:r>
            <w:r>
              <w:rPr>
                <w:rFonts w:hint="cs"/>
                <w:sz w:val="16"/>
                <w:szCs w:val="24"/>
                <w:rtl/>
                <w:lang w:val="fr-CH"/>
              </w:rPr>
              <w:t>2</w:t>
            </w:r>
          </w:p>
        </w:tc>
        <w:tc>
          <w:tcPr>
            <w:tcW w:w="1236"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123 865 5</w:t>
            </w:r>
          </w:p>
        </w:tc>
        <w:tc>
          <w:tcPr>
            <w:tcW w:w="927"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090 14</w:t>
            </w:r>
          </w:p>
        </w:tc>
        <w:tc>
          <w:tcPr>
            <w:tcW w:w="824"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400</w:t>
            </w:r>
            <w:r w:rsidR="00500B0E">
              <w:rPr>
                <w:rFonts w:hint="cs"/>
                <w:sz w:val="16"/>
                <w:szCs w:val="24"/>
                <w:rtl/>
                <w:lang w:val="fr-CH"/>
              </w:rPr>
              <w:t>.</w:t>
            </w:r>
            <w:r>
              <w:rPr>
                <w:rFonts w:hint="cs"/>
                <w:sz w:val="16"/>
                <w:szCs w:val="24"/>
                <w:rtl/>
                <w:lang w:val="fr-CH"/>
              </w:rPr>
              <w:t>6</w:t>
            </w:r>
          </w:p>
        </w:tc>
        <w:tc>
          <w:tcPr>
            <w:tcW w:w="1236"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927 049 3</w:t>
            </w:r>
          </w:p>
        </w:tc>
        <w:tc>
          <w:tcPr>
            <w:tcW w:w="824"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217 12</w:t>
            </w:r>
          </w:p>
        </w:tc>
        <w:tc>
          <w:tcPr>
            <w:tcW w:w="618"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66</w:t>
            </w:r>
            <w:r w:rsidR="00CD4518">
              <w:rPr>
                <w:rFonts w:hint="cs"/>
                <w:sz w:val="16"/>
                <w:szCs w:val="24"/>
                <w:rtl/>
                <w:lang w:val="fr-CH"/>
              </w:rPr>
              <w:t>.</w:t>
            </w:r>
            <w:r>
              <w:rPr>
                <w:rFonts w:hint="cs"/>
                <w:sz w:val="16"/>
                <w:szCs w:val="24"/>
                <w:rtl/>
                <w:lang w:val="fr-CH"/>
              </w:rPr>
              <w:t>5</w:t>
            </w:r>
          </w:p>
        </w:tc>
        <w:tc>
          <w:tcPr>
            <w:tcW w:w="1271"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196 815 2</w:t>
            </w:r>
          </w:p>
        </w:tc>
        <w:tc>
          <w:tcPr>
            <w:tcW w:w="926"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873 1</w:t>
            </w:r>
          </w:p>
        </w:tc>
        <w:tc>
          <w:tcPr>
            <w:tcW w:w="893" w:type="dxa"/>
            <w:shd w:val="clear" w:color="auto" w:fill="auto"/>
            <w:vAlign w:val="center"/>
          </w:tcPr>
          <w:p w:rsidR="00971AE2" w:rsidRPr="00BB52A5" w:rsidRDefault="00496360" w:rsidP="005144CB">
            <w:pPr>
              <w:spacing w:before="40" w:after="80" w:line="240" w:lineRule="exact"/>
              <w:jc w:val="lowKashida"/>
              <w:rPr>
                <w:rFonts w:hint="cs"/>
                <w:sz w:val="16"/>
                <w:szCs w:val="24"/>
                <w:lang w:val="fr-CH"/>
              </w:rPr>
            </w:pPr>
            <w:r>
              <w:rPr>
                <w:rFonts w:hint="cs"/>
                <w:sz w:val="16"/>
                <w:szCs w:val="24"/>
                <w:rtl/>
                <w:lang w:val="fr-CH"/>
              </w:rPr>
              <w:t>18-24</w:t>
            </w:r>
          </w:p>
        </w:tc>
      </w:tr>
      <w:tr w:rsidR="00971AE2" w:rsidRPr="00BB52A5">
        <w:tblPrEx>
          <w:tblCellMar>
            <w:top w:w="0" w:type="dxa"/>
            <w:bottom w:w="0" w:type="dxa"/>
          </w:tblCellMar>
        </w:tblPrEx>
        <w:trPr>
          <w:cantSplit/>
          <w:jc w:val="center"/>
        </w:trPr>
        <w:tc>
          <w:tcPr>
            <w:tcW w:w="821" w:type="dxa"/>
            <w:shd w:val="clear" w:color="auto" w:fill="auto"/>
            <w:vAlign w:val="center"/>
          </w:tcPr>
          <w:p w:rsidR="00CE5A2B" w:rsidRPr="00BB52A5" w:rsidRDefault="00C1093F" w:rsidP="00CE5A2B">
            <w:pPr>
              <w:spacing w:before="40" w:after="80" w:line="240" w:lineRule="exact"/>
              <w:jc w:val="lowKashida"/>
              <w:rPr>
                <w:rFonts w:hint="cs"/>
                <w:sz w:val="16"/>
                <w:szCs w:val="24"/>
                <w:lang w:val="fr-CH"/>
              </w:rPr>
            </w:pPr>
            <w:r>
              <w:rPr>
                <w:rFonts w:hint="cs"/>
                <w:sz w:val="16"/>
                <w:szCs w:val="24"/>
                <w:rtl/>
                <w:lang w:val="fr-CH"/>
              </w:rPr>
              <w:t>274</w:t>
            </w:r>
            <w:r w:rsidR="00CD4518">
              <w:rPr>
                <w:rFonts w:hint="cs"/>
                <w:sz w:val="16"/>
                <w:szCs w:val="24"/>
                <w:rtl/>
                <w:lang w:val="fr-CH"/>
              </w:rPr>
              <w:t>.</w:t>
            </w:r>
          </w:p>
        </w:tc>
        <w:tc>
          <w:tcPr>
            <w:tcW w:w="1236" w:type="dxa"/>
            <w:shd w:val="clear" w:color="auto" w:fill="auto"/>
            <w:vAlign w:val="center"/>
          </w:tcPr>
          <w:p w:rsidR="00971AE2" w:rsidRPr="00BB52A5" w:rsidRDefault="00C1093F" w:rsidP="005144CB">
            <w:pPr>
              <w:spacing w:before="40" w:after="80" w:line="240" w:lineRule="exact"/>
              <w:jc w:val="lowKashida"/>
              <w:rPr>
                <w:rFonts w:hint="cs"/>
                <w:sz w:val="16"/>
                <w:szCs w:val="24"/>
                <w:lang w:val="fr-CH"/>
              </w:rPr>
            </w:pPr>
            <w:r>
              <w:rPr>
                <w:rFonts w:hint="cs"/>
                <w:sz w:val="16"/>
                <w:szCs w:val="24"/>
                <w:rtl/>
                <w:lang w:val="fr-CH"/>
              </w:rPr>
              <w:t>323 494 7</w:t>
            </w:r>
          </w:p>
        </w:tc>
        <w:tc>
          <w:tcPr>
            <w:tcW w:w="927" w:type="dxa"/>
            <w:shd w:val="clear" w:color="auto" w:fill="auto"/>
            <w:vAlign w:val="center"/>
          </w:tcPr>
          <w:p w:rsidR="00971AE2" w:rsidRPr="00BB52A5" w:rsidRDefault="00C1093F" w:rsidP="005144CB">
            <w:pPr>
              <w:spacing w:before="40" w:after="80" w:line="240" w:lineRule="exact"/>
              <w:jc w:val="lowKashida"/>
              <w:rPr>
                <w:rFonts w:hint="cs"/>
                <w:sz w:val="16"/>
                <w:szCs w:val="24"/>
                <w:lang w:val="fr-CH"/>
              </w:rPr>
            </w:pPr>
            <w:r>
              <w:rPr>
                <w:rFonts w:hint="cs"/>
                <w:sz w:val="16"/>
                <w:szCs w:val="24"/>
                <w:rtl/>
                <w:lang w:val="fr-CH"/>
              </w:rPr>
              <w:t>593 20</w:t>
            </w:r>
          </w:p>
        </w:tc>
        <w:tc>
          <w:tcPr>
            <w:tcW w:w="824" w:type="dxa"/>
            <w:shd w:val="clear" w:color="auto" w:fill="auto"/>
            <w:vAlign w:val="center"/>
          </w:tcPr>
          <w:p w:rsidR="00971AE2" w:rsidRPr="00BB52A5" w:rsidRDefault="00500B0E" w:rsidP="005144CB">
            <w:pPr>
              <w:spacing w:before="40" w:after="80" w:line="240" w:lineRule="exact"/>
              <w:jc w:val="lowKashida"/>
              <w:rPr>
                <w:rFonts w:hint="cs"/>
                <w:sz w:val="16"/>
                <w:szCs w:val="24"/>
                <w:rtl/>
                <w:lang w:val="fr-CH"/>
              </w:rPr>
            </w:pPr>
            <w:r>
              <w:rPr>
                <w:rFonts w:hint="cs"/>
                <w:sz w:val="16"/>
                <w:szCs w:val="24"/>
                <w:rtl/>
                <w:lang w:val="fr-CH"/>
              </w:rPr>
              <w:t>455.3</w:t>
            </w:r>
          </w:p>
        </w:tc>
        <w:tc>
          <w:tcPr>
            <w:tcW w:w="1236"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373 890 3</w:t>
            </w:r>
          </w:p>
        </w:tc>
        <w:tc>
          <w:tcPr>
            <w:tcW w:w="824"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714 17</w:t>
            </w:r>
          </w:p>
        </w:tc>
        <w:tc>
          <w:tcPr>
            <w:tcW w:w="618"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79.9</w:t>
            </w:r>
          </w:p>
        </w:tc>
        <w:tc>
          <w:tcPr>
            <w:tcW w:w="1271"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950 603 3</w:t>
            </w:r>
          </w:p>
        </w:tc>
        <w:tc>
          <w:tcPr>
            <w:tcW w:w="926"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879 2</w:t>
            </w:r>
          </w:p>
        </w:tc>
        <w:tc>
          <w:tcPr>
            <w:tcW w:w="893"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25-34</w:t>
            </w:r>
          </w:p>
        </w:tc>
      </w:tr>
      <w:tr w:rsidR="00971AE2" w:rsidRPr="00BB52A5">
        <w:tblPrEx>
          <w:tblCellMar>
            <w:top w:w="0" w:type="dxa"/>
            <w:bottom w:w="0" w:type="dxa"/>
          </w:tblCellMar>
        </w:tblPrEx>
        <w:trPr>
          <w:cantSplit/>
          <w:trHeight w:val="634"/>
          <w:jc w:val="center"/>
        </w:trPr>
        <w:tc>
          <w:tcPr>
            <w:tcW w:w="821"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228.3</w:t>
            </w:r>
          </w:p>
        </w:tc>
        <w:tc>
          <w:tcPr>
            <w:tcW w:w="1236"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020 221 5</w:t>
            </w:r>
          </w:p>
        </w:tc>
        <w:tc>
          <w:tcPr>
            <w:tcW w:w="927"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922 11</w:t>
            </w:r>
          </w:p>
        </w:tc>
        <w:tc>
          <w:tcPr>
            <w:tcW w:w="824" w:type="dxa"/>
            <w:shd w:val="clear" w:color="auto" w:fill="auto"/>
            <w:vAlign w:val="center"/>
          </w:tcPr>
          <w:p w:rsidR="00971AE2" w:rsidRPr="00500B0E" w:rsidRDefault="00FC6F54" w:rsidP="005144CB">
            <w:pPr>
              <w:spacing w:before="40" w:after="80" w:line="240" w:lineRule="exact"/>
              <w:jc w:val="lowKashida"/>
              <w:rPr>
                <w:rFonts w:hint="cs"/>
                <w:sz w:val="16"/>
                <w:szCs w:val="24"/>
              </w:rPr>
            </w:pPr>
            <w:r>
              <w:rPr>
                <w:rFonts w:hint="cs"/>
                <w:sz w:val="16"/>
                <w:szCs w:val="24"/>
                <w:rtl/>
                <w:lang w:val="fr-CH"/>
              </w:rPr>
              <w:t>358</w:t>
            </w:r>
          </w:p>
        </w:tc>
        <w:tc>
          <w:tcPr>
            <w:tcW w:w="1236" w:type="dxa"/>
            <w:shd w:val="clear" w:color="auto" w:fill="auto"/>
            <w:vAlign w:val="center"/>
          </w:tcPr>
          <w:p w:rsidR="00971AE2" w:rsidRPr="00BB52A5" w:rsidRDefault="00FC6F54" w:rsidP="005144CB">
            <w:pPr>
              <w:pStyle w:val="Textodeglobo"/>
              <w:bidi/>
              <w:spacing w:before="40" w:after="80" w:line="240" w:lineRule="exact"/>
              <w:jc w:val="lowKashida"/>
              <w:rPr>
                <w:rFonts w:ascii="Times New Roman" w:hAnsi="Times New Roman" w:cs="Traditional Arabic" w:hint="cs"/>
                <w:szCs w:val="24"/>
              </w:rPr>
            </w:pPr>
            <w:r>
              <w:rPr>
                <w:rFonts w:ascii="Times New Roman" w:hAnsi="Times New Roman" w:cs="Traditional Arabic" w:hint="cs"/>
                <w:szCs w:val="24"/>
                <w:rtl/>
              </w:rPr>
              <w:t>283 677 2</w:t>
            </w:r>
          </w:p>
        </w:tc>
        <w:tc>
          <w:tcPr>
            <w:tcW w:w="824"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585 9</w:t>
            </w:r>
          </w:p>
        </w:tc>
        <w:tc>
          <w:tcPr>
            <w:tcW w:w="618"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91.9</w:t>
            </w:r>
          </w:p>
        </w:tc>
        <w:tc>
          <w:tcPr>
            <w:tcW w:w="1271"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737 543 2</w:t>
            </w:r>
          </w:p>
        </w:tc>
        <w:tc>
          <w:tcPr>
            <w:tcW w:w="926"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337 2</w:t>
            </w:r>
          </w:p>
        </w:tc>
        <w:tc>
          <w:tcPr>
            <w:tcW w:w="893"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44-35</w:t>
            </w:r>
          </w:p>
        </w:tc>
      </w:tr>
      <w:tr w:rsidR="00971AE2" w:rsidRPr="00BB52A5">
        <w:tblPrEx>
          <w:tblCellMar>
            <w:top w:w="0" w:type="dxa"/>
            <w:bottom w:w="0" w:type="dxa"/>
          </w:tblCellMar>
        </w:tblPrEx>
        <w:trPr>
          <w:cantSplit/>
          <w:jc w:val="center"/>
        </w:trPr>
        <w:tc>
          <w:tcPr>
            <w:tcW w:w="821"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109.6</w:t>
            </w:r>
          </w:p>
        </w:tc>
        <w:tc>
          <w:tcPr>
            <w:tcW w:w="1236" w:type="dxa"/>
            <w:shd w:val="clear" w:color="auto" w:fill="auto"/>
            <w:vAlign w:val="center"/>
          </w:tcPr>
          <w:p w:rsidR="00971AE2" w:rsidRPr="00BB52A5" w:rsidRDefault="00FC6F54" w:rsidP="005144CB">
            <w:pPr>
              <w:spacing w:before="40" w:after="80" w:line="240" w:lineRule="exact"/>
              <w:jc w:val="lowKashida"/>
              <w:rPr>
                <w:rFonts w:hint="cs"/>
                <w:sz w:val="16"/>
                <w:szCs w:val="24"/>
                <w:lang w:val="fr-CH"/>
              </w:rPr>
            </w:pPr>
            <w:r>
              <w:rPr>
                <w:rFonts w:hint="cs"/>
                <w:sz w:val="16"/>
                <w:szCs w:val="24"/>
                <w:rtl/>
                <w:lang w:val="fr-CH"/>
              </w:rPr>
              <w:t>231 374 4</w:t>
            </w:r>
          </w:p>
        </w:tc>
        <w:tc>
          <w:tcPr>
            <w:tcW w:w="927" w:type="dxa"/>
            <w:shd w:val="clear" w:color="auto" w:fill="auto"/>
            <w:vAlign w:val="center"/>
          </w:tcPr>
          <w:p w:rsidR="00971AE2" w:rsidRPr="00BB52A5" w:rsidRDefault="00FC6F54" w:rsidP="005144CB">
            <w:pPr>
              <w:spacing w:before="40" w:after="80" w:line="240" w:lineRule="exact"/>
              <w:jc w:val="lowKashida"/>
              <w:rPr>
                <w:rFonts w:hint="cs"/>
                <w:sz w:val="16"/>
                <w:szCs w:val="24"/>
              </w:rPr>
            </w:pPr>
            <w:r>
              <w:rPr>
                <w:rFonts w:hint="cs"/>
                <w:sz w:val="16"/>
                <w:szCs w:val="24"/>
                <w:rtl/>
              </w:rPr>
              <w:t>795 4</w:t>
            </w:r>
          </w:p>
        </w:tc>
        <w:tc>
          <w:tcPr>
            <w:tcW w:w="824" w:type="dxa"/>
            <w:shd w:val="clear" w:color="auto" w:fill="auto"/>
            <w:vAlign w:val="center"/>
          </w:tcPr>
          <w:p w:rsidR="00971AE2" w:rsidRPr="00BB52A5" w:rsidRDefault="00FC6F54" w:rsidP="005144CB">
            <w:pPr>
              <w:spacing w:before="40" w:after="80" w:line="240" w:lineRule="exact"/>
              <w:jc w:val="lowKashida"/>
              <w:rPr>
                <w:rFonts w:hint="cs"/>
                <w:sz w:val="16"/>
                <w:szCs w:val="24"/>
              </w:rPr>
            </w:pPr>
            <w:r>
              <w:rPr>
                <w:rFonts w:hint="cs"/>
                <w:sz w:val="16"/>
                <w:szCs w:val="24"/>
                <w:rtl/>
              </w:rPr>
              <w:t>140.5</w:t>
            </w:r>
          </w:p>
        </w:tc>
        <w:tc>
          <w:tcPr>
            <w:tcW w:w="1236" w:type="dxa"/>
            <w:shd w:val="clear" w:color="auto" w:fill="auto"/>
            <w:vAlign w:val="center"/>
          </w:tcPr>
          <w:p w:rsidR="00971AE2" w:rsidRPr="00BB52A5" w:rsidRDefault="00FC6F54" w:rsidP="005144CB">
            <w:pPr>
              <w:spacing w:before="40" w:after="80" w:line="240" w:lineRule="exact"/>
              <w:jc w:val="lowKashida"/>
              <w:rPr>
                <w:rFonts w:hint="cs"/>
                <w:sz w:val="16"/>
                <w:szCs w:val="24"/>
              </w:rPr>
            </w:pPr>
            <w:r>
              <w:rPr>
                <w:rFonts w:hint="cs"/>
                <w:sz w:val="16"/>
                <w:szCs w:val="24"/>
                <w:rtl/>
              </w:rPr>
              <w:t>728 231 2</w:t>
            </w:r>
          </w:p>
        </w:tc>
        <w:tc>
          <w:tcPr>
            <w:tcW w:w="824" w:type="dxa"/>
            <w:shd w:val="clear" w:color="auto" w:fill="auto"/>
            <w:vAlign w:val="center"/>
          </w:tcPr>
          <w:p w:rsidR="00971AE2" w:rsidRPr="00BB52A5" w:rsidRDefault="00FC6F54" w:rsidP="005144CB">
            <w:pPr>
              <w:spacing w:before="40" w:after="80" w:line="240" w:lineRule="exact"/>
              <w:jc w:val="lowKashida"/>
              <w:rPr>
                <w:rFonts w:hint="cs"/>
                <w:sz w:val="16"/>
                <w:szCs w:val="24"/>
              </w:rPr>
            </w:pPr>
            <w:r>
              <w:rPr>
                <w:rFonts w:hint="cs"/>
                <w:sz w:val="16"/>
                <w:szCs w:val="24"/>
                <w:rtl/>
              </w:rPr>
              <w:t>136 3</w:t>
            </w:r>
          </w:p>
        </w:tc>
        <w:tc>
          <w:tcPr>
            <w:tcW w:w="618" w:type="dxa"/>
            <w:shd w:val="clear" w:color="auto" w:fill="auto"/>
            <w:vAlign w:val="center"/>
          </w:tcPr>
          <w:p w:rsidR="00971AE2" w:rsidRPr="00BB52A5" w:rsidRDefault="00FC6F54" w:rsidP="005144CB">
            <w:pPr>
              <w:spacing w:before="40" w:after="80" w:line="240" w:lineRule="exact"/>
              <w:jc w:val="lowKashida"/>
              <w:rPr>
                <w:rFonts w:hint="cs"/>
                <w:sz w:val="16"/>
                <w:szCs w:val="24"/>
              </w:rPr>
            </w:pPr>
            <w:r>
              <w:rPr>
                <w:rFonts w:hint="cs"/>
                <w:sz w:val="16"/>
                <w:szCs w:val="24"/>
                <w:rtl/>
              </w:rPr>
              <w:t>77.4</w:t>
            </w:r>
          </w:p>
        </w:tc>
        <w:tc>
          <w:tcPr>
            <w:tcW w:w="1271" w:type="dxa"/>
            <w:shd w:val="clear" w:color="auto" w:fill="auto"/>
            <w:vAlign w:val="center"/>
          </w:tcPr>
          <w:p w:rsidR="00971AE2" w:rsidRPr="00BB52A5" w:rsidRDefault="00FC6F54" w:rsidP="005144CB">
            <w:pPr>
              <w:spacing w:before="40" w:after="80" w:line="240" w:lineRule="exact"/>
              <w:jc w:val="lowKashida"/>
              <w:rPr>
                <w:rFonts w:hint="cs"/>
                <w:sz w:val="16"/>
                <w:szCs w:val="24"/>
              </w:rPr>
            </w:pPr>
            <w:r>
              <w:rPr>
                <w:rFonts w:hint="cs"/>
                <w:sz w:val="16"/>
                <w:szCs w:val="24"/>
                <w:rtl/>
              </w:rPr>
              <w:t>503 142 2</w:t>
            </w:r>
          </w:p>
        </w:tc>
        <w:tc>
          <w:tcPr>
            <w:tcW w:w="926" w:type="dxa"/>
            <w:shd w:val="clear" w:color="auto" w:fill="auto"/>
            <w:vAlign w:val="center"/>
          </w:tcPr>
          <w:p w:rsidR="00971AE2" w:rsidRPr="00BB52A5" w:rsidRDefault="00FC6F54" w:rsidP="005144CB">
            <w:pPr>
              <w:spacing w:before="40" w:after="80" w:line="240" w:lineRule="exact"/>
              <w:jc w:val="lowKashida"/>
              <w:rPr>
                <w:rFonts w:hint="cs"/>
                <w:sz w:val="16"/>
                <w:szCs w:val="24"/>
              </w:rPr>
            </w:pPr>
            <w:r>
              <w:rPr>
                <w:rFonts w:hint="cs"/>
                <w:sz w:val="16"/>
                <w:szCs w:val="24"/>
                <w:rtl/>
              </w:rPr>
              <w:t>659 1</w:t>
            </w:r>
          </w:p>
        </w:tc>
        <w:tc>
          <w:tcPr>
            <w:tcW w:w="893" w:type="dxa"/>
            <w:shd w:val="clear" w:color="auto" w:fill="auto"/>
            <w:vAlign w:val="center"/>
          </w:tcPr>
          <w:p w:rsidR="00971AE2" w:rsidRPr="00BB52A5" w:rsidRDefault="00FC6F54" w:rsidP="005144CB">
            <w:pPr>
              <w:spacing w:before="40" w:after="80" w:line="240" w:lineRule="exact"/>
              <w:jc w:val="lowKashida"/>
              <w:rPr>
                <w:rFonts w:hint="cs"/>
                <w:sz w:val="16"/>
                <w:szCs w:val="24"/>
              </w:rPr>
            </w:pPr>
            <w:r>
              <w:rPr>
                <w:rFonts w:hint="cs"/>
                <w:sz w:val="16"/>
                <w:szCs w:val="24"/>
                <w:rtl/>
              </w:rPr>
              <w:t>45-59</w:t>
            </w:r>
          </w:p>
        </w:tc>
      </w:tr>
      <w:tr w:rsidR="00971AE2" w:rsidRPr="00BB52A5">
        <w:tblPrEx>
          <w:tblCellMar>
            <w:top w:w="0" w:type="dxa"/>
            <w:bottom w:w="0" w:type="dxa"/>
          </w:tblCellMar>
        </w:tblPrEx>
        <w:trPr>
          <w:cantSplit/>
          <w:jc w:val="center"/>
        </w:trPr>
        <w:tc>
          <w:tcPr>
            <w:tcW w:w="821" w:type="dxa"/>
            <w:shd w:val="clear" w:color="auto" w:fill="auto"/>
            <w:vAlign w:val="center"/>
          </w:tcPr>
          <w:p w:rsidR="00971AE2" w:rsidRPr="00BB52A5" w:rsidRDefault="00FC6F54" w:rsidP="005144CB">
            <w:pPr>
              <w:spacing w:before="40" w:after="80" w:line="240" w:lineRule="exact"/>
              <w:jc w:val="lowKashida"/>
              <w:rPr>
                <w:rFonts w:hint="cs"/>
                <w:sz w:val="16"/>
                <w:szCs w:val="24"/>
              </w:rPr>
            </w:pPr>
            <w:r>
              <w:rPr>
                <w:rFonts w:hint="cs"/>
                <w:sz w:val="16"/>
                <w:szCs w:val="24"/>
                <w:rtl/>
              </w:rPr>
              <w:t>42.8</w:t>
            </w:r>
          </w:p>
        </w:tc>
        <w:tc>
          <w:tcPr>
            <w:tcW w:w="1236" w:type="dxa"/>
            <w:shd w:val="clear" w:color="auto" w:fill="auto"/>
            <w:vAlign w:val="center"/>
          </w:tcPr>
          <w:p w:rsidR="00971AE2" w:rsidRPr="00BB52A5" w:rsidRDefault="00D676E1" w:rsidP="005144CB">
            <w:pPr>
              <w:spacing w:before="40" w:after="80" w:line="240" w:lineRule="exact"/>
              <w:jc w:val="lowKashida"/>
              <w:rPr>
                <w:rFonts w:hint="cs"/>
                <w:sz w:val="16"/>
                <w:szCs w:val="24"/>
              </w:rPr>
            </w:pPr>
            <w:r>
              <w:rPr>
                <w:rFonts w:hint="cs"/>
                <w:sz w:val="16"/>
                <w:szCs w:val="24"/>
                <w:rtl/>
              </w:rPr>
              <w:t>760 017 3</w:t>
            </w:r>
          </w:p>
        </w:tc>
        <w:tc>
          <w:tcPr>
            <w:tcW w:w="927" w:type="dxa"/>
            <w:shd w:val="clear" w:color="auto" w:fill="auto"/>
            <w:vAlign w:val="center"/>
          </w:tcPr>
          <w:p w:rsidR="00971AE2" w:rsidRPr="00BB52A5" w:rsidRDefault="00D676E1" w:rsidP="005144CB">
            <w:pPr>
              <w:spacing w:before="40" w:after="80" w:line="240" w:lineRule="exact"/>
              <w:jc w:val="lowKashida"/>
              <w:rPr>
                <w:rFonts w:hint="cs"/>
                <w:sz w:val="16"/>
                <w:szCs w:val="24"/>
              </w:rPr>
            </w:pPr>
            <w:r>
              <w:rPr>
                <w:rFonts w:hint="cs"/>
                <w:sz w:val="16"/>
                <w:szCs w:val="24"/>
                <w:rtl/>
              </w:rPr>
              <w:t>291 1</w:t>
            </w:r>
          </w:p>
        </w:tc>
        <w:tc>
          <w:tcPr>
            <w:tcW w:w="824" w:type="dxa"/>
            <w:shd w:val="clear" w:color="auto" w:fill="auto"/>
            <w:vAlign w:val="center"/>
          </w:tcPr>
          <w:p w:rsidR="00971AE2" w:rsidRPr="00BB52A5" w:rsidRDefault="00D676E1" w:rsidP="005144CB">
            <w:pPr>
              <w:spacing w:before="40" w:after="80" w:line="240" w:lineRule="exact"/>
              <w:jc w:val="lowKashida"/>
              <w:rPr>
                <w:rFonts w:hint="cs"/>
                <w:sz w:val="16"/>
                <w:szCs w:val="24"/>
              </w:rPr>
            </w:pPr>
            <w:r>
              <w:rPr>
                <w:rFonts w:hint="cs"/>
                <w:sz w:val="16"/>
                <w:szCs w:val="24"/>
                <w:rtl/>
              </w:rPr>
              <w:t>42.5</w:t>
            </w:r>
          </w:p>
        </w:tc>
        <w:tc>
          <w:tcPr>
            <w:tcW w:w="1236" w:type="dxa"/>
            <w:shd w:val="clear" w:color="auto" w:fill="auto"/>
            <w:vAlign w:val="center"/>
          </w:tcPr>
          <w:p w:rsidR="00971AE2" w:rsidRPr="00BB52A5" w:rsidRDefault="00D676E1" w:rsidP="005144CB">
            <w:pPr>
              <w:spacing w:before="40" w:after="80" w:line="240" w:lineRule="exact"/>
              <w:jc w:val="lowKashida"/>
              <w:rPr>
                <w:rFonts w:hint="cs"/>
                <w:sz w:val="16"/>
                <w:szCs w:val="24"/>
              </w:rPr>
            </w:pPr>
            <w:r>
              <w:rPr>
                <w:rFonts w:hint="cs"/>
                <w:sz w:val="16"/>
                <w:szCs w:val="24"/>
                <w:rtl/>
              </w:rPr>
              <w:t>622 574 1</w:t>
            </w:r>
          </w:p>
        </w:tc>
        <w:tc>
          <w:tcPr>
            <w:tcW w:w="824" w:type="dxa"/>
            <w:shd w:val="clear" w:color="auto" w:fill="auto"/>
            <w:vAlign w:val="center"/>
          </w:tcPr>
          <w:p w:rsidR="00971AE2" w:rsidRPr="00BB52A5" w:rsidRDefault="00D676E1" w:rsidP="005144CB">
            <w:pPr>
              <w:spacing w:before="40" w:after="80" w:line="240" w:lineRule="exact"/>
              <w:jc w:val="lowKashida"/>
              <w:rPr>
                <w:rFonts w:hint="cs"/>
                <w:sz w:val="16"/>
                <w:szCs w:val="24"/>
              </w:rPr>
            </w:pPr>
            <w:r>
              <w:rPr>
                <w:rFonts w:hint="cs"/>
                <w:sz w:val="16"/>
                <w:szCs w:val="24"/>
                <w:rtl/>
              </w:rPr>
              <w:t>670</w:t>
            </w:r>
          </w:p>
        </w:tc>
        <w:tc>
          <w:tcPr>
            <w:tcW w:w="618" w:type="dxa"/>
            <w:shd w:val="clear" w:color="auto" w:fill="auto"/>
            <w:vAlign w:val="center"/>
          </w:tcPr>
          <w:p w:rsidR="00971AE2" w:rsidRPr="00BB52A5" w:rsidRDefault="00D676E1" w:rsidP="005144CB">
            <w:pPr>
              <w:spacing w:before="40" w:after="80" w:line="240" w:lineRule="exact"/>
              <w:jc w:val="lowKashida"/>
              <w:rPr>
                <w:rFonts w:hint="cs"/>
                <w:sz w:val="16"/>
                <w:szCs w:val="24"/>
              </w:rPr>
            </w:pPr>
            <w:r>
              <w:rPr>
                <w:rFonts w:hint="cs"/>
                <w:sz w:val="16"/>
                <w:szCs w:val="24"/>
                <w:rtl/>
              </w:rPr>
              <w:t>43.0</w:t>
            </w:r>
          </w:p>
        </w:tc>
        <w:tc>
          <w:tcPr>
            <w:tcW w:w="1271" w:type="dxa"/>
            <w:shd w:val="clear" w:color="auto" w:fill="auto"/>
            <w:vAlign w:val="center"/>
          </w:tcPr>
          <w:p w:rsidR="00971AE2" w:rsidRPr="00BB52A5" w:rsidRDefault="00D676E1" w:rsidP="005144CB">
            <w:pPr>
              <w:spacing w:before="40" w:after="80" w:line="240" w:lineRule="exact"/>
              <w:jc w:val="lowKashida"/>
              <w:rPr>
                <w:rFonts w:hint="cs"/>
                <w:sz w:val="16"/>
                <w:szCs w:val="24"/>
              </w:rPr>
            </w:pPr>
            <w:r>
              <w:rPr>
                <w:rFonts w:hint="cs"/>
                <w:sz w:val="16"/>
                <w:szCs w:val="24"/>
                <w:rtl/>
              </w:rPr>
              <w:t>138 443 1</w:t>
            </w:r>
          </w:p>
        </w:tc>
        <w:tc>
          <w:tcPr>
            <w:tcW w:w="926" w:type="dxa"/>
            <w:shd w:val="clear" w:color="auto" w:fill="auto"/>
            <w:vAlign w:val="center"/>
          </w:tcPr>
          <w:p w:rsidR="00971AE2" w:rsidRPr="00BB52A5" w:rsidRDefault="00D676E1" w:rsidP="005144CB">
            <w:pPr>
              <w:spacing w:before="40" w:after="80" w:line="240" w:lineRule="exact"/>
              <w:jc w:val="lowKashida"/>
              <w:rPr>
                <w:rFonts w:hint="cs"/>
                <w:sz w:val="16"/>
                <w:szCs w:val="24"/>
              </w:rPr>
            </w:pPr>
            <w:r>
              <w:rPr>
                <w:rFonts w:hint="cs"/>
                <w:sz w:val="16"/>
                <w:szCs w:val="24"/>
                <w:rtl/>
              </w:rPr>
              <w:t>621</w:t>
            </w:r>
          </w:p>
        </w:tc>
        <w:tc>
          <w:tcPr>
            <w:tcW w:w="893" w:type="dxa"/>
            <w:shd w:val="clear" w:color="auto" w:fill="auto"/>
            <w:vAlign w:val="center"/>
          </w:tcPr>
          <w:p w:rsidR="00971AE2" w:rsidRPr="00BB52A5" w:rsidRDefault="00D676E1" w:rsidP="005144CB">
            <w:pPr>
              <w:spacing w:before="40" w:after="80" w:line="240" w:lineRule="exact"/>
              <w:jc w:val="lowKashida"/>
              <w:rPr>
                <w:rFonts w:hint="cs"/>
                <w:sz w:val="16"/>
                <w:szCs w:val="24"/>
              </w:rPr>
            </w:pPr>
            <w:r>
              <w:rPr>
                <w:rFonts w:hint="cs"/>
                <w:sz w:val="16"/>
                <w:szCs w:val="24"/>
                <w:rtl/>
              </w:rPr>
              <w:t xml:space="preserve">60 </w:t>
            </w:r>
            <w:r w:rsidR="008139C7">
              <w:rPr>
                <w:rFonts w:hint="cs"/>
                <w:sz w:val="16"/>
                <w:szCs w:val="24"/>
                <w:rtl/>
              </w:rPr>
              <w:t>&lt;</w:t>
            </w:r>
          </w:p>
        </w:tc>
      </w:tr>
      <w:tr w:rsidR="00971AE2" w:rsidRPr="00BB52A5">
        <w:tblPrEx>
          <w:tblCellMar>
            <w:top w:w="0" w:type="dxa"/>
            <w:bottom w:w="0" w:type="dxa"/>
          </w:tblCellMar>
        </w:tblPrEx>
        <w:trPr>
          <w:cantSplit/>
          <w:jc w:val="center"/>
        </w:trPr>
        <w:tc>
          <w:tcPr>
            <w:tcW w:w="821" w:type="dxa"/>
            <w:shd w:val="clear" w:color="auto" w:fill="auto"/>
            <w:vAlign w:val="center"/>
          </w:tcPr>
          <w:p w:rsidR="00971AE2" w:rsidRPr="00BB52A5" w:rsidRDefault="00971AE2" w:rsidP="005144CB">
            <w:pPr>
              <w:spacing w:before="40" w:after="80" w:line="240" w:lineRule="exact"/>
              <w:jc w:val="lowKashida"/>
              <w:rPr>
                <w:rFonts w:hint="cs"/>
                <w:sz w:val="16"/>
                <w:szCs w:val="24"/>
              </w:rPr>
            </w:pPr>
          </w:p>
        </w:tc>
        <w:tc>
          <w:tcPr>
            <w:tcW w:w="1236" w:type="dxa"/>
            <w:shd w:val="clear" w:color="auto" w:fill="auto"/>
            <w:vAlign w:val="center"/>
          </w:tcPr>
          <w:p w:rsidR="00971AE2" w:rsidRPr="00BB52A5" w:rsidRDefault="00971AE2" w:rsidP="005144CB">
            <w:pPr>
              <w:spacing w:before="40" w:after="80" w:line="240" w:lineRule="exact"/>
              <w:jc w:val="lowKashida"/>
              <w:rPr>
                <w:sz w:val="16"/>
                <w:szCs w:val="24"/>
              </w:rPr>
            </w:pPr>
          </w:p>
        </w:tc>
        <w:tc>
          <w:tcPr>
            <w:tcW w:w="927"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807</w:t>
            </w:r>
          </w:p>
        </w:tc>
        <w:tc>
          <w:tcPr>
            <w:tcW w:w="824" w:type="dxa"/>
            <w:shd w:val="clear" w:color="auto" w:fill="auto"/>
            <w:vAlign w:val="center"/>
          </w:tcPr>
          <w:p w:rsidR="00971AE2" w:rsidRPr="00BB52A5" w:rsidRDefault="00971AE2" w:rsidP="005144CB">
            <w:pPr>
              <w:spacing w:before="40" w:after="80" w:line="240" w:lineRule="exact"/>
              <w:jc w:val="lowKashida"/>
              <w:rPr>
                <w:sz w:val="16"/>
                <w:szCs w:val="24"/>
              </w:rPr>
            </w:pPr>
          </w:p>
        </w:tc>
        <w:tc>
          <w:tcPr>
            <w:tcW w:w="1236" w:type="dxa"/>
            <w:shd w:val="clear" w:color="auto" w:fill="auto"/>
            <w:vAlign w:val="center"/>
          </w:tcPr>
          <w:p w:rsidR="00971AE2" w:rsidRPr="00BB52A5" w:rsidRDefault="00971AE2" w:rsidP="005144CB">
            <w:pPr>
              <w:spacing w:before="40" w:after="80" w:line="240" w:lineRule="exact"/>
              <w:jc w:val="lowKashida"/>
              <w:rPr>
                <w:rFonts w:hint="cs"/>
                <w:sz w:val="16"/>
                <w:szCs w:val="24"/>
                <w:rtl/>
              </w:rPr>
            </w:pPr>
          </w:p>
        </w:tc>
        <w:tc>
          <w:tcPr>
            <w:tcW w:w="824"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552</w:t>
            </w:r>
          </w:p>
        </w:tc>
        <w:tc>
          <w:tcPr>
            <w:tcW w:w="618" w:type="dxa"/>
            <w:shd w:val="clear" w:color="auto" w:fill="auto"/>
            <w:vAlign w:val="center"/>
          </w:tcPr>
          <w:p w:rsidR="00971AE2" w:rsidRPr="00BB52A5" w:rsidRDefault="00971AE2" w:rsidP="005144CB">
            <w:pPr>
              <w:spacing w:before="40" w:after="80" w:line="240" w:lineRule="exact"/>
              <w:jc w:val="lowKashida"/>
              <w:rPr>
                <w:rFonts w:hint="cs"/>
                <w:sz w:val="16"/>
                <w:szCs w:val="24"/>
              </w:rPr>
            </w:pPr>
          </w:p>
        </w:tc>
        <w:tc>
          <w:tcPr>
            <w:tcW w:w="1271" w:type="dxa"/>
            <w:shd w:val="clear" w:color="auto" w:fill="auto"/>
            <w:vAlign w:val="center"/>
          </w:tcPr>
          <w:p w:rsidR="00971AE2" w:rsidRPr="00BB52A5" w:rsidRDefault="00971AE2" w:rsidP="005144CB">
            <w:pPr>
              <w:spacing w:before="40" w:after="80" w:line="240" w:lineRule="exact"/>
              <w:jc w:val="lowKashida"/>
              <w:rPr>
                <w:rFonts w:hint="cs"/>
                <w:sz w:val="16"/>
                <w:szCs w:val="24"/>
              </w:rPr>
            </w:pPr>
          </w:p>
        </w:tc>
        <w:tc>
          <w:tcPr>
            <w:tcW w:w="926"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255</w:t>
            </w:r>
          </w:p>
        </w:tc>
        <w:tc>
          <w:tcPr>
            <w:tcW w:w="893" w:type="dxa"/>
            <w:shd w:val="clear" w:color="auto" w:fill="auto"/>
            <w:vAlign w:val="center"/>
          </w:tcPr>
          <w:p w:rsidR="00971AE2" w:rsidRPr="00BB52A5" w:rsidRDefault="00971AE2" w:rsidP="005144CB">
            <w:pPr>
              <w:spacing w:before="40" w:after="80" w:line="240" w:lineRule="exact"/>
              <w:jc w:val="lowKashida"/>
              <w:rPr>
                <w:sz w:val="16"/>
                <w:szCs w:val="24"/>
              </w:rPr>
            </w:pPr>
            <w:r w:rsidRPr="00BB52A5">
              <w:rPr>
                <w:sz w:val="16"/>
                <w:szCs w:val="24"/>
              </w:rPr>
              <w:t>Sin Inf</w:t>
            </w:r>
          </w:p>
        </w:tc>
      </w:tr>
      <w:tr w:rsidR="00971AE2" w:rsidRPr="00BB52A5">
        <w:tblPrEx>
          <w:tblCellMar>
            <w:top w:w="0" w:type="dxa"/>
            <w:bottom w:w="0" w:type="dxa"/>
          </w:tblCellMar>
        </w:tblPrEx>
        <w:trPr>
          <w:cantSplit/>
          <w:jc w:val="center"/>
        </w:trPr>
        <w:tc>
          <w:tcPr>
            <w:tcW w:w="821"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158.4</w:t>
            </w:r>
          </w:p>
        </w:tc>
        <w:tc>
          <w:tcPr>
            <w:tcW w:w="1236"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838 775 43</w:t>
            </w:r>
          </w:p>
        </w:tc>
        <w:tc>
          <w:tcPr>
            <w:tcW w:w="927"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979 64</w:t>
            </w:r>
          </w:p>
        </w:tc>
        <w:tc>
          <w:tcPr>
            <w:tcW w:w="824"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228.3</w:t>
            </w:r>
          </w:p>
        </w:tc>
        <w:tc>
          <w:tcPr>
            <w:tcW w:w="1236"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857 214 22</w:t>
            </w:r>
          </w:p>
        </w:tc>
        <w:tc>
          <w:tcPr>
            <w:tcW w:w="824"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710 50</w:t>
            </w:r>
          </w:p>
        </w:tc>
        <w:tc>
          <w:tcPr>
            <w:tcW w:w="618"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66.2</w:t>
            </w:r>
          </w:p>
        </w:tc>
        <w:tc>
          <w:tcPr>
            <w:tcW w:w="1271"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981 561 21</w:t>
            </w:r>
          </w:p>
        </w:tc>
        <w:tc>
          <w:tcPr>
            <w:tcW w:w="926"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269 14</w:t>
            </w:r>
          </w:p>
        </w:tc>
        <w:tc>
          <w:tcPr>
            <w:tcW w:w="893" w:type="dxa"/>
            <w:shd w:val="clear" w:color="auto" w:fill="auto"/>
            <w:vAlign w:val="center"/>
          </w:tcPr>
          <w:p w:rsidR="00971AE2" w:rsidRPr="00BB52A5" w:rsidRDefault="00FD54FF" w:rsidP="005144CB">
            <w:pPr>
              <w:spacing w:before="40" w:after="80" w:line="240" w:lineRule="exact"/>
              <w:jc w:val="lowKashida"/>
              <w:rPr>
                <w:rFonts w:hint="cs"/>
                <w:sz w:val="16"/>
                <w:szCs w:val="24"/>
              </w:rPr>
            </w:pPr>
            <w:r>
              <w:rPr>
                <w:rFonts w:hint="cs"/>
                <w:sz w:val="16"/>
                <w:szCs w:val="24"/>
                <w:rtl/>
              </w:rPr>
              <w:t>المجموع</w:t>
            </w:r>
          </w:p>
        </w:tc>
      </w:tr>
    </w:tbl>
    <w:p w:rsidR="004404A1" w:rsidRPr="004404A1" w:rsidRDefault="004404A1" w:rsidP="00A343DF">
      <w:pPr>
        <w:spacing w:line="120" w:lineRule="exact"/>
        <w:jc w:val="lowKashida"/>
        <w:rPr>
          <w:rFonts w:hint="cs"/>
          <w:sz w:val="10"/>
          <w:rtl/>
        </w:rPr>
      </w:pPr>
    </w:p>
    <w:p w:rsidR="004404A1" w:rsidRPr="004404A1" w:rsidRDefault="004404A1" w:rsidP="00A343DF">
      <w:pPr>
        <w:spacing w:line="120" w:lineRule="exact"/>
        <w:jc w:val="lowKashida"/>
        <w:rPr>
          <w:rFonts w:hint="cs"/>
          <w:sz w:val="10"/>
          <w:rtl/>
        </w:rPr>
      </w:pPr>
    </w:p>
    <w:p w:rsidR="00971AE2" w:rsidRDefault="00971AE2" w:rsidP="00A343DF">
      <w:pPr>
        <w:pStyle w:val="SingleTxt"/>
        <w:rPr>
          <w:rFonts w:hint="cs"/>
          <w:rtl/>
          <w:lang w:bidi="ar-EG"/>
        </w:rPr>
      </w:pPr>
      <w:r>
        <w:rPr>
          <w:rFonts w:hint="cs"/>
          <w:rtl/>
          <w:lang w:bidi="ar-EG"/>
        </w:rPr>
        <w:tab/>
        <w:t>خلال عام 2002 صدر 337 10 قراراً بشأن سوء معاملة أطفال، كان الجاني في 38 في المائة من الحالات هو الأب وفي 28 في المائة من الحالات الأم، وتضرر من ذلك في الغالبية العظمى من الحالات أطفال من الجنسين تتراوح أعمارهم بين 5 سنوات و14 سنة</w:t>
      </w:r>
      <w:r w:rsidR="003D7EB4">
        <w:rPr>
          <w:rFonts w:hint="cs"/>
          <w:rtl/>
          <w:lang w:bidi="ar-EG"/>
        </w:rPr>
        <w:t>،</w:t>
      </w:r>
      <w:r>
        <w:rPr>
          <w:rFonts w:hint="cs"/>
          <w:rtl/>
          <w:lang w:bidi="ar-EG"/>
        </w:rPr>
        <w:t xml:space="preserve"> </w:t>
      </w:r>
    </w:p>
    <w:p w:rsidR="00971AE2" w:rsidRDefault="00971AE2" w:rsidP="00A343DF">
      <w:pPr>
        <w:pStyle w:val="SingleTxt"/>
        <w:rPr>
          <w:rFonts w:hint="cs"/>
          <w:rtl/>
          <w:lang w:bidi="ar-EG"/>
        </w:rPr>
      </w:pPr>
      <w:r>
        <w:rPr>
          <w:rFonts w:hint="cs"/>
          <w:rtl/>
          <w:lang w:bidi="ar-EG"/>
        </w:rPr>
        <w:tab/>
        <w:t>ووفقاً لبرنامج الحماية التابع للمؤسسة الكولومبية للرعاية الأسرية كان يوجد في المؤسسة في كانون الأول/ ديسمبر 2000 814 6 طفلاً بسبب سوء المعاملة، كان 197 منهم قد تعرضوا لسوء معاملة نفسية و087 2 للإهمال أو عدم الرعاية، و231 3 لسوء معاملة جسدية، و203 لسوء معاملة اجتماعية، و081 1  لاعتداء جنسي، و15 لسوء معاملة أثناء الحمل</w:t>
      </w:r>
      <w:r w:rsidR="003D7EB4">
        <w:rPr>
          <w:rFonts w:hint="cs"/>
          <w:rtl/>
          <w:lang w:bidi="ar-EG"/>
        </w:rPr>
        <w:t>،</w:t>
      </w:r>
      <w:r>
        <w:rPr>
          <w:rFonts w:hint="cs"/>
          <w:rtl/>
          <w:lang w:bidi="ar-EG"/>
        </w:rPr>
        <w:t xml:space="preserve"> وفي كانون الأول/ ديسمبر 2002 بلغ عدد الأطفال الذين أدخلوا المؤسسة بسبب سوء المعاملة إلى 554 8، منهم 239 بسبب اعتداء نفسي، و677 2 بسبب إهمال أو عدم رعاية، و871 بسبب سوء معاملة جسدية، و276 بسبب سوء معاملة اجتماعية، و450 1 بسبب اعتداء جنسي، و41 بسبب سوء معاملة أثناء الحمل</w:t>
      </w:r>
      <w:r w:rsidR="003D7EB4">
        <w:rPr>
          <w:rFonts w:hint="cs"/>
          <w:rtl/>
          <w:lang w:bidi="ar-EG"/>
        </w:rPr>
        <w:t>،</w:t>
      </w:r>
    </w:p>
    <w:p w:rsidR="00971AE2" w:rsidRDefault="00971AE2" w:rsidP="00A343DF">
      <w:pPr>
        <w:pStyle w:val="SingleTxt"/>
        <w:rPr>
          <w:rFonts w:hint="cs"/>
          <w:rtl/>
          <w:lang w:bidi="ar-EG"/>
        </w:rPr>
      </w:pPr>
      <w:r>
        <w:rPr>
          <w:rFonts w:hint="cs"/>
          <w:rtl/>
          <w:lang w:bidi="ar-EG"/>
        </w:rPr>
        <w:tab/>
        <w:t>وتبين الأرقام التي أبلغها المعهد الوطني للطب الشرعي أن 900 10 حالة من بين حالات العنف العائلي التي صدر بشأنها 585 68 قراراً في سنة 2000 تتعلق بأطفال دون سنة الثامنة عشرة</w:t>
      </w:r>
      <w:r w:rsidR="003D7EB4">
        <w:rPr>
          <w:rFonts w:hint="cs"/>
          <w:rtl/>
          <w:lang w:bidi="ar-EG"/>
        </w:rPr>
        <w:t>،</w:t>
      </w:r>
      <w:r>
        <w:rPr>
          <w:rFonts w:hint="cs"/>
          <w:rtl/>
          <w:lang w:bidi="ar-EG"/>
        </w:rPr>
        <w:t xml:space="preserve"> وفي 2001 كانت 921 10 حالة من الـ 681 69 حالة التي أبلغ عنها تتعلق بقصّر</w:t>
      </w:r>
      <w:r w:rsidR="003D7EB4">
        <w:rPr>
          <w:rFonts w:hint="cs"/>
          <w:rtl/>
          <w:lang w:bidi="ar-EG"/>
        </w:rPr>
        <w:t>،</w:t>
      </w:r>
    </w:p>
    <w:p w:rsidR="004404A1" w:rsidRPr="004404A1" w:rsidRDefault="004404A1" w:rsidP="00A343DF">
      <w:pPr>
        <w:pStyle w:val="SingleTxt"/>
        <w:spacing w:after="0" w:line="120" w:lineRule="exact"/>
        <w:rPr>
          <w:rFonts w:hint="cs"/>
          <w:sz w:val="10"/>
          <w:rtl/>
          <w:lang w:bidi="ar-EG"/>
        </w:rPr>
      </w:pPr>
    </w:p>
    <w:p w:rsidR="00971AE2" w:rsidRDefault="004404A1" w:rsidP="002E71C8">
      <w:pPr>
        <w:spacing w:line="360" w:lineRule="auto"/>
        <w:jc w:val="lowKashida"/>
        <w:rPr>
          <w:rFonts w:hint="cs"/>
          <w:b/>
          <w:bCs/>
          <w:rtl/>
        </w:rPr>
      </w:pPr>
      <w:r>
        <w:rPr>
          <w:rFonts w:hint="cs"/>
          <w:b/>
          <w:bCs/>
          <w:rtl/>
          <w:lang w:bidi="ar-EG"/>
        </w:rPr>
        <w:tab/>
        <w:t>ال</w:t>
      </w:r>
      <w:r w:rsidR="00971AE2">
        <w:rPr>
          <w:rFonts w:hint="cs"/>
          <w:b/>
          <w:bCs/>
          <w:rtl/>
          <w:lang w:bidi="ar-EG"/>
        </w:rPr>
        <w:t xml:space="preserve">عنف العائلي بين الزوجين2002 </w:t>
      </w:r>
      <w:r w:rsidR="002E71C8" w:rsidRPr="002E71C8">
        <w:rPr>
          <w:rFonts w:hint="cs"/>
          <w:vertAlign w:val="superscript"/>
          <w:rtl/>
        </w:rPr>
        <w:t>227</w:t>
      </w:r>
    </w:p>
    <w:tbl>
      <w:tblPr>
        <w:tblW w:w="0" w:type="auto"/>
        <w:jc w:val="center"/>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6"/>
        <w:gridCol w:w="1545"/>
        <w:gridCol w:w="1336"/>
        <w:gridCol w:w="2065"/>
        <w:gridCol w:w="1508"/>
      </w:tblGrid>
      <w:tr w:rsidR="00971AE2" w:rsidRPr="004404A1">
        <w:tblPrEx>
          <w:tblCellMar>
            <w:top w:w="0" w:type="dxa"/>
            <w:bottom w:w="0" w:type="dxa"/>
          </w:tblCellMar>
        </w:tblPrEx>
        <w:trPr>
          <w:tblHeader/>
          <w:jc w:val="center"/>
        </w:trPr>
        <w:tc>
          <w:tcPr>
            <w:tcW w:w="1476" w:type="dxa"/>
            <w:shd w:val="clear" w:color="auto" w:fill="FFFFFF"/>
            <w:vAlign w:val="center"/>
          </w:tcPr>
          <w:p w:rsidR="00971AE2" w:rsidRPr="007253FE" w:rsidRDefault="00064DB0" w:rsidP="00FE33A0">
            <w:pPr>
              <w:pStyle w:val="xl25"/>
              <w:bidi/>
              <w:spacing w:before="0" w:beforeAutospacing="0" w:after="0" w:afterAutospacing="0" w:line="420" w:lineRule="exact"/>
              <w:jc w:val="lowKashida"/>
              <w:rPr>
                <w:rFonts w:ascii="Times New Roman" w:eastAsia="Times New Roman" w:hAnsi="Times New Roman" w:cs="Traditional Arabic" w:hint="cs"/>
                <w:bCs w:val="0"/>
                <w:w w:val="103"/>
                <w:kern w:val="14"/>
                <w:sz w:val="24"/>
                <w:szCs w:val="24"/>
                <w:lang w:val="fr-CH" w:eastAsia="en-US"/>
              </w:rPr>
            </w:pPr>
            <w:r w:rsidRPr="007253FE">
              <w:rPr>
                <w:rFonts w:ascii="Times New Roman" w:eastAsia="Times New Roman" w:hAnsi="Times New Roman" w:cs="Traditional Arabic" w:hint="cs"/>
                <w:bCs w:val="0"/>
                <w:w w:val="103"/>
                <w:kern w:val="14"/>
                <w:sz w:val="24"/>
                <w:szCs w:val="24"/>
                <w:rtl/>
                <w:lang w:val="fr-CH" w:eastAsia="en-US"/>
              </w:rPr>
              <w:t>النسبة المئوية</w:t>
            </w:r>
          </w:p>
        </w:tc>
        <w:tc>
          <w:tcPr>
            <w:tcW w:w="1545" w:type="dxa"/>
            <w:shd w:val="clear" w:color="auto" w:fill="FFFFFF"/>
            <w:vAlign w:val="center"/>
          </w:tcPr>
          <w:p w:rsidR="00971AE2" w:rsidRPr="007253FE" w:rsidRDefault="00971AE2" w:rsidP="00FE33A0">
            <w:pPr>
              <w:spacing w:line="420" w:lineRule="exact"/>
              <w:jc w:val="lowKashida"/>
              <w:rPr>
                <w:rFonts w:hint="cs"/>
                <w:b/>
                <w:sz w:val="24"/>
                <w:szCs w:val="24"/>
                <w:lang w:val="fr-CH"/>
              </w:rPr>
            </w:pPr>
            <w:r w:rsidRPr="007253FE">
              <w:rPr>
                <w:rFonts w:hint="cs"/>
                <w:b/>
                <w:sz w:val="24"/>
                <w:szCs w:val="24"/>
                <w:rtl/>
                <w:lang w:val="fr-CH"/>
              </w:rPr>
              <w:t>المجموع</w:t>
            </w:r>
          </w:p>
        </w:tc>
        <w:tc>
          <w:tcPr>
            <w:tcW w:w="3401" w:type="dxa"/>
            <w:gridSpan w:val="2"/>
            <w:shd w:val="clear" w:color="auto" w:fill="FFFFFF"/>
            <w:vAlign w:val="center"/>
          </w:tcPr>
          <w:p w:rsidR="00971AE2" w:rsidRPr="007253FE" w:rsidRDefault="00971AE2" w:rsidP="00FE33A0">
            <w:pPr>
              <w:spacing w:line="420" w:lineRule="exact"/>
              <w:jc w:val="lowKashida"/>
              <w:rPr>
                <w:b/>
                <w:sz w:val="24"/>
                <w:szCs w:val="24"/>
              </w:rPr>
            </w:pPr>
            <w:r w:rsidRPr="007253FE">
              <w:rPr>
                <w:rFonts w:hint="cs"/>
                <w:b/>
                <w:sz w:val="24"/>
                <w:szCs w:val="24"/>
                <w:rtl/>
                <w:lang w:val="fr-CH"/>
              </w:rPr>
              <w:t>بين الزوجين</w:t>
            </w:r>
          </w:p>
        </w:tc>
        <w:tc>
          <w:tcPr>
            <w:tcW w:w="1508" w:type="dxa"/>
            <w:shd w:val="clear" w:color="auto" w:fill="FFFFFF"/>
            <w:vAlign w:val="center"/>
          </w:tcPr>
          <w:p w:rsidR="00971AE2" w:rsidRPr="007253FE" w:rsidRDefault="00971AE2" w:rsidP="00FE33A0">
            <w:pPr>
              <w:spacing w:line="420" w:lineRule="exact"/>
              <w:jc w:val="lowKashida"/>
              <w:rPr>
                <w:rFonts w:hint="cs"/>
                <w:b/>
                <w:sz w:val="24"/>
                <w:szCs w:val="24"/>
                <w:lang w:val="fr-CH"/>
              </w:rPr>
            </w:pPr>
            <w:r w:rsidRPr="007253FE">
              <w:rPr>
                <w:rFonts w:hint="cs"/>
                <w:b/>
                <w:sz w:val="24"/>
                <w:szCs w:val="24"/>
                <w:rtl/>
                <w:lang w:val="fr-CH"/>
              </w:rPr>
              <w:t>الفئات العمرية</w:t>
            </w:r>
          </w:p>
        </w:tc>
      </w:tr>
      <w:tr w:rsidR="00971AE2" w:rsidRPr="004404A1">
        <w:tblPrEx>
          <w:tblCellMar>
            <w:top w:w="0" w:type="dxa"/>
            <w:bottom w:w="0" w:type="dxa"/>
          </w:tblCellMar>
        </w:tblPrEx>
        <w:trPr>
          <w:jc w:val="center"/>
        </w:trPr>
        <w:tc>
          <w:tcPr>
            <w:tcW w:w="1476" w:type="dxa"/>
            <w:vAlign w:val="center"/>
          </w:tcPr>
          <w:p w:rsidR="00971AE2" w:rsidRPr="007253FE" w:rsidRDefault="00971AE2" w:rsidP="00FE33A0">
            <w:pPr>
              <w:spacing w:line="420" w:lineRule="exact"/>
              <w:jc w:val="lowKashida"/>
              <w:rPr>
                <w:rFonts w:hint="cs"/>
                <w:b/>
                <w:sz w:val="24"/>
                <w:szCs w:val="24"/>
                <w:lang w:val="fr-CH"/>
              </w:rPr>
            </w:pPr>
          </w:p>
        </w:tc>
        <w:tc>
          <w:tcPr>
            <w:tcW w:w="1545" w:type="dxa"/>
            <w:vAlign w:val="center"/>
          </w:tcPr>
          <w:p w:rsidR="00971AE2" w:rsidRPr="007253FE" w:rsidRDefault="00971AE2" w:rsidP="00FE33A0">
            <w:pPr>
              <w:spacing w:line="420" w:lineRule="exact"/>
              <w:jc w:val="lowKashida"/>
              <w:rPr>
                <w:b/>
                <w:sz w:val="24"/>
                <w:szCs w:val="24"/>
                <w:lang w:val="fr-CH"/>
              </w:rPr>
            </w:pPr>
          </w:p>
        </w:tc>
        <w:tc>
          <w:tcPr>
            <w:tcW w:w="1336" w:type="dxa"/>
            <w:vAlign w:val="center"/>
          </w:tcPr>
          <w:p w:rsidR="00971AE2" w:rsidRPr="007253FE" w:rsidRDefault="00971AE2" w:rsidP="00FE33A0">
            <w:pPr>
              <w:spacing w:line="420" w:lineRule="exact"/>
              <w:jc w:val="lowKashida"/>
              <w:rPr>
                <w:rFonts w:hint="cs"/>
                <w:b/>
                <w:sz w:val="24"/>
                <w:szCs w:val="24"/>
              </w:rPr>
            </w:pPr>
            <w:r w:rsidRPr="007253FE">
              <w:rPr>
                <w:rFonts w:hint="cs"/>
                <w:b/>
                <w:sz w:val="24"/>
                <w:szCs w:val="24"/>
                <w:rtl/>
              </w:rPr>
              <w:t>إناث</w:t>
            </w:r>
          </w:p>
        </w:tc>
        <w:tc>
          <w:tcPr>
            <w:tcW w:w="2065" w:type="dxa"/>
            <w:vAlign w:val="center"/>
          </w:tcPr>
          <w:p w:rsidR="00971AE2" w:rsidRPr="007253FE" w:rsidRDefault="00971AE2" w:rsidP="00FE33A0">
            <w:pPr>
              <w:spacing w:line="420" w:lineRule="exact"/>
              <w:jc w:val="lowKashida"/>
              <w:rPr>
                <w:rFonts w:hint="cs"/>
                <w:b/>
                <w:sz w:val="24"/>
                <w:szCs w:val="24"/>
              </w:rPr>
            </w:pPr>
            <w:r w:rsidRPr="007253FE">
              <w:rPr>
                <w:rFonts w:hint="cs"/>
                <w:b/>
                <w:sz w:val="24"/>
                <w:szCs w:val="24"/>
                <w:rtl/>
              </w:rPr>
              <w:t>ذكور</w:t>
            </w:r>
          </w:p>
        </w:tc>
        <w:tc>
          <w:tcPr>
            <w:tcW w:w="1508" w:type="dxa"/>
            <w:vAlign w:val="center"/>
          </w:tcPr>
          <w:p w:rsidR="00971AE2" w:rsidRPr="007253FE" w:rsidRDefault="00971AE2" w:rsidP="00FE33A0">
            <w:pPr>
              <w:spacing w:line="420" w:lineRule="exact"/>
              <w:jc w:val="lowKashida"/>
              <w:rPr>
                <w:b/>
                <w:sz w:val="24"/>
                <w:szCs w:val="24"/>
              </w:rPr>
            </w:pPr>
          </w:p>
        </w:tc>
      </w:tr>
      <w:tr w:rsidR="00971AE2" w:rsidRPr="004404A1">
        <w:tblPrEx>
          <w:tblCellMar>
            <w:top w:w="0" w:type="dxa"/>
            <w:bottom w:w="0" w:type="dxa"/>
          </w:tblCellMar>
        </w:tblPrEx>
        <w:trPr>
          <w:jc w:val="center"/>
        </w:trPr>
        <w:tc>
          <w:tcPr>
            <w:tcW w:w="1476" w:type="dxa"/>
            <w:vAlign w:val="center"/>
          </w:tcPr>
          <w:p w:rsidR="00971AE2" w:rsidRPr="007253FE" w:rsidRDefault="001055D7" w:rsidP="00FE33A0">
            <w:pPr>
              <w:spacing w:line="420" w:lineRule="exact"/>
              <w:jc w:val="lowKashida"/>
              <w:rPr>
                <w:rFonts w:hint="cs"/>
                <w:sz w:val="24"/>
                <w:szCs w:val="24"/>
                <w:rtl/>
              </w:rPr>
            </w:pPr>
            <w:r w:rsidRPr="007253FE">
              <w:rPr>
                <w:rFonts w:hint="cs"/>
                <w:sz w:val="24"/>
                <w:szCs w:val="24"/>
                <w:rtl/>
              </w:rPr>
              <w:t>0.4</w:t>
            </w:r>
          </w:p>
        </w:tc>
        <w:tc>
          <w:tcPr>
            <w:tcW w:w="1545" w:type="dxa"/>
            <w:vAlign w:val="center"/>
          </w:tcPr>
          <w:p w:rsidR="00971AE2" w:rsidRPr="007253FE" w:rsidRDefault="001055D7" w:rsidP="00FE33A0">
            <w:pPr>
              <w:spacing w:line="420" w:lineRule="exact"/>
              <w:jc w:val="lowKashida"/>
              <w:rPr>
                <w:rFonts w:hint="cs"/>
                <w:sz w:val="24"/>
                <w:szCs w:val="24"/>
              </w:rPr>
            </w:pPr>
            <w:r w:rsidRPr="007253FE">
              <w:rPr>
                <w:rFonts w:hint="cs"/>
                <w:sz w:val="24"/>
                <w:szCs w:val="24"/>
                <w:rtl/>
              </w:rPr>
              <w:t>146</w:t>
            </w:r>
          </w:p>
        </w:tc>
        <w:tc>
          <w:tcPr>
            <w:tcW w:w="1336" w:type="dxa"/>
            <w:vAlign w:val="center"/>
          </w:tcPr>
          <w:p w:rsidR="00971AE2" w:rsidRPr="007253FE" w:rsidRDefault="001055D7" w:rsidP="00FE33A0">
            <w:pPr>
              <w:spacing w:line="420" w:lineRule="exact"/>
              <w:jc w:val="lowKashida"/>
              <w:rPr>
                <w:rFonts w:hint="cs"/>
                <w:sz w:val="24"/>
                <w:szCs w:val="24"/>
                <w:rtl/>
              </w:rPr>
            </w:pPr>
            <w:r w:rsidRPr="007253FE">
              <w:rPr>
                <w:rFonts w:hint="cs"/>
                <w:sz w:val="24"/>
                <w:szCs w:val="24"/>
                <w:rtl/>
              </w:rPr>
              <w:t>118</w:t>
            </w:r>
          </w:p>
        </w:tc>
        <w:tc>
          <w:tcPr>
            <w:tcW w:w="2065" w:type="dxa"/>
            <w:vAlign w:val="center"/>
          </w:tcPr>
          <w:p w:rsidR="00971AE2" w:rsidRPr="007253FE" w:rsidRDefault="001055D7" w:rsidP="00FE33A0">
            <w:pPr>
              <w:spacing w:line="420" w:lineRule="exact"/>
              <w:jc w:val="lowKashida"/>
              <w:rPr>
                <w:rFonts w:hint="cs"/>
                <w:sz w:val="24"/>
                <w:szCs w:val="24"/>
                <w:rtl/>
              </w:rPr>
            </w:pPr>
            <w:r w:rsidRPr="007253FE">
              <w:rPr>
                <w:rFonts w:hint="cs"/>
                <w:sz w:val="24"/>
                <w:szCs w:val="24"/>
                <w:rtl/>
              </w:rPr>
              <w:t>28</w:t>
            </w:r>
          </w:p>
        </w:tc>
        <w:tc>
          <w:tcPr>
            <w:tcW w:w="1508" w:type="dxa"/>
            <w:vAlign w:val="center"/>
          </w:tcPr>
          <w:p w:rsidR="00971AE2" w:rsidRPr="007253FE" w:rsidRDefault="00403F32" w:rsidP="00FE33A0">
            <w:pPr>
              <w:spacing w:line="420" w:lineRule="exact"/>
              <w:jc w:val="lowKashida"/>
              <w:rPr>
                <w:rFonts w:hint="cs"/>
                <w:sz w:val="24"/>
                <w:szCs w:val="24"/>
              </w:rPr>
            </w:pPr>
            <w:r w:rsidRPr="007253FE">
              <w:rPr>
                <w:rFonts w:hint="cs"/>
                <w:sz w:val="24"/>
                <w:szCs w:val="24"/>
                <w:rtl/>
              </w:rPr>
              <w:t>14-5</w:t>
            </w:r>
          </w:p>
        </w:tc>
      </w:tr>
      <w:tr w:rsidR="00971AE2" w:rsidRPr="004404A1">
        <w:tblPrEx>
          <w:tblCellMar>
            <w:top w:w="0" w:type="dxa"/>
            <w:bottom w:w="0" w:type="dxa"/>
          </w:tblCellMar>
        </w:tblPrEx>
        <w:trPr>
          <w:jc w:val="center"/>
        </w:trPr>
        <w:tc>
          <w:tcPr>
            <w:tcW w:w="1476" w:type="dxa"/>
            <w:vAlign w:val="center"/>
          </w:tcPr>
          <w:p w:rsidR="00971AE2" w:rsidRPr="007253FE" w:rsidRDefault="001055D7" w:rsidP="00FE33A0">
            <w:pPr>
              <w:spacing w:line="420" w:lineRule="exact"/>
              <w:jc w:val="lowKashida"/>
              <w:rPr>
                <w:rFonts w:hint="cs"/>
                <w:sz w:val="24"/>
                <w:szCs w:val="24"/>
                <w:rtl/>
              </w:rPr>
            </w:pPr>
            <w:r w:rsidRPr="007253FE">
              <w:rPr>
                <w:rFonts w:hint="cs"/>
                <w:sz w:val="24"/>
                <w:szCs w:val="24"/>
                <w:rtl/>
              </w:rPr>
              <w:t>3</w:t>
            </w:r>
          </w:p>
        </w:tc>
        <w:tc>
          <w:tcPr>
            <w:tcW w:w="1545" w:type="dxa"/>
            <w:vAlign w:val="center"/>
          </w:tcPr>
          <w:p w:rsidR="00971AE2" w:rsidRPr="007253FE" w:rsidRDefault="001055D7" w:rsidP="00FE33A0">
            <w:pPr>
              <w:spacing w:line="420" w:lineRule="exact"/>
              <w:jc w:val="lowKashida"/>
              <w:rPr>
                <w:rFonts w:hint="cs"/>
                <w:sz w:val="24"/>
                <w:szCs w:val="24"/>
              </w:rPr>
            </w:pPr>
            <w:r w:rsidRPr="007253FE">
              <w:rPr>
                <w:rFonts w:hint="cs"/>
                <w:sz w:val="24"/>
                <w:szCs w:val="24"/>
                <w:rtl/>
              </w:rPr>
              <w:t>220.1</w:t>
            </w:r>
          </w:p>
        </w:tc>
        <w:tc>
          <w:tcPr>
            <w:tcW w:w="1336" w:type="dxa"/>
            <w:vAlign w:val="center"/>
          </w:tcPr>
          <w:p w:rsidR="00971AE2" w:rsidRPr="007253FE" w:rsidRDefault="001055D7" w:rsidP="00FE33A0">
            <w:pPr>
              <w:spacing w:line="420" w:lineRule="exact"/>
              <w:jc w:val="lowKashida"/>
              <w:rPr>
                <w:rFonts w:hint="cs"/>
                <w:sz w:val="24"/>
                <w:szCs w:val="24"/>
              </w:rPr>
            </w:pPr>
            <w:r w:rsidRPr="007253FE">
              <w:rPr>
                <w:rFonts w:hint="cs"/>
                <w:sz w:val="24"/>
                <w:szCs w:val="24"/>
                <w:rtl/>
              </w:rPr>
              <w:t>162 1</w:t>
            </w:r>
          </w:p>
        </w:tc>
        <w:tc>
          <w:tcPr>
            <w:tcW w:w="2065" w:type="dxa"/>
            <w:vAlign w:val="center"/>
          </w:tcPr>
          <w:p w:rsidR="00971AE2" w:rsidRPr="007253FE" w:rsidRDefault="001055D7" w:rsidP="00FE33A0">
            <w:pPr>
              <w:spacing w:line="420" w:lineRule="exact"/>
              <w:jc w:val="lowKashida"/>
              <w:rPr>
                <w:sz w:val="24"/>
                <w:szCs w:val="24"/>
              </w:rPr>
            </w:pPr>
            <w:r w:rsidRPr="007253FE">
              <w:rPr>
                <w:rFonts w:hint="cs"/>
                <w:sz w:val="24"/>
                <w:szCs w:val="24"/>
                <w:rtl/>
              </w:rPr>
              <w:t>58</w:t>
            </w:r>
          </w:p>
        </w:tc>
        <w:tc>
          <w:tcPr>
            <w:tcW w:w="1508" w:type="dxa"/>
            <w:vAlign w:val="center"/>
          </w:tcPr>
          <w:p w:rsidR="00971AE2" w:rsidRPr="007253FE" w:rsidRDefault="001055D7" w:rsidP="00FE33A0">
            <w:pPr>
              <w:spacing w:line="420" w:lineRule="exact"/>
              <w:jc w:val="lowKashida"/>
              <w:rPr>
                <w:rFonts w:hint="cs"/>
                <w:sz w:val="24"/>
                <w:szCs w:val="24"/>
              </w:rPr>
            </w:pPr>
            <w:r w:rsidRPr="007253FE">
              <w:rPr>
                <w:rFonts w:hint="cs"/>
                <w:sz w:val="24"/>
                <w:szCs w:val="24"/>
                <w:rtl/>
              </w:rPr>
              <w:t>15-17</w:t>
            </w:r>
          </w:p>
        </w:tc>
      </w:tr>
      <w:tr w:rsidR="00971AE2" w:rsidRPr="004404A1">
        <w:tblPrEx>
          <w:tblCellMar>
            <w:top w:w="0" w:type="dxa"/>
            <w:bottom w:w="0" w:type="dxa"/>
          </w:tblCellMar>
        </w:tblPrEx>
        <w:trPr>
          <w:jc w:val="center"/>
        </w:trPr>
        <w:tc>
          <w:tcPr>
            <w:tcW w:w="1476" w:type="dxa"/>
            <w:vAlign w:val="center"/>
          </w:tcPr>
          <w:p w:rsidR="00971AE2" w:rsidRPr="007253FE" w:rsidRDefault="001055D7" w:rsidP="00FE33A0">
            <w:pPr>
              <w:spacing w:line="420" w:lineRule="exact"/>
              <w:jc w:val="lowKashida"/>
              <w:rPr>
                <w:rFonts w:hint="cs"/>
                <w:sz w:val="24"/>
                <w:szCs w:val="24"/>
              </w:rPr>
            </w:pPr>
            <w:r w:rsidRPr="007253FE">
              <w:rPr>
                <w:rFonts w:hint="cs"/>
                <w:sz w:val="24"/>
                <w:szCs w:val="24"/>
                <w:rtl/>
              </w:rPr>
              <w:t>25.6</w:t>
            </w:r>
          </w:p>
        </w:tc>
        <w:tc>
          <w:tcPr>
            <w:tcW w:w="1545" w:type="dxa"/>
            <w:vAlign w:val="center"/>
          </w:tcPr>
          <w:p w:rsidR="00971AE2" w:rsidRPr="007253FE" w:rsidRDefault="001055D7" w:rsidP="00FE33A0">
            <w:pPr>
              <w:spacing w:line="420" w:lineRule="exact"/>
              <w:jc w:val="lowKashida"/>
              <w:rPr>
                <w:rFonts w:hint="cs"/>
                <w:sz w:val="24"/>
                <w:szCs w:val="24"/>
              </w:rPr>
            </w:pPr>
            <w:r w:rsidRPr="007253FE">
              <w:rPr>
                <w:rFonts w:hint="cs"/>
                <w:sz w:val="24"/>
                <w:szCs w:val="24"/>
                <w:rtl/>
              </w:rPr>
              <w:t>226 10</w:t>
            </w:r>
          </w:p>
        </w:tc>
        <w:tc>
          <w:tcPr>
            <w:tcW w:w="1336" w:type="dxa"/>
            <w:vAlign w:val="center"/>
          </w:tcPr>
          <w:p w:rsidR="00971AE2" w:rsidRPr="007253FE" w:rsidRDefault="001055D7" w:rsidP="00FE33A0">
            <w:pPr>
              <w:spacing w:line="420" w:lineRule="exact"/>
              <w:jc w:val="lowKashida"/>
              <w:rPr>
                <w:rFonts w:hint="cs"/>
                <w:sz w:val="24"/>
                <w:szCs w:val="24"/>
              </w:rPr>
            </w:pPr>
            <w:r w:rsidRPr="007253FE">
              <w:rPr>
                <w:rFonts w:hint="cs"/>
                <w:sz w:val="24"/>
                <w:szCs w:val="24"/>
                <w:rtl/>
              </w:rPr>
              <w:t>727 9</w:t>
            </w:r>
          </w:p>
        </w:tc>
        <w:tc>
          <w:tcPr>
            <w:tcW w:w="2065" w:type="dxa"/>
            <w:vAlign w:val="center"/>
          </w:tcPr>
          <w:p w:rsidR="00971AE2" w:rsidRPr="007253FE" w:rsidRDefault="001055D7" w:rsidP="00FE33A0">
            <w:pPr>
              <w:spacing w:line="420" w:lineRule="exact"/>
              <w:jc w:val="lowKashida"/>
              <w:rPr>
                <w:rFonts w:hint="cs"/>
                <w:sz w:val="24"/>
                <w:szCs w:val="24"/>
              </w:rPr>
            </w:pPr>
            <w:r w:rsidRPr="007253FE">
              <w:rPr>
                <w:rFonts w:hint="cs"/>
                <w:sz w:val="24"/>
                <w:szCs w:val="24"/>
                <w:rtl/>
              </w:rPr>
              <w:t>499</w:t>
            </w:r>
          </w:p>
        </w:tc>
        <w:tc>
          <w:tcPr>
            <w:tcW w:w="1508" w:type="dxa"/>
            <w:vAlign w:val="center"/>
          </w:tcPr>
          <w:p w:rsidR="00971AE2" w:rsidRPr="007253FE" w:rsidRDefault="001055D7" w:rsidP="00FE33A0">
            <w:pPr>
              <w:spacing w:line="420" w:lineRule="exact"/>
              <w:jc w:val="lowKashida"/>
              <w:rPr>
                <w:rFonts w:hint="cs"/>
                <w:sz w:val="24"/>
                <w:szCs w:val="24"/>
              </w:rPr>
            </w:pPr>
            <w:r w:rsidRPr="007253FE">
              <w:rPr>
                <w:rFonts w:hint="cs"/>
                <w:sz w:val="24"/>
                <w:szCs w:val="24"/>
                <w:rtl/>
              </w:rPr>
              <w:t>18-24</w:t>
            </w:r>
          </w:p>
        </w:tc>
      </w:tr>
      <w:tr w:rsidR="00971AE2" w:rsidRPr="004404A1">
        <w:tblPrEx>
          <w:tblCellMar>
            <w:top w:w="0" w:type="dxa"/>
            <w:bottom w:w="0" w:type="dxa"/>
          </w:tblCellMar>
        </w:tblPrEx>
        <w:trPr>
          <w:jc w:val="center"/>
        </w:trPr>
        <w:tc>
          <w:tcPr>
            <w:tcW w:w="1476"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41</w:t>
            </w:r>
          </w:p>
        </w:tc>
        <w:tc>
          <w:tcPr>
            <w:tcW w:w="1545"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422 16</w:t>
            </w:r>
          </w:p>
        </w:tc>
        <w:tc>
          <w:tcPr>
            <w:tcW w:w="1336"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114 15</w:t>
            </w:r>
          </w:p>
        </w:tc>
        <w:tc>
          <w:tcPr>
            <w:tcW w:w="2065"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308 1</w:t>
            </w:r>
          </w:p>
        </w:tc>
        <w:tc>
          <w:tcPr>
            <w:tcW w:w="1508"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25 -34</w:t>
            </w:r>
          </w:p>
        </w:tc>
      </w:tr>
      <w:tr w:rsidR="00971AE2" w:rsidRPr="004404A1">
        <w:tblPrEx>
          <w:tblCellMar>
            <w:top w:w="0" w:type="dxa"/>
            <w:bottom w:w="0" w:type="dxa"/>
          </w:tblCellMar>
        </w:tblPrEx>
        <w:trPr>
          <w:jc w:val="center"/>
        </w:trPr>
        <w:tc>
          <w:tcPr>
            <w:tcW w:w="1476"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22</w:t>
            </w:r>
          </w:p>
        </w:tc>
        <w:tc>
          <w:tcPr>
            <w:tcW w:w="1545"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820 8</w:t>
            </w:r>
          </w:p>
        </w:tc>
        <w:tc>
          <w:tcPr>
            <w:tcW w:w="1336"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819 7</w:t>
            </w:r>
          </w:p>
        </w:tc>
        <w:tc>
          <w:tcPr>
            <w:tcW w:w="2065"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001 1</w:t>
            </w:r>
          </w:p>
        </w:tc>
        <w:tc>
          <w:tcPr>
            <w:tcW w:w="1508" w:type="dxa"/>
            <w:vAlign w:val="center"/>
          </w:tcPr>
          <w:p w:rsidR="00971AE2" w:rsidRPr="007253FE" w:rsidRDefault="00B029DD" w:rsidP="00FE33A0">
            <w:pPr>
              <w:spacing w:line="420" w:lineRule="exact"/>
              <w:jc w:val="lowKashida"/>
              <w:rPr>
                <w:rFonts w:hint="cs"/>
                <w:sz w:val="24"/>
                <w:szCs w:val="24"/>
                <w:rtl/>
              </w:rPr>
            </w:pPr>
            <w:r w:rsidRPr="007253FE">
              <w:rPr>
                <w:rFonts w:hint="cs"/>
                <w:sz w:val="24"/>
                <w:szCs w:val="24"/>
                <w:rtl/>
              </w:rPr>
              <w:t>35-44</w:t>
            </w:r>
          </w:p>
        </w:tc>
      </w:tr>
      <w:tr w:rsidR="00971AE2" w:rsidRPr="004404A1">
        <w:tblPrEx>
          <w:tblCellMar>
            <w:top w:w="0" w:type="dxa"/>
            <w:bottom w:w="0" w:type="dxa"/>
          </w:tblCellMar>
        </w:tblPrEx>
        <w:trPr>
          <w:jc w:val="center"/>
        </w:trPr>
        <w:tc>
          <w:tcPr>
            <w:tcW w:w="1476"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6.1</w:t>
            </w:r>
          </w:p>
        </w:tc>
        <w:tc>
          <w:tcPr>
            <w:tcW w:w="1545"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441 2</w:t>
            </w:r>
          </w:p>
        </w:tc>
        <w:tc>
          <w:tcPr>
            <w:tcW w:w="1336"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927 1</w:t>
            </w:r>
          </w:p>
        </w:tc>
        <w:tc>
          <w:tcPr>
            <w:tcW w:w="2065" w:type="dxa"/>
            <w:vAlign w:val="center"/>
          </w:tcPr>
          <w:p w:rsidR="00971AE2" w:rsidRPr="007253FE" w:rsidRDefault="00B029DD" w:rsidP="00FE33A0">
            <w:pPr>
              <w:spacing w:line="420" w:lineRule="exact"/>
              <w:jc w:val="lowKashida"/>
              <w:rPr>
                <w:rFonts w:hint="cs"/>
                <w:sz w:val="24"/>
                <w:szCs w:val="24"/>
              </w:rPr>
            </w:pPr>
            <w:r w:rsidRPr="007253FE">
              <w:rPr>
                <w:rFonts w:hint="cs"/>
                <w:sz w:val="24"/>
                <w:szCs w:val="24"/>
                <w:rtl/>
              </w:rPr>
              <w:t>514</w:t>
            </w:r>
          </w:p>
        </w:tc>
        <w:tc>
          <w:tcPr>
            <w:tcW w:w="1508" w:type="dxa"/>
            <w:vAlign w:val="center"/>
          </w:tcPr>
          <w:p w:rsidR="00971AE2" w:rsidRPr="007253FE" w:rsidRDefault="0080064D" w:rsidP="00FE33A0">
            <w:pPr>
              <w:spacing w:line="420" w:lineRule="exact"/>
              <w:jc w:val="lowKashida"/>
              <w:rPr>
                <w:rFonts w:hint="cs"/>
                <w:sz w:val="24"/>
                <w:szCs w:val="24"/>
              </w:rPr>
            </w:pPr>
            <w:r w:rsidRPr="007253FE">
              <w:rPr>
                <w:rFonts w:hint="cs"/>
                <w:sz w:val="24"/>
                <w:szCs w:val="24"/>
                <w:rtl/>
              </w:rPr>
              <w:t>45-59</w:t>
            </w:r>
          </w:p>
        </w:tc>
      </w:tr>
      <w:tr w:rsidR="00971AE2" w:rsidRPr="004404A1">
        <w:tblPrEx>
          <w:tblCellMar>
            <w:top w:w="0" w:type="dxa"/>
            <w:bottom w:w="0" w:type="dxa"/>
          </w:tblCellMar>
        </w:tblPrEx>
        <w:trPr>
          <w:jc w:val="center"/>
        </w:trPr>
        <w:tc>
          <w:tcPr>
            <w:tcW w:w="1476" w:type="dxa"/>
            <w:vAlign w:val="center"/>
          </w:tcPr>
          <w:p w:rsidR="00971AE2" w:rsidRPr="007253FE" w:rsidRDefault="0080064D" w:rsidP="00FE33A0">
            <w:pPr>
              <w:spacing w:line="420" w:lineRule="exact"/>
              <w:jc w:val="lowKashida"/>
              <w:rPr>
                <w:rFonts w:hint="cs"/>
                <w:sz w:val="24"/>
                <w:szCs w:val="24"/>
              </w:rPr>
            </w:pPr>
            <w:r w:rsidRPr="007253FE">
              <w:rPr>
                <w:rFonts w:hint="cs"/>
                <w:sz w:val="24"/>
                <w:szCs w:val="24"/>
                <w:rtl/>
              </w:rPr>
              <w:t>0.7</w:t>
            </w:r>
          </w:p>
        </w:tc>
        <w:tc>
          <w:tcPr>
            <w:tcW w:w="1545" w:type="dxa"/>
            <w:vAlign w:val="center"/>
          </w:tcPr>
          <w:p w:rsidR="00971AE2" w:rsidRPr="007253FE" w:rsidRDefault="0080064D" w:rsidP="00FE33A0">
            <w:pPr>
              <w:spacing w:line="420" w:lineRule="exact"/>
              <w:jc w:val="lowKashida"/>
              <w:rPr>
                <w:rFonts w:hint="cs"/>
                <w:sz w:val="24"/>
                <w:szCs w:val="24"/>
              </w:rPr>
            </w:pPr>
            <w:r w:rsidRPr="007253FE">
              <w:rPr>
                <w:rFonts w:hint="cs"/>
                <w:sz w:val="24"/>
                <w:szCs w:val="24"/>
                <w:rtl/>
              </w:rPr>
              <w:t>191</w:t>
            </w:r>
          </w:p>
        </w:tc>
        <w:tc>
          <w:tcPr>
            <w:tcW w:w="1336" w:type="dxa"/>
            <w:vAlign w:val="center"/>
          </w:tcPr>
          <w:p w:rsidR="00971AE2" w:rsidRPr="007253FE" w:rsidRDefault="0080064D" w:rsidP="00FE33A0">
            <w:pPr>
              <w:spacing w:line="420" w:lineRule="exact"/>
              <w:jc w:val="lowKashida"/>
              <w:rPr>
                <w:rFonts w:hint="cs"/>
                <w:sz w:val="24"/>
                <w:szCs w:val="24"/>
              </w:rPr>
            </w:pPr>
            <w:r w:rsidRPr="007253FE">
              <w:rPr>
                <w:rFonts w:hint="cs"/>
                <w:sz w:val="24"/>
                <w:szCs w:val="24"/>
                <w:rtl/>
              </w:rPr>
              <w:t>199</w:t>
            </w:r>
          </w:p>
        </w:tc>
        <w:tc>
          <w:tcPr>
            <w:tcW w:w="2065" w:type="dxa"/>
            <w:vAlign w:val="center"/>
          </w:tcPr>
          <w:p w:rsidR="00971AE2" w:rsidRPr="007253FE" w:rsidRDefault="0080064D" w:rsidP="00FE33A0">
            <w:pPr>
              <w:spacing w:line="420" w:lineRule="exact"/>
              <w:jc w:val="lowKashida"/>
              <w:rPr>
                <w:rFonts w:hint="cs"/>
                <w:sz w:val="24"/>
                <w:szCs w:val="24"/>
              </w:rPr>
            </w:pPr>
            <w:r w:rsidRPr="007253FE">
              <w:rPr>
                <w:rFonts w:hint="cs"/>
                <w:sz w:val="24"/>
                <w:szCs w:val="24"/>
                <w:rtl/>
              </w:rPr>
              <w:t>92</w:t>
            </w:r>
          </w:p>
        </w:tc>
        <w:tc>
          <w:tcPr>
            <w:tcW w:w="1508" w:type="dxa"/>
            <w:vAlign w:val="center"/>
          </w:tcPr>
          <w:p w:rsidR="00971AE2" w:rsidRPr="007253FE" w:rsidRDefault="0080064D" w:rsidP="00FE33A0">
            <w:pPr>
              <w:spacing w:line="420" w:lineRule="exact"/>
              <w:jc w:val="lowKashida"/>
              <w:rPr>
                <w:rFonts w:hint="cs"/>
                <w:sz w:val="24"/>
                <w:szCs w:val="24"/>
              </w:rPr>
            </w:pPr>
            <w:r w:rsidRPr="007253FE">
              <w:rPr>
                <w:rFonts w:hint="cs"/>
                <w:sz w:val="24"/>
                <w:szCs w:val="24"/>
                <w:rtl/>
              </w:rPr>
              <w:t>60 &lt;</w:t>
            </w:r>
          </w:p>
        </w:tc>
      </w:tr>
      <w:tr w:rsidR="00971AE2" w:rsidRPr="004404A1">
        <w:tblPrEx>
          <w:tblCellMar>
            <w:top w:w="0" w:type="dxa"/>
            <w:bottom w:w="0" w:type="dxa"/>
          </w:tblCellMar>
        </w:tblPrEx>
        <w:trPr>
          <w:jc w:val="center"/>
        </w:trPr>
        <w:tc>
          <w:tcPr>
            <w:tcW w:w="1476" w:type="dxa"/>
            <w:vAlign w:val="center"/>
          </w:tcPr>
          <w:p w:rsidR="00971AE2" w:rsidRPr="007253FE" w:rsidRDefault="002E43F0" w:rsidP="00FE33A0">
            <w:pPr>
              <w:spacing w:line="420" w:lineRule="exact"/>
              <w:jc w:val="lowKashida"/>
              <w:rPr>
                <w:rFonts w:hint="cs"/>
                <w:sz w:val="24"/>
                <w:szCs w:val="24"/>
                <w:rtl/>
              </w:rPr>
            </w:pPr>
            <w:r w:rsidRPr="007253FE">
              <w:rPr>
                <w:rFonts w:hint="cs"/>
                <w:sz w:val="24"/>
                <w:szCs w:val="24"/>
                <w:rtl/>
              </w:rPr>
              <w:t>1.2</w:t>
            </w:r>
          </w:p>
        </w:tc>
        <w:tc>
          <w:tcPr>
            <w:tcW w:w="1545" w:type="dxa"/>
            <w:vAlign w:val="center"/>
          </w:tcPr>
          <w:p w:rsidR="00971AE2" w:rsidRPr="007253FE" w:rsidRDefault="002E43F0" w:rsidP="00FE33A0">
            <w:pPr>
              <w:spacing w:line="420" w:lineRule="exact"/>
              <w:jc w:val="lowKashida"/>
              <w:rPr>
                <w:rFonts w:hint="cs"/>
                <w:sz w:val="24"/>
                <w:szCs w:val="24"/>
              </w:rPr>
            </w:pPr>
            <w:r w:rsidRPr="007253FE">
              <w:rPr>
                <w:rFonts w:hint="cs"/>
                <w:sz w:val="24"/>
                <w:szCs w:val="24"/>
                <w:rtl/>
              </w:rPr>
              <w:t>447</w:t>
            </w:r>
          </w:p>
        </w:tc>
        <w:tc>
          <w:tcPr>
            <w:tcW w:w="1336" w:type="dxa"/>
            <w:vAlign w:val="center"/>
          </w:tcPr>
          <w:p w:rsidR="00971AE2" w:rsidRPr="007253FE" w:rsidRDefault="002E43F0" w:rsidP="00FE33A0">
            <w:pPr>
              <w:spacing w:line="420" w:lineRule="exact"/>
              <w:jc w:val="lowKashida"/>
              <w:rPr>
                <w:rFonts w:hint="cs"/>
                <w:sz w:val="24"/>
                <w:szCs w:val="24"/>
              </w:rPr>
            </w:pPr>
            <w:r w:rsidRPr="007253FE">
              <w:rPr>
                <w:rFonts w:hint="cs"/>
                <w:sz w:val="24"/>
                <w:szCs w:val="24"/>
                <w:rtl/>
              </w:rPr>
              <w:t>394</w:t>
            </w:r>
          </w:p>
        </w:tc>
        <w:tc>
          <w:tcPr>
            <w:tcW w:w="2065" w:type="dxa"/>
            <w:vAlign w:val="center"/>
          </w:tcPr>
          <w:p w:rsidR="00971AE2" w:rsidRPr="007253FE" w:rsidRDefault="002E43F0" w:rsidP="00FE33A0">
            <w:pPr>
              <w:spacing w:line="420" w:lineRule="exact"/>
              <w:jc w:val="lowKashida"/>
              <w:rPr>
                <w:rFonts w:hint="cs"/>
                <w:sz w:val="24"/>
                <w:szCs w:val="24"/>
              </w:rPr>
            </w:pPr>
            <w:r w:rsidRPr="007253FE">
              <w:rPr>
                <w:rFonts w:hint="cs"/>
                <w:sz w:val="24"/>
                <w:szCs w:val="24"/>
                <w:rtl/>
              </w:rPr>
              <w:t>63</w:t>
            </w:r>
          </w:p>
        </w:tc>
        <w:tc>
          <w:tcPr>
            <w:tcW w:w="1508" w:type="dxa"/>
            <w:vAlign w:val="center"/>
          </w:tcPr>
          <w:p w:rsidR="00971AE2" w:rsidRPr="007253FE" w:rsidRDefault="00971AE2" w:rsidP="00FE33A0">
            <w:pPr>
              <w:spacing w:line="420" w:lineRule="exact"/>
              <w:jc w:val="lowKashida"/>
              <w:rPr>
                <w:sz w:val="24"/>
                <w:szCs w:val="24"/>
              </w:rPr>
            </w:pPr>
            <w:r w:rsidRPr="007253FE">
              <w:rPr>
                <w:sz w:val="24"/>
                <w:szCs w:val="24"/>
              </w:rPr>
              <w:t>Sin Inf</w:t>
            </w:r>
          </w:p>
        </w:tc>
      </w:tr>
      <w:tr w:rsidR="00971AE2" w:rsidRPr="004404A1">
        <w:tblPrEx>
          <w:tblCellMar>
            <w:top w:w="0" w:type="dxa"/>
            <w:bottom w:w="0" w:type="dxa"/>
          </w:tblCellMar>
        </w:tblPrEx>
        <w:trPr>
          <w:jc w:val="center"/>
        </w:trPr>
        <w:tc>
          <w:tcPr>
            <w:tcW w:w="1476" w:type="dxa"/>
            <w:vAlign w:val="center"/>
          </w:tcPr>
          <w:p w:rsidR="00971AE2" w:rsidRPr="007253FE" w:rsidRDefault="002E43F0" w:rsidP="00FE33A0">
            <w:pPr>
              <w:spacing w:line="420" w:lineRule="exact"/>
              <w:jc w:val="lowKashida"/>
              <w:rPr>
                <w:rFonts w:hint="cs"/>
                <w:b/>
                <w:sz w:val="24"/>
                <w:szCs w:val="24"/>
              </w:rPr>
            </w:pPr>
            <w:r w:rsidRPr="007253FE">
              <w:rPr>
                <w:rFonts w:hint="cs"/>
                <w:b/>
                <w:sz w:val="24"/>
                <w:szCs w:val="24"/>
                <w:rtl/>
              </w:rPr>
              <w:t>100</w:t>
            </w:r>
          </w:p>
        </w:tc>
        <w:tc>
          <w:tcPr>
            <w:tcW w:w="1545" w:type="dxa"/>
            <w:vAlign w:val="center"/>
          </w:tcPr>
          <w:p w:rsidR="00971AE2" w:rsidRPr="007253FE" w:rsidRDefault="002E43F0" w:rsidP="00FE33A0">
            <w:pPr>
              <w:spacing w:line="420" w:lineRule="exact"/>
              <w:jc w:val="lowKashida"/>
              <w:rPr>
                <w:rFonts w:hint="cs"/>
                <w:b/>
                <w:sz w:val="24"/>
                <w:szCs w:val="24"/>
              </w:rPr>
            </w:pPr>
            <w:r w:rsidRPr="007253FE">
              <w:rPr>
                <w:rFonts w:hint="cs"/>
                <w:b/>
                <w:sz w:val="24"/>
                <w:szCs w:val="24"/>
                <w:rtl/>
              </w:rPr>
              <w:t>013 40</w:t>
            </w:r>
          </w:p>
        </w:tc>
        <w:tc>
          <w:tcPr>
            <w:tcW w:w="1336" w:type="dxa"/>
            <w:vAlign w:val="center"/>
          </w:tcPr>
          <w:p w:rsidR="00971AE2" w:rsidRPr="007253FE" w:rsidRDefault="002E43F0" w:rsidP="00FE33A0">
            <w:pPr>
              <w:spacing w:line="420" w:lineRule="exact"/>
              <w:jc w:val="lowKashida"/>
              <w:rPr>
                <w:rFonts w:hint="cs"/>
                <w:b/>
                <w:sz w:val="24"/>
                <w:szCs w:val="24"/>
              </w:rPr>
            </w:pPr>
            <w:r w:rsidRPr="007253FE">
              <w:rPr>
                <w:rFonts w:hint="cs"/>
                <w:b/>
                <w:sz w:val="24"/>
                <w:szCs w:val="24"/>
                <w:rtl/>
              </w:rPr>
              <w:t>460 36</w:t>
            </w:r>
          </w:p>
        </w:tc>
        <w:tc>
          <w:tcPr>
            <w:tcW w:w="2065" w:type="dxa"/>
            <w:vAlign w:val="center"/>
          </w:tcPr>
          <w:p w:rsidR="00971AE2" w:rsidRPr="007253FE" w:rsidRDefault="002E43F0" w:rsidP="00FE33A0">
            <w:pPr>
              <w:spacing w:line="420" w:lineRule="exact"/>
              <w:jc w:val="lowKashida"/>
              <w:rPr>
                <w:rFonts w:hint="cs"/>
                <w:b/>
                <w:sz w:val="24"/>
                <w:szCs w:val="24"/>
              </w:rPr>
            </w:pPr>
            <w:r w:rsidRPr="007253FE">
              <w:rPr>
                <w:rFonts w:hint="cs"/>
                <w:b/>
                <w:sz w:val="24"/>
                <w:szCs w:val="24"/>
                <w:rtl/>
              </w:rPr>
              <w:t>552 3</w:t>
            </w:r>
          </w:p>
        </w:tc>
        <w:tc>
          <w:tcPr>
            <w:tcW w:w="1508" w:type="dxa"/>
            <w:vAlign w:val="center"/>
          </w:tcPr>
          <w:p w:rsidR="00971AE2" w:rsidRPr="007253FE" w:rsidRDefault="00971AE2" w:rsidP="00FE33A0">
            <w:pPr>
              <w:spacing w:line="420" w:lineRule="exact"/>
              <w:jc w:val="lowKashida"/>
              <w:rPr>
                <w:rFonts w:hint="cs"/>
                <w:b/>
                <w:sz w:val="24"/>
                <w:szCs w:val="24"/>
              </w:rPr>
            </w:pPr>
            <w:r w:rsidRPr="007253FE">
              <w:rPr>
                <w:rFonts w:hint="cs"/>
                <w:b/>
                <w:sz w:val="24"/>
                <w:szCs w:val="24"/>
                <w:rtl/>
              </w:rPr>
              <w:t>المجموع</w:t>
            </w:r>
          </w:p>
        </w:tc>
      </w:tr>
    </w:tbl>
    <w:p w:rsidR="004A1AC6" w:rsidRPr="004A1AC6" w:rsidRDefault="004A1AC6" w:rsidP="004A1AC6">
      <w:pPr>
        <w:spacing w:line="120" w:lineRule="exact"/>
        <w:jc w:val="lowKashida"/>
        <w:rPr>
          <w:rFonts w:hint="cs"/>
          <w:sz w:val="10"/>
          <w:rtl/>
        </w:rPr>
      </w:pPr>
    </w:p>
    <w:p w:rsidR="00971AE2" w:rsidRDefault="004A1AC6" w:rsidP="004A1AC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vertAlign w:val="superscript"/>
          <w:rtl/>
          <w:lang w:bidi="ar-EG"/>
        </w:rPr>
      </w:pPr>
      <w:r>
        <w:rPr>
          <w:rFonts w:hint="cs"/>
          <w:rtl/>
          <w:lang w:bidi="ar-EG"/>
        </w:rPr>
        <w:tab/>
      </w:r>
      <w:r>
        <w:rPr>
          <w:rFonts w:hint="cs"/>
          <w:rtl/>
          <w:lang w:bidi="ar-EG"/>
        </w:rPr>
        <w:tab/>
        <w:t>العنف اللفظي</w:t>
      </w:r>
      <w:r w:rsidRPr="004A1AC6">
        <w:rPr>
          <w:rFonts w:hint="cs"/>
          <w:b w:val="0"/>
          <w:bCs w:val="0"/>
          <w:vertAlign w:val="superscript"/>
          <w:rtl/>
          <w:lang w:bidi="ar-EG"/>
        </w:rPr>
        <w:t>228</w:t>
      </w:r>
    </w:p>
    <w:p w:rsidR="004A1AC6" w:rsidRPr="004A1AC6" w:rsidRDefault="004A1AC6" w:rsidP="004A1AC6">
      <w:pPr>
        <w:spacing w:line="120" w:lineRule="exact"/>
        <w:rPr>
          <w:rFonts w:hint="cs"/>
          <w:b/>
          <w:bCs/>
          <w:spacing w:val="2"/>
          <w:sz w:val="10"/>
          <w:rtl/>
          <w:lang w:bidi="ar-EG"/>
        </w:rPr>
      </w:pPr>
    </w:p>
    <w:tbl>
      <w:tblPr>
        <w:tblW w:w="0" w:type="auto"/>
        <w:jc w:val="center"/>
        <w:tblInd w:w="451" w:type="dxa"/>
        <w:tblLayout w:type="fixed"/>
        <w:tblCellMar>
          <w:left w:w="70" w:type="dxa"/>
          <w:right w:w="70" w:type="dxa"/>
        </w:tblCellMar>
        <w:tblLook w:val="0000" w:firstRow="0" w:lastRow="0" w:firstColumn="0" w:lastColumn="0" w:noHBand="0" w:noVBand="0"/>
      </w:tblPr>
      <w:tblGrid>
        <w:gridCol w:w="1169"/>
        <w:gridCol w:w="1260"/>
        <w:gridCol w:w="1800"/>
        <w:gridCol w:w="2340"/>
        <w:gridCol w:w="1260"/>
      </w:tblGrid>
      <w:tr w:rsidR="00971AE2" w:rsidRPr="004404A1">
        <w:tblPrEx>
          <w:tblCellMar>
            <w:top w:w="0" w:type="dxa"/>
            <w:bottom w:w="0" w:type="dxa"/>
          </w:tblCellMar>
        </w:tblPrEx>
        <w:trPr>
          <w:trHeight w:val="255"/>
          <w:jc w:val="center"/>
        </w:trPr>
        <w:tc>
          <w:tcPr>
            <w:tcW w:w="7829" w:type="dxa"/>
            <w:gridSpan w:val="5"/>
            <w:tcBorders>
              <w:top w:val="single" w:sz="4" w:space="0" w:color="auto"/>
              <w:left w:val="single" w:sz="4" w:space="0" w:color="auto"/>
              <w:bottom w:val="single" w:sz="4" w:space="0" w:color="auto"/>
              <w:right w:val="single" w:sz="4" w:space="0" w:color="auto"/>
            </w:tcBorders>
            <w:vAlign w:val="bottom"/>
          </w:tcPr>
          <w:p w:rsidR="00971AE2" w:rsidRPr="003231E3" w:rsidRDefault="00971AE2" w:rsidP="00263B1F">
            <w:pPr>
              <w:spacing w:line="420" w:lineRule="exact"/>
              <w:jc w:val="lowKashida"/>
              <w:rPr>
                <w:rFonts w:hint="cs"/>
                <w:b/>
                <w:sz w:val="32"/>
                <w:szCs w:val="32"/>
                <w:rtl/>
                <w:lang w:val="fr-CH"/>
              </w:rPr>
            </w:pPr>
            <w:r w:rsidRPr="003231E3">
              <w:rPr>
                <w:rFonts w:hint="cs"/>
                <w:b/>
                <w:sz w:val="32"/>
                <w:szCs w:val="32"/>
                <w:rtl/>
                <w:lang w:val="fr-CH"/>
              </w:rPr>
              <w:t>الأماكن التي حدثت فيها</w:t>
            </w:r>
          </w:p>
        </w:tc>
      </w:tr>
      <w:tr w:rsidR="00971AE2" w:rsidRPr="004404A1">
        <w:tblPrEx>
          <w:tblCellMar>
            <w:top w:w="0" w:type="dxa"/>
            <w:bottom w:w="0" w:type="dxa"/>
          </w:tblCellMar>
        </w:tblPrEx>
        <w:trPr>
          <w:trHeight w:val="255"/>
          <w:jc w:val="center"/>
        </w:trPr>
        <w:tc>
          <w:tcPr>
            <w:tcW w:w="1169" w:type="dxa"/>
            <w:tcBorders>
              <w:top w:val="nil"/>
              <w:left w:val="single" w:sz="4" w:space="0" w:color="auto"/>
              <w:bottom w:val="single" w:sz="4" w:space="0" w:color="auto"/>
              <w:right w:val="nil"/>
            </w:tcBorders>
            <w:vAlign w:val="bottom"/>
          </w:tcPr>
          <w:p w:rsidR="00971AE2" w:rsidRPr="007253FE" w:rsidRDefault="00971AE2" w:rsidP="00263B1F">
            <w:pPr>
              <w:spacing w:line="420" w:lineRule="exact"/>
              <w:jc w:val="lowKashida"/>
              <w:rPr>
                <w:rFonts w:hint="cs"/>
                <w:b/>
                <w:sz w:val="28"/>
                <w:szCs w:val="28"/>
              </w:rPr>
            </w:pPr>
            <w:r w:rsidRPr="007253FE">
              <w:rPr>
                <w:rFonts w:hint="cs"/>
                <w:b/>
                <w:sz w:val="28"/>
                <w:szCs w:val="28"/>
                <w:rtl/>
              </w:rPr>
              <w:t>النسبة الإجمالية</w:t>
            </w:r>
          </w:p>
        </w:tc>
        <w:tc>
          <w:tcPr>
            <w:tcW w:w="1260" w:type="dxa"/>
            <w:tcBorders>
              <w:top w:val="nil"/>
              <w:left w:val="single" w:sz="4" w:space="0" w:color="auto"/>
              <w:bottom w:val="single" w:sz="4" w:space="0" w:color="auto"/>
              <w:right w:val="nil"/>
            </w:tcBorders>
            <w:vAlign w:val="bottom"/>
          </w:tcPr>
          <w:p w:rsidR="00971AE2" w:rsidRPr="007253FE" w:rsidRDefault="00971AE2" w:rsidP="00263B1F">
            <w:pPr>
              <w:spacing w:line="420" w:lineRule="exact"/>
              <w:jc w:val="lowKashida"/>
              <w:rPr>
                <w:rFonts w:hint="cs"/>
                <w:b/>
                <w:sz w:val="28"/>
                <w:szCs w:val="28"/>
              </w:rPr>
            </w:pPr>
            <w:r w:rsidRPr="007253FE">
              <w:rPr>
                <w:rFonts w:hint="cs"/>
                <w:b/>
                <w:sz w:val="28"/>
                <w:szCs w:val="28"/>
                <w:rtl/>
              </w:rPr>
              <w:t>أماكن خاصة</w:t>
            </w:r>
          </w:p>
        </w:tc>
        <w:tc>
          <w:tcPr>
            <w:tcW w:w="1800" w:type="dxa"/>
            <w:tcBorders>
              <w:top w:val="nil"/>
              <w:left w:val="single" w:sz="4" w:space="0" w:color="auto"/>
              <w:bottom w:val="single" w:sz="4" w:space="0" w:color="auto"/>
              <w:right w:val="nil"/>
            </w:tcBorders>
            <w:vAlign w:val="bottom"/>
          </w:tcPr>
          <w:p w:rsidR="00971AE2" w:rsidRPr="007253FE" w:rsidRDefault="00971AE2" w:rsidP="00263B1F">
            <w:pPr>
              <w:pStyle w:val="Heading4"/>
              <w:spacing w:line="420" w:lineRule="exact"/>
              <w:jc w:val="lowKashida"/>
              <w:rPr>
                <w:rFonts w:hint="cs"/>
                <w:sz w:val="28"/>
                <w:szCs w:val="28"/>
              </w:rPr>
            </w:pPr>
            <w:r w:rsidRPr="007253FE">
              <w:rPr>
                <w:rFonts w:hint="cs"/>
                <w:sz w:val="28"/>
                <w:szCs w:val="28"/>
                <w:rtl/>
              </w:rPr>
              <w:t>أماكن عامة</w:t>
            </w:r>
          </w:p>
        </w:tc>
        <w:tc>
          <w:tcPr>
            <w:tcW w:w="2340" w:type="dxa"/>
            <w:tcBorders>
              <w:top w:val="nil"/>
              <w:left w:val="single" w:sz="4" w:space="0" w:color="auto"/>
              <w:bottom w:val="single" w:sz="4" w:space="0" w:color="auto"/>
              <w:right w:val="nil"/>
            </w:tcBorders>
            <w:vAlign w:val="bottom"/>
          </w:tcPr>
          <w:p w:rsidR="00971AE2" w:rsidRPr="007253FE" w:rsidRDefault="00971AE2" w:rsidP="00263B1F">
            <w:pPr>
              <w:spacing w:line="420" w:lineRule="exact"/>
              <w:jc w:val="lowKashida"/>
              <w:rPr>
                <w:rFonts w:hint="cs"/>
                <w:b/>
                <w:sz w:val="28"/>
                <w:szCs w:val="28"/>
                <w:rtl/>
                <w:lang w:val="fr-CH"/>
              </w:rPr>
            </w:pPr>
            <w:r w:rsidRPr="007253FE">
              <w:rPr>
                <w:rFonts w:hint="cs"/>
                <w:b/>
                <w:sz w:val="28"/>
                <w:szCs w:val="28"/>
                <w:rtl/>
                <w:lang w:val="fr-CH"/>
              </w:rPr>
              <w:t>الحالات غير الملزمة</w:t>
            </w:r>
          </w:p>
        </w:tc>
        <w:tc>
          <w:tcPr>
            <w:tcW w:w="1260" w:type="dxa"/>
            <w:tcBorders>
              <w:top w:val="nil"/>
              <w:left w:val="single" w:sz="4" w:space="0" w:color="auto"/>
              <w:bottom w:val="single" w:sz="4" w:space="0" w:color="auto"/>
              <w:right w:val="single" w:sz="4" w:space="0" w:color="auto"/>
            </w:tcBorders>
            <w:vAlign w:val="bottom"/>
          </w:tcPr>
          <w:p w:rsidR="00971AE2" w:rsidRPr="007253FE" w:rsidRDefault="00971AE2" w:rsidP="00263B1F">
            <w:pPr>
              <w:spacing w:line="420" w:lineRule="exact"/>
              <w:jc w:val="lowKashida"/>
              <w:rPr>
                <w:rFonts w:hint="cs"/>
                <w:b/>
                <w:sz w:val="28"/>
                <w:szCs w:val="28"/>
                <w:lang w:val="fr-CH"/>
              </w:rPr>
            </w:pPr>
            <w:r w:rsidRPr="007253FE">
              <w:rPr>
                <w:rFonts w:hint="cs"/>
                <w:b/>
                <w:sz w:val="28"/>
                <w:szCs w:val="28"/>
                <w:rtl/>
                <w:lang w:val="fr-CH"/>
              </w:rPr>
              <w:t>السن</w:t>
            </w:r>
          </w:p>
        </w:tc>
      </w:tr>
      <w:tr w:rsidR="00971AE2" w:rsidRPr="004404A1">
        <w:tblPrEx>
          <w:tblCellMar>
            <w:top w:w="0" w:type="dxa"/>
            <w:bottom w:w="0" w:type="dxa"/>
          </w:tblCellMar>
        </w:tblPrEx>
        <w:trPr>
          <w:trHeight w:val="255"/>
          <w:jc w:val="center"/>
        </w:trPr>
        <w:tc>
          <w:tcPr>
            <w:tcW w:w="1169" w:type="dxa"/>
            <w:tcBorders>
              <w:top w:val="nil"/>
              <w:left w:val="single" w:sz="4" w:space="0" w:color="auto"/>
              <w:bottom w:val="single" w:sz="4" w:space="0" w:color="auto"/>
              <w:right w:val="nil"/>
            </w:tcBorders>
            <w:vAlign w:val="bottom"/>
          </w:tcPr>
          <w:p w:rsidR="00971AE2" w:rsidRPr="007253FE" w:rsidRDefault="007929C7" w:rsidP="00263B1F">
            <w:pPr>
              <w:spacing w:line="420" w:lineRule="exact"/>
              <w:jc w:val="lowKashida"/>
              <w:rPr>
                <w:rFonts w:hint="cs"/>
                <w:sz w:val="28"/>
                <w:szCs w:val="28"/>
              </w:rPr>
            </w:pPr>
            <w:r w:rsidRPr="007253FE">
              <w:rPr>
                <w:rFonts w:hint="cs"/>
                <w:sz w:val="28"/>
                <w:szCs w:val="28"/>
                <w:rtl/>
              </w:rPr>
              <w:t xml:space="preserve">16.7 </w:t>
            </w:r>
            <w:r w:rsidRPr="007253FE">
              <w:rPr>
                <w:rFonts w:cs="Akhbar MT" w:hint="cs"/>
                <w:sz w:val="28"/>
                <w:szCs w:val="28"/>
                <w:rtl/>
              </w:rPr>
              <w:t>%</w:t>
            </w:r>
          </w:p>
        </w:tc>
        <w:tc>
          <w:tcPr>
            <w:tcW w:w="1260" w:type="dxa"/>
            <w:tcBorders>
              <w:top w:val="nil"/>
              <w:left w:val="single" w:sz="4" w:space="0" w:color="auto"/>
              <w:bottom w:val="single" w:sz="4" w:space="0" w:color="auto"/>
              <w:right w:val="nil"/>
            </w:tcBorders>
            <w:vAlign w:val="bottom"/>
          </w:tcPr>
          <w:p w:rsidR="00971AE2" w:rsidRPr="007253FE" w:rsidRDefault="007929C7" w:rsidP="00263B1F">
            <w:pPr>
              <w:spacing w:line="420" w:lineRule="exact"/>
              <w:jc w:val="lowKashida"/>
              <w:rPr>
                <w:sz w:val="28"/>
                <w:szCs w:val="28"/>
              </w:rPr>
            </w:pPr>
            <w:r w:rsidRPr="007253FE">
              <w:rPr>
                <w:rFonts w:hint="cs"/>
                <w:sz w:val="28"/>
                <w:szCs w:val="28"/>
                <w:rtl/>
              </w:rPr>
              <w:t xml:space="preserve">16.7 </w:t>
            </w:r>
            <w:r w:rsidRPr="007253FE">
              <w:rPr>
                <w:rFonts w:cs="Akhbar MT" w:hint="cs"/>
                <w:sz w:val="28"/>
                <w:szCs w:val="28"/>
                <w:rtl/>
              </w:rPr>
              <w:t>%</w:t>
            </w:r>
          </w:p>
        </w:tc>
        <w:tc>
          <w:tcPr>
            <w:tcW w:w="1800" w:type="dxa"/>
            <w:tcBorders>
              <w:top w:val="nil"/>
              <w:left w:val="single" w:sz="4" w:space="0" w:color="auto"/>
              <w:bottom w:val="single" w:sz="4" w:space="0" w:color="auto"/>
              <w:right w:val="nil"/>
            </w:tcBorders>
            <w:vAlign w:val="bottom"/>
          </w:tcPr>
          <w:p w:rsidR="00971AE2" w:rsidRPr="007253FE" w:rsidRDefault="009000DB" w:rsidP="00263B1F">
            <w:pPr>
              <w:spacing w:line="420" w:lineRule="exact"/>
              <w:jc w:val="lowKashida"/>
              <w:rPr>
                <w:rFonts w:hint="cs"/>
                <w:sz w:val="28"/>
                <w:szCs w:val="28"/>
                <w:rtl/>
              </w:rPr>
            </w:pPr>
            <w:r w:rsidRPr="007253FE">
              <w:rPr>
                <w:rFonts w:hint="cs"/>
                <w:sz w:val="28"/>
                <w:szCs w:val="28"/>
                <w:rtl/>
              </w:rPr>
              <w:t>15.1</w:t>
            </w:r>
            <w:r w:rsidR="005A3DD2" w:rsidRPr="007253FE">
              <w:rPr>
                <w:rFonts w:cs="Akhbar MT" w:hint="cs"/>
                <w:b/>
                <w:sz w:val="28"/>
                <w:szCs w:val="28"/>
                <w:rtl/>
              </w:rPr>
              <w:t>%</w:t>
            </w:r>
          </w:p>
        </w:tc>
        <w:tc>
          <w:tcPr>
            <w:tcW w:w="2340" w:type="dxa"/>
            <w:tcBorders>
              <w:top w:val="nil"/>
              <w:left w:val="single" w:sz="4" w:space="0" w:color="auto"/>
              <w:bottom w:val="single" w:sz="4" w:space="0" w:color="auto"/>
              <w:right w:val="nil"/>
            </w:tcBorders>
            <w:vAlign w:val="bottom"/>
          </w:tcPr>
          <w:p w:rsidR="00971AE2" w:rsidRPr="007253FE" w:rsidRDefault="007929C7" w:rsidP="00263B1F">
            <w:pPr>
              <w:spacing w:line="420" w:lineRule="exact"/>
              <w:jc w:val="lowKashida"/>
              <w:rPr>
                <w:sz w:val="28"/>
                <w:szCs w:val="28"/>
              </w:rPr>
            </w:pPr>
            <w:r w:rsidRPr="007253FE">
              <w:rPr>
                <w:rFonts w:hint="cs"/>
                <w:sz w:val="28"/>
                <w:szCs w:val="28"/>
                <w:rtl/>
              </w:rPr>
              <w:t xml:space="preserve">16.7 </w:t>
            </w:r>
            <w:r w:rsidRPr="007253FE">
              <w:rPr>
                <w:rFonts w:cs="Akhbar MT" w:hint="cs"/>
                <w:sz w:val="28"/>
                <w:szCs w:val="28"/>
                <w:rtl/>
              </w:rPr>
              <w:t>%</w:t>
            </w:r>
          </w:p>
        </w:tc>
        <w:tc>
          <w:tcPr>
            <w:tcW w:w="1260" w:type="dxa"/>
            <w:tcBorders>
              <w:top w:val="nil"/>
              <w:left w:val="single" w:sz="4" w:space="0" w:color="auto"/>
              <w:bottom w:val="single" w:sz="4" w:space="0" w:color="auto"/>
              <w:right w:val="single" w:sz="4" w:space="0" w:color="auto"/>
            </w:tcBorders>
            <w:vAlign w:val="bottom"/>
          </w:tcPr>
          <w:p w:rsidR="00971AE2" w:rsidRPr="007253FE" w:rsidRDefault="009000DB" w:rsidP="00263B1F">
            <w:pPr>
              <w:spacing w:line="420" w:lineRule="exact"/>
              <w:jc w:val="lowKashida"/>
              <w:rPr>
                <w:rFonts w:hint="cs"/>
                <w:sz w:val="28"/>
                <w:szCs w:val="28"/>
              </w:rPr>
            </w:pPr>
            <w:r w:rsidRPr="007253FE">
              <w:rPr>
                <w:rFonts w:hint="cs"/>
                <w:sz w:val="28"/>
                <w:szCs w:val="28"/>
                <w:rtl/>
              </w:rPr>
              <w:t>15-19</w:t>
            </w:r>
          </w:p>
        </w:tc>
      </w:tr>
      <w:tr w:rsidR="00971AE2" w:rsidRPr="004404A1">
        <w:tblPrEx>
          <w:tblCellMar>
            <w:top w:w="0" w:type="dxa"/>
            <w:bottom w:w="0" w:type="dxa"/>
          </w:tblCellMar>
        </w:tblPrEx>
        <w:trPr>
          <w:trHeight w:val="255"/>
          <w:jc w:val="center"/>
        </w:trPr>
        <w:tc>
          <w:tcPr>
            <w:tcW w:w="1169" w:type="dxa"/>
            <w:tcBorders>
              <w:top w:val="nil"/>
              <w:left w:val="single" w:sz="4" w:space="0" w:color="auto"/>
              <w:bottom w:val="single" w:sz="4" w:space="0" w:color="auto"/>
              <w:right w:val="nil"/>
            </w:tcBorders>
            <w:vAlign w:val="bottom"/>
          </w:tcPr>
          <w:p w:rsidR="00971AE2" w:rsidRPr="007253FE" w:rsidRDefault="009000DB" w:rsidP="00263B1F">
            <w:pPr>
              <w:spacing w:line="420" w:lineRule="exact"/>
              <w:jc w:val="lowKashida"/>
              <w:rPr>
                <w:rFonts w:hint="cs"/>
                <w:sz w:val="28"/>
                <w:szCs w:val="28"/>
              </w:rPr>
            </w:pPr>
            <w:r w:rsidRPr="007253FE">
              <w:rPr>
                <w:rFonts w:hint="cs"/>
                <w:sz w:val="28"/>
                <w:szCs w:val="28"/>
                <w:rtl/>
              </w:rPr>
              <w:t>31.1</w:t>
            </w:r>
            <w:r w:rsidRPr="007253FE">
              <w:rPr>
                <w:rFonts w:cs="Akhbar MT" w:hint="cs"/>
                <w:sz w:val="28"/>
                <w:szCs w:val="28"/>
                <w:rtl/>
              </w:rPr>
              <w:t>%</w:t>
            </w:r>
          </w:p>
        </w:tc>
        <w:tc>
          <w:tcPr>
            <w:tcW w:w="1260" w:type="dxa"/>
            <w:tcBorders>
              <w:top w:val="nil"/>
              <w:left w:val="single" w:sz="4" w:space="0" w:color="auto"/>
              <w:bottom w:val="single" w:sz="4" w:space="0" w:color="auto"/>
              <w:right w:val="nil"/>
            </w:tcBorders>
            <w:vAlign w:val="bottom"/>
          </w:tcPr>
          <w:p w:rsidR="00971AE2" w:rsidRPr="007253FE" w:rsidRDefault="009000DB" w:rsidP="00263B1F">
            <w:pPr>
              <w:spacing w:line="420" w:lineRule="exact"/>
              <w:jc w:val="lowKashida"/>
              <w:rPr>
                <w:sz w:val="28"/>
                <w:szCs w:val="28"/>
              </w:rPr>
            </w:pPr>
            <w:r w:rsidRPr="007253FE">
              <w:rPr>
                <w:rFonts w:hint="cs"/>
                <w:sz w:val="28"/>
                <w:szCs w:val="28"/>
                <w:rtl/>
              </w:rPr>
              <w:t>31.1</w:t>
            </w:r>
            <w:r w:rsidRPr="007253FE">
              <w:rPr>
                <w:rFonts w:cs="Akhbar MT" w:hint="cs"/>
                <w:sz w:val="28"/>
                <w:szCs w:val="28"/>
                <w:rtl/>
              </w:rPr>
              <w:t>%</w:t>
            </w:r>
          </w:p>
        </w:tc>
        <w:tc>
          <w:tcPr>
            <w:tcW w:w="1800" w:type="dxa"/>
            <w:tcBorders>
              <w:top w:val="nil"/>
              <w:left w:val="single" w:sz="4" w:space="0" w:color="auto"/>
              <w:bottom w:val="single" w:sz="4" w:space="0" w:color="auto"/>
              <w:right w:val="nil"/>
            </w:tcBorders>
            <w:vAlign w:val="bottom"/>
          </w:tcPr>
          <w:p w:rsidR="00971AE2" w:rsidRPr="007253FE" w:rsidRDefault="009000DB" w:rsidP="00263B1F">
            <w:pPr>
              <w:spacing w:line="420" w:lineRule="exact"/>
              <w:jc w:val="lowKashida"/>
              <w:rPr>
                <w:sz w:val="28"/>
                <w:szCs w:val="28"/>
              </w:rPr>
            </w:pPr>
            <w:r w:rsidRPr="007253FE">
              <w:rPr>
                <w:rFonts w:hint="cs"/>
                <w:sz w:val="28"/>
                <w:szCs w:val="28"/>
                <w:rtl/>
              </w:rPr>
              <w:t>31.1</w:t>
            </w:r>
            <w:r w:rsidRPr="007253FE">
              <w:rPr>
                <w:rFonts w:cs="Akhbar MT" w:hint="cs"/>
                <w:sz w:val="28"/>
                <w:szCs w:val="28"/>
                <w:rtl/>
              </w:rPr>
              <w:t>%</w:t>
            </w:r>
          </w:p>
        </w:tc>
        <w:tc>
          <w:tcPr>
            <w:tcW w:w="2340" w:type="dxa"/>
            <w:tcBorders>
              <w:top w:val="nil"/>
              <w:left w:val="single" w:sz="4" w:space="0" w:color="auto"/>
              <w:bottom w:val="single" w:sz="4" w:space="0" w:color="auto"/>
              <w:right w:val="nil"/>
            </w:tcBorders>
            <w:vAlign w:val="bottom"/>
          </w:tcPr>
          <w:p w:rsidR="00971AE2" w:rsidRPr="007253FE" w:rsidRDefault="009000DB" w:rsidP="00263B1F">
            <w:pPr>
              <w:spacing w:line="420" w:lineRule="exact"/>
              <w:jc w:val="lowKashida"/>
              <w:rPr>
                <w:sz w:val="28"/>
                <w:szCs w:val="28"/>
              </w:rPr>
            </w:pPr>
            <w:r w:rsidRPr="007253FE">
              <w:rPr>
                <w:rFonts w:hint="cs"/>
                <w:sz w:val="28"/>
                <w:szCs w:val="28"/>
                <w:rtl/>
              </w:rPr>
              <w:t>31.1</w:t>
            </w:r>
            <w:r w:rsidRPr="007253FE">
              <w:rPr>
                <w:rFonts w:cs="Akhbar MT" w:hint="cs"/>
                <w:sz w:val="28"/>
                <w:szCs w:val="28"/>
                <w:rtl/>
              </w:rPr>
              <w:t>%</w:t>
            </w:r>
          </w:p>
        </w:tc>
        <w:tc>
          <w:tcPr>
            <w:tcW w:w="1260" w:type="dxa"/>
            <w:tcBorders>
              <w:top w:val="nil"/>
              <w:left w:val="single" w:sz="4" w:space="0" w:color="auto"/>
              <w:bottom w:val="single" w:sz="4" w:space="0" w:color="auto"/>
              <w:right w:val="single" w:sz="4" w:space="0" w:color="auto"/>
            </w:tcBorders>
            <w:vAlign w:val="bottom"/>
          </w:tcPr>
          <w:p w:rsidR="00971AE2" w:rsidRPr="007253FE" w:rsidRDefault="009000DB" w:rsidP="00263B1F">
            <w:pPr>
              <w:spacing w:line="420" w:lineRule="exact"/>
              <w:jc w:val="lowKashida"/>
              <w:rPr>
                <w:rFonts w:hint="cs"/>
                <w:sz w:val="28"/>
                <w:szCs w:val="28"/>
              </w:rPr>
            </w:pPr>
            <w:r w:rsidRPr="007253FE">
              <w:rPr>
                <w:rFonts w:hint="cs"/>
                <w:sz w:val="28"/>
                <w:szCs w:val="28"/>
                <w:rtl/>
              </w:rPr>
              <w:t>20-24</w:t>
            </w:r>
          </w:p>
        </w:tc>
      </w:tr>
      <w:tr w:rsidR="00971AE2" w:rsidRPr="004404A1">
        <w:tblPrEx>
          <w:tblCellMar>
            <w:top w:w="0" w:type="dxa"/>
            <w:bottom w:w="0" w:type="dxa"/>
          </w:tblCellMar>
        </w:tblPrEx>
        <w:trPr>
          <w:trHeight w:val="255"/>
          <w:jc w:val="center"/>
        </w:trPr>
        <w:tc>
          <w:tcPr>
            <w:tcW w:w="1169" w:type="dxa"/>
            <w:tcBorders>
              <w:top w:val="nil"/>
              <w:left w:val="single" w:sz="4" w:space="0" w:color="auto"/>
              <w:bottom w:val="single" w:sz="4" w:space="0" w:color="auto"/>
              <w:right w:val="nil"/>
            </w:tcBorders>
            <w:vAlign w:val="bottom"/>
          </w:tcPr>
          <w:p w:rsidR="00971AE2" w:rsidRPr="007253FE" w:rsidRDefault="00F71284" w:rsidP="00263B1F">
            <w:pPr>
              <w:spacing w:line="420" w:lineRule="exact"/>
              <w:jc w:val="lowKashida"/>
              <w:rPr>
                <w:rFonts w:hint="cs"/>
                <w:sz w:val="28"/>
                <w:szCs w:val="28"/>
              </w:rPr>
            </w:pPr>
            <w:r w:rsidRPr="007253FE">
              <w:rPr>
                <w:rFonts w:hint="cs"/>
                <w:sz w:val="28"/>
                <w:szCs w:val="28"/>
                <w:rtl/>
              </w:rPr>
              <w:t>21.8</w:t>
            </w:r>
            <w:r w:rsidRPr="007253FE">
              <w:rPr>
                <w:rFonts w:cs="Akhbar MT" w:hint="cs"/>
                <w:sz w:val="28"/>
                <w:szCs w:val="28"/>
                <w:rtl/>
              </w:rPr>
              <w:t>%</w:t>
            </w:r>
          </w:p>
        </w:tc>
        <w:tc>
          <w:tcPr>
            <w:tcW w:w="1260" w:type="dxa"/>
            <w:tcBorders>
              <w:top w:val="nil"/>
              <w:left w:val="single" w:sz="4" w:space="0" w:color="auto"/>
              <w:bottom w:val="single" w:sz="4" w:space="0" w:color="auto"/>
              <w:right w:val="nil"/>
            </w:tcBorders>
            <w:vAlign w:val="bottom"/>
          </w:tcPr>
          <w:p w:rsidR="00971AE2" w:rsidRPr="007253FE" w:rsidRDefault="00F71284" w:rsidP="00263B1F">
            <w:pPr>
              <w:spacing w:line="420" w:lineRule="exact"/>
              <w:jc w:val="lowKashida"/>
              <w:rPr>
                <w:sz w:val="28"/>
                <w:szCs w:val="28"/>
              </w:rPr>
            </w:pPr>
            <w:r w:rsidRPr="007253FE">
              <w:rPr>
                <w:rFonts w:hint="cs"/>
                <w:sz w:val="28"/>
                <w:szCs w:val="28"/>
                <w:rtl/>
              </w:rPr>
              <w:t>21.8</w:t>
            </w:r>
            <w:r w:rsidRPr="007253FE">
              <w:rPr>
                <w:rFonts w:cs="Akhbar MT" w:hint="cs"/>
                <w:sz w:val="28"/>
                <w:szCs w:val="28"/>
                <w:rtl/>
              </w:rPr>
              <w:t>%</w:t>
            </w:r>
          </w:p>
        </w:tc>
        <w:tc>
          <w:tcPr>
            <w:tcW w:w="1800" w:type="dxa"/>
            <w:tcBorders>
              <w:top w:val="nil"/>
              <w:left w:val="single" w:sz="4" w:space="0" w:color="auto"/>
              <w:bottom w:val="single" w:sz="4" w:space="0" w:color="auto"/>
              <w:right w:val="nil"/>
            </w:tcBorders>
            <w:vAlign w:val="bottom"/>
          </w:tcPr>
          <w:p w:rsidR="00971AE2" w:rsidRPr="007253FE" w:rsidRDefault="00F71284" w:rsidP="00263B1F">
            <w:pPr>
              <w:spacing w:line="420" w:lineRule="exact"/>
              <w:jc w:val="lowKashida"/>
              <w:rPr>
                <w:sz w:val="28"/>
                <w:szCs w:val="28"/>
              </w:rPr>
            </w:pPr>
            <w:r w:rsidRPr="007253FE">
              <w:rPr>
                <w:rFonts w:hint="cs"/>
                <w:sz w:val="28"/>
                <w:szCs w:val="28"/>
                <w:rtl/>
              </w:rPr>
              <w:t>21.8</w:t>
            </w:r>
            <w:r w:rsidRPr="007253FE">
              <w:rPr>
                <w:rFonts w:cs="Akhbar MT" w:hint="cs"/>
                <w:sz w:val="28"/>
                <w:szCs w:val="28"/>
                <w:rtl/>
              </w:rPr>
              <w:t>%</w:t>
            </w:r>
          </w:p>
        </w:tc>
        <w:tc>
          <w:tcPr>
            <w:tcW w:w="2340" w:type="dxa"/>
            <w:tcBorders>
              <w:top w:val="nil"/>
              <w:left w:val="single" w:sz="4" w:space="0" w:color="auto"/>
              <w:bottom w:val="single" w:sz="4" w:space="0" w:color="auto"/>
              <w:right w:val="nil"/>
            </w:tcBorders>
            <w:vAlign w:val="bottom"/>
          </w:tcPr>
          <w:p w:rsidR="00971AE2" w:rsidRPr="007253FE" w:rsidRDefault="00F71284" w:rsidP="00263B1F">
            <w:pPr>
              <w:spacing w:line="420" w:lineRule="exact"/>
              <w:jc w:val="lowKashida"/>
              <w:rPr>
                <w:sz w:val="28"/>
                <w:szCs w:val="28"/>
              </w:rPr>
            </w:pPr>
            <w:r w:rsidRPr="007253FE">
              <w:rPr>
                <w:rFonts w:hint="cs"/>
                <w:sz w:val="28"/>
                <w:szCs w:val="28"/>
                <w:rtl/>
              </w:rPr>
              <w:t>21.8</w:t>
            </w:r>
            <w:r w:rsidRPr="007253FE">
              <w:rPr>
                <w:rFonts w:cs="Akhbar MT" w:hint="cs"/>
                <w:sz w:val="28"/>
                <w:szCs w:val="28"/>
                <w:rtl/>
              </w:rPr>
              <w:t>%</w:t>
            </w:r>
          </w:p>
        </w:tc>
        <w:tc>
          <w:tcPr>
            <w:tcW w:w="1260" w:type="dxa"/>
            <w:tcBorders>
              <w:top w:val="nil"/>
              <w:left w:val="single" w:sz="4" w:space="0" w:color="auto"/>
              <w:bottom w:val="single" w:sz="4" w:space="0" w:color="auto"/>
              <w:right w:val="single" w:sz="4" w:space="0" w:color="auto"/>
            </w:tcBorders>
            <w:vAlign w:val="bottom"/>
          </w:tcPr>
          <w:p w:rsidR="00971AE2" w:rsidRPr="007253FE" w:rsidRDefault="00F71284" w:rsidP="00263B1F">
            <w:pPr>
              <w:spacing w:line="420" w:lineRule="exact"/>
              <w:jc w:val="lowKashida"/>
              <w:rPr>
                <w:rFonts w:hint="cs"/>
                <w:sz w:val="28"/>
                <w:szCs w:val="28"/>
              </w:rPr>
            </w:pPr>
            <w:r w:rsidRPr="007253FE">
              <w:rPr>
                <w:rFonts w:hint="cs"/>
                <w:sz w:val="28"/>
                <w:szCs w:val="28"/>
                <w:rtl/>
              </w:rPr>
              <w:t>25-29</w:t>
            </w:r>
          </w:p>
        </w:tc>
      </w:tr>
      <w:tr w:rsidR="00971AE2" w:rsidRPr="004404A1">
        <w:tblPrEx>
          <w:tblCellMar>
            <w:top w:w="0" w:type="dxa"/>
            <w:bottom w:w="0" w:type="dxa"/>
          </w:tblCellMar>
        </w:tblPrEx>
        <w:trPr>
          <w:trHeight w:val="255"/>
          <w:jc w:val="center"/>
        </w:trPr>
        <w:tc>
          <w:tcPr>
            <w:tcW w:w="1169" w:type="dxa"/>
            <w:tcBorders>
              <w:top w:val="nil"/>
              <w:left w:val="single" w:sz="4" w:space="0" w:color="auto"/>
              <w:bottom w:val="single" w:sz="4" w:space="0" w:color="auto"/>
              <w:right w:val="nil"/>
            </w:tcBorders>
            <w:vAlign w:val="bottom"/>
          </w:tcPr>
          <w:p w:rsidR="00971AE2" w:rsidRPr="007253FE" w:rsidRDefault="00244316" w:rsidP="00263B1F">
            <w:pPr>
              <w:spacing w:line="420" w:lineRule="exact"/>
              <w:jc w:val="lowKashida"/>
              <w:rPr>
                <w:rFonts w:hint="cs"/>
                <w:sz w:val="28"/>
                <w:szCs w:val="28"/>
              </w:rPr>
            </w:pPr>
            <w:r w:rsidRPr="007253FE">
              <w:rPr>
                <w:rFonts w:hint="cs"/>
                <w:sz w:val="28"/>
                <w:szCs w:val="28"/>
                <w:rtl/>
              </w:rPr>
              <w:t>23.3</w:t>
            </w:r>
            <w:r w:rsidRPr="007253FE">
              <w:rPr>
                <w:rFonts w:cs="Akhbar MT" w:hint="cs"/>
                <w:sz w:val="28"/>
                <w:szCs w:val="28"/>
                <w:rtl/>
              </w:rPr>
              <w:t>%</w:t>
            </w:r>
          </w:p>
        </w:tc>
        <w:tc>
          <w:tcPr>
            <w:tcW w:w="1260" w:type="dxa"/>
            <w:tcBorders>
              <w:top w:val="nil"/>
              <w:left w:val="single" w:sz="4" w:space="0" w:color="auto"/>
              <w:bottom w:val="single" w:sz="4" w:space="0" w:color="auto"/>
              <w:right w:val="nil"/>
            </w:tcBorders>
            <w:vAlign w:val="bottom"/>
          </w:tcPr>
          <w:p w:rsidR="00971AE2" w:rsidRPr="007253FE" w:rsidRDefault="00244316" w:rsidP="00263B1F">
            <w:pPr>
              <w:spacing w:line="420" w:lineRule="exact"/>
              <w:jc w:val="lowKashida"/>
              <w:rPr>
                <w:sz w:val="28"/>
                <w:szCs w:val="28"/>
              </w:rPr>
            </w:pPr>
            <w:r w:rsidRPr="007253FE">
              <w:rPr>
                <w:rFonts w:hint="cs"/>
                <w:sz w:val="28"/>
                <w:szCs w:val="28"/>
                <w:rtl/>
              </w:rPr>
              <w:t>23.3</w:t>
            </w:r>
            <w:r w:rsidRPr="007253FE">
              <w:rPr>
                <w:rFonts w:cs="Akhbar MT" w:hint="cs"/>
                <w:sz w:val="28"/>
                <w:szCs w:val="28"/>
                <w:rtl/>
              </w:rPr>
              <w:t>%</w:t>
            </w:r>
          </w:p>
        </w:tc>
        <w:tc>
          <w:tcPr>
            <w:tcW w:w="1800" w:type="dxa"/>
            <w:tcBorders>
              <w:top w:val="nil"/>
              <w:left w:val="single" w:sz="4" w:space="0" w:color="auto"/>
              <w:bottom w:val="single" w:sz="4" w:space="0" w:color="auto"/>
              <w:right w:val="nil"/>
            </w:tcBorders>
            <w:vAlign w:val="bottom"/>
          </w:tcPr>
          <w:p w:rsidR="00971AE2" w:rsidRPr="007253FE" w:rsidRDefault="00244316" w:rsidP="00263B1F">
            <w:pPr>
              <w:spacing w:line="420" w:lineRule="exact"/>
              <w:jc w:val="lowKashida"/>
              <w:rPr>
                <w:sz w:val="28"/>
                <w:szCs w:val="28"/>
              </w:rPr>
            </w:pPr>
            <w:r w:rsidRPr="007253FE">
              <w:rPr>
                <w:rFonts w:hint="cs"/>
                <w:sz w:val="28"/>
                <w:szCs w:val="28"/>
                <w:rtl/>
              </w:rPr>
              <w:t>23.3</w:t>
            </w:r>
            <w:r w:rsidRPr="007253FE">
              <w:rPr>
                <w:rFonts w:cs="Akhbar MT" w:hint="cs"/>
                <w:sz w:val="28"/>
                <w:szCs w:val="28"/>
                <w:rtl/>
              </w:rPr>
              <w:t>%</w:t>
            </w:r>
          </w:p>
        </w:tc>
        <w:tc>
          <w:tcPr>
            <w:tcW w:w="2340" w:type="dxa"/>
            <w:tcBorders>
              <w:top w:val="nil"/>
              <w:left w:val="single" w:sz="4" w:space="0" w:color="auto"/>
              <w:bottom w:val="single" w:sz="4" w:space="0" w:color="auto"/>
              <w:right w:val="nil"/>
            </w:tcBorders>
            <w:vAlign w:val="bottom"/>
          </w:tcPr>
          <w:p w:rsidR="00971AE2" w:rsidRPr="007253FE" w:rsidRDefault="00244316" w:rsidP="00263B1F">
            <w:pPr>
              <w:spacing w:line="420" w:lineRule="exact"/>
              <w:jc w:val="lowKashida"/>
              <w:rPr>
                <w:sz w:val="28"/>
                <w:szCs w:val="28"/>
              </w:rPr>
            </w:pPr>
            <w:r w:rsidRPr="007253FE">
              <w:rPr>
                <w:rFonts w:hint="cs"/>
                <w:sz w:val="28"/>
                <w:szCs w:val="28"/>
                <w:rtl/>
              </w:rPr>
              <w:t>23.3</w:t>
            </w:r>
            <w:r w:rsidRPr="007253FE">
              <w:rPr>
                <w:rFonts w:cs="Akhbar MT" w:hint="cs"/>
                <w:sz w:val="28"/>
                <w:szCs w:val="28"/>
                <w:rtl/>
              </w:rPr>
              <w:t>%</w:t>
            </w:r>
          </w:p>
        </w:tc>
        <w:tc>
          <w:tcPr>
            <w:tcW w:w="1260" w:type="dxa"/>
            <w:tcBorders>
              <w:top w:val="nil"/>
              <w:left w:val="single" w:sz="4" w:space="0" w:color="auto"/>
              <w:bottom w:val="single" w:sz="4" w:space="0" w:color="auto"/>
              <w:right w:val="single" w:sz="4" w:space="0" w:color="auto"/>
            </w:tcBorders>
            <w:vAlign w:val="bottom"/>
          </w:tcPr>
          <w:p w:rsidR="00971AE2" w:rsidRPr="007253FE" w:rsidRDefault="00244316" w:rsidP="00263B1F">
            <w:pPr>
              <w:spacing w:line="420" w:lineRule="exact"/>
              <w:jc w:val="lowKashida"/>
              <w:rPr>
                <w:rFonts w:hint="cs"/>
                <w:sz w:val="28"/>
                <w:szCs w:val="28"/>
              </w:rPr>
            </w:pPr>
            <w:r w:rsidRPr="007253FE">
              <w:rPr>
                <w:rFonts w:hint="cs"/>
                <w:sz w:val="28"/>
                <w:szCs w:val="28"/>
                <w:rtl/>
              </w:rPr>
              <w:t>30-34</w:t>
            </w:r>
          </w:p>
        </w:tc>
      </w:tr>
      <w:tr w:rsidR="00971AE2" w:rsidRPr="004404A1">
        <w:tblPrEx>
          <w:tblCellMar>
            <w:top w:w="0" w:type="dxa"/>
            <w:bottom w:w="0" w:type="dxa"/>
          </w:tblCellMar>
        </w:tblPrEx>
        <w:trPr>
          <w:trHeight w:val="255"/>
          <w:jc w:val="center"/>
        </w:trPr>
        <w:tc>
          <w:tcPr>
            <w:tcW w:w="1169"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rFonts w:hint="cs"/>
                <w:sz w:val="28"/>
                <w:szCs w:val="28"/>
              </w:rPr>
            </w:pPr>
            <w:r w:rsidRPr="007253FE">
              <w:rPr>
                <w:rFonts w:hint="cs"/>
                <w:sz w:val="28"/>
                <w:szCs w:val="28"/>
                <w:rtl/>
              </w:rPr>
              <w:t>26.2</w:t>
            </w:r>
            <w:r w:rsidRPr="007253FE">
              <w:rPr>
                <w:rFonts w:cs="Akhbar MT" w:hint="cs"/>
                <w:sz w:val="28"/>
                <w:szCs w:val="28"/>
                <w:rtl/>
              </w:rPr>
              <w:t>%</w:t>
            </w:r>
          </w:p>
        </w:tc>
        <w:tc>
          <w:tcPr>
            <w:tcW w:w="1260"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sz w:val="28"/>
                <w:szCs w:val="28"/>
              </w:rPr>
            </w:pPr>
            <w:r w:rsidRPr="007253FE">
              <w:rPr>
                <w:rFonts w:hint="cs"/>
                <w:sz w:val="28"/>
                <w:szCs w:val="28"/>
                <w:rtl/>
              </w:rPr>
              <w:t>26.2</w:t>
            </w:r>
            <w:r w:rsidRPr="007253FE">
              <w:rPr>
                <w:rFonts w:cs="Akhbar MT" w:hint="cs"/>
                <w:sz w:val="28"/>
                <w:szCs w:val="28"/>
                <w:rtl/>
              </w:rPr>
              <w:t>%</w:t>
            </w:r>
          </w:p>
        </w:tc>
        <w:tc>
          <w:tcPr>
            <w:tcW w:w="1800"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sz w:val="28"/>
                <w:szCs w:val="28"/>
              </w:rPr>
            </w:pPr>
            <w:r w:rsidRPr="007253FE">
              <w:rPr>
                <w:rFonts w:hint="cs"/>
                <w:sz w:val="28"/>
                <w:szCs w:val="28"/>
                <w:rtl/>
              </w:rPr>
              <w:t>26.2</w:t>
            </w:r>
            <w:r w:rsidRPr="007253FE">
              <w:rPr>
                <w:rFonts w:cs="Akhbar MT" w:hint="cs"/>
                <w:sz w:val="28"/>
                <w:szCs w:val="28"/>
                <w:rtl/>
              </w:rPr>
              <w:t>%</w:t>
            </w:r>
          </w:p>
        </w:tc>
        <w:tc>
          <w:tcPr>
            <w:tcW w:w="2340"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sz w:val="28"/>
                <w:szCs w:val="28"/>
              </w:rPr>
            </w:pPr>
            <w:r w:rsidRPr="007253FE">
              <w:rPr>
                <w:rFonts w:hint="cs"/>
                <w:sz w:val="28"/>
                <w:szCs w:val="28"/>
                <w:rtl/>
              </w:rPr>
              <w:t>26.2</w:t>
            </w:r>
            <w:r w:rsidRPr="007253FE">
              <w:rPr>
                <w:rFonts w:cs="Akhbar MT" w:hint="cs"/>
                <w:sz w:val="28"/>
                <w:szCs w:val="28"/>
                <w:rtl/>
              </w:rPr>
              <w:t>%</w:t>
            </w:r>
          </w:p>
        </w:tc>
        <w:tc>
          <w:tcPr>
            <w:tcW w:w="1260" w:type="dxa"/>
            <w:tcBorders>
              <w:top w:val="nil"/>
              <w:left w:val="single" w:sz="4" w:space="0" w:color="auto"/>
              <w:bottom w:val="single" w:sz="4" w:space="0" w:color="auto"/>
              <w:right w:val="single" w:sz="4" w:space="0" w:color="auto"/>
            </w:tcBorders>
            <w:vAlign w:val="bottom"/>
          </w:tcPr>
          <w:p w:rsidR="00971AE2" w:rsidRPr="007253FE" w:rsidRDefault="00CA2EBC" w:rsidP="00263B1F">
            <w:pPr>
              <w:spacing w:line="420" w:lineRule="exact"/>
              <w:jc w:val="lowKashida"/>
              <w:rPr>
                <w:rFonts w:hint="cs"/>
                <w:sz w:val="28"/>
                <w:szCs w:val="28"/>
              </w:rPr>
            </w:pPr>
            <w:r w:rsidRPr="007253FE">
              <w:rPr>
                <w:rFonts w:hint="cs"/>
                <w:sz w:val="28"/>
                <w:szCs w:val="28"/>
                <w:rtl/>
              </w:rPr>
              <w:t>35-39</w:t>
            </w:r>
          </w:p>
        </w:tc>
      </w:tr>
      <w:tr w:rsidR="00971AE2" w:rsidRPr="004404A1">
        <w:tblPrEx>
          <w:tblCellMar>
            <w:top w:w="0" w:type="dxa"/>
            <w:bottom w:w="0" w:type="dxa"/>
          </w:tblCellMar>
        </w:tblPrEx>
        <w:trPr>
          <w:trHeight w:val="255"/>
          <w:jc w:val="center"/>
        </w:trPr>
        <w:tc>
          <w:tcPr>
            <w:tcW w:w="1169"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rFonts w:cs="Akhbar MT" w:hint="cs"/>
                <w:sz w:val="28"/>
                <w:szCs w:val="28"/>
              </w:rPr>
            </w:pPr>
            <w:r w:rsidRPr="007253FE">
              <w:rPr>
                <w:rFonts w:hint="cs"/>
                <w:sz w:val="28"/>
                <w:szCs w:val="28"/>
                <w:rtl/>
              </w:rPr>
              <w:t>27.5</w:t>
            </w:r>
            <w:r w:rsidRPr="007253FE">
              <w:rPr>
                <w:rFonts w:cs="Akhbar MT" w:hint="cs"/>
                <w:sz w:val="28"/>
                <w:szCs w:val="28"/>
                <w:rtl/>
              </w:rPr>
              <w:t>%</w:t>
            </w:r>
          </w:p>
        </w:tc>
        <w:tc>
          <w:tcPr>
            <w:tcW w:w="1260"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sz w:val="28"/>
                <w:szCs w:val="28"/>
              </w:rPr>
            </w:pPr>
            <w:r w:rsidRPr="007253FE">
              <w:rPr>
                <w:rFonts w:hint="cs"/>
                <w:sz w:val="28"/>
                <w:szCs w:val="28"/>
                <w:rtl/>
              </w:rPr>
              <w:t>27.5</w:t>
            </w:r>
            <w:r w:rsidRPr="007253FE">
              <w:rPr>
                <w:rFonts w:cs="Akhbar MT" w:hint="cs"/>
                <w:sz w:val="28"/>
                <w:szCs w:val="28"/>
                <w:rtl/>
              </w:rPr>
              <w:t>%</w:t>
            </w:r>
          </w:p>
        </w:tc>
        <w:tc>
          <w:tcPr>
            <w:tcW w:w="1800"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sz w:val="28"/>
                <w:szCs w:val="28"/>
              </w:rPr>
            </w:pPr>
            <w:r w:rsidRPr="007253FE">
              <w:rPr>
                <w:rFonts w:hint="cs"/>
                <w:sz w:val="28"/>
                <w:szCs w:val="28"/>
                <w:rtl/>
              </w:rPr>
              <w:t>27.5</w:t>
            </w:r>
            <w:r w:rsidRPr="007253FE">
              <w:rPr>
                <w:rFonts w:cs="Akhbar MT" w:hint="cs"/>
                <w:sz w:val="28"/>
                <w:szCs w:val="28"/>
                <w:rtl/>
              </w:rPr>
              <w:t>%</w:t>
            </w:r>
          </w:p>
        </w:tc>
        <w:tc>
          <w:tcPr>
            <w:tcW w:w="2340"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sz w:val="28"/>
                <w:szCs w:val="28"/>
              </w:rPr>
            </w:pPr>
            <w:r w:rsidRPr="007253FE">
              <w:rPr>
                <w:rFonts w:hint="cs"/>
                <w:sz w:val="28"/>
                <w:szCs w:val="28"/>
                <w:rtl/>
              </w:rPr>
              <w:t>27.5</w:t>
            </w:r>
            <w:r w:rsidR="006739B5" w:rsidRPr="007253FE">
              <w:rPr>
                <w:rFonts w:cs="Akhbar MT" w:hint="cs"/>
                <w:b/>
                <w:sz w:val="28"/>
                <w:szCs w:val="28"/>
                <w:rtl/>
              </w:rPr>
              <w:t>%</w:t>
            </w:r>
          </w:p>
        </w:tc>
        <w:tc>
          <w:tcPr>
            <w:tcW w:w="1260" w:type="dxa"/>
            <w:tcBorders>
              <w:top w:val="nil"/>
              <w:left w:val="single" w:sz="4" w:space="0" w:color="auto"/>
              <w:bottom w:val="single" w:sz="4" w:space="0" w:color="auto"/>
              <w:right w:val="single" w:sz="4" w:space="0" w:color="auto"/>
            </w:tcBorders>
            <w:vAlign w:val="bottom"/>
          </w:tcPr>
          <w:p w:rsidR="00971AE2" w:rsidRPr="007253FE" w:rsidRDefault="00CA2EBC" w:rsidP="00263B1F">
            <w:pPr>
              <w:spacing w:line="420" w:lineRule="exact"/>
              <w:jc w:val="lowKashida"/>
              <w:rPr>
                <w:rFonts w:hint="cs"/>
                <w:sz w:val="28"/>
                <w:szCs w:val="28"/>
              </w:rPr>
            </w:pPr>
            <w:r w:rsidRPr="007253FE">
              <w:rPr>
                <w:rFonts w:hint="cs"/>
                <w:sz w:val="28"/>
                <w:szCs w:val="28"/>
                <w:rtl/>
              </w:rPr>
              <w:t>40-44</w:t>
            </w:r>
          </w:p>
        </w:tc>
      </w:tr>
      <w:tr w:rsidR="00971AE2" w:rsidRPr="004404A1">
        <w:tblPrEx>
          <w:tblCellMar>
            <w:top w:w="0" w:type="dxa"/>
            <w:bottom w:w="0" w:type="dxa"/>
          </w:tblCellMar>
        </w:tblPrEx>
        <w:trPr>
          <w:trHeight w:val="255"/>
          <w:jc w:val="center"/>
        </w:trPr>
        <w:tc>
          <w:tcPr>
            <w:tcW w:w="1169"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rFonts w:hint="cs"/>
                <w:sz w:val="28"/>
                <w:szCs w:val="28"/>
              </w:rPr>
            </w:pPr>
            <w:r w:rsidRPr="007253FE">
              <w:rPr>
                <w:rFonts w:hint="cs"/>
                <w:sz w:val="28"/>
                <w:szCs w:val="28"/>
                <w:rtl/>
              </w:rPr>
              <w:t>28.5</w:t>
            </w:r>
            <w:r w:rsidRPr="007253FE">
              <w:rPr>
                <w:rFonts w:cs="Akhbar MT" w:hint="cs"/>
                <w:sz w:val="28"/>
                <w:szCs w:val="28"/>
                <w:rtl/>
              </w:rPr>
              <w:t>%</w:t>
            </w:r>
          </w:p>
        </w:tc>
        <w:tc>
          <w:tcPr>
            <w:tcW w:w="1260"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sz w:val="28"/>
                <w:szCs w:val="28"/>
              </w:rPr>
            </w:pPr>
            <w:r w:rsidRPr="007253FE">
              <w:rPr>
                <w:rFonts w:hint="cs"/>
                <w:sz w:val="28"/>
                <w:szCs w:val="28"/>
                <w:rtl/>
              </w:rPr>
              <w:t>28.5</w:t>
            </w:r>
            <w:r w:rsidRPr="007253FE">
              <w:rPr>
                <w:rFonts w:cs="Akhbar MT" w:hint="cs"/>
                <w:sz w:val="28"/>
                <w:szCs w:val="28"/>
                <w:rtl/>
              </w:rPr>
              <w:t>%</w:t>
            </w:r>
          </w:p>
        </w:tc>
        <w:tc>
          <w:tcPr>
            <w:tcW w:w="1800"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sz w:val="28"/>
                <w:szCs w:val="28"/>
              </w:rPr>
            </w:pPr>
            <w:r w:rsidRPr="007253FE">
              <w:rPr>
                <w:rFonts w:hint="cs"/>
                <w:sz w:val="28"/>
                <w:szCs w:val="28"/>
                <w:rtl/>
              </w:rPr>
              <w:t>28.5</w:t>
            </w:r>
            <w:r w:rsidRPr="007253FE">
              <w:rPr>
                <w:rFonts w:cs="Akhbar MT" w:hint="cs"/>
                <w:sz w:val="28"/>
                <w:szCs w:val="28"/>
                <w:rtl/>
              </w:rPr>
              <w:t>%</w:t>
            </w:r>
          </w:p>
        </w:tc>
        <w:tc>
          <w:tcPr>
            <w:tcW w:w="2340" w:type="dxa"/>
            <w:tcBorders>
              <w:top w:val="nil"/>
              <w:left w:val="single" w:sz="4" w:space="0" w:color="auto"/>
              <w:bottom w:val="single" w:sz="4" w:space="0" w:color="auto"/>
              <w:right w:val="nil"/>
            </w:tcBorders>
            <w:vAlign w:val="bottom"/>
          </w:tcPr>
          <w:p w:rsidR="00971AE2" w:rsidRPr="007253FE" w:rsidRDefault="00CA2EBC" w:rsidP="00263B1F">
            <w:pPr>
              <w:spacing w:line="420" w:lineRule="exact"/>
              <w:jc w:val="lowKashida"/>
              <w:rPr>
                <w:sz w:val="28"/>
                <w:szCs w:val="28"/>
              </w:rPr>
            </w:pPr>
            <w:r w:rsidRPr="007253FE">
              <w:rPr>
                <w:rFonts w:hint="cs"/>
                <w:sz w:val="28"/>
                <w:szCs w:val="28"/>
                <w:rtl/>
              </w:rPr>
              <w:t>28.5</w:t>
            </w:r>
            <w:r w:rsidRPr="007253FE">
              <w:rPr>
                <w:rFonts w:cs="Akhbar MT" w:hint="cs"/>
                <w:sz w:val="28"/>
                <w:szCs w:val="28"/>
                <w:rtl/>
              </w:rPr>
              <w:t>%</w:t>
            </w:r>
          </w:p>
        </w:tc>
        <w:tc>
          <w:tcPr>
            <w:tcW w:w="1260" w:type="dxa"/>
            <w:tcBorders>
              <w:top w:val="nil"/>
              <w:left w:val="single" w:sz="4" w:space="0" w:color="auto"/>
              <w:bottom w:val="single" w:sz="4" w:space="0" w:color="auto"/>
              <w:right w:val="single" w:sz="4" w:space="0" w:color="auto"/>
            </w:tcBorders>
            <w:vAlign w:val="bottom"/>
          </w:tcPr>
          <w:p w:rsidR="00971AE2" w:rsidRPr="007253FE" w:rsidRDefault="00CA2EBC" w:rsidP="00263B1F">
            <w:pPr>
              <w:spacing w:line="420" w:lineRule="exact"/>
              <w:jc w:val="lowKashida"/>
              <w:rPr>
                <w:rFonts w:hint="cs"/>
                <w:sz w:val="28"/>
                <w:szCs w:val="28"/>
              </w:rPr>
            </w:pPr>
            <w:r w:rsidRPr="007253FE">
              <w:rPr>
                <w:rFonts w:hint="cs"/>
                <w:sz w:val="28"/>
                <w:szCs w:val="28"/>
                <w:rtl/>
              </w:rPr>
              <w:t>45-49</w:t>
            </w:r>
          </w:p>
        </w:tc>
      </w:tr>
      <w:tr w:rsidR="00971AE2" w:rsidRPr="004404A1">
        <w:tblPrEx>
          <w:tblCellMar>
            <w:top w:w="0" w:type="dxa"/>
            <w:bottom w:w="0" w:type="dxa"/>
          </w:tblCellMar>
        </w:tblPrEx>
        <w:trPr>
          <w:trHeight w:val="255"/>
          <w:jc w:val="center"/>
        </w:trPr>
        <w:tc>
          <w:tcPr>
            <w:tcW w:w="1169" w:type="dxa"/>
            <w:tcBorders>
              <w:top w:val="single" w:sz="4" w:space="0" w:color="auto"/>
              <w:left w:val="single" w:sz="4" w:space="0" w:color="auto"/>
              <w:bottom w:val="single" w:sz="4" w:space="0" w:color="auto"/>
              <w:right w:val="nil"/>
            </w:tcBorders>
            <w:vAlign w:val="bottom"/>
          </w:tcPr>
          <w:p w:rsidR="00971AE2" w:rsidRPr="007253FE" w:rsidRDefault="004D2453" w:rsidP="00263B1F">
            <w:pPr>
              <w:spacing w:line="420" w:lineRule="exact"/>
              <w:jc w:val="lowKashida"/>
              <w:rPr>
                <w:rFonts w:cs="Akhbar MT" w:hint="cs"/>
                <w:b/>
                <w:sz w:val="28"/>
                <w:szCs w:val="28"/>
              </w:rPr>
            </w:pPr>
            <w:r w:rsidRPr="007253FE">
              <w:rPr>
                <w:rFonts w:hint="cs"/>
                <w:b/>
                <w:sz w:val="28"/>
                <w:szCs w:val="28"/>
                <w:rtl/>
              </w:rPr>
              <w:t>23.9</w:t>
            </w:r>
            <w:r w:rsidRPr="007253FE">
              <w:rPr>
                <w:rFonts w:cs="Akhbar MT" w:hint="cs"/>
                <w:b/>
                <w:sz w:val="28"/>
                <w:szCs w:val="28"/>
                <w:rtl/>
              </w:rPr>
              <w:t>%</w:t>
            </w:r>
          </w:p>
        </w:tc>
        <w:tc>
          <w:tcPr>
            <w:tcW w:w="1260" w:type="dxa"/>
            <w:tcBorders>
              <w:top w:val="single" w:sz="4" w:space="0" w:color="auto"/>
              <w:left w:val="single" w:sz="4" w:space="0" w:color="auto"/>
              <w:bottom w:val="single" w:sz="4" w:space="0" w:color="auto"/>
              <w:right w:val="nil"/>
            </w:tcBorders>
            <w:vAlign w:val="bottom"/>
          </w:tcPr>
          <w:p w:rsidR="00971AE2" w:rsidRPr="007253FE" w:rsidRDefault="004D2453" w:rsidP="00263B1F">
            <w:pPr>
              <w:spacing w:line="420" w:lineRule="exact"/>
              <w:jc w:val="lowKashida"/>
              <w:rPr>
                <w:rFonts w:hint="cs"/>
                <w:b/>
                <w:sz w:val="28"/>
                <w:szCs w:val="28"/>
              </w:rPr>
            </w:pPr>
            <w:r w:rsidRPr="007253FE">
              <w:rPr>
                <w:rFonts w:hint="cs"/>
                <w:b/>
                <w:sz w:val="28"/>
                <w:szCs w:val="28"/>
                <w:rtl/>
              </w:rPr>
              <w:t>60.0</w:t>
            </w:r>
            <w:r w:rsidRPr="007253FE">
              <w:rPr>
                <w:rFonts w:cs="Akhbar MT" w:hint="cs"/>
                <w:b/>
                <w:sz w:val="28"/>
                <w:szCs w:val="28"/>
                <w:rtl/>
              </w:rPr>
              <w:t>%</w:t>
            </w:r>
          </w:p>
        </w:tc>
        <w:tc>
          <w:tcPr>
            <w:tcW w:w="1800" w:type="dxa"/>
            <w:tcBorders>
              <w:top w:val="single" w:sz="4" w:space="0" w:color="auto"/>
              <w:left w:val="single" w:sz="4" w:space="0" w:color="auto"/>
              <w:bottom w:val="single" w:sz="4" w:space="0" w:color="auto"/>
              <w:right w:val="nil"/>
            </w:tcBorders>
            <w:vAlign w:val="bottom"/>
          </w:tcPr>
          <w:p w:rsidR="00971AE2" w:rsidRPr="007253FE" w:rsidRDefault="004D2453" w:rsidP="00263B1F">
            <w:pPr>
              <w:spacing w:line="420" w:lineRule="exact"/>
              <w:jc w:val="lowKashida"/>
              <w:rPr>
                <w:rFonts w:hint="cs"/>
                <w:b/>
                <w:sz w:val="28"/>
                <w:szCs w:val="28"/>
              </w:rPr>
            </w:pPr>
            <w:r w:rsidRPr="007253FE">
              <w:rPr>
                <w:rFonts w:hint="cs"/>
                <w:b/>
                <w:sz w:val="28"/>
                <w:szCs w:val="28"/>
                <w:rtl/>
              </w:rPr>
              <w:t>16.0</w:t>
            </w:r>
            <w:r w:rsidRPr="007253FE">
              <w:rPr>
                <w:rFonts w:cs="Akhbar MT" w:hint="cs"/>
                <w:b/>
                <w:sz w:val="28"/>
                <w:szCs w:val="28"/>
                <w:rtl/>
              </w:rPr>
              <w:t>%</w:t>
            </w:r>
          </w:p>
        </w:tc>
        <w:tc>
          <w:tcPr>
            <w:tcW w:w="2340" w:type="dxa"/>
            <w:tcBorders>
              <w:top w:val="single" w:sz="4" w:space="0" w:color="auto"/>
              <w:left w:val="single" w:sz="4" w:space="0" w:color="auto"/>
              <w:bottom w:val="single" w:sz="4" w:space="0" w:color="auto"/>
              <w:right w:val="nil"/>
            </w:tcBorders>
            <w:vAlign w:val="bottom"/>
          </w:tcPr>
          <w:p w:rsidR="00971AE2" w:rsidRPr="007253FE" w:rsidRDefault="004D2453" w:rsidP="00263B1F">
            <w:pPr>
              <w:spacing w:line="420" w:lineRule="exact"/>
              <w:jc w:val="lowKashida"/>
              <w:rPr>
                <w:rFonts w:hint="cs"/>
                <w:b/>
                <w:sz w:val="28"/>
                <w:szCs w:val="28"/>
              </w:rPr>
            </w:pPr>
            <w:r w:rsidRPr="007253FE">
              <w:rPr>
                <w:rFonts w:hint="cs"/>
                <w:b/>
                <w:sz w:val="28"/>
                <w:szCs w:val="28"/>
                <w:rtl/>
              </w:rPr>
              <w:t>25.4</w:t>
            </w:r>
            <w:r w:rsidRPr="007253FE">
              <w:rPr>
                <w:rFonts w:cs="Akhbar MT" w:hint="cs"/>
                <w:b/>
                <w:sz w:val="28"/>
                <w:szCs w:val="28"/>
                <w:rtl/>
              </w:rPr>
              <w:t>%</w:t>
            </w:r>
          </w:p>
        </w:tc>
        <w:tc>
          <w:tcPr>
            <w:tcW w:w="1260" w:type="dxa"/>
            <w:tcBorders>
              <w:top w:val="single" w:sz="4" w:space="0" w:color="auto"/>
              <w:left w:val="single" w:sz="4" w:space="0" w:color="auto"/>
              <w:bottom w:val="single" w:sz="4" w:space="0" w:color="auto"/>
              <w:right w:val="single" w:sz="4" w:space="0" w:color="auto"/>
            </w:tcBorders>
            <w:vAlign w:val="bottom"/>
          </w:tcPr>
          <w:p w:rsidR="00971AE2" w:rsidRPr="007253FE" w:rsidRDefault="00971AE2" w:rsidP="00263B1F">
            <w:pPr>
              <w:spacing w:line="420" w:lineRule="exact"/>
              <w:jc w:val="lowKashida"/>
              <w:rPr>
                <w:rFonts w:hint="cs"/>
                <w:b/>
                <w:sz w:val="28"/>
                <w:szCs w:val="28"/>
              </w:rPr>
            </w:pPr>
            <w:r w:rsidRPr="007253FE">
              <w:rPr>
                <w:rFonts w:hint="cs"/>
                <w:b/>
                <w:sz w:val="28"/>
                <w:szCs w:val="28"/>
                <w:rtl/>
              </w:rPr>
              <w:t>المجموع</w:t>
            </w:r>
          </w:p>
        </w:tc>
      </w:tr>
    </w:tbl>
    <w:p w:rsidR="006739B5" w:rsidRPr="006739B5" w:rsidRDefault="006739B5" w:rsidP="006739B5">
      <w:pPr>
        <w:spacing w:line="120" w:lineRule="exact"/>
        <w:jc w:val="lowKashida"/>
        <w:rPr>
          <w:rFonts w:hint="cs"/>
          <w:sz w:val="10"/>
          <w:rtl/>
          <w:lang w:bidi="ar-EG"/>
        </w:rPr>
      </w:pPr>
    </w:p>
    <w:p w:rsidR="006739B5" w:rsidRPr="006739B5" w:rsidRDefault="006739B5" w:rsidP="006739B5">
      <w:pPr>
        <w:spacing w:line="120" w:lineRule="exact"/>
        <w:jc w:val="lowKashida"/>
        <w:rPr>
          <w:rFonts w:hint="cs"/>
          <w:sz w:val="10"/>
          <w:rtl/>
          <w:lang w:bidi="ar-EG"/>
        </w:rPr>
      </w:pPr>
    </w:p>
    <w:p w:rsidR="006739B5" w:rsidRDefault="004A1AC6" w:rsidP="004A1AC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Pr>
          <w:rFonts w:hint="cs"/>
          <w:rtl/>
          <w:lang w:bidi="ar-EG"/>
        </w:rPr>
        <w:tab/>
        <w:t>العنف النفسي</w:t>
      </w:r>
      <w:r w:rsidRPr="004A1AC6">
        <w:rPr>
          <w:rFonts w:hint="cs"/>
          <w:b w:val="0"/>
          <w:bCs w:val="0"/>
          <w:vertAlign w:val="superscript"/>
          <w:rtl/>
          <w:lang w:bidi="ar-EG"/>
        </w:rPr>
        <w:t>229</w:t>
      </w:r>
    </w:p>
    <w:p w:rsidR="004A1AC6" w:rsidRPr="004A1AC6" w:rsidRDefault="004A1AC6" w:rsidP="004A1AC6">
      <w:pPr>
        <w:spacing w:line="120" w:lineRule="exact"/>
        <w:jc w:val="lowKashida"/>
        <w:rPr>
          <w:rFonts w:hint="cs"/>
          <w:sz w:val="10"/>
          <w:rtl/>
          <w:lang w:bidi="ar-EG"/>
        </w:rPr>
      </w:pPr>
    </w:p>
    <w:tbl>
      <w:tblPr>
        <w:tblW w:w="0" w:type="auto"/>
        <w:jc w:val="center"/>
        <w:tblInd w:w="1001" w:type="dxa"/>
        <w:tblLayout w:type="fixed"/>
        <w:tblCellMar>
          <w:left w:w="70" w:type="dxa"/>
          <w:right w:w="70" w:type="dxa"/>
        </w:tblCellMar>
        <w:tblLook w:val="0000" w:firstRow="0" w:lastRow="0" w:firstColumn="0" w:lastColumn="0" w:noHBand="0" w:noVBand="0"/>
      </w:tblPr>
      <w:tblGrid>
        <w:gridCol w:w="1879"/>
        <w:gridCol w:w="2160"/>
        <w:gridCol w:w="1980"/>
        <w:gridCol w:w="1260"/>
      </w:tblGrid>
      <w:tr w:rsidR="00971AE2">
        <w:tblPrEx>
          <w:tblCellMar>
            <w:top w:w="0" w:type="dxa"/>
            <w:bottom w:w="0" w:type="dxa"/>
          </w:tblCellMar>
        </w:tblPrEx>
        <w:trPr>
          <w:trHeight w:val="255"/>
          <w:jc w:val="center"/>
        </w:trPr>
        <w:tc>
          <w:tcPr>
            <w:tcW w:w="7279" w:type="dxa"/>
            <w:gridSpan w:val="4"/>
            <w:tcBorders>
              <w:top w:val="single" w:sz="4" w:space="0" w:color="auto"/>
              <w:left w:val="single" w:sz="4" w:space="0" w:color="000000"/>
              <w:bottom w:val="single" w:sz="4" w:space="0" w:color="auto"/>
              <w:right w:val="single" w:sz="4" w:space="0" w:color="auto"/>
            </w:tcBorders>
            <w:vAlign w:val="bottom"/>
          </w:tcPr>
          <w:p w:rsidR="00971AE2" w:rsidRPr="000B3D44" w:rsidRDefault="00971AE2" w:rsidP="00C75342">
            <w:pPr>
              <w:spacing w:line="420" w:lineRule="exact"/>
              <w:jc w:val="lowKashida"/>
              <w:rPr>
                <w:rFonts w:hint="cs"/>
                <w:b/>
                <w:sz w:val="32"/>
                <w:szCs w:val="32"/>
                <w:rtl/>
              </w:rPr>
            </w:pPr>
            <w:r w:rsidRPr="000B3D44">
              <w:rPr>
                <w:rFonts w:hint="cs"/>
                <w:b/>
                <w:sz w:val="32"/>
                <w:szCs w:val="32"/>
                <w:rtl/>
              </w:rPr>
              <w:t>تهديدات الزوج</w:t>
            </w:r>
          </w:p>
        </w:tc>
      </w:tr>
      <w:tr w:rsidR="00971AE2">
        <w:tblPrEx>
          <w:tblCellMar>
            <w:top w:w="0" w:type="dxa"/>
            <w:bottom w:w="0" w:type="dxa"/>
          </w:tblCellMar>
        </w:tblPrEx>
        <w:trPr>
          <w:trHeight w:val="285"/>
          <w:jc w:val="center"/>
        </w:trPr>
        <w:tc>
          <w:tcPr>
            <w:tcW w:w="1879" w:type="dxa"/>
            <w:tcBorders>
              <w:top w:val="single" w:sz="4" w:space="0" w:color="auto"/>
              <w:left w:val="single" w:sz="4" w:space="0" w:color="auto"/>
              <w:bottom w:val="single" w:sz="4" w:space="0" w:color="000000"/>
              <w:right w:val="single" w:sz="4" w:space="0" w:color="auto"/>
            </w:tcBorders>
            <w:vAlign w:val="center"/>
          </w:tcPr>
          <w:p w:rsidR="00971AE2" w:rsidRPr="00FD0BF0" w:rsidRDefault="00971AE2" w:rsidP="00C75342">
            <w:pPr>
              <w:spacing w:line="420" w:lineRule="exact"/>
              <w:jc w:val="lowKashida"/>
              <w:rPr>
                <w:rFonts w:hint="cs"/>
                <w:b/>
                <w:sz w:val="26"/>
                <w:szCs w:val="26"/>
                <w:lang w:val="fr-CH"/>
              </w:rPr>
            </w:pPr>
            <w:r w:rsidRPr="00FD0BF0">
              <w:rPr>
                <w:rFonts w:hint="cs"/>
                <w:b/>
                <w:sz w:val="26"/>
                <w:szCs w:val="26"/>
                <w:rtl/>
                <w:lang w:val="fr-CH"/>
              </w:rPr>
              <w:t>التهديد بعدم الانفاق عليها</w:t>
            </w:r>
          </w:p>
        </w:tc>
        <w:tc>
          <w:tcPr>
            <w:tcW w:w="2160" w:type="dxa"/>
            <w:tcBorders>
              <w:top w:val="single" w:sz="4" w:space="0" w:color="auto"/>
              <w:left w:val="single" w:sz="4" w:space="0" w:color="auto"/>
              <w:bottom w:val="single" w:sz="4" w:space="0" w:color="000000"/>
              <w:right w:val="single" w:sz="4" w:space="0" w:color="auto"/>
            </w:tcBorders>
            <w:vAlign w:val="center"/>
          </w:tcPr>
          <w:p w:rsidR="00971AE2" w:rsidRPr="00FD0BF0" w:rsidRDefault="00971AE2" w:rsidP="00C75342">
            <w:pPr>
              <w:spacing w:line="420" w:lineRule="exact"/>
              <w:jc w:val="lowKashida"/>
              <w:rPr>
                <w:rFonts w:hint="cs"/>
                <w:b/>
                <w:sz w:val="26"/>
                <w:szCs w:val="26"/>
                <w:lang w:val="fr-CH"/>
              </w:rPr>
            </w:pPr>
            <w:r w:rsidRPr="00FD0BF0">
              <w:rPr>
                <w:rFonts w:hint="cs"/>
                <w:b/>
                <w:sz w:val="26"/>
                <w:szCs w:val="26"/>
                <w:rtl/>
                <w:lang w:val="fr-CH"/>
              </w:rPr>
              <w:t>التهديد بأخذ أولادها</w:t>
            </w:r>
          </w:p>
        </w:tc>
        <w:tc>
          <w:tcPr>
            <w:tcW w:w="1980" w:type="dxa"/>
            <w:tcBorders>
              <w:top w:val="single" w:sz="4" w:space="0" w:color="auto"/>
              <w:left w:val="single" w:sz="4" w:space="0" w:color="auto"/>
              <w:bottom w:val="single" w:sz="4" w:space="0" w:color="000000"/>
              <w:right w:val="single" w:sz="4" w:space="0" w:color="auto"/>
            </w:tcBorders>
            <w:vAlign w:val="center"/>
          </w:tcPr>
          <w:p w:rsidR="00971AE2" w:rsidRPr="00FD0BF0" w:rsidRDefault="00971AE2" w:rsidP="00C75342">
            <w:pPr>
              <w:spacing w:line="420" w:lineRule="exact"/>
              <w:jc w:val="lowKashida"/>
              <w:rPr>
                <w:rFonts w:hint="cs"/>
                <w:b/>
                <w:sz w:val="26"/>
                <w:szCs w:val="26"/>
              </w:rPr>
            </w:pPr>
            <w:r w:rsidRPr="00FD0BF0">
              <w:rPr>
                <w:rFonts w:hint="cs"/>
                <w:b/>
                <w:sz w:val="26"/>
                <w:szCs w:val="26"/>
                <w:rtl/>
              </w:rPr>
              <w:t>التهديد بهجرها</w:t>
            </w:r>
          </w:p>
        </w:tc>
        <w:tc>
          <w:tcPr>
            <w:tcW w:w="1260" w:type="dxa"/>
            <w:tcBorders>
              <w:left w:val="nil"/>
              <w:bottom w:val="single" w:sz="4" w:space="0" w:color="000000"/>
              <w:right w:val="single" w:sz="4" w:space="0" w:color="auto"/>
            </w:tcBorders>
            <w:vAlign w:val="center"/>
          </w:tcPr>
          <w:p w:rsidR="00971AE2" w:rsidRPr="00FD0BF0" w:rsidRDefault="00971AE2" w:rsidP="00C75342">
            <w:pPr>
              <w:spacing w:line="420" w:lineRule="exact"/>
              <w:jc w:val="lowKashida"/>
              <w:rPr>
                <w:rFonts w:hint="cs"/>
                <w:b/>
                <w:sz w:val="26"/>
                <w:szCs w:val="26"/>
                <w:rtl/>
              </w:rPr>
            </w:pPr>
            <w:r w:rsidRPr="00FD0BF0">
              <w:rPr>
                <w:rFonts w:hint="cs"/>
                <w:b/>
                <w:sz w:val="26"/>
                <w:szCs w:val="26"/>
                <w:rtl/>
              </w:rPr>
              <w:t>السن</w:t>
            </w:r>
          </w:p>
        </w:tc>
      </w:tr>
      <w:tr w:rsidR="00971AE2">
        <w:tblPrEx>
          <w:tblCellMar>
            <w:top w:w="0" w:type="dxa"/>
            <w:bottom w:w="0" w:type="dxa"/>
          </w:tblCellMar>
        </w:tblPrEx>
        <w:trPr>
          <w:trHeight w:val="255"/>
          <w:jc w:val="center"/>
        </w:trPr>
        <w:tc>
          <w:tcPr>
            <w:tcW w:w="1879"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tl/>
              </w:rPr>
            </w:pPr>
            <w:r w:rsidRPr="00FD0BF0">
              <w:rPr>
                <w:rFonts w:hint="cs"/>
                <w:sz w:val="26"/>
                <w:szCs w:val="26"/>
                <w:rtl/>
              </w:rPr>
              <w:t>10.50</w:t>
            </w:r>
            <w:r w:rsidR="00265DEC" w:rsidRPr="00FD0BF0">
              <w:rPr>
                <w:rFonts w:cs="Akhbar MT" w:hint="cs"/>
                <w:b/>
                <w:sz w:val="26"/>
                <w:szCs w:val="26"/>
                <w:rtl/>
              </w:rPr>
              <w:t>%</w:t>
            </w:r>
          </w:p>
        </w:tc>
        <w:tc>
          <w:tcPr>
            <w:tcW w:w="2160"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20.70</w:t>
            </w:r>
            <w:r w:rsidR="00265DEC" w:rsidRPr="00FD0BF0">
              <w:rPr>
                <w:rFonts w:cs="Akhbar MT" w:hint="cs"/>
                <w:b/>
                <w:sz w:val="26"/>
                <w:szCs w:val="26"/>
                <w:rtl/>
              </w:rPr>
              <w:t>%</w:t>
            </w:r>
          </w:p>
        </w:tc>
        <w:tc>
          <w:tcPr>
            <w:tcW w:w="1980" w:type="dxa"/>
            <w:tcBorders>
              <w:top w:val="nil"/>
              <w:left w:val="single" w:sz="4" w:space="0" w:color="auto"/>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14.0</w:t>
            </w:r>
            <w:r w:rsidR="00265DEC" w:rsidRPr="00FD0BF0">
              <w:rPr>
                <w:rFonts w:cs="Akhbar MT" w:hint="cs"/>
                <w:b/>
                <w:sz w:val="26"/>
                <w:szCs w:val="26"/>
                <w:rtl/>
              </w:rPr>
              <w:t>%</w:t>
            </w:r>
          </w:p>
        </w:tc>
        <w:tc>
          <w:tcPr>
            <w:tcW w:w="1260" w:type="dxa"/>
            <w:tcBorders>
              <w:top w:val="nil"/>
              <w:left w:val="nil"/>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15-19</w:t>
            </w:r>
          </w:p>
        </w:tc>
      </w:tr>
      <w:tr w:rsidR="00971AE2">
        <w:tblPrEx>
          <w:tblCellMar>
            <w:top w:w="0" w:type="dxa"/>
            <w:bottom w:w="0" w:type="dxa"/>
          </w:tblCellMar>
        </w:tblPrEx>
        <w:trPr>
          <w:trHeight w:val="255"/>
          <w:jc w:val="center"/>
        </w:trPr>
        <w:tc>
          <w:tcPr>
            <w:tcW w:w="1879"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14.50</w:t>
            </w:r>
            <w:r w:rsidR="00265DEC" w:rsidRPr="00FD0BF0">
              <w:rPr>
                <w:rFonts w:cs="Akhbar MT" w:hint="cs"/>
                <w:b/>
                <w:sz w:val="26"/>
                <w:szCs w:val="26"/>
                <w:rtl/>
              </w:rPr>
              <w:t>%</w:t>
            </w:r>
          </w:p>
        </w:tc>
        <w:tc>
          <w:tcPr>
            <w:tcW w:w="2160"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27.90</w:t>
            </w:r>
            <w:r w:rsidR="00265DEC" w:rsidRPr="00FD0BF0">
              <w:rPr>
                <w:rFonts w:cs="Akhbar MT" w:hint="cs"/>
                <w:b/>
                <w:sz w:val="26"/>
                <w:szCs w:val="26"/>
                <w:rtl/>
              </w:rPr>
              <w:t>%</w:t>
            </w:r>
          </w:p>
        </w:tc>
        <w:tc>
          <w:tcPr>
            <w:tcW w:w="1980" w:type="dxa"/>
            <w:tcBorders>
              <w:top w:val="nil"/>
              <w:left w:val="single" w:sz="4" w:space="0" w:color="auto"/>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18.50</w:t>
            </w:r>
            <w:r w:rsidR="00265DEC" w:rsidRPr="00FD0BF0">
              <w:rPr>
                <w:rFonts w:cs="Akhbar MT" w:hint="cs"/>
                <w:b/>
                <w:sz w:val="26"/>
                <w:szCs w:val="26"/>
                <w:rtl/>
              </w:rPr>
              <w:t>%</w:t>
            </w:r>
          </w:p>
        </w:tc>
        <w:tc>
          <w:tcPr>
            <w:tcW w:w="1260" w:type="dxa"/>
            <w:tcBorders>
              <w:top w:val="nil"/>
              <w:left w:val="nil"/>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20-24</w:t>
            </w:r>
          </w:p>
        </w:tc>
      </w:tr>
      <w:tr w:rsidR="00971AE2">
        <w:tblPrEx>
          <w:tblCellMar>
            <w:top w:w="0" w:type="dxa"/>
            <w:bottom w:w="0" w:type="dxa"/>
          </w:tblCellMar>
        </w:tblPrEx>
        <w:trPr>
          <w:trHeight w:val="255"/>
          <w:jc w:val="center"/>
        </w:trPr>
        <w:tc>
          <w:tcPr>
            <w:tcW w:w="1879"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12.10</w:t>
            </w:r>
            <w:r w:rsidR="00265DEC" w:rsidRPr="00FD0BF0">
              <w:rPr>
                <w:rFonts w:cs="Akhbar MT" w:hint="cs"/>
                <w:b/>
                <w:sz w:val="26"/>
                <w:szCs w:val="26"/>
                <w:rtl/>
              </w:rPr>
              <w:t>%</w:t>
            </w:r>
          </w:p>
        </w:tc>
        <w:tc>
          <w:tcPr>
            <w:tcW w:w="2160"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17.80</w:t>
            </w:r>
            <w:r w:rsidR="00265DEC" w:rsidRPr="00FD0BF0">
              <w:rPr>
                <w:rFonts w:cs="Akhbar MT" w:hint="cs"/>
                <w:b/>
                <w:sz w:val="26"/>
                <w:szCs w:val="26"/>
                <w:rtl/>
              </w:rPr>
              <w:t>%</w:t>
            </w:r>
          </w:p>
        </w:tc>
        <w:tc>
          <w:tcPr>
            <w:tcW w:w="1980" w:type="dxa"/>
            <w:tcBorders>
              <w:top w:val="nil"/>
              <w:left w:val="single" w:sz="4" w:space="0" w:color="auto"/>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19.1</w:t>
            </w:r>
            <w:r w:rsidR="00265DEC" w:rsidRPr="00FD0BF0">
              <w:rPr>
                <w:rFonts w:cs="Akhbar MT" w:hint="cs"/>
                <w:b/>
                <w:sz w:val="26"/>
                <w:szCs w:val="26"/>
                <w:rtl/>
              </w:rPr>
              <w:t>%</w:t>
            </w:r>
          </w:p>
        </w:tc>
        <w:tc>
          <w:tcPr>
            <w:tcW w:w="1260" w:type="dxa"/>
            <w:tcBorders>
              <w:top w:val="nil"/>
              <w:left w:val="nil"/>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25-29</w:t>
            </w:r>
          </w:p>
        </w:tc>
      </w:tr>
      <w:tr w:rsidR="00971AE2">
        <w:tblPrEx>
          <w:tblCellMar>
            <w:top w:w="0" w:type="dxa"/>
            <w:bottom w:w="0" w:type="dxa"/>
          </w:tblCellMar>
        </w:tblPrEx>
        <w:trPr>
          <w:trHeight w:val="255"/>
          <w:jc w:val="center"/>
        </w:trPr>
        <w:tc>
          <w:tcPr>
            <w:tcW w:w="1879"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13.00</w:t>
            </w:r>
            <w:r w:rsidR="00265DEC" w:rsidRPr="00FD0BF0">
              <w:rPr>
                <w:rFonts w:cs="Akhbar MT" w:hint="cs"/>
                <w:b/>
                <w:sz w:val="26"/>
                <w:szCs w:val="26"/>
                <w:rtl/>
              </w:rPr>
              <w:t>%</w:t>
            </w:r>
          </w:p>
        </w:tc>
        <w:tc>
          <w:tcPr>
            <w:tcW w:w="2160"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18.00</w:t>
            </w:r>
            <w:r w:rsidR="00265DEC" w:rsidRPr="00FD0BF0">
              <w:rPr>
                <w:rFonts w:cs="Akhbar MT" w:hint="cs"/>
                <w:b/>
                <w:sz w:val="26"/>
                <w:szCs w:val="26"/>
                <w:rtl/>
              </w:rPr>
              <w:t>%</w:t>
            </w:r>
          </w:p>
        </w:tc>
        <w:tc>
          <w:tcPr>
            <w:tcW w:w="1980" w:type="dxa"/>
            <w:tcBorders>
              <w:top w:val="nil"/>
              <w:left w:val="single" w:sz="4" w:space="0" w:color="auto"/>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18.40</w:t>
            </w:r>
            <w:r w:rsidR="00265DEC" w:rsidRPr="00FD0BF0">
              <w:rPr>
                <w:rFonts w:cs="Akhbar MT" w:hint="cs"/>
                <w:b/>
                <w:sz w:val="26"/>
                <w:szCs w:val="26"/>
                <w:rtl/>
              </w:rPr>
              <w:t>%</w:t>
            </w:r>
          </w:p>
        </w:tc>
        <w:tc>
          <w:tcPr>
            <w:tcW w:w="1260" w:type="dxa"/>
            <w:tcBorders>
              <w:top w:val="nil"/>
              <w:left w:val="nil"/>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30-34</w:t>
            </w:r>
          </w:p>
        </w:tc>
      </w:tr>
      <w:tr w:rsidR="00971AE2">
        <w:tblPrEx>
          <w:tblCellMar>
            <w:top w:w="0" w:type="dxa"/>
            <w:bottom w:w="0" w:type="dxa"/>
          </w:tblCellMar>
        </w:tblPrEx>
        <w:trPr>
          <w:trHeight w:val="255"/>
          <w:jc w:val="center"/>
        </w:trPr>
        <w:tc>
          <w:tcPr>
            <w:tcW w:w="1879"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14.40</w:t>
            </w:r>
            <w:r w:rsidR="00265DEC" w:rsidRPr="00FD0BF0">
              <w:rPr>
                <w:rFonts w:cs="Akhbar MT" w:hint="cs"/>
                <w:b/>
                <w:sz w:val="26"/>
                <w:szCs w:val="26"/>
                <w:rtl/>
              </w:rPr>
              <w:t>%</w:t>
            </w:r>
          </w:p>
        </w:tc>
        <w:tc>
          <w:tcPr>
            <w:tcW w:w="2160"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16.40</w:t>
            </w:r>
            <w:r w:rsidR="00265DEC" w:rsidRPr="00FD0BF0">
              <w:rPr>
                <w:rFonts w:cs="Akhbar MT" w:hint="cs"/>
                <w:b/>
                <w:sz w:val="26"/>
                <w:szCs w:val="26"/>
                <w:rtl/>
              </w:rPr>
              <w:t>%</w:t>
            </w:r>
          </w:p>
        </w:tc>
        <w:tc>
          <w:tcPr>
            <w:tcW w:w="1980" w:type="dxa"/>
            <w:tcBorders>
              <w:top w:val="nil"/>
              <w:left w:val="single" w:sz="4" w:space="0" w:color="auto"/>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23.0</w:t>
            </w:r>
            <w:r w:rsidR="00265DEC" w:rsidRPr="00FD0BF0">
              <w:rPr>
                <w:rFonts w:cs="Akhbar MT" w:hint="cs"/>
                <w:b/>
                <w:sz w:val="26"/>
                <w:szCs w:val="26"/>
                <w:rtl/>
              </w:rPr>
              <w:t>%</w:t>
            </w:r>
          </w:p>
        </w:tc>
        <w:tc>
          <w:tcPr>
            <w:tcW w:w="1260" w:type="dxa"/>
            <w:tcBorders>
              <w:top w:val="nil"/>
              <w:left w:val="nil"/>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35-39</w:t>
            </w:r>
          </w:p>
        </w:tc>
      </w:tr>
      <w:tr w:rsidR="00971AE2">
        <w:tblPrEx>
          <w:tblCellMar>
            <w:top w:w="0" w:type="dxa"/>
            <w:bottom w:w="0" w:type="dxa"/>
          </w:tblCellMar>
        </w:tblPrEx>
        <w:trPr>
          <w:trHeight w:val="255"/>
          <w:jc w:val="center"/>
        </w:trPr>
        <w:tc>
          <w:tcPr>
            <w:tcW w:w="1879"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12.30</w:t>
            </w:r>
            <w:r w:rsidR="00265DEC" w:rsidRPr="00FD0BF0">
              <w:rPr>
                <w:rFonts w:cs="Akhbar MT" w:hint="cs"/>
                <w:b/>
                <w:sz w:val="26"/>
                <w:szCs w:val="26"/>
                <w:rtl/>
              </w:rPr>
              <w:t>%</w:t>
            </w:r>
          </w:p>
        </w:tc>
        <w:tc>
          <w:tcPr>
            <w:tcW w:w="2160"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12.40</w:t>
            </w:r>
            <w:r w:rsidR="00265DEC" w:rsidRPr="00FD0BF0">
              <w:rPr>
                <w:rFonts w:cs="Akhbar MT" w:hint="cs"/>
                <w:b/>
                <w:sz w:val="26"/>
                <w:szCs w:val="26"/>
                <w:rtl/>
              </w:rPr>
              <w:t>%</w:t>
            </w:r>
          </w:p>
        </w:tc>
        <w:tc>
          <w:tcPr>
            <w:tcW w:w="1980" w:type="dxa"/>
            <w:tcBorders>
              <w:top w:val="nil"/>
              <w:left w:val="single" w:sz="4" w:space="0" w:color="auto"/>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26.10</w:t>
            </w:r>
            <w:r w:rsidR="00265DEC" w:rsidRPr="00FD0BF0">
              <w:rPr>
                <w:rFonts w:cs="Akhbar MT" w:hint="cs"/>
                <w:b/>
                <w:sz w:val="26"/>
                <w:szCs w:val="26"/>
                <w:rtl/>
              </w:rPr>
              <w:t>%</w:t>
            </w:r>
          </w:p>
        </w:tc>
        <w:tc>
          <w:tcPr>
            <w:tcW w:w="1260" w:type="dxa"/>
            <w:tcBorders>
              <w:top w:val="nil"/>
              <w:left w:val="nil"/>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40-44</w:t>
            </w:r>
          </w:p>
        </w:tc>
      </w:tr>
      <w:tr w:rsidR="00971AE2">
        <w:tblPrEx>
          <w:tblCellMar>
            <w:top w:w="0" w:type="dxa"/>
            <w:bottom w:w="0" w:type="dxa"/>
          </w:tblCellMar>
        </w:tblPrEx>
        <w:trPr>
          <w:trHeight w:val="255"/>
          <w:jc w:val="center"/>
        </w:trPr>
        <w:tc>
          <w:tcPr>
            <w:tcW w:w="1879"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16.90</w:t>
            </w:r>
            <w:r w:rsidR="00265DEC" w:rsidRPr="00FD0BF0">
              <w:rPr>
                <w:rFonts w:cs="Akhbar MT" w:hint="cs"/>
                <w:b/>
                <w:sz w:val="26"/>
                <w:szCs w:val="26"/>
                <w:rtl/>
              </w:rPr>
              <w:t>%</w:t>
            </w:r>
          </w:p>
        </w:tc>
        <w:tc>
          <w:tcPr>
            <w:tcW w:w="2160" w:type="dxa"/>
            <w:tcBorders>
              <w:top w:val="nil"/>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9.80</w:t>
            </w:r>
            <w:r w:rsidR="00265DEC" w:rsidRPr="00FD0BF0">
              <w:rPr>
                <w:rFonts w:cs="Akhbar MT" w:hint="cs"/>
                <w:b/>
                <w:sz w:val="26"/>
                <w:szCs w:val="26"/>
                <w:rtl/>
              </w:rPr>
              <w:t>%</w:t>
            </w:r>
          </w:p>
        </w:tc>
        <w:tc>
          <w:tcPr>
            <w:tcW w:w="1980" w:type="dxa"/>
            <w:tcBorders>
              <w:top w:val="nil"/>
              <w:left w:val="single" w:sz="4" w:space="0" w:color="auto"/>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23.9</w:t>
            </w:r>
            <w:r w:rsidR="00265DEC" w:rsidRPr="00FD0BF0">
              <w:rPr>
                <w:rFonts w:cs="Akhbar MT" w:hint="cs"/>
                <w:b/>
                <w:sz w:val="26"/>
                <w:szCs w:val="26"/>
                <w:rtl/>
              </w:rPr>
              <w:t>%</w:t>
            </w:r>
          </w:p>
        </w:tc>
        <w:tc>
          <w:tcPr>
            <w:tcW w:w="1260" w:type="dxa"/>
            <w:tcBorders>
              <w:top w:val="nil"/>
              <w:left w:val="nil"/>
              <w:bottom w:val="single" w:sz="4" w:space="0" w:color="auto"/>
              <w:right w:val="single" w:sz="4" w:space="0" w:color="auto"/>
            </w:tcBorders>
            <w:vAlign w:val="bottom"/>
          </w:tcPr>
          <w:p w:rsidR="00971AE2" w:rsidRPr="00FD0BF0" w:rsidRDefault="006739B5" w:rsidP="00C75342">
            <w:pPr>
              <w:spacing w:line="420" w:lineRule="exact"/>
              <w:jc w:val="lowKashida"/>
              <w:rPr>
                <w:rFonts w:hint="cs"/>
                <w:sz w:val="26"/>
                <w:szCs w:val="26"/>
              </w:rPr>
            </w:pPr>
            <w:r w:rsidRPr="00FD0BF0">
              <w:rPr>
                <w:rFonts w:hint="cs"/>
                <w:sz w:val="26"/>
                <w:szCs w:val="26"/>
                <w:rtl/>
              </w:rPr>
              <w:t>45-49</w:t>
            </w:r>
          </w:p>
        </w:tc>
      </w:tr>
      <w:tr w:rsidR="00971AE2">
        <w:tblPrEx>
          <w:tblCellMar>
            <w:top w:w="0" w:type="dxa"/>
            <w:bottom w:w="0" w:type="dxa"/>
          </w:tblCellMar>
        </w:tblPrEx>
        <w:trPr>
          <w:trHeight w:val="255"/>
          <w:jc w:val="center"/>
        </w:trPr>
        <w:tc>
          <w:tcPr>
            <w:tcW w:w="1879" w:type="dxa"/>
            <w:tcBorders>
              <w:top w:val="single" w:sz="4" w:space="0" w:color="auto"/>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b/>
                <w:sz w:val="26"/>
                <w:szCs w:val="26"/>
              </w:rPr>
            </w:pPr>
            <w:r w:rsidRPr="00FD0BF0">
              <w:rPr>
                <w:rFonts w:hint="cs"/>
                <w:b/>
                <w:sz w:val="26"/>
                <w:szCs w:val="26"/>
                <w:rtl/>
              </w:rPr>
              <w:t>13.50</w:t>
            </w:r>
            <w:r w:rsidR="00265DEC" w:rsidRPr="00FD0BF0">
              <w:rPr>
                <w:rFonts w:cs="Akhbar MT" w:hint="cs"/>
                <w:b/>
                <w:sz w:val="26"/>
                <w:szCs w:val="26"/>
                <w:rtl/>
              </w:rPr>
              <w:t>%</w:t>
            </w:r>
          </w:p>
        </w:tc>
        <w:tc>
          <w:tcPr>
            <w:tcW w:w="2160" w:type="dxa"/>
            <w:tcBorders>
              <w:top w:val="single" w:sz="4" w:space="0" w:color="auto"/>
              <w:left w:val="single" w:sz="4" w:space="0" w:color="auto"/>
              <w:bottom w:val="single" w:sz="4" w:space="0" w:color="auto"/>
              <w:right w:val="nil"/>
            </w:tcBorders>
            <w:vAlign w:val="bottom"/>
          </w:tcPr>
          <w:p w:rsidR="00971AE2" w:rsidRPr="00FD0BF0" w:rsidRDefault="006739B5" w:rsidP="00C75342">
            <w:pPr>
              <w:spacing w:line="420" w:lineRule="exact"/>
              <w:jc w:val="lowKashida"/>
              <w:rPr>
                <w:rFonts w:hint="cs"/>
                <w:b/>
                <w:sz w:val="26"/>
                <w:szCs w:val="26"/>
              </w:rPr>
            </w:pPr>
            <w:r w:rsidRPr="00FD0BF0">
              <w:rPr>
                <w:rFonts w:hint="cs"/>
                <w:b/>
                <w:sz w:val="26"/>
                <w:szCs w:val="26"/>
                <w:rtl/>
              </w:rPr>
              <w:t>17.40</w:t>
            </w:r>
            <w:r w:rsidR="00265DEC" w:rsidRPr="00FD0BF0">
              <w:rPr>
                <w:rFonts w:cs="Akhbar MT" w:hint="cs"/>
                <w:b/>
                <w:sz w:val="26"/>
                <w:szCs w:val="26"/>
                <w:rtl/>
              </w:rPr>
              <w:t>%</w:t>
            </w:r>
          </w:p>
        </w:tc>
        <w:tc>
          <w:tcPr>
            <w:tcW w:w="1980" w:type="dxa"/>
            <w:tcBorders>
              <w:top w:val="single" w:sz="4" w:space="0" w:color="auto"/>
              <w:left w:val="single" w:sz="4" w:space="0" w:color="auto"/>
              <w:bottom w:val="single" w:sz="4" w:space="0" w:color="auto"/>
              <w:right w:val="single" w:sz="4" w:space="0" w:color="auto"/>
            </w:tcBorders>
            <w:vAlign w:val="bottom"/>
          </w:tcPr>
          <w:p w:rsidR="00971AE2" w:rsidRPr="00FD0BF0" w:rsidRDefault="006739B5" w:rsidP="00C75342">
            <w:pPr>
              <w:spacing w:line="420" w:lineRule="exact"/>
              <w:jc w:val="lowKashida"/>
              <w:rPr>
                <w:rFonts w:hint="cs"/>
                <w:b/>
                <w:sz w:val="26"/>
                <w:szCs w:val="26"/>
              </w:rPr>
            </w:pPr>
            <w:r w:rsidRPr="00FD0BF0">
              <w:rPr>
                <w:rFonts w:hint="cs"/>
                <w:b/>
                <w:sz w:val="26"/>
                <w:szCs w:val="26"/>
                <w:rtl/>
              </w:rPr>
              <w:t>20.90</w:t>
            </w:r>
            <w:r w:rsidR="00265DEC" w:rsidRPr="00FD0BF0">
              <w:rPr>
                <w:rFonts w:cs="Akhbar MT" w:hint="cs"/>
                <w:b/>
                <w:sz w:val="26"/>
                <w:szCs w:val="26"/>
                <w:rtl/>
              </w:rPr>
              <w:t>%</w:t>
            </w:r>
          </w:p>
        </w:tc>
        <w:tc>
          <w:tcPr>
            <w:tcW w:w="1260" w:type="dxa"/>
            <w:tcBorders>
              <w:top w:val="single" w:sz="4" w:space="0" w:color="auto"/>
              <w:left w:val="nil"/>
              <w:bottom w:val="single" w:sz="4" w:space="0" w:color="auto"/>
              <w:right w:val="single" w:sz="4" w:space="0" w:color="auto"/>
            </w:tcBorders>
            <w:vAlign w:val="bottom"/>
          </w:tcPr>
          <w:p w:rsidR="00971AE2" w:rsidRPr="00FD0BF0" w:rsidRDefault="00971AE2" w:rsidP="00C75342">
            <w:pPr>
              <w:spacing w:line="420" w:lineRule="exact"/>
              <w:jc w:val="lowKashida"/>
              <w:rPr>
                <w:rFonts w:hint="cs"/>
                <w:b/>
                <w:sz w:val="26"/>
                <w:szCs w:val="26"/>
              </w:rPr>
            </w:pPr>
            <w:r w:rsidRPr="00FD0BF0">
              <w:rPr>
                <w:rFonts w:hint="cs"/>
                <w:b/>
                <w:sz w:val="26"/>
                <w:szCs w:val="26"/>
                <w:rtl/>
              </w:rPr>
              <w:t>المجموع</w:t>
            </w:r>
          </w:p>
        </w:tc>
      </w:tr>
    </w:tbl>
    <w:p w:rsidR="004404A1" w:rsidRPr="004404A1" w:rsidRDefault="004404A1" w:rsidP="00A343DF">
      <w:pPr>
        <w:spacing w:line="120" w:lineRule="exact"/>
        <w:jc w:val="lowKashida"/>
        <w:rPr>
          <w:rFonts w:hint="cs"/>
          <w:sz w:val="10"/>
          <w:rtl/>
        </w:rPr>
      </w:pPr>
    </w:p>
    <w:p w:rsidR="00971AE2" w:rsidRDefault="004A1AC6" w:rsidP="004A1AC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vertAlign w:val="superscript"/>
          <w:rtl/>
          <w:lang w:bidi="ar-EG"/>
        </w:rPr>
      </w:pPr>
      <w:r>
        <w:rPr>
          <w:rFonts w:hint="cs"/>
          <w:rtl/>
          <w:lang w:bidi="ar-EG"/>
        </w:rPr>
        <w:tab/>
        <w:t>العنف الجسدي</w:t>
      </w:r>
      <w:r w:rsidRPr="004A1AC6">
        <w:rPr>
          <w:rFonts w:hint="cs"/>
          <w:vertAlign w:val="superscript"/>
          <w:rtl/>
          <w:lang w:bidi="ar-EG"/>
        </w:rPr>
        <w:t>230</w:t>
      </w:r>
    </w:p>
    <w:p w:rsidR="00BA3E63" w:rsidRPr="00BA3E63" w:rsidRDefault="00BA3E63" w:rsidP="00BA3E63">
      <w:pPr>
        <w:rPr>
          <w:rFonts w:hint="cs"/>
          <w:rtl/>
          <w:lang w:bidi="ar-EG"/>
        </w:rPr>
      </w:pPr>
      <w:r>
        <w:rPr>
          <w:rFonts w:hint="cs"/>
          <w:rtl/>
          <w:lang w:bidi="ar-EG"/>
        </w:rPr>
        <w:tab/>
      </w:r>
      <w:r>
        <w:rPr>
          <w:rFonts w:hint="cs"/>
          <w:b/>
          <w:sz w:val="24"/>
          <w:szCs w:val="24"/>
          <w:rtl/>
          <w:lang w:val="fr-CH"/>
        </w:rPr>
        <w:t>نتائج أعمال العنف</w:t>
      </w:r>
    </w:p>
    <w:p w:rsidR="004A1AC6" w:rsidRPr="004A1AC6" w:rsidRDefault="004A1AC6" w:rsidP="004A1AC6">
      <w:pPr>
        <w:spacing w:line="120" w:lineRule="exact"/>
        <w:jc w:val="lowKashida"/>
        <w:rPr>
          <w:rFonts w:hint="cs"/>
          <w:sz w:val="10"/>
          <w:rtl/>
          <w:lang w:bidi="ar-EG"/>
        </w:rPr>
      </w:pPr>
    </w:p>
    <w:tbl>
      <w:tblPr>
        <w:tblW w:w="0" w:type="auto"/>
        <w:jc w:val="center"/>
        <w:tblLayout w:type="fixed"/>
        <w:tblCellMar>
          <w:left w:w="70" w:type="dxa"/>
          <w:right w:w="70" w:type="dxa"/>
        </w:tblCellMar>
        <w:tblLook w:val="0000" w:firstRow="0" w:lastRow="0" w:firstColumn="0" w:lastColumn="0" w:noHBand="0" w:noVBand="0"/>
      </w:tblPr>
      <w:tblGrid>
        <w:gridCol w:w="2340"/>
        <w:gridCol w:w="1620"/>
        <w:gridCol w:w="1620"/>
        <w:gridCol w:w="1620"/>
        <w:gridCol w:w="1080"/>
      </w:tblGrid>
      <w:tr w:rsidR="00971AE2">
        <w:tblPrEx>
          <w:tblCellMar>
            <w:top w:w="0" w:type="dxa"/>
            <w:bottom w:w="0" w:type="dxa"/>
          </w:tblCellMar>
        </w:tblPrEx>
        <w:trPr>
          <w:trHeight w:val="113"/>
          <w:tblHeader/>
          <w:jc w:val="center"/>
        </w:trPr>
        <w:tc>
          <w:tcPr>
            <w:tcW w:w="2340" w:type="dxa"/>
            <w:tcBorders>
              <w:top w:val="nil"/>
              <w:left w:val="single" w:sz="4" w:space="0" w:color="auto"/>
              <w:bottom w:val="single" w:sz="4" w:space="0" w:color="auto"/>
              <w:right w:val="nil"/>
            </w:tcBorders>
            <w:vAlign w:val="bottom"/>
          </w:tcPr>
          <w:p w:rsidR="00971AE2" w:rsidRDefault="00971AE2" w:rsidP="000D5E56">
            <w:pPr>
              <w:spacing w:line="300" w:lineRule="exact"/>
              <w:jc w:val="lowKashida"/>
              <w:rPr>
                <w:rFonts w:hint="cs"/>
                <w:b/>
                <w:sz w:val="24"/>
                <w:szCs w:val="24"/>
                <w:lang w:val="fr-CH"/>
              </w:rPr>
            </w:pPr>
            <w:r>
              <w:rPr>
                <w:rFonts w:hint="cs"/>
                <w:b/>
                <w:sz w:val="24"/>
                <w:szCs w:val="24"/>
                <w:rtl/>
                <w:lang w:val="fr-CH"/>
              </w:rPr>
              <w:t>فقدان عضو/عجز</w:t>
            </w:r>
          </w:p>
        </w:tc>
        <w:tc>
          <w:tcPr>
            <w:tcW w:w="1620" w:type="dxa"/>
            <w:tcBorders>
              <w:top w:val="nil"/>
              <w:left w:val="single" w:sz="4" w:space="0" w:color="auto"/>
              <w:bottom w:val="single" w:sz="4" w:space="0" w:color="auto"/>
              <w:right w:val="nil"/>
            </w:tcBorders>
            <w:vAlign w:val="bottom"/>
          </w:tcPr>
          <w:p w:rsidR="00971AE2" w:rsidRPr="000D5E56" w:rsidRDefault="00971AE2" w:rsidP="000D5E56">
            <w:pPr>
              <w:spacing w:line="300" w:lineRule="exact"/>
              <w:jc w:val="lowKashida"/>
              <w:rPr>
                <w:rFonts w:hint="cs"/>
                <w:b/>
                <w:sz w:val="24"/>
                <w:szCs w:val="24"/>
                <w:lang w:val="fr-CH"/>
              </w:rPr>
            </w:pPr>
            <w:r w:rsidRPr="000D5E56">
              <w:rPr>
                <w:rFonts w:hint="cs"/>
                <w:b/>
                <w:sz w:val="24"/>
                <w:szCs w:val="24"/>
                <w:rtl/>
                <w:lang w:val="fr-CH"/>
              </w:rPr>
              <w:t>اجهاض أو خسارة</w:t>
            </w:r>
          </w:p>
        </w:tc>
        <w:tc>
          <w:tcPr>
            <w:tcW w:w="1620" w:type="dxa"/>
            <w:tcBorders>
              <w:top w:val="nil"/>
              <w:left w:val="single" w:sz="4" w:space="0" w:color="auto"/>
              <w:bottom w:val="single" w:sz="4" w:space="0" w:color="auto"/>
              <w:right w:val="nil"/>
            </w:tcBorders>
            <w:vAlign w:val="bottom"/>
          </w:tcPr>
          <w:p w:rsidR="00971AE2" w:rsidRPr="000D5E56" w:rsidRDefault="00971AE2" w:rsidP="000D5E56">
            <w:pPr>
              <w:spacing w:line="300" w:lineRule="exact"/>
              <w:jc w:val="lowKashida"/>
              <w:rPr>
                <w:rFonts w:hint="cs"/>
                <w:b/>
                <w:sz w:val="24"/>
                <w:szCs w:val="24"/>
                <w:lang w:val="fr-CH"/>
              </w:rPr>
            </w:pPr>
            <w:r w:rsidRPr="000D5E56">
              <w:rPr>
                <w:rFonts w:hint="cs"/>
                <w:b/>
                <w:sz w:val="24"/>
                <w:szCs w:val="24"/>
                <w:rtl/>
                <w:lang w:val="fr-CH"/>
              </w:rPr>
              <w:t>جروح أو كسور</w:t>
            </w:r>
          </w:p>
        </w:tc>
        <w:tc>
          <w:tcPr>
            <w:tcW w:w="1620" w:type="dxa"/>
            <w:tcBorders>
              <w:top w:val="nil"/>
              <w:left w:val="single" w:sz="4" w:space="0" w:color="auto"/>
              <w:bottom w:val="single" w:sz="4" w:space="0" w:color="auto"/>
              <w:right w:val="nil"/>
            </w:tcBorders>
            <w:vAlign w:val="bottom"/>
          </w:tcPr>
          <w:p w:rsidR="00971AE2" w:rsidRDefault="00971AE2" w:rsidP="000D5E56">
            <w:pPr>
              <w:spacing w:line="300" w:lineRule="exact"/>
              <w:jc w:val="lowKashida"/>
              <w:rPr>
                <w:rFonts w:hint="cs"/>
                <w:b/>
                <w:sz w:val="24"/>
                <w:szCs w:val="24"/>
                <w:lang w:val="fr-CH"/>
              </w:rPr>
            </w:pPr>
            <w:r>
              <w:rPr>
                <w:rFonts w:hint="cs"/>
                <w:b/>
                <w:sz w:val="24"/>
                <w:szCs w:val="24"/>
                <w:rtl/>
                <w:lang w:val="fr-CH"/>
              </w:rPr>
              <w:t>رضوض أو آلام في الرأس</w:t>
            </w:r>
          </w:p>
        </w:tc>
        <w:tc>
          <w:tcPr>
            <w:tcW w:w="1080" w:type="dxa"/>
            <w:tcBorders>
              <w:top w:val="nil"/>
              <w:left w:val="single" w:sz="4" w:space="0" w:color="auto"/>
              <w:bottom w:val="single" w:sz="4" w:space="0" w:color="auto"/>
              <w:right w:val="single" w:sz="4" w:space="0" w:color="auto"/>
            </w:tcBorders>
            <w:vAlign w:val="bottom"/>
          </w:tcPr>
          <w:p w:rsidR="00971AE2" w:rsidRPr="000D5E56" w:rsidRDefault="00971AE2" w:rsidP="000D5E56">
            <w:pPr>
              <w:spacing w:line="300" w:lineRule="exact"/>
              <w:jc w:val="lowKashida"/>
              <w:rPr>
                <w:rFonts w:hint="cs"/>
                <w:b/>
                <w:sz w:val="24"/>
                <w:szCs w:val="24"/>
                <w:lang w:val="fr-CH"/>
              </w:rPr>
            </w:pPr>
            <w:r w:rsidRPr="000D5E56">
              <w:rPr>
                <w:rFonts w:hint="cs"/>
                <w:b/>
                <w:sz w:val="24"/>
                <w:szCs w:val="24"/>
                <w:rtl/>
                <w:lang w:val="fr-CH"/>
              </w:rPr>
              <w:t>السن</w:t>
            </w:r>
          </w:p>
        </w:tc>
      </w:tr>
      <w:tr w:rsidR="00971AE2">
        <w:tblPrEx>
          <w:tblCellMar>
            <w:top w:w="0" w:type="dxa"/>
            <w:bottom w:w="0" w:type="dxa"/>
          </w:tblCellMar>
        </w:tblPrEx>
        <w:trPr>
          <w:trHeight w:val="113"/>
          <w:jc w:val="center"/>
        </w:trPr>
        <w:tc>
          <w:tcPr>
            <w:tcW w:w="2340" w:type="dxa"/>
            <w:tcBorders>
              <w:top w:val="nil"/>
              <w:left w:val="single" w:sz="4" w:space="0" w:color="auto"/>
              <w:bottom w:val="single" w:sz="4" w:space="0" w:color="auto"/>
              <w:right w:val="nil"/>
            </w:tcBorders>
            <w:vAlign w:val="bottom"/>
          </w:tcPr>
          <w:p w:rsidR="00971AE2" w:rsidRPr="002608AF" w:rsidRDefault="002608AF" w:rsidP="00A343DF">
            <w:pPr>
              <w:spacing w:line="480" w:lineRule="auto"/>
              <w:jc w:val="lowKashida"/>
              <w:rPr>
                <w:rFonts w:cs="Akhbar MT" w:hint="cs"/>
                <w:sz w:val="24"/>
                <w:szCs w:val="24"/>
              </w:rPr>
            </w:pPr>
            <w:r>
              <w:rPr>
                <w:rFonts w:hint="cs"/>
                <w:sz w:val="24"/>
                <w:szCs w:val="24"/>
                <w:rtl/>
              </w:rPr>
              <w:t>46.8</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2608AF" w:rsidP="00A343DF">
            <w:pPr>
              <w:spacing w:line="480" w:lineRule="auto"/>
              <w:jc w:val="lowKashida"/>
              <w:rPr>
                <w:sz w:val="24"/>
                <w:szCs w:val="24"/>
              </w:rPr>
            </w:pPr>
            <w:r>
              <w:rPr>
                <w:rFonts w:hint="cs"/>
                <w:sz w:val="24"/>
                <w:szCs w:val="24"/>
                <w:rtl/>
              </w:rPr>
              <w:t>46.8</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2608AF" w:rsidP="00A343DF">
            <w:pPr>
              <w:spacing w:line="480" w:lineRule="auto"/>
              <w:jc w:val="lowKashida"/>
              <w:rPr>
                <w:sz w:val="24"/>
                <w:szCs w:val="24"/>
              </w:rPr>
            </w:pPr>
            <w:r>
              <w:rPr>
                <w:rFonts w:hint="cs"/>
                <w:sz w:val="24"/>
                <w:szCs w:val="24"/>
                <w:rtl/>
              </w:rPr>
              <w:t>46.8</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Pr="002608AF" w:rsidRDefault="002608AF" w:rsidP="00A343DF">
            <w:pPr>
              <w:spacing w:line="480" w:lineRule="auto"/>
              <w:jc w:val="lowKashida"/>
              <w:rPr>
                <w:rFonts w:cs="Akhbar MT" w:hint="cs"/>
                <w:sz w:val="24"/>
                <w:szCs w:val="24"/>
              </w:rPr>
            </w:pPr>
            <w:r>
              <w:rPr>
                <w:rFonts w:hint="cs"/>
                <w:sz w:val="24"/>
                <w:szCs w:val="24"/>
                <w:rtl/>
              </w:rPr>
              <w:t>57.9</w:t>
            </w:r>
            <w:r>
              <w:rPr>
                <w:rFonts w:cs="Akhbar MT" w:hint="cs"/>
                <w:sz w:val="24"/>
                <w:szCs w:val="24"/>
                <w:rtl/>
              </w:rPr>
              <w:t>%</w:t>
            </w:r>
          </w:p>
        </w:tc>
        <w:tc>
          <w:tcPr>
            <w:tcW w:w="1080" w:type="dxa"/>
            <w:tcBorders>
              <w:top w:val="nil"/>
              <w:left w:val="single" w:sz="4" w:space="0" w:color="auto"/>
              <w:bottom w:val="single" w:sz="4" w:space="0" w:color="auto"/>
              <w:right w:val="single" w:sz="4" w:space="0" w:color="auto"/>
            </w:tcBorders>
            <w:vAlign w:val="bottom"/>
          </w:tcPr>
          <w:p w:rsidR="00971AE2" w:rsidRDefault="002608AF" w:rsidP="00A343DF">
            <w:pPr>
              <w:spacing w:line="480" w:lineRule="auto"/>
              <w:jc w:val="lowKashida"/>
              <w:rPr>
                <w:rFonts w:hint="cs"/>
                <w:sz w:val="24"/>
                <w:szCs w:val="24"/>
              </w:rPr>
            </w:pPr>
            <w:r>
              <w:rPr>
                <w:rFonts w:hint="cs"/>
                <w:sz w:val="24"/>
                <w:szCs w:val="24"/>
                <w:rtl/>
              </w:rPr>
              <w:t>15-19</w:t>
            </w:r>
          </w:p>
        </w:tc>
      </w:tr>
      <w:tr w:rsidR="00971AE2">
        <w:tblPrEx>
          <w:tblCellMar>
            <w:top w:w="0" w:type="dxa"/>
            <w:bottom w:w="0" w:type="dxa"/>
          </w:tblCellMar>
        </w:tblPrEx>
        <w:trPr>
          <w:trHeight w:val="113"/>
          <w:jc w:val="center"/>
        </w:trPr>
        <w:tc>
          <w:tcPr>
            <w:tcW w:w="2340" w:type="dxa"/>
            <w:tcBorders>
              <w:top w:val="nil"/>
              <w:left w:val="single" w:sz="4" w:space="0" w:color="auto"/>
              <w:bottom w:val="single" w:sz="4" w:space="0" w:color="auto"/>
              <w:right w:val="nil"/>
            </w:tcBorders>
            <w:vAlign w:val="bottom"/>
          </w:tcPr>
          <w:p w:rsidR="00971AE2" w:rsidRPr="00562B5F" w:rsidRDefault="00562B5F" w:rsidP="00A343DF">
            <w:pPr>
              <w:spacing w:line="480" w:lineRule="auto"/>
              <w:jc w:val="lowKashida"/>
              <w:rPr>
                <w:rFonts w:cs="Akhbar MT" w:hint="cs"/>
                <w:sz w:val="24"/>
                <w:szCs w:val="24"/>
              </w:rPr>
            </w:pPr>
            <w:r>
              <w:rPr>
                <w:rFonts w:hint="cs"/>
                <w:sz w:val="24"/>
                <w:szCs w:val="24"/>
                <w:rtl/>
              </w:rPr>
              <w:t>58.6</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562B5F" w:rsidP="00A343DF">
            <w:pPr>
              <w:spacing w:line="480" w:lineRule="auto"/>
              <w:jc w:val="lowKashida"/>
              <w:rPr>
                <w:sz w:val="24"/>
                <w:szCs w:val="24"/>
              </w:rPr>
            </w:pPr>
            <w:r>
              <w:rPr>
                <w:rFonts w:hint="cs"/>
                <w:sz w:val="24"/>
                <w:szCs w:val="24"/>
                <w:rtl/>
              </w:rPr>
              <w:t>58.6</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562B5F" w:rsidP="00A343DF">
            <w:pPr>
              <w:spacing w:line="480" w:lineRule="auto"/>
              <w:jc w:val="lowKashida"/>
              <w:rPr>
                <w:sz w:val="24"/>
                <w:szCs w:val="24"/>
              </w:rPr>
            </w:pPr>
            <w:r>
              <w:rPr>
                <w:rFonts w:hint="cs"/>
                <w:sz w:val="24"/>
                <w:szCs w:val="24"/>
                <w:rtl/>
              </w:rPr>
              <w:t>58.6</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Pr="00562B5F" w:rsidRDefault="00562B5F" w:rsidP="00A343DF">
            <w:pPr>
              <w:spacing w:line="480" w:lineRule="auto"/>
              <w:jc w:val="lowKashida"/>
              <w:rPr>
                <w:rFonts w:cs="Akhbar MT" w:hint="cs"/>
                <w:sz w:val="24"/>
                <w:szCs w:val="24"/>
              </w:rPr>
            </w:pPr>
            <w:r>
              <w:rPr>
                <w:rFonts w:hint="cs"/>
                <w:sz w:val="24"/>
                <w:szCs w:val="24"/>
                <w:rtl/>
              </w:rPr>
              <w:t>47.5</w:t>
            </w:r>
            <w:r>
              <w:rPr>
                <w:rFonts w:cs="Akhbar MT" w:hint="cs"/>
                <w:sz w:val="24"/>
                <w:szCs w:val="24"/>
                <w:rtl/>
              </w:rPr>
              <w:t>%</w:t>
            </w:r>
          </w:p>
        </w:tc>
        <w:tc>
          <w:tcPr>
            <w:tcW w:w="1080" w:type="dxa"/>
            <w:tcBorders>
              <w:top w:val="nil"/>
              <w:left w:val="single" w:sz="4" w:space="0" w:color="auto"/>
              <w:bottom w:val="single" w:sz="4" w:space="0" w:color="auto"/>
              <w:right w:val="single" w:sz="4" w:space="0" w:color="auto"/>
            </w:tcBorders>
            <w:vAlign w:val="bottom"/>
          </w:tcPr>
          <w:p w:rsidR="00971AE2" w:rsidRDefault="00562B5F" w:rsidP="00A343DF">
            <w:pPr>
              <w:spacing w:line="480" w:lineRule="auto"/>
              <w:jc w:val="lowKashida"/>
              <w:rPr>
                <w:rFonts w:hint="cs"/>
                <w:sz w:val="24"/>
                <w:szCs w:val="24"/>
              </w:rPr>
            </w:pPr>
            <w:r>
              <w:rPr>
                <w:rFonts w:hint="cs"/>
                <w:sz w:val="24"/>
                <w:szCs w:val="24"/>
                <w:rtl/>
              </w:rPr>
              <w:t>20-24</w:t>
            </w:r>
          </w:p>
        </w:tc>
      </w:tr>
      <w:tr w:rsidR="00971AE2">
        <w:tblPrEx>
          <w:tblCellMar>
            <w:top w:w="0" w:type="dxa"/>
            <w:bottom w:w="0" w:type="dxa"/>
          </w:tblCellMar>
        </w:tblPrEx>
        <w:trPr>
          <w:trHeight w:val="113"/>
          <w:jc w:val="center"/>
        </w:trPr>
        <w:tc>
          <w:tcPr>
            <w:tcW w:w="2340" w:type="dxa"/>
            <w:tcBorders>
              <w:top w:val="nil"/>
              <w:left w:val="single" w:sz="4" w:space="0" w:color="auto"/>
              <w:bottom w:val="single" w:sz="4" w:space="0" w:color="auto"/>
              <w:right w:val="nil"/>
            </w:tcBorders>
            <w:vAlign w:val="bottom"/>
          </w:tcPr>
          <w:p w:rsidR="00971AE2" w:rsidRPr="00562B5F" w:rsidRDefault="00562B5F" w:rsidP="00A343DF">
            <w:pPr>
              <w:spacing w:line="480" w:lineRule="auto"/>
              <w:jc w:val="lowKashida"/>
              <w:rPr>
                <w:rFonts w:cs="Akhbar MT" w:hint="cs"/>
                <w:sz w:val="24"/>
                <w:szCs w:val="24"/>
              </w:rPr>
            </w:pPr>
            <w:r>
              <w:rPr>
                <w:rFonts w:hint="cs"/>
                <w:sz w:val="24"/>
                <w:szCs w:val="24"/>
                <w:rtl/>
              </w:rPr>
              <w:t>73.1</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7476B5" w:rsidP="00A343DF">
            <w:pPr>
              <w:spacing w:line="480" w:lineRule="auto"/>
              <w:jc w:val="lowKashida"/>
              <w:rPr>
                <w:sz w:val="24"/>
                <w:szCs w:val="24"/>
              </w:rPr>
            </w:pPr>
            <w:r>
              <w:rPr>
                <w:rFonts w:hint="cs"/>
                <w:sz w:val="24"/>
                <w:szCs w:val="24"/>
                <w:rtl/>
              </w:rPr>
              <w:t>73.1</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7476B5" w:rsidP="00A343DF">
            <w:pPr>
              <w:spacing w:line="480" w:lineRule="auto"/>
              <w:jc w:val="lowKashida"/>
              <w:rPr>
                <w:sz w:val="24"/>
                <w:szCs w:val="24"/>
              </w:rPr>
            </w:pPr>
            <w:r>
              <w:rPr>
                <w:rFonts w:hint="cs"/>
                <w:sz w:val="24"/>
                <w:szCs w:val="24"/>
                <w:rtl/>
              </w:rPr>
              <w:t>73.1</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Pr="007476B5" w:rsidRDefault="007476B5" w:rsidP="00A343DF">
            <w:pPr>
              <w:spacing w:line="480" w:lineRule="auto"/>
              <w:jc w:val="lowKashida"/>
              <w:rPr>
                <w:rFonts w:cs="Akhbar MT" w:hint="cs"/>
                <w:sz w:val="24"/>
                <w:szCs w:val="24"/>
              </w:rPr>
            </w:pPr>
            <w:r>
              <w:rPr>
                <w:rFonts w:hint="cs"/>
                <w:sz w:val="24"/>
                <w:szCs w:val="24"/>
                <w:rtl/>
              </w:rPr>
              <w:t>56.2</w:t>
            </w:r>
            <w:r>
              <w:rPr>
                <w:rFonts w:cs="Akhbar MT" w:hint="cs"/>
                <w:sz w:val="24"/>
                <w:szCs w:val="24"/>
                <w:rtl/>
              </w:rPr>
              <w:t>%</w:t>
            </w:r>
          </w:p>
        </w:tc>
        <w:tc>
          <w:tcPr>
            <w:tcW w:w="1080" w:type="dxa"/>
            <w:tcBorders>
              <w:top w:val="nil"/>
              <w:left w:val="single" w:sz="4" w:space="0" w:color="auto"/>
              <w:bottom w:val="single" w:sz="4" w:space="0" w:color="auto"/>
              <w:right w:val="single" w:sz="4" w:space="0" w:color="auto"/>
            </w:tcBorders>
            <w:vAlign w:val="bottom"/>
          </w:tcPr>
          <w:p w:rsidR="00971AE2" w:rsidRDefault="007476B5" w:rsidP="00A343DF">
            <w:pPr>
              <w:spacing w:line="480" w:lineRule="auto"/>
              <w:jc w:val="lowKashida"/>
              <w:rPr>
                <w:rFonts w:hint="cs"/>
                <w:sz w:val="24"/>
                <w:szCs w:val="24"/>
              </w:rPr>
            </w:pPr>
            <w:r>
              <w:rPr>
                <w:rFonts w:hint="cs"/>
                <w:sz w:val="24"/>
                <w:szCs w:val="24"/>
                <w:rtl/>
              </w:rPr>
              <w:t>25-29</w:t>
            </w:r>
          </w:p>
        </w:tc>
      </w:tr>
      <w:tr w:rsidR="00971AE2">
        <w:tblPrEx>
          <w:tblCellMar>
            <w:top w:w="0" w:type="dxa"/>
            <w:bottom w:w="0" w:type="dxa"/>
          </w:tblCellMar>
        </w:tblPrEx>
        <w:trPr>
          <w:trHeight w:val="113"/>
          <w:jc w:val="center"/>
        </w:trPr>
        <w:tc>
          <w:tcPr>
            <w:tcW w:w="2340" w:type="dxa"/>
            <w:tcBorders>
              <w:top w:val="nil"/>
              <w:left w:val="single" w:sz="4" w:space="0" w:color="auto"/>
              <w:bottom w:val="single" w:sz="4" w:space="0" w:color="auto"/>
              <w:right w:val="nil"/>
            </w:tcBorders>
            <w:vAlign w:val="bottom"/>
          </w:tcPr>
          <w:p w:rsidR="00971AE2" w:rsidRPr="007476B5" w:rsidRDefault="007476B5" w:rsidP="00A343DF">
            <w:pPr>
              <w:spacing w:line="480" w:lineRule="auto"/>
              <w:jc w:val="lowKashida"/>
              <w:rPr>
                <w:rFonts w:cs="Akhbar MT" w:hint="cs"/>
                <w:sz w:val="24"/>
                <w:szCs w:val="24"/>
              </w:rPr>
            </w:pPr>
            <w:r>
              <w:rPr>
                <w:rFonts w:hint="cs"/>
                <w:sz w:val="24"/>
                <w:szCs w:val="24"/>
                <w:rtl/>
              </w:rPr>
              <w:t>64.1</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7476B5" w:rsidP="00A343DF">
            <w:pPr>
              <w:spacing w:line="480" w:lineRule="auto"/>
              <w:jc w:val="lowKashida"/>
              <w:rPr>
                <w:sz w:val="24"/>
                <w:szCs w:val="24"/>
              </w:rPr>
            </w:pPr>
            <w:r>
              <w:rPr>
                <w:rFonts w:hint="cs"/>
                <w:sz w:val="24"/>
                <w:szCs w:val="24"/>
                <w:rtl/>
              </w:rPr>
              <w:t>64.1</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7476B5" w:rsidP="00A343DF">
            <w:pPr>
              <w:spacing w:line="480" w:lineRule="auto"/>
              <w:jc w:val="lowKashida"/>
              <w:rPr>
                <w:sz w:val="24"/>
                <w:szCs w:val="24"/>
              </w:rPr>
            </w:pPr>
            <w:r>
              <w:rPr>
                <w:rFonts w:hint="cs"/>
                <w:sz w:val="24"/>
                <w:szCs w:val="24"/>
                <w:rtl/>
              </w:rPr>
              <w:t>64.1</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Pr="007476B5" w:rsidRDefault="007476B5" w:rsidP="00A343DF">
            <w:pPr>
              <w:spacing w:line="480" w:lineRule="auto"/>
              <w:jc w:val="lowKashida"/>
              <w:rPr>
                <w:rFonts w:hint="cs"/>
                <w:sz w:val="24"/>
                <w:szCs w:val="24"/>
              </w:rPr>
            </w:pPr>
            <w:r>
              <w:rPr>
                <w:rFonts w:hint="cs"/>
                <w:sz w:val="24"/>
                <w:szCs w:val="24"/>
                <w:rtl/>
              </w:rPr>
              <w:t>45.9</w:t>
            </w:r>
            <w:r>
              <w:rPr>
                <w:rFonts w:cs="Akhbar MT" w:hint="cs"/>
                <w:sz w:val="24"/>
                <w:szCs w:val="24"/>
                <w:rtl/>
              </w:rPr>
              <w:t>%</w:t>
            </w:r>
          </w:p>
        </w:tc>
        <w:tc>
          <w:tcPr>
            <w:tcW w:w="1080" w:type="dxa"/>
            <w:tcBorders>
              <w:top w:val="nil"/>
              <w:left w:val="single" w:sz="4" w:space="0" w:color="auto"/>
              <w:bottom w:val="single" w:sz="4" w:space="0" w:color="auto"/>
              <w:right w:val="single" w:sz="4" w:space="0" w:color="auto"/>
            </w:tcBorders>
            <w:vAlign w:val="bottom"/>
          </w:tcPr>
          <w:p w:rsidR="00971AE2" w:rsidRDefault="007476B5" w:rsidP="00A343DF">
            <w:pPr>
              <w:spacing w:line="480" w:lineRule="auto"/>
              <w:jc w:val="lowKashida"/>
              <w:rPr>
                <w:rFonts w:hint="cs"/>
                <w:sz w:val="24"/>
                <w:szCs w:val="24"/>
              </w:rPr>
            </w:pPr>
            <w:r>
              <w:rPr>
                <w:rFonts w:hint="cs"/>
                <w:sz w:val="24"/>
                <w:szCs w:val="24"/>
                <w:rtl/>
              </w:rPr>
              <w:t>30-34</w:t>
            </w:r>
          </w:p>
        </w:tc>
      </w:tr>
      <w:tr w:rsidR="00971AE2">
        <w:tblPrEx>
          <w:tblCellMar>
            <w:top w:w="0" w:type="dxa"/>
            <w:bottom w:w="0" w:type="dxa"/>
          </w:tblCellMar>
        </w:tblPrEx>
        <w:trPr>
          <w:trHeight w:val="113"/>
          <w:jc w:val="center"/>
        </w:trPr>
        <w:tc>
          <w:tcPr>
            <w:tcW w:w="2340" w:type="dxa"/>
            <w:tcBorders>
              <w:top w:val="nil"/>
              <w:left w:val="single" w:sz="4" w:space="0" w:color="auto"/>
              <w:bottom w:val="single" w:sz="4" w:space="0" w:color="auto"/>
              <w:right w:val="nil"/>
            </w:tcBorders>
            <w:vAlign w:val="bottom"/>
          </w:tcPr>
          <w:p w:rsidR="00971AE2" w:rsidRPr="007476B5" w:rsidRDefault="007476B5" w:rsidP="00A343DF">
            <w:pPr>
              <w:spacing w:line="480" w:lineRule="auto"/>
              <w:jc w:val="lowKashida"/>
              <w:rPr>
                <w:rFonts w:cs="Akhbar MT" w:hint="cs"/>
                <w:sz w:val="24"/>
                <w:szCs w:val="24"/>
              </w:rPr>
            </w:pPr>
            <w:r>
              <w:rPr>
                <w:rFonts w:hint="cs"/>
                <w:sz w:val="24"/>
                <w:szCs w:val="24"/>
                <w:rtl/>
              </w:rPr>
              <w:t>59.9</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sz w:val="24"/>
                <w:szCs w:val="24"/>
              </w:rPr>
            </w:pPr>
            <w:r>
              <w:rPr>
                <w:rFonts w:hint="cs"/>
                <w:sz w:val="24"/>
                <w:szCs w:val="24"/>
                <w:rtl/>
              </w:rPr>
              <w:t>59.9</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sz w:val="24"/>
                <w:szCs w:val="24"/>
              </w:rPr>
            </w:pPr>
            <w:r>
              <w:rPr>
                <w:rFonts w:hint="cs"/>
                <w:sz w:val="24"/>
                <w:szCs w:val="24"/>
                <w:rtl/>
              </w:rPr>
              <w:t>59.9</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sz w:val="24"/>
                <w:szCs w:val="24"/>
              </w:rPr>
            </w:pPr>
            <w:r>
              <w:rPr>
                <w:rFonts w:hint="cs"/>
                <w:sz w:val="24"/>
                <w:szCs w:val="24"/>
                <w:rtl/>
              </w:rPr>
              <w:t>59.9</w:t>
            </w:r>
            <w:r>
              <w:rPr>
                <w:rFonts w:cs="Akhbar MT" w:hint="cs"/>
                <w:sz w:val="24"/>
                <w:szCs w:val="24"/>
                <w:rtl/>
              </w:rPr>
              <w:t>%</w:t>
            </w:r>
          </w:p>
        </w:tc>
        <w:tc>
          <w:tcPr>
            <w:tcW w:w="1080" w:type="dxa"/>
            <w:tcBorders>
              <w:top w:val="nil"/>
              <w:left w:val="single" w:sz="4" w:space="0" w:color="auto"/>
              <w:bottom w:val="single" w:sz="4" w:space="0" w:color="auto"/>
              <w:right w:val="single" w:sz="4" w:space="0" w:color="auto"/>
            </w:tcBorders>
            <w:vAlign w:val="bottom"/>
          </w:tcPr>
          <w:p w:rsidR="00971AE2" w:rsidRDefault="001A1B49" w:rsidP="00A343DF">
            <w:pPr>
              <w:spacing w:line="480" w:lineRule="auto"/>
              <w:jc w:val="lowKashida"/>
              <w:rPr>
                <w:rFonts w:hint="cs"/>
                <w:sz w:val="24"/>
                <w:szCs w:val="24"/>
              </w:rPr>
            </w:pPr>
            <w:r>
              <w:rPr>
                <w:rFonts w:hint="cs"/>
                <w:sz w:val="24"/>
                <w:szCs w:val="24"/>
                <w:rtl/>
              </w:rPr>
              <w:t>35-39</w:t>
            </w:r>
          </w:p>
        </w:tc>
      </w:tr>
      <w:tr w:rsidR="00971AE2">
        <w:tblPrEx>
          <w:tblCellMar>
            <w:top w:w="0" w:type="dxa"/>
            <w:bottom w:w="0" w:type="dxa"/>
          </w:tblCellMar>
        </w:tblPrEx>
        <w:trPr>
          <w:trHeight w:val="113"/>
          <w:jc w:val="center"/>
        </w:trPr>
        <w:tc>
          <w:tcPr>
            <w:tcW w:w="2340" w:type="dxa"/>
            <w:tcBorders>
              <w:top w:val="nil"/>
              <w:left w:val="single" w:sz="4" w:space="0" w:color="auto"/>
              <w:bottom w:val="single" w:sz="4" w:space="0" w:color="auto"/>
              <w:right w:val="nil"/>
            </w:tcBorders>
            <w:vAlign w:val="bottom"/>
          </w:tcPr>
          <w:p w:rsidR="00971AE2" w:rsidRPr="001A1B49" w:rsidRDefault="001A1B49" w:rsidP="00A343DF">
            <w:pPr>
              <w:spacing w:line="480" w:lineRule="auto"/>
              <w:jc w:val="lowKashida"/>
              <w:rPr>
                <w:rFonts w:cs="Akhbar MT" w:hint="cs"/>
                <w:sz w:val="24"/>
                <w:szCs w:val="24"/>
              </w:rPr>
            </w:pPr>
            <w:r>
              <w:rPr>
                <w:rFonts w:hint="cs"/>
                <w:sz w:val="24"/>
                <w:szCs w:val="24"/>
                <w:rtl/>
              </w:rPr>
              <w:t>70.0</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sz w:val="24"/>
                <w:szCs w:val="24"/>
              </w:rPr>
            </w:pPr>
            <w:r>
              <w:rPr>
                <w:rFonts w:hint="cs"/>
                <w:sz w:val="24"/>
                <w:szCs w:val="24"/>
                <w:rtl/>
              </w:rPr>
              <w:t>70.0</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sz w:val="24"/>
                <w:szCs w:val="24"/>
              </w:rPr>
            </w:pPr>
            <w:r>
              <w:rPr>
                <w:rFonts w:hint="cs"/>
                <w:sz w:val="24"/>
                <w:szCs w:val="24"/>
                <w:rtl/>
              </w:rPr>
              <w:t>70.0</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sz w:val="24"/>
                <w:szCs w:val="24"/>
              </w:rPr>
            </w:pPr>
            <w:r>
              <w:rPr>
                <w:rFonts w:hint="cs"/>
                <w:sz w:val="24"/>
                <w:szCs w:val="24"/>
                <w:rtl/>
              </w:rPr>
              <w:t>70.0</w:t>
            </w:r>
            <w:r>
              <w:rPr>
                <w:rFonts w:cs="Akhbar MT" w:hint="cs"/>
                <w:sz w:val="24"/>
                <w:szCs w:val="24"/>
                <w:rtl/>
              </w:rPr>
              <w:t>%</w:t>
            </w:r>
          </w:p>
        </w:tc>
        <w:tc>
          <w:tcPr>
            <w:tcW w:w="1080" w:type="dxa"/>
            <w:tcBorders>
              <w:top w:val="nil"/>
              <w:left w:val="single" w:sz="4" w:space="0" w:color="auto"/>
              <w:bottom w:val="single" w:sz="4" w:space="0" w:color="auto"/>
              <w:right w:val="single" w:sz="4" w:space="0" w:color="auto"/>
            </w:tcBorders>
            <w:vAlign w:val="bottom"/>
          </w:tcPr>
          <w:p w:rsidR="00971AE2" w:rsidRDefault="001A1B49" w:rsidP="00A343DF">
            <w:pPr>
              <w:spacing w:line="480" w:lineRule="auto"/>
              <w:jc w:val="lowKashida"/>
              <w:rPr>
                <w:rFonts w:hint="cs"/>
                <w:sz w:val="24"/>
                <w:szCs w:val="24"/>
              </w:rPr>
            </w:pPr>
            <w:r>
              <w:rPr>
                <w:rFonts w:hint="cs"/>
                <w:sz w:val="24"/>
                <w:szCs w:val="24"/>
                <w:rtl/>
              </w:rPr>
              <w:t>40-44</w:t>
            </w:r>
          </w:p>
        </w:tc>
      </w:tr>
      <w:tr w:rsidR="00971AE2">
        <w:tblPrEx>
          <w:tblCellMar>
            <w:top w:w="0" w:type="dxa"/>
            <w:bottom w:w="0" w:type="dxa"/>
          </w:tblCellMar>
        </w:tblPrEx>
        <w:trPr>
          <w:trHeight w:val="113"/>
          <w:jc w:val="center"/>
        </w:trPr>
        <w:tc>
          <w:tcPr>
            <w:tcW w:w="2340" w:type="dxa"/>
            <w:tcBorders>
              <w:top w:val="nil"/>
              <w:left w:val="single" w:sz="4" w:space="0" w:color="auto"/>
              <w:bottom w:val="single" w:sz="4" w:space="0" w:color="auto"/>
              <w:right w:val="nil"/>
            </w:tcBorders>
            <w:vAlign w:val="bottom"/>
          </w:tcPr>
          <w:p w:rsidR="00971AE2" w:rsidRPr="001A1B49" w:rsidRDefault="001A1B49" w:rsidP="00A343DF">
            <w:pPr>
              <w:spacing w:line="480" w:lineRule="auto"/>
              <w:jc w:val="lowKashida"/>
              <w:rPr>
                <w:rFonts w:cs="Akhbar MT" w:hint="cs"/>
                <w:sz w:val="24"/>
                <w:szCs w:val="24"/>
              </w:rPr>
            </w:pPr>
            <w:r>
              <w:rPr>
                <w:rFonts w:hint="cs"/>
                <w:sz w:val="24"/>
                <w:szCs w:val="24"/>
                <w:rtl/>
              </w:rPr>
              <w:t>73.2</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sz w:val="24"/>
                <w:szCs w:val="24"/>
              </w:rPr>
            </w:pPr>
            <w:r>
              <w:rPr>
                <w:rFonts w:hint="cs"/>
                <w:sz w:val="24"/>
                <w:szCs w:val="24"/>
                <w:rtl/>
              </w:rPr>
              <w:t>73.2</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sz w:val="24"/>
                <w:szCs w:val="24"/>
              </w:rPr>
            </w:pPr>
            <w:r>
              <w:rPr>
                <w:rFonts w:hint="cs"/>
                <w:sz w:val="24"/>
                <w:szCs w:val="24"/>
                <w:rtl/>
              </w:rPr>
              <w:t>73.2</w:t>
            </w:r>
            <w:r>
              <w:rPr>
                <w:rFonts w:cs="Akhbar MT" w:hint="cs"/>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sz w:val="24"/>
                <w:szCs w:val="24"/>
              </w:rPr>
            </w:pPr>
            <w:r>
              <w:rPr>
                <w:rFonts w:hint="cs"/>
                <w:sz w:val="24"/>
                <w:szCs w:val="24"/>
                <w:rtl/>
              </w:rPr>
              <w:t>73.2</w:t>
            </w:r>
            <w:r>
              <w:rPr>
                <w:rFonts w:cs="Akhbar MT" w:hint="cs"/>
                <w:sz w:val="24"/>
                <w:szCs w:val="24"/>
                <w:rtl/>
              </w:rPr>
              <w:t>%</w:t>
            </w:r>
          </w:p>
        </w:tc>
        <w:tc>
          <w:tcPr>
            <w:tcW w:w="1080" w:type="dxa"/>
            <w:tcBorders>
              <w:top w:val="nil"/>
              <w:left w:val="single" w:sz="4" w:space="0" w:color="auto"/>
              <w:bottom w:val="single" w:sz="4" w:space="0" w:color="auto"/>
              <w:right w:val="single" w:sz="4" w:space="0" w:color="auto"/>
            </w:tcBorders>
            <w:vAlign w:val="bottom"/>
          </w:tcPr>
          <w:p w:rsidR="00971AE2" w:rsidRDefault="001A1B49" w:rsidP="00A343DF">
            <w:pPr>
              <w:spacing w:line="480" w:lineRule="auto"/>
              <w:jc w:val="lowKashida"/>
              <w:rPr>
                <w:rFonts w:hint="cs"/>
                <w:sz w:val="24"/>
                <w:szCs w:val="24"/>
              </w:rPr>
            </w:pPr>
            <w:r>
              <w:rPr>
                <w:rFonts w:hint="cs"/>
                <w:sz w:val="24"/>
                <w:szCs w:val="24"/>
                <w:rtl/>
              </w:rPr>
              <w:t>45-49</w:t>
            </w:r>
          </w:p>
        </w:tc>
      </w:tr>
      <w:tr w:rsidR="00971AE2">
        <w:tblPrEx>
          <w:tblCellMar>
            <w:top w:w="0" w:type="dxa"/>
            <w:bottom w:w="0" w:type="dxa"/>
          </w:tblCellMar>
        </w:tblPrEx>
        <w:trPr>
          <w:trHeight w:val="113"/>
          <w:jc w:val="center"/>
        </w:trPr>
        <w:tc>
          <w:tcPr>
            <w:tcW w:w="2340" w:type="dxa"/>
            <w:tcBorders>
              <w:top w:val="nil"/>
              <w:left w:val="single" w:sz="4" w:space="0" w:color="auto"/>
              <w:bottom w:val="single" w:sz="4" w:space="0" w:color="auto"/>
              <w:right w:val="nil"/>
            </w:tcBorders>
            <w:vAlign w:val="bottom"/>
          </w:tcPr>
          <w:p w:rsidR="00971AE2" w:rsidRPr="001A1B49" w:rsidRDefault="001A1B49" w:rsidP="00A343DF">
            <w:pPr>
              <w:spacing w:line="480" w:lineRule="auto"/>
              <w:jc w:val="lowKashida"/>
              <w:rPr>
                <w:rFonts w:cs="Akhbar MT" w:hint="cs"/>
                <w:b/>
                <w:sz w:val="24"/>
                <w:szCs w:val="24"/>
              </w:rPr>
            </w:pPr>
            <w:r>
              <w:rPr>
                <w:rFonts w:hint="cs"/>
                <w:b/>
                <w:sz w:val="24"/>
                <w:szCs w:val="24"/>
                <w:rtl/>
              </w:rPr>
              <w:t>2.3</w:t>
            </w:r>
            <w:r>
              <w:rPr>
                <w:rFonts w:cs="Akhbar MT" w:hint="cs"/>
                <w:b/>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rFonts w:hint="cs"/>
                <w:b/>
                <w:sz w:val="24"/>
                <w:szCs w:val="24"/>
              </w:rPr>
            </w:pPr>
            <w:r>
              <w:rPr>
                <w:rFonts w:hint="cs"/>
                <w:b/>
                <w:sz w:val="24"/>
                <w:szCs w:val="24"/>
                <w:rtl/>
              </w:rPr>
              <w:t>2.7</w:t>
            </w:r>
            <w:r>
              <w:rPr>
                <w:rFonts w:cs="Akhbar MT" w:hint="cs"/>
                <w:b/>
                <w:sz w:val="24"/>
                <w:szCs w:val="24"/>
                <w:rtl/>
              </w:rPr>
              <w:t>%</w:t>
            </w:r>
          </w:p>
        </w:tc>
        <w:tc>
          <w:tcPr>
            <w:tcW w:w="1620" w:type="dxa"/>
            <w:tcBorders>
              <w:top w:val="nil"/>
              <w:left w:val="single" w:sz="4" w:space="0" w:color="auto"/>
              <w:bottom w:val="single" w:sz="4" w:space="0" w:color="auto"/>
              <w:right w:val="nil"/>
            </w:tcBorders>
            <w:vAlign w:val="bottom"/>
          </w:tcPr>
          <w:p w:rsidR="00971AE2" w:rsidRDefault="001A1B49" w:rsidP="00A343DF">
            <w:pPr>
              <w:spacing w:line="480" w:lineRule="auto"/>
              <w:jc w:val="lowKashida"/>
              <w:rPr>
                <w:rFonts w:hint="cs"/>
                <w:b/>
                <w:sz w:val="24"/>
                <w:szCs w:val="24"/>
              </w:rPr>
            </w:pPr>
            <w:r>
              <w:rPr>
                <w:rFonts w:hint="cs"/>
                <w:b/>
                <w:sz w:val="24"/>
                <w:szCs w:val="24"/>
                <w:rtl/>
              </w:rPr>
              <w:t>9.9</w:t>
            </w:r>
            <w:r>
              <w:rPr>
                <w:rFonts w:cs="Akhbar MT" w:hint="cs"/>
                <w:b/>
                <w:sz w:val="24"/>
                <w:szCs w:val="24"/>
                <w:rtl/>
              </w:rPr>
              <w:t>%</w:t>
            </w:r>
          </w:p>
        </w:tc>
        <w:tc>
          <w:tcPr>
            <w:tcW w:w="1620" w:type="dxa"/>
            <w:tcBorders>
              <w:top w:val="nil"/>
              <w:left w:val="single" w:sz="4" w:space="0" w:color="auto"/>
              <w:bottom w:val="single" w:sz="4" w:space="0" w:color="auto"/>
              <w:right w:val="nil"/>
            </w:tcBorders>
            <w:vAlign w:val="bottom"/>
          </w:tcPr>
          <w:p w:rsidR="00971AE2" w:rsidRPr="001A1B49" w:rsidRDefault="001A1B49" w:rsidP="00A343DF">
            <w:pPr>
              <w:spacing w:line="480" w:lineRule="auto"/>
              <w:jc w:val="lowKashida"/>
              <w:rPr>
                <w:rFonts w:hint="cs"/>
                <w:b/>
                <w:sz w:val="24"/>
                <w:szCs w:val="24"/>
              </w:rPr>
            </w:pPr>
            <w:r>
              <w:rPr>
                <w:rFonts w:hint="cs"/>
                <w:b/>
                <w:sz w:val="24"/>
                <w:szCs w:val="24"/>
                <w:rtl/>
              </w:rPr>
              <w:t>51.1</w:t>
            </w:r>
            <w:r>
              <w:rPr>
                <w:rFonts w:cs="Akhbar MT" w:hint="cs"/>
                <w:b/>
                <w:sz w:val="24"/>
                <w:szCs w:val="24"/>
                <w:rtl/>
              </w:rPr>
              <w:t>%</w:t>
            </w:r>
          </w:p>
        </w:tc>
        <w:tc>
          <w:tcPr>
            <w:tcW w:w="1080" w:type="dxa"/>
            <w:tcBorders>
              <w:top w:val="nil"/>
              <w:left w:val="single" w:sz="4" w:space="0" w:color="auto"/>
              <w:bottom w:val="single" w:sz="4" w:space="0" w:color="auto"/>
              <w:right w:val="single" w:sz="4" w:space="0" w:color="auto"/>
            </w:tcBorders>
            <w:vAlign w:val="bottom"/>
          </w:tcPr>
          <w:p w:rsidR="00971AE2" w:rsidRDefault="00971AE2" w:rsidP="00A343DF">
            <w:pPr>
              <w:spacing w:line="480" w:lineRule="auto"/>
              <w:jc w:val="lowKashida"/>
              <w:rPr>
                <w:rFonts w:hint="cs"/>
                <w:b/>
                <w:sz w:val="24"/>
                <w:szCs w:val="24"/>
              </w:rPr>
            </w:pPr>
            <w:r>
              <w:rPr>
                <w:rFonts w:hint="cs"/>
                <w:b/>
                <w:sz w:val="24"/>
                <w:szCs w:val="24"/>
                <w:rtl/>
              </w:rPr>
              <w:t>المجموع</w:t>
            </w:r>
          </w:p>
        </w:tc>
      </w:tr>
    </w:tbl>
    <w:p w:rsidR="004404A1" w:rsidRPr="004404A1" w:rsidRDefault="004404A1" w:rsidP="00A343DF">
      <w:pPr>
        <w:spacing w:line="120" w:lineRule="exact"/>
        <w:jc w:val="lowKashida"/>
        <w:rPr>
          <w:rFonts w:hint="cs"/>
          <w:sz w:val="10"/>
          <w:rtl/>
        </w:rPr>
      </w:pPr>
    </w:p>
    <w:p w:rsidR="004404A1" w:rsidRPr="004404A1" w:rsidRDefault="004404A1" w:rsidP="00A343DF">
      <w:pPr>
        <w:spacing w:line="120" w:lineRule="exact"/>
        <w:jc w:val="lowKashida"/>
        <w:rPr>
          <w:rFonts w:hint="cs"/>
          <w:sz w:val="10"/>
          <w:rtl/>
        </w:rPr>
      </w:pPr>
    </w:p>
    <w:p w:rsidR="00971AE2" w:rsidRDefault="00971AE2" w:rsidP="002E71C8">
      <w:pPr>
        <w:pStyle w:val="SingleTxt"/>
        <w:rPr>
          <w:rFonts w:hint="cs"/>
          <w:rtl/>
          <w:lang w:bidi="ar-EG"/>
        </w:rPr>
      </w:pPr>
      <w:r>
        <w:rPr>
          <w:rFonts w:hint="cs"/>
          <w:rtl/>
          <w:lang w:bidi="ar-EG"/>
        </w:rPr>
        <w:tab/>
        <w:t>في سنة 2002، أبلغ نظام معلومات الطب الشرعي أنه قد صدر ما مجموعة 421 14 قراراً بإدانة جنسية تتعلق بجرائم جنسية فأضاف بذلك 069 1 قراراً إلى القرارات الصادرة في السنة السابقة مباشرة (552 16)</w:t>
      </w:r>
      <w:r w:rsidR="003D7EB4">
        <w:rPr>
          <w:rFonts w:hint="cs"/>
          <w:rtl/>
          <w:lang w:bidi="ar-EG"/>
        </w:rPr>
        <w:t>،</w:t>
      </w:r>
      <w:r>
        <w:rPr>
          <w:rFonts w:hint="cs"/>
          <w:rtl/>
          <w:lang w:bidi="ar-EG"/>
        </w:rPr>
        <w:t xml:space="preserve"> وحدثت 26 في المائة (746 3) حالة من مجموع الحالات في مدينة بوغوتا في حين حدث الباقي وهو 675 10 (76 في المائة) في مناطق أخرى من البلد</w:t>
      </w:r>
      <w:r w:rsidR="002E71C8" w:rsidRPr="002E71C8">
        <w:rPr>
          <w:rFonts w:hint="cs"/>
          <w:vertAlign w:val="superscript"/>
          <w:rtl/>
          <w:lang w:bidi="ar-EG"/>
        </w:rPr>
        <w:t>231</w:t>
      </w:r>
      <w:r w:rsidR="00B0707B">
        <w:rPr>
          <w:rFonts w:hint="cs"/>
          <w:rtl/>
          <w:lang w:bidi="ar-EG"/>
        </w:rPr>
        <w:t>.</w:t>
      </w:r>
    </w:p>
    <w:p w:rsidR="00971AE2" w:rsidRDefault="00971AE2" w:rsidP="00A343DF">
      <w:pPr>
        <w:pStyle w:val="SingleTxt"/>
        <w:rPr>
          <w:rFonts w:hint="cs"/>
          <w:rtl/>
          <w:lang w:bidi="ar-EG"/>
        </w:rPr>
      </w:pPr>
      <w:r>
        <w:rPr>
          <w:rFonts w:hint="cs"/>
          <w:rtl/>
          <w:lang w:bidi="ar-EG"/>
        </w:rPr>
        <w:tab/>
        <w:t>ومن هذه الإدانات التي يبلغ عددها 675 10 يمكن القول عموماً إن المتوسط يبلغ 202 1 تقريراً شهرياً</w:t>
      </w:r>
      <w:r w:rsidR="003D7EB4">
        <w:rPr>
          <w:rFonts w:hint="cs"/>
          <w:rtl/>
          <w:lang w:bidi="ar-EG"/>
        </w:rPr>
        <w:t>،</w:t>
      </w:r>
      <w:r>
        <w:rPr>
          <w:rFonts w:hint="cs"/>
          <w:rtl/>
          <w:lang w:bidi="ar-EG"/>
        </w:rPr>
        <w:t xml:space="preserve"> وعلى وجه العموم، فإنه من بين كل ثلاث جرائم جنسية مزعومة تبلغ إلى المعهد يثبت وجود دليل مادي في حالة واحدة فقط، أي أنه من بين البلاغات التي يصل عددها إلى 675 10 يوجد دليل في 701 3 حالة (34 في المائة) فقط</w:t>
      </w:r>
      <w:r w:rsidR="003D7EB4">
        <w:rPr>
          <w:rFonts w:hint="cs"/>
          <w:rtl/>
          <w:lang w:bidi="ar-EG"/>
        </w:rPr>
        <w:t>،</w:t>
      </w:r>
      <w:r>
        <w:rPr>
          <w:rFonts w:hint="cs"/>
          <w:rtl/>
          <w:lang w:bidi="ar-EG"/>
        </w:rPr>
        <w:t xml:space="preserve"> وفيما يتعلق بهذه الحالات الأخيرة، يوجد لدى شخص من بين كل 23 شخصاً مرض من الأمراض التي تنتقل عن طريق الاتصال الجنسي؛ ويوجد في قرار من بين كل 36 قراراً استنتاج بأنه يوجد اضطراب نفسي ناجم عن هذا المرض</w:t>
      </w:r>
      <w:r w:rsidR="003D7EB4">
        <w:rPr>
          <w:rFonts w:hint="cs"/>
          <w:rtl/>
          <w:lang w:bidi="ar-EG"/>
        </w:rPr>
        <w:t>،</w:t>
      </w:r>
      <w:r>
        <w:rPr>
          <w:rFonts w:hint="cs"/>
          <w:rtl/>
          <w:lang w:bidi="ar-EG"/>
        </w:rPr>
        <w:t xml:space="preserve"> وفي مقابل كل رجل مصاب بمرض غير تناسلي توجد في الواقع 9 نساء يعانين من نفس هذه المشكلة، وفي مقابل كل ست نساء مصابات يوجد رجل مصاب أيضاً</w:t>
      </w:r>
      <w:r w:rsidR="003D7EB4">
        <w:rPr>
          <w:rFonts w:hint="cs"/>
          <w:rtl/>
          <w:lang w:bidi="ar-EG"/>
        </w:rPr>
        <w:t>،</w:t>
      </w:r>
    </w:p>
    <w:p w:rsidR="00971AE2" w:rsidRDefault="00971AE2" w:rsidP="00A343DF">
      <w:pPr>
        <w:pStyle w:val="SingleTxt"/>
        <w:rPr>
          <w:rFonts w:hint="cs"/>
          <w:rtl/>
          <w:lang w:bidi="ar-EG"/>
        </w:rPr>
      </w:pPr>
      <w:r>
        <w:rPr>
          <w:rFonts w:hint="cs"/>
          <w:rtl/>
          <w:lang w:bidi="ar-EG"/>
        </w:rPr>
        <w:tab/>
        <w:t>ومن بين حالات الجرائم الجنسية التي يوجد دليل على وقوعها يكون الجناة في نحو 45</w:t>
      </w:r>
      <w:r w:rsidR="00CD4518">
        <w:rPr>
          <w:rFonts w:hint="cs"/>
          <w:rtl/>
          <w:lang w:bidi="ar-EG"/>
        </w:rPr>
        <w:t>.</w:t>
      </w:r>
      <w:r>
        <w:rPr>
          <w:rFonts w:hint="cs"/>
          <w:rtl/>
          <w:lang w:bidi="ar-EG"/>
        </w:rPr>
        <w:t>9 في المائة من الحالات من المعارف، وفي 13</w:t>
      </w:r>
      <w:r w:rsidR="00CD4518">
        <w:rPr>
          <w:rFonts w:hint="cs"/>
          <w:rtl/>
          <w:lang w:bidi="ar-EG"/>
        </w:rPr>
        <w:t>.</w:t>
      </w:r>
      <w:r>
        <w:rPr>
          <w:rFonts w:hint="cs"/>
          <w:rtl/>
          <w:lang w:bidi="ar-EG"/>
        </w:rPr>
        <w:t>4 في المائة من الحالات أقارب، وفي 2</w:t>
      </w:r>
      <w:r w:rsidR="00CD4518">
        <w:rPr>
          <w:rFonts w:hint="cs"/>
          <w:rtl/>
          <w:lang w:bidi="ar-EG"/>
        </w:rPr>
        <w:t>.</w:t>
      </w:r>
      <w:r>
        <w:rPr>
          <w:rFonts w:hint="cs"/>
          <w:rtl/>
          <w:lang w:bidi="ar-EG"/>
        </w:rPr>
        <w:t>2 في المائة من الحالات أزواج، وفي 7</w:t>
      </w:r>
      <w:r w:rsidR="00CD4518">
        <w:rPr>
          <w:rFonts w:hint="cs"/>
          <w:rtl/>
          <w:lang w:bidi="ar-EG"/>
        </w:rPr>
        <w:t>.</w:t>
      </w:r>
      <w:r>
        <w:rPr>
          <w:rFonts w:hint="cs"/>
          <w:rtl/>
          <w:lang w:bidi="ar-EG"/>
        </w:rPr>
        <w:t>8 في المائة من الحالات أزواج أمهات، وفي 7</w:t>
      </w:r>
      <w:r w:rsidR="00CD4518">
        <w:rPr>
          <w:rFonts w:hint="cs"/>
          <w:rtl/>
          <w:lang w:bidi="ar-EG"/>
        </w:rPr>
        <w:t>.</w:t>
      </w:r>
      <w:r>
        <w:rPr>
          <w:rFonts w:hint="cs"/>
          <w:rtl/>
          <w:lang w:bidi="ar-EG"/>
        </w:rPr>
        <w:t>4 من الحالات آباء، وفي 23</w:t>
      </w:r>
      <w:r w:rsidR="00CD4518">
        <w:rPr>
          <w:rFonts w:hint="cs"/>
          <w:rtl/>
          <w:lang w:bidi="ar-EG"/>
        </w:rPr>
        <w:t>.</w:t>
      </w:r>
      <w:r>
        <w:rPr>
          <w:rFonts w:hint="cs"/>
          <w:rtl/>
          <w:lang w:bidi="ar-EG"/>
        </w:rPr>
        <w:t>3 في المائة من الحالات غير معروفين</w:t>
      </w:r>
      <w:r w:rsidR="003D7EB4">
        <w:rPr>
          <w:rFonts w:hint="cs"/>
          <w:rtl/>
          <w:lang w:bidi="ar-EG"/>
        </w:rPr>
        <w:t>،</w:t>
      </w:r>
    </w:p>
    <w:p w:rsidR="00971AE2" w:rsidRDefault="00971AE2" w:rsidP="00A343DF">
      <w:pPr>
        <w:pStyle w:val="SingleTxt"/>
        <w:rPr>
          <w:rFonts w:hint="cs"/>
          <w:rtl/>
          <w:lang w:bidi="ar-EG"/>
        </w:rPr>
      </w:pPr>
      <w:r>
        <w:rPr>
          <w:rFonts w:hint="cs"/>
          <w:rtl/>
          <w:lang w:bidi="ar-EG"/>
        </w:rPr>
        <w:tab/>
        <w:t>ووصل متوسط عمر المجني عليهم إلى 14 سنة (44 في المائة من الحالات) في حين بلغ متوسط عمر المجني عليهن 12 سنة</w:t>
      </w:r>
      <w:r w:rsidR="003D7EB4">
        <w:rPr>
          <w:rFonts w:hint="cs"/>
          <w:rtl/>
          <w:lang w:bidi="ar-EG"/>
        </w:rPr>
        <w:t>،</w:t>
      </w:r>
      <w:r>
        <w:rPr>
          <w:rFonts w:hint="cs"/>
          <w:rtl/>
          <w:lang w:bidi="ar-EG"/>
        </w:rPr>
        <w:t xml:space="preserve"> ويمثل القصّر اللائي يبلغن من العمر 17 سنة نحو 74 في المائة (775 2) من حالات الجرائم المزعومة المبلغة إلى المعهد</w:t>
      </w:r>
      <w:r w:rsidR="003D7EB4">
        <w:rPr>
          <w:rFonts w:hint="cs"/>
          <w:rtl/>
          <w:lang w:bidi="ar-EG"/>
        </w:rPr>
        <w:t>،</w:t>
      </w:r>
      <w:r>
        <w:rPr>
          <w:rFonts w:hint="cs"/>
          <w:rtl/>
          <w:lang w:bidi="ar-EG"/>
        </w:rPr>
        <w:t xml:space="preserve"> ويبلغ عددها 675 10 (937 7)، وعند الفحص عثر على دليل مادي في 32 في المائة فقط من الحالات</w:t>
      </w:r>
      <w:r w:rsidR="003D7EB4">
        <w:rPr>
          <w:rFonts w:hint="cs"/>
          <w:rtl/>
          <w:lang w:bidi="ar-EG"/>
        </w:rPr>
        <w:t>،</w:t>
      </w:r>
      <w:r>
        <w:rPr>
          <w:rFonts w:hint="cs"/>
          <w:rtl/>
          <w:lang w:bidi="ar-EG"/>
        </w:rPr>
        <w:t xml:space="preserve"> وإذا قُسمت هذه المجموعة إلى فئات عمرية يتضح أنه في الفئة العمرية من 10 سنوات إلى 14 سنة يوجد عدد كبير من الحالات حدثت فيها سوابق لنشاط جنسي قبل ما أبلغ عنه في الحادث (53 في المائة، أي 847)</w:t>
      </w:r>
      <w:r w:rsidR="003D7EB4">
        <w:rPr>
          <w:rFonts w:hint="cs"/>
          <w:rtl/>
          <w:lang w:bidi="ar-EG"/>
        </w:rPr>
        <w:t>،</w:t>
      </w:r>
      <w:r>
        <w:rPr>
          <w:rFonts w:hint="cs"/>
          <w:rtl/>
          <w:lang w:bidi="ar-EG"/>
        </w:rPr>
        <w:t xml:space="preserve"> وفي هذه المجموعة توجد الفئة العمرية من 15 إلى 17 سنة، التي تمثل بدورها نحو 40 في المائة (638) من هذا العدد</w:t>
      </w:r>
      <w:r w:rsidR="003D7EB4">
        <w:rPr>
          <w:rFonts w:hint="cs"/>
          <w:rtl/>
          <w:lang w:bidi="ar-EG"/>
        </w:rPr>
        <w:t>،</w:t>
      </w:r>
    </w:p>
    <w:p w:rsidR="00971AE2" w:rsidRDefault="00971AE2" w:rsidP="00A343DF">
      <w:pPr>
        <w:pStyle w:val="SingleTxt"/>
        <w:rPr>
          <w:rFonts w:hint="cs"/>
          <w:rtl/>
          <w:lang w:bidi="ar-EG"/>
        </w:rPr>
      </w:pPr>
      <w:r>
        <w:rPr>
          <w:rFonts w:hint="cs"/>
          <w:rtl/>
          <w:lang w:bidi="ar-EG"/>
        </w:rPr>
        <w:tab/>
        <w:t>وأبلغ عن وجود أضرار تؤثر في النواحي غير الجنسية، في 12 في المائة من الحالات تقريباً، التي تتعلق بإناث دون سن السابعة عشرة (306)، وفي نحو 44 في المائة من الحالات المتعلقة بإناث تتراوح أعمارهن بين 10 و14 سنة، وفي نحو 33 في المائة من الحالات التي تتعلق بإناث تتراوح أعمارهن بين 15 و17 سنة</w:t>
      </w:r>
      <w:r w:rsidR="003D7EB4">
        <w:rPr>
          <w:rFonts w:hint="cs"/>
          <w:rtl/>
          <w:lang w:bidi="ar-EG"/>
        </w:rPr>
        <w:t>،</w:t>
      </w:r>
    </w:p>
    <w:p w:rsidR="00971AE2" w:rsidRDefault="00971AE2" w:rsidP="002E71C8">
      <w:pPr>
        <w:pStyle w:val="SingleTxt"/>
        <w:rPr>
          <w:rFonts w:hint="cs"/>
          <w:rtl/>
          <w:lang w:bidi="ar-EG"/>
        </w:rPr>
      </w:pPr>
      <w:r>
        <w:rPr>
          <w:rFonts w:hint="cs"/>
          <w:rtl/>
          <w:lang w:bidi="ar-EG"/>
        </w:rPr>
        <w:tab/>
        <w:t>ومن بين مجموع الإناث اللائي لم يبلغن السابعة عشرة من العمر اللائي اعتُديّ عليهن في جرائم جنسية، حملت 6 في المائة منهن، أي أنه من بين كل اثنتي عشرة امرأة في هذه الفئة العمرية تعاني واحدة من هذه المشكلة (دون وجود الأرقام المقابلة في بوغوتا)</w:t>
      </w:r>
      <w:r w:rsidR="002E71C8" w:rsidRPr="002E71C8">
        <w:rPr>
          <w:rFonts w:hint="cs"/>
          <w:vertAlign w:val="superscript"/>
          <w:rtl/>
          <w:lang w:bidi="ar-EG"/>
        </w:rPr>
        <w:t>232</w:t>
      </w:r>
      <w:r w:rsidR="003D7EB4">
        <w:rPr>
          <w:rFonts w:hint="cs"/>
          <w:rtl/>
          <w:lang w:bidi="ar-EG"/>
        </w:rPr>
        <w:t>،</w:t>
      </w:r>
    </w:p>
    <w:p w:rsidR="00971AE2" w:rsidRDefault="00971AE2" w:rsidP="002E71C8">
      <w:pPr>
        <w:pStyle w:val="SingleTxt"/>
        <w:rPr>
          <w:rFonts w:hint="cs"/>
          <w:rtl/>
          <w:lang w:bidi="ar-EG"/>
        </w:rPr>
      </w:pPr>
      <w:r>
        <w:rPr>
          <w:rFonts w:hint="cs"/>
          <w:rtl/>
          <w:lang w:bidi="ar-EG"/>
        </w:rPr>
        <w:tab/>
        <w:t>ولم ترد على مكتب المدعي العام أي حالات استعباد جنسي أو تعرية قسرية أو فرض قواعد صارمة على الملبس أو إجهاض قسري أو منع حمل إجباري</w:t>
      </w:r>
      <w:r w:rsidR="002E71C8" w:rsidRPr="002E71C8">
        <w:rPr>
          <w:rFonts w:hint="cs"/>
          <w:vertAlign w:val="superscript"/>
          <w:rtl/>
          <w:lang w:bidi="ar-EG"/>
        </w:rPr>
        <w:t>233</w:t>
      </w:r>
      <w:r w:rsidR="003D7EB4">
        <w:rPr>
          <w:rFonts w:hint="cs"/>
          <w:rtl/>
          <w:lang w:bidi="ar-EG"/>
        </w:rPr>
        <w:t>،</w:t>
      </w:r>
    </w:p>
    <w:p w:rsidR="00971AE2" w:rsidRDefault="00971AE2" w:rsidP="00A343DF">
      <w:pPr>
        <w:pStyle w:val="SingleTxt"/>
        <w:rPr>
          <w:rFonts w:hint="cs"/>
          <w:b/>
          <w:bCs/>
          <w:rtl/>
          <w:lang w:bidi="ar-EG"/>
        </w:rPr>
      </w:pPr>
      <w:r>
        <w:rPr>
          <w:rFonts w:hint="cs"/>
          <w:b/>
          <w:bCs/>
          <w:rtl/>
          <w:lang w:bidi="ar-EG"/>
        </w:rPr>
        <w:t>التوصية الخاصة رقم 8: مفوضيات الشؤون الأسرية</w:t>
      </w:r>
    </w:p>
    <w:p w:rsidR="00971AE2" w:rsidRDefault="00971AE2" w:rsidP="002E71C8">
      <w:pPr>
        <w:pStyle w:val="SingleTxt"/>
        <w:rPr>
          <w:rFonts w:hint="cs"/>
          <w:rtl/>
          <w:lang w:bidi="ar-EG"/>
        </w:rPr>
      </w:pPr>
      <w:r>
        <w:rPr>
          <w:rFonts w:hint="cs"/>
          <w:rtl/>
          <w:lang w:bidi="ar-EG"/>
        </w:rPr>
        <w:tab/>
        <w:t>ظهر الشكل القانوني لمفوضيات الشؤون الأسرية بموجب المرسوم بقانون رقم 2737 لسنة 1989 (قانون القاصر) باعتبارها هيئات مكرسة لمعالجة مشكلة التعايش في النواة الأسرية، وهي تسعى إلى حماية حقوق الأطفال والأسرة وتعزيز التعايش السلمي وتطوير التدابير الرامية إلى الكف عن سوء معاملة الأطفال والعنف الأسري ومعالجتهما ومنعهما</w:t>
      </w:r>
      <w:r w:rsidR="002E71C8" w:rsidRPr="002E71C8">
        <w:rPr>
          <w:rFonts w:hint="cs"/>
          <w:vertAlign w:val="superscript"/>
          <w:rtl/>
          <w:lang w:bidi="ar-EG"/>
        </w:rPr>
        <w:t>234</w:t>
      </w:r>
      <w:r w:rsidR="003D7EB4">
        <w:rPr>
          <w:rFonts w:hint="cs"/>
          <w:rtl/>
          <w:lang w:bidi="ar-EG"/>
        </w:rPr>
        <w:t>،</w:t>
      </w:r>
    </w:p>
    <w:p w:rsidR="00971AE2" w:rsidRDefault="00971AE2" w:rsidP="002E71C8">
      <w:pPr>
        <w:pStyle w:val="SingleTxt"/>
        <w:rPr>
          <w:rFonts w:hint="cs"/>
          <w:rtl/>
          <w:lang w:bidi="ar-EG"/>
        </w:rPr>
      </w:pPr>
      <w:r>
        <w:rPr>
          <w:rFonts w:hint="cs"/>
          <w:rtl/>
          <w:lang w:bidi="ar-EG"/>
        </w:rPr>
        <w:tab/>
        <w:t>وأنشئت المفوضيات للإسهام مع النظام الوطني للرعاية الأسرية في السعي إلى حماية حقوق القصّر وتعزيز التعايش السلمي داخل الأسرة، في الإطار الدستوري الذي ينص على أنه ينبغي للدولة والمجتمع أن يكفلا الحماية المتكاملة للأسرة ومن ناحية أخرى تنمية التدابير الرامية إلى منع سوء معاملة الأطفال والعنف العائلي</w:t>
      </w:r>
      <w:r w:rsidR="002E71C8" w:rsidRPr="002E71C8">
        <w:rPr>
          <w:rFonts w:hint="cs"/>
          <w:vertAlign w:val="superscript"/>
          <w:rtl/>
          <w:lang w:bidi="ar-EG"/>
        </w:rPr>
        <w:t>235</w:t>
      </w:r>
      <w:r w:rsidR="003D7EB4">
        <w:rPr>
          <w:rFonts w:hint="cs"/>
          <w:rtl/>
          <w:lang w:bidi="ar-EG"/>
        </w:rPr>
        <w:t>،</w:t>
      </w:r>
    </w:p>
    <w:p w:rsidR="00971AE2" w:rsidRDefault="00971AE2" w:rsidP="00A343DF">
      <w:pPr>
        <w:pStyle w:val="SingleTxt"/>
        <w:rPr>
          <w:rFonts w:hint="cs"/>
          <w:rtl/>
          <w:lang w:bidi="ar-EG"/>
        </w:rPr>
      </w:pPr>
      <w:r>
        <w:rPr>
          <w:rFonts w:hint="cs"/>
          <w:rtl/>
          <w:lang w:bidi="ar-EG"/>
        </w:rPr>
        <w:tab/>
        <w:t>وينبغي للمفوض أو المفوضة إبلاغ الأطراف بحقوقهم والتزاماتهم والآثار المترتبة على عدم الوفاء بتلك الالتزامات حسب الأصول، والسعي إلى أن يتوصل الأطراف إلى اتفاق ينهي العنف داخل الأسرة</w:t>
      </w:r>
      <w:r w:rsidR="003D7EB4">
        <w:rPr>
          <w:rFonts w:hint="cs"/>
          <w:rtl/>
          <w:lang w:bidi="ar-EG"/>
        </w:rPr>
        <w:t>،</w:t>
      </w:r>
    </w:p>
    <w:p w:rsidR="00971AE2" w:rsidRDefault="00971AE2" w:rsidP="002E71C8">
      <w:pPr>
        <w:pStyle w:val="SingleTxt"/>
        <w:rPr>
          <w:rFonts w:hint="cs"/>
          <w:rtl/>
          <w:lang w:bidi="ar-EG"/>
        </w:rPr>
      </w:pPr>
      <w:r>
        <w:rPr>
          <w:rFonts w:hint="cs"/>
          <w:rtl/>
          <w:lang w:bidi="ar-EG"/>
        </w:rPr>
        <w:tab/>
        <w:t>ولا توجد معلومات      لدى المفوضيات على المستوى الوطني، ومع ذلك فقد نشر مكتب العمدة الرئيسي لبوغوتا وأمانة الحكومة وثيقة تتضمن معلومات عن العنف العائلي في الفترة 2001-2002 بشأن هذه المشكلة التي تواجهها مفوضيات الشؤون الأسرية، حيث يختلف المستوى العام للطلب على المعالجة والإدارة باختلاف الأماكن التي توجد فيها المفوضيات</w:t>
      </w:r>
      <w:r w:rsidR="002E71C8" w:rsidRPr="002E71C8">
        <w:rPr>
          <w:rFonts w:hint="cs"/>
          <w:vertAlign w:val="superscript"/>
          <w:rtl/>
          <w:lang w:bidi="ar-EG"/>
        </w:rPr>
        <w:t>236</w:t>
      </w:r>
      <w:r w:rsidR="003D7EB4">
        <w:rPr>
          <w:rFonts w:hint="cs"/>
          <w:rtl/>
          <w:lang w:bidi="ar-EG"/>
        </w:rPr>
        <w:t>،</w:t>
      </w:r>
    </w:p>
    <w:p w:rsidR="00971AE2" w:rsidRDefault="00971AE2" w:rsidP="00A343DF">
      <w:pPr>
        <w:pStyle w:val="SingleTxt"/>
        <w:rPr>
          <w:rFonts w:hint="cs"/>
          <w:rtl/>
          <w:lang w:bidi="ar-EG"/>
        </w:rPr>
      </w:pPr>
      <w:r>
        <w:rPr>
          <w:rFonts w:hint="cs"/>
          <w:rtl/>
          <w:lang w:bidi="ar-EG"/>
        </w:rPr>
        <w:t>وتتمثل العوامل الرئيسية لعمل مفوضيات الشؤون الأسرية فيما يلي:</w:t>
      </w:r>
    </w:p>
    <w:p w:rsidR="00971AE2" w:rsidRDefault="00B0707B" w:rsidP="00B070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971AE2">
        <w:rPr>
          <w:rFonts w:hint="cs"/>
          <w:rtl/>
          <w:lang w:bidi="ar-EG"/>
        </w:rPr>
        <w:t>قديم المساعدة المجانية والدفاع الرسمي لحماية حقوق الضحايا في حالة العنف العائلي، الأمر الذي يتيح زيادة تعريف الإناث ضحايا العنف العائلي بالآليات الموجودة للدفاع عن حقوقهن</w:t>
      </w:r>
      <w:r w:rsidR="003D7EB4">
        <w:rPr>
          <w:rFonts w:hint="cs"/>
          <w:rtl/>
          <w:lang w:bidi="ar-EG"/>
        </w:rPr>
        <w:t>،</w:t>
      </w:r>
    </w:p>
    <w:p w:rsidR="00971AE2" w:rsidRDefault="00B0707B" w:rsidP="00B070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971AE2">
        <w:rPr>
          <w:rFonts w:hint="cs"/>
          <w:rtl/>
          <w:lang w:bidi="ar-EG"/>
        </w:rPr>
        <w:t>عتمد المفوضون والمفوضات في جميع مراحل العملية على المساعدة التي يقدمها فريق متعدد التخصصات</w:t>
      </w:r>
      <w:r w:rsidR="003D7EB4">
        <w:rPr>
          <w:rFonts w:hint="cs"/>
          <w:rtl/>
          <w:lang w:bidi="ar-EG"/>
        </w:rPr>
        <w:t>،</w:t>
      </w:r>
    </w:p>
    <w:p w:rsidR="00971AE2" w:rsidRDefault="00971AE2" w:rsidP="00A343DF">
      <w:pPr>
        <w:pStyle w:val="SingleTxt"/>
        <w:rPr>
          <w:rFonts w:hint="cs"/>
          <w:rtl/>
          <w:lang w:bidi="ar-EG"/>
        </w:rPr>
      </w:pPr>
      <w:r>
        <w:rPr>
          <w:rFonts w:hint="cs"/>
          <w:rtl/>
          <w:lang w:bidi="ar-EG"/>
        </w:rPr>
        <w:tab/>
        <w:t>حسّنت معرفة الإناث ضحايا العنف العائلي بآليات الدفاع عن حقوقهن عن طريق حلقة عمل عقدتها مفوضيات الشؤون الأسرية</w:t>
      </w:r>
      <w:r w:rsidR="003D7EB4">
        <w:rPr>
          <w:rFonts w:hint="cs"/>
          <w:rtl/>
          <w:lang w:bidi="ar-EG"/>
        </w:rPr>
        <w:t>،</w:t>
      </w:r>
    </w:p>
    <w:p w:rsidR="00971AE2" w:rsidRDefault="00971AE2" w:rsidP="00A343DF">
      <w:pPr>
        <w:pStyle w:val="SingleTxt"/>
        <w:rPr>
          <w:rFonts w:hint="cs"/>
          <w:rtl/>
          <w:lang w:bidi="ar-EG"/>
        </w:rPr>
      </w:pPr>
      <w:r>
        <w:rPr>
          <w:rFonts w:hint="cs"/>
          <w:rtl/>
          <w:lang w:bidi="ar-EG"/>
        </w:rPr>
        <w:tab/>
        <w:t>يقوم مكتب المدعي العام بمراقبة مفوضيات الشؤون الأسرية لضمان تنفيذها للقانون رقم 575 لسنة 2000</w:t>
      </w:r>
      <w:r w:rsidR="003D7EB4">
        <w:rPr>
          <w:rFonts w:hint="cs"/>
          <w:rtl/>
          <w:lang w:bidi="ar-EG"/>
        </w:rPr>
        <w:t>،</w:t>
      </w:r>
    </w:p>
    <w:p w:rsidR="00971AE2" w:rsidRDefault="00971AE2" w:rsidP="00A343DF">
      <w:pPr>
        <w:pStyle w:val="SingleTxt"/>
        <w:rPr>
          <w:rFonts w:ascii="Traditional Arabic" w:hAnsi="Traditional Arabic"/>
          <w:b/>
          <w:bCs/>
          <w:sz w:val="32"/>
          <w:rtl/>
        </w:rPr>
      </w:pPr>
      <w:r>
        <w:rPr>
          <w:rFonts w:ascii="Traditional Arabic" w:hAnsi="Traditional Arabic"/>
          <w:b/>
          <w:bCs/>
          <w:sz w:val="32"/>
          <w:rtl/>
        </w:rPr>
        <w:t>3-</w:t>
      </w:r>
      <w:r>
        <w:rPr>
          <w:rFonts w:ascii="Traditional Arabic" w:hAnsi="Traditional Arabic"/>
          <w:b/>
          <w:bCs/>
          <w:sz w:val="32"/>
          <w:rtl/>
        </w:rPr>
        <w:tab/>
        <w:t xml:space="preserve">توصيات خاصة </w:t>
      </w:r>
      <w:r>
        <w:rPr>
          <w:rFonts w:ascii="Traditional Arabic" w:hAnsi="Traditional Arabic" w:hint="cs"/>
          <w:b/>
          <w:bCs/>
          <w:sz w:val="32"/>
          <w:rtl/>
        </w:rPr>
        <w:t>غير مطابقة ل</w:t>
      </w:r>
      <w:r>
        <w:rPr>
          <w:rFonts w:ascii="Traditional Arabic" w:hAnsi="Traditional Arabic"/>
          <w:b/>
          <w:bCs/>
          <w:sz w:val="32"/>
          <w:rtl/>
        </w:rPr>
        <w:t>لمواد</w:t>
      </w:r>
    </w:p>
    <w:p w:rsidR="00971AE2" w:rsidRDefault="00971AE2" w:rsidP="00A343DF">
      <w:pPr>
        <w:pStyle w:val="SingleTxt"/>
        <w:rPr>
          <w:rFonts w:hint="cs"/>
          <w:b/>
          <w:bCs/>
        </w:rPr>
      </w:pPr>
      <w:r>
        <w:rPr>
          <w:rFonts w:hint="cs"/>
          <w:b/>
          <w:bCs/>
          <w:rtl/>
        </w:rPr>
        <w:t>3-1</w:t>
      </w:r>
      <w:r>
        <w:rPr>
          <w:b/>
          <w:bCs/>
        </w:rPr>
        <w:tab/>
      </w:r>
      <w:r>
        <w:rPr>
          <w:rFonts w:hint="cs"/>
          <w:b/>
          <w:bCs/>
          <w:rtl/>
        </w:rPr>
        <w:t>التوصية الخاصة رقم 1</w:t>
      </w:r>
    </w:p>
    <w:p w:rsidR="00971AE2" w:rsidRDefault="00971AE2" w:rsidP="00A343DF">
      <w:pPr>
        <w:pStyle w:val="SingleTxt"/>
        <w:rPr>
          <w:rFonts w:ascii="Traditional Arabic" w:hAnsi="Traditional Arabic"/>
          <w:b/>
          <w:bCs/>
          <w:sz w:val="32"/>
          <w:rtl/>
        </w:rPr>
      </w:pPr>
      <w:r>
        <w:rPr>
          <w:rFonts w:ascii="Traditional Arabic" w:hAnsi="Traditional Arabic"/>
          <w:b/>
          <w:bCs/>
          <w:sz w:val="32"/>
          <w:rtl/>
        </w:rPr>
        <w:t xml:space="preserve">النشر عن حقوق الانسان ومحو الأمية القانونية للمرأة </w:t>
      </w:r>
    </w:p>
    <w:p w:rsidR="00971AE2" w:rsidRDefault="00971AE2" w:rsidP="00A343DF">
      <w:pPr>
        <w:pStyle w:val="SingleTxt"/>
        <w:rPr>
          <w:rFonts w:ascii="Traditional Arabic" w:hAnsi="Traditional Arabic"/>
          <w:sz w:val="32"/>
          <w:rtl/>
        </w:rPr>
      </w:pPr>
      <w:r>
        <w:rPr>
          <w:rFonts w:ascii="Traditional Arabic" w:hAnsi="Traditional Arabic"/>
          <w:sz w:val="32"/>
          <w:rtl/>
        </w:rPr>
        <w:tab/>
        <w:t>من أجل تعزيز حقوق الإنسان للمرأة نشرت كراسة "من أجل ألفية تقدر حقوق المرأة وتدافع عنها"، الصادر عن رئاسة الجمهورية من خلال الهيئة الاستشارية المعنية بتحقيق المساواة بين الرجل والمرأة</w:t>
      </w:r>
      <w:r w:rsidR="003D7EB4">
        <w:rPr>
          <w:rFonts w:ascii="Traditional Arabic" w:hAnsi="Traditional Arabic"/>
          <w:sz w:val="32"/>
          <w:rtl/>
        </w:rPr>
        <w:t>،</w:t>
      </w:r>
      <w:r>
        <w:rPr>
          <w:rFonts w:ascii="Traditional Arabic" w:hAnsi="Traditional Arabic"/>
          <w:sz w:val="32"/>
          <w:rtl/>
        </w:rPr>
        <w:t xml:space="preserve"> ويرمي إعداد ونشر الكراسة المذكورة إلى تعريف المرأة بحقوق الإنسان التي تتمتع بها</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A343DF">
      <w:pPr>
        <w:pStyle w:val="SingleTxt"/>
        <w:rPr>
          <w:rFonts w:ascii="Traditional Arabic" w:hAnsi="Traditional Arabic"/>
          <w:sz w:val="32"/>
          <w:rtl/>
        </w:rPr>
      </w:pPr>
      <w:r>
        <w:rPr>
          <w:rFonts w:ascii="Traditional Arabic" w:hAnsi="Traditional Arabic"/>
          <w:sz w:val="32"/>
          <w:rtl/>
        </w:rPr>
        <w:tab/>
        <w:t>ومن الجدير بالذكر أن برنامج الحكومة الذي يمكن عن طريقه الاطلاع عن طريق الإنترنت على القواعد الكولومبية (بما في ذلك القواعد المتعلقة بالمرأة) واستشارة السلطات المعنية بالبرامج والمشاريع المختلفة والاطلاع على أسماء موظفي كل منها</w:t>
      </w:r>
      <w:r w:rsidR="003D7EB4">
        <w:rPr>
          <w:rFonts w:ascii="Traditional Arabic" w:hAnsi="Traditional Arabic"/>
          <w:sz w:val="32"/>
          <w:rtl/>
        </w:rPr>
        <w:t>،</w:t>
      </w:r>
      <w:r>
        <w:rPr>
          <w:rFonts w:ascii="Traditional Arabic" w:hAnsi="Traditional Arabic"/>
          <w:sz w:val="32"/>
          <w:rtl/>
        </w:rPr>
        <w:t xml:space="preserve"> كما تتضمن صفحة الهيئة الاستشارية المعنية بتحقيق المساواة بين الرجل والمرأة على الشبكة العالمية القواعد الداعمة للمرأة لكي يطلع عليها الجمهور، مثل السياسة والبرامج والمشاريع التي تنفذها كل هيئة من الهيئات</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A343DF">
      <w:pPr>
        <w:pStyle w:val="SingleTxt"/>
        <w:rPr>
          <w:rFonts w:ascii="Traditional Arabic" w:hAnsi="Traditional Arabic" w:hint="cs"/>
          <w:sz w:val="32"/>
          <w:rtl/>
        </w:rPr>
      </w:pPr>
      <w:r>
        <w:rPr>
          <w:rFonts w:ascii="Traditional Arabic" w:hAnsi="Traditional Arabic"/>
          <w:sz w:val="32"/>
          <w:rtl/>
        </w:rPr>
        <w:tab/>
        <w:t>وفي أواخر سنة 2003 أصدرت الهيئة الاستشارية المعنية بتحقيق المساواة بين الرجل والمرأة 000 10 نسخة من الوثيقة المؤسسية التي تتضمن سياسة المرأة صانعة السلم وتسرد وتصف بإيجاز جميع القواعد الرامية إلى حماية المرأة</w:t>
      </w:r>
      <w:r w:rsidR="003D7EB4">
        <w:rPr>
          <w:rFonts w:ascii="Traditional Arabic" w:hAnsi="Traditional Arabic"/>
          <w:sz w:val="32"/>
          <w:rtl/>
        </w:rPr>
        <w:t>،</w:t>
      </w:r>
      <w:r>
        <w:rPr>
          <w:rFonts w:ascii="Traditional Arabic" w:hAnsi="Traditional Arabic"/>
          <w:sz w:val="32"/>
          <w:rtl/>
        </w:rPr>
        <w:t xml:space="preserve"> وقد وزعت هذه الوثيقة المؤسسية على محافظات وقرى البلد وعلى ممثلي المنظمات الاجتماعية والأشخاص المعنيين بموضوع المرأة في مختلف الهيئات العامة</w:t>
      </w:r>
      <w:r w:rsidR="003D7EB4">
        <w:rPr>
          <w:rFonts w:ascii="Traditional Arabic" w:hAnsi="Traditional Arabic"/>
          <w:sz w:val="32"/>
          <w:rtl/>
        </w:rPr>
        <w:t>،</w:t>
      </w:r>
      <w:r>
        <w:rPr>
          <w:rFonts w:ascii="Traditional Arabic" w:hAnsi="Traditional Arabic"/>
          <w:sz w:val="32"/>
          <w:rtl/>
        </w:rPr>
        <w:t xml:space="preserve"> </w:t>
      </w:r>
    </w:p>
    <w:p w:rsidR="00F57CF2" w:rsidRPr="00F57CF2" w:rsidRDefault="00F57CF2" w:rsidP="00F57CF2">
      <w:pPr>
        <w:pStyle w:val="SingleTxt"/>
        <w:spacing w:after="0" w:line="120" w:lineRule="exact"/>
        <w:rPr>
          <w:rFonts w:ascii="Traditional Arabic" w:hAnsi="Traditional Arabic" w:hint="cs"/>
          <w:sz w:val="10"/>
          <w:rtl/>
        </w:rPr>
      </w:pPr>
    </w:p>
    <w:p w:rsidR="00971AE2" w:rsidRDefault="00014DBB" w:rsidP="00014D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71AE2">
        <w:rPr>
          <w:rtl/>
        </w:rPr>
        <w:t>3-2</w:t>
      </w:r>
      <w:r w:rsidR="00971AE2">
        <w:rPr>
          <w:rtl/>
        </w:rPr>
        <w:tab/>
        <w:t>التوصية رقم 2</w:t>
      </w:r>
    </w:p>
    <w:p w:rsidR="00971AE2" w:rsidRDefault="00F57CF2" w:rsidP="00F57C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71AE2">
        <w:rPr>
          <w:rtl/>
        </w:rPr>
        <w:t>آليات متابعة ورصد القوانين السارية، فعالية الأحكام القضائية</w:t>
      </w:r>
    </w:p>
    <w:p w:rsidR="00971AE2" w:rsidRDefault="00971AE2" w:rsidP="00A343DF">
      <w:pPr>
        <w:pStyle w:val="SingleTxt"/>
        <w:rPr>
          <w:rFonts w:ascii="Traditional Arabic" w:hAnsi="Traditional Arabic"/>
          <w:sz w:val="32"/>
          <w:rtl/>
        </w:rPr>
      </w:pPr>
      <w:r>
        <w:rPr>
          <w:rFonts w:ascii="Traditional Arabic" w:hAnsi="Traditional Arabic"/>
          <w:sz w:val="32"/>
          <w:rtl/>
        </w:rPr>
        <w:tab/>
        <w:t>يتمثل الهدف الأساسي للهيئة الاستشارية المعنية بتحقيق المساواة بين الرجل والمرأة في رسم وتعزيز وتنسيق سياسة بشأن المرأة تسهم في تحقيق علاقات المساواة والتكافؤ في الفرص بين الرجل والمرأة ورفع مستوى معيشة المرأة واحترام حقوق الإنسان ومشاركة المرأة بوصفها مواطنة ودعم العمليات التنظيمية والمنظمات النسائية</w:t>
      </w:r>
      <w:r w:rsidR="003D7EB4">
        <w:rPr>
          <w:rFonts w:ascii="Traditional Arabic" w:hAnsi="Traditional Arabic"/>
          <w:sz w:val="32"/>
          <w:rtl/>
        </w:rPr>
        <w:t>،</w:t>
      </w:r>
      <w:r>
        <w:rPr>
          <w:rFonts w:ascii="Traditional Arabic" w:hAnsi="Traditional Arabic"/>
          <w:sz w:val="32"/>
          <w:rtl/>
        </w:rPr>
        <w:t xml:space="preserve"> وتحقيقاً لهذه الغاية تنسق مع قطاعات الإدارة العامة طريقة تنفيذ السياسة وتضع إطاراً للتعاون مع حكومات المقاطعات والبلديات ومع السلطات التشريعية والقضائية والجامعات ومراكز البحوث والمنظمات غير الحكومية والقطاعات الأخرى للمجتمع، التي عقدت اتفاقاً وطنياً من أجل المساواة بين الرجل والمرأة</w:t>
      </w:r>
      <w:r w:rsidR="003D7EB4">
        <w:rPr>
          <w:rFonts w:ascii="Traditional Arabic" w:hAnsi="Traditional Arabic"/>
          <w:sz w:val="32"/>
          <w:rtl/>
        </w:rPr>
        <w:t>،</w:t>
      </w:r>
      <w:r>
        <w:rPr>
          <w:rFonts w:ascii="Traditional Arabic" w:hAnsi="Traditional Arabic"/>
          <w:sz w:val="32"/>
          <w:rtl/>
        </w:rPr>
        <w:t xml:space="preserve"> وفي التوصية الخاصة رقم 4 ترد التفاصيل المتعلقة بالهيئة الاستشارية</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A343DF">
      <w:pPr>
        <w:pStyle w:val="SingleTxt"/>
        <w:rPr>
          <w:rFonts w:ascii="Traditional Arabic" w:hAnsi="Traditional Arabic"/>
          <w:sz w:val="32"/>
          <w:rtl/>
        </w:rPr>
      </w:pPr>
      <w:r>
        <w:rPr>
          <w:rFonts w:ascii="Traditional Arabic" w:hAnsi="Traditional Arabic"/>
          <w:sz w:val="32"/>
          <w:rtl/>
        </w:rPr>
        <w:tab/>
        <w:t xml:space="preserve">ولا توجد في كولومبيا مؤشرات جنسانية تتيح تحديد كيفية تأثير السياسات والميزانيات والبرامج والقوانين ودوائر </w:t>
      </w:r>
      <w:r>
        <w:rPr>
          <w:rFonts w:ascii="Traditional Arabic" w:hAnsi="Traditional Arabic"/>
          <w:color w:val="FF0000"/>
          <w:sz w:val="32"/>
          <w:rtl/>
        </w:rPr>
        <w:t>القضاء بطريقة مختلفة في الرجل</w:t>
      </w:r>
      <w:r>
        <w:rPr>
          <w:rFonts w:ascii="Traditional Arabic" w:hAnsi="Traditional Arabic"/>
          <w:sz w:val="32"/>
          <w:rtl/>
        </w:rPr>
        <w:t xml:space="preserve"> والمرأة</w:t>
      </w:r>
      <w:r w:rsidR="003D7EB4">
        <w:rPr>
          <w:rFonts w:ascii="Traditional Arabic" w:hAnsi="Traditional Arabic"/>
          <w:sz w:val="32"/>
          <w:rtl/>
        </w:rPr>
        <w:t>،</w:t>
      </w:r>
      <w:r>
        <w:rPr>
          <w:rFonts w:ascii="Traditional Arabic" w:hAnsi="Traditional Arabic"/>
          <w:sz w:val="32"/>
          <w:rtl/>
        </w:rPr>
        <w:t xml:space="preserve"> ومع ذلك دشنت الهيئة الاستشارية المعنية بتحقيق المساواة بين الرجل والمرأة في 5 أيار/ مايو 2004 مرصد الشؤون الجنسانية</w:t>
      </w:r>
      <w:r w:rsidR="003D7EB4">
        <w:rPr>
          <w:rFonts w:ascii="Traditional Arabic" w:hAnsi="Traditional Arabic"/>
          <w:sz w:val="32"/>
          <w:rtl/>
        </w:rPr>
        <w:t>،</w:t>
      </w:r>
      <w:r>
        <w:rPr>
          <w:rFonts w:ascii="Traditional Arabic" w:hAnsi="Traditional Arabic"/>
          <w:sz w:val="32"/>
          <w:rtl/>
        </w:rPr>
        <w:t xml:space="preserve"> ويمثل هذا المرصد آلية متابعة المؤشرات الاجتماعية وتنفيذ القواعد وتحديد التدخلات وتأثير البرامج الرامية إلى تضييق الفرق الناجم عن عدم المساواة الجنسانية في نوعية حياة المرأة</w:t>
      </w:r>
      <w:r w:rsidR="003D7EB4">
        <w:rPr>
          <w:rFonts w:ascii="Traditional Arabic" w:hAnsi="Traditional Arabic"/>
          <w:sz w:val="32"/>
          <w:rtl/>
        </w:rPr>
        <w:t>،</w:t>
      </w:r>
      <w:r>
        <w:rPr>
          <w:rFonts w:ascii="Traditional Arabic" w:hAnsi="Traditional Arabic"/>
          <w:sz w:val="32"/>
          <w:rtl/>
        </w:rPr>
        <w:t xml:space="preserve"> وتتمثل أهداف المرصد فيما يلي:</w:t>
      </w:r>
    </w:p>
    <w:p w:rsidR="00971AE2" w:rsidRDefault="00971AE2" w:rsidP="00BF5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إنتاج معلومات محدثة وجيدة عن حالة المرأة وعن أنشطة المؤسسات الحكومية المتعلقة بالمساواة الجنسانية</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BF5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زيادة الإلمام بما يوجد من قواعد داعمة للمرأة وحفظ تنفيذها والتقدم التشريعي</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BF5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الحث على المستوى الأقاليمي على وضع خبرات إرشادية لتنفيذ سياسة المساواة بين الجنسين</w:t>
      </w:r>
      <w:r w:rsidR="003D7EB4">
        <w:rPr>
          <w:rFonts w:ascii="Traditional Arabic" w:hAnsi="Traditional Arabic"/>
          <w:sz w:val="32"/>
          <w:rtl/>
        </w:rPr>
        <w:t>،</w:t>
      </w:r>
    </w:p>
    <w:p w:rsidR="00971AE2" w:rsidRDefault="00971AE2" w:rsidP="00BF5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قياس نتائج وآثار المشاريع المؤسسية المتعلقة بالمساواة بين الجنسين</w:t>
      </w:r>
      <w:r w:rsidR="003D7EB4">
        <w:rPr>
          <w:rFonts w:ascii="Traditional Arabic" w:hAnsi="Traditional Arabic"/>
          <w:sz w:val="32"/>
          <w:rtl/>
        </w:rPr>
        <w:t>،</w:t>
      </w:r>
    </w:p>
    <w:p w:rsidR="00971AE2" w:rsidRDefault="00971AE2" w:rsidP="00BF54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تعريف السكان بمنجزات ونتائج أنشطة المرصد</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527C42">
      <w:pPr>
        <w:pStyle w:val="SingleTxt"/>
        <w:rPr>
          <w:rtl/>
        </w:rPr>
      </w:pPr>
      <w:r>
        <w:rPr>
          <w:rtl/>
        </w:rPr>
        <w:tab/>
        <w:t>ومن جهة أخرى فإنه من الجدير بالذكر أن إدارة التخطيط الوطني قد بدأت في سنة 1994 في قياس مؤشرات التنمية الجنسانية والمشاركة في الدخل حسب الجنس والتمكين الجنساني</w:t>
      </w:r>
      <w:r w:rsidR="003D7EB4">
        <w:rPr>
          <w:rtl/>
        </w:rPr>
        <w:t>،</w:t>
      </w:r>
      <w:r>
        <w:rPr>
          <w:rtl/>
        </w:rPr>
        <w:t xml:space="preserve"> </w:t>
      </w:r>
    </w:p>
    <w:p w:rsidR="00971AE2" w:rsidRDefault="00971AE2" w:rsidP="000A316D">
      <w:pPr>
        <w:pStyle w:val="SingleTxt"/>
        <w:rPr>
          <w:rFonts w:ascii="Traditional Arabic" w:hAnsi="Traditional Arabic"/>
          <w:sz w:val="32"/>
          <w:rtl/>
        </w:rPr>
      </w:pPr>
      <w:r>
        <w:rPr>
          <w:rFonts w:ascii="Traditional Arabic" w:hAnsi="Traditional Arabic"/>
          <w:sz w:val="32"/>
          <w:rtl/>
        </w:rPr>
        <w:tab/>
        <w:t>وعلى وجه العموم توجد أوجه نقص في فعالية آليات الإجبار على تنفيذ الأحكام القضائية</w:t>
      </w:r>
      <w:r w:rsidR="003D7EB4">
        <w:rPr>
          <w:rFonts w:ascii="Traditional Arabic" w:hAnsi="Traditional Arabic"/>
          <w:sz w:val="32"/>
          <w:rtl/>
        </w:rPr>
        <w:t>،</w:t>
      </w:r>
      <w:r>
        <w:rPr>
          <w:rFonts w:ascii="Traditional Arabic" w:hAnsi="Traditional Arabic"/>
          <w:sz w:val="32"/>
          <w:rtl/>
        </w:rPr>
        <w:t xml:space="preserve"> وقد تكون الأحكام التي تنفذ أكثر من غيرها هي أحكام الوصاية</w:t>
      </w:r>
      <w:r w:rsidR="000A316D" w:rsidRPr="000A316D">
        <w:rPr>
          <w:rFonts w:ascii="Traditional Arabic" w:hAnsi="Traditional Arabic" w:hint="cs"/>
          <w:sz w:val="32"/>
          <w:vertAlign w:val="superscript"/>
          <w:rtl/>
        </w:rPr>
        <w:t>237</w:t>
      </w:r>
      <w:r>
        <w:rPr>
          <w:rFonts w:ascii="Traditional Arabic" w:hAnsi="Traditional Arabic"/>
          <w:sz w:val="32"/>
          <w:rtl/>
        </w:rPr>
        <w:t>، لأن عدم تنفيذها يمثل جريمة يمكن أن يعاقب عليها بالحبس</w:t>
      </w:r>
      <w:r w:rsidR="003D7EB4">
        <w:rPr>
          <w:rFonts w:ascii="Traditional Arabic" w:hAnsi="Traditional Arabic"/>
          <w:sz w:val="32"/>
          <w:rtl/>
        </w:rPr>
        <w:t>،</w:t>
      </w:r>
      <w:r>
        <w:rPr>
          <w:rFonts w:ascii="Traditional Arabic" w:hAnsi="Traditional Arabic"/>
          <w:sz w:val="32"/>
          <w:rtl/>
        </w:rPr>
        <w:t xml:space="preserve"> وتجدر الإشارة إلى الطعن في إجراءات الوصاية</w:t>
      </w:r>
      <w:r w:rsidR="000A316D" w:rsidRPr="000A316D">
        <w:rPr>
          <w:rFonts w:ascii="Traditional Arabic" w:hAnsi="Traditional Arabic" w:hint="cs"/>
          <w:sz w:val="32"/>
          <w:vertAlign w:val="superscript"/>
          <w:rtl/>
        </w:rPr>
        <w:t>238</w:t>
      </w:r>
      <w:r>
        <w:rPr>
          <w:rFonts w:ascii="Traditional Arabic" w:hAnsi="Traditional Arabic"/>
          <w:sz w:val="32"/>
          <w:rtl/>
        </w:rPr>
        <w:t xml:space="preserve"> وحقوق الاستئناف التي تمارس يومياً في البلد، الذين أسهما في زيادة الطلب على خدمات الجهاز الحكومي لإدارة القضاء بجميع اختصاصاته ودوائره ومستويات اختصاصه وأديا بالتالي إلى صعوبات في تنفيذ الآليات الفعالة من أجل امتثال الأحكام القضائية</w:t>
      </w:r>
      <w:r w:rsidR="003D7EB4">
        <w:rPr>
          <w:rFonts w:ascii="Traditional Arabic" w:hAnsi="Traditional Arabic"/>
          <w:sz w:val="32"/>
          <w:rtl/>
        </w:rPr>
        <w:t>،</w:t>
      </w:r>
      <w:r>
        <w:rPr>
          <w:rFonts w:ascii="Traditional Arabic" w:hAnsi="Traditional Arabic"/>
          <w:sz w:val="32"/>
          <w:rtl/>
        </w:rPr>
        <w:t xml:space="preserve"> وقد ضاعفت الهيئات المختلفة ما تبذله من جهود لإنشاء آليات بديلة لحل المنازعات بطريقة فعالة</w:t>
      </w:r>
      <w:r w:rsidR="003D7EB4">
        <w:rPr>
          <w:rFonts w:ascii="Traditional Arabic" w:hAnsi="Traditional Arabic"/>
          <w:sz w:val="32"/>
          <w:rtl/>
        </w:rPr>
        <w:t>،</w:t>
      </w:r>
      <w:r>
        <w:rPr>
          <w:rFonts w:ascii="Traditional Arabic" w:hAnsi="Traditional Arabic"/>
          <w:sz w:val="32"/>
          <w:rtl/>
        </w:rPr>
        <w:t xml:space="preserve"> وتتناول الهيئة التنفيذية النزاع في المرحلة قبل القضائية عن طريق إدارات الشرطة والمؤسسة الكولومبية للرفاهية الأسرية ومفوضيات الأسرة ووحدات الوساطة التابعة للمجالس القروية، في جملة هيئات أخرى</w:t>
      </w:r>
      <w:r w:rsidR="003D7EB4">
        <w:rPr>
          <w:rFonts w:ascii="Traditional Arabic" w:hAnsi="Traditional Arabic"/>
          <w:sz w:val="32"/>
          <w:rtl/>
        </w:rPr>
        <w:t>،</w:t>
      </w:r>
      <w:r>
        <w:rPr>
          <w:rFonts w:ascii="Traditional Arabic" w:hAnsi="Traditional Arabic"/>
          <w:sz w:val="32"/>
          <w:rtl/>
        </w:rPr>
        <w:t xml:space="preserve"> وأسهم القطاع الخاص عن طريق التحكيم والمصالحة قبل القضائية عن طريق الغرف التجارية ومراكز المصالحة في الجامعات</w:t>
      </w:r>
      <w:r w:rsidR="003D7EB4">
        <w:rPr>
          <w:rFonts w:ascii="Traditional Arabic" w:hAnsi="Traditional Arabic"/>
          <w:sz w:val="32"/>
          <w:rtl/>
        </w:rPr>
        <w:t>،</w:t>
      </w:r>
      <w:r>
        <w:rPr>
          <w:rFonts w:ascii="Traditional Arabic" w:hAnsi="Traditional Arabic"/>
          <w:sz w:val="32"/>
          <w:rtl/>
        </w:rPr>
        <w:t xml:space="preserve"> وقام المجلس الأعلى للقضاء من جانبه بالسعي إلى تقوية الاختصاصات القضائية الخاصة: اختصاص السلم واختصاص السكان الأصليين وكذلك الحث على التوفيق في النظام القضائي الوطني</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EC6063">
      <w:pPr>
        <w:pStyle w:val="SingleTxt"/>
        <w:rPr>
          <w:rFonts w:ascii="Traditional Arabic" w:hAnsi="Traditional Arabic"/>
          <w:sz w:val="32"/>
          <w:rtl/>
        </w:rPr>
      </w:pPr>
      <w:r>
        <w:rPr>
          <w:rFonts w:ascii="Traditional Arabic" w:hAnsi="Traditional Arabic"/>
          <w:sz w:val="32"/>
          <w:rtl/>
        </w:rPr>
        <w:tab/>
        <w:t>والحقوق الرئيسية التي تؤدي إلى إقامة الدعاوى في كولومبيا هي: عدم الاستجابة لحقوق الاستئناف، وذلك بصورة رئيسية فيما يتعلق بخدمات الأمن والضمان الاجتماعي (21 في المائة)؛ والانتهاكات المتعلقة بالعمل، وذلك بصورة رئيسية فيما يتعلق بدفع المرتبات وإعلان عدم كفاية الدخل ورفت الموظفين؛ والانتهاكات في المؤسسات التعليمية؛ وانتهاكات الحق في الحصول على محاكمة عادلة</w:t>
      </w:r>
      <w:r w:rsidR="003D7EB4">
        <w:rPr>
          <w:rFonts w:ascii="Traditional Arabic" w:hAnsi="Traditional Arabic"/>
          <w:sz w:val="32"/>
          <w:rtl/>
        </w:rPr>
        <w:t>،</w:t>
      </w:r>
      <w:r>
        <w:rPr>
          <w:rFonts w:ascii="Traditional Arabic" w:hAnsi="Traditional Arabic"/>
          <w:sz w:val="32"/>
          <w:rtl/>
        </w:rPr>
        <w:t xml:space="preserve"> وأكثر الناس استعمالاً للدعاوى هم: العمال (21</w:t>
      </w:r>
      <w:r w:rsidR="007D7CF9">
        <w:rPr>
          <w:rFonts w:ascii="Traditional Arabic" w:hAnsi="Traditional Arabic"/>
          <w:sz w:val="32"/>
          <w:rtl/>
        </w:rPr>
        <w:t>.</w:t>
      </w:r>
      <w:r>
        <w:rPr>
          <w:rFonts w:ascii="Traditional Arabic" w:hAnsi="Traditional Arabic"/>
          <w:sz w:val="32"/>
          <w:rtl/>
        </w:rPr>
        <w:t>71 في المائة)، وممثلو القصر (5</w:t>
      </w:r>
      <w:r w:rsidR="007D7CF9">
        <w:rPr>
          <w:rFonts w:ascii="Traditional Arabic" w:hAnsi="Traditional Arabic"/>
          <w:sz w:val="32"/>
          <w:rtl/>
        </w:rPr>
        <w:t>.</w:t>
      </w:r>
      <w:r>
        <w:rPr>
          <w:rFonts w:ascii="Traditional Arabic" w:hAnsi="Traditional Arabic"/>
          <w:sz w:val="32"/>
          <w:rtl/>
        </w:rPr>
        <w:t>7 في المائة)، والسجناء (4</w:t>
      </w:r>
      <w:r w:rsidR="007D7CF9">
        <w:rPr>
          <w:rFonts w:ascii="Traditional Arabic" w:hAnsi="Traditional Arabic"/>
          <w:sz w:val="32"/>
          <w:rtl/>
        </w:rPr>
        <w:t>.</w:t>
      </w:r>
      <w:r>
        <w:rPr>
          <w:rFonts w:ascii="Traditional Arabic" w:hAnsi="Traditional Arabic"/>
          <w:sz w:val="32"/>
          <w:rtl/>
        </w:rPr>
        <w:t>75 في المائة)، وكبار السن (4</w:t>
      </w:r>
      <w:r w:rsidR="007D7CF9">
        <w:rPr>
          <w:rFonts w:ascii="Traditional Arabic" w:hAnsi="Traditional Arabic"/>
          <w:sz w:val="32"/>
          <w:rtl/>
        </w:rPr>
        <w:t>.</w:t>
      </w:r>
      <w:r>
        <w:rPr>
          <w:rFonts w:ascii="Traditional Arabic" w:hAnsi="Traditional Arabic"/>
          <w:sz w:val="32"/>
          <w:rtl/>
        </w:rPr>
        <w:t>44 في المائة)</w:t>
      </w:r>
      <w:r w:rsidR="003D7EB4">
        <w:rPr>
          <w:rFonts w:ascii="Traditional Arabic" w:hAnsi="Traditional Arabic"/>
          <w:sz w:val="32"/>
          <w:rtl/>
        </w:rPr>
        <w:t>،</w:t>
      </w:r>
      <w:r>
        <w:rPr>
          <w:rFonts w:ascii="Traditional Arabic" w:hAnsi="Traditional Arabic"/>
          <w:sz w:val="32"/>
          <w:rtl/>
        </w:rPr>
        <w:t xml:space="preserve"> ومن بين مجموع عدد الدعاوى المعروضة يوافق على 28</w:t>
      </w:r>
      <w:r w:rsidR="007D7CF9">
        <w:rPr>
          <w:rFonts w:ascii="Traditional Arabic" w:hAnsi="Traditional Arabic"/>
          <w:sz w:val="32"/>
          <w:rtl/>
        </w:rPr>
        <w:t>.</w:t>
      </w:r>
      <w:r>
        <w:rPr>
          <w:rFonts w:ascii="Traditional Arabic" w:hAnsi="Traditional Arabic"/>
          <w:sz w:val="32"/>
          <w:rtl/>
        </w:rPr>
        <w:t>5 في المائة</w:t>
      </w:r>
      <w:r w:rsidR="00EC6063" w:rsidRPr="00EC6063">
        <w:rPr>
          <w:rFonts w:ascii="Traditional Arabic" w:hAnsi="Traditional Arabic" w:hint="cs"/>
          <w:sz w:val="32"/>
          <w:vertAlign w:val="superscript"/>
          <w:rtl/>
        </w:rPr>
        <w:t>239</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ab/>
        <w:t>وتتمثل مهام مفوضة حقوق الطفولة والشباب والنساء وكبار السن، باعتبارها هيئة استشارية لمحامي الشعب، في الدفاع عن حقوق هذه الفئات السكانية والسهر على صونها وحمايتها</w:t>
      </w:r>
      <w:r w:rsidR="003D7EB4">
        <w:rPr>
          <w:rFonts w:ascii="Traditional Arabic" w:hAnsi="Traditional Arabic"/>
          <w:sz w:val="32"/>
          <w:rtl/>
        </w:rPr>
        <w:t>،</w:t>
      </w:r>
      <w:r>
        <w:rPr>
          <w:rFonts w:ascii="Traditional Arabic" w:hAnsi="Traditional Arabic"/>
          <w:sz w:val="32"/>
          <w:rtl/>
        </w:rPr>
        <w:t xml:space="preserve"> وتحدد هذه المفوضة، استناداً إلى المؤشرات التي تتلقاها سلطات الدولة والمنظمات غير الحكومية، أكثر المشاكل شيوعاً فيما يتعلق بممارسة هذه الفئات لحقوق الإنسان، بهدف وضع تشخيص للحالة</w:t>
      </w:r>
      <w:r w:rsidR="003D7EB4">
        <w:rPr>
          <w:rFonts w:ascii="Traditional Arabic" w:hAnsi="Traditional Arabic"/>
          <w:sz w:val="32"/>
          <w:rtl/>
        </w:rPr>
        <w:t>،</w:t>
      </w:r>
      <w:r>
        <w:rPr>
          <w:rFonts w:ascii="Traditional Arabic" w:hAnsi="Traditional Arabic"/>
          <w:sz w:val="32"/>
          <w:rtl/>
        </w:rPr>
        <w:t xml:space="preserve"> ويحلل هذا التشخيص في إطار نظام متابعة ورصد حقوق السكان</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ab/>
        <w:t>وفيما يتعلق بحالة حقوق  في كولومبيا تحقق المفوضة في الحوادث التي تنتهك المساواة بين</w:t>
      </w:r>
      <w:r>
        <w:rPr>
          <w:rFonts w:ascii="Traditional Arabic" w:hAnsi="Traditional Arabic"/>
          <w:color w:val="FF0000"/>
          <w:sz w:val="32"/>
          <w:rtl/>
        </w:rPr>
        <w:t xml:space="preserve"> ا</w:t>
      </w:r>
      <w:r>
        <w:rPr>
          <w:rFonts w:ascii="Traditional Arabic" w:hAnsi="Traditional Arabic"/>
          <w:sz w:val="32"/>
          <w:rtl/>
        </w:rPr>
        <w:t>لجنسين في مؤتمر عمل دائم معني بحقوق الإنسان للمرأة</w:t>
      </w:r>
      <w:r w:rsidR="003D7EB4">
        <w:rPr>
          <w:rFonts w:ascii="Traditional Arabic" w:hAnsi="Traditional Arabic"/>
          <w:sz w:val="32"/>
          <w:rtl/>
        </w:rPr>
        <w:t>،</w:t>
      </w:r>
      <w:r>
        <w:rPr>
          <w:rFonts w:ascii="Traditional Arabic" w:hAnsi="Traditional Arabic"/>
          <w:sz w:val="32"/>
          <w:rtl/>
        </w:rPr>
        <w:t xml:space="preserve"> ويجري في هذا المؤتمر تحديد ودراسة مواضيع مثل ما يلي:</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العنف العائلي</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المرأة في النزاع المسلح، لا سيما التشريد القسري</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الحقوق الجنسية والتناسلية</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المشاركة السياسية للمرأة، لا سيما في إطار تنفيذ قانون الحصص</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رئيسات الأسر في متابعة تنفيذ القانون رقم 82 لسنة 1993</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آثار الوضع الاقتصادي وحالة العمالة في حالة المرأة</w:t>
      </w:r>
      <w:r w:rsidR="003D7EB4">
        <w:rPr>
          <w:rFonts w:ascii="Traditional Arabic" w:hAnsi="Traditional Arabic"/>
          <w:sz w:val="32"/>
          <w:rtl/>
        </w:rPr>
        <w:t>،</w:t>
      </w:r>
      <w:r>
        <w:rPr>
          <w:rFonts w:ascii="Traditional Arabic" w:hAnsi="Traditional Arabic"/>
          <w:sz w:val="32"/>
          <w:rtl/>
        </w:rPr>
        <w:t xml:space="preserve"> </w:t>
      </w:r>
    </w:p>
    <w:p w:rsidR="00971AE2" w:rsidRDefault="00527C4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hint="cs"/>
          <w:sz w:val="32"/>
          <w:rtl/>
        </w:rPr>
        <w:tab/>
        <w:t>-</w:t>
      </w:r>
      <w:r>
        <w:rPr>
          <w:rFonts w:ascii="Traditional Arabic" w:hAnsi="Traditional Arabic" w:hint="cs"/>
          <w:sz w:val="32"/>
          <w:rtl/>
        </w:rPr>
        <w:tab/>
      </w:r>
      <w:r w:rsidR="00971AE2">
        <w:rPr>
          <w:rFonts w:ascii="Traditional Arabic" w:hAnsi="Traditional Arabic"/>
          <w:sz w:val="32"/>
          <w:rtl/>
        </w:rPr>
        <w:tab/>
        <w:t>مكتب المدعية العامة المفوضة لشؤون القصر والأسرة هو المعني بالمنع والاشراف والرصد ومراقبة المؤسسات الحكومية وغير الحكومية التي تنفذ برامج رعاية وحماية الأطفال والمراهقين ورئيسات الأسر والراشدين والمعوقين والمؤسسات الأسرية، بموجب القرار رقم 49 لسنة 2002، في المجالات التالية:</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الرعاية والحماية والمنع فيما يتعلق بسوء معاملة الأطفال والعنف العائلي والاعتداء الجنسي</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منع واستئصال الاستغلال الجنسي للأطفال والاتجار بالنساء والأطفال وتوفير حماية خاصة لهم</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رعاية وحماية الأطفال والمراهقين العاملين</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رعاية وحماية الأطفال والمراهقين الجانحين والمنتهكين للقانون</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رعاية وحماية المعوقين والموهوبين</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تبني الأطفال والمراهقين والأمهات العازبات</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رعاية وحماية الأطفال والمراهقين المشردين بسبب النزاع المسلح</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وقاية ورعاية وإعادة تعليم الأطفال والمراهقين المتعاطين والمدمنين للمؤثرات العقلية</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رعاية وحماية الأطفال والمراهقين الموجودين في مؤسسة الرعاية</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رعاية وحماية الأطفال الموجودين في الدور المجتمعية للرفاهية الأسرية ودور الأطفال</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رعاية وحماية رئيسات الأسر</w:t>
      </w:r>
      <w:r w:rsidR="003D7EB4">
        <w:rPr>
          <w:rFonts w:ascii="Traditional Arabic" w:hAnsi="Traditional Arabic"/>
          <w:sz w:val="32"/>
          <w:rtl/>
        </w:rPr>
        <w:t>،</w:t>
      </w:r>
    </w:p>
    <w:p w:rsidR="00971AE2" w:rsidRDefault="00971AE2" w:rsidP="00EC6063">
      <w:pPr>
        <w:pStyle w:val="SingleTxt"/>
        <w:rPr>
          <w:rFonts w:ascii="Traditional Arabic" w:hAnsi="Traditional Arabic"/>
          <w:sz w:val="32"/>
          <w:rtl/>
        </w:rPr>
      </w:pPr>
      <w:r>
        <w:rPr>
          <w:rFonts w:ascii="Traditional Arabic" w:hAnsi="Traditional Arabic"/>
          <w:sz w:val="32"/>
          <w:rtl/>
        </w:rPr>
        <w:tab/>
        <w:t>تنفيذاً لهذه المهمة أصدرت المفوضة المعنية بالدفاع عن الأطفال والأسر عدة توجيهات داخلية تحدد تناول المعضلات التي تؤثر في ممارسة الحقوق الأساسية للمرأة والطفلة</w:t>
      </w:r>
      <w:r w:rsidR="00EC6063" w:rsidRPr="00EC6063">
        <w:rPr>
          <w:rFonts w:ascii="Traditional Arabic" w:hAnsi="Traditional Arabic" w:hint="cs"/>
          <w:sz w:val="32"/>
          <w:vertAlign w:val="superscript"/>
          <w:rtl/>
        </w:rPr>
        <w:t>240</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ab/>
        <w:t>يقوم الفريق العامل المعني بالمرأة الريفية في إطار التنمية الريفية التابع لوزارة الزراعة والتنمية الريفية بتنسيق الأعمال المتعلقة بالمرأة الريفية، مثل وضع اللائحة التنفيذية للقانون رقم 731 وبرنامج الدعم المتكامل لرئيسات الأسر وصاحبات المؤسسات الريفية الصغيرة للغاية وصندوق المرأة الريفية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ab/>
        <w:t>وقد أنشئ، بموجب الاتفاق الوطني للمساواة بين الرجل والمرأة" الموقع في 14 تشرين الأول/ أكتوبر 2003، المكتب المؤسسي للعلاقات الجنسانية باعتباره آلية لمتابعة الالتزامات المنصوص عليها في الاتفاق وتتمثل مسؤولياته في:</w:t>
      </w:r>
    </w:p>
    <w:p w:rsidR="00971AE2" w:rsidRDefault="00971AE2" w:rsidP="00A343DF">
      <w:pPr>
        <w:pStyle w:val="SingleTxt"/>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التخطيط للالتزامات المنصوص عليها في هذا الاتفاق ومتابعتها وتقييمها</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التخطيط للأعمال المشتركة بين القطاعات ومتابعتها وتقييمها</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الإعداد لمكاتب عمل تتيح إدماج السياسة في ميزانية للأمة حساسة من الناحية الجنسانية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متابعة تكييف التشريع الوطني وفقاً للاتفاقات والالتزامات الدولية التي صدَّقت عليها كولومبيا في مجال حقوق المرأة</w:t>
      </w:r>
      <w:r w:rsidR="003D7EB4">
        <w:rPr>
          <w:rFonts w:ascii="Traditional Arabic" w:hAnsi="Traditional Arabic"/>
          <w:sz w:val="32"/>
          <w:rtl/>
        </w:rPr>
        <w:t>،</w:t>
      </w:r>
    </w:p>
    <w:p w:rsidR="00971AE2" w:rsidRDefault="00971AE2" w:rsidP="00A343DF">
      <w:pPr>
        <w:pStyle w:val="SingleTxt"/>
        <w:rPr>
          <w:rFonts w:ascii="Traditional Arabic" w:hAnsi="Traditional Arabic" w:hint="cs"/>
          <w:sz w:val="32"/>
          <w:rtl/>
        </w:rPr>
      </w:pPr>
      <w:r>
        <w:rPr>
          <w:rFonts w:ascii="Traditional Arabic" w:hAnsi="Traditional Arabic"/>
          <w:sz w:val="32"/>
          <w:rtl/>
        </w:rPr>
        <w:tab/>
        <w:t>-</w:t>
      </w:r>
      <w:r>
        <w:rPr>
          <w:rFonts w:ascii="Traditional Arabic" w:hAnsi="Traditional Arabic"/>
          <w:sz w:val="32"/>
          <w:rtl/>
        </w:rPr>
        <w:tab/>
        <w:t>ينص القانون رقم 823 لسنة 2003 أي قانون التكافؤ في الفرص بين الرجل والمرأة على إطار مؤسسي يضمن المساواة والتكافؤ في الفرص بين الرجل والمرأة في المجالين العام والخاص؛ ويلزِم ويأمر جميع هيئات الدولة على المستوى الوطني ومستوى الأقاليم بإدماج السياسات والأعمال المتعلقة بالمساواة والتكافؤ في الفرص بين الجنسين في جميع هيئات وأعمال الدولة</w:t>
      </w:r>
      <w:r w:rsidR="003D7EB4">
        <w:rPr>
          <w:rFonts w:ascii="Traditional Arabic" w:hAnsi="Traditional Arabic"/>
          <w:sz w:val="32"/>
          <w:rtl/>
        </w:rPr>
        <w:t>،</w:t>
      </w:r>
    </w:p>
    <w:p w:rsidR="00527C42" w:rsidRPr="00527C42" w:rsidRDefault="00527C42" w:rsidP="00527C42">
      <w:pPr>
        <w:pStyle w:val="SingleTxt"/>
        <w:spacing w:after="0" w:line="120" w:lineRule="exact"/>
        <w:rPr>
          <w:rFonts w:ascii="Traditional Arabic" w:hAnsi="Traditional Arabic" w:hint="cs"/>
          <w:sz w:val="10"/>
          <w:rtl/>
        </w:rPr>
      </w:pPr>
    </w:p>
    <w:p w:rsidR="00971AE2" w:rsidRDefault="00527C42" w:rsidP="00527C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71AE2">
        <w:rPr>
          <w:rtl/>
        </w:rPr>
        <w:t>3-3</w:t>
      </w:r>
      <w:r w:rsidR="00971AE2">
        <w:rPr>
          <w:rtl/>
        </w:rPr>
        <w:tab/>
        <w:t>التوصية الخاصة رقم 3</w:t>
      </w:r>
    </w:p>
    <w:p w:rsidR="00971AE2" w:rsidRDefault="00527C42" w:rsidP="00527C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71AE2">
        <w:rPr>
          <w:rtl/>
        </w:rPr>
        <w:t>التدريب الجنساني للموظفين</w:t>
      </w:r>
    </w:p>
    <w:p w:rsidR="00971AE2" w:rsidRDefault="00971AE2" w:rsidP="00A343DF">
      <w:pPr>
        <w:pStyle w:val="SingleTxt"/>
        <w:rPr>
          <w:rFonts w:ascii="Traditional Arabic" w:hAnsi="Traditional Arabic"/>
          <w:sz w:val="32"/>
          <w:rtl/>
        </w:rPr>
      </w:pPr>
      <w:r>
        <w:rPr>
          <w:rFonts w:ascii="Traditional Arabic" w:hAnsi="Traditional Arabic"/>
          <w:sz w:val="32"/>
          <w:rtl/>
        </w:rPr>
        <w:tab/>
        <w:t>في سنة 2003 عقدت الهيئة الاستشارية لتحقيق المساواة بين الرجل والمرأة حلقات تدريبية في المجال الجنساني لموظفي الوزارات وهيئات النظام الوطني والبلدي ونظام المقاطعات للموظفين المسؤولين عن الميزانيات والتخطيط المتعلقين بالمرأة والشؤون الجنسانية</w:t>
      </w:r>
      <w:r w:rsidR="003D7EB4">
        <w:rPr>
          <w:rFonts w:ascii="Traditional Arabic" w:hAnsi="Traditional Arabic"/>
          <w:sz w:val="32"/>
          <w:rtl/>
        </w:rPr>
        <w:t>،</w:t>
      </w:r>
      <w:r>
        <w:rPr>
          <w:rFonts w:ascii="Traditional Arabic" w:hAnsi="Traditional Arabic"/>
          <w:sz w:val="32"/>
          <w:rtl/>
        </w:rPr>
        <w:t xml:space="preserve"> كما نشرت ، في الهيئات المختلفة، كراسات إعلامية عن القواعد الرئيسية التي تحمي المرأة مثل الكراسة التي أرسلت إلى التسعة عمد ومحافظين عن قانون الحصص</w:t>
      </w:r>
      <w:r w:rsidR="003D7EB4">
        <w:rPr>
          <w:rFonts w:ascii="Traditional Arabic" w:hAnsi="Traditional Arabic"/>
          <w:sz w:val="32"/>
          <w:rtl/>
        </w:rPr>
        <w:t>،</w:t>
      </w:r>
    </w:p>
    <w:p w:rsidR="00971AE2" w:rsidRDefault="00971AE2" w:rsidP="00F57CF2">
      <w:pPr>
        <w:pStyle w:val="SingleTxt"/>
        <w:rPr>
          <w:rFonts w:ascii="Traditional Arabic" w:hAnsi="Traditional Arabic"/>
          <w:sz w:val="32"/>
          <w:rtl/>
        </w:rPr>
      </w:pPr>
      <w:r>
        <w:rPr>
          <w:rFonts w:ascii="Traditional Arabic" w:hAnsi="Traditional Arabic"/>
          <w:sz w:val="32"/>
          <w:rtl/>
        </w:rPr>
        <w:tab/>
        <w:t>في 13 نيسان/ أبريل 2000 أصدرت وزارة الدفاع التوجيه الدائم المعنون "سياسات وزارة الدفاع الوطني في مجال حقوق الإنسان والقانون الإنساني الدولي" الذي يحدد اختصاصات ومسؤوليات مختلف مستويات قطاع الدفاع لإنشاء وإدامة وإعلان آليات لحماية حقوق الإنسان والقانون الدولي وأيضاً لتحسين قدرة القوات العامة على منع أعمال العنف وانتهاكات حقوق الإنسان والقانون الإنساني الدولي</w:t>
      </w:r>
      <w:r w:rsidR="003D7EB4">
        <w:rPr>
          <w:rFonts w:ascii="Traditional Arabic" w:hAnsi="Traditional Arabic"/>
          <w:sz w:val="32"/>
          <w:rtl/>
        </w:rPr>
        <w:t>،</w:t>
      </w:r>
      <w:r>
        <w:rPr>
          <w:rFonts w:ascii="Traditional Arabic" w:hAnsi="Traditional Arabic"/>
          <w:sz w:val="32"/>
          <w:rtl/>
        </w:rPr>
        <w:t xml:space="preserve"> وقد درب في الأربع سنوات الأخيرة ما يربو على 000 280 شخص من القوات العامة وأنشئ 231 مكتباً لحقوق الإنسان والقانون الإنساني الدولي في الوحدات العسكرية ووحدات الشرطة على المستوى الوطني</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A343DF">
      <w:pPr>
        <w:pStyle w:val="SingleTxt"/>
        <w:rPr>
          <w:rFonts w:ascii="Traditional Arabic" w:hAnsi="Traditional Arabic"/>
          <w:sz w:val="32"/>
          <w:rtl/>
        </w:rPr>
      </w:pPr>
      <w:r>
        <w:rPr>
          <w:rFonts w:ascii="Traditional Arabic" w:hAnsi="Traditional Arabic"/>
          <w:sz w:val="32"/>
          <w:rtl/>
        </w:rPr>
        <w:tab/>
        <w:t>وقد أدخل مكتب المدعي العام التدريب في جميع إدارات نظام الشرطة ونظمه لموظفيه وللعسكريين فيما يتعلق بالعنف الجنساني وعن حقوق الإنسان للمرأة في أنشطة مثل ما يلي:</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اللقاء الوطني للمدعين القضائيين في شؤون الأسرة والمهنيين العاملين مع المفوضة المعنية بالقصّر والأسرة بشأن العنف العائلي والتوفيق، برعاية جامعة جورج تاون</w:t>
      </w:r>
      <w:r w:rsidR="003D7EB4">
        <w:rPr>
          <w:rFonts w:ascii="Traditional Arabic" w:hAnsi="Traditional Arabic"/>
          <w:sz w:val="32"/>
          <w:rtl/>
        </w:rPr>
        <w:t>،</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 xml:space="preserve">تدريب المهنيين العاملين مع المفوضة والمدعين القضائيين المعنيين بالأسرة فيما يتعلق بموضوع الحقوق الجنسية والتناسلية والعنف الجنسي، بدعم من مشروع صندوق الأمم المتحدة للأنشطة السكانية </w:t>
      </w:r>
      <w:r w:rsidR="003D7EB4">
        <w:rPr>
          <w:rFonts w:ascii="Traditional Arabic" w:hAnsi="Traditional Arabic"/>
          <w:sz w:val="32"/>
          <w:rtl/>
        </w:rPr>
        <w:t>،</w:t>
      </w:r>
      <w:r>
        <w:rPr>
          <w:rFonts w:ascii="Traditional Arabic" w:hAnsi="Traditional Arabic"/>
          <w:sz w:val="32"/>
          <w:rtl/>
        </w:rPr>
        <w:t xml:space="preserve"> توزيع منشورات عن موضوع الموظفين العاملين مع المدعية العامة المفوضة المعنية بالأسرة</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المشاركة في</w:t>
      </w:r>
      <w:r>
        <w:rPr>
          <w:rFonts w:ascii="Traditional Arabic" w:hAnsi="Traditional Arabic"/>
          <w:color w:val="FF0000"/>
          <w:sz w:val="32"/>
          <w:rtl/>
        </w:rPr>
        <w:t xml:space="preserve"> </w:t>
      </w:r>
      <w:r>
        <w:rPr>
          <w:rFonts w:ascii="Traditional Arabic" w:hAnsi="Traditional Arabic"/>
          <w:sz w:val="32"/>
          <w:rtl/>
        </w:rPr>
        <w:t>المؤتمر المرئي المشترك بين المؤسسات والمعني بنماذج الرعاية المتكاملة لضحايا العنف الموجه نحو موظفي النظام القضائي وموظفي الدولة والموظفين في هذا المجال</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527C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Traditional Arabic" w:hAnsi="Traditional Arabic"/>
          <w:sz w:val="32"/>
          <w:rtl/>
        </w:rPr>
      </w:pPr>
      <w:r>
        <w:rPr>
          <w:rFonts w:ascii="Traditional Arabic" w:hAnsi="Traditional Arabic"/>
          <w:sz w:val="32"/>
          <w:rtl/>
        </w:rPr>
        <w:tab/>
        <w:t>-</w:t>
      </w:r>
      <w:r>
        <w:rPr>
          <w:rFonts w:ascii="Traditional Arabic" w:hAnsi="Traditional Arabic"/>
          <w:sz w:val="32"/>
          <w:rtl/>
        </w:rPr>
        <w:tab/>
        <w:t>عقدت في مدينة بوغوتا بالاشتراك مع منظمة العمل الدولية والبرنامج الدولي للقضاء على عمل الأطفال لصالح المدعين القضائيين المعنيين بالأسرة والمهنيين العاملين معهم عن خطة القضاء على عمل الأطفال</w:t>
      </w:r>
      <w:r w:rsidR="003D7EB4">
        <w:rPr>
          <w:rFonts w:ascii="Traditional Arabic" w:hAnsi="Traditional Arabic"/>
          <w:sz w:val="32"/>
          <w:rtl/>
        </w:rPr>
        <w:t>،</w:t>
      </w:r>
      <w:r>
        <w:rPr>
          <w:rFonts w:ascii="Traditional Arabic" w:hAnsi="Traditional Arabic"/>
          <w:sz w:val="32"/>
          <w:rtl/>
        </w:rPr>
        <w:t xml:space="preserve"> وفي الفترة من 5 إلى 7 آذار/ مارس 2003 عقد مكتب المدعية العامة، بالاشتراك مع الجامعة الوطنية ومعهد الفكر التابع لجامعة هافيير الكاثوليكية، المؤتمر الدولي الأول المعني بالشؤون الجنسانية والقضاء والحقوق</w:t>
      </w:r>
      <w:r w:rsidR="003D7EB4">
        <w:rPr>
          <w:rFonts w:ascii="Traditional Arabic" w:hAnsi="Traditional Arabic"/>
          <w:sz w:val="32"/>
          <w:rtl/>
        </w:rPr>
        <w:t>،</w:t>
      </w:r>
      <w:r>
        <w:rPr>
          <w:rFonts w:ascii="Traditional Arabic" w:hAnsi="Traditional Arabic"/>
          <w:sz w:val="32"/>
          <w:rtl/>
        </w:rPr>
        <w:t xml:space="preserve"> وحضر المؤتمر موظفو الدولة والأشخاص المعنيون بوجه عام</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EC6063">
      <w:pPr>
        <w:pStyle w:val="SingleTxt"/>
        <w:rPr>
          <w:rFonts w:ascii="Traditional Arabic" w:hAnsi="Traditional Arabic"/>
          <w:sz w:val="32"/>
          <w:rtl/>
        </w:rPr>
      </w:pPr>
      <w:r>
        <w:rPr>
          <w:rFonts w:ascii="Traditional Arabic" w:hAnsi="Traditional Arabic"/>
          <w:sz w:val="32"/>
          <w:rtl/>
        </w:rPr>
        <w:tab/>
        <w:t>وتنفذ جامعة "رو</w:t>
      </w:r>
      <w:r>
        <w:rPr>
          <w:rFonts w:ascii="Traditional Arabic" w:hAnsi="Traditional Arabic" w:hint="cs"/>
          <w:sz w:val="32"/>
          <w:rtl/>
        </w:rPr>
        <w:t>د</w:t>
      </w:r>
      <w:r>
        <w:rPr>
          <w:rFonts w:ascii="Traditional Arabic" w:hAnsi="Traditional Arabic"/>
          <w:sz w:val="32"/>
          <w:rtl/>
        </w:rPr>
        <w:t>ري</w:t>
      </w:r>
      <w:r>
        <w:rPr>
          <w:rFonts w:ascii="Traditional Arabic" w:hAnsi="Traditional Arabic" w:hint="cs"/>
          <w:sz w:val="32"/>
          <w:rtl/>
        </w:rPr>
        <w:t>غ</w:t>
      </w:r>
      <w:r>
        <w:rPr>
          <w:rFonts w:ascii="Traditional Arabic" w:hAnsi="Traditional Arabic"/>
          <w:sz w:val="32"/>
          <w:rtl/>
        </w:rPr>
        <w:t xml:space="preserve">و لارا بونيليا" القضائية </w:t>
      </w:r>
      <w:r w:rsidR="00EC6063" w:rsidRPr="00EC6063">
        <w:rPr>
          <w:rFonts w:ascii="Traditional Arabic" w:hAnsi="Traditional Arabic" w:hint="cs"/>
          <w:sz w:val="32"/>
          <w:vertAlign w:val="superscript"/>
          <w:rtl/>
        </w:rPr>
        <w:t>241</w:t>
      </w:r>
      <w:r>
        <w:rPr>
          <w:rFonts w:ascii="Traditional Arabic" w:hAnsi="Traditional Arabic"/>
          <w:sz w:val="32"/>
          <w:rtl/>
        </w:rPr>
        <w:t xml:space="preserve"> برنامجاً شاملاً للحساسية تجاه المساواة بين الجنسين بحيث تتضمن جميع برامج الجامعة أنشطة متعلقة بهذا الموضوع</w:t>
      </w:r>
      <w:r w:rsidR="003D7EB4">
        <w:rPr>
          <w:rFonts w:ascii="Traditional Arabic" w:hAnsi="Traditional Arabic"/>
          <w:sz w:val="32"/>
          <w:rtl/>
        </w:rPr>
        <w:t>،</w:t>
      </w:r>
      <w:r>
        <w:rPr>
          <w:rFonts w:ascii="Traditional Arabic" w:hAnsi="Traditional Arabic"/>
          <w:sz w:val="32"/>
          <w:rtl/>
        </w:rPr>
        <w:t xml:space="preserve"> وتحقيقاً لهدف إدماج المنظور الجنساني في الخطة الوطنية لتدريب الهيئة القضائية حددت الجامعة هدفاً أساسياً يتمثل في تصميم وإعداد وتقييم عملية تدريب للقضاة بجميع أنواعهم ترهف حس الهيئة القضائية لعدم المساواة وعدم تكافؤ في الفرص بين الرجل والمرأة، بهدف الإسهام في استئصال الممارسات التمييزية والمتحيزة جنسياً في إقامة العدل وإعمال الحق الدستوري في المساواة</w:t>
      </w:r>
      <w:r w:rsidR="00EC6063" w:rsidRPr="00EC6063">
        <w:rPr>
          <w:rFonts w:ascii="Traditional Arabic" w:hAnsi="Traditional Arabic" w:hint="cs"/>
          <w:sz w:val="32"/>
          <w:vertAlign w:val="superscript"/>
          <w:rtl/>
        </w:rPr>
        <w:t>242</w:t>
      </w:r>
      <w:r w:rsidR="003D7EB4">
        <w:rPr>
          <w:rFonts w:ascii="Traditional Arabic" w:hAnsi="Traditional Arabic"/>
          <w:sz w:val="32"/>
          <w:rtl/>
        </w:rPr>
        <w:t>،</w:t>
      </w:r>
    </w:p>
    <w:p w:rsidR="00971AE2" w:rsidRDefault="00971AE2" w:rsidP="00EC6063">
      <w:pPr>
        <w:pStyle w:val="SingleTxt"/>
        <w:rPr>
          <w:rFonts w:ascii="Traditional Arabic" w:hAnsi="Traditional Arabic"/>
          <w:sz w:val="32"/>
          <w:rtl/>
        </w:rPr>
      </w:pPr>
      <w:r>
        <w:rPr>
          <w:rFonts w:ascii="Traditional Arabic" w:hAnsi="Traditional Arabic"/>
          <w:sz w:val="32"/>
          <w:rtl/>
        </w:rPr>
        <w:tab/>
        <w:t xml:space="preserve">في سنة 2001 عقدت حلقتان تدريبيتان عن موضوع "المنظور الجنساني" للبدء في تكوين شبكة مدربين في هذا الموضوع؛ وهي عملية تلقى دعما من </w:t>
      </w:r>
      <w:r>
        <w:t>llanud</w:t>
      </w:r>
      <w:r w:rsidR="00EC6063" w:rsidRPr="00EC6063">
        <w:rPr>
          <w:rFonts w:ascii="Traditional Arabic" w:hAnsi="Traditional Arabic" w:hint="cs"/>
          <w:sz w:val="32"/>
          <w:vertAlign w:val="superscript"/>
          <w:rtl/>
        </w:rPr>
        <w:t>243</w:t>
      </w:r>
      <w:r w:rsidR="003D7EB4">
        <w:rPr>
          <w:rFonts w:ascii="Traditional Arabic" w:hAnsi="Traditional Arabic"/>
          <w:sz w:val="32"/>
          <w:rtl/>
        </w:rPr>
        <w:t>،</w:t>
      </w:r>
      <w:r>
        <w:rPr>
          <w:rFonts w:ascii="Traditional Arabic" w:hAnsi="Traditional Arabic"/>
          <w:sz w:val="32"/>
          <w:rtl/>
        </w:rPr>
        <w:t xml:space="preserve"> ونُظمت أربع حلقات لإرهاف الحس في مدينة بوغوتا، جرى فيها تناول الموضوع الجنساني في مؤتمرات عمل معنية بالعناصر الفلسفية للقانون الدستوري وتفسيره، اكتشف فيها اهتمام كبير بهذا الموضوع لكن اعترف فيها بنفس الطريقة بقلة الدافع لدى الموظفين القضائيين على تطبيق البعد الجنساني في أدائهم لمهامهم</w:t>
      </w:r>
      <w:r w:rsidR="003D7EB4">
        <w:rPr>
          <w:rFonts w:ascii="Traditional Arabic" w:hAnsi="Traditional Arabic"/>
          <w:sz w:val="32"/>
          <w:rtl/>
        </w:rPr>
        <w:t>،</w:t>
      </w:r>
      <w:r>
        <w:rPr>
          <w:rFonts w:ascii="Traditional Arabic" w:hAnsi="Traditional Arabic"/>
          <w:sz w:val="32"/>
          <w:rtl/>
        </w:rPr>
        <w:t xml:space="preserve"> وجرى في معظم المؤتمرات دراسة النماذج الموضوعة في سنة 2002 (200 تقريباً) عن موضوع المساواة بين الجنسين من خلال حلقات أولية استغرق كل منها ساعتين</w:t>
      </w:r>
      <w:r w:rsidR="003D7EB4">
        <w:rPr>
          <w:rFonts w:ascii="Traditional Arabic" w:hAnsi="Traditional Arabic"/>
          <w:sz w:val="32"/>
          <w:rtl/>
        </w:rPr>
        <w:t>،</w:t>
      </w:r>
      <w:r>
        <w:rPr>
          <w:rFonts w:ascii="Traditional Arabic" w:hAnsi="Traditional Arabic"/>
          <w:sz w:val="32"/>
          <w:rtl/>
        </w:rPr>
        <w:t xml:space="preserve"> وبالنسبة للفترة بين عامي 2002 و2006 سيدرب على الموضوع الجنساني 000 15 موظف</w:t>
      </w:r>
      <w:r w:rsidR="003D7EB4">
        <w:rPr>
          <w:rFonts w:ascii="Traditional Arabic" w:hAnsi="Traditional Arabic"/>
          <w:sz w:val="32"/>
          <w:rtl/>
        </w:rPr>
        <w:t>،</w:t>
      </w:r>
    </w:p>
    <w:p w:rsidR="00F57CF2" w:rsidRPr="00F57CF2" w:rsidRDefault="00F57CF2" w:rsidP="00F57CF2">
      <w:pPr>
        <w:pStyle w:val="SingleTxt"/>
        <w:spacing w:after="0" w:line="120" w:lineRule="exact"/>
        <w:rPr>
          <w:rFonts w:ascii="Palatino Linotype" w:hAnsi="Palatino Linotype" w:hint="cs"/>
          <w:sz w:val="10"/>
          <w:rtl/>
        </w:rPr>
      </w:pPr>
    </w:p>
    <w:p w:rsidR="00971AE2" w:rsidRDefault="00F57CF2" w:rsidP="00F57C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71AE2">
        <w:rPr>
          <w:rtl/>
        </w:rPr>
        <w:t>3-4</w:t>
      </w:r>
      <w:r w:rsidR="00971AE2">
        <w:rPr>
          <w:rtl/>
        </w:rPr>
        <w:tab/>
        <w:t>التوصية الخاصة رقم 4</w:t>
      </w:r>
    </w:p>
    <w:p w:rsidR="00971AE2" w:rsidRDefault="00F57CF2" w:rsidP="00F57C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71AE2">
        <w:rPr>
          <w:rtl/>
        </w:rPr>
        <w:t>الهيئة الاستشارية المعنية بتحقيق المساواة بين الرجل والمرأة</w:t>
      </w:r>
    </w:p>
    <w:p w:rsidR="00971AE2" w:rsidRDefault="00971AE2" w:rsidP="00EC6063">
      <w:pPr>
        <w:pStyle w:val="SingleTxt"/>
        <w:rPr>
          <w:rFonts w:ascii="Traditional Arabic" w:hAnsi="Traditional Arabic"/>
          <w:sz w:val="32"/>
          <w:rtl/>
        </w:rPr>
      </w:pPr>
      <w:r>
        <w:rPr>
          <w:rFonts w:ascii="Traditional Arabic" w:hAnsi="Traditional Arabic"/>
          <w:sz w:val="32"/>
          <w:rtl/>
        </w:rPr>
        <w:t>نظرا للتوصية العامة رقم 6 المتعلقة بالآلية الوطنية الفعالة لتعزيزحقوق الإنسان للمرأة</w:t>
      </w:r>
      <w:r w:rsidR="00EC6063" w:rsidRPr="00EC6063">
        <w:rPr>
          <w:rFonts w:ascii="Traditional Arabic" w:hAnsi="Traditional Arabic" w:hint="cs"/>
          <w:sz w:val="32"/>
          <w:vertAlign w:val="superscript"/>
          <w:rtl/>
        </w:rPr>
        <w:t>244</w:t>
      </w:r>
      <w:r w:rsidR="00EC6063">
        <w:rPr>
          <w:rFonts w:ascii="Traditional Arabic" w:hAnsi="Traditional Arabic" w:hint="cs"/>
          <w:sz w:val="32"/>
          <w:rtl/>
        </w:rPr>
        <w:t xml:space="preserve"> </w:t>
      </w:r>
      <w:r>
        <w:rPr>
          <w:rFonts w:ascii="Traditional Arabic" w:hAnsi="Traditional Arabic"/>
          <w:sz w:val="32"/>
          <w:rtl/>
        </w:rPr>
        <w:t>يرد فيما يلي وصف للآلية الموجودة المعنية بالمرأة في كولومبيا، وهي الهيئة الاستشارية المعنية بتحقيق المساواة بين الرجل والمرأة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الآلية المعنية بالمرأة وأثرها في المجتمع الكولومبي</w:t>
      </w:r>
    </w:p>
    <w:p w:rsidR="00971AE2" w:rsidRDefault="00971AE2" w:rsidP="00A343DF">
      <w:pPr>
        <w:pStyle w:val="SingleTxt"/>
        <w:rPr>
          <w:rFonts w:ascii="Traditional Arabic" w:hAnsi="Traditional Arabic"/>
          <w:sz w:val="32"/>
          <w:rtl/>
        </w:rPr>
      </w:pPr>
      <w:r>
        <w:rPr>
          <w:rFonts w:ascii="Traditional Arabic" w:hAnsi="Traditional Arabic"/>
          <w:sz w:val="32"/>
          <w:rtl/>
        </w:rPr>
        <w:t>أنشئت الآلية المعنية بالمرأة في كولومبيا بموجب المرسوم رقم 182 1 الصادر في حزيران/يونيه 1999، وتحولت من الإدارة</w:t>
      </w:r>
      <w:r>
        <w:rPr>
          <w:rFonts w:ascii="Traditional Arabic" w:hAnsi="Traditional Arabic"/>
          <w:color w:val="FF0000"/>
          <w:sz w:val="32"/>
          <w:rtl/>
        </w:rPr>
        <w:t xml:space="preserve"> </w:t>
      </w:r>
      <w:r>
        <w:rPr>
          <w:rFonts w:ascii="Traditional Arabic" w:hAnsi="Traditional Arabic"/>
          <w:sz w:val="32"/>
          <w:rtl/>
        </w:rPr>
        <w:t xml:space="preserve">العامة إلى الهيئة الاستشارية </w:t>
      </w:r>
      <w:r>
        <w:rPr>
          <w:rFonts w:ascii="Traditional Arabic" w:hAnsi="Traditional Arabic" w:hint="cs"/>
          <w:sz w:val="32"/>
          <w:rtl/>
        </w:rPr>
        <w:t>لرئيس الجمهورية فيما يتعلق</w:t>
      </w:r>
      <w:r>
        <w:rPr>
          <w:rFonts w:ascii="Traditional Arabic" w:hAnsi="Traditional Arabic"/>
          <w:sz w:val="32"/>
          <w:rtl/>
        </w:rPr>
        <w:t xml:space="preserve"> بتحقيق المساواة بين الرجل والمرأة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ف</w:t>
      </w:r>
      <w:r>
        <w:rPr>
          <w:rFonts w:ascii="Traditional Arabic" w:hAnsi="Traditional Arabic" w:hint="cs"/>
          <w:sz w:val="32"/>
          <w:rtl/>
        </w:rPr>
        <w:t xml:space="preserve">في </w:t>
      </w:r>
      <w:r>
        <w:rPr>
          <w:rFonts w:ascii="Traditional Arabic" w:hAnsi="Traditional Arabic"/>
          <w:sz w:val="32"/>
          <w:rtl/>
        </w:rPr>
        <w:t>العملية التي قامت بها حكومة الرئيس الفارو أوريبي فيريس لإعادة تشكيل الدولية أبقي على هذه الآلية ورُفع مستواها إلى هيئة استشارية تابعة لر</w:t>
      </w:r>
      <w:r>
        <w:rPr>
          <w:rFonts w:ascii="Traditional Arabic" w:hAnsi="Traditional Arabic" w:hint="cs"/>
          <w:sz w:val="32"/>
          <w:rtl/>
        </w:rPr>
        <w:t>ئيس</w:t>
      </w:r>
      <w:r>
        <w:rPr>
          <w:rFonts w:ascii="Traditional Arabic" w:hAnsi="Traditional Arabic"/>
          <w:sz w:val="32"/>
          <w:rtl/>
        </w:rPr>
        <w:t xml:space="preserve"> الجمهورية، </w:t>
      </w:r>
      <w:r>
        <w:rPr>
          <w:rFonts w:ascii="Traditional Arabic" w:hAnsi="Traditional Arabic" w:hint="cs"/>
          <w:sz w:val="32"/>
          <w:rtl/>
        </w:rPr>
        <w:t>لأن</w:t>
      </w:r>
      <w:r>
        <w:rPr>
          <w:rFonts w:ascii="Traditional Arabic" w:hAnsi="Traditional Arabic"/>
          <w:sz w:val="32"/>
          <w:rtl/>
        </w:rPr>
        <w:t xml:space="preserve"> موضوعها ذ</w:t>
      </w:r>
      <w:r>
        <w:rPr>
          <w:rFonts w:ascii="Traditional Arabic" w:hAnsi="Traditional Arabic" w:hint="cs"/>
          <w:sz w:val="32"/>
          <w:rtl/>
        </w:rPr>
        <w:t>و</w:t>
      </w:r>
      <w:r>
        <w:rPr>
          <w:rFonts w:ascii="Traditional Arabic" w:hAnsi="Traditional Arabic"/>
          <w:sz w:val="32"/>
          <w:rtl/>
        </w:rPr>
        <w:t xml:space="preserve"> أولوية بالنسبة للحكومة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وبموجب المرسوم رقم 519 الصادر في آذار/مارس 2003 عادت الحكومة الحالية بتحديد مهام الهيئة الاستشارية المعنية بتحقيق المساواة بين الرجل والمرأة على النحو التالي:</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مساعدة رئيس الجمهورية والحكومة الوطنية على رسم السياسات الحكومية الرامية إلى تعزيز المساواة بين الرجل والمرأة متبعة في ذلك التوجيهات العامة لرئيس الجمهورية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الحث على إدماج المنظور الجنساني في صياغة وإدارة ومتابعة السياسات والخطط والبرامج في الهيئات العامة الوطنية وعلى مستوى الأقاليم</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إنشاء آليات لمتابعة تنفيذ التشريع الداخلي والمعاهدات والاتفاقيات الدولية المتعلقة بالمساواة بين الرجل والمرأة والمنظور الجنساني</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إقامة تحالفات استراتيجية مع القطاع الخاص والمنظمات الدولية والمنظمات غير الحكومية والجامعات ومراكز البحوث لتنشيط وتقوية البحوث والتحليلات التي تُجرى للمعرفة الموجودة عن وضع وحالة المرأة</w:t>
      </w:r>
      <w:r w:rsidR="003D7EB4">
        <w:rPr>
          <w:rFonts w:ascii="Traditional Arabic" w:hAnsi="Traditional Arabic"/>
          <w:sz w:val="32"/>
          <w:rtl/>
        </w:rPr>
        <w:t>،</w:t>
      </w:r>
      <w:r>
        <w:rPr>
          <w:rFonts w:ascii="Traditional Arabic" w:hAnsi="Traditional Arabic"/>
          <w:sz w:val="32"/>
          <w:rtl/>
        </w:rPr>
        <w:t xml:space="preserve"> وتقديم الدعم إلى المنظمات التضامنية والمجتمعية والاجتماعية والمرأة على المستوى الوطني والعمل على مشاركتها بنشاط في الأعمال والبرامج الحكومية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دعم صياغة وتصميم برامج ومشاريع خاصة ترمي إلى تحسين نوعية معيشة المرأة، لا سيما معيشة أفقر النساء وأقلهن تمتعاً بالحماية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إعطاء دفعة قوية لوضع اللوائح التنظيمية للقوانين الرامية إلى تحقيق المساواة بين الرجل والمرأة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توجيه الموارد والأعمال المنبثقة عن التعاون الدولي لتنمية المشاريع الرامية إلى ضمان إدراج البعد الإنساني ومشاركة المرأة في المجالات الاجتماعية والسياسية والاقتصادية</w:t>
      </w:r>
      <w:r w:rsidR="003D7EB4">
        <w:rPr>
          <w:rFonts w:ascii="Traditional Arabic" w:hAnsi="Traditional Arabic"/>
          <w:sz w:val="32"/>
          <w:rtl/>
        </w:rPr>
        <w:t>،</w:t>
      </w:r>
      <w:r>
        <w:rPr>
          <w:rFonts w:ascii="Traditional Arabic" w:hAnsi="Traditional Arabic"/>
          <w:sz w:val="32"/>
          <w:rtl/>
        </w:rPr>
        <w:t xml:space="preserve"> </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المهام الأخرى التي يسندها إليها رئيس الجمهورية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أسندت الخطة الإنمائية الوطنية التي قدمتها الحكومة إلى كونغرس الجمهورية واُعتمدت بموجب القانون الصادر في سنة 2003 إلى الآلية المعنية بالمرأة مسؤولية دعم سياسة من شأن المرأة وتنسيق عملية التساوق مع هيئات النظام الوطني والإقليمي والمحلي لإدماج المنظور الجنساني في السياسات والخطط والبرامج والميزانيات</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قامت الهيئة الاستشارية المعنية بتحقيق مساواة بين الرجل والمرأة تنفيذاً لمهمتها المؤسسية بإعادة تقدير مساهمة المرأة في تنمية البلد وتعزز العمل الذي تضطلع به الإدارة العامة لإعمال مبدأ المساواة الاجتماعية المعرب عنه في الخطة الإنمائية الوطنية للفترة 2003-2006، نحو دولة مجتمعية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وتدمج سياسة المرأة صانعة السلم والتنمية النهج الجنساني فيما يتعلق بالعمل على تحقيق تنمية أكثر ديمقراطية عن طريق إقامة علاقات تتسم بالمساواة بين الرجل والمرأة والعمل على تحقيق التكافؤ في الفرص بين الرجل والمرأة</w:t>
      </w:r>
      <w:r w:rsidR="003D7EB4">
        <w:rPr>
          <w:rFonts w:ascii="Traditional Arabic" w:hAnsi="Traditional Arabic"/>
          <w:sz w:val="32"/>
          <w:rtl/>
        </w:rPr>
        <w:t>،</w:t>
      </w:r>
    </w:p>
    <w:p w:rsidR="00971AE2" w:rsidRDefault="00971AE2" w:rsidP="00540A6F">
      <w:pPr>
        <w:pStyle w:val="SingleTxt"/>
        <w:rPr>
          <w:rFonts w:ascii="Traditional Arabic" w:hAnsi="Traditional Arabic"/>
          <w:sz w:val="32"/>
          <w:rtl/>
        </w:rPr>
      </w:pPr>
      <w:r>
        <w:rPr>
          <w:rFonts w:ascii="Traditional Arabic" w:hAnsi="Traditional Arabic"/>
          <w:sz w:val="32"/>
          <w:rtl/>
        </w:rPr>
        <w:t>والمبادئ التي تحكم السياسة هي: المساواة</w:t>
      </w:r>
      <w:r w:rsidR="00540A6F" w:rsidRPr="00540A6F">
        <w:rPr>
          <w:rFonts w:ascii="Traditional Arabic" w:hAnsi="Traditional Arabic" w:hint="cs"/>
          <w:sz w:val="32"/>
          <w:vertAlign w:val="superscript"/>
          <w:rtl/>
        </w:rPr>
        <w:t>245</w:t>
      </w:r>
      <w:r>
        <w:rPr>
          <w:rFonts w:ascii="Traditional Arabic" w:hAnsi="Traditional Arabic"/>
          <w:sz w:val="32"/>
          <w:rtl/>
        </w:rPr>
        <w:t xml:space="preserve"> والتكافؤ في الفرص</w:t>
      </w:r>
      <w:r w:rsidR="00540A6F" w:rsidRPr="00540A6F">
        <w:rPr>
          <w:rFonts w:ascii="Traditional Arabic" w:hAnsi="Traditional Arabic" w:hint="cs"/>
          <w:sz w:val="32"/>
          <w:vertAlign w:val="superscript"/>
          <w:rtl/>
        </w:rPr>
        <w:t>246</w:t>
      </w:r>
      <w:r>
        <w:rPr>
          <w:rFonts w:ascii="Traditional Arabic" w:hAnsi="Traditional Arabic"/>
          <w:sz w:val="32"/>
          <w:rtl/>
        </w:rPr>
        <w:t xml:space="preserve"> والمشاركة</w:t>
      </w:r>
      <w:r w:rsidR="00540A6F" w:rsidRPr="00540A6F">
        <w:rPr>
          <w:rFonts w:ascii="Traditional Arabic" w:hAnsi="Traditional Arabic" w:hint="cs"/>
          <w:sz w:val="32"/>
          <w:vertAlign w:val="superscript"/>
          <w:rtl/>
        </w:rPr>
        <w:t>247</w:t>
      </w:r>
      <w:r>
        <w:rPr>
          <w:rFonts w:ascii="Traditional Arabic" w:hAnsi="Traditional Arabic"/>
          <w:sz w:val="32"/>
          <w:rtl/>
        </w:rPr>
        <w:t xml:space="preserve"> واحترام حقوق المرأة</w:t>
      </w:r>
      <w:r w:rsidR="00540A6F" w:rsidRPr="00540A6F">
        <w:rPr>
          <w:rFonts w:ascii="Traditional Arabic" w:hAnsi="Traditional Arabic" w:hint="cs"/>
          <w:sz w:val="32"/>
          <w:vertAlign w:val="superscript"/>
          <w:rtl/>
        </w:rPr>
        <w:t>248</w:t>
      </w:r>
      <w:r>
        <w:rPr>
          <w:rFonts w:ascii="Traditional Arabic" w:hAnsi="Traditional Arabic"/>
          <w:sz w:val="32"/>
          <w:rtl/>
        </w:rPr>
        <w:t xml:space="preserve"> واحترام القانون الإنساني الدولي</w:t>
      </w:r>
      <w:r w:rsidR="00540A6F" w:rsidRPr="00540A6F">
        <w:rPr>
          <w:rFonts w:ascii="Traditional Arabic" w:hAnsi="Traditional Arabic" w:hint="cs"/>
          <w:sz w:val="32"/>
          <w:vertAlign w:val="superscript"/>
          <w:rtl/>
        </w:rPr>
        <w:t>249</w:t>
      </w:r>
      <w:r>
        <w:rPr>
          <w:rFonts w:ascii="Traditional Arabic" w:hAnsi="Traditional Arabic"/>
          <w:sz w:val="32"/>
          <w:rtl/>
        </w:rPr>
        <w:t xml:space="preserve"> والاستقلال الذاتي</w:t>
      </w:r>
      <w:r w:rsidR="00540A6F" w:rsidRPr="00540A6F">
        <w:rPr>
          <w:rFonts w:ascii="Traditional Arabic" w:hAnsi="Traditional Arabic" w:hint="cs"/>
          <w:sz w:val="32"/>
          <w:vertAlign w:val="superscript"/>
          <w:rtl/>
        </w:rPr>
        <w:t>250</w:t>
      </w:r>
      <w:r>
        <w:rPr>
          <w:rFonts w:ascii="Traditional Arabic" w:hAnsi="Traditional Arabic"/>
          <w:sz w:val="32"/>
          <w:rtl/>
        </w:rPr>
        <w:t xml:space="preserve"> واحترام التنوع</w:t>
      </w:r>
      <w:r w:rsidR="00540A6F" w:rsidRPr="00540A6F">
        <w:rPr>
          <w:rFonts w:ascii="Traditional Arabic" w:hAnsi="Traditional Arabic" w:hint="cs"/>
          <w:sz w:val="32"/>
          <w:vertAlign w:val="superscript"/>
          <w:rtl/>
        </w:rPr>
        <w:t>251</w:t>
      </w:r>
      <w:r>
        <w:rPr>
          <w:rFonts w:ascii="Traditional Arabic" w:hAnsi="Traditional Arabic"/>
          <w:sz w:val="32"/>
          <w:rtl/>
        </w:rPr>
        <w:t xml:space="preserve"> واللامركزية</w:t>
      </w:r>
      <w:r w:rsidR="00540A6F" w:rsidRPr="00540A6F">
        <w:rPr>
          <w:rFonts w:ascii="Traditional Arabic" w:hAnsi="Traditional Arabic" w:hint="cs"/>
          <w:sz w:val="32"/>
          <w:vertAlign w:val="superscript"/>
          <w:rtl/>
        </w:rPr>
        <w:t>252</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وتعمل الهيئة الاستشارية لتحقيق المساواة بين الرجل والمرأة في سبعة مجالات برنامجية هي: العمالة وتنمية تنظيم المشاريع النسائية والتعليم والثقافة والصحة والصحة الجنسية والتناسلية والعنف ضد المرأة والمشاركة السياسية والمرأة الريفية والتعزيز المؤسسي</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 xml:space="preserve">وتعزز عملية تعميم إدماج البعض الجنساني في السياسات الحكومية والخطط والبرامج والقوانين ودوائر القضاء والتوصل إلى وضع عادل يعوض أو يعوض من أوجه اللامساواة بين الأشخاص بتعاون مختلف أفراد السلطات العامة وعن طريق التدريب الجنساني لموظفي المستويات المركزية والإقليمية والمحلية، وتنسيق البرامج المشتركة بين القطاعات والسياسة التي تضعها النساء من خلال </w:t>
      </w:r>
      <w:r>
        <w:rPr>
          <w:rFonts w:ascii="Traditional Arabic" w:hAnsi="Traditional Arabic" w:hint="cs"/>
          <w:sz w:val="32"/>
          <w:rtl/>
        </w:rPr>
        <w:t>’’خ</w:t>
      </w:r>
      <w:r>
        <w:rPr>
          <w:rFonts w:ascii="Traditional Arabic" w:hAnsi="Traditional Arabic"/>
          <w:sz w:val="32"/>
          <w:rtl/>
        </w:rPr>
        <w:t>طة تدابير إيجابية</w:t>
      </w:r>
      <w:r>
        <w:rPr>
          <w:rFonts w:ascii="Traditional Arabic" w:hAnsi="Traditional Arabic" w:hint="cs"/>
          <w:sz w:val="32"/>
          <w:rtl/>
        </w:rPr>
        <w:t>‘‘</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والخطوات اللازمة لإحراز تقدم في هذه العملية قد اتخذت على نحو مرضٍ:</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وقّع في 14 تشرين الأول/أكتوبر 2003 الماضي الاتفاق الوطني للمساواة بين الرجل والمرأة الذي يمثل التزام الحكومة الوطنية والسلطات التشريعية والقضائية وأجهزة الرقابة والأكاديمية والاتحادات العمالية للقطاع الخاص لإحراز تقدم في عملية التحول الثقافي والمؤسسي التي تهيئ الظروف اللازمة للتنمية في ظل المساواة دونما تمييز ومع إتاحة الفرص</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أنشئ مكتب مشترك بين المؤسسات للعلاقات الجنسانية باعتباره آلية متابعة للالتزامات المنصوص عليها في الاتفاق</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انضمت إلى الاتفاق الوطني حكومات المقاطعات والأقاليم والجامعات الحكومية ومراكز البحوث</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تقدم التدريب الجنساني الموظفين على مستويين: موظفي الهيئات ذات الطابع الوطني وموظفي مستوى المقاطعات والأقاليم</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نُسق 18 برنامجاً مشتركاً بين القطاعات تقدم تقريراً عن التقدم المحرز بعد مرور سنة من توقيع الاتفاق</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ترد في هذا التقرير نتائج الأعمال المختلفة التي اضطلعت بها الهيئة الاستشارية المعنية بتحقيق المساواة بين الرجل والمرأة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اتُخذت عدة تدابير لتقوية الآلية المعنية بالمرأة:</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مرصد الشؤون الجنسانية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مصرف بيانات المنظمات النسائية والمنظمات التي تعمل من أجل المرأة</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مصرف مشاريع</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المجلس الاستشاري الفني</w:t>
      </w:r>
      <w:r w:rsidR="003D7EB4">
        <w:rPr>
          <w:rFonts w:ascii="Traditional Arabic" w:hAnsi="Traditional Arabic"/>
          <w:sz w:val="32"/>
          <w:rtl/>
        </w:rPr>
        <w:t>،</w:t>
      </w:r>
    </w:p>
    <w:p w:rsidR="00971AE2" w:rsidRDefault="00971AE2" w:rsidP="00A343DF">
      <w:pPr>
        <w:pStyle w:val="SingleTxt"/>
        <w:rPr>
          <w:rFonts w:ascii="Traditional Arabic" w:hAnsi="Traditional Arabic"/>
          <w:sz w:val="32"/>
          <w:rtl/>
        </w:rPr>
      </w:pPr>
      <w:r>
        <w:rPr>
          <w:rFonts w:ascii="Traditional Arabic" w:hAnsi="Traditional Arabic"/>
          <w:sz w:val="32"/>
          <w:rtl/>
        </w:rPr>
        <w:t>-</w:t>
      </w:r>
      <w:r>
        <w:rPr>
          <w:rFonts w:ascii="Traditional Arabic" w:hAnsi="Traditional Arabic"/>
          <w:sz w:val="32"/>
          <w:rtl/>
        </w:rPr>
        <w:tab/>
        <w:t>استراتيجية الاتصالات</w:t>
      </w:r>
      <w:r w:rsidR="003D7EB4">
        <w:rPr>
          <w:rFonts w:ascii="Traditional Arabic" w:hAnsi="Traditional Arabic"/>
          <w:sz w:val="32"/>
          <w:rtl/>
        </w:rPr>
        <w:t>،</w:t>
      </w:r>
    </w:p>
    <w:p w:rsidR="00971AE2" w:rsidRDefault="009711D2" w:rsidP="00A343DF">
      <w:pPr>
        <w:pStyle w:val="SingleTxt"/>
        <w:rPr>
          <w:rFonts w:ascii="Traditional Arabic" w:hAnsi="Traditional Arabic"/>
          <w:sz w:val="32"/>
          <w:rtl/>
        </w:rPr>
      </w:pPr>
      <w:r>
        <w:rPr>
          <w:rFonts w:ascii="Traditional Arabic" w:hAnsi="Traditional Arabic" w:hint="cs"/>
          <w:sz w:val="32"/>
          <w:rtl/>
        </w:rPr>
        <w:tab/>
      </w:r>
      <w:r w:rsidR="00971AE2">
        <w:rPr>
          <w:rFonts w:ascii="Traditional Arabic" w:hAnsi="Traditional Arabic"/>
          <w:sz w:val="32"/>
          <w:rtl/>
        </w:rPr>
        <w:t>يُسهم نشر سياسة الهيئة الاستشارية المعنية بتحقيق المساواة بين الرجل والمرأة وعن الأعمال التي تقوم بها، من خلال وسائط الاتصال المختلفة (النشرات والدوائر الصحفية والمقالات والأعمدة والشبكة العالمية) في إرهاف الحس بمعادلة المرأة وبزيادة معرفة الموضوع الجنساني</w:t>
      </w:r>
      <w:r w:rsidR="003D7EB4">
        <w:rPr>
          <w:rFonts w:ascii="Traditional Arabic" w:hAnsi="Traditional Arabic"/>
          <w:sz w:val="32"/>
          <w:rtl/>
        </w:rPr>
        <w:t>،</w:t>
      </w:r>
    </w:p>
    <w:p w:rsidR="00971AE2" w:rsidRDefault="009711D2" w:rsidP="00A343DF">
      <w:pPr>
        <w:pStyle w:val="SingleTxt"/>
        <w:rPr>
          <w:rFonts w:ascii="Traditional Arabic" w:hAnsi="Traditional Arabic" w:hint="cs"/>
          <w:sz w:val="32"/>
          <w:rtl/>
        </w:rPr>
      </w:pPr>
      <w:r>
        <w:rPr>
          <w:rFonts w:ascii="Traditional Arabic" w:hAnsi="Traditional Arabic" w:hint="cs"/>
          <w:sz w:val="32"/>
          <w:rtl/>
        </w:rPr>
        <w:tab/>
      </w:r>
      <w:r w:rsidR="00971AE2">
        <w:rPr>
          <w:rFonts w:ascii="Traditional Arabic" w:hAnsi="Traditional Arabic" w:hint="cs"/>
          <w:sz w:val="32"/>
          <w:rtl/>
        </w:rPr>
        <w:t>و</w:t>
      </w:r>
      <w:r w:rsidR="00971AE2">
        <w:rPr>
          <w:rFonts w:ascii="Traditional Arabic" w:hAnsi="Traditional Arabic"/>
          <w:sz w:val="32"/>
          <w:rtl/>
        </w:rPr>
        <w:t>تقوم وزارة الخارجية بالنشر عن سياسة "المرأة صانعة السلم والتنمية" في إطار بعثة كولومبيا في الخارج وتقدم الدعم إلى الهيئة الاستشارية المعنية بتحقيق المساواة بين الرجل والمرأة من أجل الوفاء بالالتزامات الدولية</w:t>
      </w:r>
      <w:r w:rsidR="003D7EB4">
        <w:rPr>
          <w:rFonts w:ascii="Traditional Arabic" w:hAnsi="Traditional Arabic"/>
          <w:sz w:val="32"/>
          <w:rtl/>
        </w:rPr>
        <w:t>،</w:t>
      </w:r>
    </w:p>
    <w:p w:rsidR="009711D2" w:rsidRPr="009711D2" w:rsidRDefault="009711D2" w:rsidP="009711D2">
      <w:pPr>
        <w:pStyle w:val="SingleTxt"/>
        <w:spacing w:after="0" w:line="120" w:lineRule="exact"/>
        <w:rPr>
          <w:rFonts w:ascii="Traditional Arabic" w:hAnsi="Traditional Arabic" w:hint="cs"/>
          <w:sz w:val="10"/>
          <w:rtl/>
        </w:rPr>
      </w:pPr>
    </w:p>
    <w:p w:rsidR="00971AE2" w:rsidRDefault="00104012" w:rsidP="001040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71AE2">
        <w:rPr>
          <w:rtl/>
        </w:rPr>
        <w:t>النتائج</w:t>
      </w:r>
    </w:p>
    <w:p w:rsidR="00971AE2" w:rsidRDefault="00104012" w:rsidP="00A343DF">
      <w:pPr>
        <w:pStyle w:val="SingleTxt"/>
        <w:rPr>
          <w:rFonts w:ascii="Traditional Arabic" w:hAnsi="Traditional Arabic"/>
          <w:sz w:val="32"/>
          <w:rtl/>
        </w:rPr>
      </w:pPr>
      <w:r>
        <w:rPr>
          <w:rFonts w:ascii="Traditional Arabic" w:hAnsi="Traditional Arabic" w:hint="cs"/>
          <w:sz w:val="32"/>
          <w:rtl/>
        </w:rPr>
        <w:tab/>
      </w:r>
      <w:r w:rsidR="00971AE2">
        <w:rPr>
          <w:rFonts w:ascii="Traditional Arabic" w:hAnsi="Traditional Arabic"/>
          <w:sz w:val="32"/>
          <w:rtl/>
        </w:rPr>
        <w:t>تأمل الحكومة الوطنية، من خلال الهيئة الاستشارية المعنية بتحقيق المساواة بين الرجل والمرأة، في سنة 2006 أن تكون قد أسهمت إسهاماً كبيراً في تحسين وضع المرأة وفي نهاية المطاف في تحسين نوعية معيشة المرأة، لا سيما رئيسات الأسر في المناطق الحضرية والريفية وضحايا العنف والنساء اللائي يعانين من الفقر، ولذا فإنها ستتيح فرصاً جديدة لتوليد الدخل واتخاذ القرارات والوصول إلى التعليم والموارد والخدمات الصحية والضمان الاجتماعي وللتقليل من مختلف أشكال العنف والتمييز الباقية</w:t>
      </w:r>
      <w:r w:rsidR="003D7EB4">
        <w:rPr>
          <w:rFonts w:ascii="Traditional Arabic" w:hAnsi="Traditional Arabic"/>
          <w:sz w:val="32"/>
          <w:rtl/>
        </w:rPr>
        <w:t>،</w:t>
      </w:r>
    </w:p>
    <w:p w:rsidR="00971AE2" w:rsidRDefault="00104012" w:rsidP="00A343DF">
      <w:pPr>
        <w:pStyle w:val="SingleTxt"/>
        <w:rPr>
          <w:rFonts w:ascii="Traditional Arabic" w:hAnsi="Traditional Arabic" w:hint="cs"/>
          <w:sz w:val="32"/>
          <w:rtl/>
        </w:rPr>
      </w:pPr>
      <w:r>
        <w:rPr>
          <w:rFonts w:ascii="Traditional Arabic" w:hAnsi="Traditional Arabic" w:hint="cs"/>
          <w:sz w:val="32"/>
          <w:rtl/>
        </w:rPr>
        <w:tab/>
      </w:r>
      <w:r w:rsidR="00971AE2">
        <w:rPr>
          <w:rFonts w:ascii="Traditional Arabic" w:hAnsi="Traditional Arabic"/>
          <w:sz w:val="32"/>
          <w:rtl/>
        </w:rPr>
        <w:t>وبالمثل، فإنها ستكون قد كونت رأياً عاماً عن أهمية التقليل من عوامل التمييز وعدم المساواة وإنشاء هيئة توجيهية للسياسة المعززة للمرأة تستمر عبر الحكومات المختلفة</w:t>
      </w:r>
      <w:r w:rsidR="003D7EB4">
        <w:rPr>
          <w:rFonts w:ascii="Traditional Arabic" w:hAnsi="Traditional Arabic"/>
          <w:sz w:val="32"/>
          <w:rtl/>
        </w:rPr>
        <w:t>،</w:t>
      </w:r>
    </w:p>
    <w:p w:rsidR="00971AE2" w:rsidRDefault="00104012" w:rsidP="00A343DF">
      <w:pPr>
        <w:pStyle w:val="SingleTxt"/>
        <w:rPr>
          <w:rFonts w:ascii="Traditional Arabic" w:hAnsi="Traditional Arabic" w:hint="cs"/>
          <w:sz w:val="32"/>
          <w:rtl/>
        </w:rPr>
      </w:pPr>
      <w:r>
        <w:rPr>
          <w:rFonts w:ascii="Traditional Arabic" w:hAnsi="Traditional Arabic" w:hint="cs"/>
          <w:sz w:val="32"/>
          <w:rtl/>
        </w:rPr>
        <w:tab/>
      </w:r>
      <w:r w:rsidR="00971AE2">
        <w:rPr>
          <w:rFonts w:ascii="Traditional Arabic" w:hAnsi="Traditional Arabic" w:hint="cs"/>
          <w:sz w:val="32"/>
          <w:rtl/>
        </w:rPr>
        <w:t>وقد أحرز تقدم في وضع تدابير توجيهية في هيئات على مستوى الأقاليم وعلى المستوى الوطني لإدماج المنظور الجنساني في السياسات الحكومية والقوانين والخدمات والقضاء مع وضع إطار للتعاون مع حكومات الأقاليم والبلديات ذات السلطات التشريعية والقضائية والجامعات ومراكز البحوث والمنظمات غير الحكومية والجهات الفاعلة الأخرى في المجتمع</w:t>
      </w:r>
      <w:r w:rsidR="003D7EB4">
        <w:rPr>
          <w:rFonts w:ascii="Traditional Arabic" w:hAnsi="Traditional Arabic" w:hint="cs"/>
          <w:sz w:val="32"/>
          <w:rtl/>
        </w:rPr>
        <w:t>،</w:t>
      </w:r>
    </w:p>
    <w:p w:rsidR="00104012" w:rsidRPr="00104012" w:rsidRDefault="00104012" w:rsidP="00104012">
      <w:pPr>
        <w:pStyle w:val="SingleTxt"/>
        <w:spacing w:after="0" w:line="120" w:lineRule="exact"/>
        <w:rPr>
          <w:rFonts w:ascii="Traditional Arabic" w:hAnsi="Traditional Arabic" w:hint="cs"/>
          <w:sz w:val="10"/>
          <w:rtl/>
        </w:rPr>
      </w:pPr>
    </w:p>
    <w:p w:rsidR="00971AE2" w:rsidRDefault="00104012" w:rsidP="001040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71AE2">
        <w:rPr>
          <w:rFonts w:hint="cs"/>
          <w:rtl/>
        </w:rPr>
        <w:t xml:space="preserve">3 </w:t>
      </w:r>
      <w:r w:rsidR="00971AE2">
        <w:rPr>
          <w:rtl/>
        </w:rPr>
        <w:t>–</w:t>
      </w:r>
      <w:r w:rsidR="00971AE2">
        <w:rPr>
          <w:rFonts w:hint="cs"/>
          <w:rtl/>
        </w:rPr>
        <w:t xml:space="preserve"> 5 التوصية رقم 7 </w:t>
      </w:r>
    </w:p>
    <w:p w:rsidR="00971AE2" w:rsidRDefault="00971AE2" w:rsidP="00A343DF">
      <w:pPr>
        <w:pStyle w:val="SingleTxt"/>
        <w:rPr>
          <w:rFonts w:ascii="Traditional Arabic" w:hAnsi="Traditional Arabic" w:hint="cs"/>
          <w:b/>
          <w:bCs/>
          <w:sz w:val="32"/>
          <w:rtl/>
        </w:rPr>
      </w:pPr>
      <w:r>
        <w:rPr>
          <w:rFonts w:ascii="Traditional Arabic" w:hAnsi="Traditional Arabic" w:hint="cs"/>
          <w:b/>
          <w:bCs/>
          <w:sz w:val="32"/>
          <w:rtl/>
        </w:rPr>
        <w:t>برامج حماية المدافعين عن حقوق الانسان ومعززيها في كولومبيا</w:t>
      </w:r>
    </w:p>
    <w:p w:rsidR="00971AE2" w:rsidRDefault="00971AE2" w:rsidP="00A343DF">
      <w:pPr>
        <w:pStyle w:val="SingleTxt"/>
        <w:rPr>
          <w:rFonts w:ascii="Traditional Arabic" w:hAnsi="Traditional Arabic" w:hint="cs"/>
          <w:sz w:val="32"/>
          <w:rtl/>
        </w:rPr>
      </w:pPr>
      <w:r>
        <w:rPr>
          <w:rFonts w:ascii="Traditional Arabic" w:hAnsi="Traditional Arabic" w:hint="cs"/>
          <w:sz w:val="32"/>
          <w:rtl/>
        </w:rPr>
        <w:t>القانون رقم 418 لسنة 1997 الممدد والمعدل بالقانون رقم 782 لسنة 2002 يشير إلى بعض البارامترات التي ينبغي أن تطبقها الحكومة الوطنية لدى تنفيذ برامج حماية الأشخاص الذين على وشك التعرض لخطر يهدد حياتهم وسلامتهم وأمنهم وحريتهم لأسباب تتعلق بالعنف السياسي أو الأيديولوجي أو بالنزاع الداخلي المسلح</w:t>
      </w:r>
      <w:r w:rsidR="003D7EB4">
        <w:rPr>
          <w:rFonts w:ascii="Traditional Arabic" w:hAnsi="Traditional Arabic" w:hint="cs"/>
          <w:sz w:val="32"/>
          <w:rtl/>
        </w:rPr>
        <w:t>،</w:t>
      </w:r>
    </w:p>
    <w:p w:rsidR="00971AE2" w:rsidRDefault="00104012" w:rsidP="00A343DF">
      <w:pPr>
        <w:pStyle w:val="SingleTxt"/>
        <w:rPr>
          <w:rFonts w:ascii="Traditional Arabic" w:hAnsi="Traditional Arabic" w:hint="cs"/>
          <w:sz w:val="32"/>
          <w:rtl/>
        </w:rPr>
      </w:pPr>
      <w:r>
        <w:rPr>
          <w:rFonts w:ascii="Traditional Arabic" w:hAnsi="Traditional Arabic" w:hint="cs"/>
          <w:sz w:val="32"/>
          <w:rtl/>
        </w:rPr>
        <w:tab/>
      </w:r>
      <w:r w:rsidR="00971AE2">
        <w:rPr>
          <w:rFonts w:ascii="Traditional Arabic" w:hAnsi="Traditional Arabic" w:hint="cs"/>
          <w:sz w:val="32"/>
          <w:rtl/>
        </w:rPr>
        <w:t>يسند المرسوم رقم 200 لسنة 2003 إلى الإدارة العامة المعنية بحقوق الإنسان التابعة لوزارة الداخلية/العدل مهمة تصميم وتنسيق البرامج العامة لحماية حقوق الانسان ومنع انتهاكها فيما يتعلق بالأشخاص الذين يتعرضون للخطر، وذلك بالتعاون مع البرنامج الرئاسي لتعزيز واحترام وضمان حقوق الانسان</w:t>
      </w:r>
      <w:r w:rsidR="00971AE2">
        <w:rPr>
          <w:rFonts w:ascii="Traditional Arabic" w:hAnsi="Traditional Arabic" w:hint="cs"/>
          <w:sz w:val="32"/>
          <w:vertAlign w:val="superscript"/>
          <w:rtl/>
        </w:rPr>
        <w:t>253</w:t>
      </w:r>
      <w:r w:rsidR="003D7EB4">
        <w:rPr>
          <w:rFonts w:ascii="Traditional Arabic" w:hAnsi="Traditional Arabic" w:hint="cs"/>
          <w:sz w:val="32"/>
          <w:rtl/>
        </w:rPr>
        <w:t>،</w:t>
      </w:r>
      <w:r w:rsidR="00971AE2">
        <w:rPr>
          <w:rFonts w:ascii="Traditional Arabic" w:hAnsi="Traditional Arabic" w:hint="cs"/>
          <w:sz w:val="32"/>
          <w:rtl/>
        </w:rPr>
        <w:t xml:space="preserve"> وأنشئت بموجب المراسيم رقم 1592 لسنة 2000 ورقم 1386 و2742 لسنة 2002 برامج حماية للصحفيين والعاملين في مجال الاتصال الجماهيري والعمد والنواب وأعضاء المجالس والشخصيات البارزة المعنيين بإدارة حقوق الانسان</w:t>
      </w:r>
      <w:r w:rsidR="00971AE2">
        <w:rPr>
          <w:rFonts w:ascii="Traditional Arabic" w:hAnsi="Traditional Arabic" w:hint="cs"/>
          <w:sz w:val="32"/>
          <w:vertAlign w:val="superscript"/>
          <w:rtl/>
        </w:rPr>
        <w:t>254</w:t>
      </w:r>
      <w:r w:rsidR="003D7EB4">
        <w:rPr>
          <w:rFonts w:ascii="Traditional Arabic" w:hAnsi="Traditional Arabic" w:hint="cs"/>
          <w:sz w:val="32"/>
          <w:rtl/>
        </w:rPr>
        <w:t>،</w:t>
      </w:r>
    </w:p>
    <w:p w:rsidR="00971AE2" w:rsidRDefault="00104012" w:rsidP="00A343DF">
      <w:pPr>
        <w:pStyle w:val="SingleTxt"/>
        <w:rPr>
          <w:rFonts w:ascii="Traditional Arabic" w:hAnsi="Traditional Arabic" w:hint="cs"/>
          <w:sz w:val="32"/>
          <w:rtl/>
        </w:rPr>
      </w:pPr>
      <w:r>
        <w:rPr>
          <w:rFonts w:ascii="Traditional Arabic" w:hAnsi="Traditional Arabic" w:hint="cs"/>
          <w:sz w:val="32"/>
          <w:rtl/>
        </w:rPr>
        <w:tab/>
      </w:r>
      <w:r w:rsidR="00971AE2">
        <w:rPr>
          <w:rFonts w:ascii="Traditional Arabic" w:hAnsi="Traditional Arabic" w:hint="cs"/>
          <w:sz w:val="32"/>
          <w:rtl/>
        </w:rPr>
        <w:t>وينص من أجل برامج الحماية على إنشاء لجان معنية بتقدير الأخطار ووضع لوائح بشأنها لتقدير مستويات الخطر ودرجة التهديد التي يتعرض لها الأشخاص الذين ينبغي حمايتهم، والإيصاء بتدابير الحماية المناسبة</w:t>
      </w:r>
      <w:r w:rsidR="003D7EB4">
        <w:rPr>
          <w:rFonts w:ascii="Traditional Arabic" w:hAnsi="Traditional Arabic" w:hint="cs"/>
          <w:sz w:val="32"/>
          <w:rtl/>
        </w:rPr>
        <w:t>،</w:t>
      </w:r>
    </w:p>
    <w:p w:rsidR="00971AE2" w:rsidRDefault="00104012" w:rsidP="00104012">
      <w:pPr>
        <w:pStyle w:val="SingleTxt"/>
        <w:rPr>
          <w:rFonts w:hint="cs"/>
          <w:rtl/>
          <w:lang w:bidi="ar-EG"/>
        </w:rPr>
      </w:pPr>
      <w:r>
        <w:rPr>
          <w:rFonts w:ascii="Traditional Arabic" w:hAnsi="Traditional Arabic" w:hint="cs"/>
          <w:sz w:val="32"/>
          <w:rtl/>
        </w:rPr>
        <w:tab/>
      </w:r>
      <w:r w:rsidR="00971AE2">
        <w:rPr>
          <w:rFonts w:hint="cs"/>
          <w:rtl/>
          <w:lang w:bidi="ar-EG"/>
        </w:rPr>
        <w:t>وحدت بموجب المرسوم رقم 2788 لسنة 2003 اللجان المختلفة التي ترأس لجنة قواعد تقدير الأخطار التابعة للإدارة المعنية بحقوق الإنسان و</w:t>
      </w:r>
      <w:r w:rsidR="009711D2">
        <w:rPr>
          <w:rFonts w:hint="cs"/>
          <w:rtl/>
          <w:lang w:bidi="ar-EG"/>
        </w:rPr>
        <w:t>التي تتمثل مهامها الرئيسية فيما</w:t>
      </w:r>
      <w:r w:rsidR="009711D2">
        <w:rPr>
          <w:rFonts w:hint="eastAsia"/>
          <w:rtl/>
          <w:lang w:bidi="ar-EG"/>
        </w:rPr>
        <w:t> </w:t>
      </w:r>
      <w:r w:rsidR="00971AE2">
        <w:rPr>
          <w:rFonts w:hint="cs"/>
          <w:rtl/>
          <w:lang w:bidi="ar-EG"/>
        </w:rPr>
        <w:t>يلي:</w:t>
      </w:r>
    </w:p>
    <w:p w:rsidR="009711D2" w:rsidRPr="009711D2" w:rsidRDefault="009711D2" w:rsidP="009711D2">
      <w:pPr>
        <w:pStyle w:val="SingleTxt"/>
        <w:spacing w:after="0" w:line="120" w:lineRule="exact"/>
        <w:rPr>
          <w:rFonts w:hint="cs"/>
          <w:sz w:val="10"/>
          <w:rtl/>
          <w:lang w:bidi="ar-EG"/>
        </w:rPr>
      </w:pPr>
    </w:p>
    <w:p w:rsidR="00971AE2" w:rsidRDefault="00971AE2" w:rsidP="00A343DF">
      <w:pPr>
        <w:pStyle w:val="SingleTxt"/>
        <w:rPr>
          <w:rFonts w:hint="cs"/>
          <w:rtl/>
          <w:lang w:bidi="ar-EG"/>
        </w:rPr>
      </w:pPr>
      <w:r>
        <w:rPr>
          <w:rFonts w:hint="cs"/>
          <w:rtl/>
          <w:lang w:bidi="ar-EG"/>
        </w:rPr>
        <w:t>-</w:t>
      </w:r>
      <w:r>
        <w:rPr>
          <w:rFonts w:hint="cs"/>
          <w:rtl/>
          <w:lang w:bidi="ar-EG"/>
        </w:rPr>
        <w:tab/>
        <w:t>تقييم الحالات التي تقدمها إليها الإدارة المعنية بحقوق الإنسان، وبصفة استثنائية أي عضو من أعضاء اللجنة</w:t>
      </w:r>
      <w:r w:rsidR="003D7EB4">
        <w:rPr>
          <w:rFonts w:hint="cs"/>
          <w:rtl/>
          <w:lang w:bidi="ar-EG"/>
        </w:rPr>
        <w:t>،</w:t>
      </w:r>
    </w:p>
    <w:p w:rsidR="00971AE2" w:rsidRDefault="00971AE2" w:rsidP="00A343DF">
      <w:pPr>
        <w:pStyle w:val="SingleTxt"/>
        <w:rPr>
          <w:rFonts w:hint="cs"/>
          <w:rtl/>
          <w:lang w:bidi="ar-EG"/>
        </w:rPr>
      </w:pPr>
      <w:r>
        <w:rPr>
          <w:rFonts w:hint="cs"/>
          <w:rtl/>
          <w:lang w:bidi="ar-EG"/>
        </w:rPr>
        <w:t>-</w:t>
      </w:r>
      <w:r>
        <w:rPr>
          <w:rFonts w:hint="cs"/>
          <w:rtl/>
          <w:lang w:bidi="ar-EG"/>
        </w:rPr>
        <w:tab/>
        <w:t>النظر في التقديرات الفنية لمستويات الخطر ودرجة التهديد والدراسات الفنية المتعلقة بالأمن المادي في المؤسسات، وفقاً للوضع الخاص لكل حالة</w:t>
      </w:r>
      <w:r w:rsidR="003D7EB4">
        <w:rPr>
          <w:rFonts w:hint="cs"/>
          <w:rtl/>
          <w:lang w:bidi="ar-EG"/>
        </w:rPr>
        <w:t>،</w:t>
      </w:r>
    </w:p>
    <w:p w:rsidR="00971AE2" w:rsidRDefault="00971AE2" w:rsidP="00A343DF">
      <w:pPr>
        <w:pStyle w:val="SingleTxt"/>
        <w:rPr>
          <w:rFonts w:hint="cs"/>
          <w:rtl/>
          <w:lang w:bidi="ar-EG"/>
        </w:rPr>
      </w:pPr>
      <w:r>
        <w:rPr>
          <w:rFonts w:hint="cs"/>
          <w:rtl/>
          <w:lang w:bidi="ar-EG"/>
        </w:rPr>
        <w:t>-</w:t>
      </w:r>
      <w:r>
        <w:rPr>
          <w:rFonts w:hint="cs"/>
          <w:rtl/>
          <w:lang w:bidi="ar-EG"/>
        </w:rPr>
        <w:tab/>
        <w:t>الإيصاء بالتدابير الحمائية التي تراها مناسبة</w:t>
      </w:r>
      <w:r w:rsidR="003D7EB4">
        <w:rPr>
          <w:rFonts w:hint="cs"/>
          <w:rtl/>
          <w:lang w:bidi="ar-EG"/>
        </w:rPr>
        <w:t>،</w:t>
      </w:r>
    </w:p>
    <w:p w:rsidR="00971AE2" w:rsidRDefault="00971AE2" w:rsidP="00A343DF">
      <w:pPr>
        <w:pStyle w:val="SingleTxt"/>
        <w:rPr>
          <w:rFonts w:hint="cs"/>
          <w:rtl/>
          <w:lang w:bidi="ar-EG"/>
        </w:rPr>
      </w:pPr>
      <w:r>
        <w:rPr>
          <w:rFonts w:hint="cs"/>
          <w:rtl/>
          <w:lang w:bidi="ar-EG"/>
        </w:rPr>
        <w:t>-</w:t>
      </w:r>
      <w:r>
        <w:rPr>
          <w:rFonts w:hint="cs"/>
          <w:rtl/>
          <w:lang w:bidi="ar-EG"/>
        </w:rPr>
        <w:tab/>
        <w:t>القيام بمتابعة دورية لتنفيذ التدابير الحمائية والإيصاء، على أساس تلك المتابعة، بالتعديلات اللازمة</w:t>
      </w:r>
      <w:r w:rsidR="003D7EB4">
        <w:rPr>
          <w:rFonts w:hint="cs"/>
          <w:rtl/>
          <w:lang w:bidi="ar-EG"/>
        </w:rPr>
        <w:t>،</w:t>
      </w:r>
    </w:p>
    <w:p w:rsidR="00971AE2" w:rsidRDefault="00104012" w:rsidP="00A343DF">
      <w:pPr>
        <w:pStyle w:val="SingleTxt"/>
        <w:rPr>
          <w:rFonts w:hint="cs"/>
          <w:rtl/>
          <w:lang w:bidi="ar-EG"/>
        </w:rPr>
      </w:pPr>
      <w:r>
        <w:rPr>
          <w:rFonts w:hint="cs"/>
          <w:rtl/>
          <w:lang w:bidi="ar-EG"/>
        </w:rPr>
        <w:tab/>
      </w:r>
      <w:r w:rsidR="00971AE2">
        <w:rPr>
          <w:rFonts w:hint="cs"/>
          <w:rtl/>
          <w:lang w:bidi="ar-EG"/>
        </w:rPr>
        <w:t>نص التوجيه رقم 9 لوزارة الدفاع الصادر في 8 تموز/يوليه 2003 على سياسات وزارة الدفاع في مجال حماية حقوق الإنسان للنقابيين والمدافعين عن حقوق الإنسان</w:t>
      </w:r>
      <w:r w:rsidR="003D7EB4">
        <w:rPr>
          <w:rFonts w:hint="cs"/>
          <w:rtl/>
          <w:lang w:bidi="ar-EG"/>
        </w:rPr>
        <w:t>،</w:t>
      </w:r>
      <w:r w:rsidR="00971AE2">
        <w:rPr>
          <w:rFonts w:hint="cs"/>
          <w:rtl/>
          <w:lang w:bidi="ar-EG"/>
        </w:rPr>
        <w:t xml:space="preserve"> ووزع هذا التوجيه على جميع المستويات القيادية للقوات المسلحة والشرطة الوطنية</w:t>
      </w:r>
      <w:r w:rsidR="003D7EB4">
        <w:rPr>
          <w:rFonts w:hint="cs"/>
          <w:rtl/>
          <w:lang w:bidi="ar-EG"/>
        </w:rPr>
        <w:t>،</w:t>
      </w:r>
    </w:p>
    <w:p w:rsidR="00971AE2" w:rsidRDefault="009711D2" w:rsidP="002E71C8">
      <w:pPr>
        <w:pStyle w:val="SingleTxt"/>
        <w:rPr>
          <w:rFonts w:hint="cs"/>
          <w:rtl/>
          <w:lang w:bidi="ar-EG"/>
        </w:rPr>
      </w:pPr>
      <w:r>
        <w:rPr>
          <w:rFonts w:hint="cs"/>
          <w:b/>
          <w:bCs/>
          <w:rtl/>
          <w:lang w:bidi="ar-EG"/>
        </w:rPr>
        <w:tab/>
      </w:r>
      <w:r w:rsidR="00971AE2">
        <w:rPr>
          <w:rFonts w:hint="cs"/>
          <w:b/>
          <w:bCs/>
          <w:rtl/>
          <w:lang w:bidi="ar-EG"/>
        </w:rPr>
        <w:t>وتعتبر حالة المنظمة النسائية الشعبية</w:t>
      </w:r>
      <w:r w:rsidR="002E71C8" w:rsidRPr="002E71C8">
        <w:rPr>
          <w:rFonts w:hint="cs"/>
          <w:b/>
          <w:bCs/>
          <w:vertAlign w:val="superscript"/>
          <w:rtl/>
          <w:lang w:bidi="ar-EG"/>
        </w:rPr>
        <w:t>255</w:t>
      </w:r>
      <w:r w:rsidR="00971AE2">
        <w:rPr>
          <w:rFonts w:hint="cs"/>
          <w:b/>
          <w:bCs/>
          <w:rtl/>
          <w:lang w:bidi="ar-EG"/>
        </w:rPr>
        <w:t xml:space="preserve"> ذات صلة لأنها تأثرت مباشرة بتهديدات ومضايقات من جانب مجموعات مسلحة خارجة عن القانون</w:t>
      </w:r>
      <w:r w:rsidR="003D7EB4">
        <w:rPr>
          <w:rFonts w:hint="cs"/>
          <w:b/>
          <w:bCs/>
          <w:rtl/>
          <w:lang w:bidi="ar-EG"/>
        </w:rPr>
        <w:t>،</w:t>
      </w:r>
    </w:p>
    <w:p w:rsidR="00971AE2" w:rsidRDefault="00104012" w:rsidP="002E71C8">
      <w:pPr>
        <w:pStyle w:val="SingleTxt"/>
        <w:rPr>
          <w:rFonts w:hint="cs"/>
          <w:rtl/>
          <w:lang w:bidi="ar-EG"/>
        </w:rPr>
      </w:pPr>
      <w:r>
        <w:rPr>
          <w:rFonts w:hint="cs"/>
          <w:rtl/>
          <w:lang w:bidi="ar-EG"/>
        </w:rPr>
        <w:tab/>
      </w:r>
      <w:r w:rsidR="00971AE2">
        <w:rPr>
          <w:rFonts w:hint="cs"/>
          <w:rtl/>
          <w:lang w:bidi="ar-EG"/>
        </w:rPr>
        <w:t>وفي 26 أيار/مايو 2003، قررت لجنة البلدان الأمريكية لحقوق الإنسان تدابير احتياطية لصالح 16 عضواً من أعضاء هذه المنظمة، من بينهم المنسقة الوطنية</w:t>
      </w:r>
      <w:r w:rsidR="003D7EB4">
        <w:rPr>
          <w:rFonts w:hint="cs"/>
          <w:rtl/>
          <w:lang w:bidi="ar-EG"/>
        </w:rPr>
        <w:t>،</w:t>
      </w:r>
      <w:r w:rsidR="00971AE2">
        <w:rPr>
          <w:rFonts w:hint="cs"/>
          <w:rtl/>
          <w:lang w:bidi="ar-EG"/>
        </w:rPr>
        <w:t xml:space="preserve"> وقبل أن تقرر اللجنة هذه التدابير الاحتياطية كان الدولة الكولومبية قد عرضت فعلاً الحماية على عضوات المنظمة النسائية الشعبية وزادت فيما بعد من التدابير الأمنية</w:t>
      </w:r>
      <w:r w:rsidR="002E71C8" w:rsidRPr="002E71C8">
        <w:rPr>
          <w:rFonts w:hint="cs"/>
          <w:vertAlign w:val="superscript"/>
          <w:rtl/>
          <w:lang w:bidi="ar-EG"/>
        </w:rPr>
        <w:t>256</w:t>
      </w:r>
      <w:r w:rsidR="003D7EB4">
        <w:rPr>
          <w:rFonts w:hint="cs"/>
          <w:rtl/>
          <w:lang w:bidi="ar-EG"/>
        </w:rPr>
        <w:t>،</w:t>
      </w:r>
    </w:p>
    <w:p w:rsidR="00971AE2" w:rsidRDefault="00104012" w:rsidP="00A343DF">
      <w:pPr>
        <w:pStyle w:val="SingleTxt"/>
        <w:rPr>
          <w:rFonts w:hint="cs"/>
          <w:rtl/>
          <w:lang w:bidi="ar-EG"/>
        </w:rPr>
      </w:pPr>
      <w:r>
        <w:rPr>
          <w:rFonts w:hint="cs"/>
          <w:rtl/>
          <w:lang w:bidi="ar-EG"/>
        </w:rPr>
        <w:tab/>
      </w:r>
      <w:r w:rsidR="00971AE2">
        <w:rPr>
          <w:rFonts w:hint="cs"/>
          <w:rtl/>
          <w:lang w:bidi="ar-EG"/>
        </w:rPr>
        <w:t>ومن جهة أخرى، اتخذت الحكومة الوطنية تدابير سياسية وأعربت عن تأييدها للعمل الذي تقوم به هذه المنظمة وحضرت المناسبات التي تنظمها واعترفت بشرعية العمل الذي تقوم به لصالح الأشخاص المتضررين من العنف</w:t>
      </w:r>
      <w:r w:rsidR="003D7EB4">
        <w:rPr>
          <w:rFonts w:hint="cs"/>
          <w:rtl/>
          <w:lang w:bidi="ar-EG"/>
        </w:rPr>
        <w:t>،</w:t>
      </w:r>
    </w:p>
    <w:p w:rsidR="00971AE2" w:rsidRDefault="00104012" w:rsidP="00A343DF">
      <w:pPr>
        <w:pStyle w:val="SingleTxt"/>
        <w:rPr>
          <w:rFonts w:hint="cs"/>
          <w:rtl/>
          <w:lang w:bidi="ar-EG"/>
        </w:rPr>
      </w:pPr>
      <w:r>
        <w:rPr>
          <w:rFonts w:hint="cs"/>
          <w:rtl/>
          <w:lang w:bidi="ar-EG"/>
        </w:rPr>
        <w:tab/>
      </w:r>
      <w:r w:rsidR="00971AE2">
        <w:rPr>
          <w:rFonts w:hint="cs"/>
          <w:rtl/>
          <w:lang w:bidi="ar-EG"/>
        </w:rPr>
        <w:t>ومن جهة أخرى، قررت لجنة البلدان الأمريكية لحقوق الإنسان تدابير احتياطية لصالح الجمعية الوطنية للنساء الريفيات ونساء السكان الأصليين في كولومبيا في 2 آذار/مارس 2001</w:t>
      </w:r>
      <w:r w:rsidR="003D7EB4">
        <w:rPr>
          <w:rFonts w:hint="cs"/>
          <w:rtl/>
          <w:lang w:bidi="ar-EG"/>
        </w:rPr>
        <w:t>،</w:t>
      </w:r>
      <w:r w:rsidR="00971AE2">
        <w:rPr>
          <w:rFonts w:hint="cs"/>
          <w:rtl/>
          <w:lang w:bidi="ar-EG"/>
        </w:rPr>
        <w:t xml:space="preserve"> وتنفيذاً للتدابير الاحتياطية، عقدت الحكومة الوطنية اجتماعات لمتابعة هذه التدابير، دعت إلى عقدها وزارة الخارجية وقُدمت عن طريق الشرطة الوطنية مساعدات إنسانية ومعدات اتصال ودعم تمويني ودراسة فنية لمستوى الخطر ودرجة التهديد</w:t>
      </w:r>
      <w:r w:rsidR="003D7EB4">
        <w:rPr>
          <w:rFonts w:hint="cs"/>
          <w:rtl/>
          <w:lang w:bidi="ar-EG"/>
        </w:rPr>
        <w:t>،</w:t>
      </w:r>
      <w:r w:rsidR="00971AE2">
        <w:rPr>
          <w:rFonts w:hint="cs"/>
          <w:rtl/>
          <w:lang w:bidi="ar-EG"/>
        </w:rPr>
        <w:t xml:space="preserve"> وقام نائب وزير الزراعة والبرنامج الرئاسي لحقوق الإنسان</w:t>
      </w:r>
    </w:p>
    <w:p w:rsidR="00971AE2" w:rsidRDefault="00104012" w:rsidP="00A343DF">
      <w:pPr>
        <w:pStyle w:val="SingleTxt"/>
        <w:rPr>
          <w:rFonts w:hint="cs"/>
          <w:rtl/>
          <w:lang w:bidi="ar-EG"/>
        </w:rPr>
      </w:pPr>
      <w:r>
        <w:rPr>
          <w:rFonts w:hint="cs"/>
          <w:rtl/>
          <w:lang w:bidi="ar-EG"/>
        </w:rPr>
        <w:tab/>
      </w:r>
      <w:r w:rsidR="00971AE2">
        <w:rPr>
          <w:rFonts w:hint="cs"/>
          <w:rtl/>
          <w:lang w:bidi="ar-EG"/>
        </w:rPr>
        <w:t>والقانون الإنساني الدولي بمساعي لدى المؤسسة الكولومبية للتنمية الريفية، بهدف تجديد عقد الإيجار المتعلق بالمبنى الذي تعمل فيه</w:t>
      </w:r>
      <w:r w:rsidR="003D7EB4">
        <w:rPr>
          <w:rFonts w:hint="cs"/>
          <w:rtl/>
          <w:lang w:bidi="ar-EG"/>
        </w:rPr>
        <w:t>،</w:t>
      </w:r>
      <w:r w:rsidR="00971AE2">
        <w:rPr>
          <w:rFonts w:hint="cs"/>
          <w:rtl/>
          <w:lang w:bidi="ar-EG"/>
        </w:rPr>
        <w:t xml:space="preserve"> وبنفس الطريقة، أجريت في مكتب المدعي العام تحقيقات قضائية بشأن هذه الوقائع</w:t>
      </w:r>
      <w:r w:rsidR="003D7EB4">
        <w:rPr>
          <w:rFonts w:hint="cs"/>
          <w:rtl/>
          <w:lang w:bidi="ar-EG"/>
        </w:rPr>
        <w:t>،</w:t>
      </w:r>
    </w:p>
    <w:p w:rsidR="00104012" w:rsidRPr="00104012" w:rsidRDefault="00104012" w:rsidP="00104012">
      <w:pPr>
        <w:pStyle w:val="SingleTxt"/>
        <w:spacing w:after="0" w:line="120" w:lineRule="exact"/>
        <w:rPr>
          <w:rFonts w:hint="cs"/>
          <w:sz w:val="10"/>
          <w:rtl/>
          <w:lang w:bidi="ar-EG"/>
        </w:rPr>
      </w:pPr>
    </w:p>
    <w:p w:rsidR="00971AE2" w:rsidRDefault="00971AE2" w:rsidP="00A343DF">
      <w:pPr>
        <w:pStyle w:val="SingleTxt"/>
        <w:rPr>
          <w:rFonts w:hint="cs"/>
          <w:b/>
          <w:bCs/>
          <w:rtl/>
          <w:lang w:bidi="ar-EG"/>
        </w:rPr>
      </w:pPr>
      <w:r>
        <w:rPr>
          <w:rFonts w:hint="cs"/>
          <w:b/>
          <w:bCs/>
          <w:rtl/>
          <w:lang w:bidi="ar-EG"/>
        </w:rPr>
        <w:t>3-6</w:t>
      </w:r>
      <w:r>
        <w:rPr>
          <w:rFonts w:hint="cs"/>
          <w:b/>
          <w:bCs/>
          <w:rtl/>
          <w:lang w:bidi="ar-EG"/>
        </w:rPr>
        <w:tab/>
        <w:t>التوصية الخاصة رقم 11</w:t>
      </w:r>
    </w:p>
    <w:p w:rsidR="00971AE2" w:rsidRDefault="00971AE2" w:rsidP="00A343DF">
      <w:pPr>
        <w:pStyle w:val="SingleTxt"/>
        <w:rPr>
          <w:rFonts w:hint="cs"/>
          <w:b/>
          <w:bCs/>
          <w:rtl/>
          <w:lang w:bidi="ar-EG"/>
        </w:rPr>
      </w:pPr>
      <w:r>
        <w:rPr>
          <w:rFonts w:hint="cs"/>
          <w:b/>
          <w:bCs/>
          <w:rtl/>
          <w:lang w:bidi="ar-EG"/>
        </w:rPr>
        <w:t>خطط وبرامج لأطفال الشوارع</w:t>
      </w:r>
    </w:p>
    <w:p w:rsidR="00971AE2" w:rsidRDefault="009711D2" w:rsidP="00A343DF">
      <w:pPr>
        <w:pStyle w:val="SingleTxt"/>
        <w:rPr>
          <w:rFonts w:hint="cs"/>
          <w:b/>
          <w:bCs/>
          <w:rtl/>
          <w:lang w:bidi="ar-EG"/>
        </w:rPr>
      </w:pPr>
      <w:r>
        <w:rPr>
          <w:rFonts w:hint="cs"/>
          <w:b/>
          <w:bCs/>
          <w:rtl/>
          <w:lang w:bidi="ar-EG"/>
        </w:rPr>
        <w:tab/>
      </w:r>
      <w:r w:rsidR="00971AE2">
        <w:rPr>
          <w:rFonts w:hint="cs"/>
          <w:b/>
          <w:bCs/>
          <w:rtl/>
          <w:lang w:bidi="ar-EG"/>
        </w:rPr>
        <w:t>تنقسم هذه المشكلة إلى ثلاثة أجزاء وفقاً للسن والهيئة المسؤولة</w:t>
      </w:r>
      <w:r w:rsidR="003D7EB4">
        <w:rPr>
          <w:rFonts w:hint="cs"/>
          <w:b/>
          <w:bCs/>
          <w:rtl/>
          <w:lang w:bidi="ar-EG"/>
        </w:rPr>
        <w:t>،</w:t>
      </w:r>
      <w:r w:rsidR="00971AE2">
        <w:rPr>
          <w:rFonts w:hint="cs"/>
          <w:b/>
          <w:bCs/>
          <w:rtl/>
          <w:lang w:bidi="ar-EG"/>
        </w:rPr>
        <w:t xml:space="preserve"> وتقوم المؤسسة الكولومبية للرعاية الأسرية بصورة رئيسية برعاية القصّر الذين لم يبلغوا السابعة من العمر، وترعاهم مؤسسة الحي لحماية الطفولة والشباب ابتداء من سن التاسعة إلى سن الثانية والعشرين</w:t>
      </w:r>
      <w:r w:rsidR="003D7EB4">
        <w:rPr>
          <w:rFonts w:hint="cs"/>
          <w:b/>
          <w:bCs/>
          <w:rtl/>
          <w:lang w:bidi="ar-EG"/>
        </w:rPr>
        <w:t>،</w:t>
      </w:r>
      <w:r w:rsidR="00971AE2">
        <w:rPr>
          <w:rFonts w:hint="cs"/>
          <w:b/>
          <w:bCs/>
          <w:rtl/>
          <w:lang w:bidi="ar-EG"/>
        </w:rPr>
        <w:t xml:space="preserve"> ومن أجل رعاية هؤلاء القصّر تعاقدت المؤسسة الكولومبية للرعاية الأسرية مع 11 مؤسسة تقوم سنوياً برعاية عدد يتراوح بين 500 4 و000 5 طفل</w:t>
      </w:r>
      <w:r w:rsidR="003D7EB4">
        <w:rPr>
          <w:rFonts w:hint="cs"/>
          <w:b/>
          <w:bCs/>
          <w:rtl/>
          <w:lang w:bidi="ar-EG"/>
        </w:rPr>
        <w:t>،</w:t>
      </w:r>
    </w:p>
    <w:p w:rsidR="00971AE2" w:rsidRDefault="00104012" w:rsidP="00A343DF">
      <w:pPr>
        <w:pStyle w:val="SingleTxt"/>
        <w:rPr>
          <w:rFonts w:hint="cs"/>
          <w:rtl/>
          <w:lang w:bidi="ar-EG"/>
        </w:rPr>
      </w:pPr>
      <w:r>
        <w:rPr>
          <w:rFonts w:hint="cs"/>
          <w:rtl/>
          <w:lang w:bidi="ar-EG"/>
        </w:rPr>
        <w:tab/>
      </w:r>
      <w:r w:rsidR="00971AE2">
        <w:rPr>
          <w:rFonts w:hint="cs"/>
          <w:rtl/>
          <w:lang w:bidi="ar-EG"/>
        </w:rPr>
        <w:t>ويقوم نموذج الرعاية على إعادة إدماج الأطفال في المجتمع وهو ينقسم إلى 6 مراحل هي: الشارع والرعاية في النادي وتعزيز الالتزام والرعاية الشخصية والإدماج في المجتمع وتنمية المهارات الاجتماعية</w:t>
      </w:r>
      <w:r w:rsidR="003D7EB4">
        <w:rPr>
          <w:rFonts w:hint="cs"/>
          <w:rtl/>
          <w:lang w:bidi="ar-EG"/>
        </w:rPr>
        <w:t>،</w:t>
      </w:r>
    </w:p>
    <w:p w:rsidR="00971AE2" w:rsidRDefault="00104012" w:rsidP="00A343DF">
      <w:pPr>
        <w:pStyle w:val="SingleTxt"/>
        <w:rPr>
          <w:rFonts w:hint="cs"/>
          <w:rtl/>
          <w:lang w:bidi="ar-EG"/>
        </w:rPr>
      </w:pPr>
      <w:r>
        <w:rPr>
          <w:rFonts w:hint="cs"/>
          <w:rtl/>
          <w:lang w:bidi="ar-EG"/>
        </w:rPr>
        <w:tab/>
      </w:r>
      <w:r w:rsidR="00971AE2">
        <w:rPr>
          <w:rFonts w:hint="cs"/>
          <w:rtl/>
          <w:lang w:bidi="ar-EG"/>
        </w:rPr>
        <w:t>وعلى الرغم من أن هذه المشكلة ذات طبيعة معقدة، وهذا يرجع إلى الأسباب المتعددة التي تنطوي عليها ومظاهرها المختلفة في شتى مناطق البلد، اتخذت الدولة الكولومبية تدابر ترمي إلى استقصاء هذه الظواهر والتدخل فيها</w:t>
      </w:r>
      <w:r w:rsidR="003D7EB4">
        <w:rPr>
          <w:rFonts w:hint="cs"/>
          <w:rtl/>
          <w:lang w:bidi="ar-EG"/>
        </w:rPr>
        <w:t>،</w:t>
      </w:r>
    </w:p>
    <w:p w:rsidR="00971AE2" w:rsidRDefault="00104012" w:rsidP="002E71C8">
      <w:pPr>
        <w:pStyle w:val="SingleTxt"/>
        <w:rPr>
          <w:rFonts w:hint="cs"/>
          <w:rtl/>
          <w:lang w:bidi="ar-EG"/>
        </w:rPr>
      </w:pPr>
      <w:r>
        <w:rPr>
          <w:rFonts w:hint="cs"/>
          <w:rtl/>
          <w:lang w:bidi="ar-EG"/>
        </w:rPr>
        <w:tab/>
      </w:r>
      <w:r w:rsidR="00971AE2">
        <w:rPr>
          <w:rFonts w:hint="cs"/>
          <w:rtl/>
          <w:lang w:bidi="ar-EG"/>
        </w:rPr>
        <w:t>ولا يوجد في الوقت الحاضر تعداد وطني لهذه الفئة السكانية بسبب التعقد الذي تتسم به</w:t>
      </w:r>
      <w:r w:rsidR="003D7EB4">
        <w:rPr>
          <w:rFonts w:hint="cs"/>
          <w:rtl/>
          <w:lang w:bidi="ar-EG"/>
        </w:rPr>
        <w:t>،</w:t>
      </w:r>
      <w:r w:rsidR="00971AE2">
        <w:rPr>
          <w:rFonts w:hint="cs"/>
          <w:rtl/>
          <w:lang w:bidi="ar-EG"/>
        </w:rPr>
        <w:t xml:space="preserve"> وتختلف الأرقام باختلاف المصدر، ويُعتقد أن الأرقام المسجلة أقل كثيراً من الأرقام الحقيقية</w:t>
      </w:r>
      <w:r w:rsidR="003D7EB4">
        <w:rPr>
          <w:rFonts w:hint="cs"/>
          <w:rtl/>
          <w:lang w:bidi="ar-EG"/>
        </w:rPr>
        <w:t>،</w:t>
      </w:r>
      <w:r w:rsidR="00971AE2">
        <w:rPr>
          <w:rFonts w:hint="cs"/>
          <w:rtl/>
          <w:lang w:bidi="ar-EG"/>
        </w:rPr>
        <w:t xml:space="preserve"> ومع ذلك فإن هذا الرقم قد يتراوح حسب بعض تقديرات المؤسسة الكولومبية للرعاية الأسرية بين 000 15 و000 30 طفل ومراهق يسكنون الشوارع ويعيشون فيها</w:t>
      </w:r>
      <w:r w:rsidR="003D7EB4">
        <w:rPr>
          <w:rFonts w:hint="cs"/>
          <w:rtl/>
          <w:lang w:bidi="ar-EG"/>
        </w:rPr>
        <w:t>،</w:t>
      </w:r>
      <w:r w:rsidR="00971AE2">
        <w:rPr>
          <w:rFonts w:hint="cs"/>
          <w:rtl/>
          <w:lang w:bidi="ar-EG"/>
        </w:rPr>
        <w:t xml:space="preserve"> ويعيش 37 في المائة من مجموع عدد أطفال الشوارع في بوغوتا</w:t>
      </w:r>
      <w:r w:rsidR="002E71C8" w:rsidRPr="002E71C8">
        <w:rPr>
          <w:rFonts w:hint="cs"/>
          <w:vertAlign w:val="superscript"/>
          <w:rtl/>
          <w:lang w:bidi="ar-EG"/>
        </w:rPr>
        <w:t>257</w:t>
      </w:r>
      <w:r w:rsidR="003D7EB4">
        <w:rPr>
          <w:rFonts w:hint="cs"/>
          <w:rtl/>
          <w:lang w:bidi="ar-EG"/>
        </w:rPr>
        <w:t>،</w:t>
      </w:r>
      <w:r w:rsidR="00971AE2">
        <w:rPr>
          <w:rFonts w:hint="cs"/>
          <w:rtl/>
          <w:lang w:bidi="ar-EG"/>
        </w:rPr>
        <w:t xml:space="preserve"> و58 في المائة منهم ذكور و15 في المائة إناث</w:t>
      </w:r>
      <w:r w:rsidR="003D7EB4">
        <w:rPr>
          <w:rFonts w:hint="cs"/>
          <w:rtl/>
          <w:lang w:bidi="ar-EG"/>
        </w:rPr>
        <w:t>،</w:t>
      </w:r>
      <w:r w:rsidR="00971AE2">
        <w:rPr>
          <w:rFonts w:hint="cs"/>
          <w:rtl/>
          <w:lang w:bidi="ar-EG"/>
        </w:rPr>
        <w:t xml:space="preserve"> و87 في المائة منهم يتعاطون المؤثرات العقلية</w:t>
      </w:r>
      <w:r w:rsidR="002E71C8" w:rsidRPr="002E71C8">
        <w:rPr>
          <w:rFonts w:hint="cs"/>
          <w:vertAlign w:val="superscript"/>
          <w:rtl/>
          <w:lang w:bidi="ar-EG"/>
        </w:rPr>
        <w:t>258</w:t>
      </w:r>
      <w:r w:rsidR="003D7EB4">
        <w:rPr>
          <w:rFonts w:hint="cs"/>
          <w:rtl/>
          <w:lang w:bidi="ar-EG"/>
        </w:rPr>
        <w:t>،</w:t>
      </w:r>
    </w:p>
    <w:p w:rsidR="00971AE2" w:rsidRDefault="009711D2" w:rsidP="002E71C8">
      <w:pPr>
        <w:pStyle w:val="SingleTxt"/>
        <w:rPr>
          <w:rFonts w:hint="cs"/>
          <w:b/>
          <w:bCs/>
          <w:rtl/>
          <w:lang w:bidi="ar-EG"/>
        </w:rPr>
      </w:pPr>
      <w:r>
        <w:rPr>
          <w:rFonts w:hint="cs"/>
          <w:b/>
          <w:bCs/>
          <w:rtl/>
          <w:lang w:bidi="ar-EG"/>
        </w:rPr>
        <w:tab/>
      </w:r>
      <w:r w:rsidR="00971AE2">
        <w:rPr>
          <w:rFonts w:hint="cs"/>
          <w:b/>
          <w:bCs/>
          <w:rtl/>
          <w:lang w:bidi="ar-EG"/>
        </w:rPr>
        <w:t>وجاء في الدراسة الاستقصائية الإحصائية في بوغوتا</w:t>
      </w:r>
      <w:r w:rsidR="002E71C8" w:rsidRPr="002E71C8">
        <w:rPr>
          <w:rFonts w:hint="cs"/>
          <w:vertAlign w:val="superscript"/>
          <w:rtl/>
          <w:lang w:bidi="ar-EG"/>
        </w:rPr>
        <w:t>259</w:t>
      </w:r>
      <w:r w:rsidR="00971AE2">
        <w:rPr>
          <w:rFonts w:hint="cs"/>
          <w:b/>
          <w:bCs/>
          <w:rtl/>
          <w:lang w:bidi="ar-EG"/>
        </w:rPr>
        <w:t xml:space="preserve"> أنه يعيش في الشوارع 477 10 شخصاً     82</w:t>
      </w:r>
      <w:r w:rsidR="007D7CF9">
        <w:rPr>
          <w:rFonts w:hint="cs"/>
          <w:b/>
          <w:bCs/>
          <w:rtl/>
          <w:lang w:bidi="ar-EG"/>
        </w:rPr>
        <w:t>.</w:t>
      </w:r>
      <w:r w:rsidR="00971AE2">
        <w:rPr>
          <w:rFonts w:hint="cs"/>
          <w:b/>
          <w:bCs/>
          <w:rtl/>
          <w:lang w:bidi="ar-EG"/>
        </w:rPr>
        <w:t>1 في المائة منهم ذكور و17</w:t>
      </w:r>
      <w:r w:rsidR="007D7CF9">
        <w:rPr>
          <w:rFonts w:hint="cs"/>
          <w:b/>
          <w:bCs/>
          <w:rtl/>
          <w:lang w:bidi="ar-EG"/>
        </w:rPr>
        <w:t>.</w:t>
      </w:r>
      <w:r w:rsidR="00971AE2">
        <w:rPr>
          <w:rFonts w:hint="cs"/>
          <w:b/>
          <w:bCs/>
          <w:rtl/>
          <w:lang w:bidi="ar-EG"/>
        </w:rPr>
        <w:t>7 منهم إناث، وهذا نمط مماثل للنمط الذي كان موجوداً في سنة 1999</w:t>
      </w:r>
      <w:r w:rsidR="003D7EB4">
        <w:rPr>
          <w:rFonts w:hint="cs"/>
          <w:b/>
          <w:bCs/>
          <w:rtl/>
          <w:lang w:bidi="ar-EG"/>
        </w:rPr>
        <w:t>،</w:t>
      </w:r>
      <w:r w:rsidR="00971AE2">
        <w:rPr>
          <w:rFonts w:hint="cs"/>
          <w:b/>
          <w:bCs/>
          <w:rtl/>
          <w:lang w:bidi="ar-EG"/>
        </w:rPr>
        <w:t xml:space="preserve"> و26</w:t>
      </w:r>
      <w:r w:rsidR="007D7CF9">
        <w:rPr>
          <w:rFonts w:hint="cs"/>
          <w:b/>
          <w:bCs/>
          <w:rtl/>
          <w:lang w:bidi="ar-EG"/>
        </w:rPr>
        <w:t>.</w:t>
      </w:r>
      <w:r w:rsidR="00971AE2">
        <w:rPr>
          <w:rFonts w:hint="cs"/>
          <w:b/>
          <w:bCs/>
          <w:rtl/>
          <w:lang w:bidi="ar-EG"/>
        </w:rPr>
        <w:t>7 في المائة من هذا المجموع قُصّر</w:t>
      </w:r>
      <w:r w:rsidR="003D7EB4">
        <w:rPr>
          <w:rFonts w:hint="cs"/>
          <w:b/>
          <w:bCs/>
          <w:rtl/>
          <w:lang w:bidi="ar-EG"/>
        </w:rPr>
        <w:t>،</w:t>
      </w:r>
    </w:p>
    <w:p w:rsidR="004404A1" w:rsidRPr="004404A1" w:rsidRDefault="004404A1" w:rsidP="00A343DF">
      <w:pPr>
        <w:spacing w:line="120" w:lineRule="exact"/>
        <w:jc w:val="lowKashida"/>
        <w:rPr>
          <w:rFonts w:hint="cs"/>
          <w:b/>
          <w:bCs/>
          <w:sz w:val="10"/>
          <w:rtl/>
        </w:rPr>
      </w:pPr>
    </w:p>
    <w:p w:rsidR="004404A1" w:rsidRPr="004404A1" w:rsidRDefault="004404A1" w:rsidP="00A343DF">
      <w:pPr>
        <w:spacing w:line="120" w:lineRule="exact"/>
        <w:jc w:val="lowKashida"/>
        <w:rPr>
          <w:rFonts w:hint="cs"/>
          <w:b/>
          <w:bCs/>
          <w:sz w:val="10"/>
          <w:rt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867"/>
        <w:gridCol w:w="2486"/>
      </w:tblGrid>
      <w:tr w:rsidR="00971AE2">
        <w:tblPrEx>
          <w:tblCellMar>
            <w:top w:w="0" w:type="dxa"/>
            <w:bottom w:w="0" w:type="dxa"/>
          </w:tblCellMar>
        </w:tblPrEx>
        <w:trPr>
          <w:jc w:val="center"/>
        </w:trPr>
        <w:tc>
          <w:tcPr>
            <w:tcW w:w="1701" w:type="dxa"/>
          </w:tcPr>
          <w:p w:rsidR="00971AE2" w:rsidRPr="00C338F2" w:rsidRDefault="00971AE2" w:rsidP="00010B4A">
            <w:pPr>
              <w:pStyle w:val="BodyText"/>
              <w:bidi/>
              <w:spacing w:line="360" w:lineRule="exact"/>
              <w:jc w:val="both"/>
              <w:rPr>
                <w:rFonts w:cs="Traditional Arabic" w:hint="cs"/>
                <w:lang w:val="fr-CH"/>
              </w:rPr>
            </w:pPr>
            <w:r w:rsidRPr="00C338F2">
              <w:rPr>
                <w:rFonts w:cs="Traditional Arabic" w:hint="cs"/>
                <w:rtl/>
                <w:lang w:val="fr-CH"/>
              </w:rPr>
              <w:t>النسبة المئوية</w:t>
            </w:r>
          </w:p>
        </w:tc>
        <w:tc>
          <w:tcPr>
            <w:tcW w:w="1867" w:type="dxa"/>
          </w:tcPr>
          <w:p w:rsidR="00971AE2" w:rsidRPr="00C338F2" w:rsidRDefault="00971AE2" w:rsidP="00010B4A">
            <w:pPr>
              <w:pStyle w:val="BodyText"/>
              <w:bidi/>
              <w:spacing w:line="360" w:lineRule="exact"/>
              <w:jc w:val="both"/>
              <w:rPr>
                <w:rFonts w:cs="Traditional Arabic" w:hint="cs"/>
                <w:lang w:val="fr-CH"/>
              </w:rPr>
            </w:pPr>
            <w:r w:rsidRPr="00C338F2">
              <w:rPr>
                <w:rFonts w:cs="Traditional Arabic" w:hint="cs"/>
                <w:rtl/>
                <w:lang w:val="fr-CH"/>
              </w:rPr>
              <w:t>عدد السكان</w:t>
            </w:r>
          </w:p>
        </w:tc>
        <w:tc>
          <w:tcPr>
            <w:tcW w:w="2486" w:type="dxa"/>
          </w:tcPr>
          <w:p w:rsidR="00971AE2" w:rsidRPr="00C338F2" w:rsidRDefault="00971AE2" w:rsidP="00010B4A">
            <w:pPr>
              <w:pStyle w:val="BodyText"/>
              <w:bidi/>
              <w:spacing w:line="360" w:lineRule="exact"/>
              <w:jc w:val="both"/>
              <w:rPr>
                <w:rFonts w:cs="Traditional Arabic" w:hint="cs"/>
                <w:lang w:val="fr-CH"/>
              </w:rPr>
            </w:pPr>
            <w:r w:rsidRPr="00C338F2">
              <w:rPr>
                <w:rFonts w:cs="Traditional Arabic" w:hint="cs"/>
                <w:rtl/>
                <w:lang w:val="fr-CH"/>
              </w:rPr>
              <w:t>الفئات العمرية (بالسنوات)</w:t>
            </w:r>
          </w:p>
        </w:tc>
      </w:tr>
      <w:tr w:rsidR="00971AE2">
        <w:tblPrEx>
          <w:tblCellMar>
            <w:top w:w="0" w:type="dxa"/>
            <w:bottom w:w="0" w:type="dxa"/>
          </w:tblCellMar>
        </w:tblPrEx>
        <w:trPr>
          <w:jc w:val="center"/>
        </w:trPr>
        <w:tc>
          <w:tcPr>
            <w:tcW w:w="1701" w:type="dxa"/>
          </w:tcPr>
          <w:p w:rsidR="00971AE2" w:rsidRPr="00ED2411" w:rsidRDefault="009711D2" w:rsidP="00010B4A">
            <w:pPr>
              <w:pStyle w:val="BodyText"/>
              <w:bidi/>
              <w:spacing w:line="360" w:lineRule="exact"/>
              <w:jc w:val="both"/>
              <w:rPr>
                <w:rFonts w:hint="cs"/>
                <w:b/>
              </w:rPr>
            </w:pPr>
            <w:r w:rsidRPr="00ED2411">
              <w:rPr>
                <w:rFonts w:hint="cs"/>
                <w:b/>
                <w:rtl/>
              </w:rPr>
              <w:t>2.8</w:t>
            </w:r>
          </w:p>
        </w:tc>
        <w:tc>
          <w:tcPr>
            <w:tcW w:w="1867" w:type="dxa"/>
          </w:tcPr>
          <w:p w:rsidR="00971AE2" w:rsidRPr="00ED2411" w:rsidRDefault="009711D2" w:rsidP="00010B4A">
            <w:pPr>
              <w:pStyle w:val="BodyText"/>
              <w:bidi/>
              <w:spacing w:line="360" w:lineRule="exact"/>
              <w:jc w:val="both"/>
              <w:rPr>
                <w:rFonts w:hint="cs"/>
                <w:b/>
              </w:rPr>
            </w:pPr>
            <w:r w:rsidRPr="00ED2411">
              <w:rPr>
                <w:rFonts w:hint="cs"/>
                <w:b/>
                <w:rtl/>
              </w:rPr>
              <w:t>297</w:t>
            </w:r>
          </w:p>
        </w:tc>
        <w:tc>
          <w:tcPr>
            <w:tcW w:w="2486" w:type="dxa"/>
          </w:tcPr>
          <w:p w:rsidR="00971AE2" w:rsidRPr="00C338F2" w:rsidRDefault="00971AE2" w:rsidP="00010B4A">
            <w:pPr>
              <w:pStyle w:val="BodyText"/>
              <w:bidi/>
              <w:spacing w:line="360" w:lineRule="exact"/>
              <w:jc w:val="both"/>
              <w:rPr>
                <w:rFonts w:cs="Traditional Arabic"/>
                <w:b/>
              </w:rPr>
            </w:pPr>
            <w:r w:rsidRPr="00C338F2">
              <w:rPr>
                <w:rFonts w:cs="Traditional Arabic" w:hint="cs"/>
                <w:b/>
                <w:rtl/>
              </w:rPr>
              <w:t>أقل من 7</w:t>
            </w:r>
          </w:p>
        </w:tc>
      </w:tr>
      <w:tr w:rsidR="00971AE2">
        <w:tblPrEx>
          <w:tblCellMar>
            <w:top w:w="0" w:type="dxa"/>
            <w:bottom w:w="0" w:type="dxa"/>
          </w:tblCellMar>
        </w:tblPrEx>
        <w:trPr>
          <w:jc w:val="center"/>
        </w:trPr>
        <w:tc>
          <w:tcPr>
            <w:tcW w:w="1701"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2.1</w:t>
            </w:r>
          </w:p>
        </w:tc>
        <w:tc>
          <w:tcPr>
            <w:tcW w:w="1867"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216</w:t>
            </w:r>
          </w:p>
        </w:tc>
        <w:tc>
          <w:tcPr>
            <w:tcW w:w="2486" w:type="dxa"/>
          </w:tcPr>
          <w:p w:rsidR="00971AE2" w:rsidRPr="00C338F2" w:rsidRDefault="00971AE2" w:rsidP="00010B4A">
            <w:pPr>
              <w:pStyle w:val="BodyText"/>
              <w:bidi/>
              <w:spacing w:line="360" w:lineRule="exact"/>
              <w:jc w:val="both"/>
              <w:rPr>
                <w:rFonts w:cs="Traditional Arabic" w:hint="cs"/>
                <w:b/>
                <w:lang w:val="fr-CH"/>
              </w:rPr>
            </w:pPr>
            <w:r w:rsidRPr="00C338F2">
              <w:rPr>
                <w:rFonts w:cs="Traditional Arabic" w:hint="cs"/>
                <w:b/>
                <w:rtl/>
                <w:lang w:val="fr-CH"/>
              </w:rPr>
              <w:t>من 8 إلى 11</w:t>
            </w:r>
          </w:p>
        </w:tc>
      </w:tr>
      <w:tr w:rsidR="00971AE2">
        <w:tblPrEx>
          <w:tblCellMar>
            <w:top w:w="0" w:type="dxa"/>
            <w:bottom w:w="0" w:type="dxa"/>
          </w:tblCellMar>
        </w:tblPrEx>
        <w:trPr>
          <w:jc w:val="center"/>
        </w:trPr>
        <w:tc>
          <w:tcPr>
            <w:tcW w:w="1701"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7.9</w:t>
            </w:r>
          </w:p>
        </w:tc>
        <w:tc>
          <w:tcPr>
            <w:tcW w:w="1867"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826</w:t>
            </w:r>
          </w:p>
        </w:tc>
        <w:tc>
          <w:tcPr>
            <w:tcW w:w="2486" w:type="dxa"/>
          </w:tcPr>
          <w:p w:rsidR="00971AE2" w:rsidRPr="00C338F2" w:rsidRDefault="00971AE2" w:rsidP="00010B4A">
            <w:pPr>
              <w:pStyle w:val="BodyText"/>
              <w:bidi/>
              <w:spacing w:line="360" w:lineRule="exact"/>
              <w:jc w:val="both"/>
              <w:rPr>
                <w:rFonts w:cs="Traditional Arabic" w:hint="cs"/>
                <w:b/>
                <w:lang w:val="fr-CH"/>
              </w:rPr>
            </w:pPr>
            <w:r w:rsidRPr="00C338F2">
              <w:rPr>
                <w:rFonts w:cs="Traditional Arabic" w:hint="cs"/>
                <w:b/>
                <w:rtl/>
                <w:lang w:val="fr-CH"/>
              </w:rPr>
              <w:t>من 12 إلى 16</w:t>
            </w:r>
          </w:p>
        </w:tc>
      </w:tr>
      <w:tr w:rsidR="00971AE2">
        <w:tblPrEx>
          <w:tblCellMar>
            <w:top w:w="0" w:type="dxa"/>
            <w:bottom w:w="0" w:type="dxa"/>
          </w:tblCellMar>
        </w:tblPrEx>
        <w:trPr>
          <w:jc w:val="center"/>
        </w:trPr>
        <w:tc>
          <w:tcPr>
            <w:tcW w:w="1701"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13.9</w:t>
            </w:r>
          </w:p>
        </w:tc>
        <w:tc>
          <w:tcPr>
            <w:tcW w:w="1867"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457 1</w:t>
            </w:r>
          </w:p>
        </w:tc>
        <w:tc>
          <w:tcPr>
            <w:tcW w:w="2486" w:type="dxa"/>
          </w:tcPr>
          <w:p w:rsidR="00971AE2" w:rsidRPr="00C338F2" w:rsidRDefault="00971AE2" w:rsidP="00010B4A">
            <w:pPr>
              <w:pStyle w:val="BodyText"/>
              <w:bidi/>
              <w:spacing w:line="360" w:lineRule="exact"/>
              <w:jc w:val="both"/>
              <w:rPr>
                <w:rFonts w:cs="Traditional Arabic"/>
                <w:b/>
              </w:rPr>
            </w:pPr>
            <w:r w:rsidRPr="00C338F2">
              <w:rPr>
                <w:rFonts w:cs="Traditional Arabic" w:hint="cs"/>
                <w:b/>
                <w:rtl/>
                <w:lang w:val="fr-CH"/>
              </w:rPr>
              <w:t>من 17 إلى 21</w:t>
            </w:r>
          </w:p>
        </w:tc>
      </w:tr>
      <w:tr w:rsidR="00971AE2">
        <w:tblPrEx>
          <w:tblCellMar>
            <w:top w:w="0" w:type="dxa"/>
            <w:bottom w:w="0" w:type="dxa"/>
          </w:tblCellMar>
        </w:tblPrEx>
        <w:trPr>
          <w:jc w:val="center"/>
        </w:trPr>
        <w:tc>
          <w:tcPr>
            <w:tcW w:w="1701"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16.6</w:t>
            </w:r>
          </w:p>
        </w:tc>
        <w:tc>
          <w:tcPr>
            <w:tcW w:w="1867"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743 1</w:t>
            </w:r>
          </w:p>
        </w:tc>
        <w:tc>
          <w:tcPr>
            <w:tcW w:w="2486" w:type="dxa"/>
          </w:tcPr>
          <w:p w:rsidR="00971AE2" w:rsidRPr="00C338F2" w:rsidRDefault="00971AE2" w:rsidP="00010B4A">
            <w:pPr>
              <w:pStyle w:val="BodyText"/>
              <w:bidi/>
              <w:spacing w:line="360" w:lineRule="exact"/>
              <w:jc w:val="both"/>
              <w:rPr>
                <w:rFonts w:cs="Traditional Arabic" w:hint="cs"/>
                <w:b/>
                <w:lang w:val="fr-CH"/>
              </w:rPr>
            </w:pPr>
            <w:r w:rsidRPr="00C338F2">
              <w:rPr>
                <w:rFonts w:cs="Traditional Arabic" w:hint="cs"/>
                <w:b/>
                <w:rtl/>
                <w:lang w:val="fr-CH"/>
              </w:rPr>
              <w:t>من 22 إلى 27</w:t>
            </w:r>
          </w:p>
        </w:tc>
      </w:tr>
      <w:tr w:rsidR="00971AE2">
        <w:tblPrEx>
          <w:tblCellMar>
            <w:top w:w="0" w:type="dxa"/>
            <w:bottom w:w="0" w:type="dxa"/>
          </w:tblCellMar>
        </w:tblPrEx>
        <w:trPr>
          <w:jc w:val="center"/>
        </w:trPr>
        <w:tc>
          <w:tcPr>
            <w:tcW w:w="1701"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26.7</w:t>
            </w:r>
          </w:p>
        </w:tc>
        <w:tc>
          <w:tcPr>
            <w:tcW w:w="1867"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802 2</w:t>
            </w:r>
          </w:p>
        </w:tc>
        <w:tc>
          <w:tcPr>
            <w:tcW w:w="2486" w:type="dxa"/>
          </w:tcPr>
          <w:p w:rsidR="00971AE2" w:rsidRPr="00C338F2" w:rsidRDefault="00971AE2" w:rsidP="00010B4A">
            <w:pPr>
              <w:pStyle w:val="BodyText"/>
              <w:bidi/>
              <w:spacing w:line="360" w:lineRule="exact"/>
              <w:jc w:val="both"/>
              <w:rPr>
                <w:rFonts w:cs="Traditional Arabic" w:hint="cs"/>
                <w:b/>
                <w:lang w:val="fr-CH"/>
              </w:rPr>
            </w:pPr>
            <w:r w:rsidRPr="00C338F2">
              <w:rPr>
                <w:rFonts w:cs="Traditional Arabic" w:hint="cs"/>
                <w:b/>
                <w:rtl/>
                <w:lang w:val="fr-CH"/>
              </w:rPr>
              <w:t xml:space="preserve">من 28 إلى 39 </w:t>
            </w:r>
          </w:p>
        </w:tc>
      </w:tr>
      <w:tr w:rsidR="00971AE2">
        <w:tblPrEx>
          <w:tblCellMar>
            <w:top w:w="0" w:type="dxa"/>
            <w:bottom w:w="0" w:type="dxa"/>
          </w:tblCellMar>
        </w:tblPrEx>
        <w:trPr>
          <w:jc w:val="center"/>
        </w:trPr>
        <w:tc>
          <w:tcPr>
            <w:tcW w:w="1701"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29.8</w:t>
            </w:r>
          </w:p>
        </w:tc>
        <w:tc>
          <w:tcPr>
            <w:tcW w:w="1867"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124 3</w:t>
            </w:r>
          </w:p>
        </w:tc>
        <w:tc>
          <w:tcPr>
            <w:tcW w:w="2486" w:type="dxa"/>
          </w:tcPr>
          <w:p w:rsidR="00971AE2" w:rsidRPr="00C338F2" w:rsidRDefault="00971AE2" w:rsidP="00010B4A">
            <w:pPr>
              <w:pStyle w:val="BodyText"/>
              <w:bidi/>
              <w:spacing w:line="360" w:lineRule="exact"/>
              <w:jc w:val="both"/>
              <w:rPr>
                <w:rFonts w:cs="Traditional Arabic" w:hint="cs"/>
                <w:b/>
                <w:lang w:val="fr-CH"/>
              </w:rPr>
            </w:pPr>
            <w:r w:rsidRPr="00C338F2">
              <w:rPr>
                <w:rFonts w:cs="Traditional Arabic" w:hint="cs"/>
                <w:b/>
                <w:rtl/>
                <w:lang w:val="fr-CH"/>
              </w:rPr>
              <w:t>تجاوزوا الأربعين</w:t>
            </w:r>
          </w:p>
        </w:tc>
      </w:tr>
      <w:tr w:rsidR="00971AE2">
        <w:tblPrEx>
          <w:tblCellMar>
            <w:top w:w="0" w:type="dxa"/>
            <w:bottom w:w="0" w:type="dxa"/>
          </w:tblCellMar>
        </w:tblPrEx>
        <w:trPr>
          <w:jc w:val="center"/>
        </w:trPr>
        <w:tc>
          <w:tcPr>
            <w:tcW w:w="1701" w:type="dxa"/>
          </w:tcPr>
          <w:p w:rsidR="00971AE2" w:rsidRPr="00ED2411" w:rsidRDefault="009711D2" w:rsidP="00010B4A">
            <w:pPr>
              <w:pStyle w:val="BodyText"/>
              <w:bidi/>
              <w:spacing w:line="360" w:lineRule="exact"/>
              <w:jc w:val="both"/>
              <w:rPr>
                <w:rFonts w:hint="cs"/>
                <w:b/>
              </w:rPr>
            </w:pPr>
            <w:r w:rsidRPr="00ED2411">
              <w:rPr>
                <w:rFonts w:hint="cs"/>
                <w:b/>
                <w:rtl/>
              </w:rPr>
              <w:t>0.1</w:t>
            </w:r>
          </w:p>
        </w:tc>
        <w:tc>
          <w:tcPr>
            <w:tcW w:w="1867" w:type="dxa"/>
          </w:tcPr>
          <w:p w:rsidR="00971AE2" w:rsidRPr="00ED2411" w:rsidRDefault="009711D2" w:rsidP="00010B4A">
            <w:pPr>
              <w:pStyle w:val="BodyText"/>
              <w:bidi/>
              <w:spacing w:line="360" w:lineRule="exact"/>
              <w:jc w:val="both"/>
              <w:rPr>
                <w:rFonts w:hint="cs"/>
                <w:b/>
              </w:rPr>
            </w:pPr>
            <w:r w:rsidRPr="00ED2411">
              <w:rPr>
                <w:rFonts w:hint="cs"/>
                <w:b/>
                <w:rtl/>
              </w:rPr>
              <w:t>12</w:t>
            </w:r>
          </w:p>
        </w:tc>
        <w:tc>
          <w:tcPr>
            <w:tcW w:w="2486" w:type="dxa"/>
          </w:tcPr>
          <w:p w:rsidR="00971AE2" w:rsidRPr="00C338F2" w:rsidRDefault="00971AE2" w:rsidP="00010B4A">
            <w:pPr>
              <w:pStyle w:val="BodyText"/>
              <w:bidi/>
              <w:spacing w:line="360" w:lineRule="exact"/>
              <w:jc w:val="both"/>
              <w:rPr>
                <w:rFonts w:cs="Traditional Arabic" w:hint="cs"/>
                <w:b/>
                <w:lang w:val="fr-CH"/>
              </w:rPr>
            </w:pPr>
            <w:r w:rsidRPr="00C338F2">
              <w:rPr>
                <w:rFonts w:cs="Traditional Arabic" w:hint="cs"/>
                <w:b/>
                <w:rtl/>
                <w:lang w:val="fr-CH"/>
              </w:rPr>
              <w:t>السن غير معرو</w:t>
            </w:r>
            <w:r w:rsidRPr="00C338F2">
              <w:rPr>
                <w:rFonts w:cs="Traditional Arabic" w:hint="cs"/>
                <w:rtl/>
              </w:rPr>
              <w:t>ف</w:t>
            </w:r>
          </w:p>
        </w:tc>
      </w:tr>
      <w:tr w:rsidR="00971AE2">
        <w:tblPrEx>
          <w:tblCellMar>
            <w:top w:w="0" w:type="dxa"/>
            <w:bottom w:w="0" w:type="dxa"/>
          </w:tblCellMar>
        </w:tblPrEx>
        <w:trPr>
          <w:jc w:val="center"/>
        </w:trPr>
        <w:tc>
          <w:tcPr>
            <w:tcW w:w="1701"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100</w:t>
            </w:r>
          </w:p>
        </w:tc>
        <w:tc>
          <w:tcPr>
            <w:tcW w:w="1867" w:type="dxa"/>
          </w:tcPr>
          <w:p w:rsidR="00971AE2" w:rsidRPr="00ED2411" w:rsidRDefault="009711D2" w:rsidP="00010B4A">
            <w:pPr>
              <w:pStyle w:val="BodyText"/>
              <w:bidi/>
              <w:spacing w:line="360" w:lineRule="exact"/>
              <w:jc w:val="both"/>
              <w:rPr>
                <w:rFonts w:hint="cs"/>
                <w:b/>
                <w:lang w:val="fr-CH"/>
              </w:rPr>
            </w:pPr>
            <w:r w:rsidRPr="00ED2411">
              <w:rPr>
                <w:rFonts w:hint="cs"/>
                <w:b/>
                <w:rtl/>
                <w:lang w:val="fr-CH"/>
              </w:rPr>
              <w:t>477 10</w:t>
            </w:r>
          </w:p>
        </w:tc>
        <w:tc>
          <w:tcPr>
            <w:tcW w:w="2486" w:type="dxa"/>
          </w:tcPr>
          <w:p w:rsidR="00971AE2" w:rsidRPr="00C338F2" w:rsidRDefault="00971AE2" w:rsidP="00010B4A">
            <w:pPr>
              <w:pStyle w:val="BodyText"/>
              <w:bidi/>
              <w:spacing w:line="360" w:lineRule="exact"/>
              <w:jc w:val="both"/>
              <w:rPr>
                <w:rFonts w:cs="Traditional Arabic"/>
                <w:b/>
                <w:lang w:val="fr-CH"/>
              </w:rPr>
            </w:pPr>
            <w:r w:rsidRPr="00C338F2">
              <w:rPr>
                <w:rFonts w:cs="Traditional Arabic" w:hint="cs"/>
                <w:b/>
                <w:rtl/>
                <w:lang w:val="fr-CH"/>
              </w:rPr>
              <w:t>المجموع</w:t>
            </w:r>
          </w:p>
        </w:tc>
      </w:tr>
    </w:tbl>
    <w:p w:rsidR="00BE57DC" w:rsidRPr="00BE57DC" w:rsidRDefault="00BE57DC" w:rsidP="00A343DF">
      <w:pPr>
        <w:spacing w:line="120" w:lineRule="exact"/>
        <w:jc w:val="lowKashida"/>
        <w:rPr>
          <w:rFonts w:hint="cs"/>
          <w:b/>
          <w:bCs/>
          <w:sz w:val="10"/>
          <w:rtl/>
        </w:rPr>
      </w:pPr>
    </w:p>
    <w:p w:rsidR="00971AE2" w:rsidRDefault="00BE57DC" w:rsidP="00A343DF">
      <w:pPr>
        <w:spacing w:line="360" w:lineRule="auto"/>
        <w:jc w:val="lowKashida"/>
        <w:rPr>
          <w:rFonts w:hint="cs"/>
          <w:sz w:val="24"/>
          <w:szCs w:val="24"/>
          <w:rtl/>
          <w:lang w:bidi="ar-EG"/>
        </w:rPr>
      </w:pPr>
      <w:r>
        <w:rPr>
          <w:rFonts w:hint="cs"/>
          <w:sz w:val="24"/>
          <w:szCs w:val="24"/>
          <w:rtl/>
          <w:lang w:bidi="ar-EG"/>
        </w:rPr>
        <w:tab/>
      </w:r>
      <w:r>
        <w:rPr>
          <w:rFonts w:hint="cs"/>
          <w:sz w:val="24"/>
          <w:szCs w:val="24"/>
          <w:rtl/>
          <w:lang w:bidi="ar-EG"/>
        </w:rPr>
        <w:tab/>
      </w:r>
      <w:r>
        <w:rPr>
          <w:rFonts w:hint="cs"/>
          <w:sz w:val="24"/>
          <w:szCs w:val="24"/>
          <w:rtl/>
          <w:lang w:bidi="ar-EG"/>
        </w:rPr>
        <w:tab/>
      </w:r>
      <w:r w:rsidR="00971AE2" w:rsidRPr="00BE57DC">
        <w:rPr>
          <w:rFonts w:hint="cs"/>
          <w:sz w:val="24"/>
          <w:szCs w:val="24"/>
          <w:rtl/>
          <w:lang w:bidi="ar-EG"/>
        </w:rPr>
        <w:t xml:space="preserve">المصدر:  مؤسسة الحي لحماية الطفولة والشباب </w:t>
      </w:r>
      <w:r w:rsidR="00971AE2" w:rsidRPr="00BE57DC">
        <w:rPr>
          <w:sz w:val="24"/>
          <w:szCs w:val="24"/>
          <w:rtl/>
          <w:lang w:bidi="ar-EG"/>
        </w:rPr>
        <w:t>–</w:t>
      </w:r>
      <w:r w:rsidR="00971AE2" w:rsidRPr="00BE57DC">
        <w:rPr>
          <w:rFonts w:hint="cs"/>
          <w:sz w:val="24"/>
          <w:szCs w:val="24"/>
          <w:rtl/>
          <w:lang w:bidi="ar-EG"/>
        </w:rPr>
        <w:t>الإدارة التنظيمية الوطنية للإحصاء، 1999-2001</w:t>
      </w:r>
      <w:r w:rsidR="003D7EB4">
        <w:rPr>
          <w:rFonts w:hint="cs"/>
          <w:sz w:val="24"/>
          <w:szCs w:val="24"/>
          <w:rtl/>
          <w:lang w:bidi="ar-EG"/>
        </w:rPr>
        <w:t>،</w:t>
      </w:r>
    </w:p>
    <w:p w:rsidR="00971AE2" w:rsidRDefault="00971AE2" w:rsidP="00A343DF">
      <w:pPr>
        <w:pStyle w:val="SingleTxt"/>
        <w:rPr>
          <w:rFonts w:hint="cs"/>
          <w:rtl/>
          <w:lang w:bidi="ar-EG"/>
        </w:rPr>
      </w:pPr>
      <w:r>
        <w:rPr>
          <w:rFonts w:hint="cs"/>
          <w:rtl/>
          <w:lang w:bidi="ar-EG"/>
        </w:rPr>
        <w:tab/>
        <w:t>والمستوى التعليمي لهؤلاء السكان منخفض، فنحو 50 في المائة منهم قد حضروا سنة أو أكثر في المرحلة الابتدائية و2</w:t>
      </w:r>
      <w:r w:rsidR="007D7CF9">
        <w:rPr>
          <w:rFonts w:hint="cs"/>
          <w:rtl/>
          <w:lang w:bidi="ar-EG"/>
        </w:rPr>
        <w:t>.</w:t>
      </w:r>
      <w:r>
        <w:rPr>
          <w:rFonts w:hint="cs"/>
          <w:rtl/>
          <w:lang w:bidi="ar-EG"/>
        </w:rPr>
        <w:t>5 في المائة منهم فقط تجاوزوا الدراسات الثانوية</w:t>
      </w:r>
      <w:r w:rsidR="003D7EB4">
        <w:rPr>
          <w:rFonts w:hint="cs"/>
          <w:rtl/>
          <w:lang w:bidi="ar-EG"/>
        </w:rPr>
        <w:t>،</w:t>
      </w:r>
      <w:r>
        <w:rPr>
          <w:rFonts w:hint="cs"/>
          <w:rtl/>
          <w:lang w:bidi="ar-EG"/>
        </w:rPr>
        <w:t xml:space="preserve"> وفيما يتعلق بحرفهم، فإن الأنشطة الأكثر شيوعاً هي الشحاذة وإعادة التدوير</w:t>
      </w:r>
      <w:r w:rsidR="003D7EB4">
        <w:rPr>
          <w:rFonts w:hint="cs"/>
          <w:rtl/>
          <w:lang w:bidi="ar-EG"/>
        </w:rPr>
        <w:t>،</w:t>
      </w:r>
      <w:r>
        <w:rPr>
          <w:rFonts w:hint="cs"/>
          <w:rtl/>
          <w:lang w:bidi="ar-EG"/>
        </w:rPr>
        <w:t xml:space="preserve"> كما يعاني هؤلاء السكان من تفكك أسري شديد مرتبط بشعور قوي بانعدام الأمن</w:t>
      </w:r>
      <w:r w:rsidR="003D7EB4">
        <w:rPr>
          <w:rFonts w:hint="cs"/>
          <w:rtl/>
          <w:lang w:bidi="ar-EG"/>
        </w:rPr>
        <w:t>،</w:t>
      </w:r>
    </w:p>
    <w:p w:rsidR="00971AE2" w:rsidRDefault="00971AE2" w:rsidP="002E71C8">
      <w:pPr>
        <w:pStyle w:val="SingleTxt"/>
        <w:rPr>
          <w:rFonts w:hint="cs"/>
          <w:rtl/>
          <w:lang w:bidi="ar-EG"/>
        </w:rPr>
      </w:pPr>
      <w:r>
        <w:rPr>
          <w:rFonts w:hint="cs"/>
          <w:rtl/>
          <w:lang w:bidi="ar-EG"/>
        </w:rPr>
        <w:tab/>
        <w:t>وحالة بوغوتا تبين دينامية هذا الوضع على المستوى الوطني الذي شهد في السنوات الأخيرة زيادة مشينة في أعداد هؤلاء السكان، التي يغذيها، ضمن أسباب أخرى، تدهور ظروف معيشة قطاعات كبيرة من السكان، بسبب البطالة والتفكك الأسري والعنف العائلي وتعاطي المؤثرات العقلية وكذلك النزوح القسري لمجموعات ضحايا العنف المشردين إلى المدن</w:t>
      </w:r>
      <w:r w:rsidR="002E71C8" w:rsidRPr="002E71C8">
        <w:rPr>
          <w:rFonts w:hint="cs"/>
          <w:vertAlign w:val="superscript"/>
          <w:rtl/>
          <w:lang w:bidi="ar-EG"/>
        </w:rPr>
        <w:t>260</w:t>
      </w:r>
      <w:r w:rsidR="003D7EB4">
        <w:rPr>
          <w:rFonts w:hint="cs"/>
          <w:rtl/>
          <w:lang w:bidi="ar-EG"/>
        </w:rPr>
        <w:t>،</w:t>
      </w:r>
    </w:p>
    <w:p w:rsidR="00104012" w:rsidRPr="00104012" w:rsidRDefault="00104012" w:rsidP="00104012">
      <w:pPr>
        <w:pStyle w:val="SingleTxt"/>
        <w:spacing w:after="0" w:line="120" w:lineRule="exact"/>
        <w:rPr>
          <w:rFonts w:hint="cs"/>
          <w:sz w:val="10"/>
          <w:rtl/>
          <w:lang w:bidi="ar-EG"/>
        </w:rPr>
      </w:pPr>
    </w:p>
    <w:p w:rsidR="00971AE2" w:rsidRDefault="00ED2411" w:rsidP="00A343DF">
      <w:pPr>
        <w:pStyle w:val="SingleTxt"/>
        <w:rPr>
          <w:rFonts w:hint="cs"/>
          <w:b/>
          <w:bCs/>
          <w:rtl/>
          <w:lang w:bidi="ar-EG"/>
        </w:rPr>
      </w:pPr>
      <w:r>
        <w:rPr>
          <w:b/>
          <w:bCs/>
          <w:rtl/>
          <w:lang w:bidi="ar-EG"/>
        </w:rPr>
        <w:br w:type="page"/>
      </w:r>
      <w:r w:rsidR="00971AE2">
        <w:rPr>
          <w:rFonts w:hint="cs"/>
          <w:b/>
          <w:bCs/>
          <w:rtl/>
          <w:lang w:bidi="ar-EG"/>
        </w:rPr>
        <w:t>3-7</w:t>
      </w:r>
      <w:r w:rsidR="00971AE2">
        <w:rPr>
          <w:rFonts w:hint="cs"/>
          <w:b/>
          <w:bCs/>
          <w:rtl/>
          <w:lang w:bidi="ar-EG"/>
        </w:rPr>
        <w:tab/>
        <w:t>التوصية رقم 22</w:t>
      </w:r>
    </w:p>
    <w:p w:rsidR="00971AE2" w:rsidRDefault="00971AE2" w:rsidP="00A343DF">
      <w:pPr>
        <w:pStyle w:val="SingleTxt"/>
        <w:rPr>
          <w:rFonts w:hint="cs"/>
          <w:b/>
          <w:bCs/>
          <w:rtl/>
          <w:lang w:bidi="ar-EG"/>
        </w:rPr>
      </w:pPr>
      <w:r>
        <w:rPr>
          <w:rFonts w:hint="cs"/>
          <w:b/>
          <w:bCs/>
          <w:rtl/>
          <w:lang w:bidi="ar-EG"/>
        </w:rPr>
        <w:t>نشر التوصيات الخاصة التي اتخذتها اللجنة المعنية بمكافحة التمييز ضد المرأة بشأن التقدم المحرز الوارد سرده في التقرير الرابع المقدم من كولومبيا</w:t>
      </w:r>
    </w:p>
    <w:p w:rsidR="00971AE2" w:rsidRDefault="00104012" w:rsidP="00A343DF">
      <w:pPr>
        <w:pStyle w:val="SingleTxt"/>
        <w:rPr>
          <w:rFonts w:hint="cs"/>
          <w:rtl/>
          <w:lang w:bidi="ar-EG"/>
        </w:rPr>
      </w:pPr>
      <w:r>
        <w:rPr>
          <w:rFonts w:hint="cs"/>
          <w:rtl/>
          <w:lang w:bidi="ar-EG"/>
        </w:rPr>
        <w:tab/>
      </w:r>
      <w:r w:rsidR="00971AE2">
        <w:rPr>
          <w:rFonts w:hint="cs"/>
          <w:rtl/>
          <w:lang w:bidi="ar-EG"/>
        </w:rPr>
        <w:t xml:space="preserve">من أجل نشر التقرير الخامس وتوصيات اللجنة وجميع الصكوك الوطنية والدولية المبرمة، استخدمت صفحة الهيئة الاستشارية لرئيس الجمهورية فيما يتعلق بالمساواة بين الرجل والمرأة على الشبكة العالمية والعمل الذي ستقوم به </w:t>
      </w:r>
      <w:r w:rsidR="00971AE2">
        <w:rPr>
          <w:rFonts w:hint="cs"/>
          <w:rtl/>
        </w:rPr>
        <w:t>مرصد الشؤون الجنسانية</w:t>
      </w:r>
      <w:r w:rsidR="00971AE2">
        <w:rPr>
          <w:rFonts w:hint="cs"/>
          <w:rtl/>
          <w:lang w:bidi="ar-EG"/>
        </w:rPr>
        <w:t>، بالتنسيق مع مجال الاتصالات المشار إليه في المادة 4</w:t>
      </w:r>
      <w:r w:rsidR="003D7EB4">
        <w:rPr>
          <w:rFonts w:hint="cs"/>
          <w:rtl/>
          <w:lang w:bidi="ar-EG"/>
        </w:rPr>
        <w:t>،</w:t>
      </w:r>
    </w:p>
    <w:p w:rsidR="00540A6F" w:rsidRPr="00540A6F" w:rsidRDefault="00540A6F" w:rsidP="00540A6F">
      <w:pPr>
        <w:pStyle w:val="SingleTxt"/>
        <w:spacing w:after="0" w:line="120" w:lineRule="exact"/>
        <w:rPr>
          <w:rFonts w:hint="cs"/>
          <w:sz w:val="10"/>
          <w:rtl/>
          <w:lang w:bidi="ar-EG"/>
        </w:rPr>
      </w:pPr>
    </w:p>
    <w:p w:rsidR="00971AE2" w:rsidRDefault="00971AE2" w:rsidP="00A343DF">
      <w:pPr>
        <w:pStyle w:val="SingleTxt"/>
        <w:rPr>
          <w:rFonts w:hint="cs"/>
          <w:b/>
          <w:bCs/>
          <w:rtl/>
          <w:lang w:bidi="ar-EG"/>
        </w:rPr>
      </w:pPr>
      <w:r>
        <w:rPr>
          <w:rFonts w:hint="cs"/>
          <w:b/>
          <w:bCs/>
          <w:rtl/>
          <w:lang w:bidi="ar-EG"/>
        </w:rPr>
        <w:t>4</w:t>
      </w:r>
      <w:r>
        <w:rPr>
          <w:rFonts w:hint="cs"/>
          <w:b/>
          <w:bCs/>
          <w:rtl/>
          <w:lang w:bidi="ar-EG"/>
        </w:rPr>
        <w:tab/>
        <w:t>المواضيع ذات الأهمية الخاصة في السياق الكولومبي</w:t>
      </w:r>
    </w:p>
    <w:p w:rsidR="00971AE2" w:rsidRDefault="00104012" w:rsidP="00A343D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sidR="00100589">
        <w:rPr>
          <w:rFonts w:hint="cs"/>
          <w:rtl/>
          <w:lang w:bidi="ar-EG"/>
        </w:rPr>
        <w:tab/>
      </w:r>
      <w:r w:rsidR="00971AE2">
        <w:rPr>
          <w:rFonts w:hint="cs"/>
          <w:rtl/>
          <w:lang w:bidi="ar-EG"/>
        </w:rPr>
        <w:t>4-1</w:t>
      </w:r>
      <w:r w:rsidR="00971AE2">
        <w:rPr>
          <w:rFonts w:hint="cs"/>
          <w:rtl/>
          <w:lang w:bidi="ar-EG"/>
        </w:rPr>
        <w:tab/>
        <w:t>النزوح القسري</w:t>
      </w:r>
    </w:p>
    <w:p w:rsidR="00971AE2" w:rsidRDefault="00104012" w:rsidP="00A343D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r>
      <w:r w:rsidR="00100589">
        <w:rPr>
          <w:rFonts w:hint="cs"/>
          <w:rtl/>
          <w:lang w:bidi="ar-EG"/>
        </w:rPr>
        <w:tab/>
      </w:r>
      <w:r w:rsidR="00971AE2">
        <w:rPr>
          <w:rFonts w:hint="cs"/>
          <w:rtl/>
          <w:lang w:bidi="ar-EG"/>
        </w:rPr>
        <w:t>المنجزات التشريعية</w:t>
      </w:r>
    </w:p>
    <w:p w:rsidR="004D7D38" w:rsidRPr="004D7D38" w:rsidRDefault="004D7D38" w:rsidP="004D7D38">
      <w:pPr>
        <w:pStyle w:val="SingleTxt"/>
        <w:spacing w:after="0" w:line="120" w:lineRule="exact"/>
        <w:rPr>
          <w:rFonts w:hint="cs"/>
          <w:sz w:val="10"/>
          <w:rtl/>
          <w:lang w:bidi="ar-E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الموضوع</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القاعدة</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خطة عمل لوقاية السكان الذين شردهم العنف وحمايتهم وتوفير الرعاية الإنسانية لهم وعودتهم  إلى ديارهم أو إعادة توطينهم وتحقيق الاستقرار الاجتماعي والاقتصادي لهم</w:t>
            </w:r>
            <w:r w:rsidR="003D7EB4">
              <w:rPr>
                <w:rFonts w:hint="cs"/>
                <w:sz w:val="24"/>
                <w:szCs w:val="24"/>
                <w:rtl/>
                <w:lang w:bidi="ar-EG"/>
              </w:rPr>
              <w:t>،</w:t>
            </w:r>
            <w:r w:rsidRPr="00100589">
              <w:rPr>
                <w:rFonts w:hint="cs"/>
                <w:sz w:val="24"/>
                <w:szCs w:val="24"/>
                <w:rtl/>
                <w:lang w:bidi="ar-EG"/>
              </w:rPr>
              <w:t xml:space="preserve"> وقد ثبت أنه ترأس نحو نصف عدد الأسر المشردة نساء، ومن ثم فإنه ستعزز وستشجع مشاركة هذه الفئة السكانية في المشاريع الإنتاجية والمدرة للدخل التي تنفذ باعتبارها جزءاً من برامج الاستقرار الاجتماعي والاقتصادي</w:t>
            </w:r>
            <w:r w:rsidR="003D7EB4">
              <w:rPr>
                <w:rFonts w:hint="cs"/>
                <w:sz w:val="24"/>
                <w:szCs w:val="24"/>
                <w:rtl/>
                <w:lang w:bidi="ar-EG"/>
              </w:rPr>
              <w:t>،</w:t>
            </w:r>
            <w:r w:rsidRPr="00100589">
              <w:rPr>
                <w:rFonts w:hint="cs"/>
                <w:sz w:val="24"/>
                <w:szCs w:val="24"/>
                <w:rtl/>
                <w:lang w:bidi="ar-EG"/>
              </w:rPr>
              <w:t xml:space="preserve"> وتيسيراً لحصول الأسر التي ترأسها نساء على المسكن والخدمات الأساسية سيسعى إلى وضع معايير للتأهل تتيح مراعاة هذا الوضع في نظم التخصيص</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 xml:space="preserve">وثيقة </w:t>
            </w:r>
            <w:r w:rsidRPr="00100589">
              <w:rPr>
                <w:rFonts w:hint="cs"/>
                <w:sz w:val="24"/>
                <w:szCs w:val="24"/>
                <w:rtl/>
              </w:rPr>
              <w:t xml:space="preserve">المجلس الوطني للتخطيط الاقتصادي والاجتماعي </w:t>
            </w:r>
            <w:r w:rsidRPr="00100589">
              <w:rPr>
                <w:rFonts w:hint="cs"/>
                <w:sz w:val="24"/>
                <w:szCs w:val="24"/>
                <w:rtl/>
                <w:lang w:bidi="ar-EG"/>
              </w:rPr>
              <w:t xml:space="preserve"> رقم 057 3 لسنة 1999</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يفرض تدابير ترمي إلى تيسير تسجيل المواليد في السجل المدني وإصدار وثائق إثبات الهوية للأشخاص المشردين</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المرسوم رقم 290 لسنة 1999</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نقلت مهام الهيئة الاستشارية لرئيس الجمهورية فيما يتعلق بالمشردين     إلى شبكة التضامن الاجتماعي</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المرسوم رقم 489 لسنة 1999</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من القوات المسلحة لكولومبيا</w:t>
            </w:r>
            <w:r w:rsidR="003D7EB4">
              <w:rPr>
                <w:rFonts w:hint="cs"/>
                <w:sz w:val="24"/>
                <w:szCs w:val="24"/>
                <w:rtl/>
                <w:lang w:bidi="ar-EG"/>
              </w:rPr>
              <w:t>،</w:t>
            </w:r>
            <w:r w:rsidRPr="00100589">
              <w:rPr>
                <w:rFonts w:hint="cs"/>
                <w:sz w:val="24"/>
                <w:szCs w:val="24"/>
                <w:rtl/>
                <w:lang w:bidi="ar-EG"/>
              </w:rPr>
              <w:t xml:space="preserve"> القيادة العامة</w:t>
            </w:r>
            <w:r w:rsidR="003D7EB4">
              <w:rPr>
                <w:rFonts w:hint="cs"/>
                <w:sz w:val="24"/>
                <w:szCs w:val="24"/>
                <w:rtl/>
                <w:lang w:bidi="ar-EG"/>
              </w:rPr>
              <w:t>،</w:t>
            </w:r>
            <w:r w:rsidRPr="00100589">
              <w:rPr>
                <w:rFonts w:hint="cs"/>
                <w:sz w:val="24"/>
                <w:szCs w:val="24"/>
                <w:rtl/>
                <w:lang w:bidi="ar-EG"/>
              </w:rPr>
              <w:t xml:space="preserve"> تعليمات لرعاية السكان المشردين</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التوجيه رقم 500-7 لسنة 1999</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يضيف الجرائم التالية إلى القانون الجنائي: الإبادة الجماعية والاختفاء القسري والتشريد القسري والتعذيب</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القانون رقم 589 لسنة 2000</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القانون الجنائي</w:t>
            </w:r>
            <w:r w:rsidR="003D7EB4">
              <w:rPr>
                <w:rFonts w:hint="cs"/>
                <w:sz w:val="24"/>
                <w:szCs w:val="24"/>
                <w:rtl/>
                <w:lang w:bidi="ar-EG"/>
              </w:rPr>
              <w:t>،</w:t>
            </w:r>
            <w:r w:rsidRPr="00100589">
              <w:rPr>
                <w:rFonts w:hint="cs"/>
                <w:sz w:val="24"/>
                <w:szCs w:val="24"/>
                <w:rtl/>
                <w:lang w:bidi="ar-EG"/>
              </w:rPr>
              <w:t xml:space="preserve"> ينص على نوعين جنائيين من التشرد</w:t>
            </w:r>
            <w:r w:rsidR="00096CD4" w:rsidRPr="00096CD4">
              <w:rPr>
                <w:rFonts w:hint="cs"/>
                <w:sz w:val="24"/>
                <w:szCs w:val="24"/>
                <w:vertAlign w:val="superscript"/>
                <w:rtl/>
                <w:lang w:bidi="ar-EG"/>
              </w:rPr>
              <w:t>261</w:t>
            </w:r>
            <w:r w:rsidRPr="00100589">
              <w:rPr>
                <w:rFonts w:hint="cs"/>
                <w:sz w:val="24"/>
                <w:szCs w:val="24"/>
                <w:rtl/>
                <w:lang w:bidi="ar-EG"/>
              </w:rPr>
              <w:t xml:space="preserve"> والجرائم المرتكبة ضد الاستقلال       الشخصي مثل التعذيب والاكراه غير المشروع ومن أجل تجريم الإلحاق الاحتيالي بملجأ أو عيادة أو مؤسسة مماثلة</w:t>
            </w:r>
            <w:r w:rsidR="00096CD4" w:rsidRPr="00096CD4">
              <w:rPr>
                <w:rFonts w:hint="cs"/>
                <w:sz w:val="24"/>
                <w:szCs w:val="24"/>
                <w:vertAlign w:val="superscript"/>
                <w:rtl/>
                <w:lang w:bidi="ar-EG"/>
              </w:rPr>
              <w:t>262</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القانون رقم 599 لسنة 2000</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يحدد صلاحيات ومهام شبكة التضامن باعتبارها هيئة تنسيقية للنظام الوطني للمعلومات والرعاية المتكاملة للسكان الذين شردهم العنف؛ ويعرف وضع المشرد</w:t>
            </w:r>
            <w:r w:rsidR="00096CD4" w:rsidRPr="00096CD4">
              <w:rPr>
                <w:rFonts w:hint="cs"/>
                <w:sz w:val="24"/>
                <w:szCs w:val="24"/>
                <w:vertAlign w:val="superscript"/>
                <w:rtl/>
                <w:lang w:bidi="ar-EG"/>
              </w:rPr>
              <w:t>263</w:t>
            </w:r>
            <w:r w:rsidRPr="00100589">
              <w:rPr>
                <w:rFonts w:hint="cs"/>
                <w:sz w:val="24"/>
                <w:szCs w:val="24"/>
                <w:rtl/>
                <w:lang w:bidi="ar-EG"/>
              </w:rPr>
              <w:t xml:space="preserve"> وشروط اكتساب هذه الصفة؛ وينشئ وينظم السجل الوحيد للسكان المشردين وآثار إعلان أن لهم هذه الصفة وتسجيلهم؛ ويعرف وينظم الرعاية الإنسانية في حالة الطوارئ والاستقرار الاجتماعي الاقتصادي؛ وينشئ الشبكة الوطنية للمعلومات لرعاية السكان الذين شردهم العنف، ولجان البلديات والأحياء والمقاطعات للرعاية المتكاملة للسكان الذين شردهم العنف</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المرسوم رقم 2569 لسنة 2000</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نظراً لعدم تحقيق النتائج المرجوة، وضعت خطة عمل لمنع التشرد القسري ومعالجته، وتعيد هذه الخطة تحديد آليات وصكوك وقاية السكان المشردين وحمايتهم وتوفير الرعاية الإنسانية الطارئة لهم؛ كما حددت إجراءات تحقيق الاستقرار الاجتماعي الاقتصادي لهؤلاء السكان عن طريق عودة المتضررين أو إعادة توطينهم وتقترح آلية التوزيع القطاعي للميزانية، وتوصي بتعديل الآليات والإجراءات التي تيسر وصول السكان المشردين إلى برامج المؤسسات التي تمثل جزءاً من النظام وبحيث يتاح للدولة التصدي بفعالية لظاهرة التشرد القسري</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 xml:space="preserve">وثيقة </w:t>
            </w:r>
            <w:r w:rsidRPr="00DB25D1">
              <w:rPr>
                <w:sz w:val="18"/>
                <w:szCs w:val="18"/>
              </w:rPr>
              <w:t>CONPES</w:t>
            </w:r>
            <w:r w:rsidRPr="00100589">
              <w:rPr>
                <w:rFonts w:hint="cs"/>
                <w:sz w:val="24"/>
                <w:szCs w:val="24"/>
                <w:rtl/>
                <w:lang w:bidi="ar-EG"/>
              </w:rPr>
              <w:t xml:space="preserve"> رقم 3115 لسنة 2000</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بشأن الرعاية المتكاملة للسكان الذين شردهم العنف</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تعليمات الإدارة العامة للشرطة الوطنية الصادرة في سنة 2000</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يحدد الإجراءات المنطبقة على طلبات دفع  الخدمات الصحية المقدمة إلى السكان المشردين (إلى صندوق التضامن والضمان مباشرة)</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الاتفاق رقم 185 لسنة 2000:</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ينظم جزئياً القانونين رقمي 3 لسنة 1991 و387 لسنة 1997 فيما يتعلق بتوفير المسكن وتقديم إعادة السكن للسكان المشردين</w:t>
            </w:r>
            <w:r w:rsidR="003D7EB4">
              <w:rPr>
                <w:rFonts w:hint="cs"/>
                <w:sz w:val="24"/>
                <w:szCs w:val="24"/>
                <w:rtl/>
                <w:lang w:bidi="ar-EG"/>
              </w:rPr>
              <w:t>،</w:t>
            </w:r>
            <w:r w:rsidRPr="00100589">
              <w:rPr>
                <w:sz w:val="24"/>
                <w:szCs w:val="24"/>
              </w:rPr>
              <w:t xml:space="preserve"> </w:t>
            </w:r>
            <w:r w:rsidRPr="00100589">
              <w:rPr>
                <w:rFonts w:hint="cs"/>
                <w:sz w:val="24"/>
                <w:szCs w:val="24"/>
                <w:rtl/>
                <w:lang w:bidi="ar-EG"/>
              </w:rPr>
              <w:t xml:space="preserve"> وعزز وضع خطة عمل للمنطقة بهدف امتثال معايير وأهداف برنامج إعادة التوطين، وذلك بمشاركة السكان المتضررين</w:t>
            </w:r>
            <w:r w:rsidR="003D7EB4">
              <w:rPr>
                <w:rFonts w:hint="cs"/>
                <w:sz w:val="24"/>
                <w:szCs w:val="24"/>
                <w:rtl/>
                <w:lang w:bidi="ar-EG"/>
              </w:rPr>
              <w:t>،</w:t>
            </w:r>
            <w:r w:rsidRPr="00100589">
              <w:rPr>
                <w:rFonts w:hint="cs"/>
                <w:sz w:val="24"/>
                <w:szCs w:val="24"/>
                <w:rtl/>
                <w:lang w:bidi="ar-EG"/>
              </w:rPr>
              <w:t xml:space="preserve"> انطلاقاً من التنسيق الذي أجري مع السكان المشردين بشأن عودتهم أو إعادة توطينهم، وسوف تحدد خطة عمل المنطقة إستراتيجية لتطبيق إعانة السكن الأسرية والتشخيص المسبق للاحتياجات المعتادة للمشردين، وضعتها اللجنة المعنية بالرعاية المتكاملة للسكان المشردين على المستوى البلدي أو مستوى الحي صاحبت التنسيق مع شبكة التضامن الاجتماعي</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المرسوم رقم 951 لسنة 2001</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sz w:val="24"/>
                <w:szCs w:val="24"/>
              </w:rPr>
              <w:t>(i)</w:t>
            </w:r>
            <w:r w:rsidRPr="00100589">
              <w:rPr>
                <w:rFonts w:hint="cs"/>
                <w:sz w:val="24"/>
                <w:szCs w:val="24"/>
                <w:rtl/>
                <w:lang w:bidi="ar-EG"/>
              </w:rPr>
              <w:t xml:space="preserve"> الاعتراف بحقوق المجتمعات المتعلقة بالملكية، ولا سيما الحقوق المكتسبة بصفة المالك والحائز؛ </w:t>
            </w:r>
            <w:r w:rsidRPr="00100589">
              <w:rPr>
                <w:sz w:val="24"/>
                <w:szCs w:val="24"/>
              </w:rPr>
              <w:t>(ii)</w:t>
            </w:r>
            <w:r w:rsidRPr="00100589">
              <w:rPr>
                <w:rFonts w:hint="cs"/>
                <w:sz w:val="24"/>
                <w:szCs w:val="24"/>
                <w:rtl/>
                <w:lang w:bidi="ar-EG"/>
              </w:rPr>
              <w:t xml:space="preserve"> إعلان التعرض لخطر وشيك للتشرد أو التشرد في منطقة محددة، بهدف تطبيق تدابير مالية للحقوق عن طريق التحديد والتسجيل اللاحق للعقارات المتضررة اللذين يختص بهما </w:t>
            </w:r>
            <w:r w:rsidRPr="00DB25D1">
              <w:rPr>
                <w:sz w:val="18"/>
                <w:szCs w:val="18"/>
              </w:rPr>
              <w:t>INCODER</w:t>
            </w:r>
            <w:r w:rsidRPr="00100589">
              <w:rPr>
                <w:rFonts w:hint="cs"/>
                <w:sz w:val="24"/>
                <w:szCs w:val="24"/>
                <w:rtl/>
                <w:lang w:bidi="ar-EG"/>
              </w:rPr>
              <w:t xml:space="preserve">؛ </w:t>
            </w:r>
            <w:r w:rsidRPr="00100589">
              <w:rPr>
                <w:sz w:val="24"/>
                <w:szCs w:val="24"/>
              </w:rPr>
              <w:t>(iii)</w:t>
            </w:r>
            <w:r w:rsidRPr="00100589">
              <w:rPr>
                <w:rFonts w:hint="cs"/>
                <w:sz w:val="24"/>
                <w:szCs w:val="24"/>
                <w:rtl/>
                <w:lang w:bidi="ar-EG"/>
              </w:rPr>
              <w:t xml:space="preserve"> حظر بيع أو تمليك أو تأجير الممتلكات المعلنة في المناطق المتضررة من التشرد أو في المناطق المعرضة للخطر، وذلك عن طريق تجميد ذلك البيع أو التمليك؛ </w:t>
            </w:r>
            <w:r w:rsidRPr="00100589">
              <w:rPr>
                <w:sz w:val="24"/>
                <w:szCs w:val="24"/>
              </w:rPr>
              <w:t>(iv)</w:t>
            </w:r>
            <w:r w:rsidRPr="00100589">
              <w:rPr>
                <w:rFonts w:hint="cs"/>
                <w:sz w:val="24"/>
                <w:szCs w:val="24"/>
                <w:rtl/>
                <w:lang w:bidi="ar-EG"/>
              </w:rPr>
              <w:t xml:space="preserve"> إنشاء مزارع صغيرة للسكان المشردين إلى أن تتم عودتهم أو إعادة توطينهم؛ </w:t>
            </w:r>
            <w:r w:rsidRPr="00100589">
              <w:rPr>
                <w:sz w:val="24"/>
                <w:szCs w:val="24"/>
              </w:rPr>
              <w:t>(v)</w:t>
            </w:r>
            <w:r w:rsidRPr="00100589">
              <w:rPr>
                <w:rFonts w:hint="cs"/>
                <w:sz w:val="24"/>
                <w:szCs w:val="24"/>
                <w:rtl/>
                <w:lang w:bidi="ar-EG"/>
              </w:rPr>
              <w:t xml:space="preserve"> التوطيد والاستقرار الاجتماعي والاقتصادي النهائي عن طريق المبادلة واكتساب الملكية ووضع اليد وشراء ومنح أراضٍ جديدة؛ </w:t>
            </w:r>
            <w:r w:rsidRPr="00100589">
              <w:rPr>
                <w:sz w:val="24"/>
                <w:szCs w:val="24"/>
              </w:rPr>
              <w:t>(vi)</w:t>
            </w:r>
            <w:r w:rsidRPr="00100589">
              <w:rPr>
                <w:rFonts w:hint="cs"/>
                <w:sz w:val="24"/>
                <w:szCs w:val="24"/>
                <w:rtl/>
                <w:lang w:bidi="ar-EG"/>
              </w:rPr>
              <w:t xml:space="preserve"> التزام الدولة بإعادة الممتلكات المفقودة عن طريق عدة بدائل، مثل المبادلات</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المرسوم التنظيمي رقم 2007 لسنة 2001</w:t>
            </w:r>
          </w:p>
        </w:tc>
      </w:tr>
      <w:tr w:rsidR="00971AE2" w:rsidRPr="00100589">
        <w:trPr>
          <w:jc w:val="center"/>
        </w:trPr>
        <w:tc>
          <w:tcPr>
            <w:tcW w:w="4261" w:type="dxa"/>
          </w:tcPr>
          <w:p w:rsidR="00971AE2" w:rsidRPr="00100589" w:rsidRDefault="00971AE2" w:rsidP="00A343DF">
            <w:pPr>
              <w:spacing w:line="300" w:lineRule="exact"/>
              <w:jc w:val="lowKashida"/>
              <w:rPr>
                <w:rFonts w:hint="cs"/>
                <w:b/>
                <w:bCs/>
                <w:sz w:val="24"/>
                <w:szCs w:val="24"/>
              </w:rPr>
            </w:pPr>
            <w:r w:rsidRPr="00100589">
              <w:rPr>
                <w:rFonts w:hint="cs"/>
                <w:b/>
                <w:bCs/>
                <w:sz w:val="24"/>
                <w:szCs w:val="24"/>
                <w:rtl/>
                <w:lang w:bidi="ar-EG"/>
              </w:rPr>
              <w:t>توجيهات لتقديم الخدمة التعليمية العامة إلى الطلبة المشردين</w:t>
            </w:r>
            <w:r w:rsidR="003D7EB4">
              <w:rPr>
                <w:rFonts w:hint="cs"/>
                <w:b/>
                <w:b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المرسوم رقم 2562 لسنة 2001</w:t>
            </w:r>
          </w:p>
        </w:tc>
      </w:tr>
      <w:tr w:rsidR="00971AE2" w:rsidRPr="00100589">
        <w:trPr>
          <w:jc w:val="center"/>
        </w:trPr>
        <w:tc>
          <w:tcPr>
            <w:tcW w:w="4261" w:type="dxa"/>
          </w:tcPr>
          <w:p w:rsidR="00971AE2" w:rsidRPr="00100589" w:rsidRDefault="00971AE2" w:rsidP="00A343DF">
            <w:pPr>
              <w:spacing w:line="300" w:lineRule="exact"/>
              <w:jc w:val="lowKashida"/>
              <w:rPr>
                <w:rFonts w:hint="cs"/>
                <w:b/>
                <w:bCs/>
                <w:sz w:val="24"/>
                <w:szCs w:val="24"/>
                <w:rtl/>
                <w:lang w:bidi="ar-EG"/>
              </w:rPr>
            </w:pPr>
            <w:r w:rsidRPr="00100589">
              <w:rPr>
                <w:rFonts w:hint="cs"/>
                <w:b/>
                <w:bCs/>
                <w:sz w:val="24"/>
                <w:szCs w:val="24"/>
                <w:rtl/>
                <w:lang w:bidi="ar-EG"/>
              </w:rPr>
              <w:t>تعليمات لتعزيز الرعاية المتكاملة للسكان الذين شردهم العنف</w:t>
            </w:r>
            <w:r w:rsidR="003D7EB4">
              <w:rPr>
                <w:rFonts w:hint="cs"/>
                <w:b/>
                <w:bCs/>
                <w:sz w:val="24"/>
                <w:szCs w:val="24"/>
                <w:rtl/>
                <w:lang w:bidi="ar-EG"/>
              </w:rPr>
              <w:t>،</w:t>
            </w:r>
            <w:r w:rsidRPr="00100589">
              <w:rPr>
                <w:rFonts w:hint="cs"/>
                <w:b/>
                <w:bCs/>
                <w:sz w:val="24"/>
                <w:szCs w:val="24"/>
                <w:rtl/>
                <w:lang w:bidi="ar-EG"/>
              </w:rPr>
              <w:t xml:space="preserve"> موجه إلى: جميع وزراء الحكومة الراهنة ومدير شبكة التضامن الاجتماعي ومديري الدوائر التنظيمية ومديري الهيئات اللامركزية للنظام الوطني والمفوض السامي للسلم ومدير البرنامج الرئاسي لحقوق الإنسان ومستشاري رئيس الجمهورية والمحافظين والعمد والقائد العام للقوات المسلحة وقائد الجيش الوطني وقائد الأسطول الوطني لكولومبيا وقائد السلاح الجوي الكولومبي والقائد العام للشرطة والمدير العام للشرطة ومدير إمرافيزيون ومدير الإذاعة الوطنية لكولومبيا والموظفين الحكوميين بصفة عامة</w:t>
            </w:r>
            <w:r w:rsidR="003D7EB4">
              <w:rPr>
                <w:rFonts w:hint="cs"/>
                <w:b/>
                <w:b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التوجيه الرئاسي رقم 6 لسنة 2001</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بشأن تكاليف البطاقة العسكرية للأشخاص الذين شردهم العنف</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القرار رقم 1879 لسنة 2001 لوزارة الدفاع</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يحدد الحصص الإرشادية لتوزيع موارد الحساب الفرعي للأخطار المأساوية وحوادث العبور</w:t>
            </w:r>
            <w:r w:rsidR="003D7EB4">
              <w:rPr>
                <w:rFonts w:hint="cs"/>
                <w:sz w:val="24"/>
                <w:szCs w:val="24"/>
                <w:rtl/>
                <w:lang w:bidi="ar-EG"/>
              </w:rPr>
              <w:t>،</w:t>
            </w:r>
            <w:r w:rsidRPr="00100589">
              <w:rPr>
                <w:rFonts w:hint="cs"/>
                <w:sz w:val="24"/>
                <w:szCs w:val="24"/>
                <w:rtl/>
                <w:lang w:bidi="ar-EG"/>
              </w:rPr>
              <w:t xml:space="preserve"> والمشروع الفرعي 4: دعم طلبات الضحايا من السكان المشردين</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القرار رقم 474 لسنة 2003</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اتفاق شبكة التضامن الذي حددت بموجبه المبالغ القصوى للرعاية في مجال تحقيق الاستقرار الاجتماعي الاقتصادي لسنة 2003</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الاتفاق رقم 3 المؤرخ في شباط/فبراير 2003</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بشأن حالة السكان المشردين في سواتشا</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القرار الدفاعي الإقليمي رقم 3 لسواتشا:</w:t>
            </w:r>
          </w:p>
        </w:tc>
      </w:tr>
      <w:tr w:rsidR="00971AE2" w:rsidRPr="00100589">
        <w:trPr>
          <w:jc w:val="center"/>
        </w:trPr>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اللائحة التنفيذية للقانون رقم 387 بشأن الرعاية الصحية للسكان المشردين</w:t>
            </w:r>
            <w:r w:rsidR="003D7EB4">
              <w:rPr>
                <w:rFonts w:hint="cs"/>
                <w:sz w:val="24"/>
                <w:szCs w:val="24"/>
                <w:rtl/>
                <w:lang w:bidi="ar-EG"/>
              </w:rPr>
              <w:t>،</w:t>
            </w:r>
          </w:p>
        </w:tc>
        <w:tc>
          <w:tcPr>
            <w:tcW w:w="4261"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المرسوم رقم 2131 لسنة 2003</w:t>
            </w:r>
          </w:p>
        </w:tc>
      </w:tr>
    </w:tbl>
    <w:p w:rsidR="00100589" w:rsidRPr="00100589" w:rsidRDefault="00100589" w:rsidP="00A343DF">
      <w:pPr>
        <w:spacing w:line="120" w:lineRule="exact"/>
        <w:jc w:val="lowKashida"/>
        <w:rPr>
          <w:rFonts w:hint="cs"/>
          <w:b/>
          <w:bCs/>
          <w:sz w:val="10"/>
          <w:rtl/>
          <w:lang w:bidi="ar-EG"/>
        </w:rPr>
      </w:pPr>
    </w:p>
    <w:p w:rsidR="00971AE2" w:rsidRDefault="00100589" w:rsidP="00A343DF">
      <w:pPr>
        <w:spacing w:line="360" w:lineRule="auto"/>
        <w:jc w:val="lowKashida"/>
        <w:rPr>
          <w:rFonts w:hint="cs"/>
          <w:b/>
          <w:bCs/>
          <w:rtl/>
          <w:lang w:bidi="ar-EG"/>
        </w:rPr>
      </w:pPr>
      <w:r>
        <w:rPr>
          <w:rFonts w:hint="cs"/>
          <w:b/>
          <w:bCs/>
          <w:rtl/>
          <w:lang w:bidi="ar-EG"/>
        </w:rPr>
        <w:tab/>
      </w:r>
      <w:r w:rsidR="00971AE2">
        <w:rPr>
          <w:rFonts w:hint="cs"/>
          <w:b/>
          <w:bCs/>
          <w:rtl/>
          <w:lang w:bidi="ar-EG"/>
        </w:rPr>
        <w:t>المنجزات القضائية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2834"/>
      </w:tblGrid>
      <w:tr w:rsidR="00971AE2" w:rsidRPr="00100589">
        <w:trPr>
          <w:jc w:val="center"/>
        </w:trPr>
        <w:tc>
          <w:tcPr>
            <w:tcW w:w="5688"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حقوق المشردين والمشردات</w:t>
            </w:r>
            <w:r w:rsidR="003D7EB4">
              <w:rPr>
                <w:rFonts w:hint="cs"/>
                <w:sz w:val="24"/>
                <w:szCs w:val="24"/>
                <w:rtl/>
                <w:lang w:bidi="ar-EG"/>
              </w:rPr>
              <w:t>،</w:t>
            </w:r>
            <w:r w:rsidRPr="00100589">
              <w:rPr>
                <w:rFonts w:hint="cs"/>
                <w:sz w:val="24"/>
                <w:szCs w:val="24"/>
                <w:rtl/>
                <w:lang w:bidi="ar-EG"/>
              </w:rPr>
              <w:t xml:space="preserve"> طالبت محامية الشعب الإقليمية في أنتيوكيا بحماية عدة مجتمعات محلية للمشردين المؤلفين معظمهم من نساء وأطفال وحوامل من أوامر الطرد</w:t>
            </w:r>
            <w:r w:rsidR="003D7EB4">
              <w:rPr>
                <w:rFonts w:hint="cs"/>
                <w:sz w:val="24"/>
                <w:szCs w:val="24"/>
                <w:rtl/>
                <w:lang w:bidi="ar-EG"/>
              </w:rPr>
              <w:t>،</w:t>
            </w:r>
            <w:r w:rsidRPr="00100589">
              <w:rPr>
                <w:rFonts w:hint="cs"/>
                <w:sz w:val="24"/>
                <w:szCs w:val="24"/>
                <w:rtl/>
                <w:lang w:bidi="ar-EG"/>
              </w:rPr>
              <w:t xml:space="preserve"> ولم تمنع المحكمة الطرد لكنها طورت الرعاية المتكاملة للمشردين فأمرت بحمايتهم وإدماجهم في نظام الرعاية من جانب الحكومة</w:t>
            </w:r>
            <w:r w:rsidR="003D7EB4">
              <w:rPr>
                <w:rFonts w:hint="cs"/>
                <w:sz w:val="24"/>
                <w:szCs w:val="24"/>
                <w:rtl/>
                <w:lang w:bidi="ar-EG"/>
              </w:rPr>
              <w:t>،</w:t>
            </w:r>
            <w:r w:rsidRPr="00100589">
              <w:rPr>
                <w:rFonts w:hint="cs"/>
                <w:sz w:val="24"/>
                <w:szCs w:val="24"/>
                <w:rtl/>
                <w:lang w:bidi="ar-EG"/>
              </w:rPr>
              <w:t xml:space="preserve"> وقررت المحكمة أيضاً أن "ظاهرة الأشخاص المشردين بسبب العنف تمثل إخلالاً بالنظام العام الاجتماعي والاقتصادي في البلد، ولذا فإنه ينبغي لحكام الأقاليم تنفيذ التدابير التي أمر بها رئيس الجمهورية في هذا المجال، باعتبارهم وكلاء لرئيس الجمهورية في هذا الصدد، وفقاً للمادتين 296 و303 من الدستور السياسي"</w:t>
            </w:r>
            <w:r w:rsidR="003D7EB4">
              <w:rPr>
                <w:rFonts w:hint="cs"/>
                <w:sz w:val="24"/>
                <w:szCs w:val="24"/>
                <w:rtl/>
                <w:lang w:bidi="ar-EG"/>
              </w:rPr>
              <w:t>،</w:t>
            </w:r>
          </w:p>
        </w:tc>
        <w:tc>
          <w:tcPr>
            <w:tcW w:w="2834"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 xml:space="preserve">الحكم </w:t>
            </w:r>
            <w:r w:rsidRPr="00DB25D1">
              <w:rPr>
                <w:sz w:val="18"/>
                <w:szCs w:val="18"/>
              </w:rPr>
              <w:t>SU-1150</w:t>
            </w:r>
            <w:r w:rsidRPr="00100589">
              <w:rPr>
                <w:rFonts w:hint="cs"/>
                <w:sz w:val="24"/>
                <w:szCs w:val="24"/>
                <w:rtl/>
                <w:lang w:bidi="ar-EG"/>
              </w:rPr>
              <w:t xml:space="preserve"> لسنة 2000</w:t>
            </w:r>
          </w:p>
        </w:tc>
      </w:tr>
      <w:tr w:rsidR="00971AE2" w:rsidRPr="00100589">
        <w:trPr>
          <w:jc w:val="center"/>
        </w:trPr>
        <w:tc>
          <w:tcPr>
            <w:tcW w:w="5688"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طعن مشردون ومشردات في قواعد نظام تحديد المستفيدين، من أجل الحصول على مستحقات أكبر في نظام الضمان الاجتماعي</w:t>
            </w:r>
            <w:r w:rsidR="003D7EB4">
              <w:rPr>
                <w:rFonts w:hint="cs"/>
                <w:sz w:val="24"/>
                <w:szCs w:val="24"/>
                <w:rtl/>
                <w:lang w:bidi="ar-EG"/>
              </w:rPr>
              <w:t>،</w:t>
            </w:r>
            <w:r w:rsidRPr="00100589">
              <w:rPr>
                <w:rFonts w:hint="cs"/>
                <w:sz w:val="24"/>
                <w:szCs w:val="24"/>
                <w:rtl/>
                <w:lang w:bidi="ar-EG"/>
              </w:rPr>
              <w:t xml:space="preserve"> </w:t>
            </w:r>
          </w:p>
        </w:tc>
        <w:tc>
          <w:tcPr>
            <w:tcW w:w="2834"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 xml:space="preserve">الحكم </w:t>
            </w:r>
            <w:r w:rsidRPr="00DB25D1">
              <w:rPr>
                <w:sz w:val="18"/>
                <w:szCs w:val="18"/>
              </w:rPr>
              <w:t>C-1165</w:t>
            </w:r>
            <w:r w:rsidRPr="00100589">
              <w:rPr>
                <w:rFonts w:hint="cs"/>
                <w:sz w:val="24"/>
                <w:szCs w:val="24"/>
                <w:rtl/>
                <w:lang w:bidi="ar-EG"/>
              </w:rPr>
              <w:t xml:space="preserve"> لسنة 2000</w:t>
            </w:r>
          </w:p>
        </w:tc>
      </w:tr>
      <w:tr w:rsidR="00971AE2" w:rsidRPr="00100589">
        <w:trPr>
          <w:jc w:val="center"/>
        </w:trPr>
        <w:tc>
          <w:tcPr>
            <w:tcW w:w="5688"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قررت المحكمة أن انتهاك الحقوق الأساسية أو تهديدها لا يحدث نتيجة قيام السلطات العامة بأعمال إيجابية وحسب بل أيضاً بسبب عدم أداء الواجبات الدستورية والقانونية الواقعة على عاتقها</w:t>
            </w:r>
            <w:r w:rsidR="003D7EB4">
              <w:rPr>
                <w:rFonts w:hint="cs"/>
                <w:sz w:val="24"/>
                <w:szCs w:val="24"/>
                <w:rtl/>
                <w:lang w:bidi="ar-EG"/>
              </w:rPr>
              <w:t>،</w:t>
            </w:r>
            <w:r w:rsidRPr="00100589">
              <w:rPr>
                <w:rFonts w:hint="cs"/>
                <w:sz w:val="24"/>
                <w:szCs w:val="24"/>
                <w:rtl/>
                <w:lang w:bidi="ar-EG"/>
              </w:rPr>
              <w:t xml:space="preserve"> وأعاد تأكيد أن تقديم الرعاية إلى المشردات هي من مسؤولية رئيس الجمهورية، الذي تتبعه شبكة التضامن</w:t>
            </w:r>
            <w:r w:rsidR="003D7EB4">
              <w:rPr>
                <w:rFonts w:hint="cs"/>
                <w:sz w:val="24"/>
                <w:szCs w:val="24"/>
                <w:rtl/>
                <w:lang w:bidi="ar-EG"/>
              </w:rPr>
              <w:t>،</w:t>
            </w:r>
          </w:p>
        </w:tc>
        <w:tc>
          <w:tcPr>
            <w:tcW w:w="2834"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 xml:space="preserve">الحكم </w:t>
            </w:r>
            <w:r w:rsidRPr="00DB25D1">
              <w:rPr>
                <w:sz w:val="18"/>
                <w:szCs w:val="18"/>
              </w:rPr>
              <w:t>T-1635</w:t>
            </w:r>
            <w:r w:rsidRPr="00100589">
              <w:rPr>
                <w:rFonts w:hint="cs"/>
                <w:sz w:val="24"/>
                <w:szCs w:val="24"/>
                <w:rtl/>
                <w:lang w:bidi="ar-EG"/>
              </w:rPr>
              <w:t xml:space="preserve"> لسنة 2000</w:t>
            </w:r>
          </w:p>
        </w:tc>
      </w:tr>
      <w:tr w:rsidR="00971AE2" w:rsidRPr="00100589">
        <w:trPr>
          <w:jc w:val="center"/>
        </w:trPr>
        <w:tc>
          <w:tcPr>
            <w:tcW w:w="5688"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يمثل التشرد انتهاكاً متعدداً وجسيماً ومستمراً للحقوق الأساسية، في حالة النساء والأطفال، وينبغي تأكيد الرعاية، وينبغي للحكومة التدخل بالرعاية الفورية، وأكد حقيقة أن الأمر يتعلق بالنساء الريفيات</w:t>
            </w:r>
            <w:r w:rsidR="003D7EB4">
              <w:rPr>
                <w:rFonts w:hint="cs"/>
                <w:sz w:val="24"/>
                <w:szCs w:val="24"/>
                <w:rtl/>
                <w:lang w:bidi="ar-EG"/>
              </w:rPr>
              <w:t>،</w:t>
            </w:r>
            <w:r w:rsidRPr="00100589">
              <w:rPr>
                <w:rFonts w:hint="cs"/>
                <w:sz w:val="24"/>
                <w:szCs w:val="24"/>
                <w:rtl/>
                <w:lang w:bidi="ar-EG"/>
              </w:rPr>
              <w:t xml:space="preserve"> وأدمج المبادئ التوجيهية التي أعلنتها الأمم المتحدة بشأن التشرد القسري في التشريع الداخلي من خلال الدستور وأشار</w:t>
            </w:r>
            <w:r w:rsidR="00DB25D1">
              <w:rPr>
                <w:sz w:val="24"/>
                <w:szCs w:val="24"/>
                <w:rtl/>
                <w:lang w:bidi="ar-EG"/>
              </w:rPr>
              <w:br/>
            </w:r>
            <w:r w:rsidRPr="00100589">
              <w:rPr>
                <w:rFonts w:hint="cs"/>
                <w:sz w:val="24"/>
                <w:szCs w:val="24"/>
                <w:rtl/>
                <w:lang w:bidi="ar-EG"/>
              </w:rPr>
              <w:t xml:space="preserve">إلى </w:t>
            </w:r>
            <w:r w:rsidRPr="00100589">
              <w:rPr>
                <w:rFonts w:hint="cs"/>
                <w:b/>
                <w:bCs/>
                <w:sz w:val="24"/>
                <w:szCs w:val="24"/>
                <w:rtl/>
                <w:lang w:bidi="ar-EG"/>
              </w:rPr>
              <w:t xml:space="preserve">الحكم </w:t>
            </w:r>
            <w:r w:rsidRPr="00DB25D1">
              <w:rPr>
                <w:b/>
                <w:bCs/>
                <w:sz w:val="18"/>
                <w:szCs w:val="18"/>
              </w:rPr>
              <w:t>T-227</w:t>
            </w:r>
            <w:r w:rsidRPr="00100589">
              <w:rPr>
                <w:rFonts w:hint="cs"/>
                <w:b/>
                <w:bCs/>
                <w:sz w:val="24"/>
                <w:szCs w:val="24"/>
                <w:rtl/>
                <w:lang w:bidi="ar-EG"/>
              </w:rPr>
              <w:t xml:space="preserve"> لسنة 1997</w:t>
            </w:r>
            <w:r w:rsidRPr="00100589">
              <w:rPr>
                <w:rFonts w:hint="cs"/>
                <w:sz w:val="24"/>
                <w:szCs w:val="24"/>
                <w:rtl/>
                <w:lang w:bidi="ar-EG"/>
              </w:rPr>
              <w:t xml:space="preserve"> المتعلق بنفس موضوع التشرد، الذي حُددت فيه مبادئ</w:t>
            </w:r>
            <w:r w:rsidR="003D7EB4">
              <w:rPr>
                <w:rFonts w:hint="cs"/>
                <w:sz w:val="24"/>
                <w:szCs w:val="24"/>
                <w:rtl/>
                <w:lang w:bidi="ar-EG"/>
              </w:rPr>
              <w:t>،</w:t>
            </w:r>
          </w:p>
        </w:tc>
        <w:tc>
          <w:tcPr>
            <w:tcW w:w="2834" w:type="dxa"/>
          </w:tcPr>
          <w:p w:rsidR="00971AE2" w:rsidRPr="00100589" w:rsidRDefault="00971AE2" w:rsidP="00A343DF">
            <w:pPr>
              <w:spacing w:line="300" w:lineRule="exact"/>
              <w:jc w:val="lowKashida"/>
              <w:rPr>
                <w:rFonts w:hint="cs"/>
                <w:sz w:val="24"/>
                <w:szCs w:val="24"/>
                <w:rtl/>
                <w:lang w:bidi="ar-EG"/>
              </w:rPr>
            </w:pPr>
            <w:r w:rsidRPr="00100589">
              <w:rPr>
                <w:rFonts w:hint="cs"/>
                <w:sz w:val="24"/>
                <w:szCs w:val="24"/>
                <w:rtl/>
                <w:lang w:bidi="ar-EG"/>
              </w:rPr>
              <w:t xml:space="preserve">الحكم </w:t>
            </w:r>
            <w:r w:rsidRPr="00DB25D1">
              <w:rPr>
                <w:sz w:val="18"/>
                <w:szCs w:val="18"/>
              </w:rPr>
              <w:t>T-327</w:t>
            </w:r>
            <w:r w:rsidRPr="00100589">
              <w:rPr>
                <w:rFonts w:hint="cs"/>
                <w:sz w:val="24"/>
                <w:szCs w:val="24"/>
                <w:rtl/>
                <w:lang w:bidi="ar-EG"/>
              </w:rPr>
              <w:t xml:space="preserve"> لسنة 2001</w:t>
            </w:r>
          </w:p>
        </w:tc>
      </w:tr>
      <w:tr w:rsidR="00971AE2" w:rsidRPr="00100589">
        <w:trPr>
          <w:jc w:val="center"/>
        </w:trPr>
        <w:tc>
          <w:tcPr>
            <w:tcW w:w="5688" w:type="dxa"/>
          </w:tcPr>
          <w:p w:rsidR="00971AE2" w:rsidRPr="00100589" w:rsidRDefault="00971AE2" w:rsidP="004D7D38">
            <w:pPr>
              <w:keepNext/>
              <w:spacing w:line="300" w:lineRule="exact"/>
              <w:jc w:val="lowKashida"/>
              <w:rPr>
                <w:rFonts w:hint="cs"/>
                <w:sz w:val="24"/>
                <w:szCs w:val="24"/>
                <w:rtl/>
                <w:lang w:bidi="ar-EG"/>
              </w:rPr>
            </w:pPr>
            <w:r w:rsidRPr="00100589">
              <w:rPr>
                <w:rFonts w:hint="cs"/>
                <w:sz w:val="24"/>
                <w:szCs w:val="24"/>
                <w:rtl/>
                <w:lang w:bidi="ar-EG"/>
              </w:rPr>
              <w:t>أعلن إمكانية تطبيق الوصف الجنائي للتشرد القسري</w:t>
            </w:r>
            <w:r w:rsidR="003D7EB4">
              <w:rPr>
                <w:rFonts w:hint="cs"/>
                <w:sz w:val="24"/>
                <w:szCs w:val="24"/>
                <w:rtl/>
                <w:lang w:bidi="ar-EG"/>
              </w:rPr>
              <w:t>،</w:t>
            </w:r>
          </w:p>
        </w:tc>
        <w:tc>
          <w:tcPr>
            <w:tcW w:w="2834" w:type="dxa"/>
          </w:tcPr>
          <w:p w:rsidR="00971AE2" w:rsidRPr="00100589" w:rsidRDefault="00971AE2" w:rsidP="004D7D38">
            <w:pPr>
              <w:keepNext/>
              <w:spacing w:line="300" w:lineRule="exact"/>
              <w:jc w:val="lowKashida"/>
              <w:rPr>
                <w:rFonts w:hint="cs"/>
                <w:sz w:val="24"/>
                <w:szCs w:val="24"/>
                <w:rtl/>
                <w:lang w:bidi="ar-EG"/>
              </w:rPr>
            </w:pPr>
            <w:r w:rsidRPr="00100589">
              <w:rPr>
                <w:rFonts w:hint="cs"/>
                <w:sz w:val="24"/>
                <w:szCs w:val="24"/>
                <w:rtl/>
                <w:lang w:bidi="ar-EG"/>
              </w:rPr>
              <w:t xml:space="preserve">الحكم </w:t>
            </w:r>
            <w:r w:rsidRPr="00100589">
              <w:rPr>
                <w:sz w:val="24"/>
                <w:szCs w:val="24"/>
              </w:rPr>
              <w:t>C-232</w:t>
            </w:r>
            <w:r w:rsidRPr="00100589">
              <w:rPr>
                <w:rFonts w:hint="cs"/>
                <w:sz w:val="24"/>
                <w:szCs w:val="24"/>
                <w:rtl/>
                <w:lang w:bidi="ar-EG"/>
              </w:rPr>
              <w:t xml:space="preserve"> لسنة 2002</w:t>
            </w:r>
          </w:p>
        </w:tc>
      </w:tr>
      <w:tr w:rsidR="00971AE2" w:rsidRPr="00100589">
        <w:trPr>
          <w:jc w:val="center"/>
        </w:trPr>
        <w:tc>
          <w:tcPr>
            <w:tcW w:w="5688" w:type="dxa"/>
          </w:tcPr>
          <w:p w:rsidR="00971AE2" w:rsidRPr="00100589" w:rsidRDefault="00971AE2" w:rsidP="004D7D38">
            <w:pPr>
              <w:keepNext/>
              <w:spacing w:line="300" w:lineRule="exact"/>
              <w:jc w:val="lowKashida"/>
              <w:rPr>
                <w:rFonts w:hint="cs"/>
                <w:sz w:val="24"/>
                <w:szCs w:val="24"/>
                <w:rtl/>
                <w:lang w:bidi="ar-EG"/>
              </w:rPr>
            </w:pPr>
            <w:r w:rsidRPr="00100589">
              <w:rPr>
                <w:rFonts w:hint="cs"/>
                <w:sz w:val="24"/>
                <w:szCs w:val="24"/>
                <w:rtl/>
                <w:lang w:bidi="ar-EG"/>
              </w:rPr>
              <w:t>اعتمد نظام روما للمحكمة الجنائية الدولية، الذي ينص، في جملة أمور، على النزوح الجبري باعتباره وسيلة شرعية لحماية السكان المدنيين</w:t>
            </w:r>
            <w:r w:rsidR="003D7EB4">
              <w:rPr>
                <w:rFonts w:hint="cs"/>
                <w:sz w:val="24"/>
                <w:szCs w:val="24"/>
                <w:rtl/>
                <w:lang w:bidi="ar-EG"/>
              </w:rPr>
              <w:t>،</w:t>
            </w:r>
          </w:p>
        </w:tc>
        <w:tc>
          <w:tcPr>
            <w:tcW w:w="2834" w:type="dxa"/>
          </w:tcPr>
          <w:p w:rsidR="00971AE2" w:rsidRPr="00100589" w:rsidRDefault="00971AE2" w:rsidP="004D7D38">
            <w:pPr>
              <w:keepNext/>
              <w:spacing w:line="300" w:lineRule="exact"/>
              <w:jc w:val="lowKashida"/>
              <w:rPr>
                <w:rFonts w:hint="cs"/>
                <w:sz w:val="24"/>
                <w:szCs w:val="24"/>
                <w:rtl/>
                <w:lang w:bidi="ar-EG"/>
              </w:rPr>
            </w:pPr>
            <w:r w:rsidRPr="00100589">
              <w:rPr>
                <w:rFonts w:hint="cs"/>
                <w:sz w:val="24"/>
                <w:szCs w:val="24"/>
                <w:rtl/>
                <w:lang w:bidi="ar-EG"/>
              </w:rPr>
              <w:t xml:space="preserve">الحكم </w:t>
            </w:r>
            <w:r w:rsidRPr="00100589">
              <w:rPr>
                <w:sz w:val="24"/>
                <w:szCs w:val="24"/>
              </w:rPr>
              <w:t>C-578</w:t>
            </w:r>
            <w:r w:rsidRPr="00100589">
              <w:rPr>
                <w:rFonts w:hint="cs"/>
                <w:sz w:val="24"/>
                <w:szCs w:val="24"/>
                <w:rtl/>
                <w:lang w:bidi="ar-EG"/>
              </w:rPr>
              <w:t xml:space="preserve"> لسنة 2002</w:t>
            </w:r>
          </w:p>
        </w:tc>
      </w:tr>
    </w:tbl>
    <w:p w:rsidR="00104012" w:rsidRPr="00104012" w:rsidRDefault="00104012" w:rsidP="004D7D38">
      <w:pPr>
        <w:pStyle w:val="SingleTxt"/>
        <w:keepNext/>
        <w:spacing w:after="0" w:line="120" w:lineRule="exact"/>
        <w:rPr>
          <w:rFonts w:hint="cs"/>
          <w:b/>
          <w:bCs/>
          <w:sz w:val="10"/>
          <w:u w:val="single"/>
          <w:rtl/>
        </w:rPr>
      </w:pPr>
    </w:p>
    <w:p w:rsidR="004D7D38" w:rsidRPr="004D7D38" w:rsidRDefault="004D7D38" w:rsidP="004D7D38">
      <w:pPr>
        <w:pStyle w:val="SingleTxt"/>
        <w:spacing w:after="0" w:line="120" w:lineRule="exact"/>
        <w:rPr>
          <w:rFonts w:hint="cs"/>
          <w:sz w:val="10"/>
          <w:rtl/>
        </w:rPr>
      </w:pPr>
    </w:p>
    <w:p w:rsidR="00971AE2" w:rsidRDefault="004D7D38" w:rsidP="004D7D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71AE2">
        <w:rPr>
          <w:rFonts w:hint="cs"/>
          <w:rtl/>
        </w:rPr>
        <w:t>المنجزات الإدارية</w:t>
      </w:r>
    </w:p>
    <w:p w:rsidR="00104012" w:rsidRPr="00104012" w:rsidRDefault="00104012" w:rsidP="00104012">
      <w:pPr>
        <w:pStyle w:val="SingleTxt"/>
        <w:spacing w:after="0" w:line="120" w:lineRule="exact"/>
        <w:rPr>
          <w:rFonts w:hint="cs"/>
          <w:sz w:val="10"/>
          <w:rtl/>
        </w:rPr>
      </w:pPr>
    </w:p>
    <w:p w:rsidR="00971AE2" w:rsidRDefault="00971AE2" w:rsidP="00540A6F">
      <w:pPr>
        <w:pStyle w:val="SingleTxt"/>
        <w:rPr>
          <w:rFonts w:hint="cs"/>
          <w:rtl/>
          <w:lang w:bidi="ar-EG"/>
        </w:rPr>
      </w:pPr>
      <w:r>
        <w:rPr>
          <w:rFonts w:hint="cs"/>
          <w:rtl/>
          <w:lang w:bidi="ar-EG"/>
        </w:rPr>
        <w:tab/>
        <w:t>تنسق التدابير الحكومية لمعالجة التشرد القسري بواسطة النظام الوطني للرعاية المتكاملة للسكان المشردين، الذي تقوده شبكة التضامن الاجتماعي</w:t>
      </w:r>
      <w:r w:rsidR="00540A6F" w:rsidRPr="00540A6F">
        <w:rPr>
          <w:rFonts w:hint="cs"/>
          <w:vertAlign w:val="superscript"/>
          <w:rtl/>
          <w:lang w:bidi="ar-EG"/>
        </w:rPr>
        <w:t>264</w:t>
      </w:r>
      <w:r>
        <w:rPr>
          <w:rFonts w:hint="cs"/>
          <w:rtl/>
          <w:lang w:bidi="ar-EG"/>
        </w:rPr>
        <w:t xml:space="preserve"> ومن أجل توفير الرعاية على المستوى الوطني أنشئت 35 لجنة معنية بالتشرد في المقاطعات و15 وحدة للرعاية والتوجيه</w:t>
      </w:r>
      <w:r w:rsidR="003D7EB4">
        <w:rPr>
          <w:rFonts w:hint="cs"/>
          <w:rtl/>
          <w:lang w:bidi="ar-EG"/>
        </w:rPr>
        <w:t>،</w:t>
      </w:r>
      <w:r>
        <w:rPr>
          <w:rFonts w:hint="cs"/>
          <w:rtl/>
          <w:lang w:bidi="ar-EG"/>
        </w:rPr>
        <w:t xml:space="preserve"> وتوحد الرعاية عن طريق تضافر الجهود العامة والخاصة والإدارة الملائمة والكفؤة للموارد البشرية والتقنية والإدارية والمالية التي تخصص لهذا الغرض</w:t>
      </w:r>
      <w:r w:rsidR="003D7EB4">
        <w:rPr>
          <w:rFonts w:hint="cs"/>
          <w:rtl/>
          <w:lang w:bidi="ar-EG"/>
        </w:rPr>
        <w:t>،</w:t>
      </w:r>
      <w:r>
        <w:rPr>
          <w:rFonts w:hint="cs"/>
          <w:rtl/>
          <w:lang w:bidi="ar-EG"/>
        </w:rPr>
        <w:t xml:space="preserve"> واتخذت تدابير للمنع والمساندة والرعاية الإنسانية </w:t>
      </w:r>
      <w:r w:rsidR="00540A6F" w:rsidRPr="00540A6F">
        <w:rPr>
          <w:rFonts w:hint="cs"/>
          <w:vertAlign w:val="superscript"/>
          <w:rtl/>
          <w:lang w:bidi="ar-EG"/>
        </w:rPr>
        <w:t>265</w:t>
      </w:r>
      <w:r>
        <w:rPr>
          <w:rFonts w:hint="cs"/>
          <w:rtl/>
          <w:lang w:bidi="ar-EG"/>
        </w:rPr>
        <w:t xml:space="preserve"> وبرامج لإعادة التوطين </w:t>
      </w:r>
      <w:r w:rsidR="00540A6F" w:rsidRPr="00540A6F">
        <w:rPr>
          <w:rFonts w:hint="cs"/>
          <w:vertAlign w:val="superscript"/>
          <w:rtl/>
          <w:lang w:bidi="ar-EG"/>
        </w:rPr>
        <w:t>266</w:t>
      </w:r>
      <w:r>
        <w:rPr>
          <w:rFonts w:hint="cs"/>
          <w:rtl/>
          <w:lang w:bidi="ar-EG"/>
        </w:rPr>
        <w:t xml:space="preserve"> وفي حال السكان المتضررين إعادة بناء حياتهم في ظروف كريمة</w:t>
      </w:r>
      <w:r w:rsidR="003D7EB4">
        <w:rPr>
          <w:rFonts w:hint="cs"/>
          <w:rtl/>
          <w:lang w:bidi="ar-EG"/>
        </w:rPr>
        <w:t>،</w:t>
      </w:r>
    </w:p>
    <w:p w:rsidR="00971AE2" w:rsidRDefault="00104012" w:rsidP="00540A6F">
      <w:pPr>
        <w:pStyle w:val="SingleTxt"/>
        <w:rPr>
          <w:rFonts w:hint="cs"/>
          <w:rtl/>
          <w:lang w:bidi="ar-EG"/>
        </w:rPr>
      </w:pPr>
      <w:r>
        <w:rPr>
          <w:rFonts w:hint="cs"/>
          <w:rtl/>
          <w:lang w:bidi="ar-EG"/>
        </w:rPr>
        <w:tab/>
      </w:r>
      <w:r w:rsidR="00971AE2">
        <w:rPr>
          <w:rFonts w:hint="cs"/>
          <w:rtl/>
          <w:lang w:bidi="ar-EG"/>
        </w:rPr>
        <w:t xml:space="preserve">وتقوم شبكة التضامن الاجتماعي، عن طريق مشروع برنامج الأمم المتحدة الإنمائي </w:t>
      </w:r>
      <w:r w:rsidR="00971AE2">
        <w:t>COL97/001</w:t>
      </w:r>
      <w:r w:rsidR="00971AE2">
        <w:rPr>
          <w:rFonts w:hint="cs"/>
          <w:rtl/>
          <w:lang w:bidi="ar-EG"/>
        </w:rPr>
        <w:t xml:space="preserve"> بتعزيز ودعم وضع الاقتراحات التي تدعم العمل الذي تقوم به الشبكة لتحسين نوعية حياة المجموعات السكانية في البلد وتوطيد ممارسة حقوقهم باعتبارهم مواطنين</w:t>
      </w:r>
      <w:r w:rsidR="003D7EB4">
        <w:rPr>
          <w:rFonts w:hint="cs"/>
          <w:rtl/>
          <w:lang w:bidi="ar-EG"/>
        </w:rPr>
        <w:t>،</w:t>
      </w:r>
      <w:r w:rsidR="00971AE2">
        <w:rPr>
          <w:rFonts w:hint="cs"/>
          <w:rtl/>
          <w:lang w:bidi="ar-EG"/>
        </w:rPr>
        <w:t xml:space="preserve"> ومن بين عناصر هذا المشروع التحالف من أجل المساواة </w:t>
      </w:r>
      <w:r w:rsidR="00540A6F" w:rsidRPr="00540A6F">
        <w:rPr>
          <w:rFonts w:hint="cs"/>
          <w:vertAlign w:val="superscript"/>
          <w:rtl/>
          <w:lang w:bidi="ar-EG"/>
        </w:rPr>
        <w:t>267</w:t>
      </w:r>
      <w:r w:rsidR="00971AE2">
        <w:rPr>
          <w:rFonts w:hint="cs"/>
          <w:rtl/>
          <w:lang w:bidi="ar-EG"/>
        </w:rPr>
        <w:t>، الذي يرمي إلى الإسهام في تقوية العمليات التنظيمية للمجتمعات المحلية وفئات سكانية معينة، عن طريق دعم اقتراحات منظمات أو جمعيات هذه المجتمعات والفئات</w:t>
      </w:r>
      <w:r w:rsidR="003D7EB4">
        <w:rPr>
          <w:rFonts w:hint="cs"/>
          <w:rtl/>
          <w:lang w:bidi="ar-EG"/>
        </w:rPr>
        <w:t>،</w:t>
      </w:r>
      <w:r w:rsidR="00971AE2">
        <w:rPr>
          <w:rFonts w:hint="cs"/>
          <w:rtl/>
          <w:lang w:bidi="ar-EG"/>
        </w:rPr>
        <w:t xml:space="preserve"> ومن أجل زيادة الفوائد التي يحققها العمل المجتمعي للنساء سيقوم التحالف من أجل المساواة بدعم تقنية القدرة القيادية لهذه الفئة السكانية وتقوية منظماتها، بحيث تستطيع معرفة حقوقها والدفاع عنها وإدارة مواردها وتقوية مشاركتها الاجتماعية والسياسية</w:t>
      </w:r>
      <w:r w:rsidR="003D7EB4">
        <w:rPr>
          <w:rFonts w:hint="cs"/>
          <w:rtl/>
          <w:lang w:bidi="ar-EG"/>
        </w:rPr>
        <w:t>،</w:t>
      </w:r>
    </w:p>
    <w:p w:rsidR="00971AE2" w:rsidRDefault="00971AE2" w:rsidP="00A343DF">
      <w:pPr>
        <w:pStyle w:val="SingleTxt"/>
        <w:rPr>
          <w:rFonts w:hint="cs"/>
          <w:rtl/>
          <w:lang w:bidi="ar-EG"/>
        </w:rPr>
      </w:pPr>
      <w:r>
        <w:rPr>
          <w:rFonts w:hint="cs"/>
          <w:rtl/>
          <w:lang w:bidi="ar-EG"/>
        </w:rPr>
        <w:tab/>
        <w:t>وعلى وجه الخصوص قدمت شبكة التضامن الاجتماعي في مرحلة الرعاية الإنسانية الطارئة معالجة خاصة لحالة المرأة، مع مراعاة مراحل الحمل والإرضاع والشيخوخة والإعاقة كما تحولت استراتيجية المطابخ المجتمعية في مناطق مستوطنات السكان المشردين إلى مجال للتدخل النسائي النشط</w:t>
      </w:r>
      <w:r w:rsidR="003D7EB4">
        <w:rPr>
          <w:rFonts w:hint="cs"/>
          <w:rtl/>
          <w:lang w:bidi="ar-EG"/>
        </w:rPr>
        <w:t>،</w:t>
      </w:r>
    </w:p>
    <w:p w:rsidR="00971AE2" w:rsidRDefault="00971AE2" w:rsidP="00A343DF">
      <w:pPr>
        <w:pStyle w:val="SingleTxt"/>
        <w:rPr>
          <w:rFonts w:hint="cs"/>
          <w:rtl/>
          <w:lang w:bidi="ar-EG"/>
        </w:rPr>
      </w:pPr>
      <w:r>
        <w:rPr>
          <w:rFonts w:hint="cs"/>
          <w:rtl/>
          <w:lang w:bidi="ar-EG"/>
        </w:rPr>
        <w:tab/>
        <w:t>وأصبح دور المرأة مهما وإيجابياً في المشاريع الإنتاجية لبرامج السكان المشردين، مثلما يتضح في عمليات توزيع الأغذية التي أسندت فيها إلى المجموعات النسائية أعمال مراقبة نوعية الأغذية والتغذية والتوازن الغذائي، مع تعزيز الاستعمال الصحيح للأغذية والاستفادة من النفايات وإدارتها وتنظيم وجبات مجتمعية والقيام أساساً بأدوار الرقابة الاجتماعي وتقديم خدمات عن الموارد المستثمرة لصالح المجتمعات المحلية</w:t>
      </w:r>
      <w:r w:rsidR="003D7EB4">
        <w:rPr>
          <w:rFonts w:hint="cs"/>
          <w:rtl/>
          <w:lang w:bidi="ar-EG"/>
        </w:rPr>
        <w:t>،</w:t>
      </w:r>
    </w:p>
    <w:p w:rsidR="00971AE2" w:rsidRDefault="00971AE2" w:rsidP="00A343DF">
      <w:pPr>
        <w:pStyle w:val="SingleTxt"/>
        <w:rPr>
          <w:rFonts w:hint="cs"/>
          <w:rtl/>
          <w:lang w:bidi="ar-EG"/>
        </w:rPr>
      </w:pPr>
      <w:r>
        <w:rPr>
          <w:rFonts w:hint="cs"/>
          <w:rtl/>
          <w:lang w:bidi="ar-EG"/>
        </w:rPr>
        <w:tab/>
        <w:t>وهذه هي الأعمال التي قامت بها شبكة التضامن الاجتماعي من أجل رعاية المشردات</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عملية استصدار الوثائق، وصول النساء إلى الخدمات والرامج</w:t>
      </w:r>
      <w:r w:rsidR="003D7EB4">
        <w:rPr>
          <w:rFonts w:hint="cs"/>
          <w:rtl/>
          <w:lang w:bidi="ar-EG"/>
        </w:rPr>
        <w:t>،</w:t>
      </w:r>
      <w:r>
        <w:rPr>
          <w:rFonts w:hint="cs"/>
          <w:rtl/>
          <w:lang w:bidi="ar-EG"/>
        </w:rPr>
        <w:t xml:space="preserve"> للمنظمات غير الحكومية التي تعمل من أجل الإدارة المخولة للموارد للرعاية الانسانية الطارئة صندوق لتعزيز عمليات الحصول على الأبراق الرسمية</w:t>
      </w:r>
      <w:r w:rsidR="003D7EB4">
        <w:rPr>
          <w:rFonts w:hint="cs"/>
          <w:rtl/>
          <w:lang w:bidi="ar-EG"/>
        </w:rPr>
        <w:t>،</w:t>
      </w:r>
      <w:r>
        <w:rPr>
          <w:rFonts w:hint="cs"/>
          <w:rtl/>
          <w:lang w:bidi="ar-EG"/>
        </w:rPr>
        <w:t xml:space="preserve"> كما قامت منظمات مثل الأكنور والكنيسة عن طريق الرواد الاجتماعيين حملات جماعية في الأماكن المهمة مثل أورابا ومغدلينا ميديو، وجنوب البلد</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يرمي عنصر الرعاية النفسية الاجتماعية باعتباره محورا شاملاً لرعاية السكان المشردين إلى تقديم الدعم إلى النساء والرجال في إعداد الخبرة الحية وفي إنعاش مشروع حياتهم</w:t>
      </w:r>
      <w:r w:rsidR="003D7EB4">
        <w:rPr>
          <w:rFonts w:hint="cs"/>
          <w:rtl/>
          <w:lang w:bidi="ar-EG"/>
        </w:rPr>
        <w:t>،</w:t>
      </w:r>
      <w:r>
        <w:rPr>
          <w:rFonts w:hint="cs"/>
          <w:rtl/>
          <w:lang w:bidi="ar-EG"/>
        </w:rPr>
        <w:t xml:space="preserve"> ويُضطلع بما سبق بهدف استعادة مهاراتهم وقدراتهم وإعادة بناء الشبكات الاجتماعية والأسرية في سياق الاستيطان أو العودة</w:t>
      </w:r>
      <w:r w:rsidR="003D7EB4">
        <w:rPr>
          <w:rFonts w:hint="cs"/>
          <w:rtl/>
          <w:lang w:bidi="ar-EG"/>
        </w:rPr>
        <w:t>،</w:t>
      </w:r>
      <w:r>
        <w:rPr>
          <w:rFonts w:hint="cs"/>
          <w:rtl/>
          <w:lang w:bidi="ar-EG"/>
        </w:rPr>
        <w:t xml:space="preserve"> وقد </w:t>
      </w:r>
      <w:r w:rsidR="00540A6F">
        <w:rPr>
          <w:rFonts w:hint="cs"/>
          <w:rtl/>
          <w:lang w:bidi="ar-EG"/>
        </w:rPr>
        <w:t>أجريت في تنفيذ هذا العنصر تجربة</w:t>
      </w:r>
      <w:r w:rsidR="003D7EB4">
        <w:rPr>
          <w:rFonts w:hint="cs"/>
          <w:rtl/>
          <w:lang w:bidi="ar-EG"/>
        </w:rPr>
        <w:t>،</w:t>
      </w:r>
      <w:r>
        <w:rPr>
          <w:rFonts w:hint="cs"/>
          <w:rtl/>
          <w:lang w:bidi="ar-EG"/>
        </w:rPr>
        <w:t>رائدة</w:t>
      </w:r>
      <w:r w:rsidR="003D7EB4">
        <w:rPr>
          <w:rFonts w:hint="cs"/>
          <w:rtl/>
          <w:lang w:bidi="ar-EG"/>
        </w:rPr>
        <w:t>،</w:t>
      </w:r>
      <w:r>
        <w:rPr>
          <w:rFonts w:hint="cs"/>
          <w:rtl/>
          <w:lang w:bidi="ar-EG"/>
        </w:rPr>
        <w:t>بثمانين امرأة مشردة في بوغوتا حددت قواعد مهمة للعمل من أجل رعاية المشردات</w:t>
      </w:r>
      <w:r w:rsidR="003D7EB4">
        <w:rPr>
          <w:rFonts w:hint="cs"/>
          <w:rtl/>
          <w:lang w:bidi="ar-EG"/>
        </w:rPr>
        <w:t>،</w:t>
      </w:r>
      <w:r>
        <w:rPr>
          <w:rFonts w:hint="cs"/>
          <w:rtl/>
          <w:lang w:bidi="ar-EG"/>
        </w:rPr>
        <w:t xml:space="preserve"> </w:t>
      </w:r>
    </w:p>
    <w:p w:rsidR="00971AE2" w:rsidRDefault="00971AE2" w:rsidP="00A343DF">
      <w:pPr>
        <w:pStyle w:val="SingleTxt"/>
        <w:rPr>
          <w:rFonts w:hint="cs"/>
          <w:rtl/>
          <w:lang w:bidi="ar-EG"/>
        </w:rPr>
      </w:pPr>
      <w:r>
        <w:rPr>
          <w:rFonts w:hint="cs"/>
          <w:rtl/>
          <w:lang w:bidi="ar-EG"/>
        </w:rPr>
        <w:tab/>
        <w:t>-</w:t>
      </w:r>
      <w:r>
        <w:rPr>
          <w:rFonts w:hint="cs"/>
          <w:rtl/>
          <w:lang w:bidi="ar-EG"/>
        </w:rPr>
        <w:tab/>
        <w:t>تسعى الرعاية الإنسانية، على أساس النهج السكاني ، إلى تحقيق قدر أكبر من المساواة بين الجنسين في مجال توزيع المعونة وكذلك إدراج العناصر التي تحددها في الاحتياجات الخاصة للنساء حسب أصلهم الإثني وحالة الإرضاع أو الحمل</w:t>
      </w:r>
      <w:r w:rsidR="003D7EB4">
        <w:rPr>
          <w:rFonts w:hint="cs"/>
          <w:rtl/>
          <w:lang w:bidi="ar-EG"/>
        </w:rPr>
        <w:t>،</w:t>
      </w:r>
      <w:r>
        <w:rPr>
          <w:rFonts w:hint="cs"/>
          <w:rtl/>
          <w:lang w:bidi="ar-EG"/>
        </w:rPr>
        <w:t xml:space="preserve"> </w:t>
      </w:r>
    </w:p>
    <w:p w:rsidR="00971AE2" w:rsidRDefault="00971AE2" w:rsidP="00A343DF">
      <w:pPr>
        <w:pStyle w:val="SingleTxt"/>
        <w:rPr>
          <w:rFonts w:hint="cs"/>
          <w:rtl/>
          <w:lang w:bidi="ar-EG"/>
        </w:rPr>
      </w:pPr>
      <w:r>
        <w:rPr>
          <w:rFonts w:hint="cs"/>
          <w:rtl/>
          <w:lang w:bidi="ar-EG"/>
        </w:rPr>
        <w:tab/>
        <w:t>-</w:t>
      </w:r>
      <w:r>
        <w:rPr>
          <w:rFonts w:hint="cs"/>
          <w:rtl/>
          <w:lang w:bidi="ar-EG"/>
        </w:rPr>
        <w:tab/>
        <w:t>المساعدة غير الغذائية: خلال مرحلة الطوارئ مُنح السكان المشردون مجموعات أدوات للنظافة الشخصية، مع تحديد الظروف الخاصة مثل ظروف الحوامل والأطفال دون سن الثانية وكبار السن</w:t>
      </w:r>
      <w:r w:rsidR="003D7EB4">
        <w:rPr>
          <w:rFonts w:hint="cs"/>
          <w:rtl/>
          <w:lang w:bidi="ar-EG"/>
        </w:rPr>
        <w:t>،</w:t>
      </w:r>
    </w:p>
    <w:p w:rsidR="00971AE2" w:rsidRDefault="00971AE2" w:rsidP="00A343DF">
      <w:pPr>
        <w:pStyle w:val="SingleTxt"/>
        <w:rPr>
          <w:rFonts w:hint="cs"/>
          <w:rtl/>
          <w:lang w:bidi="ar-EG"/>
        </w:rPr>
      </w:pPr>
      <w:r>
        <w:rPr>
          <w:rFonts w:hint="cs"/>
          <w:rtl/>
          <w:lang w:bidi="ar-EG"/>
        </w:rPr>
        <w:t>-</w:t>
      </w:r>
      <w:r>
        <w:rPr>
          <w:rFonts w:hint="cs"/>
          <w:rtl/>
          <w:lang w:bidi="ar-EG"/>
        </w:rPr>
        <w:tab/>
        <w:t>المشاريع الإنتاجية هي إحدى استراتيجيات عنصر إدرار الدخل التي ترمي إلى تهيئة الظروف اللازمة لكي تستعيد الأسرة المتضررة من التشرد قدرتها الإنتاجية والظروف اللازمة للحصول على السلع والخدمات الأساسية ، وقد استفادت في هذا الصدد 430 أسرة لرئيسات الأسر المشردات</w:t>
      </w:r>
      <w:r w:rsidR="003D7EB4">
        <w:rPr>
          <w:rFonts w:hint="cs"/>
          <w:rtl/>
          <w:lang w:bidi="ar-EG"/>
        </w:rPr>
        <w:t>،</w:t>
      </w:r>
    </w:p>
    <w:p w:rsidR="00971AE2" w:rsidRDefault="00971AE2" w:rsidP="00A343DF">
      <w:pPr>
        <w:pStyle w:val="SingleTxt"/>
        <w:rPr>
          <w:rFonts w:hint="cs"/>
          <w:rtl/>
          <w:lang w:bidi="ar-EG"/>
        </w:rPr>
      </w:pPr>
      <w:r>
        <w:rPr>
          <w:rFonts w:hint="cs"/>
          <w:rtl/>
          <w:lang w:bidi="ar-EG"/>
        </w:rPr>
        <w:tab/>
        <w:t>-</w:t>
      </w:r>
      <w:r>
        <w:rPr>
          <w:rFonts w:hint="cs"/>
          <w:rtl/>
          <w:lang w:bidi="ar-EG"/>
        </w:rPr>
        <w:tab/>
        <w:t>في إطار مشروع "التحالفات الاستراتيجية الإقليمية" الممول من البنك الدولي والحكومة اليابانية، دُربت على عمل الملابس 239 امرأة مشردة ورئيسة أسر ضمن عملهن في تحالفات مع بعض الشركات الخاصة</w:t>
      </w:r>
      <w:r w:rsidR="003D7EB4">
        <w:rPr>
          <w:rFonts w:hint="cs"/>
          <w:rtl/>
          <w:lang w:bidi="ar-EG"/>
        </w:rPr>
        <w:t>،</w:t>
      </w:r>
    </w:p>
    <w:p w:rsidR="00971AE2" w:rsidRDefault="00971AE2" w:rsidP="00096CD4">
      <w:pPr>
        <w:pStyle w:val="SingleTxt"/>
        <w:rPr>
          <w:rFonts w:hint="cs"/>
          <w:rtl/>
          <w:lang w:bidi="ar-EG"/>
        </w:rPr>
      </w:pPr>
      <w:r>
        <w:rPr>
          <w:rFonts w:hint="cs"/>
          <w:rtl/>
          <w:lang w:bidi="ar-EG"/>
        </w:rPr>
        <w:tab/>
        <w:t>-</w:t>
      </w:r>
      <w:r>
        <w:rPr>
          <w:rFonts w:hint="cs"/>
          <w:rtl/>
          <w:lang w:bidi="ar-EG"/>
        </w:rPr>
        <w:tab/>
        <w:t>المساعدة الغذائية: أعدت شبكة الضمان الاجتماعي قواعد تشبع الاحتياجات للمجموعات الأسرية وأفرادها، دون تعدي الحدود المقررة ومع مراعاة المعايير التغذوية الدولية، ومع أخذ التفضيلات الثقافية وكذلك الظروف الخاصة للأطفال والحوامل والمرضعات وكبار السن والمرضى في الاعتبار</w:t>
      </w:r>
      <w:r w:rsidR="003D7EB4">
        <w:rPr>
          <w:rFonts w:hint="cs"/>
          <w:rtl/>
          <w:lang w:bidi="ar-EG"/>
        </w:rPr>
        <w:t>،</w:t>
      </w:r>
      <w:r>
        <w:rPr>
          <w:rFonts w:hint="cs"/>
          <w:rtl/>
          <w:lang w:bidi="ar-EG"/>
        </w:rPr>
        <w:t xml:space="preserve"> وقُدمت، في هذا الصدد، بالتنسيق مع المؤسسة الكولومبية للرعاية الأسرية وبرنامج الأغذية العالمي مكملات تغذوية، وفقاً للفئات العمرية أو السكانية الخاصة</w:t>
      </w:r>
      <w:r w:rsidR="003D7EB4">
        <w:rPr>
          <w:rFonts w:hint="cs"/>
          <w:rtl/>
          <w:lang w:bidi="ar-EG"/>
        </w:rPr>
        <w:t>،</w:t>
      </w:r>
      <w:r>
        <w:rPr>
          <w:rFonts w:hint="cs"/>
          <w:rtl/>
          <w:lang w:bidi="ar-EG"/>
        </w:rPr>
        <w:t xml:space="preserve"> ويتكون برنامج الأمن الغذائي من ثلاثة نظم للرعاية: التنفيذ الفوري للأدوات الأساسية وبرنامج "</w:t>
      </w:r>
      <w:r>
        <w:t>RESA</w:t>
      </w:r>
      <w:r>
        <w:rPr>
          <w:rFonts w:hint="cs"/>
          <w:rtl/>
          <w:lang w:bidi="ar-EG"/>
        </w:rPr>
        <w:t>"</w:t>
      </w:r>
      <w:r w:rsidR="00096CD4" w:rsidRPr="00096CD4">
        <w:rPr>
          <w:rFonts w:hint="cs"/>
          <w:vertAlign w:val="superscript"/>
          <w:rtl/>
          <w:lang w:bidi="ar-EG"/>
        </w:rPr>
        <w:t>268</w:t>
      </w:r>
      <w:r>
        <w:rPr>
          <w:rFonts w:hint="cs"/>
          <w:rtl/>
          <w:lang w:bidi="ar-EG"/>
        </w:rPr>
        <w:t xml:space="preserve"> والمشاريع الإنتاجية</w:t>
      </w:r>
      <w:r w:rsidR="003D7EB4">
        <w:rPr>
          <w:rFonts w:hint="cs"/>
          <w:rtl/>
          <w:lang w:bidi="ar-EG"/>
        </w:rPr>
        <w:t>،</w:t>
      </w:r>
    </w:p>
    <w:p w:rsidR="00971AE2" w:rsidRDefault="00971AE2" w:rsidP="00096CD4">
      <w:pPr>
        <w:pStyle w:val="SingleTxt"/>
        <w:rPr>
          <w:rFonts w:hint="cs"/>
          <w:rtl/>
          <w:lang w:bidi="ar-EG"/>
        </w:rPr>
      </w:pPr>
      <w:r>
        <w:rPr>
          <w:rFonts w:hint="cs"/>
          <w:rtl/>
          <w:lang w:bidi="ar-EG"/>
        </w:rPr>
        <w:tab/>
        <w:t>وفي مجال إعادة التوطين استفادت النساء من مشاريع إدرار الدخل لكن قُدم دعم أكبر لرئيسات الأسر</w:t>
      </w:r>
      <w:r w:rsidR="00096CD4" w:rsidRPr="00096CD4">
        <w:rPr>
          <w:rFonts w:hint="cs"/>
          <w:vertAlign w:val="superscript"/>
          <w:rtl/>
          <w:lang w:bidi="ar-EG"/>
        </w:rPr>
        <w:t>269</w:t>
      </w:r>
      <w:r>
        <w:rPr>
          <w:rFonts w:hint="cs"/>
          <w:rtl/>
          <w:lang w:bidi="ar-EG"/>
        </w:rPr>
        <w:t xml:space="preserve"> </w:t>
      </w:r>
      <w:r w:rsidR="003D7EB4">
        <w:rPr>
          <w:rFonts w:hint="cs"/>
          <w:rtl/>
          <w:lang w:bidi="ar-EG"/>
        </w:rPr>
        <w:t>،</w:t>
      </w:r>
      <w:r>
        <w:rPr>
          <w:rFonts w:hint="cs"/>
          <w:rtl/>
          <w:lang w:bidi="ar-EG"/>
        </w:rPr>
        <w:t xml:space="preserve"> ويجري في الوقت الحاضر تمويل مشاريع إنتاجية في المناطق الريفية عن طريق </w:t>
      </w:r>
      <w:r>
        <w:rPr>
          <w:rFonts w:hint="cs"/>
          <w:rtl/>
        </w:rPr>
        <w:t>صندوق تمويل قطاع الزراعة وتربية الماشية</w:t>
      </w:r>
      <w:r>
        <w:rPr>
          <w:rFonts w:hint="cs"/>
          <w:rtl/>
          <w:lang w:bidi="ar-EG"/>
        </w:rPr>
        <w:t xml:space="preserve"> بواسطة اعتماد ائتماني خاص للسكان المتضررين من النزاع، وافقت عليه اللجنة الائتمانية للأمة، وهو يشمل السكان المشردين المسجلين والسكان المتضررين من النزاع</w:t>
      </w:r>
      <w:r w:rsidR="003D7EB4">
        <w:rPr>
          <w:rFonts w:hint="cs"/>
          <w:rtl/>
          <w:lang w:bidi="ar-EG"/>
        </w:rPr>
        <w:t>،</w:t>
      </w:r>
      <w:r>
        <w:rPr>
          <w:rFonts w:hint="cs"/>
          <w:rtl/>
          <w:lang w:bidi="ar-EG"/>
        </w:rPr>
        <w:t xml:space="preserve"> </w:t>
      </w:r>
    </w:p>
    <w:p w:rsidR="00971AE2" w:rsidRDefault="00971AE2" w:rsidP="00096CD4">
      <w:pPr>
        <w:pStyle w:val="SingleTxt"/>
        <w:rPr>
          <w:rFonts w:hint="cs"/>
          <w:rtl/>
          <w:lang w:bidi="ar-EG"/>
        </w:rPr>
      </w:pPr>
      <w:r>
        <w:rPr>
          <w:rFonts w:hint="cs"/>
          <w:rtl/>
          <w:lang w:bidi="ar-EG"/>
        </w:rPr>
        <w:tab/>
        <w:t>وفي عنصر الإسكان مشاريع تعطي الأفضلية للأسر التي ترأسها نساء، ومُنحت الأولوية لهذه المشاريع في عناصر تحسين الإسكان والإصحاح الأساسي والمساكن الجديدة، التي شاركت فيها النساء في أيام المساهمة المجتمعية في البناء باعتبارهن مساعدات في الأعمال التي لا تحتاج إلى مهارة خاصة</w:t>
      </w:r>
      <w:r w:rsidR="00096CD4" w:rsidRPr="00096CD4">
        <w:rPr>
          <w:rFonts w:hint="cs"/>
          <w:vertAlign w:val="superscript"/>
          <w:rtl/>
          <w:lang w:bidi="ar-EG"/>
        </w:rPr>
        <w:t>270</w:t>
      </w:r>
      <w:r w:rsidR="003D7EB4">
        <w:rPr>
          <w:rFonts w:hint="cs"/>
          <w:rtl/>
          <w:lang w:bidi="ar-EG"/>
        </w:rPr>
        <w:t>،</w:t>
      </w:r>
    </w:p>
    <w:p w:rsidR="00971AE2" w:rsidRDefault="00971AE2" w:rsidP="00A343DF">
      <w:pPr>
        <w:pStyle w:val="SingleTxt"/>
        <w:rPr>
          <w:rFonts w:hint="cs"/>
          <w:rtl/>
          <w:lang w:bidi="ar-EG"/>
        </w:rPr>
      </w:pPr>
      <w:r>
        <w:rPr>
          <w:rFonts w:hint="cs"/>
          <w:rtl/>
          <w:lang w:bidi="ar-EG"/>
        </w:rPr>
        <w:tab/>
        <w:t>وفيما يتعلق برعاية الفتيات الصغيرات لا تفرق هذه الهيئة بين القصر من البنين والبنات</w:t>
      </w:r>
      <w:r w:rsidR="003D7EB4">
        <w:rPr>
          <w:rFonts w:hint="cs"/>
          <w:rtl/>
          <w:lang w:bidi="ar-EG"/>
        </w:rPr>
        <w:t>،</w:t>
      </w:r>
      <w:r>
        <w:rPr>
          <w:rFonts w:hint="cs"/>
          <w:rtl/>
          <w:lang w:bidi="ar-EG"/>
        </w:rPr>
        <w:t xml:space="preserve"> وفي مجال التعليم نفذت تدابير للتنسيق مع أمانات التعليم على مستويي البلديات والأحياء السكنية، بهدف إدماجهم في المراكز التعليمية حتى يواصلوا تعليمهم الابتدائي أو الثانوي النظامي</w:t>
      </w:r>
      <w:r w:rsidR="003D7EB4">
        <w:rPr>
          <w:rFonts w:hint="cs"/>
          <w:rtl/>
          <w:lang w:bidi="ar-EG"/>
        </w:rPr>
        <w:t>،</w:t>
      </w:r>
      <w:r>
        <w:rPr>
          <w:rFonts w:hint="cs"/>
          <w:rtl/>
          <w:lang w:bidi="ar-EG"/>
        </w:rPr>
        <w:t xml:space="preserve"> وشُرع في تنفيذ الاتفاق الموقع بين وزارة التعليم الوطني وشبكة التضامن الاجتماعي، الذي يرمي إلى تنفيذ برنامج "رعاية الطلبة المشردين" في البلديات المضيفة لعدد كبير من المشردين</w:t>
      </w:r>
      <w:r w:rsidR="003D7EB4">
        <w:rPr>
          <w:rFonts w:hint="cs"/>
          <w:rtl/>
          <w:lang w:bidi="ar-EG"/>
        </w:rPr>
        <w:t>،</w:t>
      </w:r>
      <w:r>
        <w:rPr>
          <w:rFonts w:hint="cs"/>
          <w:rtl/>
          <w:lang w:bidi="ar-EG"/>
        </w:rPr>
        <w:t xml:space="preserve"> وفيما يتعلق بالأطفال الذين لم يبلغوا سن الالتحاق بالمدرسة قامت شبكة التضامن الاجتماعي بالإحالة ذات الصلة إلى المؤسسة الكولومبية للرعاية الأسرية لإلحاقهم بالبرامج النظامية، بما في ذلك برامج العلاج التغذوي</w:t>
      </w:r>
      <w:r w:rsidR="003D7EB4">
        <w:rPr>
          <w:rFonts w:hint="cs"/>
          <w:rtl/>
          <w:lang w:bidi="ar-EG"/>
        </w:rPr>
        <w:t>،</w:t>
      </w:r>
      <w:r>
        <w:rPr>
          <w:rFonts w:hint="cs"/>
          <w:rtl/>
          <w:lang w:bidi="ar-EG"/>
        </w:rPr>
        <w:t xml:space="preserve"> وعلاوة على ذلك تشمل الرعاية النفسية للأطفال المقدمة عن طريق الرعاية الإنسانية الطارئة تدخلات مختلفة حسب الظروف والخصائص العمرية</w:t>
      </w:r>
      <w:r w:rsidR="003D7EB4">
        <w:rPr>
          <w:rFonts w:hint="cs"/>
          <w:rtl/>
          <w:lang w:bidi="ar-EG"/>
        </w:rPr>
        <w:t>،</w:t>
      </w:r>
    </w:p>
    <w:p w:rsidR="00971AE2" w:rsidRDefault="00971AE2" w:rsidP="00A343DF">
      <w:pPr>
        <w:pStyle w:val="SingleTxt"/>
        <w:rPr>
          <w:rFonts w:hint="cs"/>
          <w:rtl/>
          <w:lang w:bidi="ar-EG"/>
        </w:rPr>
      </w:pPr>
      <w:r>
        <w:rPr>
          <w:rFonts w:hint="cs"/>
          <w:rtl/>
          <w:lang w:bidi="ar-EG"/>
        </w:rPr>
        <w:tab/>
        <w:t>وسوف تقوم شبكة التضامن الاجتماعي مع المؤسسة الكولومبية للرعاية الأسرية بتنسيق إنشاء دور لرعاية الأطفال، لا سيما لأطفال الأسر المشردة، حتى يكون لدى النساء وقت للقيام بالأنشطة الإنتاجية</w:t>
      </w:r>
      <w:r w:rsidR="003D7EB4">
        <w:rPr>
          <w:rFonts w:hint="cs"/>
          <w:rtl/>
          <w:lang w:bidi="ar-EG"/>
        </w:rPr>
        <w:t>،</w:t>
      </w:r>
      <w:r>
        <w:rPr>
          <w:rFonts w:hint="cs"/>
          <w:rtl/>
          <w:lang w:bidi="ar-EG"/>
        </w:rPr>
        <w:t xml:space="preserve"> ومن جهة أخرى قامت المؤسسة الكولومبية للرعاية الأسرية بتشغيل 29 وحدة متنقلة لرعاية ضحايا العنف، لا سيما السكان المشردين</w:t>
      </w:r>
      <w:r w:rsidR="003D7EB4">
        <w:rPr>
          <w:rFonts w:hint="cs"/>
          <w:rtl/>
          <w:lang w:bidi="ar-EG"/>
        </w:rPr>
        <w:t>،</w:t>
      </w:r>
      <w:r>
        <w:rPr>
          <w:rFonts w:hint="cs"/>
          <w:rtl/>
          <w:lang w:bidi="ar-EG"/>
        </w:rPr>
        <w:t xml:space="preserve"> كما ترعى في جميع برامجها الأطفال المنتمين إلى الأسر المشردة، الذين يمنحون الأولوية في مجال الرعاية نظراً لظروفهم الملحة للغاية</w:t>
      </w:r>
      <w:r w:rsidR="003D7EB4">
        <w:rPr>
          <w:rFonts w:hint="cs"/>
          <w:rtl/>
          <w:lang w:bidi="ar-EG"/>
        </w:rPr>
        <w:t>،</w:t>
      </w:r>
    </w:p>
    <w:p w:rsidR="00971AE2" w:rsidRDefault="00971AE2" w:rsidP="00A343DF">
      <w:pPr>
        <w:pStyle w:val="SingleTxt"/>
        <w:rPr>
          <w:rFonts w:hint="cs"/>
          <w:rtl/>
          <w:lang w:bidi="ar-EG"/>
        </w:rPr>
      </w:pPr>
      <w:r>
        <w:rPr>
          <w:rFonts w:hint="cs"/>
          <w:rtl/>
          <w:lang w:bidi="ar-EG"/>
        </w:rPr>
        <w:tab/>
        <w:t xml:space="preserve">وتجرى محادثات وتدابير مشتركة مع </w:t>
      </w:r>
      <w:r>
        <w:rPr>
          <w:rFonts w:hint="cs"/>
          <w:rtl/>
        </w:rPr>
        <w:t>مركز توفير المعلومات والموارد من أجل المرأة</w:t>
      </w:r>
      <w:r>
        <w:rPr>
          <w:rFonts w:hint="cs"/>
          <w:rtl/>
          <w:lang w:bidi="ar-EG"/>
        </w:rPr>
        <w:t xml:space="preserve"> إبتغاء ما يلي: معرفة خبرتها (منشأة منذ عام 1997) في مجال الصحة الجنسية والتناسلية مع السكان المشردين</w:t>
      </w:r>
      <w:r w:rsidR="003D7EB4">
        <w:rPr>
          <w:rFonts w:hint="cs"/>
          <w:rtl/>
          <w:lang w:bidi="ar-EG"/>
        </w:rPr>
        <w:t>،</w:t>
      </w:r>
      <w:r>
        <w:rPr>
          <w:rFonts w:hint="cs"/>
          <w:rtl/>
          <w:lang w:bidi="ar-EG"/>
        </w:rPr>
        <w:t xml:space="preserve"> و‘2‘ إقامة تحالف لإدماج السكان المشردين المسجلين في برنامج الرعاية الذي تنفذه بروفاميليا في 27 مدينة</w:t>
      </w:r>
      <w:r w:rsidR="003D7EB4">
        <w:rPr>
          <w:rFonts w:hint="cs"/>
          <w:rtl/>
          <w:lang w:bidi="ar-EG"/>
        </w:rPr>
        <w:t>،</w:t>
      </w:r>
      <w:r>
        <w:rPr>
          <w:rFonts w:hint="cs"/>
          <w:rtl/>
          <w:lang w:bidi="ar-EG"/>
        </w:rPr>
        <w:t xml:space="preserve"> و‘3‘ إعداد مشروع مشترك مع وزارة الرعاية الاجتماعية بهدف توسيع نطاق تغطية بروفاميليا لتشمل مدناً تهتم بها شبكة التضامن الاجتماعي لاستضافتها عدداً كبيرا من السكان المشردين، وتموَّل خدماتها من الموارد الحكومية</w:t>
      </w:r>
      <w:r w:rsidR="003D7EB4">
        <w:rPr>
          <w:rFonts w:hint="cs"/>
          <w:rtl/>
          <w:lang w:bidi="ar-EG"/>
        </w:rPr>
        <w:t>،</w:t>
      </w:r>
      <w:r>
        <w:rPr>
          <w:rFonts w:hint="cs"/>
          <w:rtl/>
          <w:lang w:bidi="ar-EG"/>
        </w:rPr>
        <w:t xml:space="preserve"> </w:t>
      </w:r>
    </w:p>
    <w:p w:rsidR="00971AE2" w:rsidRDefault="00971AE2" w:rsidP="00A343DF">
      <w:pPr>
        <w:pStyle w:val="SingleTxt"/>
        <w:rPr>
          <w:rFonts w:hint="cs"/>
          <w:rtl/>
          <w:lang w:bidi="ar-EG"/>
        </w:rPr>
      </w:pPr>
      <w:r>
        <w:rPr>
          <w:rFonts w:hint="cs"/>
          <w:rtl/>
          <w:lang w:bidi="ar-EG"/>
        </w:rPr>
        <w:tab/>
        <w:t>وتهدف حملة أرسولا للعودة إلى الأرض، وهي نموذج صممته الهيئة الاستشارية لرئيس الجمهورية فيما يتعلق بالمساواة بين الرجل والمرأة لتشجيع عودة وإعادة النساء المشردات إلى ديارهم ً، وتعزيز التدريب على تنمية احترام الذات والنشر عن حقوق الإنسان للمرأة والقانون الإنساني الدولي، عن طريق تدابير منسقة بين الهيئة الاستشارية لرئيس الجمهورية فيما يتعلق بالمساواة بين الرجل والمرأة ووزارة الداخلية/العدل ووزارة الدفاع وشبكة التضامن الاجتماعي</w:t>
      </w:r>
      <w:r w:rsidR="003D7EB4">
        <w:rPr>
          <w:rFonts w:hint="cs"/>
          <w:rtl/>
          <w:lang w:bidi="ar-EG"/>
        </w:rPr>
        <w:t>،</w:t>
      </w:r>
      <w:r>
        <w:rPr>
          <w:rFonts w:hint="cs"/>
          <w:rtl/>
          <w:lang w:bidi="ar-EG"/>
        </w:rPr>
        <w:t xml:space="preserve"> وتحقيقاً لهذه الغاية ستعزز مشاريع لمشاركة المرأة الريفية وزيادة الفرص المتاحة لها</w:t>
      </w:r>
      <w:r w:rsidR="003D7EB4">
        <w:rPr>
          <w:rFonts w:hint="cs"/>
          <w:rtl/>
          <w:lang w:bidi="ar-EG"/>
        </w:rPr>
        <w:t>،</w:t>
      </w:r>
      <w:r>
        <w:rPr>
          <w:rFonts w:hint="cs"/>
          <w:rtl/>
          <w:lang w:bidi="ar-EG"/>
        </w:rPr>
        <w:t xml:space="preserve"> </w:t>
      </w:r>
    </w:p>
    <w:p w:rsidR="00971AE2" w:rsidRDefault="00971AE2" w:rsidP="00096CD4">
      <w:pPr>
        <w:pStyle w:val="SingleTxt"/>
        <w:rPr>
          <w:rFonts w:hint="cs"/>
          <w:rtl/>
          <w:lang w:bidi="ar-EG"/>
        </w:rPr>
      </w:pPr>
      <w:r>
        <w:rPr>
          <w:rFonts w:hint="cs"/>
          <w:rtl/>
          <w:lang w:bidi="ar-EG"/>
        </w:rPr>
        <w:tab/>
        <w:t xml:space="preserve">وسوف تقوم </w:t>
      </w:r>
      <w:r>
        <w:rPr>
          <w:rFonts w:hint="cs"/>
          <w:rtl/>
        </w:rPr>
        <w:t>الدائرة الوطنية للتلمذة الصناعية</w:t>
      </w:r>
      <w:r>
        <w:rPr>
          <w:rFonts w:hint="cs"/>
          <w:rtl/>
          <w:lang w:bidi="ar-EG"/>
        </w:rPr>
        <w:t xml:space="preserve"> بتقديم التدريب المهني إلى السكان المشردين بسبب العنف، لتيسير إدماجهم في الرعاية الإنتاجية في البلد</w:t>
      </w:r>
      <w:r w:rsidR="003D7EB4">
        <w:rPr>
          <w:rFonts w:hint="cs"/>
          <w:rtl/>
          <w:lang w:bidi="ar-EG"/>
        </w:rPr>
        <w:t>،</w:t>
      </w:r>
      <w:r>
        <w:rPr>
          <w:rFonts w:hint="cs"/>
          <w:rtl/>
          <w:lang w:bidi="ar-EG"/>
        </w:rPr>
        <w:t xml:space="preserve"> ولهذا السبب عقد اتفاق مشترك بين الإدارات لتنفيذ مشاريع مع الصندوق المالي للمشاريع الإنتاجية في كانون الأول/ديسمبر 2001</w:t>
      </w:r>
      <w:r w:rsidR="00096CD4">
        <w:rPr>
          <w:rFonts w:hint="cs"/>
          <w:rtl/>
          <w:lang w:bidi="ar-EG"/>
        </w:rPr>
        <w:t xml:space="preserve"> </w:t>
      </w:r>
      <w:r w:rsidR="00096CD4" w:rsidRPr="00096CD4">
        <w:rPr>
          <w:rFonts w:hint="cs"/>
          <w:vertAlign w:val="superscript"/>
          <w:rtl/>
          <w:lang w:bidi="ar-EG"/>
        </w:rPr>
        <w:t>271</w:t>
      </w:r>
      <w:r w:rsidR="003D7EB4">
        <w:rPr>
          <w:rFonts w:hint="cs"/>
          <w:rtl/>
          <w:lang w:bidi="ar-EG"/>
        </w:rPr>
        <w:t>،</w:t>
      </w:r>
    </w:p>
    <w:p w:rsidR="00971AE2" w:rsidRDefault="00971AE2" w:rsidP="00096CD4">
      <w:pPr>
        <w:pStyle w:val="SingleTxt"/>
        <w:rPr>
          <w:rFonts w:hint="cs"/>
          <w:rtl/>
          <w:lang w:bidi="ar-EG"/>
        </w:rPr>
      </w:pPr>
      <w:r>
        <w:rPr>
          <w:rFonts w:hint="cs"/>
          <w:rtl/>
          <w:lang w:bidi="ar-EG"/>
        </w:rPr>
        <w:tab/>
        <w:t xml:space="preserve">وأُذن للأمة عن طريق </w:t>
      </w:r>
      <w:r>
        <w:rPr>
          <w:rFonts w:hint="cs"/>
          <w:rtl/>
        </w:rPr>
        <w:t xml:space="preserve">المجلس الوطني للتخطيط الاقتصادي والاجتماعي </w:t>
      </w:r>
      <w:r>
        <w:rPr>
          <w:rFonts w:hint="cs"/>
          <w:rtl/>
          <w:lang w:bidi="ar-EG"/>
        </w:rPr>
        <w:t>الصادر في آذار/ مارس 2004 بالتعاقد على عملية قرض خارجي بمبلغ أقصى يبلغ 30 مليون دولار من دولارات الولايات المتحدة أو ما يعادله بعملات أخرى، لتمويل المرحلة الأولى (2004-2007) من برنامج "السلم والتنمية"، الذي يحدد سياسة الرعاية والمنع فيما يتعلق بالتشريد القسري مع استراتيجية لتقديم الدعم إلى برامج التنمية والسلم ومختبرات السلم</w:t>
      </w:r>
      <w:r w:rsidR="003D7EB4">
        <w:rPr>
          <w:rFonts w:hint="cs"/>
          <w:rtl/>
          <w:lang w:bidi="ar-EG"/>
        </w:rPr>
        <w:t>،</w:t>
      </w:r>
      <w:r>
        <w:rPr>
          <w:rFonts w:hint="cs"/>
          <w:rtl/>
          <w:lang w:bidi="ar-EG"/>
        </w:rPr>
        <w:t xml:space="preserve"> ويعتمد البرنامج على ثلاثة عناصر رئيسية للسياسة: منع التشريد وتهيئة الظروف اللازمة لإعادة التوطين المستدامة (العودة والإعادة) وتقوية </w:t>
      </w:r>
      <w:r>
        <w:t>SNAIPD</w:t>
      </w:r>
      <w:r w:rsidR="00096CD4" w:rsidRPr="00096CD4">
        <w:rPr>
          <w:rFonts w:hint="cs"/>
          <w:vertAlign w:val="superscript"/>
          <w:rtl/>
          <w:lang w:bidi="ar-EG"/>
        </w:rPr>
        <w:t>272</w:t>
      </w:r>
      <w:r w:rsidR="003D7EB4">
        <w:rPr>
          <w:rFonts w:hint="cs"/>
          <w:rtl/>
          <w:lang w:bidi="ar-EG"/>
        </w:rPr>
        <w:t>،</w:t>
      </w:r>
      <w:r>
        <w:rPr>
          <w:rFonts w:hint="cs"/>
          <w:rtl/>
          <w:lang w:bidi="ar-EG"/>
        </w:rPr>
        <w:t xml:space="preserve"> </w:t>
      </w:r>
    </w:p>
    <w:p w:rsidR="00971AE2" w:rsidRDefault="00971AE2" w:rsidP="00A343DF">
      <w:pPr>
        <w:pStyle w:val="SingleTxt"/>
        <w:rPr>
          <w:rFonts w:hint="cs"/>
          <w:rtl/>
        </w:rPr>
      </w:pPr>
      <w:r>
        <w:rPr>
          <w:rFonts w:hint="cs"/>
          <w:rtl/>
        </w:rPr>
        <w:t xml:space="preserve">الإحصاءات </w:t>
      </w:r>
    </w:p>
    <w:p w:rsidR="00971AE2" w:rsidRDefault="007A0E41" w:rsidP="00096CD4">
      <w:pPr>
        <w:pStyle w:val="SingleTxt"/>
        <w:rPr>
          <w:rFonts w:hint="cs"/>
          <w:rtl/>
        </w:rPr>
      </w:pPr>
      <w:r>
        <w:rPr>
          <w:rFonts w:hint="cs"/>
          <w:rtl/>
        </w:rPr>
        <w:tab/>
      </w:r>
      <w:r w:rsidR="00971AE2">
        <w:rPr>
          <w:rFonts w:hint="cs"/>
          <w:rtl/>
        </w:rPr>
        <w:t xml:space="preserve">تقدر الحكومة الوطنية أنه يوجد في كولومبيا نحو مليونين من الأشخاص المشردين بسبب العنف، منهم 605 280 1  مسجلين في نظام السجل الوحيد للسكان المشردين التابع لشبكة التضامن </w:t>
      </w:r>
      <w:r w:rsidR="00971AE2">
        <w:rPr>
          <w:rFonts w:hint="cs"/>
          <w:vertAlign w:val="superscript"/>
          <w:rtl/>
        </w:rPr>
        <w:t>الاجتماعي</w:t>
      </w:r>
      <w:r w:rsidR="00096CD4" w:rsidRPr="00096CD4">
        <w:rPr>
          <w:rFonts w:hint="cs"/>
          <w:vertAlign w:val="superscript"/>
          <w:rtl/>
        </w:rPr>
        <w:t>273</w:t>
      </w:r>
      <w:r w:rsidR="003D7EB4">
        <w:rPr>
          <w:rFonts w:hint="cs"/>
          <w:rtl/>
        </w:rPr>
        <w:t>،</w:t>
      </w:r>
      <w:r w:rsidR="00971AE2">
        <w:rPr>
          <w:rFonts w:hint="cs"/>
          <w:rtl/>
        </w:rPr>
        <w:t xml:space="preserve"> و50</w:t>
      </w:r>
      <w:r w:rsidR="007D7CF9">
        <w:rPr>
          <w:rFonts w:hint="cs"/>
          <w:rtl/>
        </w:rPr>
        <w:t>.</w:t>
      </w:r>
      <w:r w:rsidR="00971AE2">
        <w:rPr>
          <w:rFonts w:hint="cs"/>
          <w:rtl/>
        </w:rPr>
        <w:t>5 في المائة من مجموع عدد السكان المشردين نساء، و49</w:t>
      </w:r>
      <w:r w:rsidR="007D7CF9">
        <w:rPr>
          <w:rFonts w:hint="cs"/>
          <w:rtl/>
        </w:rPr>
        <w:t>.</w:t>
      </w:r>
      <w:r w:rsidR="00971AE2">
        <w:rPr>
          <w:rFonts w:hint="cs"/>
          <w:rtl/>
        </w:rPr>
        <w:t>6 في المائة منهم قصر، و13</w:t>
      </w:r>
      <w:r w:rsidR="007D7CF9">
        <w:rPr>
          <w:rFonts w:hint="cs"/>
          <w:rtl/>
        </w:rPr>
        <w:t>.</w:t>
      </w:r>
      <w:r w:rsidR="00971AE2">
        <w:rPr>
          <w:rFonts w:hint="cs"/>
          <w:rtl/>
        </w:rPr>
        <w:t>9 في المائة من الأقليات الإثنية</w:t>
      </w:r>
      <w:r w:rsidR="003D7EB4">
        <w:rPr>
          <w:rFonts w:hint="cs"/>
          <w:rtl/>
        </w:rPr>
        <w:t>،</w:t>
      </w:r>
      <w:r w:rsidR="00971AE2">
        <w:rPr>
          <w:rFonts w:hint="cs"/>
          <w:rtl/>
        </w:rPr>
        <w:t xml:space="preserve"> ونحو 31 في المائة من الأسر المشردة تعيش في فقر مدقع، و35 في المائة تقريبا من صغار الملاك، و نحو 90 في المائة من أصل ريفي أو شبه ريفي</w:t>
      </w:r>
      <w:r w:rsidR="00096CD4" w:rsidRPr="00096CD4">
        <w:rPr>
          <w:rFonts w:hint="cs"/>
          <w:vertAlign w:val="superscript"/>
          <w:rtl/>
        </w:rPr>
        <w:t>274</w:t>
      </w:r>
      <w:r w:rsidR="003D7EB4">
        <w:rPr>
          <w:rFonts w:hint="cs"/>
          <w:rtl/>
        </w:rPr>
        <w:t>،</w:t>
      </w:r>
    </w:p>
    <w:p w:rsidR="00971AE2" w:rsidRDefault="00104012" w:rsidP="00A343DF">
      <w:pPr>
        <w:pStyle w:val="SingleTxt"/>
        <w:rPr>
          <w:rFonts w:hint="cs"/>
          <w:rtl/>
        </w:rPr>
      </w:pPr>
      <w:r>
        <w:rPr>
          <w:rFonts w:hint="cs"/>
          <w:rtl/>
        </w:rPr>
        <w:tab/>
      </w:r>
      <w:r w:rsidR="00971AE2">
        <w:rPr>
          <w:rFonts w:hint="cs"/>
          <w:rtl/>
        </w:rPr>
        <w:t>ومن جهة أخرى تتراوح أعمار 31</w:t>
      </w:r>
      <w:r w:rsidR="007D7CF9">
        <w:rPr>
          <w:rFonts w:hint="cs"/>
          <w:rtl/>
        </w:rPr>
        <w:t>.</w:t>
      </w:r>
      <w:r w:rsidR="00971AE2">
        <w:rPr>
          <w:rFonts w:hint="cs"/>
          <w:rtl/>
        </w:rPr>
        <w:t>6 في المائة من مجموع عدد السكان بين 18 و50 سنة، أي أنهم سكان ناشطون اقتصاديا، و6</w:t>
      </w:r>
      <w:r w:rsidR="007D7CF9">
        <w:rPr>
          <w:rFonts w:hint="cs"/>
          <w:rtl/>
        </w:rPr>
        <w:t>.</w:t>
      </w:r>
      <w:r w:rsidR="00971AE2">
        <w:rPr>
          <w:rFonts w:hint="cs"/>
          <w:rtl/>
        </w:rPr>
        <w:t>2 في المائة قد تجاوزا  سن الخمسين</w:t>
      </w:r>
      <w:r w:rsidR="003D7EB4">
        <w:rPr>
          <w:rFonts w:hint="cs"/>
          <w:rtl/>
        </w:rPr>
        <w:t>،</w:t>
      </w:r>
    </w:p>
    <w:p w:rsidR="00971AE2" w:rsidRDefault="00104012" w:rsidP="00A343DF">
      <w:pPr>
        <w:pStyle w:val="SingleTxt"/>
        <w:rPr>
          <w:rFonts w:hint="cs"/>
          <w:rtl/>
        </w:rPr>
      </w:pPr>
      <w:r>
        <w:rPr>
          <w:rFonts w:hint="cs"/>
          <w:rtl/>
        </w:rPr>
        <w:tab/>
      </w:r>
      <w:r w:rsidR="00971AE2">
        <w:rPr>
          <w:rFonts w:hint="cs"/>
          <w:rtl/>
        </w:rPr>
        <w:t>ووفقا للمعلومات المستقاة من السجل الوحيد للسكان المشردين التابع لشبكة التضامن الاجتماعي حدث في شهر آذار/مارس 2004 79 في المائة من مجموع عدد حالات التشرد في البلد (283 220 أسرة)، وترأس نساء 51</w:t>
      </w:r>
      <w:r w:rsidR="007D7CF9">
        <w:rPr>
          <w:rFonts w:hint="cs"/>
          <w:rtl/>
        </w:rPr>
        <w:t>.</w:t>
      </w:r>
      <w:r w:rsidR="00971AE2">
        <w:rPr>
          <w:rFonts w:hint="cs"/>
          <w:rtl/>
        </w:rPr>
        <w:t>13 في المائة من الأسر</w:t>
      </w:r>
      <w:r w:rsidR="003D7EB4">
        <w:rPr>
          <w:rFonts w:hint="cs"/>
          <w:rtl/>
        </w:rPr>
        <w:t>،</w:t>
      </w:r>
    </w:p>
    <w:p w:rsidR="00971AE2" w:rsidRDefault="00104012" w:rsidP="00A343DF">
      <w:pPr>
        <w:pStyle w:val="SingleTxt"/>
        <w:rPr>
          <w:rFonts w:hint="cs"/>
          <w:rtl/>
        </w:rPr>
      </w:pPr>
      <w:r>
        <w:rPr>
          <w:rFonts w:hint="cs"/>
          <w:rtl/>
        </w:rPr>
        <w:tab/>
      </w:r>
      <w:r w:rsidR="00971AE2">
        <w:rPr>
          <w:rFonts w:hint="cs"/>
          <w:rtl/>
        </w:rPr>
        <w:t xml:space="preserve">وبفضل تنفيذ النموذح المتكامل للضمان الديمقراطي المكرس في الخطة الإنمائية الوطنية يميل مستوى التشرد إلى الانخفاض بشدة في سنة 2003، فقد انخفض بنسبة 53 في المائة عما كان في سنة 2002 </w:t>
      </w:r>
      <w:r w:rsidR="00971AE2">
        <w:rPr>
          <w:rFonts w:hint="cs"/>
          <w:vertAlign w:val="superscript"/>
          <w:rtl/>
        </w:rPr>
        <w:t>277</w:t>
      </w:r>
      <w:r w:rsidR="003D7EB4">
        <w:rPr>
          <w:rFonts w:hint="cs"/>
          <w:rtl/>
        </w:rPr>
        <w:t>،</w:t>
      </w:r>
      <w:r w:rsidR="00971AE2">
        <w:rPr>
          <w:rFonts w:hint="cs"/>
          <w:rtl/>
        </w:rPr>
        <w:t xml:space="preserve"> ومن أهم منجزات الحكومة تباطؤ معدل نمو عدد الأسر المشردة، الذي انخفض من 21 في المائة بين عامي 2000 و2001 إلى 12 في المائة بين عامي 2001 و2002</w:t>
      </w:r>
      <w:r w:rsidR="003D7EB4">
        <w:rPr>
          <w:rFonts w:hint="cs"/>
          <w:rtl/>
        </w:rPr>
        <w:t>،</w:t>
      </w:r>
      <w:r w:rsidR="00971AE2">
        <w:rPr>
          <w:rFonts w:hint="cs"/>
          <w:rtl/>
        </w:rPr>
        <w:t xml:space="preserve"> ولو لم يحدث هذا التغير لصار عدد الأسر المشردة 643 98 في سنة 2003، أي أكبر بنسبة 21 في المائة</w:t>
      </w:r>
      <w:r w:rsidR="003D7EB4">
        <w:rPr>
          <w:rFonts w:hint="cs"/>
          <w:rtl/>
        </w:rPr>
        <w:t>،</w:t>
      </w:r>
      <w:r w:rsidR="00971AE2">
        <w:rPr>
          <w:rFonts w:hint="cs"/>
          <w:rtl/>
        </w:rPr>
        <w:t xml:space="preserve"> وخلال السنة الأولى التي تولت فيها الحكومة تحققت عودة 218 7 أسرة مشردة، 812 6   منها في شكل عودة جماعية، وقدمت مساعدة إنسانية إلى 723 30 أسرة مشردة</w:t>
      </w:r>
      <w:r w:rsidR="003D7EB4">
        <w:rPr>
          <w:rFonts w:hint="cs"/>
          <w:rtl/>
        </w:rPr>
        <w:t>،</w:t>
      </w:r>
      <w:r w:rsidR="00971AE2">
        <w:rPr>
          <w:rFonts w:hint="cs"/>
          <w:rtl/>
        </w:rPr>
        <w:t xml:space="preserve"> وفي هذه السنة أعيد توطين 504 أسرة، منها 197 أسر ترأسها نساء</w:t>
      </w:r>
      <w:r w:rsidR="00971AE2">
        <w:rPr>
          <w:rFonts w:hint="cs"/>
          <w:vertAlign w:val="superscript"/>
          <w:rtl/>
        </w:rPr>
        <w:t>278</w:t>
      </w:r>
      <w:r w:rsidR="003D7EB4">
        <w:rPr>
          <w:rFonts w:hint="cs"/>
          <w:rtl/>
        </w:rPr>
        <w:t>،</w:t>
      </w:r>
    </w:p>
    <w:p w:rsidR="00100589" w:rsidRPr="00100589" w:rsidRDefault="00100589" w:rsidP="00A343DF">
      <w:pPr>
        <w:spacing w:line="120" w:lineRule="exact"/>
        <w:jc w:val="lowKashida"/>
        <w:rPr>
          <w:rFonts w:hint="cs"/>
          <w:sz w:val="10"/>
          <w:rtl/>
        </w:rPr>
      </w:pPr>
    </w:p>
    <w:p w:rsidR="00971AE2" w:rsidRDefault="00690159" w:rsidP="00A343D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tl/>
        </w:rPr>
        <w:br w:type="page"/>
      </w:r>
      <w:r w:rsidR="00100589">
        <w:rPr>
          <w:rFonts w:hint="cs"/>
          <w:rtl/>
        </w:rPr>
        <w:tab/>
      </w:r>
      <w:r w:rsidR="00971AE2">
        <w:rPr>
          <w:rFonts w:hint="cs"/>
          <w:rtl/>
        </w:rPr>
        <w:t>4-2</w:t>
      </w:r>
      <w:r w:rsidR="00100589">
        <w:rPr>
          <w:rFonts w:hint="cs"/>
          <w:rtl/>
        </w:rPr>
        <w:tab/>
      </w:r>
      <w:r w:rsidR="00971AE2">
        <w:rPr>
          <w:rFonts w:hint="cs"/>
          <w:rtl/>
        </w:rPr>
        <w:t>المسرحون والمسرحات</w:t>
      </w:r>
    </w:p>
    <w:p w:rsidR="00971AE2" w:rsidRDefault="00100589" w:rsidP="00A343D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sidR="00971AE2">
        <w:rPr>
          <w:rFonts w:hint="cs"/>
          <w:rtl/>
        </w:rPr>
        <w:t>المنجزات التشريعية</w:t>
      </w:r>
    </w:p>
    <w:p w:rsidR="00100589" w:rsidRPr="00100589" w:rsidRDefault="00100589" w:rsidP="00A343DF">
      <w:pPr>
        <w:spacing w:line="120" w:lineRule="exact"/>
        <w:jc w:val="lowKashida"/>
        <w:rPr>
          <w:rFonts w:hint="cs"/>
          <w:sz w:val="10"/>
          <w:rt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4428"/>
      </w:tblGrid>
      <w:tr w:rsidR="00971AE2" w:rsidRPr="00100589">
        <w:tblPrEx>
          <w:tblCellMar>
            <w:top w:w="0" w:type="dxa"/>
            <w:bottom w:w="0" w:type="dxa"/>
          </w:tblCellMar>
        </w:tblPrEx>
        <w:trPr>
          <w:jc w:val="center"/>
        </w:trPr>
        <w:tc>
          <w:tcPr>
            <w:tcW w:w="4428" w:type="dxa"/>
          </w:tcPr>
          <w:p w:rsidR="00971AE2" w:rsidRPr="00100589" w:rsidRDefault="00971AE2" w:rsidP="00A343DF">
            <w:pPr>
              <w:jc w:val="lowKashida"/>
              <w:rPr>
                <w:rFonts w:hint="cs"/>
                <w:sz w:val="24"/>
                <w:szCs w:val="24"/>
              </w:rPr>
            </w:pPr>
            <w:r w:rsidRPr="00100589">
              <w:rPr>
                <w:rFonts w:cs="Times New Roman" w:hint="cs"/>
                <w:sz w:val="24"/>
                <w:szCs w:val="24"/>
                <w:rtl/>
              </w:rPr>
              <w:t>الموضوع</w:t>
            </w:r>
          </w:p>
        </w:tc>
        <w:tc>
          <w:tcPr>
            <w:tcW w:w="4428" w:type="dxa"/>
          </w:tcPr>
          <w:p w:rsidR="00971AE2" w:rsidRPr="00100589" w:rsidRDefault="00971AE2" w:rsidP="00A343DF">
            <w:pPr>
              <w:jc w:val="lowKashida"/>
              <w:rPr>
                <w:rFonts w:hint="cs"/>
                <w:sz w:val="24"/>
                <w:szCs w:val="24"/>
                <w:rtl/>
              </w:rPr>
            </w:pPr>
            <w:r w:rsidRPr="00100589">
              <w:rPr>
                <w:rFonts w:hint="cs"/>
                <w:sz w:val="24"/>
                <w:szCs w:val="24"/>
                <w:rtl/>
              </w:rPr>
              <w:t>القاعدة</w:t>
            </w:r>
          </w:p>
        </w:tc>
      </w:tr>
      <w:tr w:rsidR="00971AE2" w:rsidRPr="00100589">
        <w:tblPrEx>
          <w:tblCellMar>
            <w:top w:w="0" w:type="dxa"/>
            <w:bottom w:w="0" w:type="dxa"/>
          </w:tblCellMar>
        </w:tblPrEx>
        <w:trPr>
          <w:jc w:val="center"/>
        </w:trPr>
        <w:tc>
          <w:tcPr>
            <w:tcW w:w="4428" w:type="dxa"/>
          </w:tcPr>
          <w:p w:rsidR="00971AE2" w:rsidRPr="00100589" w:rsidRDefault="00971AE2" w:rsidP="00A343DF">
            <w:pPr>
              <w:jc w:val="lowKashida"/>
              <w:rPr>
                <w:sz w:val="24"/>
                <w:szCs w:val="24"/>
                <w:rtl/>
              </w:rPr>
            </w:pPr>
            <w:r w:rsidRPr="00100589">
              <w:rPr>
                <w:rFonts w:hint="cs"/>
                <w:sz w:val="24"/>
                <w:szCs w:val="24"/>
                <w:rtl/>
              </w:rPr>
              <w:t>ينظم القانون رقم 418 لسنة 1997 الممدد والمعدل بالقانون رقم 548 لسنة 1999 والقانون رقم 782 لسنة 2002 المتعلق بمجال الادماج في المجتمع المدني: وينص على توجيهات معينة فيما يتعلق بتسريح الأشخاص المنتمين إلى جماعات غير مشروعة ويتضمن فصلا كاملا عن القصر</w:t>
            </w:r>
            <w:r w:rsidR="003D7EB4">
              <w:rPr>
                <w:rFonts w:hint="cs"/>
                <w:sz w:val="24"/>
                <w:szCs w:val="24"/>
                <w:rtl/>
              </w:rPr>
              <w:t>،</w:t>
            </w:r>
            <w:r w:rsidRPr="00100589">
              <w:rPr>
                <w:rFonts w:hint="cs"/>
                <w:sz w:val="24"/>
                <w:szCs w:val="24"/>
                <w:rtl/>
              </w:rPr>
              <w:t xml:space="preserve"> وعلى الرغم من أنه لا يرد فيه أي ذكر للمرأة على وجه التحديد فإن كل قاعدة فيه تتضمن صيغة تشمل الجنسين</w:t>
            </w:r>
            <w:r w:rsidR="003D7EB4">
              <w:rPr>
                <w:rFonts w:hint="cs"/>
                <w:sz w:val="24"/>
                <w:szCs w:val="24"/>
                <w:rtl/>
              </w:rPr>
              <w:t>،</w:t>
            </w:r>
          </w:p>
        </w:tc>
        <w:tc>
          <w:tcPr>
            <w:tcW w:w="4428" w:type="dxa"/>
          </w:tcPr>
          <w:p w:rsidR="00971AE2" w:rsidRPr="00100589" w:rsidRDefault="00971AE2" w:rsidP="00A343DF">
            <w:pPr>
              <w:jc w:val="lowKashida"/>
              <w:rPr>
                <w:rFonts w:hint="cs"/>
                <w:sz w:val="24"/>
                <w:szCs w:val="24"/>
                <w:rtl/>
              </w:rPr>
            </w:pPr>
            <w:r w:rsidRPr="00100589">
              <w:rPr>
                <w:rFonts w:hint="cs"/>
                <w:sz w:val="24"/>
                <w:szCs w:val="24"/>
                <w:rtl/>
              </w:rPr>
              <w:t>المرسوم 128 لسة 2003</w:t>
            </w:r>
          </w:p>
        </w:tc>
      </w:tr>
      <w:tr w:rsidR="00971AE2" w:rsidRPr="00100589">
        <w:tblPrEx>
          <w:tblCellMar>
            <w:top w:w="0" w:type="dxa"/>
            <w:bottom w:w="0" w:type="dxa"/>
          </w:tblCellMar>
        </w:tblPrEx>
        <w:trPr>
          <w:jc w:val="center"/>
        </w:trPr>
        <w:tc>
          <w:tcPr>
            <w:tcW w:w="4428" w:type="dxa"/>
          </w:tcPr>
          <w:p w:rsidR="00971AE2" w:rsidRPr="00100589" w:rsidRDefault="00971AE2" w:rsidP="00A343DF">
            <w:pPr>
              <w:jc w:val="lowKashida"/>
              <w:rPr>
                <w:rFonts w:hint="cs"/>
                <w:sz w:val="24"/>
                <w:szCs w:val="24"/>
              </w:rPr>
            </w:pPr>
            <w:r w:rsidRPr="009D2785">
              <w:rPr>
                <w:rFonts w:hint="cs"/>
                <w:sz w:val="24"/>
                <w:szCs w:val="24"/>
                <w:rtl/>
              </w:rPr>
              <w:t>بشأن عملية الحوار والتفاوض وتوقيع اتفاقات مع  كتلة كا</w:t>
            </w:r>
          </w:p>
        </w:tc>
        <w:tc>
          <w:tcPr>
            <w:tcW w:w="4428" w:type="dxa"/>
          </w:tcPr>
          <w:p w:rsidR="00971AE2" w:rsidRPr="00100589" w:rsidRDefault="00971AE2" w:rsidP="00A343DF">
            <w:pPr>
              <w:jc w:val="lowKashida"/>
              <w:rPr>
                <w:rFonts w:hint="cs"/>
                <w:sz w:val="24"/>
                <w:szCs w:val="24"/>
                <w:rtl/>
              </w:rPr>
            </w:pPr>
            <w:r w:rsidRPr="00100589">
              <w:rPr>
                <w:rFonts w:hint="cs"/>
                <w:sz w:val="24"/>
                <w:szCs w:val="24"/>
                <w:rtl/>
              </w:rPr>
              <w:t xml:space="preserve">القرارات رقم 216 و217 و218 لسنة 2003 لرئيس الجمهورية </w:t>
            </w:r>
          </w:p>
        </w:tc>
      </w:tr>
      <w:tr w:rsidR="00971AE2" w:rsidRPr="00100589">
        <w:tblPrEx>
          <w:tblCellMar>
            <w:top w:w="0" w:type="dxa"/>
            <w:bottom w:w="0" w:type="dxa"/>
          </w:tblCellMar>
        </w:tblPrEx>
        <w:trPr>
          <w:jc w:val="center"/>
        </w:trPr>
        <w:tc>
          <w:tcPr>
            <w:tcW w:w="4428" w:type="dxa"/>
          </w:tcPr>
          <w:p w:rsidR="00971AE2" w:rsidRPr="00100589" w:rsidRDefault="00971AE2" w:rsidP="009D2785">
            <w:pPr>
              <w:jc w:val="lowKashida"/>
              <w:rPr>
                <w:rFonts w:hint="cs"/>
                <w:sz w:val="24"/>
                <w:szCs w:val="24"/>
                <w:rtl/>
              </w:rPr>
            </w:pPr>
            <w:r w:rsidRPr="00100589">
              <w:rPr>
                <w:rFonts w:hint="cs"/>
                <w:sz w:val="24"/>
                <w:szCs w:val="24"/>
                <w:rtl/>
              </w:rPr>
              <w:t>ينظم القانون رقم 418 لسنة 1997 الممدد والمعدل بالقانون رقم 548 لسنة 1999 وبالقانون رقم 782 لسنة 2002</w:t>
            </w:r>
            <w:r w:rsidR="003D7EB4">
              <w:rPr>
                <w:rFonts w:hint="cs"/>
                <w:sz w:val="24"/>
                <w:szCs w:val="24"/>
                <w:rtl/>
              </w:rPr>
              <w:t>،</w:t>
            </w:r>
            <w:r w:rsidRPr="00100589">
              <w:rPr>
                <w:rFonts w:hint="cs"/>
                <w:sz w:val="24"/>
                <w:szCs w:val="24"/>
                <w:rtl/>
              </w:rPr>
              <w:t xml:space="preserve"> وينص على أنه ’’فيما يتعلق بالتسريح الجماعي في إطار الاتفاقات المبرمة مع الحكومة الوطنية بصفة الفرد عضوا في الجماعة المسلحة المعنية الخارجة عن القانون فإنه يعتمد على أساس أنه مدرج صراحة بهذه الصفة في قائمة المسرحين الموقعة من المتحدثين باسم تلك الجماعة أو الأعضاء الممثلين لها ‘‘</w:t>
            </w:r>
            <w:r w:rsidR="003D7EB4">
              <w:rPr>
                <w:rFonts w:hint="cs"/>
                <w:sz w:val="24"/>
                <w:szCs w:val="24"/>
                <w:rtl/>
              </w:rPr>
              <w:t>،</w:t>
            </w:r>
          </w:p>
        </w:tc>
        <w:tc>
          <w:tcPr>
            <w:tcW w:w="4428" w:type="dxa"/>
          </w:tcPr>
          <w:p w:rsidR="00971AE2" w:rsidRPr="00100589" w:rsidRDefault="00971AE2" w:rsidP="00A343DF">
            <w:pPr>
              <w:spacing w:line="360" w:lineRule="auto"/>
              <w:jc w:val="lowKashida"/>
              <w:rPr>
                <w:rFonts w:hint="cs"/>
                <w:sz w:val="24"/>
                <w:szCs w:val="24"/>
                <w:rtl/>
                <w:lang w:bidi="ar-EG"/>
              </w:rPr>
            </w:pPr>
            <w:r w:rsidRPr="00100589">
              <w:rPr>
                <w:rFonts w:hint="cs"/>
                <w:sz w:val="24"/>
                <w:szCs w:val="24"/>
                <w:rtl/>
                <w:lang w:bidi="ar-EG"/>
              </w:rPr>
              <w:t>المرسوم رقم 3360 لسنة 2003</w:t>
            </w:r>
          </w:p>
        </w:tc>
      </w:tr>
      <w:tr w:rsidR="00971AE2" w:rsidRPr="00100589">
        <w:tblPrEx>
          <w:tblCellMar>
            <w:top w:w="0" w:type="dxa"/>
            <w:bottom w:w="0" w:type="dxa"/>
          </w:tblCellMar>
        </w:tblPrEx>
        <w:trPr>
          <w:jc w:val="center"/>
        </w:trPr>
        <w:tc>
          <w:tcPr>
            <w:tcW w:w="4428" w:type="dxa"/>
          </w:tcPr>
          <w:p w:rsidR="00971AE2" w:rsidRPr="00100589" w:rsidRDefault="00971AE2" w:rsidP="009D2785">
            <w:pPr>
              <w:jc w:val="lowKashida"/>
              <w:rPr>
                <w:rFonts w:hint="cs"/>
                <w:sz w:val="24"/>
                <w:szCs w:val="24"/>
                <w:rtl/>
                <w:lang w:bidi="ar-EG"/>
              </w:rPr>
            </w:pPr>
            <w:r w:rsidRPr="00100589">
              <w:rPr>
                <w:rFonts w:hint="cs"/>
                <w:sz w:val="24"/>
                <w:szCs w:val="24"/>
                <w:rtl/>
              </w:rPr>
              <w:t>مشروع قانون أساسي تفرض بمقتضاه أحكام إعادة إدماج أعضاء الجماعات المسلحة الذين يسهمون بصورة فعالة في بناء السلم الوطني</w:t>
            </w:r>
          </w:p>
        </w:tc>
        <w:tc>
          <w:tcPr>
            <w:tcW w:w="4428" w:type="dxa"/>
          </w:tcPr>
          <w:p w:rsidR="00971AE2" w:rsidRPr="00100589" w:rsidRDefault="00971AE2" w:rsidP="00A343DF">
            <w:pPr>
              <w:spacing w:line="360" w:lineRule="auto"/>
              <w:jc w:val="lowKashida"/>
              <w:rPr>
                <w:rFonts w:hint="cs"/>
                <w:sz w:val="24"/>
                <w:szCs w:val="24"/>
                <w:rtl/>
                <w:lang w:bidi="ar-EG"/>
              </w:rPr>
            </w:pPr>
            <w:r w:rsidRPr="00100589">
              <w:rPr>
                <w:rFonts w:hint="cs"/>
                <w:sz w:val="24"/>
                <w:szCs w:val="24"/>
                <w:rtl/>
                <w:lang w:bidi="ar-EG"/>
              </w:rPr>
              <w:t xml:space="preserve">مشروع قانون تبديل العقوبة </w:t>
            </w:r>
          </w:p>
        </w:tc>
      </w:tr>
    </w:tbl>
    <w:p w:rsidR="00100589" w:rsidRPr="00100589" w:rsidRDefault="00100589" w:rsidP="00A343DF">
      <w:pPr>
        <w:spacing w:line="120" w:lineRule="exact"/>
        <w:jc w:val="lowKashida"/>
        <w:rPr>
          <w:rFonts w:hint="cs"/>
          <w:b/>
          <w:bCs/>
          <w:sz w:val="10"/>
          <w:rtl/>
          <w:lang w:bidi="ar-EG"/>
        </w:rPr>
      </w:pPr>
    </w:p>
    <w:p w:rsidR="00971AE2" w:rsidRDefault="00100589" w:rsidP="00A343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المنجزات الإدارية</w:t>
      </w:r>
    </w:p>
    <w:p w:rsidR="00971AE2" w:rsidRDefault="00971AE2" w:rsidP="00096CD4">
      <w:pPr>
        <w:pStyle w:val="SingleTxt"/>
        <w:rPr>
          <w:rFonts w:hint="cs"/>
          <w:rtl/>
          <w:lang w:bidi="ar-EG"/>
        </w:rPr>
      </w:pPr>
      <w:r>
        <w:rPr>
          <w:rFonts w:hint="cs"/>
          <w:rtl/>
          <w:lang w:bidi="ar-EG"/>
        </w:rPr>
        <w:tab/>
        <w:t xml:space="preserve">يتمثل هدف السياسة التي تستهدف المسرحين والمسرحات في إعادة إدماجهم في المجتمع وتكريمهم عن طريق الرعاية المتكاملة التي تتضمن تقديم المشورة النفسية وبرامج تدريب وتأهيل مكتبي ورعاية إنسانية إليهم </w:t>
      </w:r>
      <w:r w:rsidR="00096CD4" w:rsidRPr="00096CD4">
        <w:rPr>
          <w:rFonts w:hint="cs"/>
          <w:vertAlign w:val="superscript"/>
          <w:rtl/>
          <w:lang w:bidi="ar-EG"/>
        </w:rPr>
        <w:t>279</w:t>
      </w:r>
    </w:p>
    <w:p w:rsidR="00971AE2" w:rsidRDefault="00104012" w:rsidP="00A343DF">
      <w:pPr>
        <w:pStyle w:val="SingleTxt"/>
        <w:rPr>
          <w:rFonts w:hint="cs"/>
          <w:rtl/>
        </w:rPr>
      </w:pPr>
      <w:r>
        <w:rPr>
          <w:rFonts w:hint="cs"/>
          <w:rtl/>
        </w:rPr>
        <w:tab/>
      </w:r>
      <w:r w:rsidR="00971AE2">
        <w:rPr>
          <w:rFonts w:hint="cs"/>
          <w:rtl/>
        </w:rPr>
        <w:t>ومنذ أواخر عام 1999 تنفذ المؤسسة الكولومبية للرعاية الأسرية برنامجاً يتمثل هدفه في الإسهام في إعادة بناء طريق الحياة للأطفال والشباب المنفصلين عن الجماعات الإرهابية، في إطار ضمان حقوق الطفل وبناء المواطنة وإقامة الديمقراطية بمنظور جنساني، بهدف إعادتهم إلى عالم الأطفال</w:t>
      </w:r>
      <w:r w:rsidR="003D7EB4">
        <w:rPr>
          <w:rFonts w:hint="cs"/>
          <w:rtl/>
        </w:rPr>
        <w:t>،</w:t>
      </w:r>
      <w:r w:rsidR="00971AE2">
        <w:rPr>
          <w:rFonts w:hint="cs"/>
          <w:rtl/>
        </w:rPr>
        <w:t xml:space="preserve"> </w:t>
      </w:r>
    </w:p>
    <w:p w:rsidR="00971AE2" w:rsidRDefault="00971AE2" w:rsidP="00A343DF">
      <w:pPr>
        <w:pStyle w:val="SingleTxt"/>
        <w:rPr>
          <w:rFonts w:hint="cs"/>
          <w:rtl/>
          <w:lang w:bidi="ar-EG"/>
        </w:rPr>
      </w:pPr>
      <w:r>
        <w:rPr>
          <w:rFonts w:hint="cs"/>
          <w:rtl/>
        </w:rPr>
        <w:tab/>
        <w:t>ومكتب المدعية المفوضة لشؤون القصر والأسرة ه</w:t>
      </w:r>
      <w:r>
        <w:rPr>
          <w:rFonts w:hint="cs"/>
          <w:rtl/>
          <w:lang w:bidi="ar-EG"/>
        </w:rPr>
        <w:t>و</w:t>
      </w:r>
      <w:r>
        <w:rPr>
          <w:rFonts w:hint="cs"/>
          <w:rtl/>
        </w:rPr>
        <w:t xml:space="preserve"> المكلف بمراقبة إدارة المؤسسات التي تتعاقد معها المؤسسة الكولومبية للرعاية الأسرية والمنظمة الدولية للهجرة </w:t>
      </w:r>
      <w:r>
        <w:rPr>
          <w:rFonts w:hint="cs"/>
          <w:rtl/>
          <w:lang w:bidi="ar-EG"/>
        </w:rPr>
        <w:t>والإشراف عليها بصورة وقائية، في برنامج رعاية وحماية الأطفال المنفصلين عن أسرهم بسبب النزاع المسلح، وذلك عن طريق زيارات عامة للدور المؤقتة ومراكز الرعاية المتخصصة ودور الأحداث التي تعمل في البلد؛ بهدف تهيئة الظروف اللازمة لتقديم الرعاية والحماية لهؤلاء السكان</w:t>
      </w:r>
      <w:r w:rsidR="003D7EB4">
        <w:rPr>
          <w:rFonts w:hint="cs"/>
          <w:rtl/>
          <w:lang w:bidi="ar-EG"/>
        </w:rPr>
        <w:t>،</w:t>
      </w:r>
      <w:r>
        <w:rPr>
          <w:rFonts w:hint="cs"/>
          <w:rtl/>
          <w:lang w:bidi="ar-EG"/>
        </w:rPr>
        <w:t xml:space="preserve"> ونتيجة لهذه المتابعة قدم مكتب المدعي العام للأمة طلباً إلى الإدارة الوطنية للمؤسسة الكولومبية للرعاية الأسرية مع توصيات لكي تعالج هذه الهيئة ما اكتشف في مجال رعاية هؤلاء السكان من أكثر نواحي القصور حساسية</w:t>
      </w:r>
      <w:r w:rsidR="003D7EB4">
        <w:rPr>
          <w:rFonts w:hint="cs"/>
          <w:rtl/>
          <w:lang w:bidi="ar-EG"/>
        </w:rPr>
        <w:t>،</w:t>
      </w:r>
    </w:p>
    <w:p w:rsidR="00971AE2" w:rsidRDefault="00971AE2" w:rsidP="00A343DF">
      <w:pPr>
        <w:pStyle w:val="SingleTxt"/>
        <w:rPr>
          <w:rFonts w:hint="cs"/>
          <w:rtl/>
          <w:lang w:bidi="ar-EG"/>
        </w:rPr>
      </w:pPr>
      <w:r>
        <w:rPr>
          <w:rFonts w:hint="cs"/>
          <w:rtl/>
          <w:lang w:bidi="ar-EG"/>
        </w:rPr>
        <w:tab/>
        <w:t>ويوجد اتفاق تعاون مع منظمة الأمم المتحدة للطفولة لتنظيم حلقات عمل إقليمية لبحث الاختصاصات والإجراءات والرعاية التي تقدمها الدولة الكولومبية إلى الأطفال والشباب المنفصلين عن أسرهم، لصالح القضاة والمدافعين عن الأسرة والشخصيات وممثلي الإدعاء في محاكم الشؤون الأسرية</w:t>
      </w:r>
      <w:r w:rsidR="003D7EB4">
        <w:rPr>
          <w:rFonts w:hint="cs"/>
          <w:rtl/>
          <w:lang w:bidi="ar-EG"/>
        </w:rPr>
        <w:t>،</w:t>
      </w:r>
      <w:r>
        <w:rPr>
          <w:rFonts w:hint="cs"/>
          <w:rtl/>
          <w:lang w:bidi="ar-EG"/>
        </w:rPr>
        <w:t xml:space="preserve"> </w:t>
      </w:r>
    </w:p>
    <w:p w:rsidR="00971AE2" w:rsidRDefault="00971AE2" w:rsidP="00A343DF">
      <w:pPr>
        <w:pStyle w:val="SingleTxt"/>
        <w:rPr>
          <w:rFonts w:hint="cs"/>
          <w:rtl/>
        </w:rPr>
      </w:pPr>
      <w:r>
        <w:rPr>
          <w:rFonts w:hint="cs"/>
          <w:rtl/>
          <w:lang w:bidi="ar-EG"/>
        </w:rPr>
        <w:tab/>
        <w:t xml:space="preserve">ومتى ورد قاصر منفصل عن أسرته إلى </w:t>
      </w:r>
      <w:r>
        <w:rPr>
          <w:rFonts w:hint="cs"/>
          <w:rtl/>
        </w:rPr>
        <w:t>المؤسسة الكولومبية للرعاية الأسرية فإنها تقوم من جانبها بإشعار وزارة الدفاع حتى تتحقق من صلته بالجماعة المسلحة وتقوم المؤسسة أيضاً بإخطار وزارة الداخلية/العدل من أجل متابعته وتعريفه فيما بعد بمستحقاته</w:t>
      </w:r>
      <w:r w:rsidR="003D7EB4">
        <w:rPr>
          <w:rFonts w:hint="cs"/>
          <w:rtl/>
        </w:rPr>
        <w:t>،</w:t>
      </w:r>
      <w:r>
        <w:rPr>
          <w:rFonts w:hint="cs"/>
          <w:rtl/>
        </w:rPr>
        <w:t xml:space="preserve"> وتتولى وزارة الداخلية/العدل، بالتنسيق مع المؤسسة الكولومبية للرعاية الأسرية، تنظيم طريقة حصول القصر على مستحقاتهم التعليمية والمالية المترتبة على انفصالهم </w:t>
      </w:r>
      <w:r w:rsidR="003D7EB4">
        <w:rPr>
          <w:rFonts w:hint="cs"/>
          <w:rtl/>
        </w:rPr>
        <w:t>،</w:t>
      </w:r>
      <w:r>
        <w:rPr>
          <w:rFonts w:hint="cs"/>
          <w:rtl/>
        </w:rPr>
        <w:t xml:space="preserve"> وتقوم المؤسسة الكولومبية للرعاية الأسرية بوضع الخطط اللازمة لإعادة حقوق وضمانات الطفل أو القاصر المنفصل</w:t>
      </w:r>
      <w:r w:rsidR="003D7EB4">
        <w:rPr>
          <w:rFonts w:hint="cs"/>
          <w:rtl/>
        </w:rPr>
        <w:t>،</w:t>
      </w:r>
      <w:r>
        <w:rPr>
          <w:rFonts w:hint="cs"/>
          <w:rtl/>
        </w:rPr>
        <w:t xml:space="preserve"> </w:t>
      </w:r>
    </w:p>
    <w:p w:rsidR="00971AE2" w:rsidRDefault="00971AE2" w:rsidP="00096CD4">
      <w:pPr>
        <w:pStyle w:val="SingleTxt"/>
        <w:rPr>
          <w:rFonts w:hint="cs"/>
          <w:rtl/>
        </w:rPr>
      </w:pPr>
      <w:r>
        <w:rPr>
          <w:rFonts w:hint="cs"/>
          <w:rtl/>
        </w:rPr>
        <w:tab/>
        <w:t xml:space="preserve">وتمر الرعاية بالمراحل التالية: الدار المؤقتة </w:t>
      </w:r>
      <w:r w:rsidR="00096CD4" w:rsidRPr="00096CD4">
        <w:rPr>
          <w:rFonts w:hint="cs"/>
          <w:vertAlign w:val="superscript"/>
          <w:rtl/>
        </w:rPr>
        <w:t>280</w:t>
      </w:r>
      <w:r>
        <w:rPr>
          <w:rFonts w:hint="cs"/>
          <w:rtl/>
        </w:rPr>
        <w:t>؛ ومركز الرعاية المتخصصة</w:t>
      </w:r>
      <w:r w:rsidR="00096CD4" w:rsidRPr="00096CD4">
        <w:rPr>
          <w:rFonts w:hint="cs"/>
          <w:vertAlign w:val="superscript"/>
          <w:rtl/>
        </w:rPr>
        <w:t>281</w:t>
      </w:r>
      <w:r>
        <w:rPr>
          <w:rFonts w:hint="cs"/>
          <w:rtl/>
        </w:rPr>
        <w:t>؛ ودور الأحداث</w:t>
      </w:r>
      <w:r w:rsidR="00096CD4" w:rsidRPr="00096CD4">
        <w:rPr>
          <w:rFonts w:hint="cs"/>
          <w:vertAlign w:val="superscript"/>
          <w:rtl/>
        </w:rPr>
        <w:t>282</w:t>
      </w:r>
      <w:r>
        <w:rPr>
          <w:rFonts w:hint="cs"/>
          <w:rtl/>
        </w:rPr>
        <w:t xml:space="preserve">؛ ومركز الرعاية المتكاملة </w:t>
      </w:r>
      <w:r w:rsidR="00096CD4" w:rsidRPr="00096CD4">
        <w:rPr>
          <w:rFonts w:hint="cs"/>
          <w:vertAlign w:val="superscript"/>
          <w:rtl/>
        </w:rPr>
        <w:t>283</w:t>
      </w:r>
      <w:r>
        <w:rPr>
          <w:rFonts w:hint="cs"/>
          <w:rtl/>
        </w:rPr>
        <w:t>؛ وشبكة مؤسسات الحماية</w:t>
      </w:r>
      <w:r w:rsidR="00096CD4" w:rsidRPr="00096CD4">
        <w:rPr>
          <w:rFonts w:hint="cs"/>
          <w:vertAlign w:val="superscript"/>
          <w:rtl/>
        </w:rPr>
        <w:t>284</w:t>
      </w:r>
      <w:r>
        <w:rPr>
          <w:rFonts w:hint="cs"/>
          <w:rtl/>
        </w:rPr>
        <w:t xml:space="preserve"> والأسر الحاضنة</w:t>
      </w:r>
      <w:r w:rsidR="00096CD4" w:rsidRPr="00096CD4">
        <w:rPr>
          <w:rFonts w:hint="cs"/>
          <w:vertAlign w:val="superscript"/>
          <w:rtl/>
        </w:rPr>
        <w:t>285</w:t>
      </w:r>
      <w:r>
        <w:rPr>
          <w:rFonts w:hint="cs"/>
          <w:rtl/>
        </w:rPr>
        <w:t>، وإعادة الإدماج في الأسرة</w:t>
      </w:r>
      <w:r w:rsidR="00096CD4" w:rsidRPr="00096CD4">
        <w:rPr>
          <w:rFonts w:hint="cs"/>
          <w:vertAlign w:val="superscript"/>
          <w:rtl/>
        </w:rPr>
        <w:t>286</w:t>
      </w:r>
      <w:r>
        <w:rPr>
          <w:rFonts w:hint="cs"/>
          <w:rtl/>
        </w:rPr>
        <w:t xml:space="preserve"> مع تحديد إعانة مشروطة </w:t>
      </w:r>
      <w:r w:rsidR="00096CD4" w:rsidRPr="00096CD4">
        <w:rPr>
          <w:rFonts w:hint="cs"/>
          <w:vertAlign w:val="superscript"/>
          <w:rtl/>
        </w:rPr>
        <w:t>287</w:t>
      </w:r>
      <w:r>
        <w:rPr>
          <w:rFonts w:hint="cs"/>
          <w:rtl/>
        </w:rPr>
        <w:t>، وتحديد شبكة الحماية ؛ وتحديد برنامج إعادة الإدماج</w:t>
      </w:r>
      <w:r w:rsidR="003D7EB4">
        <w:rPr>
          <w:rFonts w:hint="cs"/>
          <w:rtl/>
        </w:rPr>
        <w:t>،</w:t>
      </w:r>
      <w:r>
        <w:rPr>
          <w:rFonts w:hint="cs"/>
          <w:rtl/>
        </w:rPr>
        <w:t xml:space="preserve"> وتتكون الرعاية من العناصر التالية: الإعداد للحياة الاجتماعية والانتاجية والصحية والتغذوية والأسرية والعلاجية والقانونية والمساندة والرصد والتقييم والتنظيم والإدارة</w:t>
      </w:r>
      <w:r w:rsidR="003D7EB4">
        <w:rPr>
          <w:rFonts w:hint="cs"/>
          <w:rtl/>
        </w:rPr>
        <w:t>،</w:t>
      </w:r>
      <w:r>
        <w:rPr>
          <w:rFonts w:hint="cs"/>
          <w:rtl/>
        </w:rPr>
        <w:t xml:space="preserve"> </w:t>
      </w:r>
    </w:p>
    <w:p w:rsidR="00971AE2" w:rsidRDefault="00104012" w:rsidP="00104012">
      <w:pPr>
        <w:pStyle w:val="SingleTxt"/>
        <w:rPr>
          <w:rFonts w:hint="cs"/>
          <w:rtl/>
        </w:rPr>
      </w:pPr>
      <w:r>
        <w:rPr>
          <w:rFonts w:hint="cs"/>
          <w:rtl/>
        </w:rPr>
        <w:tab/>
      </w:r>
      <w:r w:rsidR="00971AE2">
        <w:rPr>
          <w:rFonts w:hint="cs"/>
          <w:rtl/>
        </w:rPr>
        <w:t xml:space="preserve">التحقيق الاجتاعي القانوني للمؤسسة الكولومبية للرعاية الأسرية ومكتب المدعي العام: </w:t>
      </w:r>
      <w:r>
        <w:rPr>
          <w:rFonts w:hint="eastAsia"/>
          <w:rtl/>
        </w:rPr>
        <w:t>”</w:t>
      </w:r>
      <w:r w:rsidR="00971AE2">
        <w:rPr>
          <w:rFonts w:hint="cs"/>
          <w:rtl/>
        </w:rPr>
        <w:t>مقاتلون بلا ظل، أطفال وشباب مرتبطون بالنزاع المسلح‘‘ وتُجرى هذه العملية الاستقصائية في أربع مقاطعات في البلد هي: كوندينا ماركا وكاكيتا وميتا</w:t>
      </w:r>
      <w:r w:rsidR="003D7EB4">
        <w:rPr>
          <w:rFonts w:hint="cs"/>
          <w:rtl/>
        </w:rPr>
        <w:t>،</w:t>
      </w:r>
      <w:r w:rsidR="00971AE2">
        <w:rPr>
          <w:rFonts w:hint="cs"/>
          <w:rtl/>
        </w:rPr>
        <w:t xml:space="preserve"> وتجلب نتائج هذا التحقيق عناصر تتيح تعديل القواعد الفنية لتدخّل المؤسسة الكولومبية للرعاية الأسرية في رعاية هؤلاء السكان</w:t>
      </w:r>
      <w:r w:rsidR="003D7EB4">
        <w:rPr>
          <w:rFonts w:hint="cs"/>
          <w:rtl/>
        </w:rPr>
        <w:t>،</w:t>
      </w:r>
      <w:r w:rsidR="00971AE2">
        <w:rPr>
          <w:rFonts w:hint="cs"/>
          <w:rtl/>
        </w:rPr>
        <w:t xml:space="preserve"> </w:t>
      </w:r>
    </w:p>
    <w:p w:rsidR="00971AE2" w:rsidRDefault="00104012" w:rsidP="001040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71AE2">
        <w:rPr>
          <w:rFonts w:hint="cs"/>
          <w:rtl/>
        </w:rPr>
        <w:t xml:space="preserve">الإحصاءات </w:t>
      </w:r>
    </w:p>
    <w:p w:rsidR="00971AE2" w:rsidRDefault="00971AE2" w:rsidP="00096CD4">
      <w:pPr>
        <w:pStyle w:val="SingleTxt"/>
        <w:rPr>
          <w:rFonts w:hint="cs"/>
          <w:rtl/>
          <w:lang w:bidi="ar-EG"/>
        </w:rPr>
      </w:pPr>
      <w:r>
        <w:rPr>
          <w:rFonts w:hint="cs"/>
          <w:rtl/>
        </w:rPr>
        <w:tab/>
        <w:t>في الجزء المنصرم من عام 2003 استقبل برنامج التس</w:t>
      </w:r>
      <w:r>
        <w:rPr>
          <w:rFonts w:hint="cs"/>
          <w:rtl/>
          <w:lang w:bidi="ar-EG"/>
        </w:rPr>
        <w:t>ر</w:t>
      </w:r>
      <w:r>
        <w:rPr>
          <w:rFonts w:hint="cs"/>
          <w:rtl/>
        </w:rPr>
        <w:t>يح وإعادة الإدماج في الحياة المدنية 2081 شخصاً</w:t>
      </w:r>
      <w:r w:rsidR="003D7EB4">
        <w:rPr>
          <w:rFonts w:hint="cs"/>
          <w:rtl/>
        </w:rPr>
        <w:t>،</w:t>
      </w:r>
      <w:r>
        <w:rPr>
          <w:rFonts w:hint="cs"/>
          <w:rtl/>
        </w:rPr>
        <w:t xml:space="preserve"> ومن هذه المجموعة من المسرحين كان 104 1 أشخاص ينتمون إلى </w:t>
      </w:r>
      <w:r>
        <w:t>FARC</w:t>
      </w:r>
      <w:r>
        <w:rPr>
          <w:rFonts w:hint="cs"/>
          <w:rtl/>
          <w:lang w:bidi="ar-EG"/>
        </w:rPr>
        <w:t xml:space="preserve">، و342 ينتمون إلى </w:t>
      </w:r>
      <w:r>
        <w:t>ALM</w:t>
      </w:r>
      <w:r>
        <w:rPr>
          <w:rFonts w:hint="cs"/>
          <w:rtl/>
          <w:lang w:bidi="ar-EG"/>
        </w:rPr>
        <w:t xml:space="preserve">، و579 ينتمون إلى </w:t>
      </w:r>
      <w:r>
        <w:t>AUC</w:t>
      </w:r>
      <w:r>
        <w:rPr>
          <w:rFonts w:hint="cs"/>
          <w:rtl/>
          <w:lang w:bidi="ar-EG"/>
        </w:rPr>
        <w:t>، و56 ينتمون إلى المنشقين</w:t>
      </w:r>
      <w:r w:rsidR="003D7EB4">
        <w:rPr>
          <w:rFonts w:hint="cs"/>
          <w:rtl/>
          <w:lang w:bidi="ar-EG"/>
        </w:rPr>
        <w:t>،</w:t>
      </w:r>
      <w:r>
        <w:rPr>
          <w:rFonts w:hint="cs"/>
          <w:rtl/>
          <w:lang w:bidi="ar-EG"/>
        </w:rPr>
        <w:t xml:space="preserve"> ويتألف هذا المجموع من 1797 رجلاً و284 امرأة، من بينهم 321 قاصراً</w:t>
      </w:r>
      <w:r w:rsidR="00096CD4" w:rsidRPr="00096CD4">
        <w:rPr>
          <w:rFonts w:hint="cs"/>
          <w:vertAlign w:val="superscript"/>
          <w:rtl/>
          <w:lang w:bidi="ar-EG"/>
        </w:rPr>
        <w:t>288</w:t>
      </w:r>
      <w:r w:rsidR="003D7EB4">
        <w:rPr>
          <w:rFonts w:hint="cs"/>
          <w:rtl/>
          <w:lang w:bidi="ar-EG"/>
        </w:rPr>
        <w:t>،</w:t>
      </w:r>
    </w:p>
    <w:p w:rsidR="00971AE2" w:rsidRDefault="00971AE2" w:rsidP="00096CD4">
      <w:pPr>
        <w:pStyle w:val="SingleTxt"/>
        <w:rPr>
          <w:rFonts w:hint="cs"/>
          <w:rtl/>
          <w:lang w:bidi="ar-EG"/>
        </w:rPr>
      </w:pPr>
      <w:r>
        <w:rPr>
          <w:rFonts w:hint="cs"/>
          <w:rtl/>
          <w:lang w:bidi="ar-EG"/>
        </w:rPr>
        <w:tab/>
        <w:t>ويفوق عدد الأشخاص المسجلين عدد المسرحين لأنهم قد تخلوا عن سلاحهم قبل عام 2003 لكنهم كانوا مسجلين في تلك السنة</w:t>
      </w:r>
      <w:r w:rsidR="003D7EB4">
        <w:rPr>
          <w:rFonts w:hint="cs"/>
          <w:rtl/>
          <w:lang w:bidi="ar-EG"/>
        </w:rPr>
        <w:t>،</w:t>
      </w:r>
      <w:r>
        <w:rPr>
          <w:rFonts w:hint="cs"/>
          <w:rtl/>
          <w:lang w:bidi="ar-EG"/>
        </w:rPr>
        <w:t xml:space="preserve"> ويقصد بالمشردين الأشخاص الذين اعترفت بهم اللجنة التشغيلية للتخلي عن السلاح</w:t>
      </w:r>
      <w:r w:rsidR="003D7EB4">
        <w:rPr>
          <w:rFonts w:hint="cs"/>
          <w:rtl/>
          <w:lang w:bidi="ar-EG"/>
        </w:rPr>
        <w:t>،</w:t>
      </w:r>
      <w:r>
        <w:rPr>
          <w:rFonts w:hint="cs"/>
          <w:rtl/>
          <w:lang w:bidi="ar-EG"/>
        </w:rPr>
        <w:t xml:space="preserve"> وبلغ عدد الأشخاص المسرحين من كانون الثاني/ يناير إلى 5 تشرين الثاني/نوفمبر 2003 1986 وبلغ عدد الأشخاص المسجلين من كانون الثاني إلى 29 تشرين الأول / أكتوبر 2003، 2234</w:t>
      </w:r>
      <w:r w:rsidR="003D7EB4">
        <w:rPr>
          <w:rFonts w:hint="cs"/>
          <w:rtl/>
          <w:lang w:bidi="ar-EG"/>
        </w:rPr>
        <w:t>،</w:t>
      </w:r>
      <w:r>
        <w:rPr>
          <w:rFonts w:hint="cs"/>
          <w:rtl/>
          <w:lang w:bidi="ar-EG"/>
        </w:rPr>
        <w:t xml:space="preserve"> والمعونة الإنسانية الرئيسية التي تقدم إلى المسرحين هي المسكن والغذاء</w:t>
      </w:r>
      <w:r w:rsidR="00096CD4" w:rsidRPr="00096CD4">
        <w:rPr>
          <w:rFonts w:hint="cs"/>
          <w:vertAlign w:val="superscript"/>
          <w:rtl/>
          <w:lang w:bidi="ar-EG"/>
        </w:rPr>
        <w:t>289</w:t>
      </w:r>
      <w:r w:rsidR="003D7EB4">
        <w:rPr>
          <w:rFonts w:hint="cs"/>
          <w:rtl/>
          <w:lang w:bidi="ar-EG"/>
        </w:rPr>
        <w:t>،</w:t>
      </w:r>
      <w:r>
        <w:rPr>
          <w:rFonts w:hint="cs"/>
          <w:rtl/>
          <w:lang w:bidi="ar-EG"/>
        </w:rPr>
        <w:t xml:space="preserve"> </w:t>
      </w:r>
    </w:p>
    <w:p w:rsidR="00971AE2" w:rsidRDefault="00104012" w:rsidP="00104012">
      <w:pPr>
        <w:pStyle w:val="SingleTxt"/>
        <w:rPr>
          <w:rFonts w:hint="cs"/>
          <w:rtl/>
          <w:lang w:bidi="ar-EG"/>
        </w:rPr>
      </w:pPr>
      <w:r>
        <w:rPr>
          <w:rFonts w:hint="cs"/>
          <w:rtl/>
          <w:lang w:bidi="ar-EG"/>
        </w:rPr>
        <w:tab/>
      </w:r>
      <w:r w:rsidR="00971AE2">
        <w:rPr>
          <w:rFonts w:hint="cs"/>
          <w:rtl/>
          <w:lang w:bidi="ar-EG"/>
        </w:rPr>
        <w:t>ويوجد في الوقت الحاضر 500 1 شخص منتسب إلى النظام الصحي الفرعي (اتفاق الحياة الصحية)؛ وينتمي الباقون إلى خدمة تابعة للأمانة الصحية؛ والنتيجة هي أن ما سلم من السكان الذين دخلوا البرنامج مع أسرهم يحصل على الخدمات الصحية</w:t>
      </w:r>
      <w:r w:rsidR="003D7EB4">
        <w:rPr>
          <w:rFonts w:hint="cs"/>
          <w:rtl/>
          <w:lang w:bidi="ar-EG"/>
        </w:rPr>
        <w:t>،</w:t>
      </w:r>
      <w:r w:rsidR="00971AE2">
        <w:rPr>
          <w:rFonts w:hint="cs"/>
          <w:rtl/>
          <w:lang w:bidi="ar-EG"/>
        </w:rPr>
        <w:t xml:space="preserve"> وقد حصلوا على 1450 قسيمة للحصول على ملا بس وسوف يحصل 450 شخصاً على ملابس في القريب العاجل</w:t>
      </w:r>
      <w:r w:rsidR="003D7EB4">
        <w:rPr>
          <w:rFonts w:hint="cs"/>
          <w:rtl/>
          <w:lang w:bidi="ar-EG"/>
        </w:rPr>
        <w:t>،</w:t>
      </w:r>
    </w:p>
    <w:p w:rsidR="00971AE2" w:rsidRDefault="00971AE2" w:rsidP="00096CD4">
      <w:pPr>
        <w:pStyle w:val="SingleTxt"/>
        <w:rPr>
          <w:rFonts w:hint="cs"/>
          <w:rtl/>
          <w:lang w:bidi="ar-EG"/>
        </w:rPr>
      </w:pPr>
      <w:r>
        <w:rPr>
          <w:rFonts w:hint="cs"/>
          <w:rtl/>
          <w:lang w:bidi="ar-EG"/>
        </w:rPr>
        <w:tab/>
        <w:t xml:space="preserve">وتشير التقديرات الرسمية إلى وجود 000 6 طفل </w:t>
      </w:r>
      <w:r w:rsidR="00096CD4" w:rsidRPr="00096CD4">
        <w:rPr>
          <w:rFonts w:hint="cs"/>
          <w:vertAlign w:val="superscript"/>
          <w:rtl/>
          <w:lang w:bidi="ar-EG"/>
        </w:rPr>
        <w:t>290</w:t>
      </w:r>
      <w:r>
        <w:rPr>
          <w:rFonts w:hint="cs"/>
          <w:rtl/>
          <w:lang w:bidi="ar-EG"/>
        </w:rPr>
        <w:t>، مرتبطين بجماعات مسلحة، وفيما بين عامي 1990 و2000 انفصل 796 طفلاً عن الجماعات المسلحة بمحض إرادتهم أو لأنهم قد وقعوا في الأسر، وألحقوا ببرامج مؤسسية للعناية والرعاية تابعة للمؤسسة الكولومبية للرعاية الأسرية</w:t>
      </w:r>
      <w:r w:rsidR="003D7EB4">
        <w:rPr>
          <w:rFonts w:hint="cs"/>
          <w:rtl/>
          <w:lang w:bidi="ar-EG"/>
        </w:rPr>
        <w:t>،</w:t>
      </w:r>
      <w:r>
        <w:rPr>
          <w:rFonts w:hint="cs"/>
          <w:rtl/>
          <w:lang w:bidi="ar-EG"/>
        </w:rPr>
        <w:t xml:space="preserve"> </w:t>
      </w:r>
    </w:p>
    <w:p w:rsidR="00971AE2" w:rsidRDefault="00971AE2" w:rsidP="00A343DF">
      <w:pPr>
        <w:pStyle w:val="SingleTxt"/>
        <w:rPr>
          <w:rFonts w:hint="cs"/>
          <w:rtl/>
          <w:lang w:bidi="ar-EG"/>
        </w:rPr>
      </w:pPr>
      <w:r>
        <w:rPr>
          <w:rFonts w:hint="cs"/>
          <w:rtl/>
          <w:lang w:bidi="ar-EG"/>
        </w:rPr>
        <w:tab/>
        <w:t xml:space="preserve">وفي عام 1999 قامت المؤسسة الكولومبية </w:t>
      </w:r>
      <w:r>
        <w:rPr>
          <w:rFonts w:hint="cs"/>
          <w:rtl/>
        </w:rPr>
        <w:t xml:space="preserve">للرعاية الأسرية بإنشاء وتنفيذ برنامج لرعاية الأطفال والشباب المنفصلين عن النزاع المسلح عن طريق مراكز الرعاية المتخصصة، بهدف تحسين ظروفهم المعيشية وإيجاد حلول مستدامة </w:t>
      </w:r>
      <w:r>
        <w:rPr>
          <w:rFonts w:hint="cs"/>
          <w:rtl/>
          <w:lang w:bidi="ar-EG"/>
        </w:rPr>
        <w:t>تيسر إعادة إدماجهم في المجتمع و/أو إعادة إدماجهم في أسرهم</w:t>
      </w:r>
      <w:r w:rsidR="003D7EB4">
        <w:rPr>
          <w:rFonts w:hint="cs"/>
          <w:rtl/>
          <w:lang w:bidi="ar-EG"/>
        </w:rPr>
        <w:t>،</w:t>
      </w:r>
      <w:r>
        <w:rPr>
          <w:rFonts w:hint="cs"/>
          <w:rtl/>
          <w:lang w:bidi="ar-EG"/>
        </w:rPr>
        <w:t xml:space="preserve"> وفي 1991 قدمت الرعاية إلى 10 شبان، وفي سنة 2000 إلى 100، وفي سنة 2001 إلى 196، وفي عام 2002 إلى 394، وحتى تموز/يوليه 2003 قدمت الرعاية إلى 400 طفل منفصلين عن النزاع المسلح</w:t>
      </w:r>
      <w:r w:rsidR="003D7EB4">
        <w:rPr>
          <w:rFonts w:hint="cs"/>
          <w:rtl/>
          <w:lang w:bidi="ar-EG"/>
        </w:rPr>
        <w:t>،</w:t>
      </w:r>
      <w:r>
        <w:rPr>
          <w:rFonts w:hint="cs"/>
          <w:rtl/>
          <w:lang w:bidi="ar-EG"/>
        </w:rPr>
        <w:t xml:space="preserve"> ومن مجموع عدد السكان المشمولين بالرعاية 796 ذكور (72</w:t>
      </w:r>
      <w:r w:rsidR="00E76EA3">
        <w:rPr>
          <w:rFonts w:hint="cs"/>
          <w:rtl/>
          <w:lang w:bidi="ar-EG"/>
        </w:rPr>
        <w:t>.</w:t>
      </w:r>
      <w:r>
        <w:rPr>
          <w:rFonts w:hint="cs"/>
          <w:rtl/>
          <w:lang w:bidi="ar-EG"/>
        </w:rPr>
        <w:t>32 في المائة) و279 إناث (27</w:t>
      </w:r>
      <w:r w:rsidR="00E76EA3">
        <w:rPr>
          <w:rFonts w:hint="cs"/>
          <w:rtl/>
          <w:lang w:bidi="ar-EG"/>
        </w:rPr>
        <w:t>.</w:t>
      </w:r>
      <w:r>
        <w:rPr>
          <w:rFonts w:hint="cs"/>
          <w:rtl/>
          <w:lang w:bidi="ar-EG"/>
        </w:rPr>
        <w:t xml:space="preserve">13 في المائة)، وكان 681 منهم ينتمون إلى </w:t>
      </w:r>
      <w:r>
        <w:t>FARC</w:t>
      </w:r>
      <w:r>
        <w:rPr>
          <w:rFonts w:hint="cs"/>
          <w:rtl/>
          <w:lang w:bidi="ar-EG"/>
        </w:rPr>
        <w:t xml:space="preserve"> و167 إلى </w:t>
      </w:r>
      <w:r>
        <w:t>ELN</w:t>
      </w:r>
      <w:r>
        <w:rPr>
          <w:rFonts w:hint="cs"/>
          <w:rtl/>
          <w:lang w:bidi="ar-EG"/>
        </w:rPr>
        <w:t xml:space="preserve"> و192 إلى </w:t>
      </w:r>
      <w:r>
        <w:t>AUC</w:t>
      </w:r>
      <w:r>
        <w:rPr>
          <w:rFonts w:hint="cs"/>
          <w:rtl/>
          <w:lang w:bidi="ar-EG"/>
        </w:rPr>
        <w:t xml:space="preserve"> و20 إلى جماعات أخرى (</w:t>
      </w:r>
      <w:r>
        <w:t>ERG</w:t>
      </w:r>
      <w:r>
        <w:rPr>
          <w:rFonts w:hint="cs"/>
          <w:rtl/>
          <w:lang w:bidi="ar-EG"/>
        </w:rPr>
        <w:t xml:space="preserve"> و </w:t>
      </w:r>
      <w:r>
        <w:t>EPL</w:t>
      </w:r>
      <w:r>
        <w:rPr>
          <w:rFonts w:hint="cs"/>
          <w:rtl/>
          <w:lang w:bidi="ar-EG"/>
        </w:rPr>
        <w:t xml:space="preserve"> و </w:t>
      </w:r>
      <w:r>
        <w:t>ERP</w:t>
      </w:r>
      <w:r>
        <w:rPr>
          <w:rFonts w:hint="cs"/>
          <w:rtl/>
          <w:lang w:bidi="ar-EG"/>
        </w:rPr>
        <w:t xml:space="preserve"> والميليشيات الشعبية) و30 لم يكونوا على صلة باي منظمة</w:t>
      </w:r>
      <w:r w:rsidR="003D7EB4">
        <w:rPr>
          <w:rFonts w:hint="cs"/>
          <w:rtl/>
          <w:lang w:bidi="ar-EG"/>
        </w:rPr>
        <w:t>،</w:t>
      </w:r>
      <w:r>
        <w:rPr>
          <w:rFonts w:hint="cs"/>
          <w:rtl/>
          <w:lang w:bidi="ar-EG"/>
        </w:rPr>
        <w:t xml:space="preserve"> وقدمت الرعاية إلى 744 شابا سلموا أنفسهم من تلقاء أنفسهم (68</w:t>
      </w:r>
      <w:r w:rsidR="00C1093F">
        <w:rPr>
          <w:rFonts w:hint="cs"/>
          <w:rtl/>
          <w:lang w:bidi="ar-EG"/>
        </w:rPr>
        <w:t xml:space="preserve"> </w:t>
      </w:r>
      <w:r>
        <w:rPr>
          <w:rFonts w:hint="cs"/>
          <w:rtl/>
          <w:lang w:bidi="ar-EG"/>
        </w:rPr>
        <w:t>06 في المائة) و280 بعد أن ألقي القبض عليهم (25</w:t>
      </w:r>
      <w:r w:rsidR="00E76EA3">
        <w:rPr>
          <w:rFonts w:hint="cs"/>
          <w:rtl/>
          <w:lang w:bidi="ar-EG"/>
        </w:rPr>
        <w:t>.</w:t>
      </w:r>
      <w:r>
        <w:rPr>
          <w:rFonts w:hint="cs"/>
          <w:rtl/>
          <w:lang w:bidi="ar-EG"/>
        </w:rPr>
        <w:t>61 في المائة) و69 سلموا أنفسهم بعد التفاوض (6</w:t>
      </w:r>
      <w:r w:rsidR="00E76EA3">
        <w:rPr>
          <w:rFonts w:hint="cs"/>
          <w:rtl/>
          <w:lang w:bidi="ar-EG"/>
        </w:rPr>
        <w:t>.</w:t>
      </w:r>
      <w:r>
        <w:rPr>
          <w:rFonts w:hint="cs"/>
          <w:rtl/>
          <w:lang w:bidi="ar-EG"/>
        </w:rPr>
        <w:t>33 في المائة)</w:t>
      </w:r>
      <w:r w:rsidR="003D7EB4">
        <w:rPr>
          <w:rFonts w:hint="cs"/>
          <w:rtl/>
          <w:lang w:bidi="ar-EG"/>
        </w:rPr>
        <w:t>،</w:t>
      </w:r>
    </w:p>
    <w:p w:rsidR="00971AE2" w:rsidRDefault="00104012" w:rsidP="00A343DF">
      <w:pPr>
        <w:pStyle w:val="SingleTxt"/>
        <w:rPr>
          <w:rFonts w:hint="cs"/>
          <w:rtl/>
          <w:lang w:bidi="ar-EG"/>
        </w:rPr>
      </w:pPr>
      <w:r>
        <w:rPr>
          <w:rFonts w:hint="cs"/>
          <w:rtl/>
          <w:lang w:bidi="ar-EG"/>
        </w:rPr>
        <w:tab/>
      </w:r>
      <w:r w:rsidR="00971AE2">
        <w:rPr>
          <w:rFonts w:hint="cs"/>
          <w:rtl/>
          <w:lang w:bidi="ar-EG"/>
        </w:rPr>
        <w:t>ومن بين مجموع عدد القصر المشمولين بالرعاية كان 52</w:t>
      </w:r>
      <w:r w:rsidR="00E76EA3">
        <w:rPr>
          <w:rFonts w:hint="cs"/>
          <w:rtl/>
          <w:lang w:bidi="ar-EG"/>
        </w:rPr>
        <w:t>.</w:t>
      </w:r>
      <w:r w:rsidR="00971AE2">
        <w:rPr>
          <w:rFonts w:hint="cs"/>
          <w:rtl/>
          <w:lang w:bidi="ar-EG"/>
        </w:rPr>
        <w:t>22 في المائة منهم قد اجتازوا المرحلة الابتدائية بالكامل أو جزءا منها، و24</w:t>
      </w:r>
      <w:r w:rsidR="00E76EA3">
        <w:rPr>
          <w:rFonts w:hint="cs"/>
          <w:rtl/>
          <w:lang w:bidi="ar-EG"/>
        </w:rPr>
        <w:t>.</w:t>
      </w:r>
      <w:r w:rsidR="00971AE2">
        <w:rPr>
          <w:rFonts w:hint="cs"/>
          <w:rtl/>
          <w:lang w:bidi="ar-EG"/>
        </w:rPr>
        <w:t>93 اجتازوا البكالوريا أو جزء منها، و8</w:t>
      </w:r>
      <w:r w:rsidR="00E76EA3">
        <w:rPr>
          <w:rFonts w:hint="cs"/>
          <w:rtl/>
          <w:lang w:bidi="ar-EG"/>
        </w:rPr>
        <w:t>.</w:t>
      </w:r>
      <w:r w:rsidR="00971AE2">
        <w:rPr>
          <w:rFonts w:hint="cs"/>
          <w:rtl/>
          <w:lang w:bidi="ar-EG"/>
        </w:rPr>
        <w:t>07 في المائة لم يلتحقوا بالمدارس، و14</w:t>
      </w:r>
      <w:r w:rsidR="00E76EA3">
        <w:rPr>
          <w:rFonts w:hint="cs"/>
          <w:rtl/>
          <w:lang w:bidi="ar-EG"/>
        </w:rPr>
        <w:t>.</w:t>
      </w:r>
      <w:r w:rsidR="00971AE2">
        <w:rPr>
          <w:rFonts w:hint="cs"/>
          <w:rtl/>
          <w:lang w:bidi="ar-EG"/>
        </w:rPr>
        <w:t>77 في المائة ليست لديهم معلومات</w:t>
      </w:r>
      <w:r w:rsidR="003D7EB4">
        <w:rPr>
          <w:rFonts w:hint="cs"/>
          <w:rtl/>
          <w:lang w:bidi="ar-EG"/>
        </w:rPr>
        <w:t>،</w:t>
      </w:r>
      <w:r w:rsidR="00971AE2">
        <w:rPr>
          <w:rFonts w:hint="cs"/>
          <w:rtl/>
          <w:lang w:bidi="ar-EG"/>
        </w:rPr>
        <w:t xml:space="preserve"> واستفاد 14 شابا من بين 167 طلبا للحصول على منح من صندوق وزارة التعليم الوطني-المؤسسة الكولومبية للرعاية الأسرية</w:t>
      </w:r>
      <w:r w:rsidR="003D7EB4">
        <w:rPr>
          <w:rFonts w:hint="cs"/>
          <w:rtl/>
          <w:lang w:bidi="ar-EG"/>
        </w:rPr>
        <w:t>،</w:t>
      </w:r>
    </w:p>
    <w:p w:rsidR="00971AE2" w:rsidRDefault="00104012" w:rsidP="00A343DF">
      <w:pPr>
        <w:pStyle w:val="SingleTxt"/>
        <w:rPr>
          <w:rFonts w:hint="cs"/>
          <w:rtl/>
          <w:lang w:bidi="ar-EG"/>
        </w:rPr>
      </w:pPr>
      <w:r>
        <w:rPr>
          <w:rFonts w:hint="cs"/>
          <w:rtl/>
          <w:lang w:bidi="ar-EG"/>
        </w:rPr>
        <w:tab/>
      </w:r>
      <w:r w:rsidR="00971AE2">
        <w:rPr>
          <w:rFonts w:hint="cs"/>
          <w:rtl/>
          <w:lang w:bidi="ar-EG"/>
        </w:rPr>
        <w:t>وفي 22 أيلول/سبتمبر 2003 نفذت وزارة الدفاع والاتحاد الوطني لمربي الماشية برنامج تدريب على أنشطة الزراعة وتربية الماشية لصالح مجموعة مؤلفة من 70 شخصا مسرحا من الجماعات المسلحة غير المشروعة</w:t>
      </w:r>
      <w:r w:rsidR="003D7EB4">
        <w:rPr>
          <w:rFonts w:hint="cs"/>
          <w:rtl/>
          <w:lang w:bidi="ar-EG"/>
        </w:rPr>
        <w:t>،</w:t>
      </w:r>
    </w:p>
    <w:p w:rsidR="00971AE2" w:rsidRDefault="00104012" w:rsidP="00A343DF">
      <w:pPr>
        <w:pStyle w:val="SingleTxt"/>
        <w:rPr>
          <w:rFonts w:hint="cs"/>
          <w:rtl/>
          <w:lang w:bidi="ar-EG"/>
        </w:rPr>
      </w:pPr>
      <w:r>
        <w:rPr>
          <w:rFonts w:hint="cs"/>
          <w:rtl/>
          <w:lang w:bidi="ar-EG"/>
        </w:rPr>
        <w:tab/>
      </w:r>
      <w:r w:rsidR="00971AE2">
        <w:rPr>
          <w:rFonts w:hint="cs"/>
          <w:rtl/>
          <w:lang w:bidi="ar-EG"/>
        </w:rPr>
        <w:t>وفي 6 آب/أغسطس 2003 اشترك 350 شخصا مسرحا في الحلقة التدريبية لـ’سوق الأمل‘ الذي يتمثل هدفه في تحسين برامج الرعاية الانسانية للمسرحين وإعادة إدماجهم في الحياة المدنية في ظل الحكومة الوطنية حتى يترك الكولومبيون صفوف الجماعات المسلحة غير المشروعة ويضمنون مستقبلا يبشر بالخير</w:t>
      </w:r>
      <w:r w:rsidR="003D7EB4">
        <w:rPr>
          <w:rFonts w:hint="cs"/>
          <w:rtl/>
          <w:lang w:bidi="ar-EG"/>
        </w:rPr>
        <w:t>،</w:t>
      </w:r>
    </w:p>
    <w:p w:rsidR="00971AE2" w:rsidRDefault="00104012" w:rsidP="001040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 xml:space="preserve">4 </w:t>
      </w:r>
      <w:r w:rsidR="00971AE2">
        <w:rPr>
          <w:rtl/>
          <w:lang w:bidi="ar-EG"/>
        </w:rPr>
        <w:t>–</w:t>
      </w:r>
      <w:r w:rsidR="00971AE2">
        <w:rPr>
          <w:rFonts w:hint="cs"/>
          <w:rtl/>
          <w:lang w:bidi="ar-EG"/>
        </w:rPr>
        <w:t xml:space="preserve"> 3 </w:t>
      </w:r>
      <w:r w:rsidR="00971AE2">
        <w:rPr>
          <w:rFonts w:hint="cs"/>
          <w:rtl/>
          <w:lang w:bidi="ar-EG"/>
        </w:rPr>
        <w:tab/>
        <w:t>العنف الجنسي</w:t>
      </w:r>
    </w:p>
    <w:p w:rsidR="00971AE2" w:rsidRDefault="00104012" w:rsidP="001040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المنجزات التشريعية</w:t>
      </w:r>
    </w:p>
    <w:p w:rsidR="00971AE2" w:rsidRDefault="00104012" w:rsidP="00A343DF">
      <w:pPr>
        <w:pStyle w:val="SingleTxt"/>
        <w:rPr>
          <w:rFonts w:hint="cs"/>
          <w:rtl/>
          <w:lang w:bidi="ar-EG"/>
        </w:rPr>
      </w:pPr>
      <w:r>
        <w:rPr>
          <w:rFonts w:hint="cs"/>
          <w:rtl/>
          <w:lang w:bidi="ar-EG"/>
        </w:rPr>
        <w:tab/>
      </w:r>
      <w:r w:rsidR="00971AE2">
        <w:rPr>
          <w:rFonts w:hint="cs"/>
          <w:rtl/>
          <w:lang w:bidi="ar-EG"/>
        </w:rPr>
        <w:t>وفقا لمفهوم الدستور فإن للصكوك المعيارية التالية المتعلقة بالعنف الجنسي في إطار النزاع المسلح مرتبة الدستور بالنسبة إلى كولومبيا:</w:t>
      </w:r>
    </w:p>
    <w:p w:rsidR="00971AE2" w:rsidRDefault="00971AE2" w:rsidP="00A343DF">
      <w:pPr>
        <w:pStyle w:val="SingleTxt"/>
        <w:rPr>
          <w:rFonts w:hint="cs"/>
          <w:rtl/>
          <w:lang w:bidi="ar-EG"/>
        </w:rPr>
      </w:pPr>
      <w:r>
        <w:rPr>
          <w:rFonts w:hint="cs"/>
          <w:rtl/>
          <w:lang w:bidi="ar-EG"/>
        </w:rPr>
        <w:tab/>
        <w:t>نظام روما الأساسي للمحكمة الجنائية الدولية لسنة 1998</w:t>
      </w:r>
      <w:r>
        <w:rPr>
          <w:rFonts w:hint="cs"/>
          <w:vertAlign w:val="superscript"/>
          <w:rtl/>
          <w:lang w:bidi="ar-EG"/>
        </w:rPr>
        <w:t xml:space="preserve"> 291</w:t>
      </w:r>
      <w:r>
        <w:rPr>
          <w:rFonts w:hint="cs"/>
          <w:rtl/>
          <w:lang w:bidi="ar-EG"/>
        </w:rPr>
        <w:t xml:space="preserve"> </w:t>
      </w:r>
    </w:p>
    <w:p w:rsidR="00971AE2" w:rsidRDefault="00971AE2" w:rsidP="00A343DF">
      <w:pPr>
        <w:pStyle w:val="SingleTxt"/>
        <w:rPr>
          <w:rFonts w:hint="cs"/>
          <w:rtl/>
          <w:lang w:bidi="ar-EG"/>
        </w:rPr>
      </w:pPr>
      <w:r>
        <w:rPr>
          <w:rFonts w:hint="cs"/>
          <w:rtl/>
          <w:lang w:bidi="ar-EG"/>
        </w:rPr>
        <w:t>المادة 6: جريمة الإبادة الجماعية</w:t>
      </w:r>
    </w:p>
    <w:p w:rsidR="00971AE2" w:rsidRDefault="00971AE2" w:rsidP="00A343DF">
      <w:pPr>
        <w:pStyle w:val="SingleTxt"/>
        <w:rPr>
          <w:rFonts w:hint="cs"/>
          <w:rtl/>
          <w:lang w:bidi="ar-EG"/>
        </w:rPr>
      </w:pPr>
      <w:r>
        <w:rPr>
          <w:rFonts w:hint="cs"/>
          <w:rtl/>
          <w:lang w:bidi="ar-EG"/>
        </w:rPr>
        <w:t>المادة 7: الجرائم المرتكبة ضد البشرية</w:t>
      </w:r>
    </w:p>
    <w:p w:rsidR="00971AE2" w:rsidRDefault="00971AE2" w:rsidP="00A343DF">
      <w:pPr>
        <w:pStyle w:val="SingleTxt"/>
        <w:rPr>
          <w:rFonts w:hint="cs"/>
          <w:rtl/>
          <w:lang w:bidi="ar-EG"/>
        </w:rPr>
      </w:pPr>
      <w:r>
        <w:rPr>
          <w:rFonts w:hint="cs"/>
          <w:rtl/>
          <w:lang w:bidi="ar-EG"/>
        </w:rPr>
        <w:t>المادة 8: جرائم الحرب</w:t>
      </w:r>
    </w:p>
    <w:p w:rsidR="00971AE2" w:rsidRDefault="00104012" w:rsidP="00E675CA">
      <w:pPr>
        <w:pStyle w:val="SingleTxt"/>
        <w:rPr>
          <w:rFonts w:hint="cs"/>
          <w:rtl/>
          <w:lang w:bidi="ar-EG"/>
        </w:rPr>
      </w:pPr>
      <w:r>
        <w:rPr>
          <w:rFonts w:hint="cs"/>
          <w:rtl/>
          <w:lang w:bidi="ar-EG"/>
        </w:rPr>
        <w:tab/>
      </w:r>
      <w:r w:rsidR="00971AE2">
        <w:rPr>
          <w:rFonts w:hint="cs"/>
          <w:rtl/>
          <w:lang w:bidi="ar-EG"/>
        </w:rPr>
        <w:t>الصكوك الدولية الأخرى ذات الصلة</w:t>
      </w:r>
      <w:r w:rsidR="00E675CA" w:rsidRPr="00E675CA">
        <w:rPr>
          <w:rFonts w:hint="cs"/>
          <w:vertAlign w:val="superscript"/>
          <w:rtl/>
        </w:rPr>
        <w:t>292</w:t>
      </w:r>
      <w:r w:rsidR="00971AE2">
        <w:rPr>
          <w:rFonts w:hint="cs"/>
          <w:rtl/>
          <w:lang w:bidi="ar-EG"/>
        </w:rPr>
        <w:t xml:space="preserve"> </w:t>
      </w:r>
      <w:r w:rsidR="00971AE2">
        <w:t xml:space="preserve"> </w:t>
      </w:r>
      <w:r w:rsidR="00971AE2">
        <w:rPr>
          <w:rFonts w:hint="cs"/>
          <w:rtl/>
          <w:lang w:bidi="ar-EG"/>
        </w:rPr>
        <w:t>بالنسبة لكولومبيا فيما يتعلق بالعنف الجنسي في النزاع المسلح، التي تتيح قراءة متفقة مع السياق المعياري هي، في جملة أمور، مؤتمر نيروبي المعقود في سنة 1985</w:t>
      </w:r>
      <w:r w:rsidR="00971AE2">
        <w:rPr>
          <w:rFonts w:hint="cs"/>
          <w:vertAlign w:val="superscript"/>
          <w:rtl/>
          <w:lang w:bidi="ar-EG"/>
        </w:rPr>
        <w:t xml:space="preserve"> 293</w:t>
      </w:r>
      <w:r w:rsidR="00971AE2">
        <w:rPr>
          <w:rFonts w:hint="cs"/>
          <w:rtl/>
          <w:lang w:bidi="ar-EG"/>
        </w:rPr>
        <w:t xml:space="preserve">، ومؤتمر وبرنامج عمل فيينا لسنة 1993 </w:t>
      </w:r>
      <w:r w:rsidR="00971AE2">
        <w:rPr>
          <w:rFonts w:hint="cs"/>
          <w:vertAlign w:val="superscript"/>
          <w:rtl/>
          <w:lang w:bidi="ar-EG"/>
        </w:rPr>
        <w:t>294</w:t>
      </w:r>
      <w:r w:rsidR="00971AE2">
        <w:rPr>
          <w:rFonts w:hint="cs"/>
          <w:rtl/>
          <w:lang w:bidi="ar-EG"/>
        </w:rPr>
        <w:t xml:space="preserve"> وإعلان القضاء على العنف ضد المرأة لسنة 1993</w:t>
      </w:r>
      <w:r w:rsidR="00971AE2">
        <w:rPr>
          <w:rFonts w:hint="cs"/>
          <w:vertAlign w:val="superscript"/>
          <w:rtl/>
          <w:lang w:bidi="ar-EG"/>
        </w:rPr>
        <w:t xml:space="preserve"> 295</w:t>
      </w:r>
      <w:r w:rsidR="00971AE2">
        <w:rPr>
          <w:rFonts w:hint="cs"/>
          <w:rtl/>
          <w:lang w:bidi="ar-EG"/>
        </w:rPr>
        <w:t xml:space="preserve"> ومؤتمر بكين المعقود في 1995</w:t>
      </w:r>
      <w:r w:rsidR="00971AE2">
        <w:rPr>
          <w:rFonts w:hint="cs"/>
          <w:vertAlign w:val="superscript"/>
          <w:rtl/>
          <w:lang w:bidi="ar-EG"/>
        </w:rPr>
        <w:t xml:space="preserve"> 296</w:t>
      </w:r>
      <w:r w:rsidR="003D7EB4">
        <w:rPr>
          <w:rFonts w:hint="cs"/>
          <w:rtl/>
          <w:lang w:bidi="ar-EG"/>
        </w:rPr>
        <w:t>،</w:t>
      </w:r>
    </w:p>
    <w:p w:rsidR="00971AE2" w:rsidRDefault="00104012" w:rsidP="00A343DF">
      <w:pPr>
        <w:pStyle w:val="SingleTxt"/>
        <w:rPr>
          <w:rFonts w:hint="cs"/>
          <w:rtl/>
          <w:lang w:bidi="ar-EG"/>
        </w:rPr>
      </w:pPr>
      <w:r>
        <w:rPr>
          <w:rFonts w:hint="cs"/>
          <w:rtl/>
          <w:lang w:bidi="ar-EG"/>
        </w:rPr>
        <w:tab/>
      </w:r>
      <w:r w:rsidR="00971AE2">
        <w:rPr>
          <w:rFonts w:hint="cs"/>
          <w:rtl/>
          <w:lang w:bidi="ar-EG"/>
        </w:rPr>
        <w:t>والصك الرئيسي في الإطار التشريعي الداخلي هو القانون الجنائي، الذي يكرس فصلا خاصا لانتهاكات القانون الانساني الدولي</w:t>
      </w:r>
      <w:r w:rsidR="003D7EB4">
        <w:rPr>
          <w:rFonts w:hint="cs"/>
          <w:rtl/>
          <w:lang w:bidi="ar-EG"/>
        </w:rPr>
        <w:t>،</w:t>
      </w:r>
      <w:r w:rsidR="00971AE2">
        <w:rPr>
          <w:rFonts w:hint="cs"/>
          <w:rtl/>
          <w:lang w:bidi="ar-EG"/>
        </w:rPr>
        <w:t xml:space="preserve"> وتكرس المادة 137- تعذيب الشخص المشمول بالحماية÷ والمادة 138- الاتصال الجسدي العنيف بالشخص المشمول بالحماية؛ والمادة 139- الأفعال الجنسية العنيفة مع الشخص المشمول بالحماية؛ والمادة 141- الإكراه على الدعارة أو الاستعباد الجنسي؛ والمادة 146- المعاملة اللاإنسانية والمهينة والتجارب البيولوجية على الشخص المشمول بالحماية</w:t>
      </w:r>
      <w:r w:rsidR="00971AE2">
        <w:rPr>
          <w:rFonts w:hint="cs"/>
          <w:vertAlign w:val="superscript"/>
          <w:rtl/>
          <w:lang w:bidi="ar-EG"/>
        </w:rPr>
        <w:t>299</w:t>
      </w:r>
      <w:r w:rsidR="003D7EB4">
        <w:rPr>
          <w:rFonts w:hint="cs"/>
          <w:rtl/>
          <w:lang w:bidi="ar-EG"/>
        </w:rPr>
        <w:t>،</w:t>
      </w:r>
      <w:r w:rsidR="00971AE2">
        <w:rPr>
          <w:rFonts w:hint="cs"/>
          <w:rtl/>
          <w:lang w:bidi="ar-EG"/>
        </w:rPr>
        <w:t xml:space="preserve"> وتوجد أنواع أخرى من العقوبات تقمع تصرفات جنسية عنيفة التي تحدث في سياق مختلف عن النزاع المسلح سيشار إليها فيما بعد</w:t>
      </w:r>
      <w:r w:rsidR="003D7EB4">
        <w:rPr>
          <w:rFonts w:hint="cs"/>
          <w:rtl/>
          <w:lang w:bidi="ar-EG"/>
        </w:rPr>
        <w:t>،</w:t>
      </w:r>
    </w:p>
    <w:p w:rsidR="00971AE2" w:rsidRDefault="00104012" w:rsidP="001040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المنجزات الإدارية</w:t>
      </w:r>
    </w:p>
    <w:p w:rsidR="00971AE2" w:rsidRDefault="00104012" w:rsidP="00A343DF">
      <w:pPr>
        <w:pStyle w:val="SingleTxt"/>
        <w:rPr>
          <w:rFonts w:hint="cs"/>
          <w:rtl/>
          <w:lang w:bidi="ar-EG"/>
        </w:rPr>
      </w:pPr>
      <w:r>
        <w:rPr>
          <w:rFonts w:hint="cs"/>
          <w:rtl/>
          <w:lang w:bidi="ar-EG"/>
        </w:rPr>
        <w:tab/>
      </w:r>
      <w:r w:rsidR="00971AE2">
        <w:rPr>
          <w:rFonts w:hint="cs"/>
          <w:rtl/>
          <w:lang w:bidi="ar-EG"/>
        </w:rPr>
        <w:t>تشمل سياسة ’’المرأة صانعة السلام والتنمية‘‘ أعمال العنف المرتكبة ضد المرأة باعتباره أحد محاورها المواضيعية مع تدابير ترمي إلى تعزيز حماية حقوق الانسان للمرأة؛ أ) مجالس مجتمعية نسائية؛ ب) مجموعة خدمات حكومية لتعزيز وحماية المرأة</w:t>
      </w:r>
      <w:r w:rsidR="003D7EB4">
        <w:rPr>
          <w:rFonts w:hint="cs"/>
          <w:rtl/>
          <w:lang w:bidi="ar-EG"/>
        </w:rPr>
        <w:t>،</w:t>
      </w:r>
    </w:p>
    <w:p w:rsidR="00971AE2" w:rsidRDefault="00104012" w:rsidP="001040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الإحصاءات</w:t>
      </w:r>
    </w:p>
    <w:p w:rsidR="00971AE2" w:rsidRDefault="00104012" w:rsidP="00A343DF">
      <w:pPr>
        <w:pStyle w:val="SingleTxt"/>
        <w:rPr>
          <w:rFonts w:hint="cs"/>
          <w:rtl/>
          <w:lang w:bidi="ar-EG"/>
        </w:rPr>
      </w:pPr>
      <w:r>
        <w:rPr>
          <w:rFonts w:hint="cs"/>
          <w:rtl/>
          <w:lang w:bidi="ar-EG"/>
        </w:rPr>
        <w:tab/>
      </w:r>
      <w:r w:rsidR="00971AE2">
        <w:rPr>
          <w:rFonts w:hint="cs"/>
          <w:rtl/>
          <w:lang w:bidi="ar-EG"/>
        </w:rPr>
        <w:t>لا يوجد في كولومبيا تشخيص حقيقي للعنف الجنسي</w:t>
      </w:r>
      <w:r w:rsidR="003D7EB4">
        <w:rPr>
          <w:rFonts w:hint="cs"/>
          <w:rtl/>
          <w:lang w:bidi="ar-EG"/>
        </w:rPr>
        <w:t>،</w:t>
      </w:r>
      <w:r w:rsidR="00971AE2">
        <w:rPr>
          <w:rFonts w:hint="cs"/>
          <w:rtl/>
          <w:lang w:bidi="ar-EG"/>
        </w:rPr>
        <w:t xml:space="preserve"> ويعتزم مكتب المدعي العام تحسين وتسجيل الحالات على المستوى الوطني، الأمر الذي يوفر معلومات دائمة وجديرة بالثقة ووافية للمراقبة الوبائية للحدث واتخاذ القرارات في مجال الوقاية والتدخل والنشر على المجتمع</w:t>
      </w:r>
      <w:r w:rsidR="003D7EB4">
        <w:rPr>
          <w:rFonts w:hint="cs"/>
          <w:rtl/>
          <w:lang w:bidi="ar-EG"/>
        </w:rPr>
        <w:t>،</w:t>
      </w:r>
      <w:r w:rsidR="00971AE2">
        <w:rPr>
          <w:rFonts w:hint="cs"/>
          <w:rtl/>
          <w:lang w:bidi="ar-EG"/>
        </w:rPr>
        <w:t xml:space="preserve"> والحالة الوحيدة التي أبلغ عنها وسجلتها الهيئة الاستشارية لرئيس الجمهورية فيما يتعلق بالمساواة بين الرجل والمرأة هي حالة رينا بولانيو</w:t>
      </w:r>
      <w:r w:rsidR="00167CD8">
        <w:rPr>
          <w:rFonts w:hint="cs"/>
          <w:rtl/>
          <w:lang w:bidi="ar-EG"/>
        </w:rPr>
        <w:t xml:space="preserve"> </w:t>
      </w:r>
      <w:r w:rsidR="00971AE2">
        <w:rPr>
          <w:rFonts w:hint="cs"/>
          <w:rtl/>
          <w:lang w:bidi="ar-EG"/>
        </w:rPr>
        <w:t>-</w:t>
      </w:r>
      <w:r w:rsidR="00167CD8">
        <w:rPr>
          <w:rFonts w:hint="cs"/>
          <w:rtl/>
          <w:lang w:bidi="ar-EG"/>
        </w:rPr>
        <w:t xml:space="preserve"> </w:t>
      </w:r>
      <w:r w:rsidR="00971AE2">
        <w:rPr>
          <w:rFonts w:hint="cs"/>
          <w:rtl/>
          <w:lang w:bidi="ar-EG"/>
        </w:rPr>
        <w:t xml:space="preserve">مندوسا، البكتريولوجية التي اختطفتها </w:t>
      </w:r>
      <w:r w:rsidR="00971AE2">
        <w:t xml:space="preserve">  </w:t>
      </w:r>
      <w:r w:rsidR="00971AE2">
        <w:rPr>
          <w:rFonts w:hint="cs"/>
          <w:rtl/>
          <w:lang w:bidi="ar-EG"/>
        </w:rPr>
        <w:t xml:space="preserve"> </w:t>
      </w:r>
      <w:r w:rsidR="00971AE2">
        <w:t xml:space="preserve"> FARC </w:t>
      </w:r>
      <w:r w:rsidR="00971AE2">
        <w:rPr>
          <w:rFonts w:hint="cs"/>
          <w:rtl/>
          <w:lang w:bidi="ar-EG"/>
        </w:rPr>
        <w:t xml:space="preserve"> في يوم 31 تموز/يوليه 2003</w:t>
      </w:r>
      <w:r w:rsidR="003D7EB4">
        <w:rPr>
          <w:rFonts w:hint="cs"/>
          <w:rtl/>
          <w:lang w:bidi="ar-EG"/>
        </w:rPr>
        <w:t>،</w:t>
      </w:r>
      <w:r w:rsidR="00971AE2">
        <w:rPr>
          <w:rFonts w:hint="cs"/>
          <w:rtl/>
          <w:lang w:bidi="ar-EG"/>
        </w:rPr>
        <w:t xml:space="preserve"> وبعد الافراج عنها أبلغت رينا محامية الشعب عن ’’بلتران‘‘ صاحب الاسم المستعار لاغتصابه إياها أثناء فترة اختطافها</w:t>
      </w:r>
      <w:r w:rsidR="003D7EB4">
        <w:rPr>
          <w:rFonts w:hint="cs"/>
          <w:rtl/>
          <w:lang w:bidi="ar-EG"/>
        </w:rPr>
        <w:t>،</w:t>
      </w:r>
      <w:r w:rsidR="00971AE2">
        <w:rPr>
          <w:rFonts w:hint="cs"/>
          <w:rtl/>
          <w:lang w:bidi="ar-EG"/>
        </w:rPr>
        <w:t xml:space="preserve"> ويجري حاليا محاكمة الجاني</w:t>
      </w:r>
      <w:r w:rsidR="003D7EB4">
        <w:rPr>
          <w:rFonts w:hint="cs"/>
          <w:rtl/>
          <w:lang w:bidi="ar-EG"/>
        </w:rPr>
        <w:t>،</w:t>
      </w:r>
    </w:p>
    <w:p w:rsidR="00971AE2" w:rsidRDefault="00104012" w:rsidP="001040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71AE2">
        <w:rPr>
          <w:rFonts w:hint="cs"/>
          <w:rtl/>
          <w:lang w:bidi="ar-EG"/>
        </w:rPr>
        <w:t>ملاحظة من الأمانة العامة</w:t>
      </w:r>
    </w:p>
    <w:p w:rsidR="00971AE2" w:rsidRDefault="00104012" w:rsidP="00096CD4">
      <w:pPr>
        <w:pStyle w:val="SingleTxt"/>
        <w:rPr>
          <w:rFonts w:hint="cs"/>
          <w:rtl/>
          <w:lang w:bidi="ar-EG"/>
        </w:rPr>
      </w:pPr>
      <w:r>
        <w:rPr>
          <w:rFonts w:hint="cs"/>
          <w:rtl/>
          <w:lang w:bidi="ar-EG"/>
        </w:rPr>
        <w:tab/>
      </w:r>
      <w:r w:rsidR="00971AE2">
        <w:rPr>
          <w:rFonts w:hint="cs"/>
          <w:rtl/>
          <w:lang w:bidi="ar-EG"/>
        </w:rPr>
        <w:t>تقدم حواشي هذا التقرير وكذلك المرفقات باللغة التي وردت بها إلى شعبة النهوض بالمرأة</w:t>
      </w:r>
      <w:r w:rsidR="003D7EB4">
        <w:rPr>
          <w:rFonts w:hint="cs"/>
          <w:rtl/>
          <w:lang w:bidi="ar-EG"/>
        </w:rPr>
        <w:t>،</w:t>
      </w:r>
    </w:p>
    <w:p w:rsidR="009F036E" w:rsidRDefault="009F036E" w:rsidP="009F036E">
      <w:pPr>
        <w:pStyle w:val="EndnoteText"/>
        <w:keepNext/>
        <w:tabs>
          <w:tab w:val="clear" w:pos="1195"/>
          <w:tab w:val="clear" w:pos="1267"/>
          <w:tab w:val="clear" w:pos="1930"/>
          <w:tab w:val="clear" w:pos="2592"/>
          <w:tab w:val="clear" w:pos="3254"/>
          <w:tab w:val="clear" w:pos="3917"/>
          <w:tab w:val="clear" w:pos="4579"/>
          <w:tab w:val="clear" w:pos="5242"/>
          <w:tab w:val="clear" w:pos="5904"/>
          <w:tab w:val="clear" w:pos="6566"/>
          <w:tab w:val="right" w:pos="1210"/>
        </w:tabs>
        <w:spacing w:after="240" w:line="400" w:lineRule="exact"/>
        <w:ind w:hanging="1267"/>
        <w:jc w:val="lowKashida"/>
        <w:rPr>
          <w:iCs/>
          <w:sz w:val="20"/>
          <w:szCs w:val="30"/>
          <w:rtl/>
        </w:rPr>
      </w:pPr>
      <w:r>
        <w:rPr>
          <w:iCs/>
          <w:sz w:val="20"/>
          <w:szCs w:val="30"/>
          <w:rtl/>
        </w:rPr>
        <w:tab/>
        <w:t>الحواشي</w:t>
      </w:r>
    </w:p>
    <w:p w:rsidR="00096CD4" w:rsidRPr="00AE7F59" w:rsidRDefault="00AE7F59" w:rsidP="00AE7F59">
      <w:pPr>
        <w:pStyle w:val="SingleTxt"/>
        <w:rPr>
          <w:rFonts w:hint="cs"/>
          <w:rtl/>
        </w:rPr>
      </w:pPr>
      <w:r w:rsidRPr="00AE7F59">
        <w:rPr>
          <w:noProof/>
          <w:rtl/>
        </w:rPr>
        <w:pict>
          <v:line id="_x0000_s1090" style="position:absolute;left:0;text-align:left;z-index:39" from="206.6pt,38.4pt" to="278.6pt,38.4pt" strokeweight=".25pt">
            <w10:wrap anchorx="page"/>
          </v:line>
        </w:pict>
      </w:r>
      <w:r w:rsidR="003E1375">
        <w:rPr>
          <w:rFonts w:hint="cs"/>
          <w:rtl/>
          <w:lang w:bidi="ar-EG"/>
        </w:rPr>
        <w:tab/>
      </w:r>
      <w:r w:rsidRPr="00AE7F59">
        <w:rPr>
          <w:rFonts w:hint="cs"/>
          <w:rtl/>
          <w:lang w:bidi="ar-EG"/>
        </w:rPr>
        <w:t>ستقدم الحواشي (غير المترجمة) عند طلبها باللغة التي وردت بها.</w:t>
      </w:r>
    </w:p>
    <w:sectPr w:rsidR="00096CD4" w:rsidRPr="00AE7F59" w:rsidSect="00DC38D5">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8-03T10:50:00Z" w:initials="Start">
    <w:p w:rsidR="00D9185D" w:rsidRDefault="00D9185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NO&gt;&gt;N0531206A&lt;&lt;ODS JOB NO&gt;&gt;</w:t>
      </w:r>
    </w:p>
    <w:p w:rsidR="00D9185D" w:rsidRDefault="00D9185D">
      <w:pPr>
        <w:pStyle w:val="CommentText"/>
      </w:pPr>
      <w:r>
        <w:t>&lt;&lt;ODS DOC SYMBOL1&gt;&gt;CEDAW/C/COL/5-6&lt;&lt;ODS DOC SYMBOL1&gt;&gt;</w:t>
      </w:r>
    </w:p>
    <w:p w:rsidR="00D9185D" w:rsidRDefault="00D918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85D" w:rsidRDefault="00D9185D">
      <w:r>
        <w:separator/>
      </w:r>
    </w:p>
  </w:endnote>
  <w:endnote w:type="continuationSeparator" w:id="0">
    <w:p w:rsidR="00D9185D" w:rsidRDefault="00D91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xton Lt BT">
    <w:altName w:val="Times New Roman"/>
    <w:charset w:val="00"/>
    <w:family w:val="roman"/>
    <w:pitch w:val="variable"/>
    <w:sig w:usb0="00000007" w:usb1="00000000" w:usb2="00000000" w:usb3="00000000" w:csb0="00000011" w:csb1="00000000"/>
  </w:font>
  <w:font w:name="Futura Lt BT">
    <w:charset w:val="00"/>
    <w:family w:val="swiss"/>
    <w:pitch w:val="variable"/>
    <w:sig w:usb0="00000087" w:usb1="00000000" w:usb2="00000000" w:usb3="00000000" w:csb0="0000001B"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185D">
      <w:tblPrEx>
        <w:tblCellMar>
          <w:top w:w="0" w:type="dxa"/>
          <w:bottom w:w="0" w:type="dxa"/>
        </w:tblCellMar>
      </w:tblPrEx>
      <w:tc>
        <w:tcPr>
          <w:tcW w:w="5033" w:type="dxa"/>
          <w:shd w:val="clear" w:color="auto" w:fill="auto"/>
        </w:tcPr>
        <w:p w:rsidR="00D9185D" w:rsidRPr="00DC38D5" w:rsidRDefault="00D9185D" w:rsidP="00DC38D5">
          <w:pPr>
            <w:pStyle w:val="Footer"/>
            <w:jc w:val="right"/>
            <w:rPr>
              <w:w w:val="103"/>
            </w:rPr>
          </w:pPr>
          <w:r>
            <w:rPr>
              <w:w w:val="103"/>
            </w:rPr>
            <w:fldChar w:fldCharType="begin"/>
          </w:r>
          <w:r>
            <w:rPr>
              <w:w w:val="103"/>
            </w:rPr>
            <w:instrText xml:space="preserve"> PAGE  \* MERGEFORMAT </w:instrText>
          </w:r>
          <w:r>
            <w:rPr>
              <w:w w:val="103"/>
            </w:rPr>
            <w:fldChar w:fldCharType="separate"/>
          </w:r>
          <w:r w:rsidR="00F66CB4">
            <w:rPr>
              <w:w w:val="103"/>
            </w:rPr>
            <w:t>104</w:t>
          </w:r>
          <w:r>
            <w:rPr>
              <w:w w:val="103"/>
            </w:rPr>
            <w:fldChar w:fldCharType="end"/>
          </w:r>
        </w:p>
      </w:tc>
      <w:tc>
        <w:tcPr>
          <w:tcW w:w="5033" w:type="dxa"/>
          <w:shd w:val="clear" w:color="auto" w:fill="auto"/>
        </w:tcPr>
        <w:p w:rsidR="00D9185D" w:rsidRPr="00DC38D5" w:rsidRDefault="00D9185D" w:rsidP="00DC38D5">
          <w:pPr>
            <w:pStyle w:val="Footer"/>
            <w:rPr>
              <w:b w:val="0"/>
              <w:w w:val="103"/>
            </w:rPr>
          </w:pPr>
          <w:r>
            <w:rPr>
              <w:b w:val="0"/>
              <w:w w:val="103"/>
            </w:rPr>
            <w:t>05-31206</w:t>
          </w:r>
        </w:p>
      </w:tc>
    </w:tr>
  </w:tbl>
  <w:p w:rsidR="00D9185D" w:rsidRPr="00DC38D5" w:rsidRDefault="00D9185D" w:rsidP="00DC38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185D">
      <w:tblPrEx>
        <w:tblCellMar>
          <w:top w:w="0" w:type="dxa"/>
          <w:bottom w:w="0" w:type="dxa"/>
        </w:tblCellMar>
      </w:tblPrEx>
      <w:tc>
        <w:tcPr>
          <w:tcW w:w="5033" w:type="dxa"/>
          <w:shd w:val="clear" w:color="auto" w:fill="auto"/>
        </w:tcPr>
        <w:p w:rsidR="00D9185D" w:rsidRPr="00DC38D5" w:rsidRDefault="00D9185D" w:rsidP="00DC38D5">
          <w:pPr>
            <w:pStyle w:val="Footer"/>
            <w:jc w:val="right"/>
            <w:rPr>
              <w:b w:val="0"/>
              <w:w w:val="103"/>
            </w:rPr>
          </w:pPr>
          <w:r>
            <w:rPr>
              <w:b w:val="0"/>
              <w:w w:val="103"/>
            </w:rPr>
            <w:t>05-31206</w:t>
          </w:r>
        </w:p>
      </w:tc>
      <w:tc>
        <w:tcPr>
          <w:tcW w:w="5033" w:type="dxa"/>
          <w:shd w:val="clear" w:color="auto" w:fill="auto"/>
        </w:tcPr>
        <w:p w:rsidR="00D9185D" w:rsidRPr="00DC38D5" w:rsidRDefault="00D9185D" w:rsidP="00DC38D5">
          <w:pPr>
            <w:pStyle w:val="Footer"/>
            <w:rPr>
              <w:w w:val="103"/>
            </w:rPr>
          </w:pPr>
          <w:r>
            <w:rPr>
              <w:w w:val="103"/>
            </w:rPr>
            <w:fldChar w:fldCharType="begin"/>
          </w:r>
          <w:r>
            <w:rPr>
              <w:w w:val="103"/>
            </w:rPr>
            <w:instrText xml:space="preserve"> PAGE  \* MERGEFORMAT </w:instrText>
          </w:r>
          <w:r>
            <w:rPr>
              <w:w w:val="103"/>
            </w:rPr>
            <w:fldChar w:fldCharType="separate"/>
          </w:r>
          <w:r w:rsidR="00F66CB4">
            <w:rPr>
              <w:w w:val="103"/>
            </w:rPr>
            <w:t>103</w:t>
          </w:r>
          <w:r>
            <w:rPr>
              <w:w w:val="103"/>
            </w:rPr>
            <w:fldChar w:fldCharType="end"/>
          </w:r>
        </w:p>
      </w:tc>
    </w:tr>
  </w:tbl>
  <w:p w:rsidR="00D9185D" w:rsidRPr="00DC38D5" w:rsidRDefault="00D9185D" w:rsidP="00DC38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85D" w:rsidRDefault="00D9185D">
    <w:pPr>
      <w:pStyle w:val="Footer"/>
    </w:pPr>
  </w:p>
  <w:p w:rsidR="00D9185D" w:rsidRDefault="00D9185D" w:rsidP="00DC38D5">
    <w:pPr>
      <w:pStyle w:val="Footer"/>
      <w:jc w:val="right"/>
      <w:rPr>
        <w:rFonts w:cs="Times New Roman"/>
        <w:b w:val="0"/>
        <w:w w:val="103"/>
        <w:sz w:val="20"/>
      </w:rPr>
    </w:pPr>
    <w:r>
      <w:rPr>
        <w:rFonts w:cs="Times New Roman"/>
        <w:b w:val="0"/>
        <w:w w:val="103"/>
        <w:sz w:val="20"/>
      </w:rPr>
      <w:t>05-31206 (A)</w:t>
    </w:r>
  </w:p>
  <w:p w:rsidR="00D9185D" w:rsidRPr="00DC38D5" w:rsidRDefault="00D9185D" w:rsidP="00DC38D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*0531206*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85D" w:rsidRDefault="00D9185D">
      <w:r>
        <w:separator/>
      </w:r>
    </w:p>
  </w:footnote>
  <w:footnote w:type="continuationSeparator" w:id="0">
    <w:p w:rsidR="00D9185D" w:rsidRDefault="00D918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9185D">
      <w:tblPrEx>
        <w:tblCellMar>
          <w:top w:w="0" w:type="dxa"/>
          <w:bottom w:w="0" w:type="dxa"/>
        </w:tblCellMar>
      </w:tblPrEx>
      <w:trPr>
        <w:trHeight w:hRule="exact" w:val="864"/>
        <w:jc w:val="center"/>
      </w:trPr>
      <w:tc>
        <w:tcPr>
          <w:tcW w:w="5033" w:type="dxa"/>
          <w:shd w:val="clear" w:color="auto" w:fill="auto"/>
          <w:vAlign w:val="bottom"/>
        </w:tcPr>
        <w:p w:rsidR="00D9185D" w:rsidRDefault="00D9185D" w:rsidP="00DC38D5">
          <w:pPr>
            <w:pStyle w:val="Header"/>
            <w:bidi/>
            <w:jc w:val="right"/>
          </w:pPr>
        </w:p>
      </w:tc>
      <w:tc>
        <w:tcPr>
          <w:tcW w:w="5033" w:type="dxa"/>
          <w:shd w:val="clear" w:color="auto" w:fill="auto"/>
          <w:vAlign w:val="bottom"/>
        </w:tcPr>
        <w:p w:rsidR="00D9185D" w:rsidRPr="00DC38D5" w:rsidRDefault="00D9185D" w:rsidP="00DC38D5">
          <w:pPr>
            <w:pStyle w:val="Header"/>
            <w:spacing w:after="80"/>
            <w:jc w:val="right"/>
            <w:rPr>
              <w:w w:val="103"/>
            </w:rPr>
          </w:pPr>
          <w:r>
            <w:rPr>
              <w:w w:val="103"/>
            </w:rPr>
            <w:t>CEDAW/C/COL/5-6</w:t>
          </w:r>
        </w:p>
      </w:tc>
    </w:tr>
  </w:tbl>
  <w:p w:rsidR="00D9185D" w:rsidRPr="00DC38D5" w:rsidRDefault="00D9185D" w:rsidP="00DC38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9185D">
      <w:tblPrEx>
        <w:tblCellMar>
          <w:top w:w="0" w:type="dxa"/>
          <w:bottom w:w="0" w:type="dxa"/>
        </w:tblCellMar>
      </w:tblPrEx>
      <w:trPr>
        <w:trHeight w:hRule="exact" w:val="864"/>
        <w:jc w:val="center"/>
      </w:trPr>
      <w:tc>
        <w:tcPr>
          <w:tcW w:w="5033" w:type="dxa"/>
          <w:shd w:val="clear" w:color="auto" w:fill="auto"/>
          <w:vAlign w:val="bottom"/>
        </w:tcPr>
        <w:p w:rsidR="00D9185D" w:rsidRPr="00DC38D5" w:rsidRDefault="00D9185D" w:rsidP="00DC38D5">
          <w:pPr>
            <w:pStyle w:val="Header"/>
            <w:spacing w:after="80"/>
            <w:rPr>
              <w:w w:val="103"/>
            </w:rPr>
          </w:pPr>
          <w:r>
            <w:rPr>
              <w:w w:val="103"/>
            </w:rPr>
            <w:t>CEDAW/C/COL/5-6</w:t>
          </w:r>
        </w:p>
      </w:tc>
      <w:tc>
        <w:tcPr>
          <w:tcW w:w="5033" w:type="dxa"/>
          <w:shd w:val="clear" w:color="auto" w:fill="auto"/>
          <w:vAlign w:val="bottom"/>
        </w:tcPr>
        <w:p w:rsidR="00D9185D" w:rsidRDefault="00D9185D" w:rsidP="00DC38D5">
          <w:pPr>
            <w:pStyle w:val="Header"/>
          </w:pPr>
        </w:p>
      </w:tc>
    </w:tr>
  </w:tbl>
  <w:p w:rsidR="00D9185D" w:rsidRPr="00DC38D5" w:rsidRDefault="00D9185D" w:rsidP="00DC38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918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9185D" w:rsidRDefault="00D9185D" w:rsidP="00DC38D5">
          <w:pPr>
            <w:pStyle w:val="Header"/>
            <w:spacing w:after="120"/>
          </w:pPr>
        </w:p>
      </w:tc>
      <w:tc>
        <w:tcPr>
          <w:tcW w:w="1786" w:type="dxa"/>
          <w:tcBorders>
            <w:bottom w:val="single" w:sz="4" w:space="0" w:color="auto"/>
          </w:tcBorders>
          <w:shd w:val="clear" w:color="auto" w:fill="auto"/>
          <w:vAlign w:val="bottom"/>
        </w:tcPr>
        <w:p w:rsidR="00D9185D" w:rsidRPr="00DC38D5" w:rsidRDefault="00D9185D" w:rsidP="00DC38D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9185D" w:rsidRDefault="00D9185D" w:rsidP="00DC38D5">
          <w:pPr>
            <w:pStyle w:val="Header"/>
            <w:spacing w:after="120"/>
          </w:pPr>
        </w:p>
      </w:tc>
      <w:tc>
        <w:tcPr>
          <w:tcW w:w="6523" w:type="dxa"/>
          <w:gridSpan w:val="3"/>
          <w:tcBorders>
            <w:bottom w:val="single" w:sz="4" w:space="0" w:color="auto"/>
          </w:tcBorders>
          <w:shd w:val="clear" w:color="auto" w:fill="auto"/>
          <w:vAlign w:val="bottom"/>
        </w:tcPr>
        <w:p w:rsidR="00D9185D" w:rsidRPr="00DC38D5" w:rsidRDefault="00D9185D" w:rsidP="00DC38D5">
          <w:pPr>
            <w:spacing w:line="380" w:lineRule="exact"/>
            <w:jc w:val="right"/>
          </w:pPr>
          <w:r>
            <w:rPr>
              <w:sz w:val="40"/>
            </w:rPr>
            <w:t>CEDAW</w:t>
          </w:r>
          <w:r>
            <w:t>/C/COL/5-6</w:t>
          </w:r>
        </w:p>
      </w:tc>
    </w:tr>
    <w:tr w:rsidR="00D9185D" w:rsidRPr="00DC38D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9185D" w:rsidRDefault="00D9185D" w:rsidP="00DC38D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185D" w:rsidRPr="00DC38D5" w:rsidRDefault="00D9185D" w:rsidP="00DC38D5">
          <w:pPr>
            <w:pStyle w:val="Header"/>
            <w:spacing w:before="109"/>
            <w:jc w:val="right"/>
          </w:pPr>
        </w:p>
      </w:tc>
      <w:tc>
        <w:tcPr>
          <w:tcW w:w="5227" w:type="dxa"/>
          <w:gridSpan w:val="3"/>
          <w:tcBorders>
            <w:top w:val="single" w:sz="4" w:space="0" w:color="auto"/>
            <w:bottom w:val="single" w:sz="12" w:space="0" w:color="auto"/>
          </w:tcBorders>
          <w:shd w:val="clear" w:color="auto" w:fill="auto"/>
        </w:tcPr>
        <w:p w:rsidR="00D9185D" w:rsidRPr="00DC38D5" w:rsidRDefault="00D9185D" w:rsidP="00DC38D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9185D" w:rsidRPr="00DC38D5" w:rsidRDefault="00D9185D" w:rsidP="00DC38D5">
          <w:pPr>
            <w:pStyle w:val="Header"/>
            <w:spacing w:before="109"/>
          </w:pPr>
        </w:p>
      </w:tc>
      <w:tc>
        <w:tcPr>
          <w:tcW w:w="3100" w:type="dxa"/>
          <w:gridSpan w:val="2"/>
          <w:tcBorders>
            <w:top w:val="single" w:sz="4" w:space="0" w:color="auto"/>
            <w:bottom w:val="single" w:sz="12" w:space="0" w:color="auto"/>
          </w:tcBorders>
          <w:shd w:val="clear" w:color="auto" w:fill="auto"/>
        </w:tcPr>
        <w:p w:rsidR="00D9185D" w:rsidRDefault="00D9185D" w:rsidP="00DC38D5">
          <w:pPr>
            <w:bidi w:val="0"/>
            <w:spacing w:before="240" w:line="240" w:lineRule="exact"/>
          </w:pPr>
          <w:r>
            <w:t>Distr</w:t>
          </w:r>
          <w:r>
            <w:rPr>
              <w:rtl/>
            </w:rPr>
            <w:t xml:space="preserve"> :.</w:t>
          </w:r>
          <w:r>
            <w:t>General</w:t>
          </w:r>
        </w:p>
        <w:p w:rsidR="00D9185D" w:rsidRDefault="00D9185D" w:rsidP="00DC38D5">
          <w:pPr>
            <w:bidi w:val="0"/>
            <w:spacing w:line="240" w:lineRule="exact"/>
            <w:jc w:val="left"/>
          </w:pPr>
          <w:smartTag w:uri="urn:schemas-microsoft-com:office:smarttags" w:element="date">
            <w:smartTagPr>
              <w:attr w:name="Month" w:val="3"/>
              <w:attr w:name="Day" w:val="24"/>
              <w:attr w:name="Year" w:val="2005"/>
            </w:smartTagPr>
            <w:r>
              <w:t>24 March 2005</w:t>
            </w:r>
          </w:smartTag>
        </w:p>
        <w:p w:rsidR="00D9185D" w:rsidRDefault="00D9185D" w:rsidP="00DC38D5">
          <w:pPr>
            <w:bidi w:val="0"/>
            <w:spacing w:line="240" w:lineRule="exact"/>
            <w:jc w:val="left"/>
          </w:pPr>
          <w:r>
            <w:t>Arabic</w:t>
          </w:r>
        </w:p>
        <w:p w:rsidR="00D9185D" w:rsidRPr="00DC38D5" w:rsidRDefault="00D9185D" w:rsidP="00DC38D5">
          <w:pPr>
            <w:bidi w:val="0"/>
            <w:spacing w:line="240" w:lineRule="exact"/>
            <w:jc w:val="left"/>
          </w:pPr>
          <w:r>
            <w:t>Original: Spanish</w:t>
          </w:r>
        </w:p>
      </w:tc>
    </w:tr>
  </w:tbl>
  <w:p w:rsidR="00D9185D" w:rsidRPr="00DC38D5" w:rsidRDefault="00D9185D" w:rsidP="00DC38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5 10:503 ص"/>
    <w:docVar w:name="DocCategory" w:val="Doc"/>
    <w:docVar w:name="DocType" w:val="Final"/>
    <w:docVar w:name="JobNo" w:val="0531206A"/>
    <w:docVar w:name="OandT" w:val=" "/>
    <w:docVar w:name="Symbol1" w:val="CEDAW/C/COL/5-6"/>
    <w:docVar w:name="Symbol2" w:val="-"/>
  </w:docVars>
  <w:rsids>
    <w:rsidRoot w:val="00CD3849"/>
    <w:rsid w:val="0000208A"/>
    <w:rsid w:val="00002752"/>
    <w:rsid w:val="00010B4A"/>
    <w:rsid w:val="00014DBB"/>
    <w:rsid w:val="000237B8"/>
    <w:rsid w:val="00031613"/>
    <w:rsid w:val="00032D89"/>
    <w:rsid w:val="00042425"/>
    <w:rsid w:val="00064DB0"/>
    <w:rsid w:val="0006648F"/>
    <w:rsid w:val="000732F2"/>
    <w:rsid w:val="00074266"/>
    <w:rsid w:val="00074CB7"/>
    <w:rsid w:val="00087310"/>
    <w:rsid w:val="00096CD4"/>
    <w:rsid w:val="0009732C"/>
    <w:rsid w:val="000A316D"/>
    <w:rsid w:val="000B3D44"/>
    <w:rsid w:val="000B3DCA"/>
    <w:rsid w:val="000B6BB5"/>
    <w:rsid w:val="000D2CEC"/>
    <w:rsid w:val="000D5E56"/>
    <w:rsid w:val="000E2AF4"/>
    <w:rsid w:val="000E606C"/>
    <w:rsid w:val="000E74EF"/>
    <w:rsid w:val="00100589"/>
    <w:rsid w:val="00101EE8"/>
    <w:rsid w:val="00102EE0"/>
    <w:rsid w:val="00104012"/>
    <w:rsid w:val="001049E8"/>
    <w:rsid w:val="00104AFC"/>
    <w:rsid w:val="001055D7"/>
    <w:rsid w:val="00117536"/>
    <w:rsid w:val="001376E0"/>
    <w:rsid w:val="001519A9"/>
    <w:rsid w:val="00160C36"/>
    <w:rsid w:val="00167965"/>
    <w:rsid w:val="00167CD8"/>
    <w:rsid w:val="00180789"/>
    <w:rsid w:val="001808CB"/>
    <w:rsid w:val="00184701"/>
    <w:rsid w:val="00187870"/>
    <w:rsid w:val="001971C0"/>
    <w:rsid w:val="001A1B49"/>
    <w:rsid w:val="001A2DC6"/>
    <w:rsid w:val="001A5C46"/>
    <w:rsid w:val="001A7546"/>
    <w:rsid w:val="001B75AF"/>
    <w:rsid w:val="001C028A"/>
    <w:rsid w:val="001C3A51"/>
    <w:rsid w:val="001D7220"/>
    <w:rsid w:val="002117BE"/>
    <w:rsid w:val="00225FA5"/>
    <w:rsid w:val="00240715"/>
    <w:rsid w:val="002416C5"/>
    <w:rsid w:val="00244316"/>
    <w:rsid w:val="00254039"/>
    <w:rsid w:val="0025690D"/>
    <w:rsid w:val="002569AD"/>
    <w:rsid w:val="002608AF"/>
    <w:rsid w:val="00263B1F"/>
    <w:rsid w:val="00265DEC"/>
    <w:rsid w:val="00266EA6"/>
    <w:rsid w:val="00266F59"/>
    <w:rsid w:val="00272B6C"/>
    <w:rsid w:val="0027612D"/>
    <w:rsid w:val="00290F2F"/>
    <w:rsid w:val="00291E0F"/>
    <w:rsid w:val="002937DA"/>
    <w:rsid w:val="002C2301"/>
    <w:rsid w:val="002C2AF2"/>
    <w:rsid w:val="002C4E1B"/>
    <w:rsid w:val="002D6142"/>
    <w:rsid w:val="002E43F0"/>
    <w:rsid w:val="002E5BE2"/>
    <w:rsid w:val="002E6344"/>
    <w:rsid w:val="002E71C8"/>
    <w:rsid w:val="002F06D5"/>
    <w:rsid w:val="002F23BB"/>
    <w:rsid w:val="003075E3"/>
    <w:rsid w:val="00307BCE"/>
    <w:rsid w:val="00312162"/>
    <w:rsid w:val="003231E3"/>
    <w:rsid w:val="0033055A"/>
    <w:rsid w:val="003501D5"/>
    <w:rsid w:val="00356F57"/>
    <w:rsid w:val="00367FD1"/>
    <w:rsid w:val="0037065F"/>
    <w:rsid w:val="00371AC4"/>
    <w:rsid w:val="00377B83"/>
    <w:rsid w:val="00383CA8"/>
    <w:rsid w:val="00397AB6"/>
    <w:rsid w:val="003A65ED"/>
    <w:rsid w:val="003C2F9E"/>
    <w:rsid w:val="003C76A3"/>
    <w:rsid w:val="003D1D50"/>
    <w:rsid w:val="003D4612"/>
    <w:rsid w:val="003D7EB4"/>
    <w:rsid w:val="003E0007"/>
    <w:rsid w:val="003E1375"/>
    <w:rsid w:val="003E65DC"/>
    <w:rsid w:val="003F4B8C"/>
    <w:rsid w:val="00401BDF"/>
    <w:rsid w:val="00403F32"/>
    <w:rsid w:val="00411BBD"/>
    <w:rsid w:val="00414A06"/>
    <w:rsid w:val="00415922"/>
    <w:rsid w:val="00423BD7"/>
    <w:rsid w:val="00426B8B"/>
    <w:rsid w:val="0042757D"/>
    <w:rsid w:val="00427C7F"/>
    <w:rsid w:val="00437C14"/>
    <w:rsid w:val="004404A1"/>
    <w:rsid w:val="004527C9"/>
    <w:rsid w:val="00453069"/>
    <w:rsid w:val="004614CB"/>
    <w:rsid w:val="00494EE2"/>
    <w:rsid w:val="00496360"/>
    <w:rsid w:val="00496E83"/>
    <w:rsid w:val="004A1AC6"/>
    <w:rsid w:val="004A2886"/>
    <w:rsid w:val="004A2B21"/>
    <w:rsid w:val="004B14A0"/>
    <w:rsid w:val="004D2453"/>
    <w:rsid w:val="004D6A9B"/>
    <w:rsid w:val="004D7D38"/>
    <w:rsid w:val="004F099C"/>
    <w:rsid w:val="004F1402"/>
    <w:rsid w:val="00500B0E"/>
    <w:rsid w:val="00502A57"/>
    <w:rsid w:val="0050659B"/>
    <w:rsid w:val="00507E8F"/>
    <w:rsid w:val="005144CB"/>
    <w:rsid w:val="00516676"/>
    <w:rsid w:val="00524A2E"/>
    <w:rsid w:val="005279DE"/>
    <w:rsid w:val="00527C42"/>
    <w:rsid w:val="00533310"/>
    <w:rsid w:val="00534772"/>
    <w:rsid w:val="00537FCD"/>
    <w:rsid w:val="00540A6F"/>
    <w:rsid w:val="005431C2"/>
    <w:rsid w:val="0054327C"/>
    <w:rsid w:val="00545F76"/>
    <w:rsid w:val="00556882"/>
    <w:rsid w:val="00561E43"/>
    <w:rsid w:val="00562B5F"/>
    <w:rsid w:val="005760DF"/>
    <w:rsid w:val="00580CE6"/>
    <w:rsid w:val="00583667"/>
    <w:rsid w:val="005838F5"/>
    <w:rsid w:val="00587BFF"/>
    <w:rsid w:val="00591B45"/>
    <w:rsid w:val="00595183"/>
    <w:rsid w:val="005964CB"/>
    <w:rsid w:val="005A2A6F"/>
    <w:rsid w:val="005A39D4"/>
    <w:rsid w:val="005A3DD2"/>
    <w:rsid w:val="005A6409"/>
    <w:rsid w:val="005B3391"/>
    <w:rsid w:val="005B426E"/>
    <w:rsid w:val="005B5660"/>
    <w:rsid w:val="005D162E"/>
    <w:rsid w:val="005D17B9"/>
    <w:rsid w:val="005D1A69"/>
    <w:rsid w:val="005D624E"/>
    <w:rsid w:val="005E1402"/>
    <w:rsid w:val="005F74F7"/>
    <w:rsid w:val="006078BA"/>
    <w:rsid w:val="00616E82"/>
    <w:rsid w:val="006218A3"/>
    <w:rsid w:val="00625AC6"/>
    <w:rsid w:val="00640C03"/>
    <w:rsid w:val="006564CE"/>
    <w:rsid w:val="006570C4"/>
    <w:rsid w:val="00663F64"/>
    <w:rsid w:val="00670415"/>
    <w:rsid w:val="0067065C"/>
    <w:rsid w:val="00672388"/>
    <w:rsid w:val="006739B5"/>
    <w:rsid w:val="00673E9C"/>
    <w:rsid w:val="00686B23"/>
    <w:rsid w:val="00690159"/>
    <w:rsid w:val="00692669"/>
    <w:rsid w:val="00693532"/>
    <w:rsid w:val="00696B7A"/>
    <w:rsid w:val="006A128D"/>
    <w:rsid w:val="006C38EE"/>
    <w:rsid w:val="006E3B25"/>
    <w:rsid w:val="006F52A2"/>
    <w:rsid w:val="0071531E"/>
    <w:rsid w:val="0071645B"/>
    <w:rsid w:val="00716E9D"/>
    <w:rsid w:val="00720C1A"/>
    <w:rsid w:val="007253FE"/>
    <w:rsid w:val="007354DF"/>
    <w:rsid w:val="00740F38"/>
    <w:rsid w:val="007476B5"/>
    <w:rsid w:val="00747B9E"/>
    <w:rsid w:val="007524BE"/>
    <w:rsid w:val="007525FA"/>
    <w:rsid w:val="00771BE7"/>
    <w:rsid w:val="00774FF0"/>
    <w:rsid w:val="00777BE5"/>
    <w:rsid w:val="007836A7"/>
    <w:rsid w:val="007900AF"/>
    <w:rsid w:val="0079046D"/>
    <w:rsid w:val="007929C7"/>
    <w:rsid w:val="0079753A"/>
    <w:rsid w:val="007A0CB6"/>
    <w:rsid w:val="007A0E41"/>
    <w:rsid w:val="007A1F6F"/>
    <w:rsid w:val="007A6DD9"/>
    <w:rsid w:val="007A6E96"/>
    <w:rsid w:val="007B5EA5"/>
    <w:rsid w:val="007D7CF9"/>
    <w:rsid w:val="007E6A7B"/>
    <w:rsid w:val="007F393F"/>
    <w:rsid w:val="0080064D"/>
    <w:rsid w:val="0080367B"/>
    <w:rsid w:val="00806D64"/>
    <w:rsid w:val="0081284F"/>
    <w:rsid w:val="008139C7"/>
    <w:rsid w:val="00814843"/>
    <w:rsid w:val="008170DE"/>
    <w:rsid w:val="00830E32"/>
    <w:rsid w:val="00833A64"/>
    <w:rsid w:val="00833E7D"/>
    <w:rsid w:val="00862F32"/>
    <w:rsid w:val="00870C24"/>
    <w:rsid w:val="00873A11"/>
    <w:rsid w:val="00873AF9"/>
    <w:rsid w:val="008B1EFC"/>
    <w:rsid w:val="008C6BF7"/>
    <w:rsid w:val="008D1C04"/>
    <w:rsid w:val="008E5ED4"/>
    <w:rsid w:val="008F04A0"/>
    <w:rsid w:val="008F64A7"/>
    <w:rsid w:val="009000DB"/>
    <w:rsid w:val="0090012B"/>
    <w:rsid w:val="009127A9"/>
    <w:rsid w:val="00970BAD"/>
    <w:rsid w:val="009711D2"/>
    <w:rsid w:val="00971AE2"/>
    <w:rsid w:val="00980031"/>
    <w:rsid w:val="009829B7"/>
    <w:rsid w:val="009863B5"/>
    <w:rsid w:val="009927C0"/>
    <w:rsid w:val="009961E6"/>
    <w:rsid w:val="00996C0B"/>
    <w:rsid w:val="009A3350"/>
    <w:rsid w:val="009B33C6"/>
    <w:rsid w:val="009B3FA5"/>
    <w:rsid w:val="009C0017"/>
    <w:rsid w:val="009C0DDD"/>
    <w:rsid w:val="009C15F4"/>
    <w:rsid w:val="009C3546"/>
    <w:rsid w:val="009D2785"/>
    <w:rsid w:val="009D62A3"/>
    <w:rsid w:val="009E2A1F"/>
    <w:rsid w:val="009E4766"/>
    <w:rsid w:val="009E7CBA"/>
    <w:rsid w:val="009F036E"/>
    <w:rsid w:val="009F0D19"/>
    <w:rsid w:val="00A03524"/>
    <w:rsid w:val="00A23972"/>
    <w:rsid w:val="00A26D60"/>
    <w:rsid w:val="00A27558"/>
    <w:rsid w:val="00A343DF"/>
    <w:rsid w:val="00A357B3"/>
    <w:rsid w:val="00A45FDB"/>
    <w:rsid w:val="00A660FF"/>
    <w:rsid w:val="00A71AE5"/>
    <w:rsid w:val="00AA1E16"/>
    <w:rsid w:val="00AA7A05"/>
    <w:rsid w:val="00AB5E99"/>
    <w:rsid w:val="00AC002C"/>
    <w:rsid w:val="00AC5797"/>
    <w:rsid w:val="00AC6CDD"/>
    <w:rsid w:val="00AD1F49"/>
    <w:rsid w:val="00AD38D0"/>
    <w:rsid w:val="00AE0BD8"/>
    <w:rsid w:val="00AE0ECD"/>
    <w:rsid w:val="00AE108C"/>
    <w:rsid w:val="00AE7F59"/>
    <w:rsid w:val="00AF1A53"/>
    <w:rsid w:val="00AF7AC7"/>
    <w:rsid w:val="00B026FC"/>
    <w:rsid w:val="00B029DD"/>
    <w:rsid w:val="00B05ADC"/>
    <w:rsid w:val="00B0707B"/>
    <w:rsid w:val="00B11E4D"/>
    <w:rsid w:val="00B32689"/>
    <w:rsid w:val="00B350D1"/>
    <w:rsid w:val="00B356FD"/>
    <w:rsid w:val="00B5429C"/>
    <w:rsid w:val="00B95560"/>
    <w:rsid w:val="00BA3E63"/>
    <w:rsid w:val="00BA7FAB"/>
    <w:rsid w:val="00BB52A5"/>
    <w:rsid w:val="00BC2F4C"/>
    <w:rsid w:val="00BC4A05"/>
    <w:rsid w:val="00BD070D"/>
    <w:rsid w:val="00BD5524"/>
    <w:rsid w:val="00BE57DC"/>
    <w:rsid w:val="00BF0B15"/>
    <w:rsid w:val="00BF1DA6"/>
    <w:rsid w:val="00BF54EA"/>
    <w:rsid w:val="00BF5FB1"/>
    <w:rsid w:val="00C1093F"/>
    <w:rsid w:val="00C12CBB"/>
    <w:rsid w:val="00C167BA"/>
    <w:rsid w:val="00C25A2D"/>
    <w:rsid w:val="00C260F8"/>
    <w:rsid w:val="00C32127"/>
    <w:rsid w:val="00C324D8"/>
    <w:rsid w:val="00C338F2"/>
    <w:rsid w:val="00C37EE9"/>
    <w:rsid w:val="00C4164C"/>
    <w:rsid w:val="00C43DBF"/>
    <w:rsid w:val="00C43FBE"/>
    <w:rsid w:val="00C449C6"/>
    <w:rsid w:val="00C47A07"/>
    <w:rsid w:val="00C50A2F"/>
    <w:rsid w:val="00C564B0"/>
    <w:rsid w:val="00C6350D"/>
    <w:rsid w:val="00C75342"/>
    <w:rsid w:val="00C814A5"/>
    <w:rsid w:val="00C851BF"/>
    <w:rsid w:val="00C94DB0"/>
    <w:rsid w:val="00C96573"/>
    <w:rsid w:val="00CA2EBC"/>
    <w:rsid w:val="00CA4CC0"/>
    <w:rsid w:val="00CA610B"/>
    <w:rsid w:val="00CA7439"/>
    <w:rsid w:val="00CB00FA"/>
    <w:rsid w:val="00CB01C7"/>
    <w:rsid w:val="00CB7B6A"/>
    <w:rsid w:val="00CC17E1"/>
    <w:rsid w:val="00CC18AF"/>
    <w:rsid w:val="00CD0798"/>
    <w:rsid w:val="00CD0BB8"/>
    <w:rsid w:val="00CD1452"/>
    <w:rsid w:val="00CD3849"/>
    <w:rsid w:val="00CD4518"/>
    <w:rsid w:val="00CE4E72"/>
    <w:rsid w:val="00CE5346"/>
    <w:rsid w:val="00CE5A2B"/>
    <w:rsid w:val="00CF2C22"/>
    <w:rsid w:val="00CF4DB6"/>
    <w:rsid w:val="00CF7384"/>
    <w:rsid w:val="00D218C8"/>
    <w:rsid w:val="00D2343D"/>
    <w:rsid w:val="00D30EAE"/>
    <w:rsid w:val="00D318F1"/>
    <w:rsid w:val="00D31C9A"/>
    <w:rsid w:val="00D32443"/>
    <w:rsid w:val="00D3648E"/>
    <w:rsid w:val="00D40B0E"/>
    <w:rsid w:val="00D41C40"/>
    <w:rsid w:val="00D41D81"/>
    <w:rsid w:val="00D505D9"/>
    <w:rsid w:val="00D676E1"/>
    <w:rsid w:val="00D7240C"/>
    <w:rsid w:val="00D75AD7"/>
    <w:rsid w:val="00D860DA"/>
    <w:rsid w:val="00D9185D"/>
    <w:rsid w:val="00D96DDE"/>
    <w:rsid w:val="00DA3277"/>
    <w:rsid w:val="00DA66B7"/>
    <w:rsid w:val="00DB0865"/>
    <w:rsid w:val="00DB25D1"/>
    <w:rsid w:val="00DB7305"/>
    <w:rsid w:val="00DC38D5"/>
    <w:rsid w:val="00DC555A"/>
    <w:rsid w:val="00DC6002"/>
    <w:rsid w:val="00DE00DB"/>
    <w:rsid w:val="00DE2973"/>
    <w:rsid w:val="00DE5433"/>
    <w:rsid w:val="00DE5A3E"/>
    <w:rsid w:val="00DF5F38"/>
    <w:rsid w:val="00E12E5F"/>
    <w:rsid w:val="00E14803"/>
    <w:rsid w:val="00E23336"/>
    <w:rsid w:val="00E32B52"/>
    <w:rsid w:val="00E43766"/>
    <w:rsid w:val="00E463DE"/>
    <w:rsid w:val="00E46A7A"/>
    <w:rsid w:val="00E47EB8"/>
    <w:rsid w:val="00E5138A"/>
    <w:rsid w:val="00E54C26"/>
    <w:rsid w:val="00E675CA"/>
    <w:rsid w:val="00E76EA3"/>
    <w:rsid w:val="00E8706A"/>
    <w:rsid w:val="00E9114A"/>
    <w:rsid w:val="00EA2111"/>
    <w:rsid w:val="00EA489C"/>
    <w:rsid w:val="00EA6B1A"/>
    <w:rsid w:val="00EB0CA7"/>
    <w:rsid w:val="00EB4992"/>
    <w:rsid w:val="00EC52DE"/>
    <w:rsid w:val="00EC6063"/>
    <w:rsid w:val="00EC686A"/>
    <w:rsid w:val="00ED2411"/>
    <w:rsid w:val="00ED55AF"/>
    <w:rsid w:val="00EF0777"/>
    <w:rsid w:val="00EF2E52"/>
    <w:rsid w:val="00F0734D"/>
    <w:rsid w:val="00F14D2B"/>
    <w:rsid w:val="00F215B7"/>
    <w:rsid w:val="00F32E4A"/>
    <w:rsid w:val="00F348C6"/>
    <w:rsid w:val="00F36D8C"/>
    <w:rsid w:val="00F46BB7"/>
    <w:rsid w:val="00F53266"/>
    <w:rsid w:val="00F555EF"/>
    <w:rsid w:val="00F57CF2"/>
    <w:rsid w:val="00F63A90"/>
    <w:rsid w:val="00F66CB4"/>
    <w:rsid w:val="00F71284"/>
    <w:rsid w:val="00F93545"/>
    <w:rsid w:val="00F96FBA"/>
    <w:rsid w:val="00FA3999"/>
    <w:rsid w:val="00FB4E06"/>
    <w:rsid w:val="00FC3483"/>
    <w:rsid w:val="00FC46DD"/>
    <w:rsid w:val="00FC4D68"/>
    <w:rsid w:val="00FC6F54"/>
    <w:rsid w:val="00FD0BF0"/>
    <w:rsid w:val="00FD23BD"/>
    <w:rsid w:val="00FD2ADA"/>
    <w:rsid w:val="00FD54FF"/>
    <w:rsid w:val="00FE33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aliases w:val="ARTICULO"/>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971AE2"/>
    <w:pPr>
      <w:keepNext/>
      <w:spacing w:line="360" w:lineRule="auto"/>
      <w:jc w:val="left"/>
      <w:outlineLvl w:val="2"/>
    </w:pPr>
    <w:rPr>
      <w:b/>
      <w:bCs/>
      <w:lang w:bidi="ar-EG"/>
    </w:rPr>
  </w:style>
  <w:style w:type="paragraph" w:styleId="Heading4">
    <w:name w:val="heading 4"/>
    <w:basedOn w:val="Normal"/>
    <w:next w:val="Normal"/>
    <w:qFormat/>
    <w:rsid w:val="00971AE2"/>
    <w:pPr>
      <w:keepNext/>
      <w:spacing w:line="480" w:lineRule="auto"/>
      <w:jc w:val="center"/>
      <w:outlineLvl w:val="3"/>
    </w:pPr>
    <w:rPr>
      <w:b/>
      <w:szCs w:val="20"/>
    </w:rPr>
  </w:style>
  <w:style w:type="paragraph" w:styleId="Heading5">
    <w:name w:val="heading 5"/>
    <w:basedOn w:val="Normal"/>
    <w:next w:val="Normal"/>
    <w:qFormat/>
    <w:rsid w:val="00971AE2"/>
    <w:pPr>
      <w:keepNext/>
      <w:tabs>
        <w:tab w:val="left" w:pos="288"/>
        <w:tab w:val="left" w:pos="576"/>
        <w:tab w:val="left" w:pos="864"/>
        <w:tab w:val="left" w:pos="1152"/>
      </w:tabs>
      <w:spacing w:before="40" w:after="80" w:line="240" w:lineRule="exact"/>
      <w:ind w:right="40"/>
      <w:jc w:val="left"/>
      <w:outlineLvl w:val="4"/>
    </w:pPr>
    <w:rPr>
      <w:sz w:val="16"/>
    </w:rPr>
  </w:style>
  <w:style w:type="paragraph" w:styleId="Heading6">
    <w:name w:val="heading 6"/>
    <w:basedOn w:val="Normal"/>
    <w:next w:val="Normal"/>
    <w:qFormat/>
    <w:rsid w:val="009E7CBA"/>
    <w:pPr>
      <w:keepNext/>
      <w:bidi w:val="0"/>
      <w:spacing w:line="240" w:lineRule="auto"/>
      <w:outlineLvl w:val="5"/>
    </w:pPr>
    <w:rPr>
      <w:rFonts w:ascii="Arial" w:hAnsi="Arial" w:cs="Times New Roman"/>
      <w:b/>
      <w:w w:val="100"/>
      <w:kern w:val="0"/>
      <w:sz w:val="24"/>
      <w:szCs w:val="20"/>
      <w:lang w:val="es-CO" w:eastAsia="es-ES"/>
    </w:rPr>
  </w:style>
  <w:style w:type="paragraph" w:styleId="Heading7">
    <w:name w:val="heading 7"/>
    <w:basedOn w:val="Normal"/>
    <w:next w:val="Normal"/>
    <w:qFormat/>
    <w:rsid w:val="009E7CBA"/>
    <w:pPr>
      <w:keepNext/>
      <w:tabs>
        <w:tab w:val="num" w:pos="0"/>
      </w:tabs>
      <w:bidi w:val="0"/>
      <w:spacing w:line="240" w:lineRule="auto"/>
      <w:outlineLvl w:val="6"/>
    </w:pPr>
    <w:rPr>
      <w:rFonts w:ascii="Univers" w:hAnsi="Univers" w:cs="Times New Roman"/>
      <w:b/>
      <w:w w:val="100"/>
      <w:kern w:val="0"/>
      <w:sz w:val="22"/>
      <w:szCs w:val="20"/>
      <w:lang w:val="es-CO" w:eastAsia="es-ES"/>
    </w:rPr>
  </w:style>
  <w:style w:type="paragraph" w:styleId="Heading8">
    <w:name w:val="heading 8"/>
    <w:basedOn w:val="Normal"/>
    <w:next w:val="Normal"/>
    <w:qFormat/>
    <w:rsid w:val="009E7CBA"/>
    <w:pPr>
      <w:keepNext/>
      <w:bidi w:val="0"/>
      <w:spacing w:line="240" w:lineRule="auto"/>
      <w:jc w:val="center"/>
      <w:outlineLvl w:val="7"/>
    </w:pPr>
    <w:rPr>
      <w:rFonts w:ascii="Arial Narrow" w:hAnsi="Arial Narrow" w:cs="Times New Roman"/>
      <w:b/>
      <w:w w:val="100"/>
      <w:kern w:val="0"/>
      <w:sz w:val="32"/>
      <w:szCs w:val="20"/>
      <w:lang w:val="es-MX" w:eastAsia="es-ES"/>
    </w:rPr>
  </w:style>
  <w:style w:type="paragraph" w:styleId="Heading9">
    <w:name w:val="heading 9"/>
    <w:basedOn w:val="Normal"/>
    <w:next w:val="Normal"/>
    <w:qFormat/>
    <w:rsid w:val="009E7CBA"/>
    <w:pPr>
      <w:keepNext/>
      <w:bidi w:val="0"/>
      <w:spacing w:line="240" w:lineRule="auto"/>
      <w:jc w:val="center"/>
      <w:outlineLvl w:val="8"/>
    </w:pPr>
    <w:rPr>
      <w:rFonts w:ascii="Arial Narrow" w:hAnsi="Arial Narrow" w:cs="Times New Roman"/>
      <w:w w:val="100"/>
      <w:kern w:val="0"/>
      <w:sz w:val="26"/>
      <w:szCs w:val="20"/>
      <w:lang w:val="es-MX" w:eastAsia="es-ES"/>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C38D5"/>
    <w:rPr>
      <w:szCs w:val="20"/>
    </w:rPr>
  </w:style>
  <w:style w:type="paragraph" w:styleId="CommentSubject">
    <w:name w:val="annotation subject"/>
    <w:basedOn w:val="CommentText"/>
    <w:next w:val="CommentText"/>
    <w:semiHidden/>
    <w:rsid w:val="00DC38D5"/>
    <w:rPr>
      <w:b/>
      <w:bCs/>
    </w:rPr>
  </w:style>
  <w:style w:type="paragraph" w:styleId="BodyText">
    <w:name w:val="Body Text"/>
    <w:aliases w:val="Inicio"/>
    <w:basedOn w:val="Normal"/>
    <w:rsid w:val="00971AE2"/>
    <w:pPr>
      <w:bidi w:val="0"/>
      <w:spacing w:line="240" w:lineRule="auto"/>
      <w:jc w:val="right"/>
    </w:pPr>
    <w:rPr>
      <w:rFonts w:cs="Times New Roman"/>
      <w:w w:val="100"/>
      <w:kern w:val="0"/>
      <w:sz w:val="24"/>
      <w:szCs w:val="24"/>
    </w:rPr>
  </w:style>
  <w:style w:type="character" w:styleId="EndnoteReference">
    <w:name w:val="endnote reference"/>
    <w:semiHidden/>
    <w:rsid w:val="00971AE2"/>
    <w:rPr>
      <w:vertAlign w:val="superscript"/>
    </w:rPr>
  </w:style>
  <w:style w:type="paragraph" w:customStyle="1" w:styleId="xl25">
    <w:name w:val="xl25"/>
    <w:basedOn w:val="Normal"/>
    <w:rsid w:val="00971AE2"/>
    <w:pPr>
      <w:bidi w:val="0"/>
      <w:spacing w:before="100" w:beforeAutospacing="1" w:after="100" w:afterAutospacing="1" w:line="240" w:lineRule="auto"/>
      <w:jc w:val="center"/>
    </w:pPr>
    <w:rPr>
      <w:rFonts w:ascii="Verdana" w:eastAsia="Arial Unicode MS" w:hAnsi="Verdana" w:cs="Arial Unicode MS"/>
      <w:b/>
      <w:bCs/>
      <w:w w:val="100"/>
      <w:kern w:val="0"/>
      <w:sz w:val="18"/>
      <w:szCs w:val="18"/>
      <w:lang w:val="es-ES" w:eastAsia="es-ES"/>
    </w:rPr>
  </w:style>
  <w:style w:type="paragraph" w:customStyle="1" w:styleId="Textodeglobo">
    <w:name w:val="Texto de globo"/>
    <w:basedOn w:val="Normal"/>
    <w:semiHidden/>
    <w:rsid w:val="00971AE2"/>
    <w:pPr>
      <w:bidi w:val="0"/>
      <w:spacing w:line="240" w:lineRule="auto"/>
      <w:jc w:val="left"/>
    </w:pPr>
    <w:rPr>
      <w:rFonts w:ascii="Tahoma" w:hAnsi="Tahoma" w:cs="Tahoma"/>
      <w:w w:val="100"/>
      <w:kern w:val="0"/>
      <w:sz w:val="16"/>
      <w:szCs w:val="16"/>
      <w:lang w:val="es-ES_tradnl" w:eastAsia="es-ES"/>
    </w:rPr>
  </w:style>
  <w:style w:type="paragraph" w:styleId="BodyText3">
    <w:name w:val="Body Text 3"/>
    <w:basedOn w:val="Normal"/>
    <w:rsid w:val="00E8706A"/>
    <w:pPr>
      <w:spacing w:after="120"/>
    </w:pPr>
    <w:rPr>
      <w:sz w:val="16"/>
      <w:szCs w:val="16"/>
    </w:rPr>
  </w:style>
  <w:style w:type="table" w:customStyle="1" w:styleId="TableNormal1">
    <w:name w:val="Table Normal1"/>
    <w:next w:val="TableNormal"/>
    <w:semiHidden/>
    <w:rsid w:val="009E7CBA"/>
    <w:rPr>
      <w:rFonts w:cs="Times New Roman"/>
    </w:rPr>
    <w:tblPr>
      <w:tblInd w:w="0" w:type="dxa"/>
      <w:tblCellMar>
        <w:top w:w="0" w:type="dxa"/>
        <w:left w:w="108" w:type="dxa"/>
        <w:bottom w:w="0" w:type="dxa"/>
        <w:right w:w="108" w:type="dxa"/>
      </w:tblCellMar>
    </w:tblPr>
    <w:trPr>
      <w:hidden/>
    </w:trPr>
  </w:style>
  <w:style w:type="numbering" w:customStyle="1" w:styleId="NoList1">
    <w:name w:val="No List1"/>
    <w:next w:val="NoList"/>
    <w:semiHidden/>
    <w:rsid w:val="009E7CBA"/>
  </w:style>
  <w:style w:type="paragraph" w:customStyle="1" w:styleId="Titulo1">
    <w:name w:val="Titulo 1"/>
    <w:basedOn w:val="Normal"/>
    <w:autoRedefine/>
    <w:rsid w:val="009E7CBA"/>
    <w:pPr>
      <w:bidi w:val="0"/>
      <w:spacing w:line="240" w:lineRule="auto"/>
      <w:ind w:left="357" w:hanging="357"/>
    </w:pPr>
    <w:rPr>
      <w:rFonts w:ascii="Arial Narrow" w:hAnsi="Arial Narrow" w:cs="Times New Roman"/>
      <w:b/>
      <w:w w:val="100"/>
      <w:kern w:val="0"/>
      <w:sz w:val="24"/>
      <w:szCs w:val="20"/>
      <w:lang w:val="es-MX" w:eastAsia="es-ES"/>
    </w:rPr>
  </w:style>
  <w:style w:type="paragraph" w:customStyle="1" w:styleId="Tabla">
    <w:name w:val="Tabla"/>
    <w:basedOn w:val="Titulo1"/>
    <w:rsid w:val="009E7CBA"/>
    <w:pPr>
      <w:ind w:left="1134" w:hanging="1134"/>
    </w:pPr>
  </w:style>
  <w:style w:type="paragraph" w:styleId="BodyText2">
    <w:name w:val="Body Text 2"/>
    <w:basedOn w:val="Normal"/>
    <w:rsid w:val="009E7CBA"/>
    <w:pPr>
      <w:bidi w:val="0"/>
      <w:spacing w:line="240" w:lineRule="auto"/>
    </w:pPr>
    <w:rPr>
      <w:rFonts w:ascii="Arial" w:hAnsi="Arial" w:cs="Times New Roman"/>
      <w:w w:val="100"/>
      <w:kern w:val="0"/>
      <w:sz w:val="24"/>
      <w:szCs w:val="20"/>
      <w:lang w:val="es-ES_tradnl" w:eastAsia="es-ES"/>
    </w:rPr>
  </w:style>
  <w:style w:type="paragraph" w:styleId="Title">
    <w:name w:val="Title"/>
    <w:basedOn w:val="Normal"/>
    <w:qFormat/>
    <w:rsid w:val="009E7CBA"/>
    <w:pPr>
      <w:bidi w:val="0"/>
      <w:spacing w:line="240" w:lineRule="auto"/>
      <w:jc w:val="center"/>
    </w:pPr>
    <w:rPr>
      <w:rFonts w:ascii="Arial" w:hAnsi="Arial" w:cs="Times New Roman"/>
      <w:b/>
      <w:w w:val="100"/>
      <w:kern w:val="0"/>
      <w:sz w:val="24"/>
      <w:szCs w:val="20"/>
      <w:lang w:val="es-ES" w:eastAsia="es-ES"/>
    </w:rPr>
  </w:style>
  <w:style w:type="character" w:styleId="Hyperlink">
    <w:name w:val="Hyperlink"/>
    <w:rsid w:val="009E7CBA"/>
    <w:rPr>
      <w:color w:val="0000FF"/>
      <w:u w:val="none"/>
    </w:rPr>
  </w:style>
  <w:style w:type="paragraph" w:styleId="BodyTextIndent2">
    <w:name w:val="Body Text Indent 2"/>
    <w:basedOn w:val="Normal"/>
    <w:rsid w:val="009E7CBA"/>
    <w:pPr>
      <w:bidi w:val="0"/>
      <w:spacing w:line="240" w:lineRule="auto"/>
      <w:ind w:left="143"/>
    </w:pPr>
    <w:rPr>
      <w:rFonts w:ascii="Arial" w:hAnsi="Arial" w:cs="Arial"/>
      <w:w w:val="100"/>
      <w:kern w:val="0"/>
      <w:sz w:val="16"/>
      <w:szCs w:val="28"/>
      <w:lang w:val="es-ES" w:eastAsia="es-ES"/>
    </w:rPr>
  </w:style>
  <w:style w:type="paragraph" w:styleId="NormalWeb">
    <w:name w:val="Normal (Web)"/>
    <w:basedOn w:val="Normal"/>
    <w:rsid w:val="009E7CBA"/>
    <w:pPr>
      <w:bidi w:val="0"/>
      <w:spacing w:before="100" w:beforeAutospacing="1" w:after="100" w:afterAutospacing="1" w:line="240" w:lineRule="auto"/>
      <w:jc w:val="left"/>
    </w:pPr>
    <w:rPr>
      <w:rFonts w:ascii="Arial" w:eastAsia="Arial Unicode MS" w:hAnsi="Arial" w:cs="Arial"/>
      <w:w w:val="100"/>
      <w:kern w:val="0"/>
      <w:sz w:val="22"/>
      <w:szCs w:val="24"/>
      <w:lang w:val="es-ES" w:eastAsia="es-ES"/>
    </w:rPr>
  </w:style>
  <w:style w:type="paragraph" w:styleId="Subtitle">
    <w:name w:val="Subtitle"/>
    <w:basedOn w:val="Normal"/>
    <w:qFormat/>
    <w:rsid w:val="009E7CBA"/>
    <w:pPr>
      <w:bidi w:val="0"/>
      <w:spacing w:line="240" w:lineRule="auto"/>
    </w:pPr>
    <w:rPr>
      <w:rFonts w:ascii="Arial" w:hAnsi="Arial" w:cs="Arial"/>
      <w:b/>
      <w:bCs/>
      <w:w w:val="100"/>
      <w:kern w:val="0"/>
      <w:sz w:val="24"/>
      <w:szCs w:val="24"/>
      <w:u w:val="single"/>
      <w:lang w:val="es-ES" w:eastAsia="es-ES"/>
    </w:rPr>
  </w:style>
  <w:style w:type="character" w:customStyle="1" w:styleId="titulos1">
    <w:name w:val="titulos1"/>
    <w:rsid w:val="009E7CBA"/>
    <w:rPr>
      <w:rFonts w:ascii="Verdana" w:hAnsi="Verdana" w:hint="default"/>
      <w:b/>
      <w:bCs/>
      <w:strike w:val="0"/>
      <w:dstrike w:val="0"/>
      <w:color w:val="003366"/>
      <w:sz w:val="18"/>
      <w:szCs w:val="18"/>
      <w:u w:val="none"/>
      <w:effect w:val="none"/>
    </w:rPr>
  </w:style>
  <w:style w:type="character" w:styleId="FollowedHyperlink">
    <w:name w:val="FollowedHyperlink"/>
    <w:rsid w:val="009E7CBA"/>
    <w:rPr>
      <w:color w:val="0000FF"/>
      <w:u w:val="none"/>
    </w:rPr>
  </w:style>
  <w:style w:type="paragraph" w:styleId="BodyTextIndent">
    <w:name w:val="Body Text Indent"/>
    <w:basedOn w:val="Normal"/>
    <w:rsid w:val="009E7CBA"/>
    <w:pPr>
      <w:bidi w:val="0"/>
      <w:spacing w:line="240" w:lineRule="auto"/>
      <w:ind w:left="708"/>
    </w:pPr>
    <w:rPr>
      <w:rFonts w:ascii="Arial" w:hAnsi="Arial" w:cs="Arial"/>
      <w:bCs/>
      <w:w w:val="100"/>
      <w:kern w:val="0"/>
      <w:sz w:val="22"/>
      <w:szCs w:val="20"/>
      <w:lang w:val="es-ES" w:eastAsia="es-ES"/>
    </w:rPr>
  </w:style>
  <w:style w:type="character" w:customStyle="1" w:styleId="texto">
    <w:name w:val="texto"/>
    <w:basedOn w:val="DefaultParagraphFont"/>
    <w:rsid w:val="009E7CBA"/>
  </w:style>
  <w:style w:type="character" w:styleId="Strong">
    <w:name w:val="Strong"/>
    <w:qFormat/>
    <w:rsid w:val="009E7CBA"/>
    <w:rPr>
      <w:b/>
      <w:bCs/>
    </w:rPr>
  </w:style>
  <w:style w:type="paragraph" w:customStyle="1" w:styleId="BodyText21">
    <w:name w:val="Body Text 21"/>
    <w:basedOn w:val="Normal"/>
    <w:rsid w:val="009E7CBA"/>
    <w:pPr>
      <w:overflowPunct w:val="0"/>
      <w:autoSpaceDE w:val="0"/>
      <w:autoSpaceDN w:val="0"/>
      <w:bidi w:val="0"/>
      <w:adjustRightInd w:val="0"/>
      <w:spacing w:line="240" w:lineRule="auto"/>
      <w:jc w:val="center"/>
      <w:textAlignment w:val="baseline"/>
    </w:pPr>
    <w:rPr>
      <w:rFonts w:ascii="Arial" w:hAnsi="Arial" w:cs="Times New Roman"/>
      <w:b/>
      <w:w w:val="100"/>
      <w:kern w:val="0"/>
      <w:sz w:val="28"/>
      <w:szCs w:val="20"/>
      <w:lang w:val="es-ES" w:eastAsia="es-ES"/>
    </w:rPr>
  </w:style>
  <w:style w:type="paragraph" w:customStyle="1" w:styleId="Style11ptJustified">
    <w:name w:val="Style 11 pt Justified"/>
    <w:basedOn w:val="Normal"/>
    <w:next w:val="FootnoteText"/>
    <w:rsid w:val="009E7CBA"/>
    <w:pPr>
      <w:bidi w:val="0"/>
      <w:spacing w:line="240" w:lineRule="auto"/>
    </w:pPr>
    <w:rPr>
      <w:rFonts w:ascii="Arial" w:hAnsi="Arial" w:cs="Times New Roman"/>
      <w:w w:val="100"/>
      <w:kern w:val="0"/>
      <w:sz w:val="22"/>
      <w:szCs w:val="22"/>
      <w:lang w:val="es-ES" w:eastAsia="es-ES"/>
    </w:rPr>
  </w:style>
  <w:style w:type="paragraph" w:styleId="PlainText">
    <w:name w:val="Plain Text"/>
    <w:basedOn w:val="Normal"/>
    <w:rsid w:val="009E7CBA"/>
    <w:pPr>
      <w:bidi w:val="0"/>
      <w:spacing w:line="240" w:lineRule="auto"/>
      <w:jc w:val="left"/>
    </w:pPr>
    <w:rPr>
      <w:rFonts w:ascii="Courier New" w:hAnsi="Courier New" w:cs="Courier New"/>
      <w:w w:val="100"/>
      <w:kern w:val="0"/>
      <w:szCs w:val="20"/>
      <w:lang w:val="es-ES" w:eastAsia="es-ES"/>
    </w:rPr>
  </w:style>
  <w:style w:type="paragraph" w:customStyle="1" w:styleId="cuerpotexto">
    <w:name w:val="cuerpotexto"/>
    <w:basedOn w:val="Normal"/>
    <w:rsid w:val="009E7CBA"/>
    <w:pPr>
      <w:autoSpaceDE w:val="0"/>
      <w:autoSpaceDN w:val="0"/>
      <w:bidi w:val="0"/>
      <w:spacing w:before="28" w:after="28" w:line="210" w:lineRule="atLeast"/>
      <w:ind w:firstLine="283"/>
    </w:pPr>
    <w:rPr>
      <w:rFonts w:cs="Times New Roman"/>
      <w:color w:val="000000"/>
      <w:w w:val="100"/>
      <w:kern w:val="0"/>
      <w:sz w:val="19"/>
      <w:szCs w:val="19"/>
    </w:rPr>
  </w:style>
  <w:style w:type="paragraph" w:styleId="BlockText">
    <w:name w:val="Block Text"/>
    <w:basedOn w:val="Normal"/>
    <w:rsid w:val="009E7CBA"/>
    <w:pPr>
      <w:widowControl w:val="0"/>
      <w:overflowPunct w:val="0"/>
      <w:autoSpaceDE w:val="0"/>
      <w:autoSpaceDN w:val="0"/>
      <w:bidi w:val="0"/>
      <w:adjustRightInd w:val="0"/>
      <w:spacing w:line="360" w:lineRule="auto"/>
      <w:ind w:left="567" w:right="618"/>
      <w:jc w:val="left"/>
      <w:textAlignment w:val="baseline"/>
    </w:pPr>
    <w:rPr>
      <w:rFonts w:cs="Times New Roman"/>
      <w:w w:val="100"/>
      <w:kern w:val="0"/>
      <w:szCs w:val="20"/>
      <w:lang w:val="es-ES"/>
    </w:rPr>
  </w:style>
  <w:style w:type="paragraph" w:customStyle="1" w:styleId="BodySingle">
    <w:name w:val="Body Single"/>
    <w:basedOn w:val="Normal"/>
    <w:rsid w:val="009E7CBA"/>
    <w:pPr>
      <w:bidi w:val="0"/>
      <w:spacing w:after="120" w:line="240" w:lineRule="auto"/>
    </w:pPr>
    <w:rPr>
      <w:rFonts w:ascii="Arial" w:hAnsi="Arial" w:cs="Times New Roman"/>
      <w:w w:val="100"/>
      <w:kern w:val="0"/>
      <w:szCs w:val="20"/>
      <w:lang w:eastAsia="es-ES"/>
    </w:rPr>
  </w:style>
  <w:style w:type="paragraph" w:customStyle="1" w:styleId="p11">
    <w:name w:val="p11"/>
    <w:basedOn w:val="Normal"/>
    <w:rsid w:val="009E7CBA"/>
    <w:pPr>
      <w:widowControl w:val="0"/>
      <w:tabs>
        <w:tab w:val="left" w:pos="720"/>
      </w:tabs>
      <w:bidi w:val="0"/>
      <w:spacing w:line="340" w:lineRule="atLeast"/>
    </w:pPr>
    <w:rPr>
      <w:rFonts w:ascii="Arial" w:hAnsi="Arial" w:cs="Times New Roman"/>
      <w:w w:val="100"/>
      <w:kern w:val="0"/>
      <w:sz w:val="24"/>
      <w:szCs w:val="20"/>
      <w:lang w:val="es-ES" w:eastAsia="es-MX"/>
    </w:rPr>
  </w:style>
  <w:style w:type="paragraph" w:customStyle="1" w:styleId="BodyText31">
    <w:name w:val="Body Text 31"/>
    <w:basedOn w:val="Normal"/>
    <w:rsid w:val="009E7CBA"/>
    <w:pPr>
      <w:widowControl w:val="0"/>
      <w:bidi w:val="0"/>
      <w:spacing w:line="240" w:lineRule="auto"/>
    </w:pPr>
    <w:rPr>
      <w:rFonts w:ascii="Arial" w:hAnsi="Arial" w:cs="Times New Roman"/>
      <w:snapToGrid w:val="0"/>
      <w:w w:val="100"/>
      <w:kern w:val="0"/>
      <w:sz w:val="24"/>
      <w:szCs w:val="20"/>
      <w:lang w:val="es-ES_tradnl" w:eastAsia="es-ES"/>
    </w:rPr>
  </w:style>
  <w:style w:type="paragraph" w:customStyle="1" w:styleId="Textonormal">
    <w:name w:val="Texto normal"/>
    <w:basedOn w:val="Normal"/>
    <w:rsid w:val="009E7CBA"/>
    <w:pPr>
      <w:bidi w:val="0"/>
      <w:spacing w:line="240" w:lineRule="auto"/>
    </w:pPr>
    <w:rPr>
      <w:rFonts w:ascii="Tahoma" w:hAnsi="Tahoma" w:cs="Times New Roman"/>
      <w:w w:val="100"/>
      <w:kern w:val="0"/>
      <w:sz w:val="24"/>
      <w:szCs w:val="20"/>
      <w:lang w:val="es-MX" w:eastAsia="es-ES"/>
    </w:rPr>
  </w:style>
  <w:style w:type="paragraph" w:customStyle="1" w:styleId="HTMLconformatoprevio">
    <w:name w:val="HTML con formato previo"/>
    <w:basedOn w:val="Normal"/>
    <w:rsid w:val="009E7C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Times New Roman"/>
      <w:w w:val="100"/>
      <w:kern w:val="0"/>
      <w:szCs w:val="24"/>
      <w:lang w:eastAsia="es-ES"/>
    </w:rPr>
  </w:style>
  <w:style w:type="character" w:customStyle="1" w:styleId="MquinadeescribirHTML">
    <w:name w:val="Máquina de escribir HTML"/>
    <w:rsid w:val="009E7CBA"/>
    <w:rPr>
      <w:rFonts w:ascii="Courier New" w:eastAsia="Times New Roman" w:hAnsi="Courier New" w:cs="Arial Unicode MS" w:hint="default"/>
      <w:sz w:val="20"/>
      <w:szCs w:val="20"/>
    </w:rPr>
  </w:style>
  <w:style w:type="paragraph" w:customStyle="1" w:styleId="CUERPOTEXTO0">
    <w:name w:val="CUERPO TEXTO"/>
    <w:rsid w:val="009E7CBA"/>
    <w:pPr>
      <w:widowControl w:val="0"/>
      <w:tabs>
        <w:tab w:val="center" w:pos="510"/>
        <w:tab w:val="left" w:pos="1134"/>
      </w:tabs>
      <w:autoSpaceDE w:val="0"/>
      <w:autoSpaceDN w:val="0"/>
      <w:adjustRightInd w:val="0"/>
      <w:spacing w:before="28" w:after="28" w:line="210" w:lineRule="atLeast"/>
      <w:ind w:firstLine="283"/>
      <w:jc w:val="both"/>
    </w:pPr>
    <w:rPr>
      <w:rFonts w:cs="Times New Roman"/>
      <w:color w:val="000000"/>
      <w:sz w:val="19"/>
      <w:lang w:val="es-ES" w:eastAsia="es-ES"/>
    </w:rPr>
  </w:style>
  <w:style w:type="paragraph" w:styleId="List">
    <w:name w:val="List"/>
    <w:basedOn w:val="Normal"/>
    <w:rsid w:val="009E7CBA"/>
    <w:pPr>
      <w:bidi w:val="0"/>
      <w:spacing w:line="240" w:lineRule="auto"/>
      <w:ind w:left="283" w:hanging="283"/>
      <w:jc w:val="left"/>
    </w:pPr>
    <w:rPr>
      <w:rFonts w:cs="Times New Roman"/>
      <w:w w:val="100"/>
      <w:kern w:val="0"/>
      <w:szCs w:val="24"/>
      <w:lang w:val="es-ES" w:eastAsia="es-ES"/>
    </w:rPr>
  </w:style>
  <w:style w:type="paragraph" w:customStyle="1" w:styleId="General">
    <w:name w:val="General"/>
    <w:basedOn w:val="BodyText2"/>
    <w:rsid w:val="009E7CBA"/>
    <w:rPr>
      <w:rFonts w:ascii="Caxton Lt BT" w:hAnsi="Caxton Lt BT"/>
      <w:kern w:val="24"/>
      <w:lang w:val="es-ES"/>
    </w:rPr>
  </w:style>
  <w:style w:type="character" w:styleId="PageNumber">
    <w:name w:val="page number"/>
    <w:basedOn w:val="DefaultParagraphFont"/>
    <w:rsid w:val="009E7CBA"/>
  </w:style>
  <w:style w:type="paragraph" w:customStyle="1" w:styleId="CUERPO">
    <w:name w:val="CUERPO"/>
    <w:rsid w:val="009E7CBA"/>
    <w:pPr>
      <w:autoSpaceDE w:val="0"/>
      <w:autoSpaceDN w:val="0"/>
      <w:adjustRightInd w:val="0"/>
      <w:spacing w:after="170" w:line="340" w:lineRule="atLeast"/>
      <w:jc w:val="both"/>
    </w:pPr>
    <w:rPr>
      <w:rFonts w:ascii="Futura Lt BT" w:hAnsi="Futura Lt BT" w:cs="Wingdings"/>
      <w:color w:val="000000"/>
      <w:sz w:val="28"/>
      <w:szCs w:val="28"/>
      <w:lang w:val="es-ES" w:eastAsia="es-ES"/>
    </w:rPr>
  </w:style>
  <w:style w:type="paragraph" w:customStyle="1" w:styleId="TABULADO">
    <w:name w:val="TABULADO"/>
    <w:rsid w:val="009E7CBA"/>
    <w:pPr>
      <w:tabs>
        <w:tab w:val="left" w:pos="283"/>
      </w:tabs>
      <w:autoSpaceDE w:val="0"/>
      <w:autoSpaceDN w:val="0"/>
      <w:adjustRightInd w:val="0"/>
      <w:spacing w:after="170" w:line="340" w:lineRule="atLeast"/>
      <w:ind w:left="283" w:hanging="283"/>
      <w:jc w:val="both"/>
    </w:pPr>
    <w:rPr>
      <w:rFonts w:ascii="Futura Lt BT" w:hAnsi="Futura Lt BT" w:cs="Wingdings"/>
      <w:color w:val="000000"/>
      <w:sz w:val="28"/>
      <w:szCs w:val="28"/>
      <w:lang w:val="es-ES" w:eastAsia="es-ES"/>
    </w:rPr>
  </w:style>
  <w:style w:type="paragraph" w:styleId="ListContinue2">
    <w:name w:val="List Continue 2"/>
    <w:basedOn w:val="Normal"/>
    <w:rsid w:val="009E7CBA"/>
    <w:pPr>
      <w:bidi w:val="0"/>
      <w:spacing w:after="120" w:line="240" w:lineRule="auto"/>
      <w:ind w:left="566"/>
      <w:jc w:val="left"/>
    </w:pPr>
    <w:rPr>
      <w:rFonts w:eastAsia="Batang" w:cs="Times New Roman"/>
      <w:w w:val="100"/>
      <w:kern w:val="0"/>
      <w:sz w:val="24"/>
      <w:szCs w:val="24"/>
    </w:rPr>
  </w:style>
  <w:style w:type="paragraph" w:styleId="Caption">
    <w:name w:val="caption"/>
    <w:basedOn w:val="Normal"/>
    <w:next w:val="Normal"/>
    <w:qFormat/>
    <w:rsid w:val="009E7CBA"/>
    <w:pPr>
      <w:bidi w:val="0"/>
      <w:spacing w:line="240" w:lineRule="auto"/>
      <w:jc w:val="center"/>
    </w:pPr>
    <w:rPr>
      <w:rFonts w:ascii="Arial Narrow" w:hAnsi="Arial Narrow" w:cs="Times New Roman"/>
      <w:w w:val="100"/>
      <w:kern w:val="0"/>
      <w:szCs w:val="24"/>
      <w:lang w:val="es-ES" w:eastAsia="es-ES"/>
    </w:rPr>
  </w:style>
  <w:style w:type="paragraph" w:customStyle="1" w:styleId="Textopredeterminado">
    <w:name w:val="Texto predeterminado"/>
    <w:basedOn w:val="Normal"/>
    <w:rsid w:val="009E7CBA"/>
    <w:pPr>
      <w:bidi w:val="0"/>
      <w:spacing w:line="240" w:lineRule="auto"/>
      <w:jc w:val="left"/>
    </w:pPr>
    <w:rPr>
      <w:rFonts w:cs="Times New Roman"/>
      <w:snapToGrid w:val="0"/>
      <w:w w:val="100"/>
      <w:kern w:val="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42866</Words>
  <Characters>244339</Characters>
  <Application>Microsoft Office Word</Application>
  <DocSecurity>4</DocSecurity>
  <Lines>2036</Lines>
  <Paragraphs>573</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286632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Ibrahim.Basaly</dc:creator>
  <cp:keywords/>
  <dc:description/>
  <cp:lastModifiedBy>Ibrahim Basaly</cp:lastModifiedBy>
  <cp:revision>4</cp:revision>
  <cp:lastPrinted>2005-08-16T20:28:00Z</cp:lastPrinted>
  <dcterms:created xsi:type="dcterms:W3CDTF">2011-12-09T13:21:00Z</dcterms:created>
  <dcterms:modified xsi:type="dcterms:W3CDTF">2011-12-09T13:24:00Z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0531206</vt:lpwstr>
  </property>
  <property fmtid="{D5CDD505-2E9C-101B-9397-08002B2CF9AE}" pid="3" name="Symbol1">
    <vt:lpwstr>CEDAW/C/COL/5-6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