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21DE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9E06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E066E" w:rsidP="009E066E">
            <w:pPr>
              <w:jc w:val="right"/>
            </w:pPr>
            <w:r w:rsidRPr="009E066E">
              <w:rPr>
                <w:sz w:val="40"/>
              </w:rPr>
              <w:t>CERD</w:t>
            </w:r>
            <w:r>
              <w:t>/C/KHM/Q/14-17</w:t>
            </w:r>
          </w:p>
        </w:tc>
      </w:tr>
      <w:tr w:rsidR="002D5AAC" w:rsidTr="00621DE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E066E" w:rsidP="00213632">
            <w:pPr>
              <w:spacing w:before="240"/>
            </w:pPr>
            <w:r>
              <w:t>Distr. general</w:t>
            </w:r>
          </w:p>
          <w:p w:rsidR="009E066E" w:rsidRDefault="009E066E" w:rsidP="009E066E">
            <w:pPr>
              <w:spacing w:line="240" w:lineRule="exact"/>
            </w:pPr>
            <w:r>
              <w:t>7 de octubre de 2019</w:t>
            </w:r>
          </w:p>
          <w:p w:rsidR="009E066E" w:rsidRDefault="009E066E" w:rsidP="009E066E">
            <w:pPr>
              <w:spacing w:line="240" w:lineRule="exact"/>
            </w:pPr>
            <w:r>
              <w:t>Español</w:t>
            </w:r>
          </w:p>
          <w:p w:rsidR="009E066E" w:rsidRDefault="009E066E" w:rsidP="009E066E">
            <w:pPr>
              <w:spacing w:line="240" w:lineRule="exact"/>
            </w:pPr>
            <w:r>
              <w:t>Original: inglés</w:t>
            </w:r>
          </w:p>
          <w:p w:rsidR="009E066E" w:rsidRDefault="009E066E" w:rsidP="009E066E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621DEF" w:rsidRPr="00621DEF" w:rsidRDefault="00621DEF" w:rsidP="00621DEF">
      <w:pPr>
        <w:spacing w:before="120"/>
        <w:rPr>
          <w:b/>
          <w:sz w:val="24"/>
        </w:rPr>
      </w:pPr>
      <w:r w:rsidRPr="00621DEF">
        <w:rPr>
          <w:b/>
          <w:sz w:val="24"/>
        </w:rPr>
        <w:t>Comité para la Eliminación de la Discriminación Racial</w:t>
      </w:r>
    </w:p>
    <w:p w:rsidR="00621DEF" w:rsidRPr="00621DEF" w:rsidRDefault="00621DEF" w:rsidP="00621DEF">
      <w:pPr>
        <w:rPr>
          <w:b/>
        </w:rPr>
      </w:pPr>
      <w:r w:rsidRPr="00621DEF">
        <w:rPr>
          <w:b/>
        </w:rPr>
        <w:t>100º período de sesiones</w:t>
      </w:r>
    </w:p>
    <w:p w:rsidR="00621DEF" w:rsidRPr="00621DEF" w:rsidRDefault="00621DEF" w:rsidP="00621DEF">
      <w:r w:rsidRPr="00621DEF">
        <w:t>25 de noviembre a 13 de diciembre de 2019</w:t>
      </w:r>
    </w:p>
    <w:p w:rsidR="00621DEF" w:rsidRPr="00621DEF" w:rsidRDefault="00621DEF" w:rsidP="00621DEF">
      <w:r w:rsidRPr="00621DEF">
        <w:t>Tema 4 del programa provisional</w:t>
      </w:r>
    </w:p>
    <w:p w:rsidR="00621DEF" w:rsidRDefault="00621DEF" w:rsidP="00621DEF">
      <w:pPr>
        <w:rPr>
          <w:b/>
        </w:rPr>
      </w:pPr>
      <w:r w:rsidRPr="00621DEF">
        <w:rPr>
          <w:b/>
        </w:rPr>
        <w:t>Examen de los informes, las observaciones y la información</w:t>
      </w:r>
    </w:p>
    <w:p w:rsidR="00621DEF" w:rsidRDefault="00621DEF" w:rsidP="00621DEF">
      <w:pPr>
        <w:rPr>
          <w:b/>
        </w:rPr>
      </w:pPr>
      <w:r w:rsidRPr="00621DEF">
        <w:rPr>
          <w:b/>
        </w:rPr>
        <w:t>presentados por los Estados partes en virtud del artículo 9</w:t>
      </w:r>
    </w:p>
    <w:p w:rsidR="00621DEF" w:rsidRPr="00621DEF" w:rsidRDefault="00621DEF" w:rsidP="00621DEF">
      <w:pPr>
        <w:rPr>
          <w:b/>
        </w:rPr>
      </w:pPr>
      <w:r w:rsidRPr="00621DEF">
        <w:rPr>
          <w:b/>
        </w:rPr>
        <w:t>de la Convención</w:t>
      </w:r>
    </w:p>
    <w:p w:rsidR="00621DEF" w:rsidRPr="00621DEF" w:rsidRDefault="00621DEF" w:rsidP="00621DEF">
      <w:pPr>
        <w:pStyle w:val="HChG"/>
      </w:pPr>
      <w:r w:rsidRPr="00621DEF">
        <w:tab/>
      </w:r>
      <w:r w:rsidRPr="00621DEF">
        <w:tab/>
        <w:t>Lista de temas relativa a los informes periódicos 14º a</w:t>
      </w:r>
      <w:r>
        <w:t> </w:t>
      </w:r>
      <w:r w:rsidRPr="00621DEF">
        <w:t>17º</w:t>
      </w:r>
      <w:r>
        <w:t> </w:t>
      </w:r>
      <w:r w:rsidRPr="00621DEF">
        <w:t>combinados de Camboya</w:t>
      </w:r>
    </w:p>
    <w:p w:rsidR="00621DEF" w:rsidRPr="00621DEF" w:rsidRDefault="00621DEF" w:rsidP="00621DEF">
      <w:pPr>
        <w:pStyle w:val="H1G"/>
      </w:pPr>
      <w:r w:rsidRPr="00621DEF">
        <w:tab/>
      </w:r>
      <w:r w:rsidRPr="00621DEF">
        <w:tab/>
        <w:t>Nota del Relator para el país</w:t>
      </w:r>
    </w:p>
    <w:p w:rsidR="00621DEF" w:rsidRPr="00621DEF" w:rsidRDefault="00621DEF" w:rsidP="00621DEF">
      <w:pPr>
        <w:pStyle w:val="SingleTxtG"/>
      </w:pPr>
      <w:r w:rsidRPr="00621DEF">
        <w:t>1.</w:t>
      </w:r>
      <w:r w:rsidRPr="00621DEF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621DEF" w:rsidRPr="00621DEF" w:rsidRDefault="00621DEF" w:rsidP="00621DEF">
      <w:pPr>
        <w:pStyle w:val="H23G"/>
        <w:rPr>
          <w:lang w:val="en-GB"/>
        </w:rPr>
      </w:pPr>
      <w:r w:rsidRPr="00621DEF">
        <w:tab/>
      </w:r>
      <w:r w:rsidRPr="00621DEF">
        <w:tab/>
        <w:t>La Convención en el derecho interno y el marco institucional y normativo para</w:t>
      </w:r>
      <w:r>
        <w:t> </w:t>
      </w:r>
      <w:r w:rsidRPr="00621DEF">
        <w:t>su</w:t>
      </w:r>
      <w:r>
        <w:t> </w:t>
      </w:r>
      <w:r w:rsidRPr="00621DEF">
        <w:t>aplicación (arts. 1, 2 y 4)</w:t>
      </w:r>
    </w:p>
    <w:p w:rsidR="00621DEF" w:rsidRPr="00621DEF" w:rsidRDefault="00621DEF" w:rsidP="00621DEF">
      <w:pPr>
        <w:pStyle w:val="SingleTxtG"/>
      </w:pPr>
      <w:r w:rsidRPr="00621DEF">
        <w:t>2.</w:t>
      </w:r>
      <w:r w:rsidRPr="00621DEF">
        <w:tab/>
        <w:t>Estadísticas sobre la composición étnica de la población, incluidos los grupos minoritarios y los no ciudadanos; datos sobre la situación socioeconómica de los pueblos indígenas, las minorías étnicas y los no ciudadanos (CERD/C/KHM/CO/8-13, párr. 12; CERD/C/KHM/14-17, párrs. 5 a 8).</w:t>
      </w:r>
    </w:p>
    <w:p w:rsidR="00621DEF" w:rsidRPr="00621DEF" w:rsidRDefault="00621DEF" w:rsidP="00621DEF">
      <w:pPr>
        <w:pStyle w:val="SingleTxtG"/>
      </w:pPr>
      <w:r w:rsidRPr="00621DEF">
        <w:t>3.</w:t>
      </w:r>
      <w:r w:rsidRPr="00621DEF">
        <w:tab/>
        <w:t xml:space="preserve">Información actualizada sobre </w:t>
      </w:r>
      <w:bookmarkStart w:id="0" w:name="_GoBack"/>
      <w:bookmarkEnd w:id="0"/>
      <w:r w:rsidRPr="00621DEF">
        <w:t>la aplicación y las repercusiones de la definición de discriminación racial y de toda ley contra la discriminación racial en el Estado parte; medidas adoptadas para armonizar la definición de discriminación racial que figura en el artículo 31 de la Constitución y en el Código Penal con el artículo 1 de la Convención; información actualizada sobre los artículos existentes en el Código Penal que tipifican como delito el discurso de odio, la incitación al odio y los delitos motivados por el odio (CERD/C/KHM/CO/8-13, párr. 11; CERD/C/KHM/14-17, párrs. 20 y 21).</w:t>
      </w:r>
    </w:p>
    <w:p w:rsidR="00621DEF" w:rsidRPr="00621DEF" w:rsidRDefault="00621DEF" w:rsidP="00621DEF">
      <w:pPr>
        <w:pStyle w:val="SingleTxtG"/>
      </w:pPr>
      <w:r w:rsidRPr="00621DEF">
        <w:t>4.</w:t>
      </w:r>
      <w:r w:rsidRPr="00621DEF">
        <w:tab/>
        <w:t>Información actualizada sobre la aplicación y los efectos de las medidas adoptadas para reforzar la independencia del poder judicial e investigar la corrupción (CERD/C/KHM/CO/8-13, párr. 13; CERD/C/KHM/14-17, párrs. 22 a 25).</w:t>
      </w:r>
    </w:p>
    <w:p w:rsidR="00621DEF" w:rsidRPr="00621DEF" w:rsidRDefault="00621DEF" w:rsidP="00621DEF">
      <w:pPr>
        <w:pStyle w:val="SingleTxtG"/>
      </w:pPr>
      <w:r w:rsidRPr="00621DEF">
        <w:t>5.</w:t>
      </w:r>
      <w:r w:rsidRPr="00621DEF">
        <w:tab/>
        <w:t>Información actualizada sobre la situación del proyecto de ley para para crear una institución nacional de derechos humanos que se ajuste a los principios relativos al estatuto</w:t>
      </w:r>
      <w:r w:rsidR="00A72EAF">
        <w:t xml:space="preserve"> </w:t>
      </w:r>
      <w:r w:rsidRPr="00621DEF">
        <w:t>de las instituciones nacionales de promoción y protección de los derechos humanos (Principios de París) (CERD/C/KHM/CO/8-13, párr. 15; CERD/C/KHM/14-17, párrs. 38 y</w:t>
      </w:r>
      <w:r w:rsidR="00A72EAF">
        <w:t> </w:t>
      </w:r>
      <w:r w:rsidRPr="00621DEF">
        <w:t>39).</w:t>
      </w:r>
    </w:p>
    <w:p w:rsidR="00621DEF" w:rsidRPr="00621DEF" w:rsidRDefault="00621DEF" w:rsidP="00621DEF">
      <w:pPr>
        <w:pStyle w:val="H23G"/>
      </w:pPr>
      <w:r w:rsidRPr="00621DEF">
        <w:lastRenderedPageBreak/>
        <w:tab/>
      </w:r>
      <w:r w:rsidRPr="00621DEF">
        <w:tab/>
        <w:t xml:space="preserve">Situación de las minorías étnicas </w:t>
      </w:r>
    </w:p>
    <w:p w:rsidR="00621DEF" w:rsidRPr="00621DEF" w:rsidRDefault="00621DEF" w:rsidP="00621DEF">
      <w:pPr>
        <w:pStyle w:val="SingleTxtG"/>
      </w:pPr>
      <w:r w:rsidRPr="00621DEF">
        <w:t>6.</w:t>
      </w:r>
      <w:r w:rsidRPr="00621DEF">
        <w:tab/>
        <w:t>Información actualizada sobre las medidas adoptadas para garantizar que los jemeres krom puedan obtener documentos de nacionalidad de manera oportuna y con arreglo a los mismos procedimientos que se aplican a todos los camboyanos (CERD/C/KHM/CO/8-13, párr. 18; CERD/C/KHM/14-17, párrs. 31 a 33).</w:t>
      </w:r>
    </w:p>
    <w:p w:rsidR="00621DEF" w:rsidRPr="00621DEF" w:rsidRDefault="00621DEF" w:rsidP="00621DEF">
      <w:pPr>
        <w:pStyle w:val="SingleTxtG"/>
      </w:pPr>
      <w:r w:rsidRPr="00621DEF">
        <w:t>7.</w:t>
      </w:r>
      <w:r w:rsidRPr="00621DEF">
        <w:tab/>
        <w:t>Medidas adoptadas para que el verdadero nombre y lugar de nacimiento de los jemeres krom pueda figurar en sus documentos de identidad (CERD/C/KHM/CO/8-13, párr. 19; CERD/C/KHM/14-17, párrs. 34 a 37).</w:t>
      </w:r>
    </w:p>
    <w:p w:rsidR="00621DEF" w:rsidRPr="00621DEF" w:rsidRDefault="00621DEF" w:rsidP="00621DEF">
      <w:pPr>
        <w:pStyle w:val="SingleTxtG"/>
      </w:pPr>
      <w:r w:rsidRPr="00621DEF">
        <w:t>8.</w:t>
      </w:r>
      <w:r w:rsidRPr="00621DEF">
        <w:tab/>
        <w:t>Medidas adoptadas para garantizar el acceso de las personas de origen vietnamita a los derechos socioeconómicos, a agua y una vivienda adecuados, la educación y la atención de la salud, en particular en el caso de las personas afectadas por reasentamientos.</w:t>
      </w:r>
    </w:p>
    <w:p w:rsidR="00621DEF" w:rsidRPr="00621DEF" w:rsidRDefault="00621DEF" w:rsidP="00621DEF">
      <w:pPr>
        <w:pStyle w:val="SingleTxtG"/>
      </w:pPr>
      <w:r w:rsidRPr="00621DEF">
        <w:t>9.</w:t>
      </w:r>
      <w:r w:rsidRPr="00621DEF">
        <w:tab/>
        <w:t>Medidas adoptadas para garantizar que las familias de etnia vietnamita tengan acceso a los documentos de nacionalidad y administrativos, así como al registro de los nacimientos.</w:t>
      </w:r>
    </w:p>
    <w:p w:rsidR="00621DEF" w:rsidRPr="00621DEF" w:rsidRDefault="00621DEF" w:rsidP="00621DEF">
      <w:pPr>
        <w:pStyle w:val="SingleTxtG"/>
      </w:pPr>
      <w:r w:rsidRPr="00621DEF">
        <w:t>10.</w:t>
      </w:r>
      <w:r w:rsidRPr="00621DEF">
        <w:tab/>
        <w:t>Medidas adoptadas para proteger a las personas de origen vietnamita de la violencia y los ataques motivados por la raza.</w:t>
      </w:r>
    </w:p>
    <w:p w:rsidR="00621DEF" w:rsidRPr="00621DEF" w:rsidRDefault="00621DEF" w:rsidP="00621DEF">
      <w:pPr>
        <w:pStyle w:val="H23G"/>
      </w:pPr>
      <w:r w:rsidRPr="00621DEF">
        <w:tab/>
      </w:r>
      <w:r w:rsidRPr="00621DEF">
        <w:tab/>
        <w:t>Situación de los pueblos indígenas</w:t>
      </w:r>
    </w:p>
    <w:p w:rsidR="00621DEF" w:rsidRPr="00621DEF" w:rsidRDefault="00621DEF" w:rsidP="00621DEF">
      <w:pPr>
        <w:pStyle w:val="SingleTxtG"/>
      </w:pPr>
      <w:r w:rsidRPr="00621DEF">
        <w:t>11.</w:t>
      </w:r>
      <w:r w:rsidRPr="00621DEF">
        <w:tab/>
        <w:t>Información actualizada sobre la aplicación y los efectos de las medidas adoptadas para proteger el derecho de los pueblos indígenas a poseer, explotar, controlar y utilizar sus tierras comunales (CERD/C/KHM/CO/8-13, párr. 16; CERD/C/KHM/14-17, párrs. 9 a 15).</w:t>
      </w:r>
    </w:p>
    <w:p w:rsidR="00621DEF" w:rsidRPr="00621DEF" w:rsidRDefault="00621DEF" w:rsidP="00621DEF">
      <w:pPr>
        <w:pStyle w:val="SingleTxtG"/>
      </w:pPr>
      <w:r w:rsidRPr="00621DEF">
        <w:t>12.</w:t>
      </w:r>
      <w:r w:rsidRPr="00621DEF">
        <w:tab/>
        <w:t>Medidas adoptadas para proteger a los grupos vulnerables contra las agresiones y la intimidación cuando intenten ejercer sus derechos en relación con las tierras comunales; medidas adoptadas para garantizar la igualdad en el acceso a la justicia y a los mecanismos judiciales para todos, lo que incluye a las minorías y los pueblos indígenas (CERD/C/KHM/CO/8-13, párr. 17; CERD/C/KHM/14-17, párrs. 26 a 29).</w:t>
      </w:r>
    </w:p>
    <w:p w:rsidR="00621DEF" w:rsidRPr="00621DEF" w:rsidRDefault="00621DEF" w:rsidP="00621DEF">
      <w:pPr>
        <w:pStyle w:val="SingleTxtG"/>
      </w:pPr>
      <w:r w:rsidRPr="00621DEF">
        <w:t>13.</w:t>
      </w:r>
      <w:r w:rsidRPr="00621DEF">
        <w:tab/>
        <w:t>Medidas adoptadas para mejorar las condiciones socioeconómicas de los pueblos indígenas y su acceso a los servicios de salud y a la educación.</w:t>
      </w:r>
    </w:p>
    <w:p w:rsidR="00621DEF" w:rsidRPr="00621DEF" w:rsidRDefault="00621DEF" w:rsidP="00621DEF">
      <w:pPr>
        <w:pStyle w:val="SingleTxtG"/>
      </w:pPr>
      <w:r w:rsidRPr="00621DEF">
        <w:t>14.</w:t>
      </w:r>
      <w:r w:rsidRPr="00621DEF">
        <w:tab/>
        <w:t>Información actualizada sobre los esfuerzos para renovar y aplicar planes de acción, como el Plan Estratégico de Educación (2014-2018) y el Plan de Acción Nacional de Educación Multilingüe (2015-2018), y sus repercusiones en la mejora de la educación de las minorías étnicas y los pueblos indígenas (CERD/C/KHM/CO/8-13, párr. 20; CERD/C/KHM/14-17, párrs. 16 a 19).</w:t>
      </w:r>
    </w:p>
    <w:p w:rsidR="00621DEF" w:rsidRPr="00621DEF" w:rsidRDefault="00621DEF" w:rsidP="00621DEF">
      <w:pPr>
        <w:pStyle w:val="H23G"/>
        <w:rPr>
          <w:lang w:val="en-GB"/>
        </w:rPr>
      </w:pPr>
      <w:r w:rsidRPr="00621DEF">
        <w:tab/>
      </w:r>
      <w:r w:rsidRPr="00621DEF">
        <w:tab/>
        <w:t>No ciudadanos, incluidos los refugiados, los solicitantes de asilo y los apátridas (arts.</w:t>
      </w:r>
      <w:r>
        <w:t> </w:t>
      </w:r>
      <w:r w:rsidRPr="00621DEF">
        <w:t>2</w:t>
      </w:r>
      <w:r>
        <w:t> </w:t>
      </w:r>
      <w:r w:rsidRPr="00621DEF">
        <w:t>y 5)</w:t>
      </w:r>
    </w:p>
    <w:p w:rsidR="009E066E" w:rsidRDefault="00621DEF" w:rsidP="009E066E">
      <w:pPr>
        <w:pStyle w:val="SingleTxtG"/>
        <w:rPr>
          <w:lang w:val="en-GB"/>
        </w:rPr>
      </w:pPr>
      <w:r w:rsidRPr="00621DEF">
        <w:t>15.</w:t>
      </w:r>
      <w:r w:rsidRPr="00621DEF">
        <w:tab/>
        <w:t>Medidas adoptadas para garantizar la plena aplicación de la Ley de Asilo y otras medidas para proteger a los solicitantes de asilo con respecto al principio de no devolución (CERD/C/KHM/CO/8-13, párr. 14; CERD/C/KHM/14-17, párr. 30).</w:t>
      </w:r>
    </w:p>
    <w:p w:rsidR="00621DEF" w:rsidRPr="00621DEF" w:rsidRDefault="00621DEF" w:rsidP="00621DEF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621DEF" w:rsidRPr="00621DEF" w:rsidSect="009E066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799" w:rsidRPr="00D43FF0" w:rsidRDefault="00815799" w:rsidP="00D43FF0">
      <w:pPr>
        <w:pStyle w:val="Footer"/>
      </w:pPr>
    </w:p>
  </w:endnote>
  <w:endnote w:type="continuationSeparator" w:id="0">
    <w:p w:rsidR="00815799" w:rsidRPr="00D43FF0" w:rsidRDefault="00815799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66E" w:rsidRPr="009E066E" w:rsidRDefault="009E066E" w:rsidP="009E066E">
    <w:pPr>
      <w:pStyle w:val="Footer"/>
      <w:tabs>
        <w:tab w:val="right" w:pos="9638"/>
      </w:tabs>
    </w:pPr>
    <w:r w:rsidRPr="009E066E">
      <w:rPr>
        <w:b/>
        <w:sz w:val="18"/>
      </w:rPr>
      <w:fldChar w:fldCharType="begin"/>
    </w:r>
    <w:r w:rsidRPr="009E066E">
      <w:rPr>
        <w:b/>
        <w:sz w:val="18"/>
      </w:rPr>
      <w:instrText xml:space="preserve"> PAGE  \* MERGEFORMAT </w:instrText>
    </w:r>
    <w:r w:rsidRPr="009E066E">
      <w:rPr>
        <w:b/>
        <w:sz w:val="18"/>
      </w:rPr>
      <w:fldChar w:fldCharType="separate"/>
    </w:r>
    <w:r w:rsidR="0004608D">
      <w:rPr>
        <w:b/>
        <w:noProof/>
        <w:sz w:val="18"/>
      </w:rPr>
      <w:t>2</w:t>
    </w:r>
    <w:r w:rsidRPr="009E066E">
      <w:rPr>
        <w:b/>
        <w:sz w:val="18"/>
      </w:rPr>
      <w:fldChar w:fldCharType="end"/>
    </w:r>
    <w:r>
      <w:rPr>
        <w:b/>
        <w:sz w:val="18"/>
      </w:rPr>
      <w:tab/>
    </w:r>
    <w:r>
      <w:t>GE.19-17181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66E" w:rsidRPr="009E066E" w:rsidRDefault="009E066E" w:rsidP="009E066E">
    <w:pPr>
      <w:pStyle w:val="Footer"/>
      <w:tabs>
        <w:tab w:val="right" w:pos="9638"/>
      </w:tabs>
      <w:rPr>
        <w:b/>
        <w:sz w:val="18"/>
      </w:rPr>
    </w:pPr>
    <w:r>
      <w:t>GE.19-17181</w:t>
    </w:r>
    <w:r>
      <w:tab/>
    </w:r>
    <w:r w:rsidRPr="009E066E">
      <w:rPr>
        <w:b/>
        <w:sz w:val="18"/>
      </w:rPr>
      <w:fldChar w:fldCharType="begin"/>
    </w:r>
    <w:r w:rsidRPr="009E066E">
      <w:rPr>
        <w:b/>
        <w:sz w:val="18"/>
      </w:rPr>
      <w:instrText xml:space="preserve"> PAGE  \* MERGEFORMAT </w:instrText>
    </w:r>
    <w:r w:rsidRPr="009E066E">
      <w:rPr>
        <w:b/>
        <w:sz w:val="18"/>
      </w:rPr>
      <w:fldChar w:fldCharType="separate"/>
    </w:r>
    <w:r w:rsidRPr="009E066E">
      <w:rPr>
        <w:b/>
        <w:noProof/>
        <w:sz w:val="18"/>
      </w:rPr>
      <w:t>3</w:t>
    </w:r>
    <w:r w:rsidRPr="009E066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9E066E" w:rsidRDefault="009E066E" w:rsidP="00E560C8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19-17181  (S)</w:t>
    </w:r>
    <w:r w:rsidR="00621DEF">
      <w:rPr>
        <w:sz w:val="20"/>
      </w:rPr>
      <w:t xml:space="preserve">    291019    3</w:t>
    </w:r>
    <w:r w:rsidR="00E560C8">
      <w:rPr>
        <w:sz w:val="20"/>
      </w:rPr>
      <w:t>1</w:t>
    </w:r>
    <w:r w:rsidR="00621DEF">
      <w:rPr>
        <w:sz w:val="20"/>
      </w:rPr>
      <w:t>1019</w:t>
    </w:r>
    <w:r>
      <w:rPr>
        <w:sz w:val="20"/>
      </w:rPr>
      <w:br/>
    </w:r>
    <w:r w:rsidRPr="009E066E">
      <w:rPr>
        <w:rFonts w:ascii="C39T30Lfz" w:hAnsi="C39T30Lfz"/>
        <w:sz w:val="56"/>
      </w:rPr>
      <w:t></w:t>
    </w:r>
    <w:r w:rsidRPr="009E066E">
      <w:rPr>
        <w:rFonts w:ascii="C39T30Lfz" w:hAnsi="C39T30Lfz"/>
        <w:sz w:val="56"/>
      </w:rPr>
      <w:t></w:t>
    </w:r>
    <w:r w:rsidRPr="009E066E">
      <w:rPr>
        <w:rFonts w:ascii="C39T30Lfz" w:hAnsi="C39T30Lfz"/>
        <w:sz w:val="56"/>
      </w:rPr>
      <w:t></w:t>
    </w:r>
    <w:r w:rsidRPr="009E066E">
      <w:rPr>
        <w:rFonts w:ascii="C39T30Lfz" w:hAnsi="C39T30Lfz"/>
        <w:sz w:val="56"/>
      </w:rPr>
      <w:t></w:t>
    </w:r>
    <w:r w:rsidRPr="009E066E">
      <w:rPr>
        <w:rFonts w:ascii="C39T30Lfz" w:hAnsi="C39T30Lfz"/>
        <w:sz w:val="56"/>
      </w:rPr>
      <w:t></w:t>
    </w:r>
    <w:r w:rsidRPr="009E066E">
      <w:rPr>
        <w:rFonts w:ascii="C39T30Lfz" w:hAnsi="C39T30Lfz"/>
        <w:sz w:val="56"/>
      </w:rPr>
      <w:t></w:t>
    </w:r>
    <w:r w:rsidRPr="009E066E">
      <w:rPr>
        <w:rFonts w:ascii="C39T30Lfz" w:hAnsi="C39T30Lfz"/>
        <w:sz w:val="56"/>
      </w:rPr>
      <w:t></w:t>
    </w:r>
    <w:r w:rsidRPr="009E066E">
      <w:rPr>
        <w:rFonts w:ascii="C39T30Lfz" w:hAnsi="C39T30Lfz"/>
        <w:sz w:val="56"/>
      </w:rPr>
      <w:t></w:t>
    </w:r>
    <w:r w:rsidRPr="009E066E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KHM/Q/14-17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KHM/Q/14-17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799" w:rsidRPr="001075E9" w:rsidRDefault="0081579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15799" w:rsidRDefault="0081579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66E" w:rsidRPr="009E066E" w:rsidRDefault="00A72EAF">
    <w:pPr>
      <w:pStyle w:val="Header"/>
    </w:pPr>
    <w:fldSimple w:instr=" TITLE  \* MERGEFORMAT ">
      <w:r w:rsidR="0004608D">
        <w:t>CERD/C/KHM/Q/14-17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66E" w:rsidRPr="009E066E" w:rsidRDefault="00A72EAF" w:rsidP="009E066E">
    <w:pPr>
      <w:pStyle w:val="Header"/>
      <w:jc w:val="right"/>
    </w:pPr>
    <w:fldSimple w:instr=" TITLE  \* MERGEFORMAT ">
      <w:r w:rsidR="0004608D">
        <w:t>CERD/C/KHM/Q/14-17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799"/>
    <w:rsid w:val="00006BB9"/>
    <w:rsid w:val="000107A1"/>
    <w:rsid w:val="0002339D"/>
    <w:rsid w:val="00036733"/>
    <w:rsid w:val="0004608D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72E19"/>
    <w:rsid w:val="005F0B42"/>
    <w:rsid w:val="00621DEF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15799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E066E"/>
    <w:rsid w:val="00A17DFD"/>
    <w:rsid w:val="00A414EF"/>
    <w:rsid w:val="00A4674B"/>
    <w:rsid w:val="00A72EAF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55C1D"/>
    <w:rsid w:val="00E560C8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4FFBFB"/>
  <w15:docId w15:val="{A2BB4E87-C468-416E-B918-8B451C9B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838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CERD/C/KHM/Q/14-17</vt:lpstr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CERD/C/KHM/Q/14-17</dc:title>
  <dc:subject/>
  <dc:creator>Angel MORENO TORRES</dc:creator>
  <cp:keywords/>
  <cp:lastModifiedBy>Maria Luisa Zeballos Moreno</cp:lastModifiedBy>
  <cp:revision>3</cp:revision>
  <cp:lastPrinted>2019-10-31T06:55:00Z</cp:lastPrinted>
  <dcterms:created xsi:type="dcterms:W3CDTF">2019-10-31T06:55:00Z</dcterms:created>
  <dcterms:modified xsi:type="dcterms:W3CDTF">2019-10-31T06:55:00Z</dcterms:modified>
</cp:coreProperties>
</file>