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5A87" w:rsidRDefault="00F05A87" w:rsidP="00F05A87">
      <w:pPr>
        <w:spacing w:line="60" w:lineRule="exact"/>
        <w:rPr>
          <w:sz w:val="6"/>
        </w:rPr>
        <w:sectPr w:rsidR="00F05A87" w:rsidSect="00F05A87">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F05A87" w:rsidRDefault="00F05A87" w:rsidP="00F05A87">
      <w:pPr>
        <w:spacing w:line="60" w:lineRule="exact"/>
        <w:rPr>
          <w:sz w:val="6"/>
        </w:rPr>
      </w:pPr>
    </w:p>
    <w:p w:rsidR="00B8267C" w:rsidRDefault="00B8267C" w:rsidP="00EC7A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消除对妇女歧视委员会</w:t>
      </w:r>
    </w:p>
    <w:p w:rsidR="00FC3BF6" w:rsidRPr="00FC3BF6" w:rsidRDefault="00FC3BF6" w:rsidP="00EC7A5B">
      <w:pPr>
        <w:pStyle w:val="SingleTxt"/>
        <w:spacing w:after="60" w:line="280" w:lineRule="exact"/>
        <w:ind w:left="0" w:right="624"/>
        <w:rPr>
          <w:rFonts w:ascii="SimHei" w:eastAsia="SimHei" w:hint="eastAsia"/>
          <w:color w:val="FF0000"/>
        </w:rPr>
      </w:pPr>
      <w:r w:rsidRPr="00FC3BF6">
        <w:rPr>
          <w:rFonts w:ascii="SimHei" w:eastAsia="SimHei" w:hint="eastAsia"/>
          <w:color w:val="FF0000"/>
        </w:rPr>
        <w:t>会前工作组</w:t>
      </w:r>
    </w:p>
    <w:p w:rsidR="00FC3BF6" w:rsidRPr="00FC3BF6" w:rsidRDefault="00FC3BF6" w:rsidP="00EC7A5B">
      <w:pPr>
        <w:pStyle w:val="SingleTxt"/>
        <w:spacing w:after="60" w:line="280" w:lineRule="exact"/>
        <w:ind w:left="0" w:right="624"/>
        <w:rPr>
          <w:rFonts w:ascii="SimHei" w:eastAsia="SimHei" w:hint="eastAsia"/>
          <w:color w:val="FF0000"/>
        </w:rPr>
      </w:pPr>
      <w:r w:rsidRPr="00FC3BF6">
        <w:rPr>
          <w:rFonts w:ascii="SimHei" w:eastAsia="SimHei" w:hint="eastAsia"/>
          <w:color w:val="FF0000"/>
        </w:rPr>
        <w:t>第三十七届会议</w:t>
      </w:r>
    </w:p>
    <w:p w:rsidR="00FC3BF6" w:rsidRDefault="00FC3BF6" w:rsidP="00EC7A5B">
      <w:pPr>
        <w:pStyle w:val="SingleTxt"/>
        <w:spacing w:after="60" w:line="280" w:lineRule="exact"/>
        <w:ind w:left="0" w:right="624"/>
        <w:rPr>
          <w:rFonts w:hint="eastAsia"/>
        </w:rPr>
      </w:pPr>
      <w:r>
        <w:rPr>
          <w:rFonts w:hint="eastAsia"/>
        </w:rPr>
        <w:t>2007年1月15日至2月2日</w:t>
      </w:r>
    </w:p>
    <w:p w:rsidR="00FC3BF6" w:rsidRPr="00FC3BF6" w:rsidRDefault="00FC3BF6" w:rsidP="00FC3BF6">
      <w:pPr>
        <w:pStyle w:val="SingleTxt"/>
        <w:spacing w:after="0" w:line="120" w:lineRule="exact"/>
        <w:rPr>
          <w:rFonts w:hint="eastAsia"/>
          <w:sz w:val="10"/>
        </w:rPr>
      </w:pPr>
    </w:p>
    <w:p w:rsidR="00FC3BF6" w:rsidRPr="00FC3BF6" w:rsidRDefault="00FC3BF6" w:rsidP="00FC3BF6">
      <w:pPr>
        <w:pStyle w:val="SingleTxt"/>
        <w:spacing w:after="0" w:line="120" w:lineRule="exact"/>
        <w:rPr>
          <w:rFonts w:hint="eastAsia"/>
          <w:sz w:val="10"/>
        </w:rPr>
      </w:pPr>
    </w:p>
    <w:p w:rsidR="00EC7A5B" w:rsidRPr="00EC7A5B" w:rsidRDefault="00EC7A5B" w:rsidP="00EC7A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C7A5B" w:rsidRPr="00EC7A5B" w:rsidRDefault="00EC7A5B" w:rsidP="00EC7A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FC3BF6" w:rsidRDefault="00FC3BF6" w:rsidP="00EC7A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4" w:right="1259" w:hanging="1264"/>
        <w:rPr>
          <w:rFonts w:hint="eastAsia"/>
        </w:rPr>
      </w:pPr>
      <w:r>
        <w:tab/>
      </w:r>
      <w:r>
        <w:tab/>
      </w:r>
      <w:r>
        <w:rPr>
          <w:rFonts w:hint="eastAsia"/>
        </w:rPr>
        <w:t>与审议定期报告有关的议题和问题清单</w:t>
      </w:r>
    </w:p>
    <w:p w:rsidR="00FC3BF6" w:rsidRPr="00FC3BF6" w:rsidRDefault="00FC3BF6" w:rsidP="00FC3BF6">
      <w:pPr>
        <w:pStyle w:val="SingleTxt"/>
        <w:spacing w:after="0" w:line="120" w:lineRule="exact"/>
        <w:rPr>
          <w:rFonts w:hint="eastAsia"/>
          <w:sz w:val="10"/>
        </w:rPr>
      </w:pPr>
    </w:p>
    <w:p w:rsidR="00FC3BF6" w:rsidRDefault="00FC3BF6" w:rsidP="00EC7A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4" w:right="1259" w:hanging="1264"/>
        <w:rPr>
          <w:rFonts w:hint="eastAsia"/>
        </w:rPr>
      </w:pPr>
      <w:r>
        <w:tab/>
      </w:r>
      <w:r>
        <w:rPr>
          <w:rFonts w:hint="eastAsia"/>
        </w:rPr>
        <w:tab/>
        <w:t>纳米比亚</w:t>
      </w:r>
    </w:p>
    <w:p w:rsidR="00FC3BF6" w:rsidRPr="00FC3BF6" w:rsidRDefault="00FC3BF6" w:rsidP="00FC3BF6">
      <w:pPr>
        <w:pStyle w:val="SingleTxt"/>
        <w:spacing w:after="0" w:line="120" w:lineRule="exact"/>
        <w:rPr>
          <w:rFonts w:hint="eastAsia"/>
          <w:sz w:val="10"/>
        </w:rPr>
      </w:pPr>
    </w:p>
    <w:p w:rsidR="00FC3BF6" w:rsidRDefault="00FC3BF6" w:rsidP="00FC3BF6">
      <w:pPr>
        <w:pStyle w:val="SingleTxt"/>
        <w:rPr>
          <w:rFonts w:hint="eastAsia"/>
        </w:rPr>
      </w:pPr>
      <w:r>
        <w:rPr>
          <w:rFonts w:hint="eastAsia"/>
        </w:rPr>
        <w:tab/>
        <w:t>会前工作组审议了纳米比亚第二和第三次合并定期报告(CEDAW/C/NAM/Q/</w:t>
      </w:r>
      <w:r>
        <w:t xml:space="preserve"> </w:t>
      </w:r>
      <w:r>
        <w:rPr>
          <w:rFonts w:hint="eastAsia"/>
        </w:rPr>
        <w:t>2-3)。</w:t>
      </w:r>
    </w:p>
    <w:p w:rsidR="00FC3BF6" w:rsidRPr="00FC3BF6" w:rsidRDefault="00FC3BF6" w:rsidP="00FC3BF6">
      <w:pPr>
        <w:pStyle w:val="SingleTxt"/>
        <w:rPr>
          <w:rFonts w:ascii="SimHei" w:eastAsia="SimHei" w:hint="eastAsia"/>
          <w:color w:val="FF0000"/>
        </w:rPr>
      </w:pPr>
      <w:r w:rsidRPr="00FC3BF6">
        <w:rPr>
          <w:rFonts w:ascii="SimHei" w:eastAsia="SimHei" w:hint="eastAsia"/>
          <w:color w:val="FF0000"/>
        </w:rPr>
        <w:t>报告的编写</w:t>
      </w:r>
    </w:p>
    <w:p w:rsidR="00FC3BF6" w:rsidRDefault="00FC3BF6" w:rsidP="00EC7A5B">
      <w:pPr>
        <w:pStyle w:val="SingleTxt"/>
        <w:spacing w:after="120"/>
        <w:rPr>
          <w:rFonts w:hint="eastAsia"/>
        </w:rPr>
      </w:pPr>
      <w:r>
        <w:rPr>
          <w:rFonts w:hint="eastAsia"/>
        </w:rPr>
        <w:t>1</w:t>
      </w:r>
      <w:r w:rsidR="00EC7A5B">
        <w:rPr>
          <w:rFonts w:hint="eastAsia"/>
        </w:rPr>
        <w:t>.</w:t>
      </w:r>
      <w:r>
        <w:rPr>
          <w:rFonts w:hint="eastAsia"/>
        </w:rPr>
        <w:tab/>
        <w:t>报告第4页说，由于政府机构、非政府组织和私营机构的有效伙伴关系，使消除对妇女歧视委员会的报告得以最终定稿。请说明哪些政府部门参与了这项工作，参与的性质和程度；以及报告是否已获政府通过并提交给国民议会。</w:t>
      </w:r>
    </w:p>
    <w:p w:rsidR="00FC3BF6" w:rsidRPr="00FC3BF6" w:rsidRDefault="00FC3BF6" w:rsidP="00EC7A5B">
      <w:pPr>
        <w:pStyle w:val="SingleTxt"/>
        <w:spacing w:after="120"/>
        <w:rPr>
          <w:rFonts w:ascii="SimHei" w:eastAsia="SimHei" w:hint="eastAsia"/>
          <w:color w:val="FF0000"/>
        </w:rPr>
      </w:pPr>
      <w:r w:rsidRPr="00FC3BF6">
        <w:rPr>
          <w:rFonts w:ascii="SimHei" w:eastAsia="SimHei" w:hint="eastAsia"/>
          <w:color w:val="FF0000"/>
        </w:rPr>
        <w:t>宪法、立法和国家机制促进提高妇女地位</w:t>
      </w:r>
    </w:p>
    <w:p w:rsidR="00FC3BF6" w:rsidRDefault="00FC3BF6" w:rsidP="00EC7A5B">
      <w:pPr>
        <w:pStyle w:val="SingleTxt"/>
        <w:spacing w:after="120"/>
        <w:rPr>
          <w:rFonts w:hint="eastAsia"/>
        </w:rPr>
      </w:pPr>
      <w:r>
        <w:rPr>
          <w:rFonts w:hint="eastAsia"/>
        </w:rPr>
        <w:t>2</w:t>
      </w:r>
      <w:r w:rsidR="00EC7A5B">
        <w:rPr>
          <w:rFonts w:hint="eastAsia"/>
        </w:rPr>
        <w:t>.</w:t>
      </w:r>
      <w:r>
        <w:rPr>
          <w:rFonts w:hint="eastAsia"/>
        </w:rPr>
        <w:tab/>
        <w:t>报告第12页指出，《纳米比亚宪法》第10条明确禁止性别歧视。但报告第24页说，习惯法中的性别歧视依然存在</w:t>
      </w:r>
      <w:r w:rsidR="00EC7A5B">
        <w:rPr>
          <w:rFonts w:hint="eastAsia"/>
        </w:rPr>
        <w:t>，</w:t>
      </w:r>
      <w:r>
        <w:rPr>
          <w:rFonts w:hint="eastAsia"/>
        </w:rPr>
        <w:t>顽固不化。请说明正在采取哪些措施消除习惯法中的性别歧视。特别说明旨在管制传统法庭的权限和权力，使之符合《宪法》规定的社区法院法案草案的现状。</w:t>
      </w:r>
    </w:p>
    <w:p w:rsidR="00FC3BF6" w:rsidRDefault="00FC3BF6" w:rsidP="00EC7A5B">
      <w:pPr>
        <w:pStyle w:val="SingleTxt"/>
        <w:spacing w:after="120"/>
        <w:rPr>
          <w:rFonts w:hint="eastAsia"/>
        </w:rPr>
      </w:pPr>
      <w:r>
        <w:rPr>
          <w:rFonts w:hint="eastAsia"/>
        </w:rPr>
        <w:t>3</w:t>
      </w:r>
      <w:r w:rsidR="00EC7A5B">
        <w:rPr>
          <w:rFonts w:hint="eastAsia"/>
        </w:rPr>
        <w:t>.</w:t>
      </w:r>
      <w:r>
        <w:rPr>
          <w:rFonts w:hint="eastAsia"/>
        </w:rPr>
        <w:tab/>
        <w:t>报告第29页说，“没有任何实例可以表明在消除歧视妇女现象方面寻求或得到政府的援助”。报告第21页还指出，为了解决公众缺乏人权和法律知识的问题，“妇女事务和儿童福利部目前正在各个地区积极举办普法讲习班”。请详细说明这些普法讲习班</w:t>
      </w:r>
      <w:r w:rsidR="00EC7A5B">
        <w:rPr>
          <w:rFonts w:hint="eastAsia"/>
        </w:rPr>
        <w:t>的情况</w:t>
      </w:r>
      <w:r>
        <w:rPr>
          <w:rFonts w:hint="eastAsia"/>
        </w:rPr>
        <w:t>，包括参加讲习班的妇女人数。</w:t>
      </w:r>
    </w:p>
    <w:p w:rsidR="00FC3BF6" w:rsidRDefault="00FC3BF6" w:rsidP="00EC7A5B">
      <w:pPr>
        <w:pStyle w:val="SingleTxt"/>
        <w:spacing w:after="120"/>
        <w:rPr>
          <w:rFonts w:hint="eastAsia"/>
        </w:rPr>
      </w:pPr>
      <w:r>
        <w:rPr>
          <w:rFonts w:hint="eastAsia"/>
        </w:rPr>
        <w:t>4</w:t>
      </w:r>
      <w:r w:rsidR="00EC7A5B">
        <w:rPr>
          <w:rFonts w:hint="eastAsia"/>
        </w:rPr>
        <w:t>.</w:t>
      </w:r>
      <w:r>
        <w:rPr>
          <w:rFonts w:hint="eastAsia"/>
        </w:rPr>
        <w:tab/>
        <w:t>报告第26页说，两性问题委员会“将是加强[国家男女平等政策]执行工作的法定机构。不过，由于还没有颁布授权法案，该机构尚未设立”。颁布授权法案的优先次序是什么？计划在什么时候设立两性问题委员会？</w:t>
      </w:r>
    </w:p>
    <w:p w:rsidR="00FC3BF6" w:rsidRDefault="00FC3BF6" w:rsidP="00FC3BF6">
      <w:pPr>
        <w:pStyle w:val="SingleTxt"/>
        <w:rPr>
          <w:rFonts w:hint="eastAsia"/>
        </w:rPr>
      </w:pPr>
      <w:r>
        <w:rPr>
          <w:rFonts w:hint="eastAsia"/>
        </w:rPr>
        <w:t>5</w:t>
      </w:r>
      <w:r w:rsidR="00EC7A5B">
        <w:rPr>
          <w:rFonts w:hint="eastAsia"/>
        </w:rPr>
        <w:t>.</w:t>
      </w:r>
      <w:r>
        <w:rPr>
          <w:rFonts w:hint="eastAsia"/>
        </w:rPr>
        <w:tab/>
        <w:t>报告第27页说，在制定两性问题管理系统的过程中，曾进行了一次优点、弱点、机会、威胁分析，暴露了在将性别观点纳入主流进程中依然具有挑战性的瓶颈问题。目前已采取哪些步骤消除这些瓶颈？政府正在做出哪些努力，确保拨出充分的人力和财政资源，用于执行国家男女平等政策？</w:t>
      </w:r>
    </w:p>
    <w:p w:rsidR="00FC3BF6" w:rsidRDefault="00FC3BF6" w:rsidP="00FC3BF6">
      <w:pPr>
        <w:pStyle w:val="SingleTxt"/>
        <w:rPr>
          <w:rFonts w:hint="eastAsia"/>
        </w:rPr>
      </w:pPr>
      <w:r>
        <w:rPr>
          <w:rFonts w:hint="eastAsia"/>
        </w:rPr>
        <w:t>6</w:t>
      </w:r>
      <w:r w:rsidR="00EC7A5B">
        <w:rPr>
          <w:rFonts w:hint="eastAsia"/>
        </w:rPr>
        <w:t>.</w:t>
      </w:r>
      <w:r>
        <w:rPr>
          <w:rFonts w:hint="eastAsia"/>
        </w:rPr>
        <w:tab/>
        <w:t>《国家男女平等行动计划》（1998-2003年）是否经过审查？《行动计划》执行过程中有哪些挑战和成就？</w:t>
      </w:r>
    </w:p>
    <w:p w:rsidR="00FC3BF6" w:rsidRDefault="00FC3BF6" w:rsidP="00FC3BF6">
      <w:pPr>
        <w:pStyle w:val="SingleTxt"/>
        <w:rPr>
          <w:rFonts w:hint="eastAsia"/>
        </w:rPr>
      </w:pPr>
      <w:r>
        <w:rPr>
          <w:rFonts w:hint="eastAsia"/>
        </w:rPr>
        <w:t>7</w:t>
      </w:r>
      <w:r w:rsidR="00EC7A5B">
        <w:rPr>
          <w:rFonts w:hint="eastAsia"/>
        </w:rPr>
        <w:t>.</w:t>
      </w:r>
      <w:r>
        <w:rPr>
          <w:rFonts w:hint="eastAsia"/>
        </w:rPr>
        <w:tab/>
        <w:t>报告第28页说，“以性别分列的数据和获得数据的机会有限，因此不可能进行有效的两性平等问题分析”。请说明政府打算如何纠正这种状况，着手有系统地收集《公约》所涉及各方面中按性别分列的数据，用于分析和评估已采取的各项措施的效果。</w:t>
      </w:r>
    </w:p>
    <w:p w:rsidR="00FC3BF6" w:rsidRPr="00FC3BF6" w:rsidRDefault="00FC3BF6" w:rsidP="00FC3BF6">
      <w:pPr>
        <w:pStyle w:val="SingleTxt"/>
        <w:rPr>
          <w:rFonts w:ascii="SimHei" w:eastAsia="SimHei" w:hint="eastAsia"/>
          <w:color w:val="FF0000"/>
        </w:rPr>
      </w:pPr>
      <w:r w:rsidRPr="00FC3BF6">
        <w:rPr>
          <w:rFonts w:ascii="SimHei" w:eastAsia="SimHei" w:hint="eastAsia"/>
          <w:color w:val="FF0000"/>
        </w:rPr>
        <w:t>歧视性做法和陈规定型观念</w:t>
      </w:r>
    </w:p>
    <w:p w:rsidR="00FC3BF6" w:rsidRDefault="00FC3BF6" w:rsidP="00FC3BF6">
      <w:pPr>
        <w:pStyle w:val="SingleTxt"/>
        <w:rPr>
          <w:rFonts w:hint="eastAsia"/>
        </w:rPr>
      </w:pPr>
      <w:r>
        <w:rPr>
          <w:rFonts w:hint="eastAsia"/>
        </w:rPr>
        <w:t>8</w:t>
      </w:r>
      <w:r w:rsidR="00EC7A5B">
        <w:rPr>
          <w:rFonts w:hint="eastAsia"/>
        </w:rPr>
        <w:t>.</w:t>
      </w:r>
      <w:r>
        <w:rPr>
          <w:rFonts w:hint="eastAsia"/>
        </w:rPr>
        <w:tab/>
        <w:t>报告第13页说：“众所周知，男子依然占有支配妇女的地位，宗教信仰、文化习俗以及普通法和习惯法中残余的不平等规定进一步加剧了这种状况”。请提供资料，说明已经或计划采取哪些措施，打击给提高妇女地位制造障碍的歧视性做法和陈规定型观念；政府如何监测这些措施的效果。在答复这个问题时，请特别注意已为农村采取或准备采取的主动行动。</w:t>
      </w:r>
    </w:p>
    <w:p w:rsidR="00FC3BF6" w:rsidRPr="00FC3BF6" w:rsidRDefault="00FC3BF6" w:rsidP="00FC3BF6">
      <w:pPr>
        <w:pStyle w:val="SingleTxt"/>
        <w:rPr>
          <w:rFonts w:ascii="SimHei" w:eastAsia="SimHei" w:hint="eastAsia"/>
          <w:color w:val="FF0000"/>
        </w:rPr>
      </w:pPr>
      <w:r w:rsidRPr="00FC3BF6">
        <w:rPr>
          <w:rFonts w:ascii="SimHei" w:eastAsia="SimHei" w:hint="eastAsia"/>
          <w:color w:val="FF0000"/>
        </w:rPr>
        <w:t>对妇女的暴力行为</w:t>
      </w:r>
    </w:p>
    <w:p w:rsidR="00FC3BF6" w:rsidRDefault="00FC3BF6" w:rsidP="00FC3BF6">
      <w:pPr>
        <w:pStyle w:val="SingleTxt"/>
        <w:rPr>
          <w:rFonts w:hint="eastAsia"/>
        </w:rPr>
      </w:pPr>
      <w:r>
        <w:rPr>
          <w:rFonts w:hint="eastAsia"/>
        </w:rPr>
        <w:t>9</w:t>
      </w:r>
      <w:r w:rsidR="00EC7A5B">
        <w:rPr>
          <w:rFonts w:hint="eastAsia"/>
        </w:rPr>
        <w:t>.</w:t>
      </w:r>
      <w:r>
        <w:rPr>
          <w:rFonts w:hint="eastAsia"/>
        </w:rPr>
        <w:tab/>
        <w:t>报告第13页说，“每年向警方报告的强奸案件有600起，强奸未遂案件150起。专家认为，每20起强奸中只有一起向警察报告。已经采取哪些措施来改善妇女利用司法，包括鼓励被强奸妇女向警察举报的措施？目前有哪些机构负责援助强奸受害者？</w:t>
      </w:r>
    </w:p>
    <w:p w:rsidR="00FC3BF6" w:rsidRDefault="00FC3BF6" w:rsidP="00FC3BF6">
      <w:pPr>
        <w:pStyle w:val="SingleTxt"/>
        <w:rPr>
          <w:rFonts w:hint="eastAsia"/>
        </w:rPr>
      </w:pPr>
      <w:r>
        <w:rPr>
          <w:rFonts w:hint="eastAsia"/>
        </w:rPr>
        <w:t>10</w:t>
      </w:r>
      <w:r w:rsidR="00EC7A5B">
        <w:rPr>
          <w:rFonts w:hint="eastAsia"/>
        </w:rPr>
        <w:t>.</w:t>
      </w:r>
      <w:r>
        <w:rPr>
          <w:rFonts w:hint="eastAsia"/>
        </w:rPr>
        <w:tab/>
        <w:t>报告第33页描述了根据《打击强奸法》（2000年第8号法令）处理的四个男子强奸女孩的案件。这些案件是否是仅有的根据《打击强奸法》起诉的案件？</w:t>
      </w:r>
    </w:p>
    <w:p w:rsidR="00FC3BF6" w:rsidRDefault="00FC3BF6" w:rsidP="00FC3BF6">
      <w:pPr>
        <w:pStyle w:val="SingleTxt"/>
        <w:rPr>
          <w:rFonts w:hint="eastAsia"/>
        </w:rPr>
      </w:pPr>
      <w:r>
        <w:rPr>
          <w:rFonts w:hint="eastAsia"/>
        </w:rPr>
        <w:t>11</w:t>
      </w:r>
      <w:r w:rsidR="00EC7A5B">
        <w:rPr>
          <w:rFonts w:hint="eastAsia"/>
        </w:rPr>
        <w:t>.</w:t>
      </w:r>
      <w:r>
        <w:rPr>
          <w:rFonts w:hint="eastAsia"/>
        </w:rPr>
        <w:tab/>
        <w:t>请说明，自《打击家庭暴力法》（2003年第</w:t>
      </w:r>
      <w:r w:rsidR="00EC7A5B">
        <w:rPr>
          <w:rFonts w:hint="eastAsia"/>
        </w:rPr>
        <w:t>13</w:t>
      </w:r>
      <w:r>
        <w:rPr>
          <w:rFonts w:hint="eastAsia"/>
        </w:rPr>
        <w:t>号法令）生效以来，有多少案件是根据该法在法院起诉的？这些案件的结果以及根据该法获得侵权赔偿的妇女受害者人数。</w:t>
      </w:r>
    </w:p>
    <w:p w:rsidR="00FC3BF6" w:rsidRDefault="00FC3BF6" w:rsidP="00FC3BF6">
      <w:pPr>
        <w:pStyle w:val="SingleTxt"/>
        <w:rPr>
          <w:rFonts w:hint="eastAsia"/>
        </w:rPr>
      </w:pPr>
      <w:r>
        <w:rPr>
          <w:rFonts w:hint="eastAsia"/>
        </w:rPr>
        <w:t>12</w:t>
      </w:r>
      <w:r w:rsidR="00EC7A5B">
        <w:rPr>
          <w:rFonts w:hint="eastAsia"/>
        </w:rPr>
        <w:t>.</w:t>
      </w:r>
      <w:r>
        <w:rPr>
          <w:rFonts w:hint="eastAsia"/>
        </w:rPr>
        <w:tab/>
        <w:t>报告第33页说，“权力关系、失业和药物滥用也列入产生家庭暴力的促成因素”。为解决家庭暴力问题，包括起因和促成因素采取了哪些措施？</w:t>
      </w:r>
    </w:p>
    <w:p w:rsidR="00FC3BF6" w:rsidRPr="00FC3BF6" w:rsidRDefault="00FC3BF6" w:rsidP="00FC3BF6">
      <w:pPr>
        <w:pStyle w:val="SingleTxt"/>
        <w:rPr>
          <w:rFonts w:ascii="SimHei" w:eastAsia="SimHei" w:hint="eastAsia"/>
          <w:color w:val="FF0000"/>
        </w:rPr>
      </w:pPr>
      <w:r w:rsidRPr="00FC3BF6">
        <w:rPr>
          <w:rFonts w:ascii="SimHei" w:eastAsia="SimHei" w:hint="eastAsia"/>
          <w:color w:val="FF0000"/>
        </w:rPr>
        <w:t>利用妇女卖淫营利和贩卖</w:t>
      </w:r>
    </w:p>
    <w:p w:rsidR="00FC3BF6" w:rsidRDefault="00FC3BF6" w:rsidP="00FC3BF6">
      <w:pPr>
        <w:pStyle w:val="SingleTxt"/>
        <w:rPr>
          <w:rFonts w:hint="eastAsia"/>
        </w:rPr>
      </w:pPr>
      <w:r>
        <w:rPr>
          <w:rFonts w:hint="eastAsia"/>
        </w:rPr>
        <w:t>13</w:t>
      </w:r>
      <w:r w:rsidR="00EC7A5B">
        <w:rPr>
          <w:rFonts w:hint="eastAsia"/>
        </w:rPr>
        <w:t>.</w:t>
      </w:r>
      <w:r>
        <w:rPr>
          <w:rFonts w:hint="eastAsia"/>
        </w:rPr>
        <w:tab/>
        <w:t>在1997年审查纳米比亚初次报告的结论性评论意见中，委员会关切妓女健康没有得到认真考虑的问题；和其他妇女不一样，她们无法获得保健服务。请说明采取了哪些步骤确保卖淫妇女能够享受保健服务。还请说明实施了哪些措施，为那些希望从良的妇女重新融入社会提供康复和支持。</w:t>
      </w:r>
    </w:p>
    <w:p w:rsidR="00FC3BF6" w:rsidRDefault="00FC3BF6" w:rsidP="003C7B19">
      <w:pPr>
        <w:pStyle w:val="SingleTxt"/>
        <w:spacing w:line="324" w:lineRule="exact"/>
        <w:rPr>
          <w:rFonts w:hint="eastAsia"/>
        </w:rPr>
      </w:pPr>
      <w:r>
        <w:rPr>
          <w:rFonts w:hint="eastAsia"/>
        </w:rPr>
        <w:t>14</w:t>
      </w:r>
      <w:r w:rsidR="00EC7A5B">
        <w:rPr>
          <w:rFonts w:hint="eastAsia"/>
        </w:rPr>
        <w:t>.</w:t>
      </w:r>
      <w:r>
        <w:rPr>
          <w:rFonts w:hint="eastAsia"/>
        </w:rPr>
        <w:tab/>
        <w:t>报告第41页说，“没有任何证据表明贩卖人口现象在纳米比亚十分普遍，但至少有一起案件涉及到为性剥削目的向南非偷运纳米比亚青年妇女”。政府是否打算进行一次研究，以评估贩卖妇女和女童问题在贵国的严重程度？</w:t>
      </w:r>
    </w:p>
    <w:p w:rsidR="00FC3BF6" w:rsidRPr="00FC3BF6" w:rsidRDefault="00FC3BF6" w:rsidP="00FC3BF6">
      <w:pPr>
        <w:pStyle w:val="SingleTxt"/>
        <w:rPr>
          <w:rFonts w:ascii="SimHei" w:eastAsia="SimHei" w:hint="eastAsia"/>
          <w:color w:val="FF0000"/>
        </w:rPr>
      </w:pPr>
      <w:r w:rsidRPr="00FC3BF6">
        <w:rPr>
          <w:rFonts w:ascii="SimHei" w:eastAsia="SimHei" w:hint="eastAsia"/>
          <w:color w:val="FF0000"/>
        </w:rPr>
        <w:t>参与政治和公共生活</w:t>
      </w:r>
    </w:p>
    <w:p w:rsidR="00FC3BF6" w:rsidRDefault="00FC3BF6" w:rsidP="003C7B19">
      <w:pPr>
        <w:pStyle w:val="SingleTxt"/>
        <w:spacing w:line="324" w:lineRule="exact"/>
        <w:rPr>
          <w:rFonts w:hint="eastAsia"/>
        </w:rPr>
      </w:pPr>
      <w:r>
        <w:rPr>
          <w:rFonts w:hint="eastAsia"/>
        </w:rPr>
        <w:t>15</w:t>
      </w:r>
      <w:r w:rsidR="00EC7A5B">
        <w:rPr>
          <w:rFonts w:hint="eastAsia"/>
        </w:rPr>
        <w:t>.</w:t>
      </w:r>
      <w:r>
        <w:rPr>
          <w:rFonts w:hint="eastAsia"/>
        </w:rPr>
        <w:tab/>
        <w:t>报告第43页说，妇女占地方议员的44％，但仅占区议员的6.9％，议会的22.1％。报告指出，这可归因于地方委员会采取了肯定行动，但区域委员会和议会没有采取。政府是否打算根据《公约》第4.1条和委员会第25条一般性建议采取暂行特别措施，在区域委员会和议会实现男女平等参与？</w:t>
      </w:r>
    </w:p>
    <w:p w:rsidR="00FC3BF6" w:rsidRDefault="00FC3BF6" w:rsidP="003C7B19">
      <w:pPr>
        <w:pStyle w:val="SingleTxt"/>
        <w:spacing w:line="324" w:lineRule="exact"/>
        <w:rPr>
          <w:rFonts w:hint="eastAsia"/>
        </w:rPr>
      </w:pPr>
      <w:r>
        <w:rPr>
          <w:rFonts w:hint="eastAsia"/>
        </w:rPr>
        <w:t>16</w:t>
      </w:r>
      <w:r w:rsidR="00EC7A5B">
        <w:rPr>
          <w:rFonts w:hint="eastAsia"/>
        </w:rPr>
        <w:t>.</w:t>
      </w:r>
      <w:r>
        <w:rPr>
          <w:rFonts w:hint="eastAsia"/>
        </w:rPr>
        <w:tab/>
        <w:t>已经采取或计划采取哪些措施，增加妇女在公共服务高级管理级别上的人数？报告第14页称，目前妇女的比例为24.1％。</w:t>
      </w:r>
    </w:p>
    <w:p w:rsidR="00FC3BF6" w:rsidRPr="00FC3BF6" w:rsidRDefault="00FC3BF6" w:rsidP="00FC3BF6">
      <w:pPr>
        <w:pStyle w:val="SingleTxt"/>
        <w:rPr>
          <w:rFonts w:ascii="SimHei" w:eastAsia="SimHei" w:hint="eastAsia"/>
          <w:color w:val="FF0000"/>
        </w:rPr>
      </w:pPr>
      <w:r w:rsidRPr="00FC3BF6">
        <w:rPr>
          <w:rFonts w:ascii="SimHei" w:eastAsia="SimHei" w:hint="eastAsia"/>
          <w:color w:val="FF0000"/>
        </w:rPr>
        <w:t>教育</w:t>
      </w:r>
    </w:p>
    <w:p w:rsidR="00FC3BF6" w:rsidRDefault="00FC3BF6" w:rsidP="003C7B19">
      <w:pPr>
        <w:pStyle w:val="SingleTxt"/>
        <w:spacing w:line="324" w:lineRule="exact"/>
        <w:rPr>
          <w:rFonts w:hint="eastAsia"/>
        </w:rPr>
      </w:pPr>
      <w:r>
        <w:rPr>
          <w:rFonts w:hint="eastAsia"/>
        </w:rPr>
        <w:t>17</w:t>
      </w:r>
      <w:r w:rsidR="00EC7A5B">
        <w:rPr>
          <w:rFonts w:hint="eastAsia"/>
        </w:rPr>
        <w:t>.</w:t>
      </w:r>
      <w:r>
        <w:rPr>
          <w:rFonts w:hint="eastAsia"/>
        </w:rPr>
        <w:tab/>
        <w:t>在对纳米比亚前次报告的结论性评论意见中，委员会严重关切地注意到，正规教育系统中的女生辍学率较高。目前正规教育系统中的男女生辍学率是多少？</w:t>
      </w:r>
    </w:p>
    <w:p w:rsidR="00FC3BF6" w:rsidRDefault="00FC3BF6" w:rsidP="003C7B19">
      <w:pPr>
        <w:pStyle w:val="SingleTxt"/>
        <w:spacing w:line="324" w:lineRule="exact"/>
        <w:rPr>
          <w:rFonts w:hint="eastAsia"/>
        </w:rPr>
      </w:pPr>
      <w:r>
        <w:rPr>
          <w:rFonts w:hint="eastAsia"/>
        </w:rPr>
        <w:t>18</w:t>
      </w:r>
      <w:r w:rsidR="00EC7A5B">
        <w:rPr>
          <w:rFonts w:hint="eastAsia"/>
        </w:rPr>
        <w:t>.</w:t>
      </w:r>
      <w:r>
        <w:rPr>
          <w:rFonts w:hint="eastAsia"/>
        </w:rPr>
        <w:tab/>
        <w:t>报告第52页说，“未成年学生怀孕是妨碍女童继续接受教育的社会问题之一”。报告着重强调执行1997年通过的《未成年学生怀孕政策》必须采取的一些措施，以此支助那些怀孕的女孩。请说明这些措施的执行情况，以及如何提高怀孕女孩和年轻母亲的学校出勤率和毕业率。</w:t>
      </w:r>
    </w:p>
    <w:p w:rsidR="00FC3BF6" w:rsidRPr="00FC3BF6" w:rsidRDefault="00FC3BF6" w:rsidP="00FC3BF6">
      <w:pPr>
        <w:pStyle w:val="SingleTxt"/>
        <w:rPr>
          <w:rFonts w:ascii="SimHei" w:eastAsia="SimHei" w:hint="eastAsia"/>
          <w:color w:val="FF0000"/>
        </w:rPr>
      </w:pPr>
      <w:r w:rsidRPr="00FC3BF6">
        <w:rPr>
          <w:rFonts w:ascii="SimHei" w:eastAsia="SimHei" w:hint="eastAsia"/>
          <w:color w:val="FF0000"/>
        </w:rPr>
        <w:t>就业</w:t>
      </w:r>
    </w:p>
    <w:p w:rsidR="00FC3BF6" w:rsidRDefault="00FC3BF6" w:rsidP="003C7B19">
      <w:pPr>
        <w:pStyle w:val="SingleTxt"/>
        <w:spacing w:line="324" w:lineRule="exact"/>
        <w:rPr>
          <w:rFonts w:hint="eastAsia"/>
        </w:rPr>
      </w:pPr>
      <w:r>
        <w:rPr>
          <w:rFonts w:hint="eastAsia"/>
        </w:rPr>
        <w:t>19</w:t>
      </w:r>
      <w:r w:rsidR="00EC7A5B">
        <w:rPr>
          <w:rFonts w:hint="eastAsia"/>
        </w:rPr>
        <w:t>.</w:t>
      </w:r>
      <w:r>
        <w:rPr>
          <w:rFonts w:hint="eastAsia"/>
        </w:rPr>
        <w:tab/>
        <w:t>政府已经采取或计划采取哪些步骤降低妇女失业率，正如报告第56页所述，目前妇女的失业率为40％，以及这些措施的效果如何？</w:t>
      </w:r>
    </w:p>
    <w:p w:rsidR="00FC3BF6" w:rsidRDefault="00FC3BF6" w:rsidP="003C7B19">
      <w:pPr>
        <w:pStyle w:val="SingleTxt"/>
        <w:spacing w:line="324" w:lineRule="exact"/>
        <w:rPr>
          <w:rFonts w:hint="eastAsia"/>
        </w:rPr>
      </w:pPr>
      <w:r>
        <w:rPr>
          <w:rFonts w:hint="eastAsia"/>
        </w:rPr>
        <w:t>20</w:t>
      </w:r>
      <w:r w:rsidR="00EC7A5B">
        <w:rPr>
          <w:rFonts w:hint="eastAsia"/>
        </w:rPr>
        <w:t>.</w:t>
      </w:r>
      <w:r>
        <w:rPr>
          <w:rFonts w:hint="eastAsia"/>
        </w:rPr>
        <w:tab/>
        <w:t>报告第66页</w:t>
      </w:r>
      <w:r w:rsidR="00EC7A5B">
        <w:rPr>
          <w:rFonts w:hint="eastAsia"/>
        </w:rPr>
        <w:t>说</w:t>
      </w:r>
      <w:r>
        <w:rPr>
          <w:rFonts w:hint="eastAsia"/>
        </w:rPr>
        <w:t>，妇女事务和儿童福利部“支持全国各地的妇女项目，为其提供创办费和商业管理培训，目的是使小企业更多地打开新市场，并采用新的生产方法”。请说明与经营小企业的妇女总数相比，有多少妇女已受益于这些项目？</w:t>
      </w:r>
    </w:p>
    <w:p w:rsidR="00FC3BF6" w:rsidRDefault="00FC3BF6" w:rsidP="003C7B19">
      <w:pPr>
        <w:pStyle w:val="SingleTxt"/>
        <w:spacing w:line="324" w:lineRule="exact"/>
        <w:rPr>
          <w:rFonts w:hint="eastAsia"/>
        </w:rPr>
      </w:pPr>
      <w:r>
        <w:rPr>
          <w:rFonts w:hint="eastAsia"/>
        </w:rPr>
        <w:t>21</w:t>
      </w:r>
      <w:r w:rsidR="00EC7A5B">
        <w:rPr>
          <w:rFonts w:hint="eastAsia"/>
        </w:rPr>
        <w:t>.</w:t>
      </w:r>
      <w:r>
        <w:rPr>
          <w:rFonts w:hint="eastAsia"/>
        </w:rPr>
        <w:tab/>
        <w:t>请说明贵国现行的国家发展计划或减少贫穷战略，包括那些旨在实现今年发展目标的计划或战略如何纳入性别观点，并促进执行《消除对妇女一切形式歧视公约》的情况。</w:t>
      </w:r>
    </w:p>
    <w:p w:rsidR="00FC3BF6" w:rsidRPr="00FC3BF6" w:rsidRDefault="00FC3BF6" w:rsidP="00FC3BF6">
      <w:pPr>
        <w:pStyle w:val="SingleTxt"/>
        <w:rPr>
          <w:rFonts w:ascii="SimHei" w:eastAsia="SimHei" w:hint="eastAsia"/>
          <w:color w:val="FF0000"/>
        </w:rPr>
      </w:pPr>
      <w:r w:rsidRPr="00FC3BF6">
        <w:rPr>
          <w:rFonts w:ascii="SimHei" w:eastAsia="SimHei" w:hint="eastAsia"/>
          <w:color w:val="FF0000"/>
        </w:rPr>
        <w:t>保健</w:t>
      </w:r>
    </w:p>
    <w:p w:rsidR="00FC3BF6" w:rsidRDefault="00FC3BF6" w:rsidP="00FC3BF6">
      <w:pPr>
        <w:pStyle w:val="SingleTxt"/>
        <w:rPr>
          <w:rFonts w:hint="eastAsia"/>
        </w:rPr>
      </w:pPr>
      <w:r>
        <w:rPr>
          <w:rFonts w:hint="eastAsia"/>
        </w:rPr>
        <w:t>22</w:t>
      </w:r>
      <w:r w:rsidR="00EC7A5B">
        <w:rPr>
          <w:rFonts w:hint="eastAsia"/>
        </w:rPr>
        <w:t>.</w:t>
      </w:r>
      <w:r>
        <w:rPr>
          <w:rFonts w:hint="eastAsia"/>
        </w:rPr>
        <w:tab/>
        <w:t>在对纳米比亚前一次报告的结论性评论意见中，委员会表示关切的是，纳米比亚非法堕胎数量多，产妇死亡率高，这是因为现行的堕胎法律有缺陷，结果造成了这个问题。报告第30页说，卫生部于1996年提出一项堕胎法草案，1999年又将其撤回，因为多数纳米比亚人不赞成该法。是否正在进行新的努力，改变《纳米比亚堕胎和绝育法》（1975年第2号法令）？该法将妇女寻求堕胎或终止妊娠定为犯罪，极特别的情况除外。还请提供资料，说明已计划开展哪些活动向社区宣传非法堕胎的危险。</w:t>
      </w:r>
    </w:p>
    <w:p w:rsidR="00FC3BF6" w:rsidRDefault="00FC3BF6" w:rsidP="00FC3BF6">
      <w:pPr>
        <w:pStyle w:val="SingleTxt"/>
        <w:rPr>
          <w:rFonts w:hint="eastAsia"/>
        </w:rPr>
      </w:pPr>
      <w:r>
        <w:rPr>
          <w:rFonts w:hint="eastAsia"/>
        </w:rPr>
        <w:t>23</w:t>
      </w:r>
      <w:r w:rsidR="00EC7A5B">
        <w:rPr>
          <w:rFonts w:hint="eastAsia"/>
        </w:rPr>
        <w:t>.</w:t>
      </w:r>
      <w:r>
        <w:rPr>
          <w:rFonts w:hint="eastAsia"/>
        </w:rPr>
        <w:tab/>
        <w:t>鉴于妇女感染艾滋病毒的比例较高(报告第61页说是53％)，政府是否已经将性别观点纳入基础教育、体育和文化部和高等教育部在2001年制定的防治艾滋病毒/艾滋病战略行动计划？</w:t>
      </w:r>
    </w:p>
    <w:p w:rsidR="00FC3BF6" w:rsidRDefault="00FC3BF6" w:rsidP="00FC3BF6">
      <w:pPr>
        <w:pStyle w:val="SingleTxt"/>
        <w:rPr>
          <w:rFonts w:hint="eastAsia"/>
        </w:rPr>
      </w:pPr>
      <w:r>
        <w:rPr>
          <w:rFonts w:hint="eastAsia"/>
        </w:rPr>
        <w:t>24</w:t>
      </w:r>
      <w:r w:rsidR="00EC7A5B">
        <w:rPr>
          <w:rFonts w:hint="eastAsia"/>
        </w:rPr>
        <w:t>.</w:t>
      </w:r>
      <w:r>
        <w:rPr>
          <w:rFonts w:hint="eastAsia"/>
        </w:rPr>
        <w:tab/>
        <w:t>报告第15页说，</w:t>
      </w:r>
      <w:r w:rsidR="000F23E7">
        <w:rPr>
          <w:rFonts w:hint="eastAsia"/>
        </w:rPr>
        <w:t>专门</w:t>
      </w:r>
      <w:r>
        <w:rPr>
          <w:rFonts w:hint="eastAsia"/>
        </w:rPr>
        <w:t>针对妇女</w:t>
      </w:r>
      <w:r w:rsidR="000F23E7">
        <w:rPr>
          <w:rFonts w:hint="eastAsia"/>
        </w:rPr>
        <w:t>提供</w:t>
      </w:r>
      <w:r>
        <w:rPr>
          <w:rFonts w:hint="eastAsia"/>
        </w:rPr>
        <w:t>的服务最少，譬如乳腺癌和宫颈癌</w:t>
      </w:r>
      <w:r w:rsidR="000F23E7">
        <w:rPr>
          <w:rFonts w:hint="eastAsia"/>
        </w:rPr>
        <w:t>筛</w:t>
      </w:r>
      <w:r>
        <w:rPr>
          <w:rFonts w:hint="eastAsia"/>
        </w:rPr>
        <w:t>检</w:t>
      </w:r>
      <w:r w:rsidR="000F23E7">
        <w:rPr>
          <w:rFonts w:hint="eastAsia"/>
        </w:rPr>
        <w:t>。政府打算如何纠正这种状况，以改善妇女享受这类保健服务的情况</w:t>
      </w:r>
      <w:r>
        <w:rPr>
          <w:rFonts w:hint="eastAsia"/>
        </w:rPr>
        <w:t>？</w:t>
      </w:r>
    </w:p>
    <w:p w:rsidR="00FC3BF6" w:rsidRPr="000F23E7" w:rsidRDefault="00FC3BF6" w:rsidP="00FC3BF6">
      <w:pPr>
        <w:pStyle w:val="SingleTxt"/>
        <w:rPr>
          <w:rFonts w:ascii="SimHei" w:eastAsia="SimHei" w:hint="eastAsia"/>
          <w:color w:val="FF0000"/>
        </w:rPr>
      </w:pPr>
      <w:r w:rsidRPr="000F23E7">
        <w:rPr>
          <w:rFonts w:ascii="SimHei" w:eastAsia="SimHei" w:hint="eastAsia"/>
          <w:color w:val="FF0000"/>
        </w:rPr>
        <w:t>农村妇女</w:t>
      </w:r>
    </w:p>
    <w:p w:rsidR="00FC3BF6" w:rsidRDefault="00FC3BF6" w:rsidP="00FC3BF6">
      <w:pPr>
        <w:pStyle w:val="SingleTxt"/>
        <w:rPr>
          <w:rFonts w:hint="eastAsia"/>
        </w:rPr>
      </w:pPr>
      <w:r>
        <w:rPr>
          <w:rFonts w:hint="eastAsia"/>
        </w:rPr>
        <w:t>25</w:t>
      </w:r>
      <w:r w:rsidR="00EC7A5B">
        <w:rPr>
          <w:rFonts w:hint="eastAsia"/>
        </w:rPr>
        <w:t>.</w:t>
      </w:r>
      <w:r>
        <w:rPr>
          <w:rFonts w:hint="eastAsia"/>
        </w:rPr>
        <w:tab/>
        <w:t>报告第67页和第68页说，《共有土地改革法》（2002年第5号法令）要求传统当局“向社区成员宣传肯定行动”，尤其是“提拔妇女担任领导职务”。鉴于该法没有</w:t>
      </w:r>
      <w:r w:rsidR="000F23E7">
        <w:rPr>
          <w:rFonts w:hint="eastAsia"/>
        </w:rPr>
        <w:t>设立</w:t>
      </w:r>
      <w:r>
        <w:rPr>
          <w:rFonts w:hint="eastAsia"/>
        </w:rPr>
        <w:t>特别监测和实施机制，</w:t>
      </w:r>
      <w:r w:rsidR="000F23E7">
        <w:rPr>
          <w:rFonts w:hint="eastAsia"/>
        </w:rPr>
        <w:t>那么</w:t>
      </w:r>
      <w:r>
        <w:rPr>
          <w:rFonts w:hint="eastAsia"/>
        </w:rPr>
        <w:t>已经或预计采取哪些措施，包括提高认识措施，来确保提拔农村妇女担任传统当局的领导职务？</w:t>
      </w:r>
    </w:p>
    <w:p w:rsidR="00FC3BF6" w:rsidRPr="000F23E7" w:rsidRDefault="00FC3BF6" w:rsidP="00FC3BF6">
      <w:pPr>
        <w:pStyle w:val="SingleTxt"/>
        <w:rPr>
          <w:rFonts w:ascii="SimHei" w:eastAsia="SimHei" w:hint="eastAsia"/>
          <w:color w:val="FF0000"/>
        </w:rPr>
      </w:pPr>
      <w:r w:rsidRPr="000F23E7">
        <w:rPr>
          <w:rFonts w:ascii="SimHei" w:eastAsia="SimHei" w:hint="eastAsia"/>
          <w:color w:val="FF0000"/>
        </w:rPr>
        <w:t>婚姻和家庭关系</w:t>
      </w:r>
    </w:p>
    <w:p w:rsidR="00FC3BF6" w:rsidRDefault="00FC3BF6" w:rsidP="00FC3BF6">
      <w:pPr>
        <w:pStyle w:val="SingleTxt"/>
        <w:rPr>
          <w:rFonts w:hint="eastAsia"/>
        </w:rPr>
      </w:pPr>
      <w:r>
        <w:rPr>
          <w:rFonts w:hint="eastAsia"/>
        </w:rPr>
        <w:t>26</w:t>
      </w:r>
      <w:r w:rsidR="00EC7A5B">
        <w:rPr>
          <w:rFonts w:hint="eastAsia"/>
        </w:rPr>
        <w:t>.</w:t>
      </w:r>
      <w:r>
        <w:rPr>
          <w:rFonts w:hint="eastAsia"/>
        </w:rPr>
        <w:tab/>
      </w:r>
      <w:r w:rsidR="000F23E7">
        <w:rPr>
          <w:rFonts w:hint="eastAsia"/>
        </w:rPr>
        <w:t>法律</w:t>
      </w:r>
      <w:r>
        <w:rPr>
          <w:rFonts w:hint="eastAsia"/>
        </w:rPr>
        <w:t>是否给予妇女与男子平等的财产和继承权？请提供详情。</w:t>
      </w:r>
    </w:p>
    <w:p w:rsidR="00FC3BF6" w:rsidRDefault="00FC3BF6" w:rsidP="00FC3BF6">
      <w:pPr>
        <w:pStyle w:val="SingleTxt"/>
        <w:rPr>
          <w:rFonts w:hint="eastAsia"/>
        </w:rPr>
      </w:pPr>
      <w:r>
        <w:rPr>
          <w:rFonts w:hint="eastAsia"/>
        </w:rPr>
        <w:t>27</w:t>
      </w:r>
      <w:r w:rsidR="00EC7A5B">
        <w:rPr>
          <w:rFonts w:hint="eastAsia"/>
        </w:rPr>
        <w:t>.</w:t>
      </w:r>
      <w:r>
        <w:rPr>
          <w:rFonts w:hint="eastAsia"/>
        </w:rPr>
        <w:tab/>
        <w:t>报告第68</w:t>
      </w:r>
      <w:r w:rsidR="000F23E7">
        <w:rPr>
          <w:rFonts w:hint="eastAsia"/>
        </w:rPr>
        <w:t>页提到司法部与</w:t>
      </w:r>
      <w:r>
        <w:rPr>
          <w:rFonts w:hint="eastAsia"/>
        </w:rPr>
        <w:t>区域传统领导人</w:t>
      </w:r>
      <w:r w:rsidR="000F23E7">
        <w:rPr>
          <w:rFonts w:hint="eastAsia"/>
        </w:rPr>
        <w:t>就</w:t>
      </w:r>
      <w:r>
        <w:rPr>
          <w:rFonts w:hint="eastAsia"/>
        </w:rPr>
        <w:t>制定习俗婚姻登记法案</w:t>
      </w:r>
      <w:r w:rsidR="000F23E7">
        <w:rPr>
          <w:rFonts w:hint="eastAsia"/>
        </w:rPr>
        <w:t>问题进行协商。</w:t>
      </w:r>
      <w:r>
        <w:rPr>
          <w:rFonts w:hint="eastAsia"/>
        </w:rPr>
        <w:t>协商现况如何？</w:t>
      </w:r>
    </w:p>
    <w:p w:rsidR="00FC3BF6" w:rsidRDefault="00FC3BF6" w:rsidP="00FC3BF6">
      <w:pPr>
        <w:pStyle w:val="SingleTxt"/>
        <w:rPr>
          <w:rFonts w:hint="eastAsia"/>
        </w:rPr>
      </w:pPr>
      <w:r>
        <w:rPr>
          <w:rFonts w:hint="eastAsia"/>
        </w:rPr>
        <w:t>28</w:t>
      </w:r>
      <w:r w:rsidR="00EC7A5B">
        <w:rPr>
          <w:rFonts w:hint="eastAsia"/>
        </w:rPr>
        <w:t>.</w:t>
      </w:r>
      <w:r>
        <w:rPr>
          <w:rFonts w:hint="eastAsia"/>
        </w:rPr>
        <w:tab/>
        <w:t>目前</w:t>
      </w:r>
      <w:r w:rsidR="000F23E7">
        <w:rPr>
          <w:rFonts w:hint="eastAsia"/>
        </w:rPr>
        <w:t>都</w:t>
      </w:r>
      <w:r>
        <w:rPr>
          <w:rFonts w:hint="eastAsia"/>
        </w:rPr>
        <w:t>采取</w:t>
      </w:r>
      <w:r w:rsidR="000F23E7">
        <w:rPr>
          <w:rFonts w:hint="eastAsia"/>
        </w:rPr>
        <w:t>了</w:t>
      </w:r>
      <w:r>
        <w:rPr>
          <w:rFonts w:hint="eastAsia"/>
        </w:rPr>
        <w:t>哪些步骤来阻止一夫多妻制婚姻？</w:t>
      </w:r>
    </w:p>
    <w:p w:rsidR="00EA31C3" w:rsidRPr="007C1281" w:rsidRDefault="007C1281" w:rsidP="007C1281">
      <w:pPr>
        <w:pStyle w:val="SingleTxt"/>
        <w:spacing w:after="0" w:line="240" w:lineRule="auto"/>
        <w:rPr>
          <w:sz w:val="20"/>
        </w:rPr>
      </w:pPr>
      <w:r>
        <w:rPr>
          <w:noProof/>
          <w:sz w:val="20"/>
        </w:rPr>
        <w:pict>
          <v:line id="_x0000_s1026" style="position:absolute;left:0;text-align:left;z-index:1;mso-position-horizontal:center" from="0,30pt" to="1in,30pt" strokeweight=".25pt"/>
        </w:pict>
      </w:r>
    </w:p>
    <w:sectPr w:rsidR="00EA31C3" w:rsidRPr="007C1281" w:rsidSect="00F05A87">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12T20:37:00Z" w:initials="Start">
    <w:p w:rsidR="00CC6C6C" w:rsidRDefault="00CC6C6C">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NO&gt;&gt;N0646750C&lt;&lt;ODS JOB NO&gt;&gt;</w:t>
      </w:r>
    </w:p>
    <w:p w:rsidR="00CC6C6C" w:rsidRDefault="00CC6C6C">
      <w:pPr>
        <w:pStyle w:val="CommentText"/>
      </w:pPr>
      <w:r>
        <w:t>&lt;&lt;ODS DOC SYMBOL1&gt;&gt;CEDAW/C/NAM/Q/3&lt;&lt;ODS DOC SYMBOL1&gt;&gt;</w:t>
      </w:r>
    </w:p>
    <w:p w:rsidR="00CC6C6C" w:rsidRDefault="00CC6C6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04D6" w:rsidRDefault="006904D6">
      <w:r>
        <w:separator/>
      </w:r>
    </w:p>
  </w:endnote>
  <w:endnote w:type="continuationSeparator" w:id="0">
    <w:p w:rsidR="006904D6" w:rsidRDefault="00690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CC6C6C" w:rsidTr="00F05A87">
      <w:tblPrEx>
        <w:tblCellMar>
          <w:top w:w="0" w:type="dxa"/>
          <w:bottom w:w="0" w:type="dxa"/>
        </w:tblCellMar>
      </w:tblPrEx>
      <w:tc>
        <w:tcPr>
          <w:tcW w:w="5033" w:type="dxa"/>
          <w:shd w:val="clear" w:color="auto" w:fill="auto"/>
          <w:vAlign w:val="bottom"/>
        </w:tcPr>
        <w:p w:rsidR="00CC6C6C" w:rsidRPr="00F05A87" w:rsidRDefault="00CC6C6C" w:rsidP="00F05A87">
          <w:pPr>
            <w:pStyle w:val="Footer"/>
            <w:jc w:val="left"/>
          </w:pPr>
          <w:r>
            <w:fldChar w:fldCharType="begin"/>
          </w:r>
          <w:r>
            <w:instrText xml:space="preserve"> PAGE  \* MERGEFORMAT </w:instrText>
          </w:r>
          <w:r>
            <w:fldChar w:fldCharType="separate"/>
          </w:r>
          <w:r w:rsidR="00651C24">
            <w:t>4</w:t>
          </w:r>
          <w:r>
            <w:fldChar w:fldCharType="end"/>
          </w:r>
        </w:p>
      </w:tc>
      <w:tc>
        <w:tcPr>
          <w:tcW w:w="5033" w:type="dxa"/>
          <w:shd w:val="clear" w:color="auto" w:fill="auto"/>
          <w:vAlign w:val="bottom"/>
        </w:tcPr>
        <w:p w:rsidR="00CC6C6C" w:rsidRPr="00F05A87" w:rsidRDefault="00CC6C6C" w:rsidP="00F05A87">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06-46750</w:t>
          </w:r>
          <w:r>
            <w:rPr>
              <w:b w:val="0"/>
              <w:sz w:val="14"/>
            </w:rPr>
            <w:fldChar w:fldCharType="end"/>
          </w:r>
        </w:p>
      </w:tc>
    </w:tr>
  </w:tbl>
  <w:p w:rsidR="00CC6C6C" w:rsidRPr="00F05A87" w:rsidRDefault="00CC6C6C" w:rsidP="00F05A8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CC6C6C" w:rsidTr="00F05A87">
      <w:tblPrEx>
        <w:tblCellMar>
          <w:top w:w="0" w:type="dxa"/>
          <w:bottom w:w="0" w:type="dxa"/>
        </w:tblCellMar>
      </w:tblPrEx>
      <w:tc>
        <w:tcPr>
          <w:tcW w:w="5033" w:type="dxa"/>
          <w:shd w:val="clear" w:color="auto" w:fill="auto"/>
          <w:vAlign w:val="bottom"/>
        </w:tcPr>
        <w:p w:rsidR="00CC6C6C" w:rsidRPr="00F05A87" w:rsidRDefault="00CC6C6C" w:rsidP="00F05A87">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06-46750</w:t>
          </w:r>
          <w:r>
            <w:rPr>
              <w:b w:val="0"/>
              <w:sz w:val="14"/>
            </w:rPr>
            <w:fldChar w:fldCharType="end"/>
          </w:r>
        </w:p>
      </w:tc>
      <w:tc>
        <w:tcPr>
          <w:tcW w:w="5033" w:type="dxa"/>
          <w:shd w:val="clear" w:color="auto" w:fill="auto"/>
          <w:vAlign w:val="bottom"/>
        </w:tcPr>
        <w:p w:rsidR="00CC6C6C" w:rsidRPr="00F05A87" w:rsidRDefault="00CC6C6C" w:rsidP="00F05A87">
          <w:pPr>
            <w:pStyle w:val="Footer"/>
            <w:jc w:val="right"/>
          </w:pPr>
          <w:r>
            <w:fldChar w:fldCharType="begin"/>
          </w:r>
          <w:r>
            <w:instrText xml:space="preserve"> PAGE  \* MERGEFORMAT </w:instrText>
          </w:r>
          <w:r>
            <w:fldChar w:fldCharType="separate"/>
          </w:r>
          <w:r w:rsidR="00651C24">
            <w:t>3</w:t>
          </w:r>
          <w:r>
            <w:fldChar w:fldCharType="end"/>
          </w:r>
        </w:p>
      </w:tc>
    </w:tr>
  </w:tbl>
  <w:p w:rsidR="00CC6C6C" w:rsidRPr="00F05A87" w:rsidRDefault="00CC6C6C" w:rsidP="00F05A8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C6C" w:rsidRDefault="00CC6C6C" w:rsidP="00F05A87">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06-46750 (C)</w:t>
    </w:r>
    <w:r>
      <w:rPr>
        <w:b w:val="0"/>
        <w:sz w:val="21"/>
      </w:rPr>
      <w:fldChar w:fldCharType="end"/>
    </w:r>
    <w:r>
      <w:rPr>
        <w:b w:val="0"/>
        <w:sz w:val="21"/>
      </w:rPr>
      <w:t xml:space="preserve">    120906    1</w:t>
    </w:r>
    <w:r>
      <w:rPr>
        <w:rFonts w:hint="eastAsia"/>
        <w:b w:val="0"/>
        <w:sz w:val="21"/>
      </w:rPr>
      <w:t>3</w:t>
    </w:r>
    <w:r>
      <w:rPr>
        <w:b w:val="0"/>
        <w:sz w:val="21"/>
      </w:rPr>
      <w:t>0906</w:t>
    </w:r>
  </w:p>
  <w:p w:rsidR="00CC6C6C" w:rsidRPr="00F05A87" w:rsidRDefault="00CC6C6C" w:rsidP="00F05A87">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*0646750*</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04D6" w:rsidRDefault="006904D6">
      <w:r>
        <w:separator/>
      </w:r>
    </w:p>
  </w:footnote>
  <w:footnote w:type="continuationSeparator" w:id="0">
    <w:p w:rsidR="006904D6" w:rsidRDefault="006904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C6C6C" w:rsidTr="00F05A87">
      <w:tblPrEx>
        <w:tblCellMar>
          <w:top w:w="0" w:type="dxa"/>
          <w:bottom w:w="0" w:type="dxa"/>
        </w:tblCellMar>
      </w:tblPrEx>
      <w:trPr>
        <w:trHeight w:hRule="exact" w:val="864"/>
      </w:trPr>
      <w:tc>
        <w:tcPr>
          <w:tcW w:w="4838" w:type="dxa"/>
          <w:shd w:val="clear" w:color="auto" w:fill="auto"/>
          <w:vAlign w:val="bottom"/>
        </w:tcPr>
        <w:p w:rsidR="00CC6C6C" w:rsidRPr="00F05A87" w:rsidRDefault="00CC6C6C" w:rsidP="00F05A87">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CEDAW/C/NAM/Q/3</w:t>
          </w:r>
          <w:r>
            <w:rPr>
              <w:b/>
              <w:sz w:val="17"/>
            </w:rPr>
            <w:fldChar w:fldCharType="end"/>
          </w:r>
        </w:p>
      </w:tc>
      <w:tc>
        <w:tcPr>
          <w:tcW w:w="5033" w:type="dxa"/>
          <w:shd w:val="clear" w:color="auto" w:fill="auto"/>
          <w:vAlign w:val="bottom"/>
        </w:tcPr>
        <w:p w:rsidR="00CC6C6C" w:rsidRDefault="00CC6C6C" w:rsidP="00F05A87">
          <w:pPr>
            <w:pStyle w:val="Header"/>
          </w:pPr>
        </w:p>
      </w:tc>
    </w:tr>
  </w:tbl>
  <w:p w:rsidR="00CC6C6C" w:rsidRPr="00F05A87" w:rsidRDefault="00CC6C6C" w:rsidP="00F05A8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C6C6C" w:rsidTr="00F05A87">
      <w:tblPrEx>
        <w:tblCellMar>
          <w:top w:w="0" w:type="dxa"/>
          <w:bottom w:w="0" w:type="dxa"/>
        </w:tblCellMar>
      </w:tblPrEx>
      <w:trPr>
        <w:trHeight w:hRule="exact" w:val="864"/>
      </w:trPr>
      <w:tc>
        <w:tcPr>
          <w:tcW w:w="4838" w:type="dxa"/>
          <w:shd w:val="clear" w:color="auto" w:fill="auto"/>
          <w:vAlign w:val="bottom"/>
        </w:tcPr>
        <w:p w:rsidR="00CC6C6C" w:rsidRDefault="00CC6C6C" w:rsidP="00F05A87">
          <w:pPr>
            <w:pStyle w:val="Header"/>
          </w:pPr>
        </w:p>
      </w:tc>
      <w:tc>
        <w:tcPr>
          <w:tcW w:w="5033" w:type="dxa"/>
          <w:shd w:val="clear" w:color="auto" w:fill="auto"/>
          <w:vAlign w:val="bottom"/>
        </w:tcPr>
        <w:p w:rsidR="00CC6C6C" w:rsidRPr="00F05A87" w:rsidRDefault="00CC6C6C" w:rsidP="00F05A87">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CEDAW/C/NAM/Q/3</w:t>
          </w:r>
          <w:r>
            <w:rPr>
              <w:b/>
              <w:sz w:val="17"/>
            </w:rPr>
            <w:fldChar w:fldCharType="end"/>
          </w:r>
        </w:p>
      </w:tc>
    </w:tr>
  </w:tbl>
  <w:p w:rsidR="00CC6C6C" w:rsidRPr="00F05A87" w:rsidRDefault="00CC6C6C" w:rsidP="00F05A8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CC6C6C" w:rsidTr="00F05A8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C6C6C" w:rsidRDefault="00CC6C6C" w:rsidP="00F05A87">
          <w:pPr>
            <w:pStyle w:val="Header"/>
            <w:spacing w:after="120"/>
          </w:pPr>
        </w:p>
      </w:tc>
      <w:tc>
        <w:tcPr>
          <w:tcW w:w="1872" w:type="dxa"/>
          <w:tcBorders>
            <w:bottom w:val="single" w:sz="4" w:space="0" w:color="auto"/>
          </w:tcBorders>
          <w:shd w:val="clear" w:color="auto" w:fill="auto"/>
          <w:vAlign w:val="bottom"/>
        </w:tcPr>
        <w:p w:rsidR="00CC6C6C" w:rsidRPr="00F05A87" w:rsidRDefault="00CC6C6C" w:rsidP="00F05A87">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CC6C6C" w:rsidRDefault="00CC6C6C" w:rsidP="00F05A87">
          <w:pPr>
            <w:pStyle w:val="Header"/>
            <w:spacing w:after="120"/>
          </w:pPr>
        </w:p>
      </w:tc>
      <w:tc>
        <w:tcPr>
          <w:tcW w:w="6523" w:type="dxa"/>
          <w:gridSpan w:val="3"/>
          <w:tcBorders>
            <w:bottom w:val="single" w:sz="4" w:space="0" w:color="auto"/>
          </w:tcBorders>
          <w:shd w:val="clear" w:color="auto" w:fill="auto"/>
          <w:vAlign w:val="bottom"/>
        </w:tcPr>
        <w:p w:rsidR="00CC6C6C" w:rsidRPr="00F05A87" w:rsidRDefault="00CC6C6C" w:rsidP="00F05A87">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/C/NAM/Q/3</w:t>
          </w:r>
        </w:p>
      </w:tc>
    </w:tr>
    <w:tr w:rsidR="00CC6C6C" w:rsidRPr="00F05A87" w:rsidTr="00F05A8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C6C6C" w:rsidRDefault="00CC6C6C" w:rsidP="00F05A87">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C6C6C" w:rsidRPr="00F05A87" w:rsidRDefault="00CC6C6C" w:rsidP="00F05A87">
          <w:pPr>
            <w:pStyle w:val="Header"/>
            <w:spacing w:before="109"/>
            <w:ind w:left="-72"/>
          </w:pPr>
        </w:p>
      </w:tc>
      <w:tc>
        <w:tcPr>
          <w:tcW w:w="5227" w:type="dxa"/>
          <w:gridSpan w:val="3"/>
          <w:tcBorders>
            <w:top w:val="single" w:sz="4" w:space="0" w:color="auto"/>
            <w:bottom w:val="single" w:sz="12" w:space="0" w:color="auto"/>
          </w:tcBorders>
          <w:shd w:val="clear" w:color="auto" w:fill="auto"/>
        </w:tcPr>
        <w:p w:rsidR="00CC6C6C" w:rsidRPr="00F05A87" w:rsidRDefault="00CC6C6C" w:rsidP="00F05A87">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CC6C6C" w:rsidRPr="00F05A87" w:rsidRDefault="00CC6C6C" w:rsidP="00F05A87">
          <w:pPr>
            <w:pStyle w:val="Header"/>
            <w:spacing w:before="109"/>
          </w:pPr>
        </w:p>
      </w:tc>
      <w:tc>
        <w:tcPr>
          <w:tcW w:w="3180" w:type="dxa"/>
          <w:gridSpan w:val="2"/>
          <w:tcBorders>
            <w:top w:val="single" w:sz="4" w:space="0" w:color="auto"/>
            <w:bottom w:val="single" w:sz="12" w:space="0" w:color="auto"/>
          </w:tcBorders>
          <w:shd w:val="clear" w:color="auto" w:fill="auto"/>
        </w:tcPr>
        <w:p w:rsidR="00CC6C6C" w:rsidRDefault="00CC6C6C" w:rsidP="00F05A87">
          <w:pPr>
            <w:spacing w:before="240" w:line="240" w:lineRule="exact"/>
            <w:rPr>
              <w:rFonts w:ascii="Times New Roman"/>
            </w:rPr>
          </w:pPr>
          <w:r>
            <w:rPr>
              <w:rFonts w:ascii="Times New Roman"/>
            </w:rPr>
            <w:t>Distr.: General</w:t>
          </w:r>
        </w:p>
        <w:p w:rsidR="00CC6C6C" w:rsidRDefault="00CC6C6C" w:rsidP="00F05A87">
          <w:pPr>
            <w:spacing w:line="240" w:lineRule="exact"/>
            <w:rPr>
              <w:rFonts w:ascii="Times New Roman"/>
            </w:rPr>
          </w:pPr>
          <w:r>
            <w:rPr>
              <w:rFonts w:ascii="Times New Roman"/>
            </w:rPr>
            <w:t>4 August 2006</w:t>
          </w:r>
        </w:p>
        <w:p w:rsidR="00CC6C6C" w:rsidRDefault="00CC6C6C" w:rsidP="00F05A87">
          <w:pPr>
            <w:spacing w:line="240" w:lineRule="exact"/>
            <w:rPr>
              <w:rFonts w:ascii="Times New Roman"/>
            </w:rPr>
          </w:pPr>
          <w:r>
            <w:rPr>
              <w:rFonts w:ascii="Times New Roman"/>
            </w:rPr>
            <w:t>Chinese</w:t>
          </w:r>
        </w:p>
        <w:p w:rsidR="00CC6C6C" w:rsidRPr="00F05A87" w:rsidRDefault="00CC6C6C" w:rsidP="00F05A87">
          <w:pPr>
            <w:spacing w:line="240" w:lineRule="exact"/>
            <w:rPr>
              <w:rFonts w:ascii="Times New Roman"/>
            </w:rPr>
          </w:pPr>
          <w:r>
            <w:rPr>
              <w:rFonts w:ascii="Times New Roman"/>
            </w:rPr>
            <w:t>Original: English</w:t>
          </w:r>
        </w:p>
      </w:tc>
    </w:tr>
  </w:tbl>
  <w:p w:rsidR="00CC6C6C" w:rsidRPr="00F05A87" w:rsidRDefault="00CC6C6C" w:rsidP="00F05A8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750*"/>
    <w:docVar w:name="CreationDt" w:val="12/09/2006 16:26:48"/>
    <w:docVar w:name="DocCategory" w:val="Doc"/>
    <w:docVar w:name="DocType" w:val="Final"/>
    <w:docVar w:name="FooterJN" w:val="06-46750"/>
    <w:docVar w:name="jobn" w:val="06-46750 (C)"/>
    <w:docVar w:name="jobnDT" w:val="06-46750 (C)   120906"/>
    <w:docVar w:name="jobnDTDT" w:val="06-46750 (C)   120906   120906"/>
    <w:docVar w:name="JobNo" w:val="0646750C"/>
    <w:docVar w:name="OandT" w:val="Zhang jp"/>
    <w:docVar w:name="sss1" w:val="CEDAW/C/NAM/Q/3"/>
    <w:docVar w:name="sss2" w:val="-"/>
    <w:docVar w:name="Symbol1" w:val="CEDAW/C/NAM/Q/3"/>
    <w:docVar w:name="Symbol2" w:val="-"/>
  </w:docVars>
  <w:rsids>
    <w:rsidRoot w:val="00443A35"/>
    <w:rsid w:val="00037B39"/>
    <w:rsid w:val="00044CA4"/>
    <w:rsid w:val="000A31F9"/>
    <w:rsid w:val="000A4D23"/>
    <w:rsid w:val="000C1786"/>
    <w:rsid w:val="000F1058"/>
    <w:rsid w:val="000F23E7"/>
    <w:rsid w:val="00141322"/>
    <w:rsid w:val="0017506F"/>
    <w:rsid w:val="001A4DB3"/>
    <w:rsid w:val="001E5A51"/>
    <w:rsid w:val="00252E35"/>
    <w:rsid w:val="00282D17"/>
    <w:rsid w:val="002B305F"/>
    <w:rsid w:val="00371BC6"/>
    <w:rsid w:val="003C7B19"/>
    <w:rsid w:val="00407744"/>
    <w:rsid w:val="00443A35"/>
    <w:rsid w:val="004836E8"/>
    <w:rsid w:val="00521275"/>
    <w:rsid w:val="0052216F"/>
    <w:rsid w:val="005541E4"/>
    <w:rsid w:val="0058302A"/>
    <w:rsid w:val="005F3273"/>
    <w:rsid w:val="00651C24"/>
    <w:rsid w:val="006904D6"/>
    <w:rsid w:val="007C1281"/>
    <w:rsid w:val="007F2278"/>
    <w:rsid w:val="00824C19"/>
    <w:rsid w:val="00826268"/>
    <w:rsid w:val="008378D1"/>
    <w:rsid w:val="0084274B"/>
    <w:rsid w:val="008F5472"/>
    <w:rsid w:val="0096193C"/>
    <w:rsid w:val="009A2F76"/>
    <w:rsid w:val="00AB7FC5"/>
    <w:rsid w:val="00B8267C"/>
    <w:rsid w:val="00BE083B"/>
    <w:rsid w:val="00C10CAE"/>
    <w:rsid w:val="00CC6C6C"/>
    <w:rsid w:val="00CE5F0A"/>
    <w:rsid w:val="00CF7718"/>
    <w:rsid w:val="00D21751"/>
    <w:rsid w:val="00DC2506"/>
    <w:rsid w:val="00E52022"/>
    <w:rsid w:val="00E95594"/>
    <w:rsid w:val="00EA31C3"/>
    <w:rsid w:val="00EC7A5B"/>
    <w:rsid w:val="00F05A87"/>
    <w:rsid w:val="00F67F90"/>
    <w:rsid w:val="00F77B3E"/>
    <w:rsid w:val="00FC3BF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66</TotalTime>
  <Pages>1</Pages>
  <Words>450</Words>
  <Characters>2566</Characters>
  <Application>Microsoft Office Word</Application>
  <DocSecurity>4</DocSecurity>
  <Lines>21</Lines>
  <Paragraphs>6</Paragraphs>
  <ScaleCrop>false</ScaleCrop>
  <Company>United Nations</Company>
  <LinksUpToDate>false</LinksUpToDate>
  <CharactersWithSpaces>3010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jiping zhang</dc:creator>
  <cp:keywords/>
  <dc:description/>
  <cp:lastModifiedBy>shurui duan</cp:lastModifiedBy>
  <cp:revision>27</cp:revision>
  <cp:lastPrinted>2006-09-13T08:20:00Z</cp:lastPrinted>
  <dcterms:created xsi:type="dcterms:W3CDTF">2006-09-12T15:25:00Z</dcterms:created>
  <dcterms:modified xsi:type="dcterms:W3CDTF">2006-09-13T08:22:00Z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0646750</vt:lpwstr>
  </property>
  <property fmtid="{D5CDD505-2E9C-101B-9397-08002B2CF9AE}" pid="3" name="Symbol1">
    <vt:lpwstr>CEDAW/C/NAM/Q/3</vt:lpwstr>
  </property>
  <property fmtid="{D5CDD505-2E9C-101B-9397-08002B2CF9AE}" pid="4" name="Symbol2">
    <vt:lpwstr/>
  </property>
  <property fmtid="{D5CDD505-2E9C-101B-9397-08002B2CF9AE}" pid="5" name="Translator">
    <vt:lpwstr/>
  </property>
  <property fmtid="{D5CDD505-2E9C-101B-9397-08002B2CF9AE}" pid="6" name="Operator">
    <vt:lpwstr>Zhang jp</vt:lpwstr>
  </property>
  <property fmtid="{D5CDD505-2E9C-101B-9397-08002B2CF9AE}" pid="7" name="DraftPages">
    <vt:lpwstr> </vt:lpwstr>
  </property>
  <property fmtid="{D5CDD505-2E9C-101B-9397-08002B2CF9AE}" pid="8" name="Comment">
    <vt:lpwstr/>
  </property>
</Properties>
</file>