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D9A" w:rsidRDefault="00552D9A" w:rsidP="00552D9A">
      <w:pPr>
        <w:spacing w:line="60" w:lineRule="exact"/>
        <w:rPr>
          <w:sz w:val="6"/>
        </w:rPr>
        <w:sectPr w:rsidR="00552D9A" w:rsidSect="00552D9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552D9A" w:rsidRDefault="00552D9A" w:rsidP="00552D9A">
      <w:pPr>
        <w:spacing w:line="60" w:lineRule="exact"/>
        <w:rPr>
          <w:sz w:val="6"/>
        </w:rPr>
      </w:pPr>
    </w:p>
    <w:p w:rsidR="00085EAB" w:rsidRDefault="00085EAB" w:rsidP="00085E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消除对妇女歧视委员会</w:t>
      </w:r>
    </w:p>
    <w:p w:rsidR="00085EAB" w:rsidRDefault="00085EAB" w:rsidP="00085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会前工作组</w:t>
      </w:r>
    </w:p>
    <w:p w:rsidR="00085EAB" w:rsidRDefault="00085EAB" w:rsidP="00085E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Pr>
          <w:rFonts w:hint="eastAsia"/>
        </w:rPr>
        <w:t xml:space="preserve">第四十和第四十一届会议 </w:t>
      </w:r>
    </w:p>
    <w:p w:rsidR="00085EAB" w:rsidRDefault="00085EAB" w:rsidP="00085EAB">
      <w:pPr>
        <w:pStyle w:val="SingleTxt"/>
        <w:spacing w:after="60"/>
        <w:ind w:left="0"/>
        <w:rPr>
          <w:rFonts w:hint="eastAsia"/>
        </w:rPr>
      </w:pPr>
      <w:r>
        <w:rPr>
          <w:rFonts w:hint="eastAsia"/>
        </w:rPr>
        <w:t>2007年7月16日至20日</w:t>
      </w:r>
    </w:p>
    <w:p w:rsidR="00085EAB" w:rsidRPr="00085EAB" w:rsidRDefault="00085EAB" w:rsidP="00085EAB">
      <w:pPr>
        <w:pStyle w:val="SingleTxt"/>
        <w:spacing w:after="0" w:line="120" w:lineRule="exact"/>
        <w:rPr>
          <w:rFonts w:hint="eastAsia"/>
          <w:sz w:val="10"/>
        </w:rPr>
      </w:pPr>
    </w:p>
    <w:p w:rsidR="00085EAB" w:rsidRPr="00085EAB" w:rsidRDefault="00085EAB" w:rsidP="00085EAB">
      <w:pPr>
        <w:pStyle w:val="SingleTxt"/>
        <w:spacing w:after="0" w:line="120" w:lineRule="exact"/>
        <w:rPr>
          <w:rFonts w:hint="eastAsia"/>
          <w:sz w:val="10"/>
        </w:rPr>
      </w:pPr>
    </w:p>
    <w:p w:rsidR="00085EAB" w:rsidRPr="00085EAB" w:rsidRDefault="00085EAB" w:rsidP="00085EAB">
      <w:pPr>
        <w:pStyle w:val="SingleTxt"/>
        <w:spacing w:after="0" w:line="120" w:lineRule="exact"/>
        <w:rPr>
          <w:rFonts w:hint="eastAsia"/>
          <w:sz w:val="10"/>
        </w:rPr>
      </w:pPr>
    </w:p>
    <w:p w:rsidR="00085EAB" w:rsidRDefault="00085EAB" w:rsidP="00085EAB">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与审议定期报告有关的议题和问题清单</w:t>
      </w:r>
    </w:p>
    <w:p w:rsidR="00085EAB" w:rsidRPr="00085EAB" w:rsidRDefault="00085EAB" w:rsidP="00085EAB">
      <w:pPr>
        <w:pStyle w:val="SingleTxt"/>
        <w:spacing w:after="0" w:line="120" w:lineRule="exact"/>
        <w:rPr>
          <w:rFonts w:hint="eastAsia"/>
          <w:sz w:val="10"/>
        </w:rPr>
      </w:pPr>
    </w:p>
    <w:p w:rsidR="00085EAB" w:rsidRPr="00085EAB" w:rsidRDefault="00085EAB" w:rsidP="00085EAB">
      <w:pPr>
        <w:pStyle w:val="SingleTxt"/>
        <w:spacing w:after="0" w:line="120" w:lineRule="exact"/>
        <w:rPr>
          <w:rFonts w:hint="eastAsia"/>
          <w:sz w:val="10"/>
        </w:rPr>
      </w:pPr>
    </w:p>
    <w:p w:rsidR="00085EAB" w:rsidRDefault="00085EAB" w:rsidP="00085E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大不列颠及北爱尔兰联合王国</w:t>
      </w:r>
    </w:p>
    <w:p w:rsidR="00085EAB" w:rsidRPr="00085EAB" w:rsidRDefault="00085EAB" w:rsidP="00085EAB">
      <w:pPr>
        <w:pStyle w:val="SingleTxt"/>
        <w:spacing w:after="0" w:line="120" w:lineRule="exact"/>
        <w:rPr>
          <w:rFonts w:hint="eastAsia"/>
          <w:sz w:val="10"/>
        </w:rPr>
      </w:pPr>
    </w:p>
    <w:p w:rsidR="00085EAB" w:rsidRPr="00085EAB" w:rsidRDefault="00085EAB" w:rsidP="00085EAB">
      <w:pPr>
        <w:pStyle w:val="SingleTxt"/>
        <w:spacing w:after="0" w:line="120" w:lineRule="exact"/>
        <w:rPr>
          <w:rFonts w:hint="eastAsia"/>
          <w:sz w:val="10"/>
        </w:rPr>
      </w:pPr>
    </w:p>
    <w:p w:rsidR="00085EAB" w:rsidRDefault="00085EAB" w:rsidP="00085EAB">
      <w:pPr>
        <w:pStyle w:val="SingleTxt"/>
        <w:rPr>
          <w:rFonts w:hint="eastAsia"/>
        </w:rPr>
      </w:pPr>
      <w:r w:rsidRPr="00085EAB">
        <w:rPr>
          <w:rFonts w:ascii="SimHei" w:eastAsia="SimHei" w:hint="eastAsia"/>
          <w:color w:val="FF0000"/>
        </w:rPr>
        <w:t>导言</w:t>
      </w:r>
    </w:p>
    <w:p w:rsidR="00085EAB" w:rsidRDefault="00085EAB" w:rsidP="00085EAB">
      <w:pPr>
        <w:pStyle w:val="SingleTxt"/>
        <w:rPr>
          <w:rFonts w:hint="eastAsia"/>
        </w:rPr>
      </w:pPr>
      <w:r>
        <w:rPr>
          <w:rFonts w:hint="eastAsia"/>
        </w:rPr>
        <w:tab/>
        <w:t>会前工作组审查了大不列颠及北爱尔兰联合王国的第五次定期报告（CEDAW/C/UK/5和Add.1和2）和第六次定期报告（CEDAW/C/UK/6和Add.1和2）。</w:t>
      </w:r>
    </w:p>
    <w:p w:rsidR="00085EAB" w:rsidRPr="00085EAB" w:rsidRDefault="00085EAB" w:rsidP="00085EAB">
      <w:pPr>
        <w:pStyle w:val="SingleTxt"/>
        <w:rPr>
          <w:rFonts w:ascii="SimHei" w:eastAsia="SimHei" w:hint="eastAsia"/>
          <w:color w:val="FF0000"/>
        </w:rPr>
      </w:pPr>
      <w:r w:rsidRPr="00085EAB">
        <w:rPr>
          <w:rFonts w:ascii="SimHei" w:eastAsia="SimHei" w:hint="eastAsia"/>
          <w:color w:val="FF0000"/>
        </w:rPr>
        <w:t>概述</w:t>
      </w:r>
    </w:p>
    <w:p w:rsidR="00085EAB" w:rsidRDefault="00085EAB" w:rsidP="00085EAB">
      <w:pPr>
        <w:pStyle w:val="SingleTxt"/>
        <w:rPr>
          <w:rFonts w:hint="eastAsia"/>
        </w:rPr>
      </w:pPr>
      <w:r>
        <w:rPr>
          <w:rFonts w:hint="eastAsia"/>
        </w:rPr>
        <w:t>1.</w:t>
      </w:r>
      <w:r>
        <w:rPr>
          <w:rFonts w:hint="eastAsia"/>
        </w:rPr>
        <w:tab/>
        <w:t>请说明第五次和第六次定期报告是否都获政府通过并提交议会。</w:t>
      </w:r>
    </w:p>
    <w:p w:rsidR="00085EAB" w:rsidRPr="00085EAB" w:rsidRDefault="00085EAB" w:rsidP="00085EAB">
      <w:pPr>
        <w:pStyle w:val="SingleTxt"/>
        <w:rPr>
          <w:rFonts w:ascii="SimHei" w:eastAsia="SimHei" w:hint="eastAsia"/>
          <w:color w:val="FF0000"/>
        </w:rPr>
      </w:pPr>
      <w:r w:rsidRPr="00085EAB">
        <w:rPr>
          <w:rFonts w:ascii="SimHei" w:eastAsia="SimHei" w:hint="eastAsia"/>
          <w:color w:val="FF0000"/>
        </w:rPr>
        <w:t>宪法、立法和机构框架</w:t>
      </w:r>
    </w:p>
    <w:p w:rsidR="00085EAB" w:rsidRDefault="00085EAB" w:rsidP="00085EAB">
      <w:pPr>
        <w:pStyle w:val="SingleTxt"/>
        <w:rPr>
          <w:rFonts w:hint="eastAsia"/>
        </w:rPr>
      </w:pPr>
      <w:r>
        <w:rPr>
          <w:rFonts w:hint="eastAsia"/>
        </w:rPr>
        <w:t>2.</w:t>
      </w:r>
      <w:r>
        <w:rPr>
          <w:rFonts w:hint="eastAsia"/>
        </w:rPr>
        <w:tab/>
        <w:t>第六次定期报告指出，政府正在设立一个歧视法审查小组，对各项平等立法进行彻底审查，以便简化歧视法并使其现代化。政府已在修订歧视法，使其符合联合王国的指令（第149和150段）。委员会在前一次结论意见（A/54/38/Rev.1，第301段）</w:t>
      </w:r>
      <w:r w:rsidR="002F606B">
        <w:rPr>
          <w:rStyle w:val="FootnoteReference"/>
        </w:rPr>
        <w:footnoteReference w:id="1"/>
      </w:r>
      <w:r>
        <w:rPr>
          <w:rFonts w:hint="eastAsia"/>
        </w:rPr>
        <w:t xml:space="preserve"> 中敦请缔约国考虑将《消除对妇女一切形式歧视公约》同《欧洲人权和基本自由公约》一样纳入国内法，并敦请缔约国就国内法未予以充分阐述的《公约》所载各项保护，如《公约》第一和第二条所述的各项保护提出立法条款。请说明对歧视法审查以及自上一次报告审议以来修订或提出的立法（如《2006年平等法》）如何考虑到缔约国应承担的《公约》义务以及如何将国内歧视法与缔约国的义务统一起来。</w:t>
      </w:r>
    </w:p>
    <w:p w:rsidR="00085EAB" w:rsidRDefault="00085EAB" w:rsidP="00085EAB">
      <w:pPr>
        <w:pStyle w:val="SingleTxt"/>
        <w:rPr>
          <w:rFonts w:hint="eastAsia"/>
        </w:rPr>
      </w:pPr>
      <w:r>
        <w:rPr>
          <w:rFonts w:hint="eastAsia"/>
        </w:rPr>
        <w:t>3.</w:t>
      </w:r>
      <w:r>
        <w:rPr>
          <w:rFonts w:hint="eastAsia"/>
        </w:rPr>
        <w:tab/>
        <w:t>第六次定期报告指出，2007年10月将由一个新的法定平等委员会（平等和人权委员会）来取代消除性别歧视的主管机构平等机会委员会。报告还指出，平等和人权委员会还将承担残疾人委员会和种族间平等委员会的责任，并将进一步承担处理基于年龄、宗教、信仰和性取向的歧视问题的新责任（第</w:t>
      </w:r>
      <w:r w:rsidR="00156876">
        <w:rPr>
          <w:rFonts w:hint="eastAsia"/>
        </w:rPr>
        <w:t>7</w:t>
      </w:r>
      <w:r>
        <w:rPr>
          <w:rFonts w:hint="eastAsia"/>
        </w:rPr>
        <w:t>9至85段）。请说明将采取哪些行动，确保新设的平等和人权委员会及其在平等机会委员会基础上扩大的任务范围不会导致消除对妇女歧视的努力受到削弱。请提供资料说明平等和人权委员会的组成、将获得的资源以及它在消除对妇女歧视方面的工作。还请说明妇女可利用哪些机制就基于性别的歧视向平等和人权委员会提出指控，以及已作出哪些安排确保平等和人权委员会将处理妇女，特别是种族、族裔或宗教少数群体妇女所面临的多种形式歧视。</w:t>
      </w:r>
    </w:p>
    <w:p w:rsidR="00085EAB" w:rsidRDefault="00085EAB" w:rsidP="00085EAB">
      <w:pPr>
        <w:pStyle w:val="SingleTxt"/>
        <w:rPr>
          <w:rFonts w:hint="eastAsia"/>
        </w:rPr>
      </w:pPr>
      <w:r>
        <w:rPr>
          <w:rFonts w:hint="eastAsia"/>
        </w:rPr>
        <w:t>4.</w:t>
      </w:r>
      <w:r>
        <w:rPr>
          <w:rFonts w:hint="eastAsia"/>
        </w:rPr>
        <w:tab/>
        <w:t>第六次定期报告指出，《2006年平等法》提出公共机关须履行法定的两性平等义务。该法规定，从2007年10月6日起，要求公共机关起草和公布一项目标明确的两性平等计划和执行计划的步骤以及就所有新政策和立法，包括就业和服务提供的改变进行的两性平等影响评估。公共机关在履行义务时，必须与利益攸关者充分协商（第9至10段，第112至113段）。北爱尔兰和苏格兰的公共机关也须承担同样的确保平等的法定义务（见CEDAW/C/UK/5，第15段和CEDAW/C/UK/6，第145至146段）。请提供初步评估资料，说明这项两性平等义务制度的运作情况，包括提供资料说明建立了哪些执行机制，公共机关是否得到培训，以加强认识和落实两性平等的能力，公共机关多长时间和以何种方式与相关利益攸关者，包括女性雇员和妇女非政府组织进行协商。</w:t>
      </w:r>
    </w:p>
    <w:p w:rsidR="00085EAB" w:rsidRDefault="00085EAB" w:rsidP="00085EAB">
      <w:pPr>
        <w:pStyle w:val="SingleTxt"/>
        <w:rPr>
          <w:rFonts w:hint="eastAsia"/>
        </w:rPr>
      </w:pPr>
      <w:r>
        <w:rPr>
          <w:rFonts w:hint="eastAsia"/>
        </w:rPr>
        <w:t>5.</w:t>
      </w:r>
      <w:r>
        <w:rPr>
          <w:rFonts w:hint="eastAsia"/>
        </w:rPr>
        <w:tab/>
        <w:t>委员会在前一次结论意见（A/54/38，第296和297段）</w:t>
      </w:r>
      <w:r w:rsidR="002F606B">
        <w:rPr>
          <w:rStyle w:val="FootnoteReference"/>
        </w:rPr>
        <w:footnoteReference w:id="2"/>
      </w:r>
      <w:r>
        <w:rPr>
          <w:rFonts w:hint="eastAsia"/>
        </w:rPr>
        <w:t xml:space="preserve"> 中对威尔士、苏格兰和北爱尔兰建立不同制度负责妇女平等问题会导致保护妇女人权工作不平衡表示关切，敦请联合王国政府确保在缔约国全境内制定一项统一的国家战略和政策来执行《公约》的各项规定。第五次和第六次定期报告介绍了在北爱尔兰、苏格兰、威尔士和海外领土制定了两性平等机制和条例（见CEDAW/C/UK/5，第14至18段和CEDAW/C/UK/6，第86至104段；Add.1和2），但没有讨论已制定哪些措施确保《公约》的各项规定能够在所有这些地区统一执行。请说明为落实委员会的建议而采取的措施，包括是否有一项统一战略和计划，为妇女平等和性别主流化确立标准和目标，以及监测其在联合王国各项制度和机构内的执行情况。</w:t>
      </w:r>
    </w:p>
    <w:p w:rsidR="00085EAB" w:rsidRDefault="00085EAB" w:rsidP="00085EAB">
      <w:pPr>
        <w:pStyle w:val="SingleTxt"/>
        <w:rPr>
          <w:rFonts w:hint="eastAsia"/>
        </w:rPr>
      </w:pPr>
      <w:r>
        <w:rPr>
          <w:rFonts w:hint="eastAsia"/>
        </w:rPr>
        <w:t>6.</w:t>
      </w:r>
      <w:r>
        <w:rPr>
          <w:rFonts w:hint="eastAsia"/>
        </w:rPr>
        <w:tab/>
        <w:t>第六次定期报告承认，种族、族裔或宗教少数群体妇女在就业方面受到严重限制，包括失业率可能更高、报酬可能更少、工作场所的玻璃天花板更低、隔离更加严重。报告讨论了为这些妇女开展的外联工作（第197至214段）。请概述种族、族裔或宗教少数群体妇女的状况，包括她们在参与经济、社会和公共生活方面所面临的障碍以及她们受暴力侵害的情况，并说明为克服这些障碍和消除定型观念采取了哪些措施，如立法、政策措施、暂行特别措施、制裁措施和支助服务。</w:t>
      </w:r>
    </w:p>
    <w:p w:rsidR="00085EAB" w:rsidRDefault="00085EAB" w:rsidP="00085EAB">
      <w:pPr>
        <w:pStyle w:val="SingleTxt"/>
        <w:rPr>
          <w:rFonts w:hint="eastAsia"/>
        </w:rPr>
      </w:pPr>
      <w:r>
        <w:rPr>
          <w:rFonts w:hint="eastAsia"/>
        </w:rPr>
        <w:t>7.</w:t>
      </w:r>
      <w:r>
        <w:rPr>
          <w:rFonts w:hint="eastAsia"/>
        </w:rPr>
        <w:tab/>
      </w:r>
      <w:r w:rsidRPr="00156876">
        <w:rPr>
          <w:rFonts w:hint="eastAsia"/>
          <w:spacing w:val="4"/>
        </w:rPr>
        <w:t>请说明妇女和平等股与妇女非政府组织之间的合作形式。还请提供数据，说明自2000年以来政府向所有非政府组织以及向妇女非政府组织提供资金</w:t>
      </w:r>
      <w:r>
        <w:rPr>
          <w:rFonts w:hint="eastAsia"/>
        </w:rPr>
        <w:t>的情况。</w:t>
      </w:r>
    </w:p>
    <w:p w:rsidR="00085EAB" w:rsidRPr="00085EAB" w:rsidRDefault="00085EAB" w:rsidP="00085EAB">
      <w:pPr>
        <w:pStyle w:val="SingleTxt"/>
        <w:rPr>
          <w:rFonts w:ascii="SimHei" w:eastAsia="SimHei" w:hint="eastAsia"/>
          <w:color w:val="FF0000"/>
        </w:rPr>
      </w:pPr>
      <w:r w:rsidRPr="00085EAB">
        <w:rPr>
          <w:rFonts w:ascii="SimHei" w:eastAsia="SimHei" w:hint="eastAsia"/>
          <w:color w:val="FF0000"/>
        </w:rPr>
        <w:t>暴力侵害妇女行为</w:t>
      </w:r>
    </w:p>
    <w:p w:rsidR="00085EAB" w:rsidRDefault="00085EAB" w:rsidP="00085EAB">
      <w:pPr>
        <w:pStyle w:val="SingleTxt"/>
        <w:rPr>
          <w:rFonts w:hint="eastAsia"/>
        </w:rPr>
      </w:pPr>
      <w:r>
        <w:rPr>
          <w:rFonts w:hint="eastAsia"/>
        </w:rPr>
        <w:t>8.</w:t>
      </w:r>
      <w:r>
        <w:rPr>
          <w:rFonts w:hint="eastAsia"/>
        </w:rPr>
        <w:tab/>
        <w:t>请说明有哪些措施是针对男子和男孩，使他们参与努力防止和消除暴力侵害妇女行为，包括家庭暴力，并说明这些措施的影响和效果。</w:t>
      </w:r>
    </w:p>
    <w:p w:rsidR="00085EAB" w:rsidRDefault="00085EAB" w:rsidP="00085EAB">
      <w:pPr>
        <w:pStyle w:val="SingleTxt"/>
        <w:rPr>
          <w:rFonts w:hint="eastAsia"/>
        </w:rPr>
      </w:pPr>
      <w:r>
        <w:rPr>
          <w:rFonts w:hint="eastAsia"/>
        </w:rPr>
        <w:t>9.</w:t>
      </w:r>
      <w:r>
        <w:rPr>
          <w:rFonts w:hint="eastAsia"/>
        </w:rPr>
        <w:tab/>
        <w:t>第六次定期报告提到，《2003年性罪行法》全面修正了对付性犯罪的法律框架（第135段）。报告还提到正在作出努力，审查关于强奸时得到同意的法律行为能力及是否采纳专家意见和其他证据以及分析自《性罪行法》生效以来所收集的统计数据。请说明《2003年性罪行法》如何处理性犯罪的举证和证据标准、法律行为能力和同意以及关于这些问题的任何修正案的地位。还请提供有关该法的统计分析结果以及在报告所述期间收集的数据、妇女受到性攻击的案件和定罪率数据。</w:t>
      </w:r>
    </w:p>
    <w:p w:rsidR="00085EAB" w:rsidRDefault="00085EAB" w:rsidP="00085EAB">
      <w:pPr>
        <w:pStyle w:val="SingleTxt"/>
        <w:rPr>
          <w:rFonts w:hint="eastAsia"/>
        </w:rPr>
      </w:pPr>
      <w:r>
        <w:rPr>
          <w:rFonts w:hint="eastAsia"/>
        </w:rPr>
        <w:t>10.</w:t>
      </w:r>
      <w:r>
        <w:rPr>
          <w:rFonts w:hint="eastAsia"/>
        </w:rPr>
        <w:tab/>
        <w:t>第五次定期报告解释说，为保护那些在暂住期内因家庭暴力导致婚姻破裂而须受移民管制的人，出台了一项有关家庭暴力的特殊规定，将其纳入移民规则。第六次定期报告表示，“在头两年对该项特殊规定的实施进行了监督并对结果进行了审查”（第347段）。请提供资料说明这项审查及其结果，并解释是否考虑采取进一步措施，保护遭受暴力，包括遭受家庭暴力的移民妇女。还请说明是否就关于移民妇女有能力躲避家庭暴力而无须求助公共资金规则所产生的影响进行了评估，如果已作评估，请详细说明。</w:t>
      </w:r>
    </w:p>
    <w:p w:rsidR="00085EAB" w:rsidRPr="00085EAB" w:rsidRDefault="00085EAB" w:rsidP="00085EAB">
      <w:pPr>
        <w:pStyle w:val="SingleTxt"/>
        <w:rPr>
          <w:rFonts w:ascii="SimHei" w:eastAsia="SimHei" w:hint="eastAsia"/>
          <w:color w:val="FF0000"/>
        </w:rPr>
      </w:pPr>
      <w:r w:rsidRPr="00085EAB">
        <w:rPr>
          <w:rFonts w:ascii="SimHei" w:eastAsia="SimHei" w:hint="eastAsia"/>
          <w:color w:val="FF0000"/>
        </w:rPr>
        <w:t>贩运人口和利用妇女卖淫营利</w:t>
      </w:r>
    </w:p>
    <w:p w:rsidR="00085EAB" w:rsidRDefault="00085EAB" w:rsidP="00085EAB">
      <w:pPr>
        <w:pStyle w:val="SingleTxt"/>
        <w:rPr>
          <w:rFonts w:hint="eastAsia"/>
        </w:rPr>
      </w:pPr>
      <w:r>
        <w:rPr>
          <w:rFonts w:hint="eastAsia"/>
        </w:rPr>
        <w:t>11.</w:t>
      </w:r>
      <w:r>
        <w:rPr>
          <w:rFonts w:hint="eastAsia"/>
        </w:rPr>
        <w:tab/>
        <w:t>买卖儿童、儿童卖淫和儿童色情制品问题特别报告员对收到的报告中说越来越多的女孩被贩运到联合王国表示关切，贩运的原因包括帮佣、福利欺诈和文化习俗（E/CN.4/2006/67/Add.1，第152段）。但是第六次定期报告没有提供除性剥削以外的其他原因被贩运到联合王国（或经联合王国转运）的妇女的资料。请提供统计资料说明贩运妇女和女孩入出联合王国和经联合王国转运的程度，包括提供统计资料说明因性剥削、劳工、帮佣和其他剥削形式被贩运的受害人人数并提供有关起诉、定罪和判刑的资料。</w:t>
      </w:r>
    </w:p>
    <w:p w:rsidR="00085EAB" w:rsidRDefault="00085EAB" w:rsidP="00085EAB">
      <w:pPr>
        <w:pStyle w:val="SingleTxt"/>
        <w:rPr>
          <w:rFonts w:hint="eastAsia"/>
        </w:rPr>
      </w:pPr>
      <w:r>
        <w:rPr>
          <w:rFonts w:hint="eastAsia"/>
        </w:rPr>
        <w:t>12.</w:t>
      </w:r>
      <w:r>
        <w:rPr>
          <w:rFonts w:hint="eastAsia"/>
        </w:rPr>
        <w:tab/>
        <w:t>第六次定期报告指出，2006年1月，政府针对卖淫的危害性公布了一项有关卖淫的协调战略，包括防止个人误入卖淫行业的各项战略（第300段）。请说明这些措施目前的实施情况以及取得的任何初步成果。</w:t>
      </w:r>
    </w:p>
    <w:p w:rsidR="00085EAB" w:rsidRPr="00085EAB" w:rsidRDefault="00085EAB" w:rsidP="00085EAB">
      <w:pPr>
        <w:pStyle w:val="SingleTxt"/>
        <w:rPr>
          <w:rFonts w:ascii="SimHei" w:eastAsia="SimHei" w:hint="eastAsia"/>
          <w:color w:val="FF0000"/>
        </w:rPr>
      </w:pPr>
      <w:r w:rsidRPr="00085EAB">
        <w:rPr>
          <w:rFonts w:ascii="SimHei" w:eastAsia="SimHei" w:hint="eastAsia"/>
          <w:color w:val="FF0000"/>
        </w:rPr>
        <w:t>参与政治和公共生活</w:t>
      </w:r>
    </w:p>
    <w:p w:rsidR="00085EAB" w:rsidRDefault="00085EAB" w:rsidP="00085EAB">
      <w:pPr>
        <w:pStyle w:val="SingleTxt"/>
        <w:rPr>
          <w:rFonts w:hint="eastAsia"/>
        </w:rPr>
      </w:pPr>
      <w:r>
        <w:rPr>
          <w:rFonts w:hint="eastAsia"/>
        </w:rPr>
        <w:t>13.</w:t>
      </w:r>
      <w:r>
        <w:rPr>
          <w:rFonts w:hint="eastAsia"/>
        </w:rPr>
        <w:tab/>
        <w:t>第六次定期报告承认，并非所有政党都利用积极措施，按照《性别歧视（选举候选人）法》容许妇女参加（第304段）。请说明该法容许采取的各种暂行特别措施，请说明政府为进一步利用这些措施，确保更多妇女包括少数民族妇女参加各个政党和各级政府所作出的努力。</w:t>
      </w:r>
    </w:p>
    <w:p w:rsidR="00085EAB" w:rsidRDefault="00085EAB" w:rsidP="00085EAB">
      <w:pPr>
        <w:pStyle w:val="SingleTxt"/>
        <w:rPr>
          <w:rFonts w:hint="eastAsia"/>
        </w:rPr>
      </w:pPr>
      <w:r>
        <w:rPr>
          <w:rFonts w:hint="eastAsia"/>
        </w:rPr>
        <w:t>14.</w:t>
      </w:r>
      <w:r>
        <w:rPr>
          <w:rFonts w:hint="eastAsia"/>
        </w:rPr>
        <w:tab/>
        <w:t>第六次定期报告提到2006年设立的司法任命委员会在鼓励更多的人申请司法职务方面发挥法定作用（第559段）。请说明委员会在司法任命方面的权限范围和法定作用，以及委员会为鼓励妇女申请司法职务所采取的措施。还请提供资料说明为向司法人员提供两性平等培训作出哪些努力。</w:t>
      </w:r>
    </w:p>
    <w:p w:rsidR="00085EAB" w:rsidRDefault="00085EAB" w:rsidP="00085EAB">
      <w:pPr>
        <w:pStyle w:val="SingleTxt"/>
        <w:rPr>
          <w:rFonts w:hint="eastAsia"/>
        </w:rPr>
      </w:pPr>
      <w:r>
        <w:rPr>
          <w:rFonts w:hint="eastAsia"/>
        </w:rPr>
        <w:t>15.</w:t>
      </w:r>
      <w:r>
        <w:rPr>
          <w:rFonts w:hint="eastAsia"/>
        </w:rPr>
        <w:tab/>
        <w:t>第六次定期报告指出，联合王国维持并修订了它对《公约》中与皇室和武装部队有关的一般性保留的A</w:t>
      </w:r>
      <w:r>
        <w:t>(</w:t>
      </w:r>
      <w:r>
        <w:rPr>
          <w:rFonts w:hint="eastAsia"/>
        </w:rPr>
        <w:t>c</w:t>
      </w:r>
      <w:r>
        <w:t>)</w:t>
      </w:r>
      <w:r>
        <w:rPr>
          <w:rFonts w:hint="eastAsia"/>
        </w:rPr>
        <w:t>段，修订后的该段指出，</w:t>
      </w:r>
      <w:r w:rsidR="00156876">
        <w:rPr>
          <w:rFonts w:hint="eastAsia"/>
        </w:rPr>
        <w:t>联合王国的批准“受以下谅解的限制，即联合王国根据《公约》所承担</w:t>
      </w:r>
      <w:r>
        <w:rPr>
          <w:rFonts w:hint="eastAsia"/>
        </w:rPr>
        <w:t>的任何义务皆不得延伸至</w:t>
      </w:r>
      <w:r w:rsidR="00156876">
        <w:rPr>
          <w:rFonts w:hint="eastAsia"/>
        </w:rPr>
        <w:t>……</w:t>
      </w:r>
      <w:r>
        <w:rPr>
          <w:rFonts w:hint="eastAsia"/>
        </w:rPr>
        <w:t>为确保皇家军队的战斗力而采取的任何行动”（第71段）。请说明有关军队的仍有保留范围和影响。请说明为让更多妇女参与军队高层和领导职位，包括联合国维和特派团所作努力产生的效果。</w:t>
      </w:r>
    </w:p>
    <w:p w:rsidR="00085EAB" w:rsidRDefault="00085EAB" w:rsidP="00085EAB">
      <w:pPr>
        <w:pStyle w:val="SingleTxt"/>
        <w:rPr>
          <w:rFonts w:hint="eastAsia"/>
        </w:rPr>
      </w:pPr>
      <w:r>
        <w:rPr>
          <w:rFonts w:hint="eastAsia"/>
        </w:rPr>
        <w:t>16.</w:t>
      </w:r>
      <w:r>
        <w:rPr>
          <w:rFonts w:hint="eastAsia"/>
        </w:rPr>
        <w:tab/>
        <w:t>政府已采取哪些步骤确保在北爱尔兰就联合国安全理事会第1325号决议采取行动？请提供北爱尔兰法第75条执行详情，该条要求在所有法定政策的拟订和执行中适当注意机会平等。</w:t>
      </w:r>
    </w:p>
    <w:p w:rsidR="00085EAB" w:rsidRDefault="00085EAB" w:rsidP="00085EAB">
      <w:pPr>
        <w:pStyle w:val="SingleTxt"/>
        <w:rPr>
          <w:rFonts w:hint="eastAsia"/>
        </w:rPr>
      </w:pPr>
      <w:r>
        <w:rPr>
          <w:rFonts w:hint="eastAsia"/>
        </w:rPr>
        <w:t>17.</w:t>
      </w:r>
      <w:r>
        <w:tab/>
      </w:r>
      <w:r>
        <w:rPr>
          <w:rFonts w:hint="eastAsia"/>
        </w:rPr>
        <w:t>请提供统计资料说明妇女与男子相比参与国际组织、在国际层面的公职任用和参与外交事务的情况，包括关于妇女在高层职务中的人数，包括大使级职务人数的资料和自上一次报告审议以来这段时间的趋势。</w:t>
      </w:r>
    </w:p>
    <w:p w:rsidR="00085EAB" w:rsidRPr="00085EAB" w:rsidRDefault="00085EAB" w:rsidP="00085EAB">
      <w:pPr>
        <w:pStyle w:val="SingleTxt"/>
        <w:rPr>
          <w:rFonts w:ascii="SimHei" w:eastAsia="SimHei" w:hint="eastAsia"/>
          <w:color w:val="FF0000"/>
        </w:rPr>
      </w:pPr>
      <w:r w:rsidRPr="00085EAB">
        <w:rPr>
          <w:rFonts w:ascii="SimHei" w:eastAsia="SimHei" w:hint="eastAsia"/>
          <w:color w:val="FF0000"/>
        </w:rPr>
        <w:t>教育和定型观念</w:t>
      </w:r>
    </w:p>
    <w:p w:rsidR="00085EAB" w:rsidRDefault="00085EAB" w:rsidP="00085EAB">
      <w:pPr>
        <w:pStyle w:val="SingleTxt"/>
        <w:rPr>
          <w:rFonts w:hint="eastAsia"/>
        </w:rPr>
      </w:pPr>
      <w:r>
        <w:rPr>
          <w:rFonts w:hint="eastAsia"/>
        </w:rPr>
        <w:t>18.</w:t>
      </w:r>
      <w:r>
        <w:tab/>
      </w:r>
      <w:r>
        <w:rPr>
          <w:rFonts w:hint="eastAsia"/>
        </w:rPr>
        <w:t>第六次定期报告提到正在努力修订教科书，例如资格认证和课程安排行政局正在审查为11至16岁儿童编排的国家教科书（第357至361段）。请提供资料说明各级教科书中有多大篇幅列入了人权教育，特别是妇女的人权教育和妇女所面临的多种形式的歧视。</w:t>
      </w:r>
    </w:p>
    <w:p w:rsidR="00085EAB" w:rsidRDefault="00085EAB" w:rsidP="00085EAB">
      <w:pPr>
        <w:pStyle w:val="SingleTxt"/>
        <w:rPr>
          <w:rFonts w:hint="eastAsia"/>
        </w:rPr>
      </w:pPr>
      <w:r>
        <w:rPr>
          <w:rFonts w:hint="eastAsia"/>
        </w:rPr>
        <w:t>19.</w:t>
      </w:r>
      <w:r>
        <w:tab/>
      </w:r>
      <w:r>
        <w:rPr>
          <w:rFonts w:hint="eastAsia"/>
        </w:rPr>
        <w:t>请说明政府正在采取哪些步骤，特别是在非传统领域增加妇女担任学术职务，例如教授的比率，这些措施产生了哪些影响。还请提供资料说明妇女作为候选人竞选主管职务并成功获得任命的人数以及自上一次报告审议以来的趋势。</w:t>
      </w:r>
    </w:p>
    <w:p w:rsidR="00085EAB" w:rsidRPr="00085EAB" w:rsidRDefault="00085EAB" w:rsidP="00085EAB">
      <w:pPr>
        <w:pStyle w:val="SingleTxt"/>
        <w:rPr>
          <w:rFonts w:ascii="SimHei" w:eastAsia="SimHei" w:hint="eastAsia"/>
          <w:color w:val="FF0000"/>
        </w:rPr>
      </w:pPr>
      <w:r w:rsidRPr="00085EAB">
        <w:rPr>
          <w:rFonts w:ascii="SimHei" w:eastAsia="SimHei" w:hint="eastAsia"/>
          <w:color w:val="FF0000"/>
        </w:rPr>
        <w:t>就业及工作与家庭生活的调和</w:t>
      </w:r>
    </w:p>
    <w:p w:rsidR="00085EAB" w:rsidRDefault="00085EAB" w:rsidP="00085EAB">
      <w:pPr>
        <w:pStyle w:val="SingleTxt"/>
        <w:rPr>
          <w:rFonts w:hint="eastAsia"/>
        </w:rPr>
      </w:pPr>
      <w:r>
        <w:rPr>
          <w:rFonts w:hint="eastAsia"/>
        </w:rPr>
        <w:t>20.</w:t>
      </w:r>
      <w:r>
        <w:tab/>
      </w:r>
      <w:r>
        <w:rPr>
          <w:rFonts w:hint="eastAsia"/>
        </w:rPr>
        <w:t>第六次定期报告指出，妇女在参加弹性工作安排的雇员中占大多数（第392段）。平等机会委员会做了一项研究并就弹性时间政策向政府提出建议（附件1，第2至3页）。请提供资料说明正在作出哪些努力，确保从事弹性工作的女工，包括休完产假的妇女不会在雇用、酬劳、机会、福利和其他就业方面受到歧视，请说明这些措施的影响。</w:t>
      </w:r>
    </w:p>
    <w:p w:rsidR="00085EAB" w:rsidRDefault="00085EAB" w:rsidP="00085EAB">
      <w:pPr>
        <w:pStyle w:val="SingleTxt"/>
        <w:rPr>
          <w:rFonts w:hint="eastAsia"/>
        </w:rPr>
      </w:pPr>
      <w:r>
        <w:rPr>
          <w:rFonts w:hint="eastAsia"/>
        </w:rPr>
        <w:t>21.</w:t>
      </w:r>
      <w:r>
        <w:tab/>
      </w:r>
      <w:r>
        <w:rPr>
          <w:rFonts w:hint="eastAsia"/>
        </w:rPr>
        <w:t>第五次定期报告提到制定了两性平等公共部门协定，确定了妇女参与领导职务和公共部门同等报酬等其他领域的目标（见CEDAW/C/UK/5，第14段）。第六次定期报告指出，已扩大公共部门协定范围，将同等报酬审查包括在内（第20、227至235段）。报告还指出，所有88个政府部门和机构都在2003年完成了同等报酬审查，鼓励各部门每三年对各自的奖赏政策和做法的平等性进行一次充分检验（第406段）。请说明这些同等报酬审查的结果。还请说明已采取哪些措施在2003年及以后对政府各部门和机构进行全面平等检验，并说明取得的成果。</w:t>
      </w:r>
    </w:p>
    <w:p w:rsidR="00085EAB" w:rsidRDefault="00085EAB" w:rsidP="00085EAB">
      <w:pPr>
        <w:pStyle w:val="SingleTxt"/>
        <w:rPr>
          <w:rFonts w:hint="eastAsia"/>
        </w:rPr>
      </w:pPr>
      <w:r>
        <w:rPr>
          <w:rFonts w:hint="eastAsia"/>
        </w:rPr>
        <w:t>22.</w:t>
      </w:r>
      <w:r>
        <w:tab/>
      </w:r>
      <w:r>
        <w:rPr>
          <w:rFonts w:hint="eastAsia"/>
        </w:rPr>
        <w:t>第六次定期报告指出，妇女每年可享有26个星期的产假，男子可享有两星期的陪产假，如果配偶提前返回工作还可延长陪产假。但是多数男子（55</w:t>
      </w:r>
      <w:r w:rsidR="00156876">
        <w:rPr>
          <w:rFonts w:hint="eastAsia"/>
        </w:rPr>
        <w:t>％</w:t>
      </w:r>
      <w:r>
        <w:rPr>
          <w:rFonts w:hint="eastAsia"/>
        </w:rPr>
        <w:t>）都没有用完他们两个星期的陪产假（第392段）。请解释使用率低的原因及长期趋势，并说明正在采取哪些措施鼓励男子分担妇女的育儿责任。</w:t>
      </w:r>
    </w:p>
    <w:p w:rsidR="00085EAB" w:rsidRPr="00085EAB" w:rsidRDefault="00085EAB" w:rsidP="00085EAB">
      <w:pPr>
        <w:pStyle w:val="SingleTxt"/>
        <w:rPr>
          <w:rFonts w:ascii="SimHei" w:eastAsia="SimHei" w:hint="eastAsia"/>
          <w:color w:val="FF0000"/>
        </w:rPr>
      </w:pPr>
      <w:r w:rsidRPr="00085EAB">
        <w:rPr>
          <w:rFonts w:ascii="SimHei" w:eastAsia="SimHei" w:hint="eastAsia"/>
          <w:color w:val="FF0000"/>
        </w:rPr>
        <w:t>卫生</w:t>
      </w:r>
    </w:p>
    <w:p w:rsidR="00085EAB" w:rsidRDefault="00085EAB" w:rsidP="00085EAB">
      <w:pPr>
        <w:pStyle w:val="SingleTxt"/>
        <w:rPr>
          <w:rFonts w:hint="eastAsia"/>
        </w:rPr>
      </w:pPr>
      <w:r>
        <w:rPr>
          <w:rFonts w:hint="eastAsia"/>
        </w:rPr>
        <w:t>23.</w:t>
      </w:r>
      <w:r>
        <w:tab/>
      </w:r>
      <w:r>
        <w:rPr>
          <w:rFonts w:hint="eastAsia"/>
        </w:rPr>
        <w:t>请提供统计数字说明自2000年以来与男子相比，妇女感染艾滋病毒/艾滋病和其他性传染疾病的比率，并按各妇女群体分类，特别是列出高危群体。还请提供资料说明正在采取哪些步骤减少感染率以及增加利用性传染疾病的信息和服务机会。</w:t>
      </w:r>
    </w:p>
    <w:p w:rsidR="00085EAB" w:rsidRDefault="00085EAB" w:rsidP="00085EAB">
      <w:pPr>
        <w:pStyle w:val="SingleTxt"/>
        <w:rPr>
          <w:rFonts w:hint="eastAsia"/>
        </w:rPr>
      </w:pPr>
      <w:r>
        <w:rPr>
          <w:rFonts w:hint="eastAsia"/>
        </w:rPr>
        <w:t>24.</w:t>
      </w:r>
      <w:r>
        <w:rPr>
          <w:rFonts w:hint="eastAsia"/>
        </w:rPr>
        <w:tab/>
        <w:t>第六次定期报告提到，政府在2006年进行了第一次避孕服务基线审查，出台了一项关于获得避孕服务、避孕方法、堕胎服务的最佳做法指南（第470段）。请提供资料说明审查结果及作为审查结果对指南和任何其他改革、立法等措施的利用情况。</w:t>
      </w:r>
    </w:p>
    <w:p w:rsidR="00085EAB" w:rsidRDefault="00085EAB" w:rsidP="00085EAB">
      <w:pPr>
        <w:pStyle w:val="SingleTxt"/>
        <w:rPr>
          <w:rFonts w:hint="eastAsia"/>
        </w:rPr>
      </w:pPr>
      <w:r>
        <w:rPr>
          <w:rFonts w:hint="eastAsia"/>
        </w:rPr>
        <w:t>25．</w:t>
      </w:r>
      <w:r>
        <w:rPr>
          <w:rFonts w:hint="eastAsia"/>
        </w:rPr>
        <w:tab/>
        <w:t>报告指出，上诉法庭要求为北爱尔兰中止妊娠服务的适当性制定准则，2007年将出台一项北爱尔兰中止妊娠准则草案（第485段）。请提供资料说明该项准则的现况，并提供统计资料说明北爱尔兰非法堕胎比率和因非法堕胎而死亡和出现并发症的人数比例以及自2000年以来的趋势。</w:t>
      </w:r>
    </w:p>
    <w:p w:rsidR="00085EAB" w:rsidRPr="00085EAB" w:rsidRDefault="00085EAB" w:rsidP="00085EAB">
      <w:pPr>
        <w:pStyle w:val="SingleTxt"/>
        <w:rPr>
          <w:rFonts w:ascii="SimHei" w:eastAsia="SimHei" w:hint="eastAsia"/>
          <w:color w:val="FF0000"/>
        </w:rPr>
      </w:pPr>
      <w:r w:rsidRPr="00085EAB">
        <w:rPr>
          <w:rFonts w:ascii="SimHei" w:eastAsia="SimHei" w:hint="eastAsia"/>
          <w:color w:val="FF0000"/>
        </w:rPr>
        <w:t>弱势妇女</w:t>
      </w:r>
    </w:p>
    <w:p w:rsidR="00085EAB" w:rsidRDefault="00085EAB" w:rsidP="00085EAB">
      <w:pPr>
        <w:pStyle w:val="SingleTxt"/>
        <w:rPr>
          <w:rFonts w:hint="eastAsia"/>
        </w:rPr>
      </w:pPr>
      <w:r>
        <w:rPr>
          <w:rFonts w:hint="eastAsia"/>
        </w:rPr>
        <w:t>26.</w:t>
      </w:r>
      <w:r>
        <w:rPr>
          <w:rFonts w:hint="eastAsia"/>
        </w:rPr>
        <w:tab/>
        <w:t>第五次和第六次定期报告都指出，政府设立了一个老龄政策内阁小组委员会，正视老年男女状况（见CEDAW/C/UK/5，第14段和CEDAW/C/UK/6，第196段）。请提供资料说明缔约国及其所有领土按种族和族裔分列的老年妇女状况，包括老年妇女的健康、就业、获得的社会服务和福利、住房、老年人受虐待的情况以及老年妇女可利用的法律和其他保护手段。</w:t>
      </w:r>
    </w:p>
    <w:p w:rsidR="00085EAB" w:rsidRDefault="00085EAB" w:rsidP="00085EAB">
      <w:pPr>
        <w:pStyle w:val="SingleTxt"/>
        <w:rPr>
          <w:rFonts w:hint="eastAsia"/>
        </w:rPr>
      </w:pPr>
      <w:r>
        <w:rPr>
          <w:rFonts w:hint="eastAsia"/>
        </w:rPr>
        <w:t>27.</w:t>
      </w:r>
      <w:r>
        <w:rPr>
          <w:rFonts w:hint="eastAsia"/>
        </w:rPr>
        <w:tab/>
        <w:t>第六次定期报告指出，尽管负担得起的住房政策不是在两性平等基础上制定的，但是数据表明，妇女在需要住房帮助的人口中占大多数；例如，报告指出2006年7月至9月接受的新的无家可归者中，57％是单身母亲，往往还带着孩子（第526段）。请说明已采取那些措施在负担得起的住房政策中纳入性别观点和两性平等原则。还请提供为妇女提供负担得起的住房的统计数据。</w:t>
      </w:r>
    </w:p>
    <w:p w:rsidR="00085EAB" w:rsidRDefault="00085EAB" w:rsidP="00085EAB">
      <w:pPr>
        <w:pStyle w:val="SingleTxt"/>
        <w:rPr>
          <w:rFonts w:hint="eastAsia"/>
        </w:rPr>
      </w:pPr>
      <w:r>
        <w:rPr>
          <w:rFonts w:hint="eastAsia"/>
        </w:rPr>
        <w:t>28.</w:t>
      </w:r>
      <w:r>
        <w:rPr>
          <w:rFonts w:hint="eastAsia"/>
        </w:rPr>
        <w:tab/>
        <w:t>请提供数据说明自上一次报告以来妇女被定罪的趋势，包括犯罪类型细节，并按族裔，年龄组和区域分类。请提供资料说明狱中妇女的情况和状况，以及为补救不利条件而采取的步骤。正计划采取哪些步骤执行2007年3月《克斯顿报告》中关于解决狱中妇女问题综合办法的各项建议以及联合王国高等法院关于把女孩送往成人监狱为非法的判决？</w:t>
      </w:r>
    </w:p>
    <w:p w:rsidR="00085EAB" w:rsidRDefault="00085EAB" w:rsidP="00085EAB">
      <w:pPr>
        <w:pStyle w:val="SingleTxt"/>
        <w:rPr>
          <w:rFonts w:hint="eastAsia"/>
        </w:rPr>
      </w:pPr>
      <w:r w:rsidRPr="00085EAB">
        <w:rPr>
          <w:rFonts w:ascii="SimHei" w:eastAsia="SimHei" w:hint="eastAsia"/>
          <w:color w:val="FF0000"/>
        </w:rPr>
        <w:t>任择议定</w:t>
      </w:r>
      <w:r w:rsidRPr="00156876">
        <w:rPr>
          <w:rFonts w:ascii="SimHei" w:eastAsia="SimHei" w:hint="eastAsia"/>
          <w:color w:val="FF0000"/>
        </w:rPr>
        <w:t>书</w:t>
      </w:r>
    </w:p>
    <w:p w:rsidR="00085EAB" w:rsidRDefault="00085EAB" w:rsidP="00085EAB">
      <w:pPr>
        <w:pStyle w:val="SingleTxt"/>
        <w:rPr>
          <w:rFonts w:hint="eastAsia"/>
        </w:rPr>
      </w:pPr>
      <w:r>
        <w:rPr>
          <w:rFonts w:hint="eastAsia"/>
        </w:rPr>
        <w:t>29.</w:t>
      </w:r>
      <w:r>
        <w:rPr>
          <w:rFonts w:hint="eastAsia"/>
        </w:rPr>
        <w:tab/>
        <w:t>请提供资料，说明为广泛宣传大不列颠及北爱尔兰联合王国于2004年12月17日批准的《公约任择议定书》而采取的措施。</w:t>
      </w:r>
    </w:p>
    <w:p w:rsidR="00EA31C3" w:rsidRPr="00085EAB" w:rsidRDefault="00085EAB" w:rsidP="00085EAB">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10:anchorlock/>
          </v:line>
        </w:pict>
      </w:r>
    </w:p>
    <w:sectPr w:rsidR="00EA31C3" w:rsidRPr="00085EAB" w:rsidSect="00552D9A">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8T18:25:00Z" w:initials="Start">
    <w:p w:rsidR="00156876" w:rsidRDefault="0015687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NO&gt;&gt;N0752026C&lt;&lt;ODS JOB NO&gt;&gt;</w:t>
      </w:r>
    </w:p>
    <w:p w:rsidR="00156876" w:rsidRDefault="00156876">
      <w:pPr>
        <w:pStyle w:val="CommentText"/>
      </w:pPr>
      <w:r>
        <w:t>&lt;&lt;ODS DOC SYMBOL1&gt;&gt;CEDAW/C/UK/Q/6&lt;&lt;ODS DOC SYMBOL1&gt;&gt;</w:t>
      </w:r>
    </w:p>
    <w:p w:rsidR="00156876" w:rsidRDefault="0015687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9C1" w:rsidRDefault="00B659C1" w:rsidP="00552D9A">
      <w:pPr>
        <w:pStyle w:val="Footer"/>
      </w:pPr>
      <w:r>
        <w:separator/>
      </w:r>
    </w:p>
  </w:endnote>
  <w:endnote w:type="continuationSeparator" w:id="0">
    <w:p w:rsidR="00B659C1" w:rsidRDefault="00B659C1" w:rsidP="00552D9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6876" w:rsidTr="00552D9A">
      <w:tblPrEx>
        <w:tblCellMar>
          <w:top w:w="0" w:type="dxa"/>
          <w:bottom w:w="0" w:type="dxa"/>
        </w:tblCellMar>
      </w:tblPrEx>
      <w:tc>
        <w:tcPr>
          <w:tcW w:w="5033" w:type="dxa"/>
          <w:shd w:val="clear" w:color="auto" w:fill="auto"/>
        </w:tcPr>
        <w:p w:rsidR="00156876" w:rsidRPr="00552D9A" w:rsidRDefault="00156876" w:rsidP="00552D9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637D">
            <w:rPr>
              <w:b w:val="0"/>
              <w:w w:val="103"/>
              <w:sz w:val="14"/>
            </w:rPr>
            <w:t>07-52026</w:t>
          </w:r>
          <w:r>
            <w:rPr>
              <w:b w:val="0"/>
              <w:w w:val="103"/>
              <w:sz w:val="14"/>
            </w:rPr>
            <w:fldChar w:fldCharType="end"/>
          </w:r>
        </w:p>
      </w:tc>
      <w:tc>
        <w:tcPr>
          <w:tcW w:w="5033" w:type="dxa"/>
          <w:shd w:val="clear" w:color="auto" w:fill="auto"/>
        </w:tcPr>
        <w:p w:rsidR="00156876" w:rsidRPr="00552D9A" w:rsidRDefault="00156876" w:rsidP="00552D9A">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8D637D">
            <w:rPr>
              <w:w w:val="103"/>
              <w:sz w:val="17"/>
            </w:rPr>
            <w:t>6</w:t>
          </w:r>
          <w:r>
            <w:rPr>
              <w:w w:val="103"/>
              <w:sz w:val="17"/>
            </w:rPr>
            <w:fldChar w:fldCharType="end"/>
          </w:r>
        </w:p>
      </w:tc>
    </w:tr>
  </w:tbl>
  <w:p w:rsidR="00156876" w:rsidRPr="00552D9A" w:rsidRDefault="00156876" w:rsidP="00552D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56876" w:rsidTr="00552D9A">
      <w:tblPrEx>
        <w:tblCellMar>
          <w:top w:w="0" w:type="dxa"/>
          <w:bottom w:w="0" w:type="dxa"/>
        </w:tblCellMar>
      </w:tblPrEx>
      <w:tc>
        <w:tcPr>
          <w:tcW w:w="5033" w:type="dxa"/>
          <w:shd w:val="clear" w:color="auto" w:fill="auto"/>
        </w:tcPr>
        <w:p w:rsidR="00156876" w:rsidRPr="00552D9A" w:rsidRDefault="00156876" w:rsidP="00552D9A">
          <w:pPr>
            <w:pStyle w:val="Footer"/>
            <w:jc w:val="right"/>
          </w:pPr>
          <w:r>
            <w:fldChar w:fldCharType="begin"/>
          </w:r>
          <w:r>
            <w:instrText xml:space="preserve"> PAGE  \* MERGEFORMAT </w:instrText>
          </w:r>
          <w:r>
            <w:fldChar w:fldCharType="separate"/>
          </w:r>
          <w:r w:rsidR="008D637D">
            <w:t>5</w:t>
          </w:r>
          <w:r>
            <w:fldChar w:fldCharType="end"/>
          </w:r>
        </w:p>
      </w:tc>
      <w:tc>
        <w:tcPr>
          <w:tcW w:w="5033" w:type="dxa"/>
          <w:shd w:val="clear" w:color="auto" w:fill="auto"/>
        </w:tcPr>
        <w:p w:rsidR="00156876" w:rsidRPr="00552D9A" w:rsidRDefault="00156876" w:rsidP="00552D9A">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637D">
            <w:rPr>
              <w:b w:val="0"/>
              <w:w w:val="103"/>
              <w:sz w:val="14"/>
            </w:rPr>
            <w:t>07-52026</w:t>
          </w:r>
          <w:r>
            <w:rPr>
              <w:b w:val="0"/>
              <w:w w:val="103"/>
              <w:sz w:val="14"/>
            </w:rPr>
            <w:fldChar w:fldCharType="end"/>
          </w:r>
        </w:p>
      </w:tc>
    </w:tr>
  </w:tbl>
  <w:p w:rsidR="00156876" w:rsidRPr="00552D9A" w:rsidRDefault="00156876" w:rsidP="00552D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876" w:rsidRDefault="00156876" w:rsidP="00552D9A">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8D637D">
      <w:rPr>
        <w:b w:val="0"/>
        <w:sz w:val="21"/>
      </w:rPr>
      <w:t>07-52026 (C)</w:t>
    </w:r>
    <w:r>
      <w:rPr>
        <w:b w:val="0"/>
        <w:sz w:val="21"/>
      </w:rPr>
      <w:fldChar w:fldCharType="end"/>
    </w:r>
    <w:r>
      <w:rPr>
        <w:b w:val="0"/>
        <w:sz w:val="21"/>
      </w:rPr>
      <w:t xml:space="preserve">    181007    181007</w:t>
    </w:r>
  </w:p>
  <w:p w:rsidR="00156876" w:rsidRPr="00552D9A" w:rsidRDefault="00156876" w:rsidP="00552D9A">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D637D">
      <w:rPr>
        <w:rFonts w:ascii="Barcode 3 of 9 by request" w:hAnsi="Barcode 3 of 9 by request"/>
        <w:sz w:val="24"/>
      </w:rPr>
      <w:t>*0752026*</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9C1" w:rsidRPr="002F606B" w:rsidRDefault="00B659C1" w:rsidP="002F606B">
      <w:pPr>
        <w:pStyle w:val="Footer"/>
        <w:spacing w:after="80"/>
        <w:ind w:left="792"/>
        <w:rPr>
          <w:sz w:val="16"/>
        </w:rPr>
      </w:pPr>
      <w:r w:rsidRPr="002F606B">
        <w:rPr>
          <w:sz w:val="16"/>
        </w:rPr>
        <w:t>__________________</w:t>
      </w:r>
    </w:p>
  </w:footnote>
  <w:footnote w:type="continuationSeparator" w:id="0">
    <w:p w:rsidR="00B659C1" w:rsidRPr="002F606B" w:rsidRDefault="00B659C1" w:rsidP="002F606B">
      <w:pPr>
        <w:pStyle w:val="Footer"/>
        <w:spacing w:after="80"/>
        <w:ind w:left="792"/>
        <w:rPr>
          <w:sz w:val="16"/>
        </w:rPr>
      </w:pPr>
      <w:r w:rsidRPr="002F606B">
        <w:rPr>
          <w:sz w:val="16"/>
        </w:rPr>
        <w:t>__________________</w:t>
      </w:r>
    </w:p>
  </w:footnote>
  <w:footnote w:id="1">
    <w:p w:rsidR="00156876" w:rsidRPr="002F606B" w:rsidRDefault="00156876" w:rsidP="002F60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2F606B">
        <w:rPr>
          <w:rFonts w:hint="eastAsia"/>
        </w:rPr>
        <w:t>见《大会正式记录，第五十四届会议，补编第38号》（A/54/38/Rev.1）第二部分，第301段。</w:t>
      </w:r>
    </w:p>
  </w:footnote>
  <w:footnote w:id="2">
    <w:p w:rsidR="00156876" w:rsidRPr="002F606B" w:rsidRDefault="00156876" w:rsidP="002F60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2F606B">
        <w:rPr>
          <w:rFonts w:hint="eastAsia"/>
        </w:rPr>
        <w:t>同上，第296和297段。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56876" w:rsidTr="00552D9A">
      <w:tblPrEx>
        <w:tblCellMar>
          <w:top w:w="0" w:type="dxa"/>
          <w:bottom w:w="0" w:type="dxa"/>
        </w:tblCellMar>
      </w:tblPrEx>
      <w:trPr>
        <w:trHeight w:hRule="exact" w:val="864"/>
      </w:trPr>
      <w:tc>
        <w:tcPr>
          <w:tcW w:w="4838" w:type="dxa"/>
          <w:shd w:val="clear" w:color="auto" w:fill="auto"/>
          <w:vAlign w:val="bottom"/>
        </w:tcPr>
        <w:p w:rsidR="00156876" w:rsidRPr="00552D9A" w:rsidRDefault="00156876" w:rsidP="00552D9A">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8D637D">
            <w:rPr>
              <w:b/>
              <w:sz w:val="17"/>
            </w:rPr>
            <w:t>CEDAW/C/UK/Q/6</w:t>
          </w:r>
          <w:r>
            <w:rPr>
              <w:b/>
              <w:sz w:val="17"/>
            </w:rPr>
            <w:fldChar w:fldCharType="end"/>
          </w:r>
        </w:p>
      </w:tc>
      <w:tc>
        <w:tcPr>
          <w:tcW w:w="5033" w:type="dxa"/>
          <w:shd w:val="clear" w:color="auto" w:fill="auto"/>
          <w:vAlign w:val="bottom"/>
        </w:tcPr>
        <w:p w:rsidR="00156876" w:rsidRDefault="00156876" w:rsidP="00552D9A">
          <w:pPr>
            <w:pStyle w:val="Header"/>
          </w:pPr>
        </w:p>
      </w:tc>
    </w:tr>
  </w:tbl>
  <w:p w:rsidR="00156876" w:rsidRPr="00552D9A" w:rsidRDefault="00156876" w:rsidP="00552D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56876" w:rsidTr="00552D9A">
      <w:tblPrEx>
        <w:tblCellMar>
          <w:top w:w="0" w:type="dxa"/>
          <w:bottom w:w="0" w:type="dxa"/>
        </w:tblCellMar>
      </w:tblPrEx>
      <w:trPr>
        <w:trHeight w:hRule="exact" w:val="864"/>
      </w:trPr>
      <w:tc>
        <w:tcPr>
          <w:tcW w:w="4838" w:type="dxa"/>
          <w:shd w:val="clear" w:color="auto" w:fill="auto"/>
          <w:vAlign w:val="bottom"/>
        </w:tcPr>
        <w:p w:rsidR="00156876" w:rsidRDefault="00156876" w:rsidP="00552D9A">
          <w:pPr>
            <w:pStyle w:val="Header"/>
          </w:pPr>
        </w:p>
      </w:tc>
      <w:tc>
        <w:tcPr>
          <w:tcW w:w="5033" w:type="dxa"/>
          <w:shd w:val="clear" w:color="auto" w:fill="auto"/>
          <w:vAlign w:val="bottom"/>
        </w:tcPr>
        <w:p w:rsidR="00156876" w:rsidRPr="00552D9A" w:rsidRDefault="00156876" w:rsidP="00552D9A">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8D637D">
            <w:rPr>
              <w:b/>
              <w:sz w:val="17"/>
            </w:rPr>
            <w:t>CEDAW/C/UK/Q/6</w:t>
          </w:r>
          <w:r>
            <w:rPr>
              <w:b/>
              <w:sz w:val="17"/>
            </w:rPr>
            <w:fldChar w:fldCharType="end"/>
          </w:r>
        </w:p>
      </w:tc>
    </w:tr>
  </w:tbl>
  <w:p w:rsidR="00156876" w:rsidRPr="00552D9A" w:rsidRDefault="00156876" w:rsidP="00552D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56876" w:rsidTr="00552D9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56876" w:rsidRDefault="00156876" w:rsidP="00552D9A">
          <w:pPr>
            <w:pStyle w:val="Header"/>
            <w:spacing w:after="120"/>
          </w:pPr>
        </w:p>
      </w:tc>
      <w:tc>
        <w:tcPr>
          <w:tcW w:w="1872" w:type="dxa"/>
          <w:tcBorders>
            <w:bottom w:val="single" w:sz="4" w:space="0" w:color="auto"/>
          </w:tcBorders>
          <w:shd w:val="clear" w:color="auto" w:fill="auto"/>
          <w:vAlign w:val="bottom"/>
        </w:tcPr>
        <w:p w:rsidR="00156876" w:rsidRPr="00552D9A" w:rsidRDefault="00156876" w:rsidP="00552D9A">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56876" w:rsidRDefault="00156876" w:rsidP="00552D9A">
          <w:pPr>
            <w:pStyle w:val="Header"/>
            <w:spacing w:after="120"/>
          </w:pPr>
        </w:p>
      </w:tc>
      <w:tc>
        <w:tcPr>
          <w:tcW w:w="6523" w:type="dxa"/>
          <w:gridSpan w:val="3"/>
          <w:tcBorders>
            <w:bottom w:val="single" w:sz="4" w:space="0" w:color="auto"/>
          </w:tcBorders>
          <w:shd w:val="clear" w:color="auto" w:fill="auto"/>
          <w:vAlign w:val="bottom"/>
        </w:tcPr>
        <w:p w:rsidR="00156876" w:rsidRPr="00552D9A" w:rsidRDefault="00156876" w:rsidP="00552D9A">
          <w:pPr>
            <w:spacing w:after="80" w:line="240" w:lineRule="auto"/>
            <w:jc w:val="right"/>
            <w:rPr>
              <w:rFonts w:ascii="Times New Roman"/>
              <w:position w:val="-4"/>
            </w:rPr>
          </w:pPr>
          <w:r>
            <w:rPr>
              <w:rFonts w:ascii="Times New Roman"/>
              <w:position w:val="-4"/>
              <w:sz w:val="40"/>
            </w:rPr>
            <w:t>CEDAW</w:t>
          </w:r>
          <w:r>
            <w:rPr>
              <w:rFonts w:ascii="Times New Roman"/>
              <w:position w:val="-4"/>
            </w:rPr>
            <w:t>/C/UK/Q/6</w:t>
          </w:r>
        </w:p>
      </w:tc>
    </w:tr>
    <w:tr w:rsidR="00156876" w:rsidRPr="00552D9A" w:rsidTr="00552D9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56876" w:rsidRDefault="00156876" w:rsidP="00552D9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56876" w:rsidRPr="00552D9A" w:rsidRDefault="00156876" w:rsidP="00552D9A">
          <w:pPr>
            <w:pStyle w:val="Header"/>
            <w:spacing w:before="109"/>
            <w:ind w:left="-72"/>
          </w:pPr>
        </w:p>
      </w:tc>
      <w:tc>
        <w:tcPr>
          <w:tcW w:w="5227" w:type="dxa"/>
          <w:gridSpan w:val="3"/>
          <w:tcBorders>
            <w:top w:val="single" w:sz="4" w:space="0" w:color="auto"/>
            <w:bottom w:val="single" w:sz="12" w:space="0" w:color="auto"/>
          </w:tcBorders>
          <w:shd w:val="clear" w:color="auto" w:fill="auto"/>
        </w:tcPr>
        <w:p w:rsidR="00156876" w:rsidRPr="00552D9A" w:rsidRDefault="00156876" w:rsidP="00552D9A">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56876" w:rsidRPr="00552D9A" w:rsidRDefault="00156876" w:rsidP="00552D9A">
          <w:pPr>
            <w:pStyle w:val="Header"/>
            <w:spacing w:before="109"/>
          </w:pPr>
        </w:p>
      </w:tc>
      <w:tc>
        <w:tcPr>
          <w:tcW w:w="3180" w:type="dxa"/>
          <w:gridSpan w:val="2"/>
          <w:tcBorders>
            <w:top w:val="single" w:sz="4" w:space="0" w:color="auto"/>
            <w:bottom w:val="single" w:sz="12" w:space="0" w:color="auto"/>
          </w:tcBorders>
          <w:shd w:val="clear" w:color="auto" w:fill="auto"/>
        </w:tcPr>
        <w:p w:rsidR="00156876" w:rsidRDefault="00156876" w:rsidP="00552D9A">
          <w:pPr>
            <w:spacing w:before="240" w:line="240" w:lineRule="exact"/>
            <w:rPr>
              <w:rFonts w:ascii="Times New Roman"/>
            </w:rPr>
          </w:pPr>
          <w:r>
            <w:rPr>
              <w:rFonts w:ascii="Times New Roman"/>
            </w:rPr>
            <w:t>Distr.: General</w:t>
          </w:r>
        </w:p>
        <w:p w:rsidR="00156876" w:rsidRDefault="00156876" w:rsidP="00552D9A">
          <w:pPr>
            <w:spacing w:line="240" w:lineRule="exact"/>
            <w:rPr>
              <w:rFonts w:ascii="Times New Roman"/>
            </w:rPr>
          </w:pPr>
          <w:r>
            <w:rPr>
              <w:rFonts w:ascii="Times New Roman"/>
            </w:rPr>
            <w:t>27 September 2007</w:t>
          </w:r>
        </w:p>
        <w:p w:rsidR="00156876" w:rsidRDefault="00156876" w:rsidP="00552D9A">
          <w:pPr>
            <w:spacing w:line="240" w:lineRule="exact"/>
            <w:rPr>
              <w:rFonts w:ascii="Times New Roman"/>
            </w:rPr>
          </w:pPr>
          <w:r>
            <w:rPr>
              <w:rFonts w:ascii="Times New Roman"/>
            </w:rPr>
            <w:t>Chinese</w:t>
          </w:r>
        </w:p>
        <w:p w:rsidR="00156876" w:rsidRPr="00552D9A" w:rsidRDefault="00156876" w:rsidP="00552D9A">
          <w:pPr>
            <w:spacing w:line="240" w:lineRule="exact"/>
            <w:rPr>
              <w:rFonts w:ascii="Times New Roman"/>
            </w:rPr>
          </w:pPr>
          <w:r>
            <w:rPr>
              <w:rFonts w:ascii="Times New Roman"/>
            </w:rPr>
            <w:t>Original: English</w:t>
          </w:r>
        </w:p>
      </w:tc>
    </w:tr>
  </w:tbl>
  <w:p w:rsidR="00156876" w:rsidRPr="00552D9A" w:rsidRDefault="00156876" w:rsidP="00552D9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26*"/>
    <w:docVar w:name="CreationDt" w:val="18/10/2007 17:38:38"/>
    <w:docVar w:name="DocCategory" w:val="Doc"/>
    <w:docVar w:name="DocType" w:val="Final"/>
    <w:docVar w:name="FooterJN" w:val="07-52026"/>
    <w:docVar w:name="jobn" w:val="07-52026 (C)"/>
    <w:docVar w:name="jobnDT" w:val="07-52026 (C)   181007"/>
    <w:docVar w:name="jobnDTDT" w:val="07-52026 (C)   181007   181007"/>
    <w:docVar w:name="JobNo" w:val="0752026C"/>
    <w:docVar w:name="OandT" w:val="DONG"/>
    <w:docVar w:name="sss1" w:val="CEDAW/C/UK/Q/6"/>
    <w:docVar w:name="sss2" w:val="-"/>
    <w:docVar w:name="Symbol1" w:val="CEDAW/C/UK/Q/6"/>
    <w:docVar w:name="Symbol2" w:val="-"/>
  </w:docVars>
  <w:rsids>
    <w:rsidRoot w:val="00694388"/>
    <w:rsid w:val="000125BC"/>
    <w:rsid w:val="00021A2B"/>
    <w:rsid w:val="00037B39"/>
    <w:rsid w:val="00044CA4"/>
    <w:rsid w:val="00045EFE"/>
    <w:rsid w:val="0007337D"/>
    <w:rsid w:val="000758DF"/>
    <w:rsid w:val="00076EB8"/>
    <w:rsid w:val="00085EAB"/>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56876"/>
    <w:rsid w:val="00161E69"/>
    <w:rsid w:val="00161F54"/>
    <w:rsid w:val="00170FBE"/>
    <w:rsid w:val="0017506F"/>
    <w:rsid w:val="001931C4"/>
    <w:rsid w:val="001B267B"/>
    <w:rsid w:val="001B2814"/>
    <w:rsid w:val="001B4F95"/>
    <w:rsid w:val="001C3F7F"/>
    <w:rsid w:val="001C5166"/>
    <w:rsid w:val="001E20EC"/>
    <w:rsid w:val="001E4442"/>
    <w:rsid w:val="001E5A51"/>
    <w:rsid w:val="001F03A7"/>
    <w:rsid w:val="00207135"/>
    <w:rsid w:val="00230F02"/>
    <w:rsid w:val="00231575"/>
    <w:rsid w:val="00247382"/>
    <w:rsid w:val="00252E35"/>
    <w:rsid w:val="00254858"/>
    <w:rsid w:val="00257053"/>
    <w:rsid w:val="00263ACD"/>
    <w:rsid w:val="00266257"/>
    <w:rsid w:val="00271BE6"/>
    <w:rsid w:val="0027454D"/>
    <w:rsid w:val="0027492D"/>
    <w:rsid w:val="00280671"/>
    <w:rsid w:val="002814F9"/>
    <w:rsid w:val="00282D17"/>
    <w:rsid w:val="002A4AEF"/>
    <w:rsid w:val="002B305F"/>
    <w:rsid w:val="002B564F"/>
    <w:rsid w:val="002C2254"/>
    <w:rsid w:val="002C3BC9"/>
    <w:rsid w:val="002C54DB"/>
    <w:rsid w:val="002D0694"/>
    <w:rsid w:val="002D5503"/>
    <w:rsid w:val="002E66D5"/>
    <w:rsid w:val="002F00A4"/>
    <w:rsid w:val="002F41E2"/>
    <w:rsid w:val="002F606B"/>
    <w:rsid w:val="00315EEF"/>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87444"/>
    <w:rsid w:val="004A06D1"/>
    <w:rsid w:val="004A11FC"/>
    <w:rsid w:val="004B0936"/>
    <w:rsid w:val="004C0224"/>
    <w:rsid w:val="004C3255"/>
    <w:rsid w:val="004C455A"/>
    <w:rsid w:val="004D07E1"/>
    <w:rsid w:val="004D1C19"/>
    <w:rsid w:val="004F29B8"/>
    <w:rsid w:val="0050413E"/>
    <w:rsid w:val="00515657"/>
    <w:rsid w:val="00521275"/>
    <w:rsid w:val="0052216F"/>
    <w:rsid w:val="005232CA"/>
    <w:rsid w:val="00523636"/>
    <w:rsid w:val="005335B9"/>
    <w:rsid w:val="00536CCE"/>
    <w:rsid w:val="00552D9A"/>
    <w:rsid w:val="005541E4"/>
    <w:rsid w:val="0058302A"/>
    <w:rsid w:val="005B7338"/>
    <w:rsid w:val="005C02AB"/>
    <w:rsid w:val="005D0F04"/>
    <w:rsid w:val="005F12F0"/>
    <w:rsid w:val="005F3273"/>
    <w:rsid w:val="005F34A3"/>
    <w:rsid w:val="00610CF2"/>
    <w:rsid w:val="006479F1"/>
    <w:rsid w:val="00650BEE"/>
    <w:rsid w:val="006520FA"/>
    <w:rsid w:val="0065377D"/>
    <w:rsid w:val="00666F57"/>
    <w:rsid w:val="006740A7"/>
    <w:rsid w:val="00690A37"/>
    <w:rsid w:val="00691524"/>
    <w:rsid w:val="00694388"/>
    <w:rsid w:val="006A654B"/>
    <w:rsid w:val="006E2924"/>
    <w:rsid w:val="006E7A26"/>
    <w:rsid w:val="006F2B3D"/>
    <w:rsid w:val="00704B3E"/>
    <w:rsid w:val="007319E0"/>
    <w:rsid w:val="00737B00"/>
    <w:rsid w:val="0075155C"/>
    <w:rsid w:val="00753A05"/>
    <w:rsid w:val="00757193"/>
    <w:rsid w:val="00761190"/>
    <w:rsid w:val="00776537"/>
    <w:rsid w:val="00783A25"/>
    <w:rsid w:val="007877F4"/>
    <w:rsid w:val="007E1B5E"/>
    <w:rsid w:val="007F2278"/>
    <w:rsid w:val="00805627"/>
    <w:rsid w:val="00805783"/>
    <w:rsid w:val="00806F57"/>
    <w:rsid w:val="00806F90"/>
    <w:rsid w:val="00822106"/>
    <w:rsid w:val="00824C19"/>
    <w:rsid w:val="008378D1"/>
    <w:rsid w:val="00841DF9"/>
    <w:rsid w:val="00846462"/>
    <w:rsid w:val="0086691F"/>
    <w:rsid w:val="00883DB0"/>
    <w:rsid w:val="00884C8F"/>
    <w:rsid w:val="00896D38"/>
    <w:rsid w:val="008C3296"/>
    <w:rsid w:val="008D1C82"/>
    <w:rsid w:val="008D637D"/>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659C1"/>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1FB2"/>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2619"/>
    <w:rsid w:val="00E25442"/>
    <w:rsid w:val="00E25A1F"/>
    <w:rsid w:val="00E34C10"/>
    <w:rsid w:val="00E37EEB"/>
    <w:rsid w:val="00E710FB"/>
    <w:rsid w:val="00E806D9"/>
    <w:rsid w:val="00E82CA2"/>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96B34"/>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65</TotalTime>
  <Pages>1</Pages>
  <Words>766</Words>
  <Characters>4369</Characters>
  <Application>Microsoft Office Word</Application>
  <DocSecurity>4</DocSecurity>
  <Lines>36</Lines>
  <Paragraphs>10</Paragraphs>
  <ScaleCrop>false</ScaleCrop>
  <Company>United Nations</Company>
  <LinksUpToDate>false</LinksUpToDate>
  <CharactersWithSpaces>5125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Lihai.Dong</dc:creator>
  <cp:keywords/>
  <dc:description/>
  <cp:lastModifiedBy>Lihai.Dong</cp:lastModifiedBy>
  <cp:revision>13</cp:revision>
  <cp:lastPrinted>2007-10-18T20:31:00Z</cp:lastPrinted>
  <dcterms:created xsi:type="dcterms:W3CDTF">2007-10-18T15:37:00Z</dcterms:created>
  <dcterms:modified xsi:type="dcterms:W3CDTF">2007-10-18T20:32:00Z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0752026</vt:lpwstr>
  </property>
  <property fmtid="{D5CDD505-2E9C-101B-9397-08002B2CF9AE}" pid="3" name="Symbol1">
    <vt:lpwstr>CEDAW/C/UK/Q/6</vt:lpwstr>
  </property>
  <property fmtid="{D5CDD505-2E9C-101B-9397-08002B2CF9AE}" pid="4" name="Symbol2">
    <vt:lpwstr/>
  </property>
  <property fmtid="{D5CDD505-2E9C-101B-9397-08002B2CF9AE}" pid="5" name="Translator">
    <vt:lpwstr/>
  </property>
  <property fmtid="{D5CDD505-2E9C-101B-9397-08002B2CF9AE}" pid="6" name="Operator">
    <vt:lpwstr>DONG</vt:lpwstr>
  </property>
  <property fmtid="{D5CDD505-2E9C-101B-9397-08002B2CF9AE}" pid="7" name="DraftPages">
    <vt:lpwstr> </vt:lpwstr>
  </property>
  <property fmtid="{D5CDD505-2E9C-101B-9397-08002B2CF9AE}" pid="8" name="Comment">
    <vt:lpwstr/>
  </property>
</Properties>
</file>