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3D72E2">
        <w:trPr>
          <w:trHeight w:hRule="exact" w:val="851"/>
        </w:trPr>
        <w:tc>
          <w:tcPr>
            <w:tcW w:w="1274" w:type="dxa"/>
            <w:tcBorders>
              <w:bottom w:val="single" w:sz="4" w:space="0" w:color="auto"/>
            </w:tcBorders>
            <w:shd w:val="clear" w:color="auto" w:fill="auto"/>
          </w:tcPr>
          <w:p w:rsidR="006B3E27" w:rsidRPr="003D72E2" w:rsidRDefault="006B3E27" w:rsidP="003D72E2">
            <w:pPr>
              <w:jc w:val="center"/>
              <w:rPr>
                <w:rFonts w:hint="cs"/>
                <w:sz w:val="56"/>
                <w:szCs w:val="56"/>
              </w:rPr>
            </w:pPr>
          </w:p>
        </w:tc>
        <w:tc>
          <w:tcPr>
            <w:tcW w:w="4537" w:type="dxa"/>
            <w:tcBorders>
              <w:bottom w:val="single" w:sz="4" w:space="0" w:color="auto"/>
            </w:tcBorders>
            <w:shd w:val="clear" w:color="auto" w:fill="auto"/>
            <w:vAlign w:val="bottom"/>
          </w:tcPr>
          <w:p w:rsidR="006B3E27" w:rsidRPr="003D72E2" w:rsidRDefault="006B3E27" w:rsidP="003D72E2">
            <w:pPr>
              <w:spacing w:after="80" w:line="480" w:lineRule="exact"/>
              <w:jc w:val="left"/>
              <w:rPr>
                <w:sz w:val="40"/>
                <w:szCs w:val="40"/>
                <w:rtl/>
              </w:rPr>
            </w:pPr>
            <w:r w:rsidRPr="003D72E2">
              <w:rPr>
                <w:rFonts w:hint="cs"/>
                <w:sz w:val="40"/>
                <w:szCs w:val="40"/>
                <w:rtl/>
              </w:rPr>
              <w:t>الأمم المتحدة</w:t>
            </w:r>
          </w:p>
        </w:tc>
        <w:tc>
          <w:tcPr>
            <w:tcW w:w="3828" w:type="dxa"/>
            <w:tcBorders>
              <w:bottom w:val="single" w:sz="4" w:space="0" w:color="auto"/>
            </w:tcBorders>
            <w:shd w:val="clear" w:color="auto" w:fill="auto"/>
            <w:vAlign w:val="bottom"/>
          </w:tcPr>
          <w:p w:rsidR="006B3E27" w:rsidRPr="003D72E2" w:rsidRDefault="00EF1BA8" w:rsidP="00EF1BA8">
            <w:pPr>
              <w:bidi w:val="0"/>
              <w:spacing w:after="20"/>
              <w:jc w:val="left"/>
              <w:rPr>
                <w:szCs w:val="20"/>
              </w:rPr>
            </w:pPr>
            <w:r w:rsidRPr="00EF1BA8">
              <w:rPr>
                <w:sz w:val="40"/>
                <w:szCs w:val="20"/>
              </w:rPr>
              <w:t>CCPR</w:t>
            </w:r>
            <w:r>
              <w:rPr>
                <w:szCs w:val="20"/>
              </w:rPr>
              <w:t>/C/HTI/CO/1</w:t>
            </w:r>
          </w:p>
        </w:tc>
      </w:tr>
      <w:tr w:rsidR="006B3E27" w:rsidRPr="00ED7442" w:rsidTr="003D72E2">
        <w:trPr>
          <w:trHeight w:hRule="exact" w:val="2835"/>
        </w:trPr>
        <w:tc>
          <w:tcPr>
            <w:tcW w:w="1274" w:type="dxa"/>
            <w:tcBorders>
              <w:top w:val="single" w:sz="4" w:space="0" w:color="auto"/>
              <w:bottom w:val="single" w:sz="12" w:space="0" w:color="auto"/>
            </w:tcBorders>
            <w:shd w:val="clear" w:color="auto" w:fill="auto"/>
          </w:tcPr>
          <w:p w:rsidR="006B3E27" w:rsidRPr="003D72E2" w:rsidRDefault="003D72E2" w:rsidP="003D72E2">
            <w:pPr>
              <w:jc w:val="center"/>
              <w:rPr>
                <w:sz w:val="56"/>
                <w:szCs w:val="56"/>
                <w:rtl/>
              </w:rPr>
            </w:pPr>
            <w:r w:rsidRPr="003D72E2">
              <w:rPr>
                <w:noProof/>
                <w:sz w:val="56"/>
                <w:szCs w:val="5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5pt;height:48pt;visibility:visible">
                  <v:imagedata r:id="rId7" o:title="" croptop="-909f" cropbottom="-909f" cropleft="-34f" cropright="-34f"/>
                </v:shape>
              </w:pict>
            </w:r>
          </w:p>
        </w:tc>
        <w:tc>
          <w:tcPr>
            <w:tcW w:w="4537" w:type="dxa"/>
            <w:tcBorders>
              <w:top w:val="single" w:sz="4" w:space="0" w:color="auto"/>
              <w:bottom w:val="single" w:sz="12" w:space="0" w:color="auto"/>
            </w:tcBorders>
            <w:shd w:val="clear" w:color="auto" w:fill="auto"/>
          </w:tcPr>
          <w:p w:rsidR="006B3E27" w:rsidRPr="003D72E2" w:rsidRDefault="00ED7442" w:rsidP="003D72E2">
            <w:pPr>
              <w:spacing w:before="120" w:after="40" w:line="640" w:lineRule="exact"/>
              <w:jc w:val="left"/>
              <w:rPr>
                <w:b/>
                <w:bCs/>
                <w:sz w:val="56"/>
                <w:szCs w:val="56"/>
              </w:rPr>
            </w:pPr>
            <w:r w:rsidRPr="003D72E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rsidR="006B3E27" w:rsidRDefault="00EF1BA8" w:rsidP="00EF1BA8">
            <w:pPr>
              <w:bidi w:val="0"/>
              <w:spacing w:before="240"/>
              <w:jc w:val="left"/>
              <w:rPr>
                <w:szCs w:val="20"/>
              </w:rPr>
            </w:pPr>
            <w:r>
              <w:rPr>
                <w:szCs w:val="20"/>
              </w:rPr>
              <w:t>Distr.: General</w:t>
            </w:r>
          </w:p>
          <w:p w:rsidR="00EF1BA8" w:rsidRDefault="00932D39" w:rsidP="00932D39">
            <w:pPr>
              <w:bidi w:val="0"/>
              <w:jc w:val="left"/>
              <w:rPr>
                <w:szCs w:val="20"/>
              </w:rPr>
            </w:pPr>
            <w:r>
              <w:rPr>
                <w:szCs w:val="20"/>
              </w:rPr>
              <w:t>21 November 2014</w:t>
            </w:r>
          </w:p>
          <w:p w:rsidR="00EF1BA8" w:rsidRDefault="00EF1BA8" w:rsidP="00EF1BA8">
            <w:pPr>
              <w:bidi w:val="0"/>
              <w:jc w:val="left"/>
              <w:rPr>
                <w:szCs w:val="20"/>
              </w:rPr>
            </w:pPr>
            <w:r>
              <w:rPr>
                <w:szCs w:val="20"/>
              </w:rPr>
              <w:t>Arabic</w:t>
            </w:r>
          </w:p>
          <w:p w:rsidR="00EF1BA8" w:rsidRPr="003D72E2" w:rsidRDefault="00932D39" w:rsidP="00932D39">
            <w:pPr>
              <w:bidi w:val="0"/>
              <w:jc w:val="left"/>
              <w:rPr>
                <w:szCs w:val="20"/>
              </w:rPr>
            </w:pPr>
            <w:r>
              <w:rPr>
                <w:szCs w:val="20"/>
              </w:rPr>
              <w:t>Original: French</w:t>
            </w:r>
          </w:p>
        </w:tc>
      </w:tr>
    </w:tbl>
    <w:p w:rsidR="00EF1BA8" w:rsidRPr="00EF1BA8" w:rsidRDefault="00EF1BA8" w:rsidP="00EF1BA8">
      <w:pPr>
        <w:spacing w:before="120" w:line="380" w:lineRule="exact"/>
        <w:textDirection w:val="tbRlV"/>
        <w:rPr>
          <w:b/>
          <w:bCs/>
          <w:sz w:val="30"/>
          <w:szCs w:val="36"/>
          <w:rtl/>
          <w:lang w:eastAsia="zh-TW"/>
        </w:rPr>
      </w:pPr>
      <w:r w:rsidRPr="00EF1BA8">
        <w:rPr>
          <w:b/>
          <w:bCs/>
          <w:sz w:val="26"/>
          <w:szCs w:val="36"/>
          <w:rtl/>
          <w:lang w:val="fr-CH"/>
        </w:rPr>
        <w:t>اللجنة</w:t>
      </w:r>
      <w:r w:rsidRPr="00EF1BA8">
        <w:rPr>
          <w:b/>
          <w:bCs/>
          <w:sz w:val="30"/>
          <w:szCs w:val="36"/>
          <w:rtl/>
          <w:lang w:eastAsia="zh-TW"/>
        </w:rPr>
        <w:t xml:space="preserve"> المعنية بحقوق الإنسان</w:t>
      </w:r>
    </w:p>
    <w:p w:rsidR="00EF1BA8" w:rsidRPr="00BA5BAA" w:rsidRDefault="00EF1BA8" w:rsidP="002B5AFC">
      <w:pPr>
        <w:pStyle w:val="HChGA"/>
        <w:rPr>
          <w:rtl/>
          <w:lang w:val="fr-CH"/>
        </w:rPr>
      </w:pPr>
      <w:r w:rsidRPr="00BA5BAA">
        <w:rPr>
          <w:rtl/>
          <w:lang w:val="fr-CH"/>
        </w:rPr>
        <w:tab/>
      </w:r>
      <w:r w:rsidRPr="00BA5BAA">
        <w:rPr>
          <w:rFonts w:hint="cs"/>
          <w:rtl/>
          <w:lang w:val="fr-CH"/>
        </w:rPr>
        <w:tab/>
      </w:r>
      <w:r w:rsidRPr="00BA5BAA">
        <w:rPr>
          <w:rtl/>
          <w:lang w:val="fr-CH"/>
        </w:rPr>
        <w:t>الملاحظات الختامية بشأن التقرير ال</w:t>
      </w:r>
      <w:r>
        <w:rPr>
          <w:rFonts w:hint="cs"/>
          <w:rtl/>
          <w:lang w:val="fr-CH"/>
        </w:rPr>
        <w:t>أولي</w:t>
      </w:r>
      <w:r w:rsidRPr="00BA5BAA">
        <w:rPr>
          <w:rtl/>
          <w:lang w:val="fr-CH"/>
        </w:rPr>
        <w:t xml:space="preserve"> ل</w:t>
      </w:r>
      <w:r>
        <w:rPr>
          <w:rFonts w:hint="cs"/>
          <w:rtl/>
          <w:lang w:val="fr-CH"/>
        </w:rPr>
        <w:t>هايتي</w:t>
      </w:r>
      <w:r w:rsidR="002B5AFC" w:rsidRPr="002B5AFC">
        <w:rPr>
          <w:rStyle w:val="FootnoteReference"/>
          <w:sz w:val="20"/>
          <w:vertAlign w:val="baseline"/>
          <w:rtl/>
          <w:lang w:val="fr-CH"/>
        </w:rPr>
        <w:footnoteReference w:customMarkFollows="1" w:id="1"/>
        <w:t>*</w:t>
      </w:r>
    </w:p>
    <w:p w:rsidR="00EF1BA8" w:rsidRPr="002B5AFC" w:rsidRDefault="00EF1BA8" w:rsidP="002B5AFC">
      <w:pPr>
        <w:pStyle w:val="SingleTxtGA"/>
        <w:rPr>
          <w:rFonts w:hint="cs"/>
          <w:rtl/>
          <w:lang w:eastAsia="zh-TW"/>
        </w:rPr>
      </w:pPr>
      <w:r w:rsidRPr="00BA5BAA">
        <w:rPr>
          <w:rtl/>
        </w:rPr>
        <w:t>١-</w:t>
      </w:r>
      <w:r w:rsidRPr="00BA5BAA">
        <w:rPr>
          <w:rtl/>
        </w:rPr>
        <w:tab/>
      </w:r>
      <w:r w:rsidRPr="00BA5BAA">
        <w:rPr>
          <w:rtl/>
          <w:lang w:val="en-GB" w:eastAsia="zh-TW"/>
        </w:rPr>
        <w:t>نظرت اللجنة في التقرير الدوري ال</w:t>
      </w:r>
      <w:r>
        <w:rPr>
          <w:rFonts w:hint="cs"/>
          <w:rtl/>
          <w:lang w:val="en-GB" w:eastAsia="zh-TW"/>
        </w:rPr>
        <w:t>أولي لهايتي</w:t>
      </w:r>
      <w:r w:rsidRPr="00BA5BAA">
        <w:rPr>
          <w:rtl/>
          <w:lang w:val="en-GB" w:eastAsia="zh-TW"/>
        </w:rPr>
        <w:t xml:space="preserve"> (</w:t>
      </w:r>
      <w:r w:rsidRPr="004577AA">
        <w:rPr>
          <w:lang w:val="fr-FR"/>
        </w:rPr>
        <w:t>CCPR/C/HTI/1</w:t>
      </w:r>
      <w:r w:rsidRPr="00BA5BAA">
        <w:rPr>
          <w:rtl/>
          <w:lang w:val="en-GB" w:eastAsia="zh-TW"/>
        </w:rPr>
        <w:t xml:space="preserve">) في جلستيها </w:t>
      </w:r>
      <w:r>
        <w:rPr>
          <w:rFonts w:hint="cs"/>
          <w:rtl/>
          <w:lang w:val="en-GB" w:eastAsia="zh-TW"/>
        </w:rPr>
        <w:t xml:space="preserve">3102 </w:t>
      </w:r>
      <w:r w:rsidRPr="002B5AFC">
        <w:rPr>
          <w:spacing w:val="-4"/>
          <w:rtl/>
          <w:lang w:val="en-GB" w:eastAsia="zh-TW"/>
        </w:rPr>
        <w:t>و</w:t>
      </w:r>
      <w:r w:rsidRPr="002B5AFC">
        <w:rPr>
          <w:rFonts w:hint="cs"/>
          <w:spacing w:val="-4"/>
          <w:rtl/>
          <w:lang w:val="en-GB" w:eastAsia="zh-TW"/>
        </w:rPr>
        <w:t>3103</w:t>
      </w:r>
      <w:r w:rsidRPr="002B5AFC">
        <w:rPr>
          <w:spacing w:val="-4"/>
          <w:rtl/>
          <w:lang w:val="en-GB" w:eastAsia="zh-TW"/>
        </w:rPr>
        <w:t xml:space="preserve"> (</w:t>
      </w:r>
      <w:r w:rsidRPr="002B5AFC">
        <w:rPr>
          <w:spacing w:val="-4"/>
          <w:lang w:val="fr-FR"/>
        </w:rPr>
        <w:t>CCPR/C/SR.3102</w:t>
      </w:r>
      <w:r w:rsidRPr="002B5AFC">
        <w:rPr>
          <w:rFonts w:hint="cs"/>
          <w:spacing w:val="-4"/>
          <w:rtl/>
          <w:lang w:val="en-GB" w:eastAsia="zh-TW"/>
        </w:rPr>
        <w:t xml:space="preserve"> </w:t>
      </w:r>
      <w:r w:rsidRPr="002B5AFC">
        <w:rPr>
          <w:spacing w:val="-4"/>
          <w:rtl/>
          <w:lang w:val="en-GB" w:eastAsia="zh-TW"/>
        </w:rPr>
        <w:t>و</w:t>
      </w:r>
      <w:r w:rsidR="002B5AFC" w:rsidRPr="002B5AFC">
        <w:rPr>
          <w:rFonts w:hint="cs"/>
          <w:spacing w:val="-4"/>
          <w:rtl/>
          <w:lang w:val="en-GB" w:eastAsia="zh-TW"/>
        </w:rPr>
        <w:t>3103</w:t>
      </w:r>
      <w:r w:rsidRPr="002B5AFC">
        <w:rPr>
          <w:spacing w:val="-4"/>
          <w:rtl/>
          <w:lang w:val="en-GB" w:eastAsia="zh-TW"/>
        </w:rPr>
        <w:t>)</w:t>
      </w:r>
      <w:r w:rsidRPr="002B5AFC">
        <w:rPr>
          <w:spacing w:val="-4"/>
          <w:rtl/>
          <w:lang w:eastAsia="zh-TW"/>
        </w:rPr>
        <w:t>،</w:t>
      </w:r>
      <w:r w:rsidRPr="002B5AFC">
        <w:rPr>
          <w:spacing w:val="-4"/>
          <w:rtl/>
          <w:lang w:val="en-GB" w:eastAsia="zh-TW"/>
        </w:rPr>
        <w:t xml:space="preserve"> المعقودتين </w:t>
      </w:r>
      <w:r w:rsidRPr="002B5AFC">
        <w:rPr>
          <w:rFonts w:hint="cs"/>
          <w:spacing w:val="-4"/>
          <w:rtl/>
          <w:lang w:val="en-GB" w:eastAsia="zh-TW"/>
        </w:rPr>
        <w:t xml:space="preserve">يومَي 9 و10 </w:t>
      </w:r>
      <w:r w:rsidRPr="002B5AFC">
        <w:rPr>
          <w:spacing w:val="-4"/>
          <w:rtl/>
          <w:lang w:val="en-GB" w:eastAsia="zh-TW"/>
        </w:rPr>
        <w:t>تشرين الأول/أكتوبر</w:t>
      </w:r>
      <w:r w:rsidRPr="00BA5BAA">
        <w:rPr>
          <w:rtl/>
          <w:lang w:val="en-GB" w:eastAsia="zh-TW"/>
        </w:rPr>
        <w:t xml:space="preserve"> 2014</w:t>
      </w:r>
      <w:r w:rsidRPr="00BA5BAA">
        <w:rPr>
          <w:rtl/>
          <w:lang w:eastAsia="zh-TW"/>
        </w:rPr>
        <w:t xml:space="preserve">. </w:t>
      </w:r>
      <w:r w:rsidRPr="002B5AFC">
        <w:rPr>
          <w:rtl/>
          <w:lang w:val="en-GB" w:eastAsia="zh-TW"/>
        </w:rPr>
        <w:t>واعتمدت الملاحظات الختامية التالية في جلستها 312</w:t>
      </w:r>
      <w:r w:rsidRPr="002B5AFC">
        <w:rPr>
          <w:rFonts w:hint="cs"/>
          <w:rtl/>
          <w:lang w:val="en-GB" w:eastAsia="zh-TW"/>
        </w:rPr>
        <w:t>6</w:t>
      </w:r>
      <w:r w:rsidRPr="002B5AFC">
        <w:rPr>
          <w:rtl/>
          <w:lang w:val="en-GB" w:eastAsia="zh-TW"/>
        </w:rPr>
        <w:t xml:space="preserve"> المعقودة في </w:t>
      </w:r>
      <w:r w:rsidRPr="002B5AFC">
        <w:rPr>
          <w:rFonts w:hint="cs"/>
          <w:rtl/>
          <w:lang w:val="en-GB" w:eastAsia="zh-TW"/>
        </w:rPr>
        <w:t>27</w:t>
      </w:r>
      <w:r w:rsidRPr="002B5AFC">
        <w:rPr>
          <w:rtl/>
          <w:lang w:val="en-GB" w:eastAsia="zh-TW"/>
        </w:rPr>
        <w:t xml:space="preserve"> تشرين الأول/</w:t>
      </w:r>
      <w:r w:rsidR="000A707B">
        <w:rPr>
          <w:rFonts w:hint="cs"/>
          <w:rtl/>
          <w:lang w:val="en-GB" w:eastAsia="zh-TW"/>
        </w:rPr>
        <w:t xml:space="preserve">  </w:t>
      </w:r>
      <w:r w:rsidR="002B5AFC" w:rsidRPr="002B5AFC">
        <w:rPr>
          <w:rFonts w:hint="cs"/>
          <w:rtl/>
          <w:lang w:val="en-GB" w:eastAsia="zh-TW"/>
        </w:rPr>
        <w:t xml:space="preserve">  </w:t>
      </w:r>
      <w:r w:rsidRPr="002B5AFC">
        <w:rPr>
          <w:rtl/>
          <w:lang w:val="en-GB" w:eastAsia="zh-TW"/>
        </w:rPr>
        <w:t>أكتوبر ٢٠١٤</w:t>
      </w:r>
      <w:r w:rsidRPr="002B5AFC">
        <w:rPr>
          <w:rtl/>
          <w:lang w:eastAsia="zh-TW"/>
        </w:rPr>
        <w:t>.</w:t>
      </w:r>
    </w:p>
    <w:p w:rsidR="00EF1BA8" w:rsidRPr="00EF1BA8" w:rsidRDefault="00EF1BA8" w:rsidP="0017569F">
      <w:pPr>
        <w:pStyle w:val="H1GA"/>
        <w:rPr>
          <w:rtl/>
        </w:rPr>
      </w:pPr>
      <w:r w:rsidRPr="00EF1BA8">
        <w:rPr>
          <w:rFonts w:hint="cs"/>
          <w:rtl/>
        </w:rPr>
        <w:tab/>
      </w:r>
      <w:r w:rsidRPr="00EF1BA8">
        <w:rPr>
          <w:rtl/>
        </w:rPr>
        <w:t>ألف-</w:t>
      </w:r>
      <w:r w:rsidRPr="00EF1BA8">
        <w:rPr>
          <w:rtl/>
        </w:rPr>
        <w:tab/>
        <w:t>مقدمة</w:t>
      </w:r>
    </w:p>
    <w:p w:rsidR="00EF1BA8" w:rsidRDefault="00EF1BA8" w:rsidP="002B5AFC">
      <w:pPr>
        <w:pStyle w:val="SingleTxtGA"/>
        <w:rPr>
          <w:rtl/>
          <w:lang w:eastAsia="zh-TW"/>
        </w:rPr>
      </w:pPr>
      <w:r w:rsidRPr="00BA5BAA">
        <w:rPr>
          <w:rtl/>
        </w:rPr>
        <w:t>٢-</w:t>
      </w:r>
      <w:r w:rsidRPr="00BA5BAA">
        <w:rPr>
          <w:rtl/>
        </w:rPr>
        <w:tab/>
      </w:r>
      <w:r w:rsidRPr="00BA5BAA">
        <w:rPr>
          <w:rtl/>
          <w:lang w:val="en-GB" w:eastAsia="zh-TW"/>
        </w:rPr>
        <w:t>ت</w:t>
      </w:r>
      <w:r>
        <w:rPr>
          <w:rFonts w:hint="cs"/>
          <w:rtl/>
          <w:lang w:val="en-GB" w:eastAsia="zh-TW"/>
        </w:rPr>
        <w:t xml:space="preserve">رحب </w:t>
      </w:r>
      <w:r w:rsidRPr="00BA5BAA">
        <w:rPr>
          <w:rtl/>
          <w:lang w:val="en-GB" w:eastAsia="zh-TW"/>
        </w:rPr>
        <w:t xml:space="preserve">اللجنة </w:t>
      </w:r>
      <w:r>
        <w:rPr>
          <w:rFonts w:hint="cs"/>
          <w:rtl/>
          <w:lang w:val="en-GB" w:eastAsia="zh-TW"/>
        </w:rPr>
        <w:t xml:space="preserve">بارتياح بالتقرير الأولي لهايتي المقدّم بعد تأخر دام 16 سنة، وبالمعلومات الواردة فيه. </w:t>
      </w:r>
      <w:r w:rsidRPr="00BA5BAA">
        <w:rPr>
          <w:rtl/>
          <w:lang w:val="en-GB" w:eastAsia="zh-TW"/>
        </w:rPr>
        <w:t xml:space="preserve">وتعرب عن تقديرها </w:t>
      </w:r>
      <w:r>
        <w:rPr>
          <w:rFonts w:hint="cs"/>
          <w:rtl/>
          <w:lang w:val="en-GB" w:eastAsia="zh-TW"/>
        </w:rPr>
        <w:t>ل</w:t>
      </w:r>
      <w:r w:rsidRPr="00BA5BAA">
        <w:rPr>
          <w:rtl/>
          <w:lang w:val="en-GB" w:eastAsia="zh-TW"/>
        </w:rPr>
        <w:t xml:space="preserve">لفرصة </w:t>
      </w:r>
      <w:r>
        <w:rPr>
          <w:rFonts w:hint="cs"/>
          <w:rtl/>
          <w:lang w:val="en-GB" w:eastAsia="zh-TW"/>
        </w:rPr>
        <w:t xml:space="preserve">التي أتيحت لها لتبادل </w:t>
      </w:r>
      <w:r w:rsidRPr="00BA5BAA">
        <w:rPr>
          <w:rtl/>
          <w:lang w:val="en-GB" w:eastAsia="zh-TW"/>
        </w:rPr>
        <w:t>حوار بنّاء مع وفد الدولة الطرف الرفيع المستوى بشأن التدابير التي اتخذتها الدولة</w:t>
      </w:r>
      <w:r>
        <w:rPr>
          <w:rFonts w:hint="cs"/>
          <w:rtl/>
          <w:lang w:val="en-GB" w:eastAsia="zh-TW"/>
        </w:rPr>
        <w:t xml:space="preserve"> </w:t>
      </w:r>
      <w:r w:rsidRPr="006A3455">
        <w:rPr>
          <w:rFonts w:hint="cs"/>
          <w:rtl/>
          <w:lang w:val="en-GB" w:eastAsia="zh-TW"/>
        </w:rPr>
        <w:t>الطرف ل</w:t>
      </w:r>
      <w:r w:rsidRPr="006A3455">
        <w:rPr>
          <w:rtl/>
          <w:lang w:val="en-GB" w:eastAsia="zh-TW"/>
        </w:rPr>
        <w:t>تنفيذ أحكام</w:t>
      </w:r>
      <w:r w:rsidRPr="006A3455">
        <w:rPr>
          <w:rFonts w:hint="cs"/>
          <w:rtl/>
          <w:lang w:val="en-GB" w:eastAsia="zh-TW"/>
        </w:rPr>
        <w:t xml:space="preserve"> العهد منذ دخوله حيز النفاذ</w:t>
      </w:r>
      <w:r w:rsidRPr="006A3455">
        <w:rPr>
          <w:rtl/>
          <w:lang w:eastAsia="zh-TW"/>
        </w:rPr>
        <w:t xml:space="preserve">. </w:t>
      </w:r>
      <w:r w:rsidRPr="006A3455">
        <w:rPr>
          <w:rtl/>
          <w:lang w:val="en-GB" w:eastAsia="zh-TW"/>
        </w:rPr>
        <w:t xml:space="preserve">وتشكر </w:t>
      </w:r>
      <w:r w:rsidRPr="006A3455">
        <w:rPr>
          <w:rFonts w:hint="cs"/>
          <w:rtl/>
          <w:lang w:val="en-GB" w:eastAsia="zh-TW"/>
        </w:rPr>
        <w:t xml:space="preserve">اللجنة </w:t>
      </w:r>
      <w:r w:rsidRPr="006A3455">
        <w:rPr>
          <w:rtl/>
          <w:lang w:val="en-GB" w:eastAsia="zh-TW"/>
        </w:rPr>
        <w:t xml:space="preserve">الدولة الطرف على الردود </w:t>
      </w:r>
      <w:r w:rsidRPr="006A3455">
        <w:rPr>
          <w:rFonts w:hint="cs"/>
          <w:rtl/>
          <w:lang w:val="en-GB" w:eastAsia="zh-TW"/>
        </w:rPr>
        <w:t>الخطية (</w:t>
      </w:r>
      <w:r w:rsidRPr="006A3455">
        <w:rPr>
          <w:lang w:val="fr-FR"/>
        </w:rPr>
        <w:t>CCPR/C/HTI/Q/1/Add.1</w:t>
      </w:r>
      <w:r w:rsidRPr="006A3455">
        <w:rPr>
          <w:rFonts w:hint="cs"/>
          <w:rtl/>
          <w:lang w:val="en-GB" w:eastAsia="zh-TW"/>
        </w:rPr>
        <w:t>) التي قدّمتها على قائمة المسائل (</w:t>
      </w:r>
      <w:r w:rsidRPr="006A3455">
        <w:rPr>
          <w:lang w:val="fr-FR"/>
        </w:rPr>
        <w:t>CCPR/C/HTI/Q/1</w:t>
      </w:r>
      <w:r w:rsidRPr="006A3455">
        <w:rPr>
          <w:rFonts w:hint="cs"/>
          <w:rtl/>
          <w:lang w:val="en-GB" w:eastAsia="zh-TW"/>
        </w:rPr>
        <w:t xml:space="preserve">)، واستكملها </w:t>
      </w:r>
      <w:r w:rsidRPr="006A3455">
        <w:rPr>
          <w:rtl/>
          <w:lang w:val="en-GB" w:eastAsia="zh-TW"/>
        </w:rPr>
        <w:t>الوفد شفوياً</w:t>
      </w:r>
      <w:r w:rsidRPr="006A3455">
        <w:rPr>
          <w:rFonts w:hint="cs"/>
          <w:rtl/>
          <w:lang w:val="en-GB" w:eastAsia="zh-TW"/>
        </w:rPr>
        <w:t xml:space="preserve"> أثناء الحوار وكذلك المعلومات الإضافية المقدمة خطياً</w:t>
      </w:r>
      <w:r w:rsidRPr="006A3455">
        <w:rPr>
          <w:rFonts w:hint="cs"/>
          <w:rtl/>
          <w:lang w:eastAsia="zh-TW"/>
        </w:rPr>
        <w:t>.</w:t>
      </w:r>
    </w:p>
    <w:p w:rsidR="00EF1BA8" w:rsidRPr="002B5AFC" w:rsidRDefault="00EF1BA8" w:rsidP="002B5AFC">
      <w:pPr>
        <w:pStyle w:val="H1GA"/>
        <w:rPr>
          <w:rtl/>
        </w:rPr>
      </w:pPr>
      <w:r w:rsidRPr="002B5AFC">
        <w:rPr>
          <w:rFonts w:hint="cs"/>
          <w:rtl/>
        </w:rPr>
        <w:tab/>
      </w:r>
      <w:r w:rsidRPr="002B5AFC">
        <w:rPr>
          <w:rtl/>
        </w:rPr>
        <w:t>باء-</w:t>
      </w:r>
      <w:r w:rsidRPr="002B5AFC">
        <w:rPr>
          <w:rtl/>
        </w:rPr>
        <w:tab/>
        <w:t>الجوانب الإيجابية</w:t>
      </w:r>
    </w:p>
    <w:p w:rsidR="00EF1BA8" w:rsidRPr="00BA5BAA" w:rsidRDefault="00EF1BA8" w:rsidP="002B5AFC">
      <w:pPr>
        <w:pStyle w:val="SingleTxtGA"/>
        <w:rPr>
          <w:rtl/>
        </w:rPr>
      </w:pPr>
      <w:r w:rsidRPr="00BA5BAA">
        <w:rPr>
          <w:rtl/>
        </w:rPr>
        <w:t>٣-</w:t>
      </w:r>
      <w:r w:rsidRPr="00BA5BAA">
        <w:rPr>
          <w:rtl/>
        </w:rPr>
        <w:tab/>
        <w:t>ترحب اللجنة ب</w:t>
      </w:r>
      <w:r>
        <w:rPr>
          <w:rFonts w:hint="cs"/>
          <w:rtl/>
        </w:rPr>
        <w:t>ارتياح ب</w:t>
      </w:r>
      <w:r w:rsidRPr="00BA5BAA">
        <w:rPr>
          <w:rtl/>
        </w:rPr>
        <w:t>الخطوات التشريعية والمؤسسية التالية التي اتخذتها الدولة الطرف</w:t>
      </w:r>
      <w:r>
        <w:rPr>
          <w:rFonts w:hint="cs"/>
          <w:rtl/>
        </w:rPr>
        <w:t xml:space="preserve"> منذ دخول العهد حيز النفاذ فيها في عام 1991</w:t>
      </w:r>
      <w:r w:rsidRPr="00BA5BAA">
        <w:rPr>
          <w:rtl/>
        </w:rPr>
        <w:t>:</w:t>
      </w:r>
    </w:p>
    <w:p w:rsidR="00EF1BA8" w:rsidRDefault="00EF1BA8" w:rsidP="002B5AFC">
      <w:pPr>
        <w:pStyle w:val="SingleTxtGA"/>
        <w:rPr>
          <w:rtl/>
        </w:rPr>
      </w:pPr>
      <w:r>
        <w:rPr>
          <w:rFonts w:hint="cs"/>
          <w:rtl/>
        </w:rPr>
        <w:tab/>
      </w:r>
      <w:r w:rsidRPr="00BA5BAA">
        <w:rPr>
          <w:rtl/>
        </w:rPr>
        <w:t>(أ)</w:t>
      </w:r>
      <w:r w:rsidRPr="00BA5BAA">
        <w:rPr>
          <w:rtl/>
        </w:rPr>
        <w:tab/>
      </w:r>
      <w:r>
        <w:rPr>
          <w:rFonts w:hint="cs"/>
          <w:rtl/>
        </w:rPr>
        <w:t xml:space="preserve"> تعيين وزيرة منتدبة مكلفة بحقوق الإنسان والقضاء على الفقر المدقع، وإنشاء لجنة وزارية لحقوق الإنسان؛</w:t>
      </w:r>
    </w:p>
    <w:p w:rsidR="00EF1BA8" w:rsidRDefault="00EF1BA8" w:rsidP="002B5AFC">
      <w:pPr>
        <w:pStyle w:val="SingleTxtGA"/>
        <w:rPr>
          <w:rtl/>
        </w:rPr>
      </w:pPr>
      <w:r>
        <w:rPr>
          <w:rFonts w:hint="cs"/>
          <w:rtl/>
        </w:rPr>
        <w:tab/>
        <w:t>(ب)</w:t>
      </w:r>
      <w:r>
        <w:rPr>
          <w:rFonts w:hint="cs"/>
          <w:rtl/>
        </w:rPr>
        <w:tab/>
        <w:t>اعتماد القانون الأساسي المتعلق بتنظيم وعمل مكتب حماية المواطنين، الذي منحته ال</w:t>
      </w:r>
      <w:r>
        <w:rPr>
          <w:rFonts w:hint="cs"/>
          <w:rtl/>
          <w:lang w:bidi="ar"/>
        </w:rPr>
        <w:t xml:space="preserve">لجنة الفرعية المعنية بالاعتماد التابعة للجنة التنسيق الدولية للمؤسسات الوطنية لتعزيز وحماية حقوق الإنسان </w:t>
      </w:r>
      <w:r>
        <w:rPr>
          <w:rFonts w:hint="cs"/>
          <w:rtl/>
        </w:rPr>
        <w:t>مركز "الفئة أ" في كانون الأول/ديسمبر 2013؛</w:t>
      </w:r>
    </w:p>
    <w:p w:rsidR="00EF1BA8" w:rsidRDefault="00EF1BA8" w:rsidP="002B5AFC">
      <w:pPr>
        <w:pStyle w:val="SingleTxtGA"/>
        <w:rPr>
          <w:rtl/>
        </w:rPr>
      </w:pPr>
      <w:r>
        <w:rPr>
          <w:rFonts w:hint="cs"/>
          <w:rtl/>
        </w:rPr>
        <w:tab/>
        <w:t>(ج)</w:t>
      </w:r>
      <w:r>
        <w:rPr>
          <w:rFonts w:hint="cs"/>
          <w:rtl/>
        </w:rPr>
        <w:tab/>
        <w:t>قانون الأبوة والأمومة والبنوة الذي دخل حيز النفاذ في حزيران/يونيه 2014؛</w:t>
      </w:r>
    </w:p>
    <w:p w:rsidR="00EF1BA8" w:rsidRDefault="00EF1BA8" w:rsidP="002B5AFC">
      <w:pPr>
        <w:pStyle w:val="SingleTxtGA"/>
        <w:rPr>
          <w:rtl/>
        </w:rPr>
      </w:pPr>
      <w:r>
        <w:rPr>
          <w:rFonts w:hint="cs"/>
          <w:rtl/>
        </w:rPr>
        <w:tab/>
        <w:t>(د)</w:t>
      </w:r>
      <w:r>
        <w:rPr>
          <w:rFonts w:hint="cs"/>
          <w:rtl/>
        </w:rPr>
        <w:tab/>
        <w:t>قانون مكافحة الاتجار بالأشخاص الصادر في 4 حزيران/يونيه 2014؛</w:t>
      </w:r>
    </w:p>
    <w:p w:rsidR="00EF1BA8" w:rsidRDefault="00EF1BA8" w:rsidP="002B5AFC">
      <w:pPr>
        <w:pStyle w:val="SingleTxtGA"/>
        <w:rPr>
          <w:rtl/>
        </w:rPr>
      </w:pPr>
      <w:r>
        <w:rPr>
          <w:rFonts w:hint="cs"/>
          <w:rtl/>
        </w:rPr>
        <w:tab/>
        <w:t>(هـ)</w:t>
      </w:r>
      <w:r>
        <w:rPr>
          <w:rFonts w:hint="cs"/>
          <w:rtl/>
        </w:rPr>
        <w:tab/>
        <w:t>قانون إدماج الأشخاص ذوي الإعاقة، والتدابير التي اتُّخذت لتسهيل تطبيق هذا القانون.</w:t>
      </w:r>
    </w:p>
    <w:p w:rsidR="00EF1BA8" w:rsidRDefault="00EF1BA8" w:rsidP="002B5AFC">
      <w:pPr>
        <w:pStyle w:val="SingleTxtGA"/>
        <w:rPr>
          <w:rtl/>
          <w:lang w:val="en-GB" w:eastAsia="zh-TW"/>
        </w:rPr>
      </w:pPr>
      <w:r w:rsidRPr="00BA5BAA">
        <w:rPr>
          <w:rtl/>
        </w:rPr>
        <w:t>٤-</w:t>
      </w:r>
      <w:r w:rsidRPr="00BA5BAA">
        <w:rPr>
          <w:rtl/>
        </w:rPr>
        <w:tab/>
        <w:t>وترحب اللجنة</w:t>
      </w:r>
      <w:r w:rsidRPr="00BA5BAA">
        <w:rPr>
          <w:rtl/>
          <w:lang w:val="en-GB" w:eastAsia="zh-TW"/>
        </w:rPr>
        <w:t xml:space="preserve"> ب</w:t>
      </w:r>
      <w:r>
        <w:rPr>
          <w:rFonts w:hint="cs"/>
          <w:rtl/>
          <w:lang w:val="en-GB" w:eastAsia="zh-TW"/>
        </w:rPr>
        <w:t xml:space="preserve">إقدام الدولة الطرف منذ دخول العهد حيز النفاذ في عام 1991 </w:t>
      </w:r>
      <w:r w:rsidRPr="00BA5BAA">
        <w:rPr>
          <w:rtl/>
          <w:lang w:val="en-GB" w:eastAsia="zh-TW"/>
        </w:rPr>
        <w:t xml:space="preserve">على </w:t>
      </w:r>
      <w:r>
        <w:rPr>
          <w:rFonts w:hint="cs"/>
          <w:rtl/>
          <w:lang w:val="en-GB" w:eastAsia="zh-TW"/>
        </w:rPr>
        <w:t>ال</w:t>
      </w:r>
      <w:r w:rsidRPr="00BA5BAA">
        <w:rPr>
          <w:rtl/>
          <w:lang w:val="en-GB" w:eastAsia="zh-TW"/>
        </w:rPr>
        <w:t xml:space="preserve">تصديق </w:t>
      </w:r>
      <w:r>
        <w:rPr>
          <w:rFonts w:hint="cs"/>
          <w:rtl/>
          <w:lang w:val="en-GB" w:eastAsia="zh-TW"/>
        </w:rPr>
        <w:t>على عدد معيّن من الصكوك الدولية لحقوق الإنسان أو الانضمام إليها:</w:t>
      </w:r>
    </w:p>
    <w:p w:rsidR="00EF1BA8" w:rsidRDefault="00EF1BA8" w:rsidP="002B5AFC">
      <w:pPr>
        <w:pStyle w:val="SingleTxtGA"/>
        <w:rPr>
          <w:rtl/>
          <w:lang w:val="en-GB" w:eastAsia="zh-TW"/>
        </w:rPr>
      </w:pPr>
      <w:r>
        <w:rPr>
          <w:rFonts w:hint="cs"/>
          <w:rtl/>
          <w:lang w:val="en-GB" w:eastAsia="zh-TW"/>
        </w:rPr>
        <w:tab/>
        <w:t>(أ)</w:t>
      </w:r>
      <w:r>
        <w:rPr>
          <w:rFonts w:hint="cs"/>
          <w:rtl/>
          <w:lang w:val="en-GB" w:eastAsia="zh-TW"/>
        </w:rPr>
        <w:tab/>
        <w:t>اتفاقية حقوق الطفل، في عام 1995؛</w:t>
      </w:r>
    </w:p>
    <w:p w:rsidR="00EF1BA8" w:rsidRDefault="00EF1BA8" w:rsidP="002B5AFC">
      <w:pPr>
        <w:pStyle w:val="SingleTxtGA"/>
        <w:rPr>
          <w:rtl/>
          <w:lang w:eastAsia="zh-TW"/>
        </w:rPr>
      </w:pPr>
      <w:r>
        <w:rPr>
          <w:rFonts w:hint="cs"/>
          <w:rtl/>
          <w:lang w:val="en-GB" w:eastAsia="zh-TW"/>
        </w:rPr>
        <w:tab/>
        <w:t>(ب)</w:t>
      </w:r>
      <w:r>
        <w:rPr>
          <w:rFonts w:hint="cs"/>
          <w:rtl/>
          <w:lang w:val="en-GB" w:eastAsia="zh-TW"/>
        </w:rPr>
        <w:tab/>
      </w:r>
      <w:r w:rsidRPr="00BA5BAA">
        <w:rPr>
          <w:rtl/>
          <w:lang w:val="en-GB" w:eastAsia="zh-TW"/>
        </w:rPr>
        <w:t xml:space="preserve">اتفاقية حقوق الأشخاص ذوي الإعاقة </w:t>
      </w:r>
      <w:r>
        <w:rPr>
          <w:rFonts w:hint="cs"/>
          <w:rtl/>
          <w:lang w:val="en-GB" w:eastAsia="zh-TW"/>
        </w:rPr>
        <w:t xml:space="preserve">وبروتوكولها الاختياري، </w:t>
      </w:r>
      <w:r w:rsidRPr="00BA5BAA">
        <w:rPr>
          <w:rtl/>
          <w:lang w:val="en-GB" w:eastAsia="zh-TW"/>
        </w:rPr>
        <w:t xml:space="preserve">في </w:t>
      </w:r>
      <w:r>
        <w:rPr>
          <w:rFonts w:hint="cs"/>
          <w:rtl/>
          <w:lang w:val="en-GB" w:eastAsia="zh-TW"/>
        </w:rPr>
        <w:t>عام</w:t>
      </w:r>
      <w:r w:rsidR="002B5AFC">
        <w:rPr>
          <w:rFonts w:hint="eastAsia"/>
          <w:rtl/>
          <w:lang w:val="en-GB" w:eastAsia="zh-TW"/>
        </w:rPr>
        <w:t> </w:t>
      </w:r>
      <w:r>
        <w:rPr>
          <w:rFonts w:hint="cs"/>
          <w:rtl/>
          <w:lang w:val="en-GB" w:eastAsia="zh-TW"/>
        </w:rPr>
        <w:t>2009</w:t>
      </w:r>
      <w:r>
        <w:rPr>
          <w:rFonts w:hint="cs"/>
          <w:rtl/>
          <w:lang w:eastAsia="zh-TW"/>
        </w:rPr>
        <w:t>؛</w:t>
      </w:r>
    </w:p>
    <w:p w:rsidR="00EF1BA8" w:rsidRDefault="00EF1BA8" w:rsidP="002B5AFC">
      <w:pPr>
        <w:pStyle w:val="SingleTxtGA"/>
        <w:rPr>
          <w:rtl/>
        </w:rPr>
      </w:pPr>
      <w:r>
        <w:rPr>
          <w:rFonts w:hint="cs"/>
          <w:rtl/>
          <w:lang w:eastAsia="zh-TW"/>
        </w:rPr>
        <w:tab/>
        <w:t>(ج)</w:t>
      </w:r>
      <w:r>
        <w:rPr>
          <w:rFonts w:hint="cs"/>
          <w:rtl/>
          <w:lang w:eastAsia="zh-TW"/>
        </w:rPr>
        <w:tab/>
      </w:r>
      <w:r>
        <w:rPr>
          <w:rtl/>
        </w:rPr>
        <w:t>العهد الدولي الخاص بالحقوق الاقتصادية والاجتماعية والثقافية‏‏</w:t>
      </w:r>
      <w:r>
        <w:rPr>
          <w:rFonts w:hint="cs"/>
          <w:rtl/>
        </w:rPr>
        <w:t>، في عام</w:t>
      </w:r>
      <w:r w:rsidR="002B5AFC">
        <w:rPr>
          <w:rFonts w:hint="eastAsia"/>
          <w:rtl/>
        </w:rPr>
        <w:t> </w:t>
      </w:r>
      <w:r>
        <w:rPr>
          <w:rFonts w:hint="cs"/>
          <w:rtl/>
        </w:rPr>
        <w:t>2013؛</w:t>
      </w:r>
    </w:p>
    <w:p w:rsidR="00EF1BA8" w:rsidRDefault="00EF1BA8" w:rsidP="002B5AFC">
      <w:pPr>
        <w:pStyle w:val="SingleTxtGA"/>
        <w:rPr>
          <w:rtl/>
          <w:lang w:eastAsia="zh-TW"/>
        </w:rPr>
      </w:pPr>
      <w:r>
        <w:rPr>
          <w:rFonts w:hint="cs"/>
          <w:rtl/>
        </w:rPr>
        <w:tab/>
        <w:t>(د)</w:t>
      </w:r>
      <w:r>
        <w:rPr>
          <w:rFonts w:hint="cs"/>
          <w:rtl/>
        </w:rPr>
        <w:tab/>
      </w:r>
      <w:r>
        <w:rPr>
          <w:rStyle w:val="superseded"/>
          <w:rFonts w:eastAsia="SimSun"/>
          <w:rtl/>
        </w:rPr>
        <w:t>البروتوكول الاختياري الملحق باتفاقية حقوق الطفل بشأن بيع الأطفال واستغلال الأطفال في البغاء وفي المواد الإباحية</w:t>
      </w:r>
      <w:r>
        <w:rPr>
          <w:rFonts w:hint="cs"/>
          <w:rtl/>
          <w:lang w:eastAsia="zh-TW"/>
        </w:rPr>
        <w:t>، في عام 2014.</w:t>
      </w:r>
    </w:p>
    <w:p w:rsidR="00EF1BA8" w:rsidRPr="002B5AFC" w:rsidRDefault="00EF1BA8" w:rsidP="002B5AFC">
      <w:pPr>
        <w:pStyle w:val="H1GA"/>
        <w:rPr>
          <w:rtl/>
        </w:rPr>
      </w:pPr>
      <w:r w:rsidRPr="002B5AFC">
        <w:rPr>
          <w:rtl/>
        </w:rPr>
        <w:tab/>
        <w:t>جيم-</w:t>
      </w:r>
      <w:r w:rsidRPr="002B5AFC">
        <w:rPr>
          <w:rtl/>
        </w:rPr>
        <w:tab/>
        <w:t>دواعي القلق الرئيسية والتوصيات</w:t>
      </w:r>
    </w:p>
    <w:p w:rsidR="00EF1BA8" w:rsidRPr="00BA5BAA" w:rsidRDefault="00EF1BA8" w:rsidP="000A707B">
      <w:pPr>
        <w:pStyle w:val="H23GA"/>
        <w:rPr>
          <w:rtl/>
          <w:lang w:val="fr-CH"/>
        </w:rPr>
      </w:pPr>
      <w:r w:rsidRPr="00BA5BAA">
        <w:rPr>
          <w:rtl/>
          <w:lang w:val="fr-CH"/>
        </w:rPr>
        <w:tab/>
      </w:r>
      <w:r w:rsidRPr="00BA5BAA">
        <w:rPr>
          <w:rtl/>
          <w:lang w:val="fr-CH"/>
        </w:rPr>
        <w:tab/>
      </w:r>
      <w:r>
        <w:rPr>
          <w:rFonts w:hint="cs"/>
          <w:rtl/>
          <w:lang w:val="fr-CH"/>
        </w:rPr>
        <w:t>إدماج العهد في القانون المحلي وتطبيق ال</w:t>
      </w:r>
      <w:r w:rsidRPr="00BA5BAA">
        <w:rPr>
          <w:rtl/>
          <w:lang w:val="fr-CH"/>
        </w:rPr>
        <w:t>عهد</w:t>
      </w:r>
      <w:r>
        <w:rPr>
          <w:rFonts w:hint="cs"/>
          <w:rtl/>
          <w:lang w:val="fr-CH"/>
        </w:rPr>
        <w:t xml:space="preserve"> على صعيد المحاكم الوطنية</w:t>
      </w:r>
    </w:p>
    <w:p w:rsidR="00EF1BA8" w:rsidRDefault="00EF1BA8" w:rsidP="000A707B">
      <w:pPr>
        <w:pStyle w:val="SingleTxtGA"/>
        <w:rPr>
          <w:rtl/>
          <w:lang w:eastAsia="zh-TW"/>
        </w:rPr>
      </w:pPr>
      <w:r w:rsidRPr="00BA5BAA">
        <w:rPr>
          <w:rtl/>
        </w:rPr>
        <w:t>٥-</w:t>
      </w:r>
      <w:r w:rsidRPr="00BA5BAA">
        <w:rPr>
          <w:rtl/>
        </w:rPr>
        <w:tab/>
      </w:r>
      <w:r>
        <w:rPr>
          <w:rFonts w:hint="cs"/>
          <w:rtl/>
          <w:lang w:eastAsia="zh-TW"/>
        </w:rPr>
        <w:t>تحيط اللجنة علماً بالمادة 276-2 من دستور هايتي التي تمنح أسبقية للصكوك الدولية التي تصدّق عليها الدولة الطرف وتصدرها على القانون الداخلي. ولكنها تلاحظ أنه لم يُحتجّ بالعهد</w:t>
      </w:r>
      <w:r w:rsidR="000A707B">
        <w:rPr>
          <w:rFonts w:hint="cs"/>
          <w:rtl/>
          <w:lang w:eastAsia="zh-TW"/>
        </w:rPr>
        <w:t xml:space="preserve"> </w:t>
      </w:r>
      <w:r>
        <w:rPr>
          <w:rFonts w:hint="cs"/>
          <w:rtl/>
          <w:lang w:eastAsia="zh-TW"/>
        </w:rPr>
        <w:t>على ما يبدو إلاّ مرة واحدة إلى الآن، وكان ذلك في قضية "</w:t>
      </w:r>
      <w:r w:rsidRPr="004577AA">
        <w:rPr>
          <w:lang w:val="fr-FR"/>
        </w:rPr>
        <w:t>Scierie</w:t>
      </w:r>
      <w:r>
        <w:rPr>
          <w:rFonts w:hint="cs"/>
          <w:rtl/>
          <w:lang w:eastAsia="zh-TW"/>
        </w:rPr>
        <w:t>" (المادة 2).</w:t>
      </w:r>
    </w:p>
    <w:p w:rsidR="00EF1BA8" w:rsidRDefault="00932D39" w:rsidP="002B5AFC">
      <w:pPr>
        <w:pStyle w:val="SingleTxtGA"/>
        <w:rPr>
          <w:b/>
          <w:bCs/>
          <w:rtl/>
          <w:lang w:eastAsia="zh-TW"/>
        </w:rPr>
      </w:pPr>
      <w:r>
        <w:rPr>
          <w:rFonts w:hint="cs"/>
          <w:b/>
          <w:bCs/>
          <w:rtl/>
        </w:rPr>
        <w:tab/>
      </w:r>
      <w:r w:rsidR="00EF1BA8" w:rsidRPr="00C90839">
        <w:rPr>
          <w:b/>
          <w:bCs/>
          <w:rtl/>
        </w:rPr>
        <w:t xml:space="preserve">ينبغي </w:t>
      </w:r>
      <w:r w:rsidR="00EF1BA8">
        <w:rPr>
          <w:rFonts w:hint="cs"/>
          <w:b/>
          <w:bCs/>
          <w:rtl/>
        </w:rPr>
        <w:t xml:space="preserve">للدولة الطرف أن </w:t>
      </w:r>
      <w:r w:rsidR="00EF1BA8" w:rsidRPr="00C90839">
        <w:rPr>
          <w:b/>
          <w:bCs/>
          <w:rtl/>
        </w:rPr>
        <w:t xml:space="preserve">تتخذ </w:t>
      </w:r>
      <w:r w:rsidR="00EF1BA8">
        <w:rPr>
          <w:rFonts w:hint="cs"/>
          <w:b/>
          <w:bCs/>
          <w:rtl/>
        </w:rPr>
        <w:t>ال</w:t>
      </w:r>
      <w:r w:rsidR="00EF1BA8" w:rsidRPr="00C90839">
        <w:rPr>
          <w:b/>
          <w:bCs/>
          <w:rtl/>
        </w:rPr>
        <w:t xml:space="preserve">تدابير </w:t>
      </w:r>
      <w:r w:rsidR="00EF1BA8">
        <w:rPr>
          <w:rFonts w:hint="cs"/>
          <w:b/>
          <w:bCs/>
          <w:rtl/>
        </w:rPr>
        <w:t xml:space="preserve">اللازمة </w:t>
      </w:r>
      <w:r w:rsidR="00EF1BA8" w:rsidRPr="00C90839">
        <w:rPr>
          <w:b/>
          <w:bCs/>
          <w:rtl/>
        </w:rPr>
        <w:t xml:space="preserve">لإذكاء وعي القضاة والمحامين والمدعين العامين بالعهد </w:t>
      </w:r>
      <w:r w:rsidR="00EF1BA8">
        <w:rPr>
          <w:rFonts w:hint="cs"/>
          <w:b/>
          <w:bCs/>
          <w:rtl/>
        </w:rPr>
        <w:t xml:space="preserve">وتدريبهم عليه </w:t>
      </w:r>
      <w:r w:rsidR="00EF1BA8" w:rsidRPr="00C90839">
        <w:rPr>
          <w:b/>
          <w:bCs/>
          <w:rtl/>
        </w:rPr>
        <w:t>لضمان مراعاة أحكامه أمام المحاكم المحلية ومن</w:t>
      </w:r>
      <w:r w:rsidR="000A707B">
        <w:rPr>
          <w:b/>
          <w:bCs/>
          <w:rtl/>
        </w:rPr>
        <w:t xml:space="preserve"> </w:t>
      </w:r>
      <w:r w:rsidR="00EF1BA8">
        <w:rPr>
          <w:rFonts w:hint="cs"/>
          <w:b/>
          <w:bCs/>
          <w:rtl/>
        </w:rPr>
        <w:t>قِبل هذه المحاكم نفسها</w:t>
      </w:r>
      <w:r w:rsidR="00EF1BA8" w:rsidRPr="00C90839">
        <w:rPr>
          <w:b/>
          <w:bCs/>
        </w:rPr>
        <w:t>.</w:t>
      </w:r>
      <w:r w:rsidR="00EF1BA8">
        <w:rPr>
          <w:rFonts w:hint="cs"/>
          <w:b/>
          <w:bCs/>
          <w:rtl/>
        </w:rPr>
        <w:t xml:space="preserve"> و</w:t>
      </w:r>
      <w:r w:rsidR="00EF1BA8" w:rsidRPr="00C90839">
        <w:rPr>
          <w:b/>
          <w:bCs/>
          <w:rtl/>
        </w:rPr>
        <w:t xml:space="preserve">ينبغي </w:t>
      </w:r>
      <w:r w:rsidR="00EF1BA8">
        <w:rPr>
          <w:rFonts w:hint="cs"/>
          <w:b/>
          <w:bCs/>
          <w:rtl/>
        </w:rPr>
        <w:t xml:space="preserve">للدولة الطرف </w:t>
      </w:r>
      <w:r w:rsidR="00EF1BA8" w:rsidRPr="00C90839">
        <w:rPr>
          <w:b/>
          <w:bCs/>
          <w:rtl/>
        </w:rPr>
        <w:t>أن</w:t>
      </w:r>
      <w:r w:rsidR="000A707B">
        <w:rPr>
          <w:b/>
          <w:bCs/>
          <w:rtl/>
        </w:rPr>
        <w:t xml:space="preserve"> </w:t>
      </w:r>
      <w:r w:rsidR="00EF1BA8">
        <w:rPr>
          <w:rFonts w:hint="cs"/>
          <w:b/>
          <w:bCs/>
          <w:rtl/>
        </w:rPr>
        <w:t xml:space="preserve">تورد، في </w:t>
      </w:r>
      <w:r w:rsidR="00EF1BA8" w:rsidRPr="00C90839">
        <w:rPr>
          <w:b/>
          <w:bCs/>
          <w:rtl/>
        </w:rPr>
        <w:t>تقريرها الدوري المقبل</w:t>
      </w:r>
      <w:r w:rsidR="00EF1BA8">
        <w:rPr>
          <w:rFonts w:hint="cs"/>
          <w:b/>
          <w:bCs/>
          <w:rtl/>
        </w:rPr>
        <w:t>،</w:t>
      </w:r>
      <w:r w:rsidR="00EF1BA8" w:rsidRPr="00C90839">
        <w:rPr>
          <w:b/>
          <w:bCs/>
          <w:rtl/>
        </w:rPr>
        <w:t xml:space="preserve"> أمثلة عن تطبيق المحاكم المحلية للعهد</w:t>
      </w:r>
      <w:r w:rsidR="00EF1BA8">
        <w:rPr>
          <w:rFonts w:hint="cs"/>
          <w:b/>
          <w:bCs/>
          <w:rtl/>
          <w:lang w:eastAsia="zh-TW"/>
        </w:rPr>
        <w:t>.</w:t>
      </w:r>
    </w:p>
    <w:p w:rsidR="00EF1BA8" w:rsidRDefault="000A707B" w:rsidP="000A707B">
      <w:pPr>
        <w:pStyle w:val="H23GA"/>
        <w:rPr>
          <w:rtl/>
        </w:rPr>
      </w:pPr>
      <w:r>
        <w:rPr>
          <w:rFonts w:hint="cs"/>
          <w:rtl/>
        </w:rPr>
        <w:tab/>
      </w:r>
      <w:r>
        <w:rPr>
          <w:rFonts w:hint="cs"/>
          <w:rtl/>
        </w:rPr>
        <w:tab/>
      </w:r>
      <w:r w:rsidR="00EF1BA8">
        <w:rPr>
          <w:rFonts w:hint="cs"/>
          <w:rtl/>
        </w:rPr>
        <w:t>المؤسسة الوطنية المستقلة لحقوق الإنسان</w:t>
      </w:r>
    </w:p>
    <w:p w:rsidR="00EF1BA8" w:rsidRDefault="00EF1BA8" w:rsidP="002B5AFC">
      <w:pPr>
        <w:pStyle w:val="SingleTxtGA"/>
        <w:rPr>
          <w:rtl/>
          <w:lang w:eastAsia="zh-TW"/>
        </w:rPr>
      </w:pPr>
      <w:r>
        <w:rPr>
          <w:rFonts w:hint="cs"/>
          <w:rtl/>
          <w:lang w:eastAsia="zh-TW"/>
        </w:rPr>
        <w:t>6-</w:t>
      </w:r>
      <w:r>
        <w:rPr>
          <w:rFonts w:hint="cs"/>
          <w:rtl/>
          <w:lang w:eastAsia="zh-TW"/>
        </w:rPr>
        <w:tab/>
        <w:t>ترحب اللجنة بإنشاء مكتب حماية المواطنين، لكنها تظل قلقة إزاء محدودية الموارد المالية والبشرية المتاحة للمكتب، ما يعوقه عن العمل بحرية واستقلال. وتشعر اللجنة بالقلق كذلك لعدم تقديم الدولة الطرف معلومات عن التدابير المتخذة لتنفيذ التوصيات التي قدّمها المكتب</w:t>
      </w:r>
      <w:r w:rsidR="000A707B">
        <w:rPr>
          <w:rFonts w:hint="cs"/>
          <w:rtl/>
          <w:lang w:eastAsia="zh-TW"/>
        </w:rPr>
        <w:t xml:space="preserve"> </w:t>
      </w:r>
      <w:r>
        <w:rPr>
          <w:rFonts w:hint="cs"/>
          <w:rtl/>
          <w:lang w:eastAsia="zh-TW"/>
        </w:rPr>
        <w:t>تبع</w:t>
      </w:r>
      <w:r w:rsidR="000A707B">
        <w:rPr>
          <w:rFonts w:hint="cs"/>
          <w:rtl/>
          <w:lang w:eastAsia="zh-TW"/>
        </w:rPr>
        <w:t xml:space="preserve">اً </w:t>
      </w:r>
      <w:r>
        <w:rPr>
          <w:rFonts w:hint="cs"/>
          <w:rtl/>
          <w:lang w:eastAsia="zh-TW"/>
        </w:rPr>
        <w:t>للشكاوى التي وصلته أو لزياراته إلى مراكز الاحتجاز (المادة 2).</w:t>
      </w:r>
    </w:p>
    <w:p w:rsidR="00EF1BA8" w:rsidRDefault="000A707B" w:rsidP="002B5AFC">
      <w:pPr>
        <w:pStyle w:val="SingleTxtGA"/>
        <w:rPr>
          <w:b/>
          <w:bCs/>
          <w:rtl/>
          <w:lang w:eastAsia="zh-TW"/>
        </w:rPr>
      </w:pPr>
      <w:r>
        <w:rPr>
          <w:rFonts w:ascii="Bitstream Cyberbit" w:hAnsi="Bitstream Cyberbit" w:hint="cs"/>
          <w:b/>
          <w:bCs/>
          <w:rtl/>
        </w:rPr>
        <w:tab/>
      </w:r>
      <w:r w:rsidR="00EF1BA8">
        <w:rPr>
          <w:rFonts w:ascii="Bitstream Cyberbit" w:hAnsi="Bitstream Cyberbit" w:hint="cs"/>
          <w:b/>
          <w:bCs/>
          <w:rtl/>
        </w:rPr>
        <w:t xml:space="preserve">ينبغي للدولة الطرف أن تحرص على مراعاة توصيات مكتب حماية المواطنين. وينبغي لها أيضاً أن تحرص على تزويد المكتب بالموارد الكافية التي تتيح له حسن تنفيذ الأنشطة التي كُلِّف بها، وفقاً لتوصيات </w:t>
      </w:r>
      <w:r w:rsidR="00EF1BA8" w:rsidRPr="00213C9B">
        <w:rPr>
          <w:rFonts w:ascii="Bitstream Cyberbit" w:hAnsi="Bitstream Cyberbit"/>
          <w:b/>
          <w:bCs/>
          <w:rtl/>
        </w:rPr>
        <w:t>لجنة التنسيق الدولية للمؤسسات الوطنية لتعزيز وحماية حقوق الإنسان</w:t>
      </w:r>
      <w:r w:rsidR="00EF1BA8">
        <w:rPr>
          <w:rFonts w:hint="cs"/>
          <w:b/>
          <w:bCs/>
          <w:rtl/>
          <w:lang w:eastAsia="zh-TW"/>
        </w:rPr>
        <w:t>. وتشجع اللجنة الدولة الطرف على اعتماد قانون إطاري يسمح بإنشاء مؤسسات مستقلة لحقوق الإنسان وإدامتها.</w:t>
      </w:r>
    </w:p>
    <w:p w:rsidR="00EF1BA8" w:rsidRPr="00CE3262" w:rsidRDefault="00EF1BA8" w:rsidP="002B5AFC">
      <w:pPr>
        <w:pStyle w:val="SingleTxtGA"/>
        <w:rPr>
          <w:b/>
          <w:bCs/>
          <w:rtl/>
          <w:lang w:eastAsia="zh-TW"/>
        </w:rPr>
      </w:pPr>
      <w:r w:rsidRPr="00CE3262">
        <w:rPr>
          <w:rFonts w:hint="cs"/>
          <w:b/>
          <w:bCs/>
          <w:rtl/>
          <w:lang w:eastAsia="zh-TW"/>
        </w:rPr>
        <w:t>الحق في سبل انتصاف فعالة</w:t>
      </w:r>
    </w:p>
    <w:p w:rsidR="00EF1BA8" w:rsidRDefault="00EF1BA8" w:rsidP="00932D39">
      <w:pPr>
        <w:pStyle w:val="SingleTxtGA"/>
        <w:rPr>
          <w:rtl/>
          <w:lang w:eastAsia="zh-TW"/>
        </w:rPr>
      </w:pPr>
      <w:r>
        <w:rPr>
          <w:rFonts w:hint="cs"/>
          <w:rtl/>
          <w:lang w:eastAsia="zh-TW"/>
        </w:rPr>
        <w:t>7-</w:t>
      </w:r>
      <w:r>
        <w:rPr>
          <w:rFonts w:hint="cs"/>
          <w:rtl/>
          <w:lang w:eastAsia="zh-TW"/>
        </w:rPr>
        <w:tab/>
        <w:t>ترحب اللجنة بالتحقيق في قضية جان كلود دوفالييه، والعمل الذي اضطلعت به اللجنة الوطنية للحقيقة والعدالة حتى شباط/فبراير 1996 من أجل الوقوف على حقيقة الانتهاكات الخطيرة لحقوق الإنسان المرتك</w:t>
      </w:r>
      <w:r w:rsidR="00932D39">
        <w:rPr>
          <w:rFonts w:hint="cs"/>
          <w:rtl/>
          <w:lang w:eastAsia="zh-TW"/>
        </w:rPr>
        <w:t>ب</w:t>
      </w:r>
      <w:r>
        <w:rPr>
          <w:rFonts w:hint="cs"/>
          <w:rtl/>
          <w:lang w:eastAsia="zh-TW"/>
        </w:rPr>
        <w:t>ة بين عامَي 1991 و1994، ولكنها قلقة إزاء بطء هذه الدعاوى والآليات التي لم تُتِح إلى اليوم إدانة المسؤولين عن تلك الانتهاكات</w:t>
      </w:r>
      <w:r w:rsidR="000A707B">
        <w:rPr>
          <w:rFonts w:hint="cs"/>
          <w:rtl/>
          <w:lang w:eastAsia="zh-TW"/>
        </w:rPr>
        <w:t xml:space="preserve"> </w:t>
      </w:r>
      <w:r>
        <w:rPr>
          <w:rFonts w:hint="cs"/>
          <w:rtl/>
          <w:lang w:eastAsia="zh-TW"/>
        </w:rPr>
        <w:t>ولم تفضِ إلى تعويض الضحايا (المواد 2 و6 و7 و9).</w:t>
      </w:r>
    </w:p>
    <w:p w:rsidR="00EF1BA8" w:rsidRDefault="000A707B" w:rsidP="00ED25B5">
      <w:pPr>
        <w:pStyle w:val="SingleTxtGA"/>
        <w:rPr>
          <w:b/>
          <w:bCs/>
          <w:rtl/>
          <w:lang w:eastAsia="zh-TW"/>
        </w:rPr>
      </w:pPr>
      <w:r>
        <w:rPr>
          <w:rFonts w:hint="cs"/>
          <w:b/>
          <w:bCs/>
          <w:rtl/>
          <w:lang w:eastAsia="zh-TW"/>
        </w:rPr>
        <w:tab/>
      </w:r>
      <w:r w:rsidR="00EF1BA8" w:rsidRPr="00F55F51">
        <w:rPr>
          <w:rFonts w:hint="cs"/>
          <w:b/>
          <w:bCs/>
          <w:rtl/>
          <w:lang w:eastAsia="zh-TW"/>
        </w:rPr>
        <w:t xml:space="preserve">ينبغي للدولة الطرف </w:t>
      </w:r>
      <w:r w:rsidR="00EF1BA8">
        <w:rPr>
          <w:rFonts w:hint="cs"/>
          <w:b/>
          <w:bCs/>
          <w:rtl/>
          <w:lang w:eastAsia="zh-TW"/>
        </w:rPr>
        <w:t xml:space="preserve">مواصلة </w:t>
      </w:r>
      <w:r w:rsidR="00EF1BA8" w:rsidRPr="00F55F51">
        <w:rPr>
          <w:rFonts w:hint="cs"/>
          <w:b/>
          <w:bCs/>
          <w:rtl/>
          <w:lang w:eastAsia="zh-TW"/>
        </w:rPr>
        <w:t>التحقيق في قضية دوفالييه وتقديم جميع المسؤولين عن الانتهاكات الخطيرة المرتكبة أثناء فترة رئاسته</w:t>
      </w:r>
      <w:r w:rsidR="00EF1BA8">
        <w:rPr>
          <w:rFonts w:hint="cs"/>
          <w:b/>
          <w:bCs/>
          <w:rtl/>
          <w:lang w:eastAsia="zh-TW"/>
        </w:rPr>
        <w:t xml:space="preserve"> إلى العدالة</w:t>
      </w:r>
      <w:r w:rsidR="00EF1BA8" w:rsidRPr="00F55F51">
        <w:rPr>
          <w:rFonts w:hint="cs"/>
          <w:b/>
          <w:bCs/>
          <w:rtl/>
          <w:lang w:eastAsia="zh-TW"/>
        </w:rPr>
        <w:t>، ومنح الضحايا تعويضاً عادلاً ومنصفاً، وذلك</w:t>
      </w:r>
      <w:r>
        <w:rPr>
          <w:rFonts w:hint="cs"/>
          <w:b/>
          <w:bCs/>
          <w:rtl/>
          <w:lang w:eastAsia="zh-TW"/>
        </w:rPr>
        <w:t xml:space="preserve"> </w:t>
      </w:r>
      <w:r w:rsidR="00EF1BA8">
        <w:rPr>
          <w:rFonts w:hint="cs"/>
          <w:b/>
          <w:bCs/>
          <w:rtl/>
          <w:lang w:eastAsia="zh-TW"/>
        </w:rPr>
        <w:t>للتصدي بفعالية</w:t>
      </w:r>
      <w:r>
        <w:rPr>
          <w:rFonts w:hint="cs"/>
          <w:b/>
          <w:bCs/>
          <w:rtl/>
          <w:lang w:eastAsia="zh-TW"/>
        </w:rPr>
        <w:t xml:space="preserve"> </w:t>
      </w:r>
      <w:r w:rsidR="00EF1BA8">
        <w:rPr>
          <w:rFonts w:hint="cs"/>
          <w:b/>
          <w:bCs/>
          <w:rtl/>
          <w:lang w:eastAsia="zh-TW"/>
        </w:rPr>
        <w:t>ل</w:t>
      </w:r>
      <w:r w:rsidR="00EF1BA8" w:rsidRPr="00F55F51">
        <w:rPr>
          <w:rFonts w:hint="cs"/>
          <w:b/>
          <w:bCs/>
          <w:rtl/>
          <w:lang w:eastAsia="zh-TW"/>
        </w:rPr>
        <w:t>لإفلات من العقاب الذي ي</w:t>
      </w:r>
      <w:r w:rsidR="00EF1BA8">
        <w:rPr>
          <w:rFonts w:hint="cs"/>
          <w:b/>
          <w:bCs/>
          <w:rtl/>
          <w:lang w:eastAsia="zh-TW"/>
        </w:rPr>
        <w:t xml:space="preserve">عترض </w:t>
      </w:r>
      <w:r w:rsidR="00EF1BA8" w:rsidRPr="00F55F51">
        <w:rPr>
          <w:rFonts w:hint="cs"/>
          <w:b/>
          <w:bCs/>
          <w:rtl/>
          <w:lang w:eastAsia="zh-TW"/>
        </w:rPr>
        <w:t>إقامة دولة القانون في هايتي. وينبغي للدولة الطرف تنفيذ توصيات اللجنة الوطنية للحقيقة و</w:t>
      </w:r>
      <w:r w:rsidR="00EF1BA8">
        <w:rPr>
          <w:rFonts w:hint="cs"/>
          <w:b/>
          <w:bCs/>
          <w:rtl/>
          <w:lang w:eastAsia="zh-TW"/>
        </w:rPr>
        <w:t>العدالة</w:t>
      </w:r>
      <w:r w:rsidR="00EF1BA8" w:rsidRPr="00F55F51">
        <w:rPr>
          <w:rFonts w:hint="cs"/>
          <w:b/>
          <w:bCs/>
          <w:rtl/>
          <w:lang w:eastAsia="zh-TW"/>
        </w:rPr>
        <w:t xml:space="preserve"> </w:t>
      </w:r>
      <w:r w:rsidR="00EF1BA8">
        <w:rPr>
          <w:rFonts w:hint="cs"/>
          <w:b/>
          <w:bCs/>
          <w:rtl/>
          <w:lang w:eastAsia="zh-TW"/>
        </w:rPr>
        <w:t>في مسألة الانتهاكات الخطيرة المرتكبة بين عامَي 1991 و1994. وتذكّر اللجنة بواجب الدولة الطرف تحريك دعاوى جنائية في جميع الانتهاكات الخطيرة لحقوق الإنسان.</w:t>
      </w:r>
    </w:p>
    <w:p w:rsidR="00EF1BA8" w:rsidRDefault="000A707B" w:rsidP="000A707B">
      <w:pPr>
        <w:pStyle w:val="H23GA"/>
        <w:rPr>
          <w:rtl/>
        </w:rPr>
      </w:pPr>
      <w:r>
        <w:rPr>
          <w:rFonts w:hint="cs"/>
          <w:rtl/>
        </w:rPr>
        <w:tab/>
      </w:r>
      <w:r>
        <w:rPr>
          <w:rFonts w:hint="cs"/>
          <w:rtl/>
        </w:rPr>
        <w:tab/>
      </w:r>
      <w:r w:rsidR="00EF1BA8">
        <w:rPr>
          <w:rFonts w:hint="cs"/>
          <w:rtl/>
        </w:rPr>
        <w:t>عدم التمييز والمساواة بين</w:t>
      </w:r>
      <w:r>
        <w:rPr>
          <w:rFonts w:hint="cs"/>
          <w:rtl/>
        </w:rPr>
        <w:t xml:space="preserve"> </w:t>
      </w:r>
      <w:r w:rsidR="00EF1BA8">
        <w:rPr>
          <w:rFonts w:hint="cs"/>
          <w:rtl/>
        </w:rPr>
        <w:t>الرجال والنساء</w:t>
      </w:r>
    </w:p>
    <w:p w:rsidR="00EF1BA8" w:rsidRDefault="00EF1BA8" w:rsidP="002B5AFC">
      <w:pPr>
        <w:pStyle w:val="SingleTxtGA"/>
        <w:rPr>
          <w:rtl/>
          <w:lang w:eastAsia="zh-TW"/>
        </w:rPr>
      </w:pPr>
      <w:r>
        <w:rPr>
          <w:rFonts w:hint="cs"/>
          <w:rtl/>
          <w:lang w:eastAsia="zh-TW"/>
        </w:rPr>
        <w:t>8-</w:t>
      </w:r>
      <w:r>
        <w:rPr>
          <w:rFonts w:hint="cs"/>
          <w:rtl/>
          <w:lang w:eastAsia="zh-TW"/>
        </w:rPr>
        <w:tab/>
        <w:t>رغم وجود المادة 17-1 من الدستور التي تمنح النساء حصة تبلغ 30 في المائة من الوظائف على جميع المستويات في الحياة العامة، ولا سيما في القطاع العام،</w:t>
      </w:r>
      <w:r w:rsidR="000A707B">
        <w:rPr>
          <w:rFonts w:hint="cs"/>
          <w:rtl/>
          <w:lang w:eastAsia="zh-TW"/>
        </w:rPr>
        <w:t xml:space="preserve"> </w:t>
      </w:r>
      <w:r>
        <w:rPr>
          <w:rFonts w:hint="cs"/>
          <w:rtl/>
          <w:lang w:eastAsia="zh-TW"/>
        </w:rPr>
        <w:t>تلاحظ اللجنة</w:t>
      </w:r>
      <w:r w:rsidR="000A707B">
        <w:rPr>
          <w:rFonts w:hint="cs"/>
          <w:rtl/>
          <w:lang w:eastAsia="zh-TW"/>
        </w:rPr>
        <w:t xml:space="preserve"> </w:t>
      </w:r>
      <w:r>
        <w:rPr>
          <w:rFonts w:hint="cs"/>
          <w:rtl/>
          <w:lang w:eastAsia="zh-TW"/>
        </w:rPr>
        <w:t>استمرار ضعف المؤشرات في هذا المجال من حيث عدد النساء المنتخبات أو المعيّنات في مناصب المسؤولية، بما فيها الشرطة والقضاء. وعلاوة على ذلك، تلاحظ اللجنة استحكام الصور النمطية للمرأة في المجتمع الهايتي، ولا سيما فيما يتعلق بإدارة الشؤون المالية في الأسرة، وبصورة المرأة في كتب مدرسية معيّنة (المواد 3 و25 و26).</w:t>
      </w:r>
    </w:p>
    <w:p w:rsidR="00EF1BA8" w:rsidRDefault="000A707B" w:rsidP="00932D39">
      <w:pPr>
        <w:pStyle w:val="SingleTxtGA"/>
        <w:rPr>
          <w:b/>
          <w:bCs/>
          <w:rtl/>
          <w:lang w:eastAsia="zh-TW"/>
        </w:rPr>
      </w:pPr>
      <w:r>
        <w:rPr>
          <w:rFonts w:hint="cs"/>
          <w:b/>
          <w:bCs/>
          <w:rtl/>
          <w:lang w:eastAsia="zh-TW"/>
        </w:rPr>
        <w:tab/>
      </w:r>
      <w:r w:rsidR="00EF1BA8">
        <w:rPr>
          <w:rFonts w:hint="cs"/>
          <w:b/>
          <w:bCs/>
          <w:rtl/>
          <w:lang w:eastAsia="zh-TW"/>
        </w:rPr>
        <w:t>ينبغي للدولة الطرف</w:t>
      </w:r>
      <w:r>
        <w:rPr>
          <w:rFonts w:hint="cs"/>
          <w:b/>
          <w:bCs/>
          <w:rtl/>
          <w:lang w:eastAsia="zh-TW"/>
        </w:rPr>
        <w:t xml:space="preserve"> </w:t>
      </w:r>
      <w:r w:rsidR="00EF1BA8">
        <w:rPr>
          <w:rFonts w:hint="cs"/>
          <w:b/>
          <w:bCs/>
          <w:rtl/>
          <w:lang w:eastAsia="zh-TW"/>
        </w:rPr>
        <w:t>أن تسعى جاهدة إلى</w:t>
      </w:r>
      <w:r>
        <w:rPr>
          <w:rFonts w:hint="cs"/>
          <w:b/>
          <w:bCs/>
          <w:rtl/>
          <w:lang w:eastAsia="zh-TW"/>
        </w:rPr>
        <w:t xml:space="preserve"> </w:t>
      </w:r>
      <w:r w:rsidR="00EF1BA8">
        <w:rPr>
          <w:rFonts w:hint="cs"/>
          <w:b/>
          <w:bCs/>
          <w:rtl/>
          <w:lang w:eastAsia="zh-TW"/>
        </w:rPr>
        <w:t>تحقيق الأهداف التي تحددها المادة</w:t>
      </w:r>
      <w:r>
        <w:rPr>
          <w:rFonts w:hint="eastAsia"/>
          <w:b/>
          <w:bCs/>
          <w:rtl/>
          <w:lang w:eastAsia="zh-TW"/>
        </w:rPr>
        <w:t> </w:t>
      </w:r>
      <w:r w:rsidR="00EF1BA8">
        <w:rPr>
          <w:rFonts w:hint="cs"/>
          <w:b/>
          <w:bCs/>
          <w:rtl/>
          <w:lang w:eastAsia="zh-TW"/>
        </w:rPr>
        <w:t>17-1 من الدستور، وقياس التقدم المحرز في سبيل ذلك عن طريق الإحصاءات، وبشكل خاص اتخاذ تدابير لزيادة عدد النساء في المناصب العامة، بما</w:t>
      </w:r>
      <w:r w:rsidR="00932D39">
        <w:rPr>
          <w:rFonts w:hint="eastAsia"/>
          <w:b/>
          <w:bCs/>
          <w:rtl/>
          <w:lang w:eastAsia="zh-TW"/>
        </w:rPr>
        <w:t> </w:t>
      </w:r>
      <w:r w:rsidR="00EF1BA8">
        <w:rPr>
          <w:rFonts w:hint="cs"/>
          <w:b/>
          <w:bCs/>
          <w:rtl/>
          <w:lang w:eastAsia="zh-TW"/>
        </w:rPr>
        <w:t>فيها المناصب العليا. وينبغي للدولة الطرف مواصلة حملات التوعية من أجل الحد من الصور النمطية التقليدية</w:t>
      </w:r>
      <w:r>
        <w:rPr>
          <w:rFonts w:hint="cs"/>
          <w:b/>
          <w:bCs/>
          <w:rtl/>
          <w:lang w:eastAsia="zh-TW"/>
        </w:rPr>
        <w:t xml:space="preserve"> </w:t>
      </w:r>
      <w:r w:rsidR="00EF1BA8">
        <w:rPr>
          <w:rFonts w:hint="cs"/>
          <w:b/>
          <w:bCs/>
          <w:rtl/>
          <w:lang w:eastAsia="zh-TW"/>
        </w:rPr>
        <w:t>إزاء المرأة.</w:t>
      </w:r>
    </w:p>
    <w:p w:rsidR="00EF1BA8" w:rsidRPr="005451F0" w:rsidRDefault="000A707B" w:rsidP="000A707B">
      <w:pPr>
        <w:pStyle w:val="H23GA"/>
        <w:rPr>
          <w:rtl/>
        </w:rPr>
      </w:pPr>
      <w:r>
        <w:rPr>
          <w:rFonts w:hint="cs"/>
          <w:rtl/>
        </w:rPr>
        <w:tab/>
      </w:r>
      <w:r>
        <w:rPr>
          <w:rFonts w:hint="cs"/>
          <w:rtl/>
        </w:rPr>
        <w:tab/>
      </w:r>
      <w:r w:rsidR="00EF1BA8" w:rsidRPr="005451F0">
        <w:rPr>
          <w:rFonts w:hint="cs"/>
          <w:rtl/>
        </w:rPr>
        <w:t>التمييز القائم على الميل الجنسي</w:t>
      </w:r>
    </w:p>
    <w:p w:rsidR="00EF1BA8" w:rsidRDefault="00EF1BA8" w:rsidP="002B5AFC">
      <w:pPr>
        <w:pStyle w:val="SingleTxtGA"/>
        <w:rPr>
          <w:rtl/>
          <w:lang w:eastAsia="zh-TW"/>
        </w:rPr>
      </w:pPr>
      <w:r>
        <w:rPr>
          <w:rFonts w:hint="cs"/>
          <w:rtl/>
          <w:lang w:eastAsia="zh-TW"/>
        </w:rPr>
        <w:t>9-</w:t>
      </w:r>
      <w:r>
        <w:rPr>
          <w:rFonts w:hint="cs"/>
          <w:rtl/>
          <w:lang w:eastAsia="zh-TW"/>
        </w:rPr>
        <w:tab/>
        <w:t>تلاحظ اللجنة رغبة الدولة الطرف في القضاء على جميع أشكال التمييز ضد المثليات والمثليين جنسياً ومزدوجي الميل الجنسي ومغايري الهوية الجنسانية، لكنها تعرب عن القلق إزاء العدد الذي لا يستهان به من مظاهر العداء وغيرها من الأفعال ضد هذه الفئة، بما في ذلك أفعال عنف وهجوم على المؤسسات التي تدافع عن حقوقهم، وهي أفعال مرتبطة ارتباطاً وثيقاً باستحكام الصور النمطية</w:t>
      </w:r>
      <w:r w:rsidR="000A707B">
        <w:rPr>
          <w:rFonts w:hint="cs"/>
          <w:rtl/>
          <w:lang w:eastAsia="zh-TW"/>
        </w:rPr>
        <w:t xml:space="preserve"> </w:t>
      </w:r>
      <w:r>
        <w:rPr>
          <w:rFonts w:hint="cs"/>
          <w:rtl/>
          <w:lang w:eastAsia="zh-TW"/>
        </w:rPr>
        <w:t>إزاء هذه الفئات (المادتان 2 و26).</w:t>
      </w:r>
    </w:p>
    <w:p w:rsidR="00EF1BA8" w:rsidRDefault="000A707B" w:rsidP="00ED25B5">
      <w:pPr>
        <w:pStyle w:val="SingleTxtGA"/>
        <w:rPr>
          <w:bCs/>
          <w:rtl/>
          <w:lang w:eastAsia="zh-TW"/>
        </w:rPr>
      </w:pPr>
      <w:r>
        <w:rPr>
          <w:rFonts w:hint="cs"/>
          <w:b/>
          <w:bCs/>
          <w:rtl/>
          <w:lang w:eastAsia="zh-TW"/>
        </w:rPr>
        <w:tab/>
      </w:r>
      <w:r w:rsidR="00EF1BA8" w:rsidRPr="00EB264A">
        <w:rPr>
          <w:rFonts w:hint="cs"/>
          <w:b/>
          <w:bCs/>
          <w:rtl/>
          <w:lang w:eastAsia="zh-TW"/>
        </w:rPr>
        <w:t xml:space="preserve">ينبغي للدولة الطرف </w:t>
      </w:r>
      <w:r w:rsidR="00EF1BA8">
        <w:rPr>
          <w:rFonts w:hint="cs"/>
          <w:b/>
          <w:bCs/>
          <w:rtl/>
          <w:lang w:eastAsia="zh-TW"/>
        </w:rPr>
        <w:t xml:space="preserve">أن تضمن </w:t>
      </w:r>
      <w:r w:rsidR="00EF1BA8" w:rsidRPr="00EB264A">
        <w:rPr>
          <w:rFonts w:hint="cs"/>
          <w:b/>
          <w:bCs/>
          <w:rtl/>
          <w:lang w:eastAsia="zh-TW"/>
        </w:rPr>
        <w:t xml:space="preserve">تسجيل جميع أشكال </w:t>
      </w:r>
      <w:r w:rsidR="00EF1BA8" w:rsidRPr="00EB264A">
        <w:rPr>
          <w:rFonts w:hint="cs"/>
          <w:bCs/>
          <w:rtl/>
          <w:lang w:eastAsia="zh-TW"/>
        </w:rPr>
        <w:t>التمييز ضد المثليات والمثليين جنسياً ومزدوجي الميل الجنسي ومغايري الهوية الجنس</w:t>
      </w:r>
      <w:r w:rsidR="00EF1BA8">
        <w:rPr>
          <w:rFonts w:hint="cs"/>
          <w:bCs/>
          <w:rtl/>
          <w:lang w:eastAsia="zh-TW"/>
        </w:rPr>
        <w:t>اني</w:t>
      </w:r>
      <w:r w:rsidR="00EF1BA8" w:rsidRPr="00EB264A">
        <w:rPr>
          <w:rFonts w:hint="cs"/>
          <w:bCs/>
          <w:rtl/>
          <w:lang w:eastAsia="zh-TW"/>
        </w:rPr>
        <w:t>ة</w:t>
      </w:r>
      <w:r w:rsidR="00EF1BA8">
        <w:rPr>
          <w:rFonts w:hint="cs"/>
          <w:bCs/>
          <w:rtl/>
          <w:lang w:eastAsia="zh-TW"/>
        </w:rPr>
        <w:t>، وضمان</w:t>
      </w:r>
      <w:r>
        <w:rPr>
          <w:rFonts w:hint="cs"/>
          <w:bCs/>
          <w:rtl/>
          <w:lang w:eastAsia="zh-TW"/>
        </w:rPr>
        <w:t xml:space="preserve"> </w:t>
      </w:r>
      <w:r w:rsidR="00EF1BA8">
        <w:rPr>
          <w:rFonts w:hint="cs"/>
          <w:bCs/>
          <w:rtl/>
          <w:lang w:eastAsia="zh-TW"/>
        </w:rPr>
        <w:t>إحصاء أي صنف من أصناف</w:t>
      </w:r>
      <w:r>
        <w:rPr>
          <w:rFonts w:hint="cs"/>
          <w:bCs/>
          <w:rtl/>
          <w:lang w:eastAsia="zh-TW"/>
        </w:rPr>
        <w:t xml:space="preserve"> </w:t>
      </w:r>
      <w:r w:rsidR="00EF1BA8">
        <w:rPr>
          <w:rFonts w:hint="cs"/>
          <w:bCs/>
          <w:rtl/>
          <w:lang w:eastAsia="zh-TW"/>
        </w:rPr>
        <w:t>العنف ضدهم ومساءلة مرتكبي هذه الأفعال ومعاقبتهم، وتعويض الضحايا عن الانتهاكات التي تعرّضوا لها. ومن أجل مكافحة الصور النمطية القائمة على الهوية الجنسية، ينبغي للدولة الطرف تنفيذ حملة توعية وطنية تشمل بدايةً قوات حفظ النظام وموظفي القضاء، وفي مرحلة لاحقة عامة الجمهور.</w:t>
      </w:r>
    </w:p>
    <w:p w:rsidR="00EF1BA8" w:rsidRDefault="000A707B" w:rsidP="000A707B">
      <w:pPr>
        <w:pStyle w:val="H23GA"/>
        <w:rPr>
          <w:rtl/>
        </w:rPr>
      </w:pPr>
      <w:r>
        <w:rPr>
          <w:rFonts w:hint="cs"/>
          <w:rtl/>
        </w:rPr>
        <w:tab/>
      </w:r>
      <w:r>
        <w:rPr>
          <w:rFonts w:hint="cs"/>
          <w:rtl/>
        </w:rPr>
        <w:tab/>
      </w:r>
      <w:r w:rsidR="00EF1BA8">
        <w:rPr>
          <w:rFonts w:hint="cs"/>
          <w:rtl/>
        </w:rPr>
        <w:t>الحق في الحياة</w:t>
      </w:r>
    </w:p>
    <w:p w:rsidR="00EF1BA8" w:rsidRDefault="00EF1BA8" w:rsidP="002B5AFC">
      <w:pPr>
        <w:pStyle w:val="SingleTxtGA"/>
        <w:rPr>
          <w:b/>
          <w:rtl/>
          <w:lang w:eastAsia="zh-TW"/>
        </w:rPr>
      </w:pPr>
      <w:r>
        <w:rPr>
          <w:rFonts w:hint="cs"/>
          <w:b/>
          <w:rtl/>
          <w:lang w:eastAsia="zh-TW"/>
        </w:rPr>
        <w:t>10-</w:t>
      </w:r>
      <w:r>
        <w:rPr>
          <w:rFonts w:hint="cs"/>
          <w:b/>
          <w:rtl/>
          <w:lang w:eastAsia="zh-TW"/>
        </w:rPr>
        <w:tab/>
        <w:t xml:space="preserve">تظل اللجنة قلقة إزاء استمرار وقوع حالات وفاة بالأسلحة النارية على يد أفراد </w:t>
      </w:r>
      <w:r w:rsidRPr="000D7B65">
        <w:rPr>
          <w:rFonts w:hint="cs"/>
          <w:b/>
          <w:rtl/>
          <w:lang w:eastAsia="zh-TW"/>
        </w:rPr>
        <w:t>قوات حفظ النظام</w:t>
      </w:r>
      <w:r>
        <w:rPr>
          <w:rFonts w:hint="cs"/>
          <w:b/>
          <w:rtl/>
          <w:lang w:eastAsia="zh-TW"/>
        </w:rPr>
        <w:t>، وإزاء ارتفاع هذا العدد في عام 2014. ورغم</w:t>
      </w:r>
      <w:r w:rsidR="000A707B">
        <w:rPr>
          <w:rFonts w:hint="cs"/>
          <w:b/>
          <w:rtl/>
          <w:lang w:eastAsia="zh-TW"/>
        </w:rPr>
        <w:t xml:space="preserve"> </w:t>
      </w:r>
      <w:r>
        <w:rPr>
          <w:rFonts w:hint="cs"/>
          <w:b/>
          <w:rtl/>
          <w:lang w:eastAsia="zh-TW"/>
        </w:rPr>
        <w:t>تقديم الدولة الطرف معلومات تفيد بتوقيع عقوبات على مرتكبي هذه الجرائم، فإن اللجنة تأسف</w:t>
      </w:r>
      <w:r w:rsidR="000A707B">
        <w:rPr>
          <w:rFonts w:hint="cs"/>
          <w:b/>
          <w:rtl/>
          <w:lang w:eastAsia="zh-TW"/>
        </w:rPr>
        <w:t xml:space="preserve"> </w:t>
      </w:r>
      <w:r>
        <w:rPr>
          <w:rFonts w:hint="cs"/>
          <w:b/>
          <w:rtl/>
          <w:lang w:eastAsia="zh-TW"/>
        </w:rPr>
        <w:t>إذ لا يعدو الأمر، في معظم</w:t>
      </w:r>
      <w:r w:rsidR="000A707B">
        <w:rPr>
          <w:rFonts w:hint="cs"/>
          <w:b/>
          <w:rtl/>
          <w:lang w:eastAsia="zh-TW"/>
        </w:rPr>
        <w:t xml:space="preserve"> </w:t>
      </w:r>
      <w:r>
        <w:rPr>
          <w:rFonts w:hint="cs"/>
          <w:b/>
          <w:rtl/>
          <w:lang w:eastAsia="zh-TW"/>
        </w:rPr>
        <w:t xml:space="preserve">الحالات، عن كونها عقوبات تأديبية، وتأسف لعدم وجود أو نشر أي إحصاءات منهجية </w:t>
      </w:r>
      <w:r w:rsidRPr="003C65D9">
        <w:rPr>
          <w:rFonts w:hint="cs"/>
          <w:b/>
          <w:rtl/>
          <w:lang w:eastAsia="zh-TW"/>
        </w:rPr>
        <w:t>بشأن حالات القتل والتحقيقات</w:t>
      </w:r>
      <w:r>
        <w:rPr>
          <w:rFonts w:hint="cs"/>
          <w:b/>
          <w:rtl/>
          <w:lang w:eastAsia="zh-TW"/>
        </w:rPr>
        <w:t xml:space="preserve"> والملاحقات القضائية. وتلاحظ اللجنة عدم وجود معلومات عن تدابير تنفيذ توصيات</w:t>
      </w:r>
      <w:r w:rsidR="000A707B">
        <w:rPr>
          <w:rFonts w:hint="cs"/>
          <w:b/>
          <w:rtl/>
          <w:lang w:eastAsia="zh-TW"/>
        </w:rPr>
        <w:t xml:space="preserve"> </w:t>
      </w:r>
      <w:r>
        <w:rPr>
          <w:rFonts w:hint="cs"/>
          <w:b/>
          <w:rtl/>
          <w:lang w:eastAsia="zh-TW"/>
        </w:rPr>
        <w:t>المفتشية العامة لشرطة هايتي الوطنية (المادة 6).</w:t>
      </w:r>
    </w:p>
    <w:p w:rsidR="00EF1BA8" w:rsidRDefault="000A707B" w:rsidP="002B5AFC">
      <w:pPr>
        <w:pStyle w:val="SingleTxtGA"/>
        <w:rPr>
          <w:bCs/>
          <w:rtl/>
          <w:lang w:eastAsia="zh-TW"/>
        </w:rPr>
      </w:pPr>
      <w:r>
        <w:rPr>
          <w:rFonts w:hint="cs"/>
          <w:bCs/>
          <w:rtl/>
          <w:lang w:eastAsia="zh-TW"/>
        </w:rPr>
        <w:tab/>
      </w:r>
      <w:r w:rsidR="00EF1BA8">
        <w:rPr>
          <w:rFonts w:hint="cs"/>
          <w:bCs/>
          <w:rtl/>
          <w:lang w:eastAsia="zh-TW"/>
        </w:rPr>
        <w:t>ينبغي للدولة الطرف أن تبحث</w:t>
      </w:r>
      <w:r>
        <w:rPr>
          <w:rFonts w:hint="cs"/>
          <w:bCs/>
          <w:rtl/>
          <w:lang w:eastAsia="zh-TW"/>
        </w:rPr>
        <w:t xml:space="preserve"> </w:t>
      </w:r>
      <w:r w:rsidR="00EF1BA8">
        <w:rPr>
          <w:rFonts w:hint="cs"/>
          <w:bCs/>
          <w:rtl/>
          <w:lang w:eastAsia="zh-TW"/>
        </w:rPr>
        <w:t xml:space="preserve">بإلحاح في حالات الوفاة بالأسلحة النارية على يد </w:t>
      </w:r>
      <w:r w:rsidR="00EF1BA8" w:rsidRPr="000D7B65">
        <w:rPr>
          <w:rFonts w:hint="cs"/>
          <w:bCs/>
          <w:rtl/>
          <w:lang w:eastAsia="zh-TW"/>
        </w:rPr>
        <w:t>قوات حفظ النظام</w:t>
      </w:r>
      <w:r w:rsidR="00EF1BA8">
        <w:rPr>
          <w:rFonts w:hint="cs"/>
          <w:bCs/>
          <w:rtl/>
          <w:lang w:eastAsia="zh-TW"/>
        </w:rPr>
        <w:t>، وأن</w:t>
      </w:r>
      <w:r>
        <w:rPr>
          <w:rFonts w:hint="cs"/>
          <w:bCs/>
          <w:rtl/>
          <w:lang w:eastAsia="zh-TW"/>
        </w:rPr>
        <w:t xml:space="preserve"> </w:t>
      </w:r>
      <w:r w:rsidR="00EF1BA8">
        <w:rPr>
          <w:rFonts w:hint="cs"/>
          <w:bCs/>
          <w:rtl/>
          <w:lang w:eastAsia="zh-TW"/>
        </w:rPr>
        <w:t>تحرص على التحقيق فيها تحقيقاً سريعاً وفعالاً، ومقاضاة المسؤولين المزعومين، وإذا ما كانوا مذنبين، توقيع عقوبات عليهم تتناسب وخطورة الأفعال التي ارتكبوها، ومنح الضحايا وأسرهم تعويضاً ملائماً. وينبغي للدولة الطرف أن</w:t>
      </w:r>
      <w:r>
        <w:rPr>
          <w:rFonts w:hint="cs"/>
          <w:bCs/>
          <w:rtl/>
          <w:lang w:eastAsia="zh-TW"/>
        </w:rPr>
        <w:t xml:space="preserve"> </w:t>
      </w:r>
      <w:r w:rsidR="00EF1BA8">
        <w:rPr>
          <w:rFonts w:hint="cs"/>
          <w:bCs/>
          <w:rtl/>
          <w:lang w:eastAsia="zh-TW"/>
        </w:rPr>
        <w:t>تكفل قدرة المفتشية العامة لشرطة هايتي الوطنية على إجراء هذه التحقيقات إلى نهايتها</w:t>
      </w:r>
      <w:r>
        <w:rPr>
          <w:rFonts w:hint="cs"/>
          <w:bCs/>
          <w:rtl/>
          <w:lang w:eastAsia="zh-TW"/>
        </w:rPr>
        <w:t xml:space="preserve"> </w:t>
      </w:r>
      <w:r w:rsidR="00EF1BA8">
        <w:rPr>
          <w:rFonts w:hint="cs"/>
          <w:bCs/>
          <w:rtl/>
          <w:lang w:eastAsia="zh-TW"/>
        </w:rPr>
        <w:t>بكل استقلالية</w:t>
      </w:r>
      <w:r>
        <w:rPr>
          <w:rFonts w:hint="cs"/>
          <w:bCs/>
          <w:rtl/>
          <w:lang w:eastAsia="zh-TW"/>
        </w:rPr>
        <w:t xml:space="preserve">، </w:t>
      </w:r>
      <w:r w:rsidR="00EF1BA8" w:rsidRPr="0080227C">
        <w:rPr>
          <w:rFonts w:hint="cs"/>
          <w:bCs/>
          <w:rtl/>
          <w:lang w:eastAsia="zh-TW"/>
        </w:rPr>
        <w:t>وإصدار إحصاءات</w:t>
      </w:r>
      <w:r w:rsidR="00EF1BA8">
        <w:rPr>
          <w:rFonts w:hint="cs"/>
          <w:bCs/>
          <w:rtl/>
          <w:lang w:eastAsia="zh-TW"/>
        </w:rPr>
        <w:t xml:space="preserve"> منهجية عن حالات القتل على يد </w:t>
      </w:r>
      <w:r w:rsidR="00EF1BA8" w:rsidRPr="000D7B65">
        <w:rPr>
          <w:rFonts w:hint="cs"/>
          <w:bCs/>
          <w:rtl/>
          <w:lang w:eastAsia="zh-TW"/>
        </w:rPr>
        <w:t>قوات حفظ النظام</w:t>
      </w:r>
      <w:r w:rsidR="00EF1BA8">
        <w:rPr>
          <w:rFonts w:hint="cs"/>
          <w:bCs/>
          <w:rtl/>
          <w:lang w:eastAsia="zh-TW"/>
        </w:rPr>
        <w:t xml:space="preserve"> وعن</w:t>
      </w:r>
      <w:r>
        <w:rPr>
          <w:rFonts w:hint="cs"/>
          <w:bCs/>
          <w:rtl/>
          <w:lang w:eastAsia="zh-TW"/>
        </w:rPr>
        <w:t xml:space="preserve"> </w:t>
      </w:r>
      <w:r w:rsidR="00EF1BA8">
        <w:rPr>
          <w:rFonts w:hint="cs"/>
          <w:bCs/>
          <w:rtl/>
          <w:lang w:eastAsia="zh-TW"/>
        </w:rPr>
        <w:t>استخدام الأسلحة النارية بصورة غير قانونية</w:t>
      </w:r>
      <w:r>
        <w:rPr>
          <w:rFonts w:hint="cs"/>
          <w:bCs/>
          <w:rtl/>
          <w:lang w:eastAsia="zh-TW"/>
        </w:rPr>
        <w:t xml:space="preserve">، </w:t>
      </w:r>
      <w:r w:rsidR="00EF1BA8">
        <w:rPr>
          <w:rFonts w:hint="cs"/>
          <w:bCs/>
          <w:rtl/>
          <w:lang w:eastAsia="zh-TW"/>
        </w:rPr>
        <w:t xml:space="preserve">بحيث تشمل هذه الإحصاءات التحقيقات والملاحقات القضائية المنفّذة والعقوبات/التعويضات التي مُنحت. وتشجع اللجنة الدولة الطرف على مواصلة جهودها الرامية إلى تدريب </w:t>
      </w:r>
      <w:r w:rsidR="00EF1BA8" w:rsidRPr="00F95DE3">
        <w:rPr>
          <w:rFonts w:hint="cs"/>
          <w:bCs/>
          <w:rtl/>
          <w:lang w:eastAsia="zh-TW"/>
        </w:rPr>
        <w:t>قوات حفظ النظام</w:t>
      </w:r>
      <w:r w:rsidR="00EF1BA8">
        <w:rPr>
          <w:rFonts w:hint="cs"/>
          <w:bCs/>
          <w:rtl/>
          <w:lang w:eastAsia="zh-TW"/>
        </w:rPr>
        <w:t xml:space="preserve"> على حقوق الإنسان وفق</w:t>
      </w:r>
      <w:r>
        <w:rPr>
          <w:rFonts w:hint="cs"/>
          <w:bCs/>
          <w:rtl/>
          <w:lang w:eastAsia="zh-TW"/>
        </w:rPr>
        <w:t xml:space="preserve">اً </w:t>
      </w:r>
      <w:r w:rsidR="00EF1BA8">
        <w:rPr>
          <w:rFonts w:hint="cs"/>
          <w:bCs/>
          <w:rtl/>
          <w:lang w:eastAsia="zh-TW"/>
        </w:rPr>
        <w:t xml:space="preserve">لالتزاماتها بموجب العهد، ووفقاً للمبادئ الأساسية </w:t>
      </w:r>
      <w:r w:rsidR="00EF1BA8" w:rsidRPr="00212229">
        <w:rPr>
          <w:b/>
          <w:bCs/>
          <w:rtl/>
        </w:rPr>
        <w:t>بشأن استخدام القوة والأسلحة النارية من جانب الموظفين المكلفين بإنفاذ القوانين</w:t>
      </w:r>
      <w:r w:rsidR="00EF1BA8">
        <w:rPr>
          <w:rFonts w:hint="cs"/>
          <w:bCs/>
          <w:rtl/>
          <w:lang w:eastAsia="zh-TW"/>
        </w:rPr>
        <w:t>، وذلك من أجل الحد من حالات القتل والإصابات الخطيرة</w:t>
      </w:r>
      <w:r>
        <w:rPr>
          <w:rFonts w:hint="cs"/>
          <w:bCs/>
          <w:rtl/>
          <w:lang w:eastAsia="zh-TW"/>
        </w:rPr>
        <w:t xml:space="preserve"> </w:t>
      </w:r>
      <w:r w:rsidR="00EF1BA8">
        <w:rPr>
          <w:rFonts w:hint="cs"/>
          <w:bCs/>
          <w:rtl/>
          <w:lang w:eastAsia="zh-TW"/>
        </w:rPr>
        <w:t>باستخدام أسلحة</w:t>
      </w:r>
      <w:r>
        <w:rPr>
          <w:rFonts w:hint="cs"/>
          <w:bCs/>
          <w:rtl/>
          <w:lang w:eastAsia="zh-TW"/>
        </w:rPr>
        <w:t xml:space="preserve"> </w:t>
      </w:r>
      <w:r w:rsidR="00EF1BA8">
        <w:rPr>
          <w:rFonts w:hint="cs"/>
          <w:bCs/>
          <w:rtl/>
          <w:lang w:eastAsia="zh-TW"/>
        </w:rPr>
        <w:t>نارية.</w:t>
      </w:r>
    </w:p>
    <w:p w:rsidR="00EF1BA8" w:rsidRPr="003E50D1" w:rsidRDefault="000A707B" w:rsidP="000A707B">
      <w:pPr>
        <w:pStyle w:val="H23GA"/>
        <w:rPr>
          <w:rtl/>
        </w:rPr>
      </w:pPr>
      <w:r>
        <w:rPr>
          <w:rFonts w:hint="cs"/>
          <w:rtl/>
        </w:rPr>
        <w:tab/>
      </w:r>
      <w:r>
        <w:rPr>
          <w:rFonts w:hint="cs"/>
          <w:rtl/>
        </w:rPr>
        <w:tab/>
      </w:r>
      <w:r w:rsidR="00EF1BA8">
        <w:rPr>
          <w:rFonts w:hint="cs"/>
          <w:rtl/>
        </w:rPr>
        <w:t xml:space="preserve">التصديق على البروتوكول الاختياري الثاني </w:t>
      </w:r>
      <w:r w:rsidR="00EF1BA8" w:rsidRPr="003E50D1">
        <w:rPr>
          <w:rFonts w:hint="cs"/>
          <w:rtl/>
        </w:rPr>
        <w:t>الملحق بالعهد</w:t>
      </w:r>
    </w:p>
    <w:p w:rsidR="00EF1BA8" w:rsidRDefault="00EF1BA8" w:rsidP="002B5AFC">
      <w:pPr>
        <w:pStyle w:val="SingleTxtGA"/>
        <w:rPr>
          <w:b/>
          <w:rtl/>
          <w:lang w:eastAsia="zh-TW"/>
        </w:rPr>
      </w:pPr>
      <w:r w:rsidRPr="003E50D1">
        <w:rPr>
          <w:rFonts w:hint="cs"/>
          <w:b/>
          <w:rtl/>
          <w:lang w:eastAsia="zh-TW"/>
        </w:rPr>
        <w:t>11-</w:t>
      </w:r>
      <w:r w:rsidRPr="003E50D1">
        <w:rPr>
          <w:rFonts w:hint="cs"/>
          <w:b/>
          <w:rtl/>
          <w:lang w:eastAsia="zh-TW"/>
        </w:rPr>
        <w:tab/>
        <w:t xml:space="preserve">تعرب اللجنة عن أسفها لسحب مسؤولية اعتماد </w:t>
      </w:r>
      <w:r w:rsidRPr="003E50D1">
        <w:rPr>
          <w:rtl/>
        </w:rPr>
        <w:t>البروتوكول الاختياري الثاني الملحق بالعهد الدولي الخاص بالحقوق المدنية والسياسية والهادف إلى إلغاء عقوبة الإعدام</w:t>
      </w:r>
      <w:r w:rsidRPr="003E50D1">
        <w:rPr>
          <w:rFonts w:hint="cs"/>
          <w:b/>
          <w:rtl/>
          <w:lang w:eastAsia="zh-TW"/>
        </w:rPr>
        <w:t xml:space="preserve"> من جدول أعمال البرلمان مؤخراً دون تقديم تفسير مُرضٍ (المادة</w:t>
      </w:r>
      <w:r>
        <w:rPr>
          <w:rFonts w:hint="cs"/>
          <w:b/>
          <w:rtl/>
          <w:lang w:eastAsia="zh-TW"/>
        </w:rPr>
        <w:t xml:space="preserve"> 6).</w:t>
      </w:r>
    </w:p>
    <w:p w:rsidR="00EF1BA8" w:rsidRPr="00804C82" w:rsidRDefault="000A707B" w:rsidP="002B5AFC">
      <w:pPr>
        <w:pStyle w:val="SingleTxtGA"/>
        <w:rPr>
          <w:bCs/>
          <w:rtl/>
          <w:lang w:eastAsia="zh-TW"/>
        </w:rPr>
      </w:pPr>
      <w:r>
        <w:rPr>
          <w:rFonts w:hint="cs"/>
          <w:bCs/>
          <w:rtl/>
          <w:lang w:eastAsia="zh-TW"/>
        </w:rPr>
        <w:tab/>
      </w:r>
      <w:r w:rsidR="00EF1BA8" w:rsidRPr="00804C82">
        <w:rPr>
          <w:rFonts w:hint="cs"/>
          <w:bCs/>
          <w:rtl/>
          <w:lang w:eastAsia="zh-TW"/>
        </w:rPr>
        <w:t>توصي اللجنة الدولة الطرف ب</w:t>
      </w:r>
      <w:r w:rsidR="00EF1BA8">
        <w:rPr>
          <w:rFonts w:hint="cs"/>
          <w:bCs/>
          <w:rtl/>
          <w:lang w:eastAsia="zh-TW"/>
        </w:rPr>
        <w:t>أن ت</w:t>
      </w:r>
      <w:r w:rsidR="00EF1BA8" w:rsidRPr="00804C82">
        <w:rPr>
          <w:rFonts w:hint="cs"/>
          <w:bCs/>
          <w:rtl/>
          <w:lang w:eastAsia="zh-TW"/>
        </w:rPr>
        <w:t xml:space="preserve">نظر في </w:t>
      </w:r>
      <w:r w:rsidR="00EF1BA8">
        <w:rPr>
          <w:rFonts w:hint="cs"/>
          <w:bCs/>
          <w:rtl/>
          <w:lang w:eastAsia="zh-TW"/>
        </w:rPr>
        <w:t xml:space="preserve">اعتماد </w:t>
      </w:r>
      <w:r w:rsidR="00EF1BA8" w:rsidRPr="00804C82">
        <w:rPr>
          <w:bCs/>
          <w:rtl/>
        </w:rPr>
        <w:t>البروتوكول الاختياري الثاني الملحق بالعهد الهادف إلى إلغاء عقوبة الإعدام</w:t>
      </w:r>
      <w:r w:rsidR="00EF1BA8">
        <w:rPr>
          <w:rFonts w:hint="cs"/>
          <w:bCs/>
          <w:rtl/>
          <w:lang w:eastAsia="zh-TW"/>
        </w:rPr>
        <w:t xml:space="preserve"> دون إبطاء</w:t>
      </w:r>
      <w:r w:rsidR="00EF1BA8" w:rsidRPr="00804C82">
        <w:rPr>
          <w:rFonts w:hint="cs"/>
          <w:bCs/>
          <w:rtl/>
          <w:lang w:eastAsia="zh-TW"/>
        </w:rPr>
        <w:t>.</w:t>
      </w:r>
    </w:p>
    <w:p w:rsidR="00EF1BA8" w:rsidRDefault="000A707B" w:rsidP="000A707B">
      <w:pPr>
        <w:pStyle w:val="H23GA"/>
        <w:rPr>
          <w:rtl/>
        </w:rPr>
      </w:pPr>
      <w:r>
        <w:rPr>
          <w:rFonts w:hint="cs"/>
          <w:rtl/>
        </w:rPr>
        <w:tab/>
      </w:r>
      <w:r>
        <w:rPr>
          <w:rFonts w:hint="cs"/>
          <w:rtl/>
        </w:rPr>
        <w:tab/>
      </w:r>
      <w:r w:rsidR="00EF1BA8">
        <w:rPr>
          <w:rFonts w:hint="cs"/>
          <w:rtl/>
        </w:rPr>
        <w:t>حظر التعذيب والعقوبة أو المعاملة القاسية أو اللاإنسانية أو المهينة</w:t>
      </w:r>
    </w:p>
    <w:p w:rsidR="00EF1BA8" w:rsidRDefault="00EF1BA8" w:rsidP="002B5AFC">
      <w:pPr>
        <w:pStyle w:val="SingleTxtGA"/>
        <w:rPr>
          <w:b/>
          <w:rtl/>
          <w:lang w:eastAsia="zh-TW"/>
        </w:rPr>
      </w:pPr>
      <w:r>
        <w:rPr>
          <w:rFonts w:hint="cs"/>
          <w:b/>
          <w:rtl/>
          <w:lang w:eastAsia="zh-TW"/>
        </w:rPr>
        <w:t>12-</w:t>
      </w:r>
      <w:r>
        <w:rPr>
          <w:rFonts w:hint="cs"/>
          <w:b/>
          <w:rtl/>
          <w:lang w:eastAsia="zh-TW"/>
        </w:rPr>
        <w:tab/>
        <w:t>تلاحظ اللجنة أن القانون الجزائي الهايتي النافذ يحظر في المادة 293 التعذيب البدني المرتكب في حق جميع الأشخاص عند إلقاء القبض عليهم أو احتجازهم. وتعرب اللجنة عن الأسف لأن هذا التعريف لا</w:t>
      </w:r>
      <w:r w:rsidR="000A707B">
        <w:rPr>
          <w:rFonts w:hint="cs"/>
          <w:b/>
          <w:rtl/>
          <w:lang w:eastAsia="zh-TW"/>
        </w:rPr>
        <w:t xml:space="preserve"> </w:t>
      </w:r>
      <w:r>
        <w:rPr>
          <w:rFonts w:hint="cs"/>
          <w:b/>
          <w:rtl/>
          <w:lang w:eastAsia="zh-TW"/>
        </w:rPr>
        <w:t>ينسجم مع العهد ولاجتهادات اللجنة في هذا الصدد، وتحديداً بالنظر إلى عدم شمول التعريف التعذيبَ النفسي. وفيما يتعلق بحالات التعذيب وغيره من ضروب المعاملة السيئة المزعومة، يساور اللجنة القلق إزاء عدم تنفيذ</w:t>
      </w:r>
      <w:r w:rsidR="000A707B">
        <w:rPr>
          <w:rFonts w:hint="cs"/>
          <w:b/>
          <w:rtl/>
          <w:lang w:eastAsia="zh-TW"/>
        </w:rPr>
        <w:t xml:space="preserve"> </w:t>
      </w:r>
      <w:r>
        <w:rPr>
          <w:rFonts w:hint="cs"/>
          <w:b/>
          <w:rtl/>
          <w:lang w:eastAsia="zh-TW"/>
        </w:rPr>
        <w:t>توصيات</w:t>
      </w:r>
      <w:r w:rsidR="000A707B">
        <w:rPr>
          <w:rFonts w:hint="cs"/>
          <w:b/>
          <w:rtl/>
          <w:lang w:eastAsia="zh-TW"/>
        </w:rPr>
        <w:t xml:space="preserve"> </w:t>
      </w:r>
      <w:r>
        <w:rPr>
          <w:rFonts w:hint="cs"/>
          <w:b/>
          <w:rtl/>
          <w:lang w:eastAsia="zh-TW"/>
        </w:rPr>
        <w:t>المفتشية العامة لشرطة هايتي الوطنية، وإزاء عدم وجود معلومات منهجية عن التحقيقات التي أُجريت والعقوبات الجزائية التي أُصدرِت (المادتان 2 و7).</w:t>
      </w:r>
    </w:p>
    <w:p w:rsidR="00EF1BA8" w:rsidRDefault="000A707B" w:rsidP="00932D39">
      <w:pPr>
        <w:pStyle w:val="SingleTxtGA"/>
        <w:rPr>
          <w:bCs/>
          <w:rtl/>
          <w:lang w:eastAsia="zh-TW"/>
        </w:rPr>
      </w:pPr>
      <w:r>
        <w:rPr>
          <w:rFonts w:hint="cs"/>
          <w:bCs/>
          <w:rtl/>
          <w:lang w:eastAsia="zh-TW"/>
        </w:rPr>
        <w:tab/>
      </w:r>
      <w:r w:rsidR="00EF1BA8">
        <w:rPr>
          <w:rFonts w:hint="cs"/>
          <w:bCs/>
          <w:rtl/>
          <w:lang w:eastAsia="zh-TW"/>
        </w:rPr>
        <w:t>في إطار عملية صياغة القانون الجزائي الجديد الذي تسعى الدولة الطرف لاعتماده قبل نهاية عام 2014، ينبغي لها أن تحدّد تعريفاً للتعذيب يشمل جميع العناصر، بما فيها التعذيب النفسي، على النحو الوارد في تعليق اللجنة العام رقم 20 المتعلق ب</w:t>
      </w:r>
      <w:r w:rsidR="00EF1BA8" w:rsidRPr="00654995">
        <w:rPr>
          <w:rFonts w:hint="cs"/>
          <w:bCs/>
          <w:rtl/>
          <w:lang w:eastAsia="zh-TW"/>
        </w:rPr>
        <w:t>حظر</w:t>
      </w:r>
      <w:r w:rsidR="00EF1BA8">
        <w:rPr>
          <w:rFonts w:hint="cs"/>
          <w:bCs/>
          <w:rtl/>
          <w:lang w:eastAsia="zh-TW"/>
        </w:rPr>
        <w:t xml:space="preserve"> </w:t>
      </w:r>
      <w:r w:rsidR="00EF1BA8" w:rsidRPr="00654995">
        <w:rPr>
          <w:rFonts w:hint="cs"/>
          <w:bCs/>
          <w:rtl/>
          <w:lang w:eastAsia="zh-TW"/>
        </w:rPr>
        <w:t>التعذيب</w:t>
      </w:r>
      <w:r w:rsidR="00EF1BA8">
        <w:rPr>
          <w:rFonts w:hint="cs"/>
          <w:bCs/>
          <w:rtl/>
          <w:lang w:eastAsia="zh-TW"/>
        </w:rPr>
        <w:t xml:space="preserve"> وغيره من </w:t>
      </w:r>
      <w:r w:rsidR="00EF1BA8" w:rsidRPr="00654995">
        <w:rPr>
          <w:rFonts w:hint="cs"/>
          <w:bCs/>
          <w:rtl/>
          <w:lang w:eastAsia="zh-TW"/>
        </w:rPr>
        <w:t>ضروب</w:t>
      </w:r>
      <w:r w:rsidR="00EF1BA8">
        <w:rPr>
          <w:rFonts w:hint="cs"/>
          <w:bCs/>
          <w:rtl/>
          <w:lang w:eastAsia="zh-TW"/>
        </w:rPr>
        <w:t xml:space="preserve"> </w:t>
      </w:r>
      <w:r w:rsidR="00EF1BA8" w:rsidRPr="00654995">
        <w:rPr>
          <w:rFonts w:hint="cs"/>
          <w:bCs/>
          <w:rtl/>
          <w:lang w:eastAsia="zh-TW"/>
        </w:rPr>
        <w:t>المعاملة أو العقوبة ال</w:t>
      </w:r>
      <w:r w:rsidR="00EF1BA8">
        <w:rPr>
          <w:rFonts w:hint="cs"/>
          <w:bCs/>
          <w:rtl/>
          <w:lang w:eastAsia="zh-TW"/>
        </w:rPr>
        <w:t>قاسية أو اللاإنسانية أو المهينة. وينبغي للدولة الطرف أيضاً</w:t>
      </w:r>
      <w:r>
        <w:rPr>
          <w:rFonts w:hint="cs"/>
          <w:bCs/>
          <w:rtl/>
          <w:lang w:eastAsia="zh-TW"/>
        </w:rPr>
        <w:t xml:space="preserve"> </w:t>
      </w:r>
      <w:r w:rsidR="00EF1BA8">
        <w:rPr>
          <w:rFonts w:hint="cs"/>
          <w:bCs/>
          <w:rtl/>
          <w:lang w:eastAsia="zh-TW"/>
        </w:rPr>
        <w:t>التأكد من اشتمال القانون الجزائي الجديد</w:t>
      </w:r>
      <w:r>
        <w:rPr>
          <w:rFonts w:hint="cs"/>
          <w:bCs/>
          <w:rtl/>
          <w:lang w:eastAsia="zh-TW"/>
        </w:rPr>
        <w:t xml:space="preserve"> </w:t>
      </w:r>
      <w:r w:rsidR="00EF1BA8">
        <w:rPr>
          <w:rFonts w:hint="cs"/>
          <w:bCs/>
          <w:rtl/>
          <w:lang w:eastAsia="zh-TW"/>
        </w:rPr>
        <w:t xml:space="preserve">على </w:t>
      </w:r>
      <w:r w:rsidR="00EF1BA8" w:rsidRPr="00976F04">
        <w:rPr>
          <w:rFonts w:hint="cs"/>
          <w:bCs/>
          <w:rtl/>
          <w:lang w:eastAsia="zh-TW"/>
        </w:rPr>
        <w:t>أحكام</w:t>
      </w:r>
      <w:r w:rsidR="00EF1BA8">
        <w:rPr>
          <w:rFonts w:hint="cs"/>
          <w:bCs/>
          <w:rtl/>
          <w:lang w:eastAsia="zh-TW"/>
        </w:rPr>
        <w:t xml:space="preserve"> </w:t>
      </w:r>
      <w:r w:rsidR="00EF1BA8" w:rsidRPr="00976F04">
        <w:rPr>
          <w:rFonts w:hint="cs"/>
          <w:bCs/>
          <w:rtl/>
          <w:lang w:eastAsia="zh-TW"/>
        </w:rPr>
        <w:t>مناسبة</w:t>
      </w:r>
      <w:r w:rsidR="00EF1BA8">
        <w:rPr>
          <w:rFonts w:hint="cs"/>
          <w:bCs/>
          <w:rtl/>
          <w:lang w:eastAsia="zh-TW"/>
        </w:rPr>
        <w:t xml:space="preserve"> تتيح ملاحقة مرتكبي تلك الأفعال وشركائهم قضائياً وإدانتهم بشكل يتناسب وخطورة تلك الأفعال.</w:t>
      </w:r>
    </w:p>
    <w:p w:rsidR="00EF1BA8" w:rsidRDefault="000A707B" w:rsidP="000A707B">
      <w:pPr>
        <w:pStyle w:val="H23GA"/>
        <w:rPr>
          <w:rtl/>
        </w:rPr>
      </w:pPr>
      <w:r>
        <w:rPr>
          <w:rFonts w:hint="cs"/>
          <w:rtl/>
        </w:rPr>
        <w:tab/>
      </w:r>
      <w:r>
        <w:rPr>
          <w:rFonts w:hint="cs"/>
          <w:rtl/>
        </w:rPr>
        <w:tab/>
      </w:r>
      <w:r w:rsidR="00EF1BA8">
        <w:rPr>
          <w:rFonts w:hint="cs"/>
          <w:rtl/>
        </w:rPr>
        <w:t>العنف ضد المرأة</w:t>
      </w:r>
    </w:p>
    <w:p w:rsidR="00EF1BA8" w:rsidRDefault="00EF1BA8" w:rsidP="002B5AFC">
      <w:pPr>
        <w:pStyle w:val="SingleTxtGA"/>
        <w:rPr>
          <w:b/>
          <w:rtl/>
          <w:lang w:eastAsia="zh-TW"/>
        </w:rPr>
      </w:pPr>
      <w:r>
        <w:rPr>
          <w:rFonts w:hint="cs"/>
          <w:b/>
          <w:rtl/>
          <w:lang w:eastAsia="zh-TW"/>
        </w:rPr>
        <w:t>13-</w:t>
      </w:r>
      <w:r>
        <w:rPr>
          <w:rFonts w:hint="cs"/>
          <w:b/>
          <w:rtl/>
          <w:lang w:eastAsia="zh-TW"/>
        </w:rPr>
        <w:tab/>
        <w:t>تشعر اللجنة بالقلق إزاء قصور الحماية من العنف ضد المرأة، ولا سيما الاغتصاب. وتلاحظ اللجنة التقدم المحرز على صعيد السماح لضحايا الاغتصاب بالحصول على شهادة طبية مجاناً، لكنها تأسف لأن تحريك دعاوى جنائية في قضايا الاغتصاب موقوف على وجود شهادة طبية. وتلاحظ اللجنة كذلك أن القانون الذي يجرّم هذه الأفعال وجميع أفعال العنف الأخرى المرتكبة في حق المرأة لم يُعتمد بعد. وتلاحظ اللجنة أن ملاجئ قد أُنشئت، لكن يبدو أنها غير كافية ويصعب الوصول إليها، ولا سيما في المناطق الريفية (المواد 2 و3 و7).</w:t>
      </w:r>
    </w:p>
    <w:p w:rsidR="00EF1BA8" w:rsidRDefault="00932D39" w:rsidP="002B5AFC">
      <w:pPr>
        <w:pStyle w:val="SingleTxtGA"/>
        <w:rPr>
          <w:bCs/>
          <w:rtl/>
          <w:lang w:eastAsia="zh-TW"/>
        </w:rPr>
      </w:pPr>
      <w:r>
        <w:rPr>
          <w:rFonts w:hint="cs"/>
          <w:bCs/>
          <w:rtl/>
          <w:lang w:eastAsia="zh-TW"/>
        </w:rPr>
        <w:tab/>
      </w:r>
      <w:r w:rsidR="00EF1BA8">
        <w:rPr>
          <w:rFonts w:hint="cs"/>
          <w:bCs/>
          <w:rtl/>
          <w:lang w:eastAsia="zh-TW"/>
        </w:rPr>
        <w:t>ينبغي للدولة الطرف</w:t>
      </w:r>
      <w:r w:rsidR="000A707B">
        <w:rPr>
          <w:rFonts w:hint="cs"/>
          <w:bCs/>
          <w:rtl/>
          <w:lang w:eastAsia="zh-TW"/>
        </w:rPr>
        <w:t xml:space="preserve"> </w:t>
      </w:r>
      <w:r w:rsidR="00EF1BA8">
        <w:rPr>
          <w:rFonts w:hint="cs"/>
          <w:bCs/>
          <w:rtl/>
          <w:lang w:eastAsia="zh-TW"/>
        </w:rPr>
        <w:t>تسريع عملية اعتماد التشريع الخاص بالعنف ضد المرأة من أجل تعزيز الإطار القانوني للحماية من العنف المنزلي والتحرش الجنسي والاغتصاب، بما في ذلك الاغتصاب الزوجي، والأشكال الأخرى من العنف التي تعاني منها المرأة. وينبغي لهذا التشريع أيضاً أن ينص على أن شهادة الضحية تكفي لفتح تحقيق جنائي في جريمة الاغتصاب. وينبغي للدولة الطرف أيضاً أن تتخذ تدابير تمكّن جميع النساء ضحايا الاغتصاب من الحصول على المساعدة، بما فيها المساعدة القضائية، والاحتماء في الملاجئ.</w:t>
      </w:r>
    </w:p>
    <w:p w:rsidR="00EF1BA8" w:rsidRDefault="000A707B" w:rsidP="000A707B">
      <w:pPr>
        <w:pStyle w:val="H23GA"/>
        <w:rPr>
          <w:rtl/>
        </w:rPr>
      </w:pPr>
      <w:r>
        <w:rPr>
          <w:rFonts w:hint="cs"/>
          <w:rtl/>
        </w:rPr>
        <w:tab/>
      </w:r>
      <w:r>
        <w:rPr>
          <w:rFonts w:hint="cs"/>
          <w:rtl/>
        </w:rPr>
        <w:tab/>
      </w:r>
      <w:r w:rsidR="00EF1BA8">
        <w:rPr>
          <w:rFonts w:hint="cs"/>
          <w:rtl/>
        </w:rPr>
        <w:t>القضاء على جميع أشكال العبودية والرق</w:t>
      </w:r>
    </w:p>
    <w:p w:rsidR="00EF1BA8" w:rsidRDefault="00EF1BA8" w:rsidP="002B5AFC">
      <w:pPr>
        <w:pStyle w:val="SingleTxtGA"/>
        <w:rPr>
          <w:b/>
          <w:rtl/>
          <w:lang w:eastAsia="zh-TW"/>
        </w:rPr>
      </w:pPr>
      <w:r>
        <w:rPr>
          <w:rFonts w:hint="cs"/>
          <w:b/>
          <w:rtl/>
          <w:lang w:eastAsia="zh-TW"/>
        </w:rPr>
        <w:t>14-</w:t>
      </w:r>
      <w:r>
        <w:rPr>
          <w:rFonts w:hint="cs"/>
          <w:b/>
          <w:rtl/>
          <w:lang w:eastAsia="zh-TW"/>
        </w:rPr>
        <w:tab/>
        <w:t>تلاحظ اللجنة الجهود التي بذلتها الدولة الطرف</w:t>
      </w:r>
      <w:r w:rsidR="000A707B">
        <w:rPr>
          <w:rFonts w:hint="cs"/>
          <w:b/>
          <w:rtl/>
          <w:lang w:eastAsia="zh-TW"/>
        </w:rPr>
        <w:t xml:space="preserve"> </w:t>
      </w:r>
      <w:r>
        <w:rPr>
          <w:rFonts w:hint="cs"/>
          <w:b/>
          <w:rtl/>
          <w:lang w:eastAsia="zh-TW"/>
        </w:rPr>
        <w:t>والتي توّجت باعتماد قانون مكافحة الاتجار بالأشخاص، وتنفيذ حملة توعية</w:t>
      </w:r>
      <w:r w:rsidR="000A707B">
        <w:rPr>
          <w:rFonts w:hint="cs"/>
          <w:b/>
          <w:rtl/>
          <w:lang w:eastAsia="zh-TW"/>
        </w:rPr>
        <w:t xml:space="preserve"> </w:t>
      </w:r>
      <w:r>
        <w:rPr>
          <w:rFonts w:hint="cs"/>
          <w:b/>
          <w:rtl/>
          <w:lang w:eastAsia="zh-TW"/>
        </w:rPr>
        <w:t>بمساوئ تشغيل الأطفال في العمل المنزلي، وإلغاء المواد في قانون العمل المتعلقة بعمل الأطفال، فضلاً عن التدابير المتخذة لمكافحة الاتجار العابر للحدود بالأطفال لأغراض الاستغلال الجنسي، لكن تظل اللجنة قلقة إزاء استمرار ظاهرة استغلال الأطفال الخدم "الريستافيك"، وإزاء عدم وجود إحصاءات</w:t>
      </w:r>
      <w:r w:rsidR="000A707B">
        <w:rPr>
          <w:rFonts w:hint="cs"/>
          <w:b/>
          <w:rtl/>
          <w:lang w:eastAsia="zh-TW"/>
        </w:rPr>
        <w:t xml:space="preserve"> </w:t>
      </w:r>
      <w:r>
        <w:rPr>
          <w:rFonts w:hint="cs"/>
          <w:b/>
          <w:rtl/>
          <w:lang w:eastAsia="zh-TW"/>
        </w:rPr>
        <w:t>ولا نتائج للتحقيقات مع المتّجرين بالأطفال ولتدابير إعادة تأهيل الضحايا (المواد 2 و3 و8 و24).</w:t>
      </w:r>
    </w:p>
    <w:p w:rsidR="00EF1BA8" w:rsidRDefault="000A707B" w:rsidP="002B5AFC">
      <w:pPr>
        <w:pStyle w:val="SingleTxtGA"/>
        <w:rPr>
          <w:bCs/>
          <w:rtl/>
          <w:lang w:eastAsia="zh-TW"/>
        </w:rPr>
      </w:pPr>
      <w:r>
        <w:rPr>
          <w:rFonts w:hint="cs"/>
          <w:bCs/>
          <w:rtl/>
          <w:lang w:eastAsia="zh-TW"/>
        </w:rPr>
        <w:tab/>
      </w:r>
      <w:r w:rsidR="00EF1BA8" w:rsidRPr="00E903FC">
        <w:rPr>
          <w:rFonts w:hint="cs"/>
          <w:bCs/>
          <w:rtl/>
          <w:lang w:eastAsia="zh-TW"/>
        </w:rPr>
        <w:t xml:space="preserve">ينبغي للدولة الطرف مواصلة جهودها لتدريب </w:t>
      </w:r>
      <w:r w:rsidR="00EF1BA8">
        <w:rPr>
          <w:rFonts w:hint="cs"/>
          <w:bCs/>
          <w:rtl/>
          <w:lang w:eastAsia="zh-TW"/>
        </w:rPr>
        <w:t xml:space="preserve">أفراد </w:t>
      </w:r>
      <w:r w:rsidR="00EF1BA8" w:rsidRPr="008F0EE4">
        <w:rPr>
          <w:rFonts w:hint="cs"/>
          <w:bCs/>
          <w:rtl/>
          <w:lang w:eastAsia="zh-TW"/>
        </w:rPr>
        <w:t>قوات حفظ النظام</w:t>
      </w:r>
      <w:r w:rsidR="00EF1BA8" w:rsidRPr="00E903FC">
        <w:rPr>
          <w:rFonts w:hint="cs"/>
          <w:bCs/>
          <w:rtl/>
          <w:lang w:eastAsia="zh-TW"/>
        </w:rPr>
        <w:t xml:space="preserve">، وحرس الحدود، وغيرهم من </w:t>
      </w:r>
      <w:r w:rsidR="00EF1BA8">
        <w:rPr>
          <w:rFonts w:hint="cs"/>
          <w:bCs/>
          <w:rtl/>
          <w:lang w:eastAsia="zh-TW"/>
        </w:rPr>
        <w:t>الموظفين</w:t>
      </w:r>
      <w:r w:rsidR="00EF1BA8" w:rsidRPr="00E903FC">
        <w:rPr>
          <w:rFonts w:hint="cs"/>
          <w:bCs/>
          <w:rtl/>
          <w:lang w:eastAsia="zh-TW"/>
        </w:rPr>
        <w:t xml:space="preserve"> المعنيين</w:t>
      </w:r>
      <w:r w:rsidR="00EF1BA8">
        <w:rPr>
          <w:rFonts w:hint="cs"/>
          <w:bCs/>
          <w:rtl/>
          <w:lang w:eastAsia="zh-TW"/>
        </w:rPr>
        <w:t>،</w:t>
      </w:r>
      <w:r w:rsidR="00EF1BA8" w:rsidRPr="00E903FC">
        <w:rPr>
          <w:rFonts w:hint="cs"/>
          <w:bCs/>
          <w:rtl/>
          <w:lang w:eastAsia="zh-TW"/>
        </w:rPr>
        <w:t xml:space="preserve"> على تدابير مكافحة الاتجار بالبشر. </w:t>
      </w:r>
      <w:r w:rsidR="00EF1BA8">
        <w:rPr>
          <w:rFonts w:hint="cs"/>
          <w:bCs/>
          <w:rtl/>
          <w:lang w:eastAsia="zh-TW"/>
        </w:rPr>
        <w:t>وينبغي لها تعزيز جهودها من أجل تقديم جميع المسؤولين عن الاتجار بالأشخاص إلى العدالة وتقديم تعويضات مناسبة للضحايا. وينبغي للدولة الطرف كذلك اعتماد تدابير عاجلة لوضع حد لاستغلال الأطفال وتعزيز أطر حمايتهم،</w:t>
      </w:r>
      <w:r>
        <w:rPr>
          <w:rFonts w:hint="cs"/>
          <w:bCs/>
          <w:rtl/>
          <w:lang w:eastAsia="zh-TW"/>
        </w:rPr>
        <w:t xml:space="preserve"> </w:t>
      </w:r>
      <w:r w:rsidR="00EF1BA8">
        <w:rPr>
          <w:rFonts w:hint="cs"/>
          <w:bCs/>
          <w:rtl/>
          <w:lang w:eastAsia="zh-TW"/>
        </w:rPr>
        <w:t>مثل فرقة حماية القُصّر.</w:t>
      </w:r>
    </w:p>
    <w:p w:rsidR="00EF1BA8" w:rsidRDefault="000A707B" w:rsidP="000A707B">
      <w:pPr>
        <w:pStyle w:val="H23GA"/>
        <w:rPr>
          <w:rtl/>
        </w:rPr>
      </w:pPr>
      <w:r>
        <w:rPr>
          <w:rFonts w:hint="cs"/>
          <w:rtl/>
        </w:rPr>
        <w:tab/>
      </w:r>
      <w:r>
        <w:rPr>
          <w:rFonts w:hint="cs"/>
          <w:rtl/>
        </w:rPr>
        <w:tab/>
      </w:r>
      <w:r w:rsidR="00EF1BA8">
        <w:rPr>
          <w:rFonts w:hint="cs"/>
          <w:rtl/>
        </w:rPr>
        <w:t>حرية الفرد وأمانه على شخصه</w:t>
      </w:r>
    </w:p>
    <w:p w:rsidR="00EF1BA8" w:rsidRDefault="00EF1BA8" w:rsidP="002B5AFC">
      <w:pPr>
        <w:pStyle w:val="SingleTxtGA"/>
        <w:rPr>
          <w:b/>
          <w:rtl/>
          <w:lang w:eastAsia="zh-TW"/>
        </w:rPr>
      </w:pPr>
      <w:r>
        <w:rPr>
          <w:rFonts w:hint="cs"/>
          <w:b/>
          <w:rtl/>
          <w:lang w:eastAsia="zh-TW"/>
        </w:rPr>
        <w:t>15-</w:t>
      </w:r>
      <w:r>
        <w:rPr>
          <w:rFonts w:hint="cs"/>
          <w:b/>
          <w:rtl/>
          <w:lang w:eastAsia="zh-TW"/>
        </w:rPr>
        <w:tab/>
        <w:t>يساور اللجنة القلق إزاء الاستخدام غير المتناسب للاحتجاز السابق للمحاكمة لفترات مبالغ فيها، وإزاء عدم وجود بديل له. وتأسف للافتقار إلى معلومات محددة عن استراتيجية ا</w:t>
      </w:r>
      <w:r>
        <w:rPr>
          <w:rFonts w:ascii="Bitstream Cyberbit" w:hAnsi="Bitstream Cyberbit"/>
          <w:rtl/>
        </w:rPr>
        <w:t>لمجلس الأعلى للسلطة القضائي</w:t>
      </w:r>
      <w:r>
        <w:rPr>
          <w:rFonts w:ascii="Bitstream Cyberbit" w:hAnsi="Bitstream Cyberbit" w:hint="cs"/>
          <w:rtl/>
        </w:rPr>
        <w:t xml:space="preserve">ة والأعمال التي يضطلع بها المجلس والقضاة من أجل التصدي بفعالية لمسألة طولة مدة الاحتجاز السابق للمحاكمة. ولهذا الافتقار إلى استراتيجية وعدم التنظيم </w:t>
      </w:r>
      <w:r>
        <w:rPr>
          <w:rFonts w:hint="cs"/>
          <w:b/>
          <w:rtl/>
          <w:lang w:eastAsia="zh-TW"/>
        </w:rPr>
        <w:t>أثر مباشر أدى إلى اكتظاظ السجون ووصوله سقفاً حرجاً</w:t>
      </w:r>
      <w:r w:rsidR="000A707B">
        <w:rPr>
          <w:rFonts w:hint="cs"/>
          <w:b/>
          <w:rtl/>
          <w:lang w:eastAsia="zh-TW"/>
        </w:rPr>
        <w:t xml:space="preserve"> </w:t>
      </w:r>
      <w:r>
        <w:rPr>
          <w:rFonts w:hint="cs"/>
          <w:b/>
          <w:rtl/>
          <w:lang w:eastAsia="zh-TW"/>
        </w:rPr>
        <w:t>بحيث يعد من قبيل المعاملة اللاإنسانية والمهينة. وتعرب اللجنة عن القلق أيضاً إزاء عدم فصل البالغين عن القُصّر والمتهمين عن المدانين (المواد 7 و9 و10 و14).</w:t>
      </w:r>
    </w:p>
    <w:p w:rsidR="00EF1BA8" w:rsidRDefault="000A707B" w:rsidP="002B5AFC">
      <w:pPr>
        <w:pStyle w:val="SingleTxtGA"/>
        <w:rPr>
          <w:bCs/>
          <w:rtl/>
          <w:lang w:eastAsia="zh-TW"/>
        </w:rPr>
      </w:pPr>
      <w:r>
        <w:rPr>
          <w:rFonts w:hint="cs"/>
          <w:bCs/>
          <w:rtl/>
          <w:lang w:eastAsia="zh-TW"/>
        </w:rPr>
        <w:tab/>
      </w:r>
      <w:r w:rsidR="00EF1BA8">
        <w:rPr>
          <w:rFonts w:hint="cs"/>
          <w:bCs/>
          <w:rtl/>
          <w:lang w:eastAsia="zh-TW"/>
        </w:rPr>
        <w:t>ينبغي للدولة الطرف ضمان الحق الأصيل لجميع مَن يُلقى القبض عليهم ويُحتجزون في المثول أمام قاضٍ. وينبغي لها أيضاً أن تشجع المحاكم على تفضيل الحلول البديلة على سلب الحرية في حالة الأشخاص المحتجزين رهن</w:t>
      </w:r>
      <w:r>
        <w:rPr>
          <w:rFonts w:hint="cs"/>
          <w:bCs/>
          <w:rtl/>
          <w:lang w:eastAsia="zh-TW"/>
        </w:rPr>
        <w:t xml:space="preserve"> </w:t>
      </w:r>
      <w:r w:rsidR="00EF1BA8">
        <w:rPr>
          <w:rFonts w:hint="cs"/>
          <w:bCs/>
          <w:rtl/>
          <w:lang w:eastAsia="zh-TW"/>
        </w:rPr>
        <w:t xml:space="preserve">التحقيق، مع </w:t>
      </w:r>
      <w:r w:rsidR="00EF1BA8" w:rsidRPr="00E63C03">
        <w:rPr>
          <w:rFonts w:hint="cs"/>
          <w:bCs/>
          <w:rtl/>
          <w:lang w:eastAsia="zh-TW"/>
        </w:rPr>
        <w:t xml:space="preserve">مراعاة </w:t>
      </w:r>
      <w:r w:rsidR="00EF1BA8" w:rsidRPr="00E63C03">
        <w:rPr>
          <w:bCs/>
          <w:rtl/>
        </w:rPr>
        <w:t>قواعد الأمم المتحدة النموذجية الدنيا للتدابير غير الاحتجازية</w:t>
      </w:r>
      <w:r w:rsidR="00EF1BA8">
        <w:rPr>
          <w:rFonts w:hint="cs"/>
          <w:bCs/>
          <w:rtl/>
          <w:lang w:eastAsia="zh-TW"/>
        </w:rPr>
        <w:t>. وينبغي لها اتخاذ تدابير عاجلة لتصويب وضع الأشخاص</w:t>
      </w:r>
      <w:r>
        <w:rPr>
          <w:rFonts w:hint="cs"/>
          <w:bCs/>
          <w:rtl/>
          <w:lang w:eastAsia="zh-TW"/>
        </w:rPr>
        <w:t xml:space="preserve"> </w:t>
      </w:r>
      <w:r w:rsidR="00EF1BA8">
        <w:rPr>
          <w:rFonts w:hint="cs"/>
          <w:bCs/>
          <w:rtl/>
          <w:lang w:eastAsia="zh-TW"/>
        </w:rPr>
        <w:t>الذين يقبعون في الاحتجاز السابق للمحاكمة منذ أعوام عديدة، وهو ما</w:t>
      </w:r>
      <w:r>
        <w:rPr>
          <w:rFonts w:hint="cs"/>
          <w:bCs/>
          <w:rtl/>
          <w:lang w:eastAsia="zh-TW"/>
        </w:rPr>
        <w:t xml:space="preserve"> </w:t>
      </w:r>
      <w:r w:rsidR="00EF1BA8">
        <w:rPr>
          <w:rFonts w:hint="cs"/>
          <w:bCs/>
          <w:rtl/>
          <w:lang w:eastAsia="zh-TW"/>
        </w:rPr>
        <w:t>يؤثر تأثير</w:t>
      </w:r>
      <w:r>
        <w:rPr>
          <w:rFonts w:hint="cs"/>
          <w:bCs/>
          <w:rtl/>
          <w:lang w:eastAsia="zh-TW"/>
        </w:rPr>
        <w:t xml:space="preserve">اً </w:t>
      </w:r>
      <w:r w:rsidR="00EF1BA8">
        <w:rPr>
          <w:rFonts w:hint="cs"/>
          <w:bCs/>
          <w:rtl/>
          <w:lang w:eastAsia="zh-TW"/>
        </w:rPr>
        <w:t>سلبي</w:t>
      </w:r>
      <w:r>
        <w:rPr>
          <w:rFonts w:hint="cs"/>
          <w:bCs/>
          <w:rtl/>
          <w:lang w:eastAsia="zh-TW"/>
        </w:rPr>
        <w:t xml:space="preserve">اً </w:t>
      </w:r>
      <w:r w:rsidR="00EF1BA8">
        <w:rPr>
          <w:rFonts w:hint="cs"/>
          <w:bCs/>
          <w:rtl/>
          <w:lang w:eastAsia="zh-TW"/>
        </w:rPr>
        <w:t>مباشر</w:t>
      </w:r>
      <w:r>
        <w:rPr>
          <w:rFonts w:hint="cs"/>
          <w:bCs/>
          <w:rtl/>
          <w:lang w:eastAsia="zh-TW"/>
        </w:rPr>
        <w:t xml:space="preserve">اً </w:t>
      </w:r>
      <w:r w:rsidR="00EF1BA8">
        <w:rPr>
          <w:rFonts w:hint="cs"/>
          <w:bCs/>
          <w:rtl/>
          <w:lang w:eastAsia="zh-TW"/>
        </w:rPr>
        <w:t>في خفض عدد نزلاء السجون. وينبغي للدولة الطرف كذلك اتخاذ التدابير اللازمة لضمان فصل المدانين عن المتهمين والبالغين عن القُصّر.</w:t>
      </w:r>
    </w:p>
    <w:p w:rsidR="00EF1BA8" w:rsidRDefault="000A707B" w:rsidP="000A707B">
      <w:pPr>
        <w:pStyle w:val="H23GA"/>
        <w:rPr>
          <w:rtl/>
        </w:rPr>
      </w:pPr>
      <w:r>
        <w:rPr>
          <w:rFonts w:hint="cs"/>
          <w:rtl/>
        </w:rPr>
        <w:tab/>
      </w:r>
      <w:r>
        <w:rPr>
          <w:rFonts w:hint="cs"/>
          <w:rtl/>
        </w:rPr>
        <w:tab/>
      </w:r>
      <w:r w:rsidR="00EF1BA8">
        <w:rPr>
          <w:rFonts w:hint="cs"/>
          <w:rtl/>
        </w:rPr>
        <w:t>استقلال القضاء والحق في محاكمة عادلة</w:t>
      </w:r>
    </w:p>
    <w:p w:rsidR="00EF1BA8" w:rsidRDefault="00EF1BA8" w:rsidP="000A707B">
      <w:pPr>
        <w:pStyle w:val="SingleTxtGA"/>
        <w:rPr>
          <w:rtl/>
        </w:rPr>
      </w:pPr>
      <w:r>
        <w:rPr>
          <w:rFonts w:hint="cs"/>
          <w:rtl/>
        </w:rPr>
        <w:t>16-</w:t>
      </w:r>
      <w:r>
        <w:rPr>
          <w:rFonts w:hint="cs"/>
          <w:rtl/>
        </w:rPr>
        <w:tab/>
      </w:r>
      <w:r>
        <w:rPr>
          <w:rtl/>
        </w:rPr>
        <w:t xml:space="preserve">تحيط اللجنة علماً بالتدابير المتخذة </w:t>
      </w:r>
      <w:r>
        <w:rPr>
          <w:rFonts w:hint="cs"/>
          <w:rtl/>
        </w:rPr>
        <w:t xml:space="preserve">من أجل </w:t>
      </w:r>
      <w:r>
        <w:rPr>
          <w:rtl/>
        </w:rPr>
        <w:t>تحسين</w:t>
      </w:r>
      <w:r w:rsidR="000A707B">
        <w:rPr>
          <w:rtl/>
        </w:rPr>
        <w:t xml:space="preserve"> </w:t>
      </w:r>
      <w:r>
        <w:rPr>
          <w:rFonts w:hint="cs"/>
          <w:rtl/>
        </w:rPr>
        <w:t xml:space="preserve">فرص اللجوء </w:t>
      </w:r>
      <w:r>
        <w:rPr>
          <w:rtl/>
        </w:rPr>
        <w:t xml:space="preserve">إلى العدالة، </w:t>
      </w:r>
      <w:r>
        <w:rPr>
          <w:rFonts w:hint="cs"/>
          <w:rtl/>
        </w:rPr>
        <w:t>ولا</w:t>
      </w:r>
      <w:r w:rsidR="000A707B">
        <w:rPr>
          <w:rFonts w:hint="eastAsia"/>
          <w:rtl/>
        </w:rPr>
        <w:t> </w:t>
      </w:r>
      <w:r>
        <w:rPr>
          <w:rFonts w:hint="cs"/>
          <w:rtl/>
        </w:rPr>
        <w:t xml:space="preserve">سيما </w:t>
      </w:r>
      <w:r>
        <w:rPr>
          <w:rtl/>
        </w:rPr>
        <w:t xml:space="preserve">تعيين قضاة </w:t>
      </w:r>
      <w:r>
        <w:rPr>
          <w:rFonts w:hint="cs"/>
          <w:rtl/>
        </w:rPr>
        <w:t>جددٍ وتدريبهم، وإصلاح القانون</w:t>
      </w:r>
      <w:r w:rsidR="000A707B">
        <w:rPr>
          <w:rFonts w:hint="cs"/>
          <w:rtl/>
        </w:rPr>
        <w:t xml:space="preserve"> </w:t>
      </w:r>
      <w:r>
        <w:rPr>
          <w:rFonts w:hint="cs"/>
          <w:rtl/>
        </w:rPr>
        <w:t>الجزائي وقانون أصول المحاكمات الجنائية، وتحقيق لامركزية محاكم الصلح وبعض محاكم الدرجة الأولى في</w:t>
      </w:r>
      <w:r w:rsidR="000A707B">
        <w:rPr>
          <w:rFonts w:hint="cs"/>
          <w:rtl/>
        </w:rPr>
        <w:t xml:space="preserve"> </w:t>
      </w:r>
      <w:r>
        <w:rPr>
          <w:rFonts w:hint="cs"/>
          <w:rtl/>
        </w:rPr>
        <w:t>الإدارات المحلية. ولكن تشير اللجنة إلى عدم كفاية هذه التطورات،</w:t>
      </w:r>
      <w:r w:rsidR="000A707B">
        <w:rPr>
          <w:rFonts w:hint="cs"/>
          <w:rtl/>
        </w:rPr>
        <w:t xml:space="preserve"> </w:t>
      </w:r>
      <w:r>
        <w:rPr>
          <w:rFonts w:hint="cs"/>
          <w:rtl/>
        </w:rPr>
        <w:t>لا سيما وأن هناك</w:t>
      </w:r>
      <w:r w:rsidR="000A707B">
        <w:rPr>
          <w:rFonts w:hint="cs"/>
          <w:rtl/>
        </w:rPr>
        <w:t xml:space="preserve"> </w:t>
      </w:r>
      <w:r>
        <w:rPr>
          <w:rFonts w:hint="cs"/>
          <w:rtl/>
        </w:rPr>
        <w:t>محسوبية</w:t>
      </w:r>
      <w:r w:rsidR="000A707B">
        <w:rPr>
          <w:rFonts w:hint="cs"/>
          <w:rtl/>
        </w:rPr>
        <w:t xml:space="preserve"> </w:t>
      </w:r>
      <w:r>
        <w:rPr>
          <w:rFonts w:hint="cs"/>
          <w:rtl/>
        </w:rPr>
        <w:t>مرتبطة بتفاوت الرسوم القضائية، وعدم حصول</w:t>
      </w:r>
      <w:r w:rsidR="000A707B">
        <w:rPr>
          <w:rFonts w:hint="cs"/>
          <w:rtl/>
        </w:rPr>
        <w:t xml:space="preserve"> </w:t>
      </w:r>
      <w:r>
        <w:rPr>
          <w:rFonts w:hint="cs"/>
          <w:rtl/>
        </w:rPr>
        <w:t>الأشخاص متدني الدخل على المساعدة القضائية، وبطء المحاكم وعدم تجاوبها (المادة 14).</w:t>
      </w:r>
    </w:p>
    <w:p w:rsidR="00EF1BA8" w:rsidRDefault="000A707B" w:rsidP="002B5AFC">
      <w:pPr>
        <w:pStyle w:val="SingleTxtGA"/>
        <w:rPr>
          <w:b/>
          <w:bCs/>
          <w:rtl/>
        </w:rPr>
      </w:pPr>
      <w:r>
        <w:rPr>
          <w:rFonts w:hint="cs"/>
          <w:b/>
          <w:bCs/>
          <w:rtl/>
        </w:rPr>
        <w:tab/>
      </w:r>
      <w:r w:rsidR="00EF1BA8">
        <w:rPr>
          <w:rFonts w:hint="cs"/>
          <w:b/>
          <w:bCs/>
          <w:rtl/>
        </w:rPr>
        <w:t>ينبغي للدولة الطرف اتخاذ جميع التدابير اللازمة لضمان تمتع الجميع، قانوناً وممارسةً، بجميع الضمانات القضائية التي تتيح الوصول على نحو فعال إلى العدالة، بما في ذلك التمتع بالحق في المساعدة القضائية.</w:t>
      </w:r>
    </w:p>
    <w:p w:rsidR="00EF1BA8" w:rsidRDefault="00EF1BA8" w:rsidP="002B5AFC">
      <w:pPr>
        <w:pStyle w:val="SingleTxtGA"/>
        <w:rPr>
          <w:rtl/>
        </w:rPr>
      </w:pPr>
      <w:r>
        <w:rPr>
          <w:rFonts w:hint="cs"/>
          <w:rtl/>
        </w:rPr>
        <w:t>17-</w:t>
      </w:r>
      <w:r>
        <w:rPr>
          <w:rFonts w:hint="cs"/>
          <w:rtl/>
        </w:rPr>
        <w:tab/>
        <w:t>وتعرب اللجنة عن القلق إزاء عدم استقلال القضاء الناتج بشكل أساسي عن التدخل في سير العدالة، وتحديداً في اختيار</w:t>
      </w:r>
      <w:r w:rsidR="000A707B">
        <w:rPr>
          <w:rFonts w:hint="cs"/>
          <w:rtl/>
        </w:rPr>
        <w:t xml:space="preserve"> </w:t>
      </w:r>
      <w:r>
        <w:rPr>
          <w:rFonts w:hint="cs"/>
          <w:rtl/>
        </w:rPr>
        <w:t>القضاة</w:t>
      </w:r>
      <w:r w:rsidR="000A707B">
        <w:rPr>
          <w:rFonts w:hint="cs"/>
          <w:rtl/>
        </w:rPr>
        <w:t xml:space="preserve"> </w:t>
      </w:r>
      <w:r>
        <w:rPr>
          <w:rFonts w:hint="cs"/>
          <w:rtl/>
        </w:rPr>
        <w:t>وفي قرارات معيّنة صادرة عن المحاكم، وإزاء الافتقار إلى معلومات واضحة عن مدة ولاية القضاة وشروط تجديدها، وعن وضع الموظفين القضائيين المادي المزعزع، وبطء المحاكم وعدم تجاوبها (المادة 14).</w:t>
      </w:r>
    </w:p>
    <w:p w:rsidR="00EF1BA8" w:rsidRDefault="000A707B" w:rsidP="00ED25B5">
      <w:pPr>
        <w:pStyle w:val="SingleTxtGA"/>
        <w:rPr>
          <w:b/>
          <w:bCs/>
          <w:rtl/>
        </w:rPr>
      </w:pPr>
      <w:r>
        <w:rPr>
          <w:rFonts w:hint="cs"/>
          <w:b/>
          <w:bCs/>
          <w:rtl/>
        </w:rPr>
        <w:tab/>
      </w:r>
      <w:r w:rsidR="00EF1BA8" w:rsidRPr="004C2ABB">
        <w:rPr>
          <w:rFonts w:hint="cs"/>
          <w:b/>
          <w:bCs/>
          <w:rtl/>
        </w:rPr>
        <w:t>ينبغي للدولة الطرف أن تضمن استقلال القضاء، و</w:t>
      </w:r>
      <w:r w:rsidR="00EF1BA8">
        <w:rPr>
          <w:rFonts w:hint="cs"/>
          <w:b/>
          <w:bCs/>
          <w:rtl/>
        </w:rPr>
        <w:t xml:space="preserve">أن تضمن على وجه الخصوص عدم </w:t>
      </w:r>
      <w:r w:rsidR="00EF1BA8" w:rsidRPr="004C2ABB">
        <w:rPr>
          <w:rFonts w:hint="cs"/>
          <w:b/>
          <w:bCs/>
          <w:rtl/>
        </w:rPr>
        <w:t>تدخل</w:t>
      </w:r>
      <w:r>
        <w:rPr>
          <w:rFonts w:hint="cs"/>
          <w:b/>
          <w:bCs/>
          <w:rtl/>
        </w:rPr>
        <w:t xml:space="preserve"> </w:t>
      </w:r>
      <w:r w:rsidR="00EF1BA8" w:rsidRPr="004C2ABB">
        <w:rPr>
          <w:rFonts w:hint="cs"/>
          <w:b/>
          <w:bCs/>
          <w:rtl/>
        </w:rPr>
        <w:t xml:space="preserve">السلطتين </w:t>
      </w:r>
      <w:r w:rsidR="00EF1BA8">
        <w:rPr>
          <w:rFonts w:hint="cs"/>
          <w:b/>
          <w:bCs/>
          <w:rtl/>
        </w:rPr>
        <w:t>التنفيذية والتشريعية في القرارات القضائية. ويتعين عليها التعجيل</w:t>
      </w:r>
      <w:r>
        <w:rPr>
          <w:rFonts w:hint="cs"/>
          <w:b/>
          <w:bCs/>
          <w:rtl/>
        </w:rPr>
        <w:t xml:space="preserve"> </w:t>
      </w:r>
      <w:r w:rsidR="00EF1BA8">
        <w:rPr>
          <w:rFonts w:hint="cs"/>
          <w:b/>
          <w:bCs/>
          <w:rtl/>
        </w:rPr>
        <w:t xml:space="preserve">تشغيل وتفعيل المفتشية القضائية التابعة </w:t>
      </w:r>
      <w:r w:rsidR="00EF1BA8" w:rsidRPr="005D5F05">
        <w:rPr>
          <w:rFonts w:ascii="Bitstream Cyberbit" w:hAnsi="Bitstream Cyberbit" w:hint="cs"/>
          <w:b/>
          <w:bCs/>
          <w:rtl/>
        </w:rPr>
        <w:t>ل</w:t>
      </w:r>
      <w:r w:rsidR="00EF1BA8" w:rsidRPr="005D5F05">
        <w:rPr>
          <w:rFonts w:ascii="Bitstream Cyberbit" w:hAnsi="Bitstream Cyberbit"/>
          <w:b/>
          <w:bCs/>
          <w:rtl/>
        </w:rPr>
        <w:t>لمجلس الأعلى للسلطة القضائي</w:t>
      </w:r>
      <w:r w:rsidR="00EF1BA8" w:rsidRPr="005D5F05">
        <w:rPr>
          <w:rFonts w:ascii="Bitstream Cyberbit" w:hAnsi="Bitstream Cyberbit" w:hint="cs"/>
          <w:b/>
          <w:bCs/>
          <w:rtl/>
        </w:rPr>
        <w:t>ة</w:t>
      </w:r>
      <w:r w:rsidR="00EF1BA8">
        <w:rPr>
          <w:rFonts w:ascii="Bitstream Cyberbit" w:hAnsi="Bitstream Cyberbit" w:hint="cs"/>
          <w:b/>
          <w:bCs/>
          <w:rtl/>
        </w:rPr>
        <w:t xml:space="preserve"> لكي يتسنى للدولة الطرف</w:t>
      </w:r>
      <w:r>
        <w:rPr>
          <w:rFonts w:ascii="Bitstream Cyberbit" w:hAnsi="Bitstream Cyberbit" w:hint="cs"/>
          <w:b/>
          <w:bCs/>
          <w:rtl/>
        </w:rPr>
        <w:t xml:space="preserve"> </w:t>
      </w:r>
      <w:r w:rsidR="00EF1BA8">
        <w:rPr>
          <w:rFonts w:ascii="Bitstream Cyberbit" w:hAnsi="Bitstream Cyberbit" w:hint="cs"/>
          <w:b/>
          <w:bCs/>
          <w:rtl/>
        </w:rPr>
        <w:t xml:space="preserve">إقامة </w:t>
      </w:r>
      <w:r w:rsidR="00EF1BA8">
        <w:rPr>
          <w:rFonts w:hint="cs"/>
          <w:b/>
          <w:bCs/>
          <w:rtl/>
        </w:rPr>
        <w:t>نظام عدالة فعال ومستقل تمتثل من خلاله</w:t>
      </w:r>
      <w:r>
        <w:rPr>
          <w:rFonts w:hint="cs"/>
          <w:b/>
          <w:bCs/>
          <w:rtl/>
        </w:rPr>
        <w:t xml:space="preserve"> </w:t>
      </w:r>
      <w:r w:rsidR="00EF1BA8">
        <w:rPr>
          <w:rFonts w:hint="cs"/>
          <w:b/>
          <w:bCs/>
          <w:rtl/>
        </w:rPr>
        <w:t>لأحكام العهد.</w:t>
      </w:r>
    </w:p>
    <w:p w:rsidR="00EF1BA8" w:rsidRDefault="000A707B" w:rsidP="000A707B">
      <w:pPr>
        <w:pStyle w:val="H23GA"/>
        <w:rPr>
          <w:rtl/>
        </w:rPr>
      </w:pPr>
      <w:r>
        <w:rPr>
          <w:rFonts w:hint="cs"/>
          <w:rtl/>
        </w:rPr>
        <w:tab/>
      </w:r>
      <w:r>
        <w:rPr>
          <w:rFonts w:hint="cs"/>
          <w:rtl/>
        </w:rPr>
        <w:tab/>
      </w:r>
      <w:r w:rsidR="00EF1BA8">
        <w:rPr>
          <w:rFonts w:hint="cs"/>
          <w:rtl/>
        </w:rPr>
        <w:t>الحق في حرية التنقل والحق في الحياة الخاصة وفي حماية الأسرة</w:t>
      </w:r>
    </w:p>
    <w:p w:rsidR="00EF1BA8" w:rsidRDefault="00EF1BA8" w:rsidP="002B5AFC">
      <w:pPr>
        <w:pStyle w:val="SingleTxtGA"/>
        <w:rPr>
          <w:rtl/>
        </w:rPr>
      </w:pPr>
      <w:r>
        <w:rPr>
          <w:rFonts w:hint="cs"/>
          <w:rtl/>
        </w:rPr>
        <w:t>18-</w:t>
      </w:r>
      <w:r>
        <w:rPr>
          <w:rFonts w:hint="cs"/>
          <w:rtl/>
        </w:rPr>
        <w:tab/>
        <w:t>تلاحظ اللجنة الجهود الحثيثة التي تبذلها الدولة الطرف من أجل التوصل إلى حلول دائمة للأشخاص الذين شرّدهم زلزال عام 2010، لكنها تشعر بالقلق لاستمرار عمليات الإخلاء القسري لسكان المخيمات. ورغم التطمينات التي قدّمتها الدولة الطرف، فإن القلق يساور اللجنة لحذف أسماء أشخاص كانوا مسجّلين كمشردين من قوائم المستفيدين من برامج إعادة التوطين، مما يجعلهم بالتالي عرضة لعمليات الإخلاء القسري (المواد 12 و17 و23).</w:t>
      </w:r>
    </w:p>
    <w:p w:rsidR="00EF1BA8" w:rsidRDefault="000A707B" w:rsidP="002B5AFC">
      <w:pPr>
        <w:pStyle w:val="SingleTxtGA"/>
        <w:rPr>
          <w:b/>
          <w:bCs/>
          <w:rtl/>
        </w:rPr>
      </w:pPr>
      <w:r>
        <w:rPr>
          <w:rFonts w:hint="cs"/>
          <w:b/>
          <w:bCs/>
          <w:rtl/>
        </w:rPr>
        <w:tab/>
      </w:r>
      <w:r w:rsidR="00EF1BA8">
        <w:rPr>
          <w:rFonts w:hint="cs"/>
          <w:b/>
          <w:bCs/>
          <w:rtl/>
        </w:rPr>
        <w:t>ينبغي للدولة الطرف أن تضمن عدم طرد أي شخص من المخيمات دون توفير بديل له ولأسرته، وتمكين جميع الأشخاص الذين شرّدهم الزلزال من الاستفادة من حلول دائمة.</w:t>
      </w:r>
    </w:p>
    <w:p w:rsidR="00EF1BA8" w:rsidRDefault="000A707B" w:rsidP="000A707B">
      <w:pPr>
        <w:pStyle w:val="H23GA"/>
        <w:rPr>
          <w:rtl/>
        </w:rPr>
      </w:pPr>
      <w:r>
        <w:rPr>
          <w:rFonts w:hint="cs"/>
          <w:rtl/>
        </w:rPr>
        <w:tab/>
      </w:r>
      <w:r>
        <w:rPr>
          <w:rFonts w:hint="cs"/>
          <w:rtl/>
        </w:rPr>
        <w:tab/>
      </w:r>
      <w:r w:rsidR="00EF1BA8">
        <w:rPr>
          <w:rFonts w:hint="cs"/>
          <w:rtl/>
        </w:rPr>
        <w:t>حرية الرأي والتعبير والتجمع وتكوين الجمعيات</w:t>
      </w:r>
    </w:p>
    <w:p w:rsidR="00EF1BA8" w:rsidRDefault="00EF1BA8" w:rsidP="002B5AFC">
      <w:pPr>
        <w:pStyle w:val="SingleTxtGA"/>
        <w:rPr>
          <w:rtl/>
        </w:rPr>
      </w:pPr>
      <w:r>
        <w:rPr>
          <w:rFonts w:hint="cs"/>
          <w:rtl/>
        </w:rPr>
        <w:t>19-</w:t>
      </w:r>
      <w:r>
        <w:rPr>
          <w:rFonts w:hint="cs"/>
          <w:rtl/>
        </w:rPr>
        <w:tab/>
        <w:t xml:space="preserve">تشعر اللجنة بالقلق إزاء الادعاءات بتعرّض المدافعين عن حقوق الإنسان والصحفيين وأفراد من المعارضة لتهديدات ومضايقات وتخويف على </w:t>
      </w:r>
      <w:r w:rsidRPr="003D4413">
        <w:rPr>
          <w:rFonts w:hint="cs"/>
          <w:rtl/>
        </w:rPr>
        <w:t>يد قوات الشرطة والأمن والسلطة السياسية، وإزاء عدم توفير الدولة الطرف الحماية في هذا الصدد (</w:t>
      </w:r>
      <w:r>
        <w:rPr>
          <w:rFonts w:hint="cs"/>
          <w:rtl/>
        </w:rPr>
        <w:t>المواد 19 و21 و22).</w:t>
      </w:r>
    </w:p>
    <w:p w:rsidR="00EF1BA8" w:rsidRDefault="00932D39" w:rsidP="002B5AFC">
      <w:pPr>
        <w:pStyle w:val="SingleTxtGA"/>
        <w:rPr>
          <w:b/>
          <w:bCs/>
          <w:rtl/>
        </w:rPr>
      </w:pPr>
      <w:r>
        <w:rPr>
          <w:rFonts w:hint="cs"/>
          <w:b/>
          <w:bCs/>
          <w:rtl/>
        </w:rPr>
        <w:tab/>
      </w:r>
      <w:r w:rsidR="00EF1BA8">
        <w:rPr>
          <w:rFonts w:hint="cs"/>
          <w:b/>
          <w:bCs/>
          <w:rtl/>
        </w:rPr>
        <w:t>ينبغي للدولة الطرف اتخاذ التدابير اللازمة لحماية المدافعين عن حقوق الإنسان والصحيين ليتمكنوا من تنفيذ أنشطتهم بحرية كاملة ودون قيود. وينبغي للدولة الطرف التحقيق فوراً في جميع الاعتداءات على حياة هؤلاء الأشخاص وكرامتهم، وتقديم المذنبين إلى العدالة.</w:t>
      </w:r>
    </w:p>
    <w:p w:rsidR="00EF1BA8" w:rsidRDefault="000A707B" w:rsidP="000A707B">
      <w:pPr>
        <w:pStyle w:val="H23GA"/>
        <w:rPr>
          <w:rtl/>
        </w:rPr>
      </w:pPr>
      <w:r>
        <w:rPr>
          <w:rFonts w:hint="cs"/>
          <w:rtl/>
        </w:rPr>
        <w:tab/>
      </w:r>
      <w:r>
        <w:rPr>
          <w:rFonts w:hint="cs"/>
          <w:rtl/>
        </w:rPr>
        <w:tab/>
      </w:r>
      <w:r w:rsidR="00EF1BA8">
        <w:rPr>
          <w:rFonts w:hint="cs"/>
          <w:rtl/>
        </w:rPr>
        <w:t>المشاركة في الشؤون السياسية</w:t>
      </w:r>
    </w:p>
    <w:p w:rsidR="00EF1BA8" w:rsidRDefault="00EF1BA8" w:rsidP="002B5AFC">
      <w:pPr>
        <w:pStyle w:val="SingleTxtGA"/>
        <w:rPr>
          <w:rtl/>
        </w:rPr>
      </w:pPr>
      <w:r>
        <w:rPr>
          <w:rFonts w:hint="cs"/>
          <w:rtl/>
        </w:rPr>
        <w:t>20-</w:t>
      </w:r>
      <w:r>
        <w:rPr>
          <w:rFonts w:hint="cs"/>
          <w:rtl/>
        </w:rPr>
        <w:tab/>
        <w:t xml:space="preserve">يساور اللجنة القلق لأن </w:t>
      </w:r>
      <w:r w:rsidRPr="00623490">
        <w:rPr>
          <w:rFonts w:hint="cs"/>
          <w:rtl/>
        </w:rPr>
        <w:t>الدولة الطرف لم</w:t>
      </w:r>
      <w:r w:rsidR="000A707B">
        <w:rPr>
          <w:rFonts w:hint="cs"/>
          <w:rtl/>
        </w:rPr>
        <w:t xml:space="preserve"> </w:t>
      </w:r>
      <w:r>
        <w:rPr>
          <w:rFonts w:hint="cs"/>
          <w:rtl/>
        </w:rPr>
        <w:t>تنشئ</w:t>
      </w:r>
      <w:r w:rsidRPr="00623490">
        <w:rPr>
          <w:rFonts w:hint="cs"/>
          <w:rtl/>
        </w:rPr>
        <w:t xml:space="preserve"> الإطار القانوني الذي</w:t>
      </w:r>
      <w:r>
        <w:rPr>
          <w:rFonts w:hint="cs"/>
          <w:rtl/>
        </w:rPr>
        <w:t xml:space="preserve"> يسمح بعقد وتنظيم انتخابات تشريعية وبلدية في هايتي، وذلك منذ عام 2011، وهو التاريخ الذي</w:t>
      </w:r>
      <w:r w:rsidR="000A707B">
        <w:rPr>
          <w:rFonts w:hint="cs"/>
          <w:rtl/>
        </w:rPr>
        <w:t xml:space="preserve"> </w:t>
      </w:r>
      <w:r>
        <w:rPr>
          <w:rFonts w:hint="cs"/>
          <w:rtl/>
        </w:rPr>
        <w:t>حُدّد</w:t>
      </w:r>
      <w:r w:rsidR="000A707B">
        <w:rPr>
          <w:rFonts w:hint="cs"/>
          <w:rtl/>
        </w:rPr>
        <w:t xml:space="preserve"> </w:t>
      </w:r>
      <w:r>
        <w:rPr>
          <w:rFonts w:hint="cs"/>
          <w:rtl/>
        </w:rPr>
        <w:t>ابتداءً لهذه الانتخابات. وترى اللجنة أن هذا الوضع يحرم المواطنين الهايتيين من حقهم في التصويت والترشح في انتخابات دورية،</w:t>
      </w:r>
      <w:r w:rsidR="000A707B">
        <w:rPr>
          <w:rFonts w:hint="cs"/>
          <w:rtl/>
        </w:rPr>
        <w:t xml:space="preserve"> </w:t>
      </w:r>
      <w:r>
        <w:rPr>
          <w:rFonts w:hint="cs"/>
          <w:rtl/>
        </w:rPr>
        <w:t>بما يتفق وأحكام</w:t>
      </w:r>
      <w:r w:rsidR="000A707B">
        <w:rPr>
          <w:rFonts w:hint="cs"/>
          <w:rtl/>
        </w:rPr>
        <w:t xml:space="preserve"> </w:t>
      </w:r>
      <w:r>
        <w:rPr>
          <w:rFonts w:hint="cs"/>
          <w:rtl/>
        </w:rPr>
        <w:t>العهد (المادة 25).</w:t>
      </w:r>
    </w:p>
    <w:p w:rsidR="00EF1BA8" w:rsidRDefault="000A707B" w:rsidP="002B5AFC">
      <w:pPr>
        <w:pStyle w:val="SingleTxtGA"/>
        <w:rPr>
          <w:b/>
          <w:bCs/>
          <w:rtl/>
        </w:rPr>
      </w:pPr>
      <w:r>
        <w:rPr>
          <w:rFonts w:hint="cs"/>
          <w:b/>
          <w:bCs/>
          <w:rtl/>
        </w:rPr>
        <w:tab/>
      </w:r>
      <w:r w:rsidR="00EF1BA8">
        <w:rPr>
          <w:rFonts w:hint="cs"/>
          <w:b/>
          <w:bCs/>
          <w:rtl/>
        </w:rPr>
        <w:t>ينبغي للدولة الطرف أن تتخذ بصورة عاجلة التدابير اللازمة لتنظيم الانتخابات التشريعية والبلدية التي كان من المفروض عقدها منذ عام 2011 من أجل ضمان الإعمال الفعلي لحقوق المواطنين بموجب المادة 25 من العهد.</w:t>
      </w:r>
    </w:p>
    <w:p w:rsidR="00EF1BA8" w:rsidRPr="00356E0C" w:rsidRDefault="00EF1BA8" w:rsidP="002B5AFC">
      <w:pPr>
        <w:pStyle w:val="SingleTxtGA"/>
        <w:rPr>
          <w:rtl/>
        </w:rPr>
      </w:pPr>
      <w:r>
        <w:rPr>
          <w:rFonts w:hint="cs"/>
          <w:rtl/>
        </w:rPr>
        <w:t>21-</w:t>
      </w:r>
      <w:r>
        <w:rPr>
          <w:rFonts w:hint="cs"/>
          <w:rtl/>
        </w:rPr>
        <w:tab/>
      </w:r>
      <w:r>
        <w:rPr>
          <w:rtl/>
        </w:rPr>
        <w:t>وينبغي للدولة الطرف أن تعمّم على نطاق واسع العهد</w:t>
      </w:r>
      <w:r>
        <w:rPr>
          <w:rFonts w:hint="cs"/>
          <w:rtl/>
        </w:rPr>
        <w:t>،</w:t>
      </w:r>
      <w:r>
        <w:rPr>
          <w:rtl/>
        </w:rPr>
        <w:t xml:space="preserve"> والتقرير </w:t>
      </w:r>
      <w:r>
        <w:rPr>
          <w:rFonts w:hint="cs"/>
          <w:rtl/>
        </w:rPr>
        <w:t>الأولي،</w:t>
      </w:r>
      <w:r>
        <w:rPr>
          <w:rtl/>
        </w:rPr>
        <w:t xml:space="preserve"> والردود الخطية على قائمة المسائل التي أعدتها اللجنة</w:t>
      </w:r>
      <w:r>
        <w:rPr>
          <w:rFonts w:hint="cs"/>
          <w:rtl/>
        </w:rPr>
        <w:t>،</w:t>
      </w:r>
      <w:r>
        <w:rPr>
          <w:rtl/>
        </w:rPr>
        <w:t xml:space="preserve"> </w:t>
      </w:r>
      <w:r>
        <w:rPr>
          <w:rFonts w:hint="cs"/>
          <w:rtl/>
        </w:rPr>
        <w:t>و</w:t>
      </w:r>
      <w:r>
        <w:rPr>
          <w:rtl/>
        </w:rPr>
        <w:t>هذه الملاحظات الختامية</w:t>
      </w:r>
      <w:r>
        <w:rPr>
          <w:rFonts w:hint="cs"/>
          <w:rtl/>
        </w:rPr>
        <w:t>، باللغة الفرنسية، وأيضاً بالكريول</w:t>
      </w:r>
      <w:r>
        <w:rPr>
          <w:rtl/>
        </w:rPr>
        <w:t xml:space="preserve">، من أجل </w:t>
      </w:r>
      <w:r>
        <w:rPr>
          <w:rFonts w:hint="cs"/>
          <w:rtl/>
        </w:rPr>
        <w:t>إذكاء</w:t>
      </w:r>
      <w:r>
        <w:rPr>
          <w:rtl/>
        </w:rPr>
        <w:t xml:space="preserve"> وعي السلطات القضائية والتشريعية والإدارية والمجتمع المدني والمنظمات غير الحكومية العاملة في البلد، وكذلك عامة الجمهور. وتطلب اللجنة أيضاً إلى الدولة الطرف إجراء مشاورات على نطاق واسع </w:t>
      </w:r>
      <w:r>
        <w:rPr>
          <w:rFonts w:hint="cs"/>
          <w:rtl/>
        </w:rPr>
        <w:t xml:space="preserve">مع مكتب حماية المواطنين ومع المجتمع المدني </w:t>
      </w:r>
      <w:r>
        <w:rPr>
          <w:rtl/>
        </w:rPr>
        <w:t xml:space="preserve">عند إعداد تقريرها الدوري </w:t>
      </w:r>
      <w:r>
        <w:rPr>
          <w:rFonts w:hint="cs"/>
          <w:rtl/>
        </w:rPr>
        <w:t>الثاني.</w:t>
      </w:r>
    </w:p>
    <w:p w:rsidR="00EF1BA8" w:rsidRPr="000A707B" w:rsidRDefault="00EF1BA8" w:rsidP="002B5AFC">
      <w:pPr>
        <w:pStyle w:val="SingleTxtGA"/>
        <w:rPr>
          <w:spacing w:val="-2"/>
          <w:rtl/>
        </w:rPr>
      </w:pPr>
      <w:r w:rsidRPr="000A707B">
        <w:rPr>
          <w:rFonts w:hint="cs"/>
          <w:spacing w:val="-2"/>
          <w:rtl/>
        </w:rPr>
        <w:t>22-</w:t>
      </w:r>
      <w:r w:rsidRPr="000A707B">
        <w:rPr>
          <w:rFonts w:hint="cs"/>
          <w:spacing w:val="-2"/>
          <w:rtl/>
        </w:rPr>
        <w:tab/>
      </w:r>
      <w:r w:rsidRPr="000A707B">
        <w:rPr>
          <w:spacing w:val="-2"/>
          <w:rtl/>
        </w:rPr>
        <w:t xml:space="preserve">ووفقاً للفقرة 5 من المادة 71 من نظام اللجنة الداخلي، ينبغي أن تقدم الدولة الطرف، في غضون سنة، معلومات عن تنفيذ </w:t>
      </w:r>
      <w:r w:rsidRPr="000A707B">
        <w:rPr>
          <w:rFonts w:hint="cs"/>
          <w:spacing w:val="-2"/>
          <w:rtl/>
        </w:rPr>
        <w:t>ال</w:t>
      </w:r>
      <w:r w:rsidRPr="000A707B">
        <w:rPr>
          <w:spacing w:val="-2"/>
          <w:rtl/>
        </w:rPr>
        <w:t>توصيات الواردة في الفقرات</w:t>
      </w:r>
      <w:r w:rsidRPr="000A707B">
        <w:rPr>
          <w:rFonts w:hint="cs"/>
          <w:spacing w:val="-2"/>
          <w:rtl/>
        </w:rPr>
        <w:t xml:space="preserve"> 7 و10 و19 و20.</w:t>
      </w:r>
    </w:p>
    <w:p w:rsidR="00EF1BA8" w:rsidRDefault="00EF1BA8" w:rsidP="000A707B">
      <w:pPr>
        <w:pStyle w:val="SingleTxtGA"/>
        <w:rPr>
          <w:rtl/>
        </w:rPr>
      </w:pPr>
      <w:r>
        <w:rPr>
          <w:rFonts w:hint="cs"/>
          <w:rtl/>
        </w:rPr>
        <w:t>23-</w:t>
      </w:r>
      <w:r>
        <w:rPr>
          <w:rFonts w:hint="cs"/>
          <w:rtl/>
        </w:rPr>
        <w:tab/>
      </w:r>
      <w:r>
        <w:rPr>
          <w:rtl/>
        </w:rPr>
        <w:t>وتطلب اللجنة إلى الدولة الطـرف أن ت</w:t>
      </w:r>
      <w:r>
        <w:rPr>
          <w:rFonts w:hint="cs"/>
          <w:rtl/>
        </w:rPr>
        <w:t xml:space="preserve">ُضمِّن </w:t>
      </w:r>
      <w:r>
        <w:rPr>
          <w:rtl/>
        </w:rPr>
        <w:t>تقريرها الدوري القادم</w:t>
      </w:r>
      <w:r>
        <w:rPr>
          <w:rFonts w:hint="cs"/>
          <w:rtl/>
        </w:rPr>
        <w:t>،</w:t>
      </w:r>
      <w:r>
        <w:rPr>
          <w:rtl/>
        </w:rPr>
        <w:t xml:space="preserve"> المقرر تقديمه في</w:t>
      </w:r>
      <w:r w:rsidR="000A707B">
        <w:rPr>
          <w:rFonts w:hint="cs"/>
          <w:rtl/>
        </w:rPr>
        <w:t> </w:t>
      </w:r>
      <w:r>
        <w:rPr>
          <w:rtl/>
        </w:rPr>
        <w:t xml:space="preserve">31 تشرين الأول/أكتوبر 2018، معلومات محددة ومحدّثة عن </w:t>
      </w:r>
      <w:r>
        <w:rPr>
          <w:rFonts w:hint="cs"/>
          <w:rtl/>
        </w:rPr>
        <w:t xml:space="preserve">تنفيذ </w:t>
      </w:r>
      <w:r>
        <w:rPr>
          <w:rtl/>
        </w:rPr>
        <w:t xml:space="preserve">توصيات اللجنة </w:t>
      </w:r>
      <w:r>
        <w:rPr>
          <w:rFonts w:hint="cs"/>
          <w:rtl/>
        </w:rPr>
        <w:t xml:space="preserve">الأخرى </w:t>
      </w:r>
      <w:r>
        <w:rPr>
          <w:rtl/>
        </w:rPr>
        <w:t xml:space="preserve">وعن </w:t>
      </w:r>
      <w:r>
        <w:rPr>
          <w:rFonts w:hint="cs"/>
          <w:rtl/>
        </w:rPr>
        <w:t xml:space="preserve">تنفيذ </w:t>
      </w:r>
      <w:r>
        <w:rPr>
          <w:rtl/>
        </w:rPr>
        <w:t>العهد ككل</w:t>
      </w:r>
      <w:r>
        <w:t>.</w:t>
      </w:r>
    </w:p>
    <w:p w:rsidR="00EF1BA8" w:rsidRPr="00760F23" w:rsidRDefault="00EF1BA8" w:rsidP="00EF1BA8">
      <w:pPr>
        <w:pStyle w:val="SingleTxtG"/>
        <w:spacing w:before="240" w:after="0" w:line="276" w:lineRule="auto"/>
        <w:jc w:val="center"/>
        <w:rPr>
          <w:u w:val="single"/>
          <w:lang w:val="fr-CH"/>
        </w:rPr>
      </w:pPr>
      <w:r w:rsidRPr="00760F23">
        <w:rPr>
          <w:u w:val="single"/>
          <w:lang w:val="fr-CH"/>
        </w:rPr>
        <w:tab/>
      </w:r>
      <w:r w:rsidRPr="00760F23">
        <w:rPr>
          <w:u w:val="single"/>
          <w:lang w:val="fr-CH"/>
        </w:rPr>
        <w:tab/>
      </w:r>
      <w:r w:rsidRPr="00760F23">
        <w:rPr>
          <w:u w:val="single"/>
          <w:lang w:val="fr-CH"/>
        </w:rPr>
        <w:tab/>
      </w:r>
    </w:p>
    <w:p w:rsidR="00B54045" w:rsidRPr="000A707B" w:rsidRDefault="00B54045" w:rsidP="00B54045">
      <w:pPr>
        <w:spacing w:before="120" w:line="380" w:lineRule="exact"/>
        <w:jc w:val="left"/>
        <w:rPr>
          <w:rFonts w:hint="cs"/>
          <w:sz w:val="56"/>
          <w:szCs w:val="56"/>
          <w:rtl/>
          <w:lang w:val="fr-CH"/>
        </w:rPr>
      </w:pPr>
    </w:p>
    <w:sectPr w:rsidR="00B54045" w:rsidRPr="000A707B" w:rsidSect="00420D7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7F3" w:rsidRPr="002901D9" w:rsidRDefault="00DA17F3" w:rsidP="002901D9">
      <w:pPr>
        <w:spacing w:after="60" w:line="240" w:lineRule="auto"/>
        <w:rPr>
          <w:i/>
          <w:iCs/>
        </w:rPr>
      </w:pPr>
      <w:r>
        <w:rPr>
          <w:rFonts w:hint="cs"/>
          <w:i/>
          <w:iCs/>
          <w:rtl/>
        </w:rPr>
        <w:t>الحواشي</w:t>
      </w:r>
    </w:p>
  </w:endnote>
  <w:endnote w:type="continuationSeparator" w:id="0">
    <w:p w:rsidR="00DA17F3" w:rsidRDefault="00DA17F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itstream Cyberbit">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BA8" w:rsidRPr="00EF1BA8" w:rsidRDefault="00EF1BA8" w:rsidP="00EF1BA8">
    <w:pPr>
      <w:pStyle w:val="Footer"/>
      <w:tabs>
        <w:tab w:val="right" w:pos="9598"/>
      </w:tabs>
    </w:pPr>
    <w:r>
      <w:t>GE.14-22571</w:t>
    </w:r>
    <w:r>
      <w:tab/>
    </w:r>
    <w:r w:rsidRPr="00EF1BA8">
      <w:rPr>
        <w:b/>
        <w:sz w:val="18"/>
      </w:rPr>
      <w:fldChar w:fldCharType="begin"/>
    </w:r>
    <w:r w:rsidRPr="00EF1BA8">
      <w:rPr>
        <w:b/>
        <w:sz w:val="18"/>
      </w:rPr>
      <w:instrText xml:space="preserve"> PAGE  \* MERGEFORMAT </w:instrText>
    </w:r>
    <w:r w:rsidRPr="00EF1BA8">
      <w:rPr>
        <w:b/>
        <w:sz w:val="18"/>
      </w:rPr>
      <w:fldChar w:fldCharType="separate"/>
    </w:r>
    <w:r w:rsidR="00CA1153">
      <w:rPr>
        <w:b/>
        <w:noProof/>
        <w:sz w:val="18"/>
      </w:rPr>
      <w:t>8</w:t>
    </w:r>
    <w:r w:rsidRPr="00EF1BA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F1BA8" w:rsidRDefault="00EF1BA8" w:rsidP="006959B0">
    <w:pPr>
      <w:pStyle w:val="Footer"/>
      <w:tabs>
        <w:tab w:val="right" w:pos="9599"/>
      </w:tabs>
      <w:jc w:val="left"/>
      <w:rPr>
        <w:b/>
        <w:sz w:val="18"/>
        <w:lang w:val="en-US"/>
      </w:rPr>
    </w:pPr>
    <w:r w:rsidRPr="00EF1BA8">
      <w:rPr>
        <w:b/>
        <w:sz w:val="18"/>
        <w:lang w:val="en-US"/>
      </w:rPr>
      <w:fldChar w:fldCharType="begin"/>
    </w:r>
    <w:r w:rsidRPr="00EF1BA8">
      <w:rPr>
        <w:b/>
        <w:sz w:val="18"/>
        <w:lang w:val="en-US"/>
      </w:rPr>
      <w:instrText xml:space="preserve"> PAGE  \* MERGEFORMAT </w:instrText>
    </w:r>
    <w:r w:rsidRPr="00EF1BA8">
      <w:rPr>
        <w:b/>
        <w:sz w:val="18"/>
        <w:lang w:val="en-US"/>
      </w:rPr>
      <w:fldChar w:fldCharType="separate"/>
    </w:r>
    <w:r w:rsidR="00CA1153">
      <w:rPr>
        <w:b/>
        <w:noProof/>
        <w:sz w:val="18"/>
        <w:lang w:val="en-US"/>
      </w:rPr>
      <w:t>7</w:t>
    </w:r>
    <w:r w:rsidRPr="00EF1BA8">
      <w:rPr>
        <w:b/>
        <w:sz w:val="18"/>
        <w:lang w:val="en-US"/>
      </w:rPr>
      <w:fldChar w:fldCharType="end"/>
    </w:r>
    <w:r>
      <w:rPr>
        <w:b/>
        <w:sz w:val="18"/>
        <w:lang w:val="en-US"/>
      </w:rPr>
      <w:tab/>
    </w:r>
    <w:r>
      <w:rPr>
        <w:lang w:val="en-US"/>
      </w:rPr>
      <w:t>GE.14-22571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EF1BA8" w:rsidP="00EF1BA8">
    <w:pPr>
      <w:pStyle w:val="Footer"/>
      <w:jc w:val="right"/>
    </w:pPr>
    <w:r>
      <w:rPr>
        <w:sz w:val="20"/>
      </w:rPr>
      <w:t>(A)   GE.14-22571</w:t>
    </w:r>
    <w:r w:rsidR="003D72E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PleaseRecycleArabic" style="position:absolute;left:0;text-align:left;margin-left:58.85pt;margin-top:645.95pt;width:91.5pt;height:25.5pt;z-index:-2;visibility:visible;mso-position-horizontal-relative:margin;mso-position-vertical-relative:margin" wrapcoords="-177 0 -177 20965 21600 20965 21600 0 -177 0" o:allowincell="f">
          <v:imagedata r:id="rId1" o:title="PleaseRecycleArabic" croptop="2992f" cropbottom="2992f"/>
          <w10:wrap type="tight" anchorx="margin" anchory="margin"/>
          <w10:anchorlock/>
        </v:shape>
      </w:pict>
    </w:r>
    <w:r>
      <w:rPr>
        <w:sz w:val="20"/>
      </w:rPr>
      <w:t xml:space="preserve">    111214    111214</w:t>
    </w:r>
    <w:r w:rsidR="00452BE7">
      <w:br/>
    </w:r>
    <w:r w:rsidR="00452BE7" w:rsidRPr="00452BE7">
      <w:rPr>
        <w:rFonts w:ascii="C39T30Lfz" w:hAnsi="C39T30Lfz"/>
        <w:sz w:val="56"/>
      </w:rPr>
      <w:t></w:t>
    </w:r>
    <w:r w:rsidR="00452BE7" w:rsidRPr="00452BE7">
      <w:rPr>
        <w:rFonts w:ascii="C39T30Lfz" w:hAnsi="C39T30Lfz"/>
        <w:sz w:val="56"/>
      </w:rPr>
      <w:t></w:t>
    </w:r>
    <w:r w:rsidR="00452BE7" w:rsidRPr="00452BE7">
      <w:rPr>
        <w:rFonts w:ascii="C39T30Lfz" w:hAnsi="C39T30Lfz"/>
        <w:sz w:val="56"/>
      </w:rPr>
      <w:t></w:t>
    </w:r>
    <w:r w:rsidR="00452BE7" w:rsidRPr="00452BE7">
      <w:rPr>
        <w:rFonts w:ascii="C39T30Lfz" w:hAnsi="C39T30Lfz"/>
        <w:sz w:val="56"/>
      </w:rPr>
      <w:t></w:t>
    </w:r>
    <w:r w:rsidR="00452BE7" w:rsidRPr="00452BE7">
      <w:rPr>
        <w:rFonts w:ascii="C39T30Lfz" w:hAnsi="C39T30Lfz"/>
        <w:sz w:val="56"/>
      </w:rPr>
      <w:t></w:t>
    </w:r>
    <w:r w:rsidR="00452BE7" w:rsidRPr="00452BE7">
      <w:rPr>
        <w:rFonts w:ascii="C39T30Lfz" w:hAnsi="C39T30Lfz"/>
        <w:sz w:val="56"/>
      </w:rPr>
      <w:t></w:t>
    </w:r>
    <w:r w:rsidR="00452BE7" w:rsidRPr="00452BE7">
      <w:rPr>
        <w:rFonts w:ascii="C39T30Lfz" w:hAnsi="C39T30Lfz"/>
        <w:sz w:val="56"/>
      </w:rPr>
      <w:t></w:t>
    </w:r>
    <w:r w:rsidR="00452BE7" w:rsidRPr="00452BE7">
      <w:rPr>
        <w:rFonts w:ascii="C39T30Lfz" w:hAnsi="C39T30Lfz"/>
        <w:sz w:val="56"/>
      </w:rPr>
      <w:t></w:t>
    </w:r>
    <w:r w:rsidR="00452BE7" w:rsidRPr="00452BE7">
      <w:rPr>
        <w:rFonts w:ascii="C39T30Lfz" w:hAnsi="C39T30Lfz"/>
        <w:sz w:val="56"/>
      </w:rPr>
      <w:t></w:t>
    </w:r>
    <w:r w:rsidR="00452BE7">
      <w:rPr>
        <w:rFonts w:ascii="C39T30Lfz" w:hAnsi="C39T30Lfz"/>
        <w:sz w:val="56"/>
      </w:rPr>
      <w:tab/>
    </w:r>
    <w:r w:rsidR="00452BE7">
      <w:rPr>
        <w:noProof/>
        <w:lang w:val="en-US"/>
      </w:rPr>
      <w:pict>
        <v:shape id="_x0000_s2050" type="#_x0000_t75" style="position:absolute;left:0;text-align:left;margin-left:.05pt;margin-top:0;width:50.25pt;height:50.25pt;z-index:2;mso-position-horizontal-relative:text;mso-position-vertical-relative:text">
          <v:imagedata r:id="rId2" o:title="1&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7F3" w:rsidRDefault="00DA17F3" w:rsidP="000437B8">
      <w:pPr>
        <w:pStyle w:val="Footer"/>
        <w:bidi/>
        <w:spacing w:after="80" w:line="200" w:lineRule="exact"/>
        <w:ind w:left="680"/>
      </w:pPr>
      <w:r>
        <w:rPr>
          <w:rtl/>
        </w:rPr>
        <w:t>__________</w:t>
      </w:r>
    </w:p>
  </w:footnote>
  <w:footnote w:type="continuationSeparator" w:id="0">
    <w:p w:rsidR="00DA17F3" w:rsidRDefault="00DA17F3" w:rsidP="00656392">
      <w:pPr>
        <w:spacing w:line="240" w:lineRule="auto"/>
      </w:pPr>
      <w:r>
        <w:continuationSeparator/>
      </w:r>
    </w:p>
  </w:footnote>
  <w:footnote w:id="1">
    <w:p w:rsidR="002B5AFC" w:rsidRPr="002B5AFC" w:rsidRDefault="002B5AFC" w:rsidP="00452BE7">
      <w:pPr>
        <w:pStyle w:val="FootnoteText1"/>
        <w:spacing w:after="240"/>
        <w:ind w:left="1248" w:hanging="397"/>
        <w:rPr>
          <w:rFonts w:hint="cs"/>
          <w:sz w:val="26"/>
        </w:rPr>
      </w:pPr>
      <w:r>
        <w:rPr>
          <w:rtl/>
        </w:rPr>
        <w:t>*</w:t>
      </w:r>
      <w:r>
        <w:rPr>
          <w:rtl/>
        </w:rPr>
        <w:tab/>
      </w:r>
      <w:r w:rsidRPr="002B5AFC">
        <w:rPr>
          <w:rStyle w:val="FootnoteReference"/>
          <w:sz w:val="26"/>
          <w:szCs w:val="26"/>
          <w:vertAlign w:val="baseline"/>
          <w:rtl/>
          <w:lang w:eastAsia="zh-TW"/>
        </w:rPr>
        <w:t>اعتمدتها اللجنة في دورتها 112 (7-31 تشرين الأول/أكتوبر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BA8" w:rsidRPr="00EF1BA8" w:rsidRDefault="00EF1BA8" w:rsidP="00EF1BA8">
    <w:pPr>
      <w:pStyle w:val="Header"/>
      <w:jc w:val="right"/>
    </w:pPr>
    <w:r w:rsidRPr="00EF1BA8">
      <w:t>CCPR/C/HTI/CO/1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BA8" w:rsidRPr="00EF1BA8" w:rsidRDefault="00EF1BA8" w:rsidP="00EF1BA8">
    <w:pPr>
      <w:pStyle w:val="Header"/>
      <w:jc w:val="left"/>
    </w:pPr>
    <w:r w:rsidRPr="00EF1BA8">
      <w:t>CCPR/C/HTI/CO/1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72E2"/>
    <w:rsid w:val="000076D5"/>
    <w:rsid w:val="00043663"/>
    <w:rsid w:val="000437B8"/>
    <w:rsid w:val="000505CF"/>
    <w:rsid w:val="000A707B"/>
    <w:rsid w:val="000B2B03"/>
    <w:rsid w:val="000D701C"/>
    <w:rsid w:val="000E2A71"/>
    <w:rsid w:val="00160263"/>
    <w:rsid w:val="0017569F"/>
    <w:rsid w:val="00181F96"/>
    <w:rsid w:val="001A1371"/>
    <w:rsid w:val="001B346A"/>
    <w:rsid w:val="001E1CAD"/>
    <w:rsid w:val="001E290D"/>
    <w:rsid w:val="002144FA"/>
    <w:rsid w:val="0023469A"/>
    <w:rsid w:val="00243C8A"/>
    <w:rsid w:val="00267A0E"/>
    <w:rsid w:val="002901D9"/>
    <w:rsid w:val="002976C2"/>
    <w:rsid w:val="002A0CAF"/>
    <w:rsid w:val="002B5AFC"/>
    <w:rsid w:val="003260FF"/>
    <w:rsid w:val="00343D95"/>
    <w:rsid w:val="00374341"/>
    <w:rsid w:val="00376797"/>
    <w:rsid w:val="003D1062"/>
    <w:rsid w:val="003D72E2"/>
    <w:rsid w:val="00420D7B"/>
    <w:rsid w:val="00450B21"/>
    <w:rsid w:val="00452BE7"/>
    <w:rsid w:val="00453B63"/>
    <w:rsid w:val="00455780"/>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852A9A"/>
    <w:rsid w:val="008836A2"/>
    <w:rsid w:val="008F49E1"/>
    <w:rsid w:val="0090370F"/>
    <w:rsid w:val="009269D2"/>
    <w:rsid w:val="00932D39"/>
    <w:rsid w:val="00942135"/>
    <w:rsid w:val="009521B0"/>
    <w:rsid w:val="009A7E9F"/>
    <w:rsid w:val="009E5018"/>
    <w:rsid w:val="00A12B37"/>
    <w:rsid w:val="00A616A8"/>
    <w:rsid w:val="00AB6758"/>
    <w:rsid w:val="00B13763"/>
    <w:rsid w:val="00B477A4"/>
    <w:rsid w:val="00B54045"/>
    <w:rsid w:val="00C438D7"/>
    <w:rsid w:val="00C81B50"/>
    <w:rsid w:val="00CA1153"/>
    <w:rsid w:val="00CB6622"/>
    <w:rsid w:val="00CD1801"/>
    <w:rsid w:val="00D10EF1"/>
    <w:rsid w:val="00D42810"/>
    <w:rsid w:val="00D914A7"/>
    <w:rsid w:val="00DA17F3"/>
    <w:rsid w:val="00DB4438"/>
    <w:rsid w:val="00DD13C3"/>
    <w:rsid w:val="00DD596E"/>
    <w:rsid w:val="00DD621E"/>
    <w:rsid w:val="00DF0575"/>
    <w:rsid w:val="00E70E04"/>
    <w:rsid w:val="00EC05A7"/>
    <w:rsid w:val="00EC4B6B"/>
    <w:rsid w:val="00ED25B5"/>
    <w:rsid w:val="00ED7442"/>
    <w:rsid w:val="00EF1BA8"/>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lang w:val="en-US"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link w:val="FootnoteText"/>
    <w:uiPriority w:val="99"/>
    <w:semiHidden/>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EF1BA8"/>
    <w:pPr>
      <w:suppressAutoHyphens/>
      <w:bidi w:val="0"/>
      <w:spacing w:after="120"/>
      <w:ind w:left="1134" w:right="1134"/>
      <w:jc w:val="both"/>
    </w:pPr>
    <w:rPr>
      <w:lang w:val="en-GB"/>
    </w:rPr>
  </w:style>
  <w:style w:type="character" w:customStyle="1" w:styleId="SingleTxtGChar">
    <w:name w:val="_ Single Txt_G Char"/>
    <w:link w:val="SingleTxtG"/>
    <w:rsid w:val="00EF1BA8"/>
    <w:rPr>
      <w:rFonts w:ascii="Times New Roman" w:hAnsi="Times New Roman" w:cs="Traditional Arabic"/>
      <w:szCs w:val="30"/>
      <w:lang w:val="en-GB"/>
    </w:rPr>
  </w:style>
  <w:style w:type="character" w:customStyle="1" w:styleId="superseded">
    <w:name w:val="superseded"/>
    <w:rsid w:val="00EF1B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2500</Words>
  <Characters>13206</Characters>
  <Application>Microsoft Office Word</Application>
  <DocSecurity>4</DocSecurity>
  <Lines>240</Lines>
  <Paragraphs>89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CCPR/C/HTI/CO/1</vt:lpstr>
      <vt:lpstr>CCPR/C/HTI/CO/1</vt:lpstr>
    </vt:vector>
  </TitlesOfParts>
  <Company>DCM</Company>
  <LinksUpToDate>false</LinksUpToDate>
  <CharactersWithSpaces>15617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CCPR/C/HTI/CO/1</dc:title>
  <dc:subject>SEDDIKI</dc:subject>
  <dc:creator>UNO</dc:creator>
  <cp:keywords/>
  <dc:description/>
  <cp:lastModifiedBy>El-Maseri M.</cp:lastModifiedBy>
  <cp:revision>2</cp:revision>
  <cp:lastPrinted>2014-12-11T10:39:00Z</cp:lastPrinted>
  <dcterms:created xsi:type="dcterms:W3CDTF">2014-12-11T14:51:00Z</dcterms:created>
  <dcterms:modified xsi:type="dcterms:W3CDTF">2014-12-11T14:51:00Z</dcterms:modified>
</cp:coreProperties>
</file>