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1F3" w:rsidRDefault="00B421F3" w:rsidP="00B421F3">
      <w:pPr>
        <w:spacing w:line="240" w:lineRule="auto"/>
        <w:jc w:val="left"/>
        <w:rPr>
          <w:szCs w:val="6"/>
        </w:rPr>
        <w:sectPr w:rsidR="00B421F3" w:rsidSect="00B421F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301882" w:rsidRPr="00301882" w:rsidRDefault="00301882" w:rsidP="0030188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301882">
        <w:rPr>
          <w:rFonts w:hint="cs"/>
          <w:rtl/>
        </w:rPr>
        <w:t>ا</w:t>
      </w:r>
      <w:r w:rsidRPr="00301882">
        <w:rPr>
          <w:rtl/>
        </w:rPr>
        <w:t>للجنة المعنية بالقضاء على التمييز</w:t>
      </w:r>
      <w:r>
        <w:rPr>
          <w:rFonts w:hint="cs"/>
          <w:rtl/>
        </w:rPr>
        <w:t xml:space="preserve"> </w:t>
      </w:r>
      <w:r w:rsidRPr="00301882">
        <w:rPr>
          <w:rtl/>
        </w:rPr>
        <w:t>ضد المرأة</w:t>
      </w:r>
    </w:p>
    <w:p w:rsidR="00301882" w:rsidRPr="00301882" w:rsidRDefault="00301882" w:rsidP="0030188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301882">
        <w:rPr>
          <w:rtl/>
        </w:rPr>
        <w:t>الدورة التاسعة والأربعون</w:t>
      </w:r>
    </w:p>
    <w:p w:rsidR="00301882" w:rsidRPr="00301882" w:rsidRDefault="00301882" w:rsidP="00301882">
      <w:pPr>
        <w:tabs>
          <w:tab w:val="left" w:pos="662"/>
          <w:tab w:val="left" w:pos="1267"/>
          <w:tab w:val="left" w:pos="1987"/>
          <w:tab w:val="left" w:pos="2650"/>
        </w:tabs>
        <w:rPr>
          <w:rtl/>
        </w:rPr>
      </w:pPr>
      <w:r w:rsidRPr="00301882">
        <w:rPr>
          <w:rtl/>
        </w:rPr>
        <w:t>11</w:t>
      </w:r>
      <w:r>
        <w:rPr>
          <w:rtl/>
        </w:rPr>
        <w:t>-</w:t>
      </w:r>
      <w:r w:rsidRPr="00301882">
        <w:rPr>
          <w:rtl/>
        </w:rPr>
        <w:t>9 شباط/فبراير 2007</w:t>
      </w:r>
    </w:p>
    <w:p w:rsidR="00301882" w:rsidRPr="00301882" w:rsidRDefault="00301882" w:rsidP="00301882">
      <w:pPr>
        <w:pStyle w:val="SingleTxt"/>
        <w:spacing w:after="0" w:line="120" w:lineRule="exact"/>
        <w:rPr>
          <w:sz w:val="10"/>
          <w:rtl/>
        </w:rPr>
      </w:pPr>
    </w:p>
    <w:p w:rsidR="00301882" w:rsidRPr="00301882" w:rsidRDefault="00301882" w:rsidP="00301882">
      <w:pPr>
        <w:pStyle w:val="SingleTxt"/>
        <w:spacing w:after="0" w:line="120" w:lineRule="exact"/>
        <w:rPr>
          <w:sz w:val="10"/>
          <w:rtl/>
        </w:rPr>
      </w:pPr>
    </w:p>
    <w:p w:rsidR="00301882" w:rsidRPr="00301882" w:rsidRDefault="00301882" w:rsidP="00301882">
      <w:pPr>
        <w:pStyle w:val="SingleTxt"/>
        <w:spacing w:after="0" w:line="120" w:lineRule="exact"/>
        <w:rPr>
          <w:sz w:val="10"/>
          <w:rtl/>
        </w:rPr>
      </w:pPr>
    </w:p>
    <w:p w:rsidR="00301882" w:rsidRPr="00301882" w:rsidRDefault="00301882" w:rsidP="003018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01882">
        <w:rPr>
          <w:rtl/>
        </w:rPr>
        <w:tab/>
      </w:r>
      <w:r w:rsidRPr="00301882">
        <w:rPr>
          <w:rtl/>
        </w:rPr>
        <w:tab/>
        <w:t>قائمة القضايا والأسئلة المطروحة فيما يتعلق بالنظر في التقارير</w:t>
      </w:r>
    </w:p>
    <w:p w:rsidR="00301882" w:rsidRPr="00301882" w:rsidRDefault="00301882" w:rsidP="003018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301882">
        <w:rPr>
          <w:rtl/>
        </w:rPr>
        <w:tab/>
      </w:r>
      <w:r w:rsidRPr="00301882">
        <w:rPr>
          <w:rtl/>
        </w:rPr>
        <w:tab/>
        <w:t>جمهورية كوريا</w:t>
      </w:r>
    </w:p>
    <w:p w:rsidR="00301882" w:rsidRPr="00301882" w:rsidRDefault="00301882" w:rsidP="00301882">
      <w:pPr>
        <w:pStyle w:val="SingleTxt"/>
        <w:rPr>
          <w:rtl/>
        </w:rPr>
      </w:pPr>
      <w:r>
        <w:rPr>
          <w:rFonts w:hint="cs"/>
          <w:rtl/>
        </w:rPr>
        <w:tab/>
      </w:r>
      <w:r w:rsidRPr="00301882">
        <w:rPr>
          <w:rtl/>
        </w:rPr>
        <w:t>فحص الفريق العامل</w:t>
      </w:r>
      <w:r w:rsidRPr="00301882">
        <w:rPr>
          <w:rFonts w:hint="cs"/>
          <w:rtl/>
        </w:rPr>
        <w:t xml:space="preserve"> </w:t>
      </w:r>
      <w:r w:rsidRPr="00301882">
        <w:rPr>
          <w:rtl/>
        </w:rPr>
        <w:t>لما قبل الدورة التقرير الدوري السابع لجمهورية</w:t>
      </w:r>
      <w:r w:rsidRPr="00301882">
        <w:rPr>
          <w:rFonts w:hint="cs"/>
          <w:rtl/>
        </w:rPr>
        <w:t xml:space="preserve"> </w:t>
      </w:r>
      <w:r w:rsidRPr="00301882">
        <w:rPr>
          <w:rtl/>
        </w:rPr>
        <w:t>كوريا</w:t>
      </w:r>
      <w:r w:rsidRPr="00301882">
        <w:rPr>
          <w:rFonts w:hint="cs"/>
          <w:rtl/>
        </w:rPr>
        <w:t xml:space="preserve"> </w:t>
      </w:r>
      <w:r w:rsidRPr="00301882">
        <w:rPr>
          <w:rtl/>
        </w:rPr>
        <w:t>(</w:t>
      </w:r>
      <w:r w:rsidRPr="00301882">
        <w:t>CEDAW/C/KOR/Q/7</w:t>
      </w:r>
      <w:r w:rsidRPr="00301882">
        <w:rPr>
          <w:rtl/>
        </w:rPr>
        <w:t xml:space="preserve">).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الوضع القانوني للاتفاقية والإطار التشريعي والمؤسسي</w:t>
      </w:r>
    </w:p>
    <w:p w:rsidR="00301882" w:rsidRPr="00301882" w:rsidRDefault="00301882" w:rsidP="00301882">
      <w:pPr>
        <w:pStyle w:val="SingleTxt"/>
        <w:rPr>
          <w:rtl/>
        </w:rPr>
      </w:pPr>
      <w:r w:rsidRPr="00301882">
        <w:rPr>
          <w:rtl/>
        </w:rPr>
        <w:t>1</w:t>
      </w:r>
      <w:r>
        <w:rPr>
          <w:rFonts w:hint="cs"/>
          <w:rtl/>
        </w:rPr>
        <w:t xml:space="preserve"> -</w:t>
      </w:r>
      <w:r>
        <w:rPr>
          <w:rFonts w:hint="cs"/>
          <w:rtl/>
        </w:rPr>
        <w:tab/>
      </w:r>
      <w:r w:rsidRPr="00301882">
        <w:rPr>
          <w:rtl/>
        </w:rPr>
        <w:t>يرجى بيان ما إذا كانت الدولة الطرف قد وضعت جدولا زمنيا واضحا لسحب تحفظها على المادة 16</w:t>
      </w:r>
      <w:r w:rsidRPr="00301882">
        <w:rPr>
          <w:rFonts w:hint="cs"/>
          <w:rtl/>
        </w:rPr>
        <w:t>-1</w:t>
      </w:r>
      <w:r w:rsidRPr="00301882">
        <w:rPr>
          <w:rtl/>
        </w:rPr>
        <w:t xml:space="preserve"> (ز) من الاتفاقية؟</w:t>
      </w:r>
    </w:p>
    <w:p w:rsidR="00301882" w:rsidRPr="00301882" w:rsidRDefault="00301882" w:rsidP="00301882">
      <w:pPr>
        <w:pStyle w:val="SingleTxt"/>
        <w:rPr>
          <w:rtl/>
        </w:rPr>
      </w:pPr>
      <w:r w:rsidRPr="00301882">
        <w:rPr>
          <w:rtl/>
        </w:rPr>
        <w:t>2</w:t>
      </w:r>
      <w:r>
        <w:rPr>
          <w:rFonts w:hint="cs"/>
          <w:rtl/>
        </w:rPr>
        <w:t xml:space="preserve"> -</w:t>
      </w:r>
      <w:r>
        <w:rPr>
          <w:rFonts w:hint="cs"/>
          <w:rtl/>
        </w:rPr>
        <w:tab/>
      </w:r>
      <w:r w:rsidRPr="00301882">
        <w:rPr>
          <w:rtl/>
        </w:rPr>
        <w:t>يرجى تقديم مزيد من التفاصيل عن الجهود التي بذلت من أجل تجسيد حظر التمييز (تمشيا مع المادة 1 من الاتفاقية) في الدستور والتشريعات المناسبة الأخرى،</w:t>
      </w:r>
      <w:r w:rsidR="00BF3E42">
        <w:rPr>
          <w:rFonts w:hint="cs"/>
          <w:rtl/>
        </w:rPr>
        <w:t xml:space="preserve"> </w:t>
      </w:r>
      <w:r w:rsidRPr="00301882">
        <w:rPr>
          <w:rtl/>
        </w:rPr>
        <w:t xml:space="preserve">على نحو يغطي جميع مجالات الاتفاقية ويجعلها تنطبق على القطاع الخاص. </w:t>
      </w:r>
    </w:p>
    <w:p w:rsidR="00301882" w:rsidRPr="00301882" w:rsidRDefault="00301882" w:rsidP="00301882">
      <w:pPr>
        <w:pStyle w:val="SingleTxt"/>
        <w:rPr>
          <w:rtl/>
        </w:rPr>
      </w:pPr>
      <w:r w:rsidRPr="00301882">
        <w:rPr>
          <w:rtl/>
        </w:rPr>
        <w:t>3</w:t>
      </w:r>
      <w:r>
        <w:rPr>
          <w:rFonts w:hint="cs"/>
          <w:rtl/>
        </w:rPr>
        <w:t xml:space="preserve"> -</w:t>
      </w:r>
      <w:r>
        <w:rPr>
          <w:rFonts w:hint="cs"/>
          <w:rtl/>
        </w:rPr>
        <w:tab/>
      </w:r>
      <w:r w:rsidRPr="00301882">
        <w:rPr>
          <w:rtl/>
        </w:rPr>
        <w:t>يرجى بيان ما إذا كانت الدولة الطرف قد حددت</w:t>
      </w:r>
      <w:r w:rsidRPr="00301882">
        <w:rPr>
          <w:rFonts w:hint="cs"/>
          <w:rtl/>
        </w:rPr>
        <w:t>،</w:t>
      </w:r>
      <w:r w:rsidRPr="00301882">
        <w:rPr>
          <w:rtl/>
        </w:rPr>
        <w:t xml:space="preserve"> بعد توقيعها على ذلك </w:t>
      </w:r>
      <w:r w:rsidRPr="00301882">
        <w:rPr>
          <w:rFonts w:hint="cs"/>
          <w:rtl/>
        </w:rPr>
        <w:t>الاتفاقية،</w:t>
      </w:r>
      <w:r w:rsidRPr="00301882">
        <w:rPr>
          <w:rtl/>
        </w:rPr>
        <w:t xml:space="preserve"> الإطار الزمني للمضي قدما في التصديق على بروتوكول منع وقمع ومعاقبة الاتجار بالأشخاص، وبخاصة النساء والأطفال، المكمل لاتفاقية الأمم المتحدة لمكافحة الجريمة المنظمة عبر الوطنية.</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الآلية الوطنية للنهوض بالمرأة</w:t>
      </w:r>
    </w:p>
    <w:p w:rsidR="00301882" w:rsidRPr="00301882" w:rsidRDefault="00301882" w:rsidP="00301882">
      <w:pPr>
        <w:pStyle w:val="SingleTxt"/>
        <w:rPr>
          <w:rtl/>
        </w:rPr>
      </w:pPr>
      <w:r w:rsidRPr="00301882">
        <w:rPr>
          <w:rtl/>
        </w:rPr>
        <w:t>4</w:t>
      </w:r>
      <w:r>
        <w:rPr>
          <w:rFonts w:hint="cs"/>
          <w:rtl/>
        </w:rPr>
        <w:t xml:space="preserve"> -</w:t>
      </w:r>
      <w:r>
        <w:rPr>
          <w:rFonts w:hint="cs"/>
          <w:rtl/>
        </w:rPr>
        <w:tab/>
      </w:r>
      <w:r w:rsidRPr="00301882">
        <w:rPr>
          <w:rtl/>
        </w:rPr>
        <w:t>يرجى التعليق على الشواغل المتعلقة بأن التغيرات التي طرأت على الكفاءات والموارد المالية لوزارة المساواة بين الجنسين قد أثرت سلبا على تمتع المرأة بحقوق متساوية على نطاق واسع. وفي هذا الصدد، يرجى تقديم معلومات عما إذا كانت هذه التغيرات سوف تؤثر على الجهود التي تبذلها الدولة الطرف لإدخال منظور جنساني في التشريعات والبرامج بصورة منهجية.</w:t>
      </w:r>
    </w:p>
    <w:p w:rsidR="00301882" w:rsidRPr="00301882" w:rsidRDefault="00301882" w:rsidP="00BF3E42">
      <w:pPr>
        <w:pStyle w:val="SingleTxt"/>
        <w:rPr>
          <w:rtl/>
        </w:rPr>
      </w:pPr>
      <w:r w:rsidRPr="00301882">
        <w:rPr>
          <w:rtl/>
        </w:rPr>
        <w:t>5</w:t>
      </w:r>
      <w:r>
        <w:rPr>
          <w:rFonts w:hint="cs"/>
          <w:rtl/>
        </w:rPr>
        <w:t xml:space="preserve"> -</w:t>
      </w:r>
      <w:r>
        <w:rPr>
          <w:rFonts w:hint="cs"/>
          <w:rtl/>
        </w:rPr>
        <w:tab/>
      </w:r>
      <w:r w:rsidRPr="00301882">
        <w:rPr>
          <w:rtl/>
        </w:rPr>
        <w:t xml:space="preserve">بالإشارة إلى الفقرات من 34 إلى 37 من التقرير، يرجى تقديم معلومات عن انخفاض معدل تنفيذ مشروع الميزنة التي تراعي الفوارق بين الجنسين، الذي </w:t>
      </w:r>
      <w:r w:rsidRPr="00301882">
        <w:rPr>
          <w:rFonts w:hint="cs"/>
          <w:rtl/>
        </w:rPr>
        <w:t>عرضته</w:t>
      </w:r>
      <w:r w:rsidRPr="00301882">
        <w:rPr>
          <w:rtl/>
        </w:rPr>
        <w:t xml:space="preserve"> مؤخرا الدولة الطرف، ويرجى بيان التدابير المزمع اتخاذها لتعزيز وعي والتزام الوزارات الحكومية المختصة بذلك المشروع. وفي هذا الصدد، يرجى توضيح نتائج التقرير الأول عن الميزنة التي تراعي الفوارق بين الجنسين (لعام 2009)</w:t>
      </w:r>
      <w:r w:rsidRPr="00301882">
        <w:rPr>
          <w:rFonts w:hint="cs"/>
          <w:rtl/>
        </w:rPr>
        <w:t>،</w:t>
      </w:r>
      <w:r w:rsidRPr="00301882">
        <w:rPr>
          <w:rtl/>
        </w:rPr>
        <w:t xml:space="preserve"> من حيث نطاق ميزانية الحكومة المستهدفة و</w:t>
      </w:r>
      <w:r w:rsidRPr="00301882">
        <w:rPr>
          <w:rFonts w:hint="cs"/>
          <w:rtl/>
        </w:rPr>
        <w:t>المنهج</w:t>
      </w:r>
      <w:r w:rsidRPr="00301882">
        <w:rPr>
          <w:rtl/>
        </w:rPr>
        <w:t xml:space="preserve"> التحليلي وعملية الاستعراض </w:t>
      </w:r>
      <w:r w:rsidRPr="00301882">
        <w:rPr>
          <w:rFonts w:hint="cs"/>
          <w:rtl/>
        </w:rPr>
        <w:t>فيما يختص ب</w:t>
      </w:r>
      <w:r w:rsidRPr="00301882">
        <w:rPr>
          <w:rtl/>
        </w:rPr>
        <w:t xml:space="preserve">إصلاح الميزانية. </w:t>
      </w:r>
      <w:r w:rsidRPr="00301882">
        <w:rPr>
          <w:rFonts w:hint="cs"/>
          <w:rtl/>
        </w:rPr>
        <w:t>و</w:t>
      </w:r>
      <w:r w:rsidRPr="00301882">
        <w:rPr>
          <w:rtl/>
        </w:rPr>
        <w:t>يرجى</w:t>
      </w:r>
      <w:r w:rsidRPr="00301882">
        <w:rPr>
          <w:rFonts w:hint="cs"/>
          <w:rtl/>
        </w:rPr>
        <w:t xml:space="preserve"> أيضا</w:t>
      </w:r>
      <w:r w:rsidRPr="00301882">
        <w:rPr>
          <w:rtl/>
        </w:rPr>
        <w:t xml:space="preserve"> تقديم معلومات عن النتائج المتوقعة من </w:t>
      </w:r>
      <w:r>
        <w:rPr>
          <w:rFonts w:hint="cs"/>
          <w:rtl/>
        </w:rPr>
        <w:t>”</w:t>
      </w:r>
      <w:r w:rsidRPr="00301882">
        <w:rPr>
          <w:rtl/>
        </w:rPr>
        <w:t>قانون</w:t>
      </w:r>
      <w:r w:rsidRPr="00301882">
        <w:rPr>
          <w:rFonts w:hint="cs"/>
          <w:rtl/>
        </w:rPr>
        <w:t xml:space="preserve"> الشؤون</w:t>
      </w:r>
      <w:r w:rsidRPr="00301882">
        <w:rPr>
          <w:rtl/>
        </w:rPr>
        <w:t xml:space="preserve"> المالية الوطني</w:t>
      </w:r>
      <w:r>
        <w:rPr>
          <w:rFonts w:hint="cs"/>
          <w:rtl/>
        </w:rPr>
        <w:t>“</w:t>
      </w:r>
      <w:r w:rsidRPr="00301882">
        <w:rPr>
          <w:rtl/>
        </w:rPr>
        <w:t xml:space="preserve"> الذي ينص على أن تقدم الحكومة، في بداية السنة المالية 2010، ميزانيات وحسابات تراعي الفوارق بين الجنسين، على النحو المشار إليه في الفقرة 14 من التقرير.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التدابير الخاصة المؤقتة</w:t>
      </w:r>
    </w:p>
    <w:p w:rsidR="00301882" w:rsidRPr="00301882" w:rsidRDefault="00301882" w:rsidP="00FB4557">
      <w:pPr>
        <w:pStyle w:val="SingleTxt"/>
        <w:rPr>
          <w:rtl/>
        </w:rPr>
      </w:pPr>
      <w:r w:rsidRPr="00301882">
        <w:rPr>
          <w:rtl/>
        </w:rPr>
        <w:t>6</w:t>
      </w:r>
      <w:r>
        <w:rPr>
          <w:rFonts w:hint="cs"/>
          <w:rtl/>
        </w:rPr>
        <w:t xml:space="preserve"> -</w:t>
      </w:r>
      <w:r>
        <w:rPr>
          <w:rFonts w:hint="cs"/>
          <w:rtl/>
        </w:rPr>
        <w:tab/>
      </w:r>
      <w:r w:rsidRPr="00301882">
        <w:rPr>
          <w:rtl/>
        </w:rPr>
        <w:t>يرجى توضيح الكيفية التي ستؤثر بها إعادة</w:t>
      </w:r>
      <w:r w:rsidRPr="00301882">
        <w:rPr>
          <w:rFonts w:hint="cs"/>
          <w:rtl/>
        </w:rPr>
        <w:t xml:space="preserve"> صياغة</w:t>
      </w:r>
      <w:r w:rsidRPr="00301882">
        <w:rPr>
          <w:rtl/>
        </w:rPr>
        <w:t xml:space="preserve"> الترتيبات المؤسسية المتعلقة ب</w:t>
      </w:r>
      <w:r w:rsidR="00FB4557">
        <w:rPr>
          <w:rFonts w:hint="cs"/>
          <w:rtl/>
        </w:rPr>
        <w:t>ـ </w:t>
      </w:r>
      <w:r>
        <w:rPr>
          <w:rFonts w:hint="cs"/>
          <w:rtl/>
        </w:rPr>
        <w:t>”</w:t>
      </w:r>
      <w:r w:rsidRPr="00301882">
        <w:rPr>
          <w:rtl/>
        </w:rPr>
        <w:t>لجنة العمل الإيجابي</w:t>
      </w:r>
      <w:r>
        <w:rPr>
          <w:rFonts w:hint="cs"/>
          <w:rtl/>
        </w:rPr>
        <w:t>“</w:t>
      </w:r>
      <w:r w:rsidRPr="00301882">
        <w:rPr>
          <w:rtl/>
        </w:rPr>
        <w:t xml:space="preserve">، </w:t>
      </w:r>
      <w:r w:rsidRPr="00301882">
        <w:rPr>
          <w:rFonts w:hint="cs"/>
          <w:rtl/>
        </w:rPr>
        <w:t xml:space="preserve">المعنية بفحص </w:t>
      </w:r>
      <w:r w:rsidRPr="00301882">
        <w:rPr>
          <w:rtl/>
        </w:rPr>
        <w:t>تنفيذ خطط عمل الإجراءات الإيجابية ومنجزاتها، على برامج العمل الإيجابي في الحاضر والمستقبل، على النحو المشار إليه في الفقرتين 92 و</w:t>
      </w:r>
      <w:r w:rsidR="00FB4557">
        <w:rPr>
          <w:rFonts w:hint="cs"/>
          <w:rtl/>
        </w:rPr>
        <w:t> </w:t>
      </w:r>
      <w:r w:rsidRPr="00301882">
        <w:rPr>
          <w:rtl/>
        </w:rPr>
        <w:t>93 من التقرير الدوري. وبالإشارة أيضا إلى الفقرة 93 من التقرير الدوري، يرجى تقديم معلومات عن فعالية</w:t>
      </w:r>
      <w:r w:rsidRPr="00301882">
        <w:rPr>
          <w:rFonts w:hint="cs"/>
          <w:rtl/>
        </w:rPr>
        <w:t xml:space="preserve"> مبادرة</w:t>
      </w:r>
      <w:r w:rsidRPr="00301882">
        <w:rPr>
          <w:rtl/>
        </w:rPr>
        <w:t xml:space="preserve"> </w:t>
      </w:r>
      <w:r>
        <w:rPr>
          <w:rFonts w:hint="cs"/>
          <w:rtl/>
        </w:rPr>
        <w:t>”</w:t>
      </w:r>
      <w:r w:rsidRPr="00301882">
        <w:rPr>
          <w:rtl/>
        </w:rPr>
        <w:t>العمل الإيجابي المتعلق بعمالة المرأة</w:t>
      </w:r>
      <w:r>
        <w:rPr>
          <w:rFonts w:hint="cs"/>
          <w:rtl/>
        </w:rPr>
        <w:t>“</w:t>
      </w:r>
      <w:r w:rsidRPr="00301882">
        <w:rPr>
          <w:rtl/>
        </w:rPr>
        <w:t xml:space="preserve">، وبيان كيفية </w:t>
      </w:r>
      <w:r w:rsidRPr="00301882">
        <w:rPr>
          <w:rFonts w:hint="cs"/>
          <w:rtl/>
        </w:rPr>
        <w:t>تطبيقها على</w:t>
      </w:r>
      <w:r w:rsidRPr="00301882">
        <w:rPr>
          <w:rtl/>
        </w:rPr>
        <w:t xml:space="preserve"> العاملات غير المنتظمات في العمل وغير المتفرغات.</w:t>
      </w:r>
    </w:p>
    <w:p w:rsidR="00301882" w:rsidRPr="00301882" w:rsidRDefault="00301882" w:rsidP="00FB4557">
      <w:pPr>
        <w:pStyle w:val="SingleTxt"/>
        <w:rPr>
          <w:rtl/>
        </w:rPr>
      </w:pPr>
      <w:r w:rsidRPr="00301882">
        <w:rPr>
          <w:rtl/>
        </w:rPr>
        <w:t>7</w:t>
      </w:r>
      <w:r>
        <w:rPr>
          <w:rFonts w:hint="cs"/>
          <w:rtl/>
        </w:rPr>
        <w:t xml:space="preserve"> -</w:t>
      </w:r>
      <w:r>
        <w:rPr>
          <w:rFonts w:hint="cs"/>
          <w:rtl/>
        </w:rPr>
        <w:tab/>
      </w:r>
      <w:r w:rsidRPr="00301882">
        <w:rPr>
          <w:rtl/>
        </w:rPr>
        <w:t>يرجى بيان ما إذا كانت الدولة الطرف تعتزم استخدام تدابير خاصة مؤقتة، وفقا</w:t>
      </w:r>
      <w:r w:rsidR="00FB4557">
        <w:rPr>
          <w:rFonts w:hint="cs"/>
          <w:rtl/>
        </w:rPr>
        <w:t> </w:t>
      </w:r>
      <w:r w:rsidRPr="00301882">
        <w:rPr>
          <w:rtl/>
        </w:rPr>
        <w:t xml:space="preserve">للفقرة 4 من المادة 1من الاتفاقية، والتوصية العامة 25 </w:t>
      </w:r>
      <w:r w:rsidRPr="00301882">
        <w:rPr>
          <w:rFonts w:hint="cs"/>
          <w:rtl/>
        </w:rPr>
        <w:t xml:space="preserve">(2004) </w:t>
      </w:r>
      <w:r w:rsidRPr="00301882">
        <w:rPr>
          <w:rtl/>
        </w:rPr>
        <w:t>للجنة</w:t>
      </w:r>
      <w:r w:rsidRPr="00301882">
        <w:rPr>
          <w:rFonts w:hint="cs"/>
          <w:rtl/>
        </w:rPr>
        <w:t xml:space="preserve"> المتعلقة بالتدابير الخاصة المؤقتة،</w:t>
      </w:r>
      <w:r w:rsidRPr="00301882">
        <w:rPr>
          <w:rtl/>
        </w:rPr>
        <w:t xml:space="preserve"> وإدخال شرط يتعلق بمقاعد الانتخاب المباشر، يستوجب أن تكون نسبة 50</w:t>
      </w:r>
      <w:r w:rsidR="00FB4557">
        <w:rPr>
          <w:rFonts w:hint="cs"/>
          <w:rtl/>
        </w:rPr>
        <w:t> </w:t>
      </w:r>
      <w:r w:rsidRPr="00301882">
        <w:rPr>
          <w:rtl/>
        </w:rPr>
        <w:t xml:space="preserve">في </w:t>
      </w:r>
      <w:r w:rsidR="00FB4557" w:rsidRPr="00301882">
        <w:rPr>
          <w:rFonts w:hint="cs"/>
          <w:rtl/>
        </w:rPr>
        <w:t>المائ</w:t>
      </w:r>
      <w:r w:rsidR="00FB4557" w:rsidRPr="00301882">
        <w:rPr>
          <w:rFonts w:hint="eastAsia"/>
          <w:rtl/>
        </w:rPr>
        <w:t>ة</w:t>
      </w:r>
      <w:r w:rsidRPr="00301882">
        <w:rPr>
          <w:rtl/>
        </w:rPr>
        <w:t xml:space="preserve"> من المرشحين عن كل حزب سياسي من النساء.</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القوالب النمطية والممارسات الثقافية</w:t>
      </w:r>
    </w:p>
    <w:p w:rsidR="00301882" w:rsidRPr="00301882" w:rsidRDefault="00301882" w:rsidP="007414AD">
      <w:pPr>
        <w:pStyle w:val="SingleTxt"/>
        <w:rPr>
          <w:rtl/>
        </w:rPr>
      </w:pPr>
      <w:r w:rsidRPr="00301882">
        <w:rPr>
          <w:rtl/>
        </w:rPr>
        <w:t>8</w:t>
      </w:r>
      <w:r>
        <w:rPr>
          <w:rFonts w:hint="cs"/>
          <w:rtl/>
        </w:rPr>
        <w:t xml:space="preserve"> -</w:t>
      </w:r>
      <w:r>
        <w:rPr>
          <w:rFonts w:hint="cs"/>
          <w:rtl/>
        </w:rPr>
        <w:tab/>
      </w:r>
      <w:r w:rsidRPr="00301882">
        <w:rPr>
          <w:rtl/>
        </w:rPr>
        <w:t>يرجى وصف أثر ونتائج حملات التوعية المتعلقة بالقضاء على القوالب النمطية التقليدية التمييزية والتحيزات بشأن أدوار ومسؤوليات المرأة في المجتمع، على النحو المشار إليه في الفقرة 26 من الملاحظات الختامية السابقة للجنة</w:t>
      </w:r>
      <w:r w:rsidR="007414AD">
        <w:rPr>
          <w:rFonts w:hint="cs"/>
          <w:rtl/>
        </w:rPr>
        <w:t xml:space="preserve"> (</w:t>
      </w:r>
      <w:r w:rsidR="007414AD" w:rsidRPr="00301882">
        <w:t>CEDAW/C/KOR/</w:t>
      </w:r>
      <w:r w:rsidR="007414AD">
        <w:t>CO</w:t>
      </w:r>
      <w:r w:rsidR="007414AD" w:rsidRPr="00301882">
        <w:t>/</w:t>
      </w:r>
      <w:r w:rsidR="007414AD">
        <w:t>6</w:t>
      </w:r>
      <w:r w:rsidR="007414AD">
        <w:rPr>
          <w:rFonts w:hint="cs"/>
          <w:rtl/>
        </w:rPr>
        <w:t>)</w:t>
      </w:r>
      <w:r w:rsidRPr="00301882">
        <w:rPr>
          <w:rtl/>
        </w:rPr>
        <w:t xml:space="preserve">.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01882">
        <w:rPr>
          <w:rtl/>
        </w:rPr>
        <w:tab/>
      </w:r>
      <w:r w:rsidRPr="00301882">
        <w:rPr>
          <w:rtl/>
        </w:rPr>
        <w:tab/>
        <w:t xml:space="preserve">العنف ضد المرأة </w:t>
      </w:r>
    </w:p>
    <w:p w:rsidR="00301882" w:rsidRPr="00301882" w:rsidRDefault="00301882" w:rsidP="00301882">
      <w:pPr>
        <w:pStyle w:val="SingleTxt"/>
        <w:rPr>
          <w:rtl/>
        </w:rPr>
      </w:pPr>
      <w:r w:rsidRPr="00301882">
        <w:rPr>
          <w:rtl/>
        </w:rPr>
        <w:t>9</w:t>
      </w:r>
      <w:r>
        <w:rPr>
          <w:rFonts w:hint="cs"/>
          <w:rtl/>
        </w:rPr>
        <w:t xml:space="preserve"> -</w:t>
      </w:r>
      <w:r>
        <w:rPr>
          <w:rFonts w:hint="cs"/>
          <w:rtl/>
        </w:rPr>
        <w:tab/>
      </w:r>
      <w:r w:rsidRPr="00301882">
        <w:rPr>
          <w:rtl/>
        </w:rPr>
        <w:t xml:space="preserve">بالإشارة إلى الفقرتين 20 و 51 </w:t>
      </w:r>
      <w:r w:rsidRPr="00301882">
        <w:rPr>
          <w:rFonts w:hint="cs"/>
          <w:rtl/>
        </w:rPr>
        <w:t xml:space="preserve">من التقرير </w:t>
      </w:r>
      <w:r w:rsidRPr="00301882">
        <w:rPr>
          <w:rtl/>
        </w:rPr>
        <w:t>والفقرة 18 من الملاحظات الختامية للجنة، يرجى تقديم بيانات إحصائية مصنفة حسب نوع الجنس</w:t>
      </w:r>
      <w:r w:rsidRPr="00301882">
        <w:rPr>
          <w:rFonts w:hint="cs"/>
          <w:rtl/>
        </w:rPr>
        <w:t>،</w:t>
      </w:r>
      <w:r w:rsidRPr="00301882">
        <w:rPr>
          <w:rtl/>
        </w:rPr>
        <w:t xml:space="preserve"> توضح النتائج/الآثار المترتبة على التدابير التي اتخذتها الدولة الطرف في سبيل تنفيذ</w:t>
      </w:r>
      <w:r>
        <w:rPr>
          <w:rFonts w:hint="cs"/>
          <w:rtl/>
        </w:rPr>
        <w:t xml:space="preserve"> </w:t>
      </w:r>
      <w:r>
        <w:rPr>
          <w:rFonts w:hint="eastAsia"/>
          <w:rtl/>
        </w:rPr>
        <w:t>”</w:t>
      </w:r>
      <w:r w:rsidRPr="00301882">
        <w:rPr>
          <w:rtl/>
        </w:rPr>
        <w:t>قانون منع العنف المنزلي وحماية الضحايا</w:t>
      </w:r>
      <w:r>
        <w:rPr>
          <w:rFonts w:hint="cs"/>
          <w:rtl/>
        </w:rPr>
        <w:t>“</w:t>
      </w:r>
      <w:r w:rsidRPr="00301882">
        <w:rPr>
          <w:rtl/>
        </w:rPr>
        <w:t xml:space="preserve"> و</w:t>
      </w:r>
      <w:r>
        <w:rPr>
          <w:rFonts w:hint="cs"/>
          <w:rtl/>
        </w:rPr>
        <w:t xml:space="preserve"> ”</w:t>
      </w:r>
      <w:r w:rsidRPr="00301882">
        <w:rPr>
          <w:rtl/>
        </w:rPr>
        <w:t>الخطة الأساسية الثالثة للسياسات المتعلقة بالمرأة (2008-2012)</w:t>
      </w:r>
      <w:r>
        <w:rPr>
          <w:rFonts w:hint="cs"/>
          <w:rtl/>
        </w:rPr>
        <w:t>“</w:t>
      </w:r>
      <w:r w:rsidRPr="00301882">
        <w:rPr>
          <w:rtl/>
        </w:rPr>
        <w:t>.</w:t>
      </w:r>
    </w:p>
    <w:p w:rsidR="00301882" w:rsidRPr="00301882" w:rsidRDefault="00301882" w:rsidP="00301882">
      <w:pPr>
        <w:pStyle w:val="SingleTxt"/>
        <w:rPr>
          <w:rtl/>
        </w:rPr>
      </w:pPr>
      <w:r w:rsidRPr="00301882">
        <w:rPr>
          <w:rtl/>
        </w:rPr>
        <w:t>10</w:t>
      </w:r>
      <w:r>
        <w:rPr>
          <w:rFonts w:hint="cs"/>
          <w:rtl/>
        </w:rPr>
        <w:t xml:space="preserve"> -</w:t>
      </w:r>
      <w:r>
        <w:rPr>
          <w:rFonts w:hint="cs"/>
          <w:rtl/>
        </w:rPr>
        <w:tab/>
      </w:r>
      <w:r w:rsidRPr="00301882">
        <w:rPr>
          <w:rtl/>
        </w:rPr>
        <w:t xml:space="preserve">يرجى بيان التدابير التي اتخذتها الدولة الطرف لتحسين معدل الإبلاغ الإلزامي عن العنف المنزلي وتقديم معلومات عن التدابير المتخذة لتقديم الجناة إلى المحاكمة وصدور أحكام بالإدانة، بالإشارة إلى الفقرات من 53 إلى 56 في التقرير. </w:t>
      </w:r>
    </w:p>
    <w:p w:rsidR="00301882" w:rsidRPr="00301882" w:rsidRDefault="00301882" w:rsidP="00301882">
      <w:pPr>
        <w:pStyle w:val="SingleTxt"/>
        <w:rPr>
          <w:rtl/>
        </w:rPr>
      </w:pPr>
      <w:r w:rsidRPr="00301882">
        <w:rPr>
          <w:rtl/>
        </w:rPr>
        <w:t>11</w:t>
      </w:r>
      <w:r>
        <w:rPr>
          <w:rFonts w:hint="cs"/>
          <w:rtl/>
        </w:rPr>
        <w:t xml:space="preserve"> -</w:t>
      </w:r>
      <w:r>
        <w:rPr>
          <w:rFonts w:hint="cs"/>
          <w:rtl/>
        </w:rPr>
        <w:tab/>
      </w:r>
      <w:r w:rsidRPr="00301882">
        <w:rPr>
          <w:rtl/>
        </w:rPr>
        <w:t xml:space="preserve">بالإشارة إلى الفقرة 135 من التقرير، يرجى الإشارة إلى الخطوات المتخذة لتعديل قانون الدولة الطرف بهدف تعريف جريمة الاغتصاب على نحو أشمل. و يبدو أن تقرير الدولة الطرف يشير إلى أن إثبات </w:t>
      </w:r>
      <w:r>
        <w:rPr>
          <w:rFonts w:hint="cs"/>
          <w:rtl/>
        </w:rPr>
        <w:t>”</w:t>
      </w:r>
      <w:r w:rsidRPr="00301882">
        <w:rPr>
          <w:rtl/>
        </w:rPr>
        <w:t>الاغتصاب الزوجي</w:t>
      </w:r>
      <w:r>
        <w:rPr>
          <w:rFonts w:hint="cs"/>
          <w:rtl/>
        </w:rPr>
        <w:t>“</w:t>
      </w:r>
      <w:r w:rsidRPr="00301882">
        <w:rPr>
          <w:rtl/>
        </w:rPr>
        <w:t xml:space="preserve"> باعتباره جريمة عرضة للتفسيرات القانونية. ونظرا إلى أن هذا سيزيد صعوبة </w:t>
      </w:r>
      <w:r w:rsidR="007414AD" w:rsidRPr="00301882">
        <w:rPr>
          <w:rFonts w:hint="cs"/>
          <w:rtl/>
        </w:rPr>
        <w:t>الاعتراف</w:t>
      </w:r>
      <w:r w:rsidRPr="00301882">
        <w:rPr>
          <w:rtl/>
        </w:rPr>
        <w:t xml:space="preserve"> بالاغتصاب الزوجي، يرجى بيان ما إذا كانت الدولة الطرف تعتزم مراجعة التشريعات القائمة بغية تجريم</w:t>
      </w:r>
      <w:r>
        <w:rPr>
          <w:rFonts w:hint="cs"/>
          <w:rtl/>
        </w:rPr>
        <w:t xml:space="preserve"> </w:t>
      </w:r>
      <w:r>
        <w:rPr>
          <w:rFonts w:hint="eastAsia"/>
          <w:rtl/>
        </w:rPr>
        <w:t>”</w:t>
      </w:r>
      <w:r w:rsidRPr="00301882">
        <w:rPr>
          <w:rtl/>
        </w:rPr>
        <w:t>الاغتصاب الزوجي</w:t>
      </w:r>
      <w:r>
        <w:rPr>
          <w:rFonts w:hint="cs"/>
          <w:rtl/>
        </w:rPr>
        <w:t>“</w:t>
      </w:r>
      <w:r w:rsidRPr="00301882">
        <w:rPr>
          <w:rtl/>
        </w:rPr>
        <w:t>،</w:t>
      </w:r>
      <w:r w:rsidRPr="00301882">
        <w:rPr>
          <w:rFonts w:hint="cs"/>
          <w:rtl/>
        </w:rPr>
        <w:t xml:space="preserve"> </w:t>
      </w:r>
      <w:r w:rsidRPr="00301882">
        <w:rPr>
          <w:rtl/>
        </w:rPr>
        <w:t>بالإشارة إلى الفقرتين 17 و 18من الملاحظات الختامية للجنة</w:t>
      </w:r>
      <w:r w:rsidRPr="00301882">
        <w:rPr>
          <w:rFonts w:hint="cs"/>
          <w:rtl/>
        </w:rPr>
        <w:t>.</w:t>
      </w:r>
      <w:r w:rsidRPr="00301882">
        <w:rPr>
          <w:rtl/>
        </w:rPr>
        <w:t xml:space="preserve"> وبالإضافة إلى ذلك، يرجى بيان التدابير المتخذة لتشجيع الضحايا على تبليغ الشرطة بحالات الاغتصاب، وبخاصة الاغتصاب الزوجي. </w:t>
      </w:r>
    </w:p>
    <w:p w:rsidR="00301882" w:rsidRPr="00301882" w:rsidRDefault="00301882" w:rsidP="00301882">
      <w:pPr>
        <w:pStyle w:val="SingleTxt"/>
        <w:rPr>
          <w:rtl/>
        </w:rPr>
      </w:pPr>
      <w:r w:rsidRPr="00301882">
        <w:rPr>
          <w:rtl/>
        </w:rPr>
        <w:t>12</w:t>
      </w:r>
      <w:r>
        <w:rPr>
          <w:rFonts w:hint="cs"/>
          <w:rtl/>
        </w:rPr>
        <w:t xml:space="preserve"> -</w:t>
      </w:r>
      <w:r>
        <w:rPr>
          <w:rFonts w:hint="cs"/>
          <w:rtl/>
        </w:rPr>
        <w:tab/>
      </w:r>
      <w:r w:rsidRPr="00301882">
        <w:rPr>
          <w:rtl/>
        </w:rPr>
        <w:t xml:space="preserve">يرجى أيضا بيان إلى أي مدى تعزى الزيادة في الإبلاغ عن كل من حالات العنف الجنسي والتحرش الجنسي إلى ارتفاع درجة الوعي بهذه المسائل، وليس إلى مجرد ازدياد هذه الحوادث في المجتمع. ويرجى أيضا الإشارة إلى نوع المساعدة المقدمة لضحايا جميع أشكال العنف ضد المرأة، وفقا للتوصية العامة رقم </w:t>
      </w:r>
      <w:r w:rsidRPr="00301882">
        <w:rPr>
          <w:rFonts w:hint="cs"/>
          <w:rtl/>
        </w:rPr>
        <w:t>19 (1992) المتعلقة بالعنف ضد المرأة</w:t>
      </w:r>
      <w:r w:rsidRPr="00301882">
        <w:rPr>
          <w:rtl/>
        </w:rPr>
        <w:t xml:space="preserve">.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الاتجار بالأشخاص واستغلال بغاء المرأة</w:t>
      </w:r>
    </w:p>
    <w:p w:rsidR="00301882" w:rsidRPr="00301882" w:rsidRDefault="00301882" w:rsidP="00301882">
      <w:pPr>
        <w:pStyle w:val="SingleTxt"/>
        <w:rPr>
          <w:rtl/>
        </w:rPr>
      </w:pPr>
      <w:r w:rsidRPr="00301882">
        <w:rPr>
          <w:rtl/>
        </w:rPr>
        <w:t>13</w:t>
      </w:r>
      <w:r>
        <w:rPr>
          <w:rFonts w:hint="cs"/>
          <w:rtl/>
        </w:rPr>
        <w:t xml:space="preserve"> -</w:t>
      </w:r>
      <w:r>
        <w:rPr>
          <w:rFonts w:hint="cs"/>
          <w:rtl/>
        </w:rPr>
        <w:tab/>
      </w:r>
      <w:r w:rsidRPr="00301882">
        <w:rPr>
          <w:rtl/>
        </w:rPr>
        <w:t>يرجى تقديم بيانات عن عدد النساء ضحايا الاتجار اللاتي جرى التعرف عليهن خلال الفترة المشمولة بالتقرير. ويرجى أيضا بيان ما إذا كانت الدولة الطرف تعتزم استحداث نظام لجمع البيانات عن الاتجار تصنف فيها الحالات حسب جنسية الضحية. وهل تنوي الدولة الطرف اعتماد نظام رسمي يحدد بشكل استباقي ضحايا الاتجار بالبشر وسط الفئات الضعيفة؟</w:t>
      </w:r>
    </w:p>
    <w:p w:rsidR="00301882" w:rsidRPr="00301882" w:rsidRDefault="00301882" w:rsidP="00301882">
      <w:pPr>
        <w:pStyle w:val="SingleTxt"/>
        <w:rPr>
          <w:rtl/>
        </w:rPr>
      </w:pPr>
      <w:r w:rsidRPr="00301882">
        <w:rPr>
          <w:rtl/>
        </w:rPr>
        <w:t>14</w:t>
      </w:r>
      <w:r>
        <w:rPr>
          <w:rFonts w:hint="cs"/>
          <w:rtl/>
        </w:rPr>
        <w:t xml:space="preserve"> -</w:t>
      </w:r>
      <w:r>
        <w:rPr>
          <w:rFonts w:hint="cs"/>
          <w:rtl/>
        </w:rPr>
        <w:tab/>
      </w:r>
      <w:r w:rsidRPr="00301882">
        <w:rPr>
          <w:rtl/>
        </w:rPr>
        <w:t>بالإشارة إلى الجدول</w:t>
      </w:r>
      <w:r w:rsidRPr="00301882">
        <w:rPr>
          <w:rFonts w:hint="cs"/>
          <w:rtl/>
        </w:rPr>
        <w:t xml:space="preserve"> الوارد</w:t>
      </w:r>
      <w:r w:rsidRPr="00301882">
        <w:rPr>
          <w:rtl/>
        </w:rPr>
        <w:t xml:space="preserve"> في الصفحة 64 من التقرير والفقرة 20 من الملاحظات الختامية للجنة، يرجى بيان ما إذا كانت الدولة الطرف تعتزم إعادة النظر في قوانينها المتعلقة بالبغاء بهدف منع تجريم النساء العملات في تجارة الجنس. وبال</w:t>
      </w:r>
      <w:r w:rsidRPr="00301882">
        <w:rPr>
          <w:rFonts w:hint="cs"/>
          <w:rtl/>
        </w:rPr>
        <w:t>إ</w:t>
      </w:r>
      <w:r w:rsidRPr="00301882">
        <w:rPr>
          <w:rtl/>
        </w:rPr>
        <w:t xml:space="preserve">شارة </w:t>
      </w:r>
      <w:r w:rsidRPr="00301882">
        <w:rPr>
          <w:rFonts w:hint="cs"/>
          <w:rtl/>
        </w:rPr>
        <w:t>إ</w:t>
      </w:r>
      <w:r w:rsidRPr="00301882">
        <w:rPr>
          <w:rtl/>
        </w:rPr>
        <w:t>لى الفقرة 60 من التقرير والفقرة 19 من الملاحظات الختامية للجنة،</w:t>
      </w:r>
      <w:r w:rsidRPr="00301882">
        <w:rPr>
          <w:rFonts w:hint="cs"/>
          <w:rtl/>
        </w:rPr>
        <w:t xml:space="preserve"> </w:t>
      </w:r>
      <w:r w:rsidRPr="00301882">
        <w:rPr>
          <w:rtl/>
        </w:rPr>
        <w:t>يرجى أيضا تقديم معلومات إحصائية</w:t>
      </w:r>
      <w:r w:rsidRPr="00301882">
        <w:rPr>
          <w:rFonts w:hint="cs"/>
          <w:rtl/>
        </w:rPr>
        <w:t xml:space="preserve"> </w:t>
      </w:r>
      <w:r w:rsidRPr="00301882">
        <w:rPr>
          <w:rtl/>
        </w:rPr>
        <w:t xml:space="preserve">عن أثر برنامج </w:t>
      </w:r>
      <w:r>
        <w:rPr>
          <w:rFonts w:hint="cs"/>
          <w:rtl/>
        </w:rPr>
        <w:t>”</w:t>
      </w:r>
      <w:r w:rsidRPr="00301882">
        <w:rPr>
          <w:rtl/>
        </w:rPr>
        <w:t>مدرسة جون</w:t>
      </w:r>
      <w:r>
        <w:rPr>
          <w:rFonts w:hint="cs"/>
          <w:rtl/>
        </w:rPr>
        <w:t>“</w:t>
      </w:r>
      <w:r w:rsidRPr="00301882">
        <w:rPr>
          <w:rtl/>
        </w:rPr>
        <w:t xml:space="preserve"> على منع عودتهن لممارسة البغاء. </w:t>
      </w:r>
    </w:p>
    <w:p w:rsidR="00301882" w:rsidRPr="00301882" w:rsidRDefault="00301882" w:rsidP="00301882">
      <w:pPr>
        <w:pStyle w:val="SingleTxt"/>
        <w:rPr>
          <w:rtl/>
        </w:rPr>
      </w:pPr>
      <w:r w:rsidRPr="00301882">
        <w:rPr>
          <w:rtl/>
        </w:rPr>
        <w:t>15</w:t>
      </w:r>
      <w:r>
        <w:rPr>
          <w:rFonts w:hint="cs"/>
          <w:rtl/>
        </w:rPr>
        <w:t xml:space="preserve"> -</w:t>
      </w:r>
      <w:r>
        <w:rPr>
          <w:rFonts w:hint="cs"/>
          <w:rtl/>
        </w:rPr>
        <w:tab/>
      </w:r>
      <w:r w:rsidRPr="00301882">
        <w:rPr>
          <w:rFonts w:hint="cs"/>
          <w:rtl/>
        </w:rPr>
        <w:t xml:space="preserve">تشير </w:t>
      </w:r>
      <w:r w:rsidRPr="00301882">
        <w:rPr>
          <w:rtl/>
        </w:rPr>
        <w:t>بعض التقارير</w:t>
      </w:r>
      <w:r w:rsidRPr="00301882">
        <w:rPr>
          <w:rFonts w:hint="cs"/>
          <w:rtl/>
        </w:rPr>
        <w:t xml:space="preserve"> إلى أ</w:t>
      </w:r>
      <w:r w:rsidRPr="00301882">
        <w:rPr>
          <w:rtl/>
        </w:rPr>
        <w:t>ن الرجال الكور</w:t>
      </w:r>
      <w:r w:rsidRPr="00301882">
        <w:rPr>
          <w:rFonts w:hint="cs"/>
          <w:rtl/>
        </w:rPr>
        <w:t>ي</w:t>
      </w:r>
      <w:r w:rsidRPr="00301882">
        <w:rPr>
          <w:rtl/>
        </w:rPr>
        <w:t>ين هم الزبائن الأساسيون للأطفال (الأحداث) في مجال السياحة الجنسية في جنوب شرق آسيا وجزر المحيط الهادئ. بالإشارة إلى الفقرة 62 من التقرير، يرجى تقديم وصف تفصيلي للجهود التي تبذلها الحكومة الكورية لمنع ممارسة البغاء في الخارج وعبر ال</w:t>
      </w:r>
      <w:r w:rsidR="00BF3E42">
        <w:rPr>
          <w:rtl/>
        </w:rPr>
        <w:t>إنترنت</w:t>
      </w:r>
      <w:r w:rsidRPr="00301882">
        <w:rPr>
          <w:rtl/>
        </w:rPr>
        <w:t xml:space="preserve"> والمعاقبة عليه، والإشارة إلى أية </w:t>
      </w:r>
      <w:r w:rsidR="00FB4557">
        <w:rPr>
          <w:rtl/>
        </w:rPr>
        <w:t>إنجاز</w:t>
      </w:r>
      <w:r w:rsidRPr="00301882">
        <w:rPr>
          <w:rtl/>
        </w:rPr>
        <w:t>ات محددة في هذا الصدد.</w:t>
      </w:r>
    </w:p>
    <w:p w:rsidR="00301882" w:rsidRPr="00301882" w:rsidRDefault="00301882" w:rsidP="00301882">
      <w:pPr>
        <w:pStyle w:val="SingleTxt"/>
        <w:rPr>
          <w:rtl/>
        </w:rPr>
      </w:pPr>
      <w:r w:rsidRPr="00301882">
        <w:rPr>
          <w:rtl/>
        </w:rPr>
        <w:t>16</w:t>
      </w:r>
      <w:r>
        <w:rPr>
          <w:rFonts w:hint="cs"/>
          <w:rtl/>
        </w:rPr>
        <w:t xml:space="preserve"> -</w:t>
      </w:r>
      <w:r>
        <w:rPr>
          <w:rFonts w:hint="cs"/>
          <w:rtl/>
        </w:rPr>
        <w:tab/>
      </w:r>
      <w:r w:rsidRPr="00301882">
        <w:rPr>
          <w:rtl/>
        </w:rPr>
        <w:t xml:space="preserve">فيما يتعلق بالنساء </w:t>
      </w:r>
      <w:r w:rsidRPr="00301882">
        <w:rPr>
          <w:rFonts w:hint="cs"/>
          <w:rtl/>
        </w:rPr>
        <w:t>ا</w:t>
      </w:r>
      <w:r w:rsidRPr="00301882">
        <w:rPr>
          <w:rtl/>
        </w:rPr>
        <w:t>لع</w:t>
      </w:r>
      <w:r w:rsidRPr="00301882">
        <w:rPr>
          <w:rFonts w:hint="cs"/>
          <w:rtl/>
        </w:rPr>
        <w:t>ا</w:t>
      </w:r>
      <w:r w:rsidRPr="00301882">
        <w:rPr>
          <w:rtl/>
        </w:rPr>
        <w:t>مل</w:t>
      </w:r>
      <w:r w:rsidRPr="00301882">
        <w:rPr>
          <w:rFonts w:hint="cs"/>
          <w:rtl/>
        </w:rPr>
        <w:t>ات</w:t>
      </w:r>
      <w:r w:rsidRPr="00301882">
        <w:rPr>
          <w:rtl/>
        </w:rPr>
        <w:t xml:space="preserve"> المهاجر</w:t>
      </w:r>
      <w:r w:rsidRPr="00301882">
        <w:rPr>
          <w:rFonts w:hint="cs"/>
          <w:rtl/>
        </w:rPr>
        <w:t>ات</w:t>
      </w:r>
      <w:r w:rsidRPr="00301882">
        <w:rPr>
          <w:rtl/>
        </w:rPr>
        <w:t xml:space="preserve"> ا</w:t>
      </w:r>
      <w:r w:rsidRPr="00301882">
        <w:rPr>
          <w:rFonts w:hint="cs"/>
          <w:rtl/>
        </w:rPr>
        <w:t xml:space="preserve">للاتي </w:t>
      </w:r>
      <w:r w:rsidRPr="00301882">
        <w:rPr>
          <w:rtl/>
        </w:rPr>
        <w:t>دخل</w:t>
      </w:r>
      <w:r w:rsidRPr="00301882">
        <w:rPr>
          <w:rFonts w:hint="cs"/>
          <w:rtl/>
        </w:rPr>
        <w:t>ن</w:t>
      </w:r>
      <w:r w:rsidRPr="00301882">
        <w:rPr>
          <w:rtl/>
        </w:rPr>
        <w:t xml:space="preserve"> البلاد </w:t>
      </w:r>
      <w:r w:rsidRPr="00301882">
        <w:rPr>
          <w:rFonts w:hint="cs"/>
          <w:rtl/>
        </w:rPr>
        <w:t>في إطار</w:t>
      </w:r>
      <w:r w:rsidRPr="00301882">
        <w:rPr>
          <w:rtl/>
        </w:rPr>
        <w:t xml:space="preserve"> مشروع </w:t>
      </w:r>
      <w:r w:rsidRPr="00301882">
        <w:t>E-6</w:t>
      </w:r>
      <w:r w:rsidRPr="00301882">
        <w:rPr>
          <w:rtl/>
        </w:rPr>
        <w:t xml:space="preserve"> للعمل في مجال الترفيه، يرجى (في ضوء الفقرة 26 من التوصية العامة 26</w:t>
      </w:r>
      <w:r w:rsidRPr="00301882">
        <w:rPr>
          <w:rFonts w:hint="cs"/>
          <w:rtl/>
        </w:rPr>
        <w:t xml:space="preserve"> (2008) </w:t>
      </w:r>
      <w:r w:rsidRPr="00301882">
        <w:rPr>
          <w:rtl/>
        </w:rPr>
        <w:t>للجنة</w:t>
      </w:r>
      <w:r w:rsidRPr="00301882">
        <w:rPr>
          <w:rFonts w:hint="cs"/>
          <w:rtl/>
        </w:rPr>
        <w:t xml:space="preserve"> المتعلقة بالنساء العملات المهاجرات</w:t>
      </w:r>
      <w:r w:rsidRPr="00301882">
        <w:rPr>
          <w:rtl/>
        </w:rPr>
        <w:t>) توضيح ما تنوي الدولة الطرف فعله لجعل الرصد الموضعي للمنشآت التي تعمل فيها هؤلاء النس</w:t>
      </w:r>
      <w:r w:rsidRPr="00301882">
        <w:rPr>
          <w:rFonts w:hint="cs"/>
          <w:rtl/>
        </w:rPr>
        <w:t>اء</w:t>
      </w:r>
      <w:r w:rsidRPr="00301882">
        <w:rPr>
          <w:rtl/>
        </w:rPr>
        <w:t xml:space="preserve"> أكثر صرامة وفعالية (بالإشارة إلى الفقرات 63 و 64 و 66 و</w:t>
      </w:r>
      <w:r w:rsidR="00EB76B1">
        <w:rPr>
          <w:rFonts w:hint="cs"/>
          <w:rtl/>
        </w:rPr>
        <w:t xml:space="preserve"> </w:t>
      </w:r>
      <w:r w:rsidRPr="00301882">
        <w:rPr>
          <w:rtl/>
        </w:rPr>
        <w:t xml:space="preserve">67 من التقرير). وفيما يتعلق بالنساء الأجنبيات العاملات في مؤسسات الترفيه واللاتي يزعم أنهن </w:t>
      </w:r>
      <w:r w:rsidRPr="00301882">
        <w:rPr>
          <w:rFonts w:hint="cs"/>
          <w:rtl/>
        </w:rPr>
        <w:t xml:space="preserve">من </w:t>
      </w:r>
      <w:r w:rsidRPr="00301882">
        <w:rPr>
          <w:rtl/>
        </w:rPr>
        <w:t xml:space="preserve">ضحايا </w:t>
      </w:r>
      <w:r w:rsidRPr="00301882">
        <w:rPr>
          <w:rFonts w:hint="cs"/>
          <w:rtl/>
        </w:rPr>
        <w:t>ا</w:t>
      </w:r>
      <w:r w:rsidRPr="00301882">
        <w:rPr>
          <w:rtl/>
        </w:rPr>
        <w:t xml:space="preserve">لاتجار، يرجى تقديم معلومات عما </w:t>
      </w:r>
      <w:r w:rsidR="007414AD" w:rsidRPr="00301882">
        <w:rPr>
          <w:rFonts w:hint="cs"/>
          <w:rtl/>
        </w:rPr>
        <w:t>إذا</w:t>
      </w:r>
      <w:r w:rsidRPr="00301882">
        <w:rPr>
          <w:rtl/>
        </w:rPr>
        <w:t xml:space="preserve"> كانت النساء الأجنبيات من ضحايا صناعة البغاء، اللائي فقدن بالفعل وضعهن بموجب التأشيرة من نوع </w:t>
      </w:r>
      <w:r w:rsidRPr="00301882">
        <w:t>E-6</w:t>
      </w:r>
      <w:r w:rsidRPr="00301882">
        <w:rPr>
          <w:rtl/>
        </w:rPr>
        <w:t>، معرضات لخطر الترحيل عند تقديم شكاوى ضدهن في مكتب العمل أو مر</w:t>
      </w:r>
      <w:r w:rsidRPr="00301882">
        <w:rPr>
          <w:rFonts w:hint="cs"/>
          <w:rtl/>
        </w:rPr>
        <w:t>ا</w:t>
      </w:r>
      <w:r w:rsidRPr="00301882">
        <w:rPr>
          <w:rtl/>
        </w:rPr>
        <w:t xml:space="preserve">كز </w:t>
      </w:r>
      <w:r w:rsidRPr="00301882">
        <w:rPr>
          <w:rFonts w:hint="cs"/>
          <w:rtl/>
        </w:rPr>
        <w:t>ا</w:t>
      </w:r>
      <w:r w:rsidRPr="00301882">
        <w:rPr>
          <w:rtl/>
        </w:rPr>
        <w:t xml:space="preserve">لشرطة. </w:t>
      </w:r>
    </w:p>
    <w:p w:rsidR="00301882" w:rsidRPr="00301882" w:rsidRDefault="00301882" w:rsidP="00BF3E42">
      <w:pPr>
        <w:pStyle w:val="SingleTxt"/>
        <w:rPr>
          <w:rtl/>
        </w:rPr>
      </w:pPr>
      <w:r w:rsidRPr="00301882">
        <w:rPr>
          <w:rtl/>
        </w:rPr>
        <w:t>17</w:t>
      </w:r>
      <w:r>
        <w:rPr>
          <w:rFonts w:hint="cs"/>
          <w:rtl/>
        </w:rPr>
        <w:t xml:space="preserve"> -</w:t>
      </w:r>
      <w:r>
        <w:rPr>
          <w:rFonts w:hint="cs"/>
          <w:rtl/>
        </w:rPr>
        <w:tab/>
      </w:r>
      <w:r w:rsidRPr="00301882">
        <w:rPr>
          <w:rtl/>
        </w:rPr>
        <w:t xml:space="preserve">يرجى </w:t>
      </w:r>
      <w:r w:rsidRPr="00301882">
        <w:rPr>
          <w:rFonts w:hint="cs"/>
          <w:rtl/>
        </w:rPr>
        <w:t>تقديم تفاصيل عن أية</w:t>
      </w:r>
      <w:r w:rsidRPr="00301882">
        <w:rPr>
          <w:rtl/>
        </w:rPr>
        <w:t xml:space="preserve"> أنشطة تدريب تنفذ بهدف توعية موظفي إنفاذ القانون بشأن حقوق وأوضاع النساء من ضحايا الاستغلال في مجال البغاء. وفي هذا الصدد، يرجى التعليق على الشواغل التي جرى التبليغ بها </w:t>
      </w:r>
      <w:r w:rsidR="00BF3E42">
        <w:rPr>
          <w:rFonts w:hint="cs"/>
          <w:rtl/>
        </w:rPr>
        <w:t>بشأن</w:t>
      </w:r>
      <w:r w:rsidRPr="00301882">
        <w:rPr>
          <w:rtl/>
        </w:rPr>
        <w:t xml:space="preserve"> عدم قدرة السلطات على أن تعالج بصورة مناسبة حالة النساء حاملات التأشيرة من نوع</w:t>
      </w:r>
      <w:r>
        <w:rPr>
          <w:rFonts w:hint="cs"/>
          <w:rtl/>
        </w:rPr>
        <w:t xml:space="preserve"> </w:t>
      </w:r>
      <w:r>
        <w:t>E-6</w:t>
      </w:r>
      <w:r w:rsidRPr="00301882">
        <w:rPr>
          <w:rtl/>
        </w:rPr>
        <w:t>، اللاتي لا يمارسن البغاء بينما يستمر الاتجار بهن بغرض الاستغلال الجنسي، نظرا للربط بين تعريف الاتجار بالأشخاص وممارسة البغاء.</w:t>
      </w:r>
    </w:p>
    <w:p w:rsidR="00301882" w:rsidRPr="00301882" w:rsidRDefault="00301882" w:rsidP="00301882">
      <w:pPr>
        <w:pStyle w:val="SingleTxt"/>
        <w:rPr>
          <w:rFonts w:hint="cs"/>
          <w:rtl/>
        </w:rPr>
      </w:pPr>
      <w:r w:rsidRPr="00301882">
        <w:rPr>
          <w:rtl/>
        </w:rPr>
        <w:t>18</w:t>
      </w:r>
      <w:r>
        <w:rPr>
          <w:rFonts w:hint="cs"/>
          <w:rtl/>
        </w:rPr>
        <w:t xml:space="preserve"> -</w:t>
      </w:r>
      <w:r>
        <w:rPr>
          <w:rFonts w:hint="cs"/>
          <w:rtl/>
        </w:rPr>
        <w:tab/>
      </w:r>
      <w:r w:rsidRPr="00301882">
        <w:rPr>
          <w:rtl/>
        </w:rPr>
        <w:t xml:space="preserve">يرجى تقديم مزيد من التفاصيل عن سبل ووسائل رصد </w:t>
      </w:r>
      <w:r w:rsidRPr="00301882">
        <w:rPr>
          <w:rFonts w:hint="cs"/>
          <w:rtl/>
        </w:rPr>
        <w:t xml:space="preserve">أنشطة </w:t>
      </w:r>
      <w:r w:rsidRPr="00301882">
        <w:rPr>
          <w:rtl/>
        </w:rPr>
        <w:t>الوكالات الدولية لتيسير الزواج، بهدف حماية الزوجات الأجنبيات (بالإشارة إلى الفقرات 11 و 57 و 143 من التقرير). ويرجى</w:t>
      </w:r>
      <w:r w:rsidRPr="00301882">
        <w:rPr>
          <w:rFonts w:hint="cs"/>
          <w:rtl/>
        </w:rPr>
        <w:t xml:space="preserve"> </w:t>
      </w:r>
      <w:r w:rsidRPr="00301882">
        <w:rPr>
          <w:rtl/>
        </w:rPr>
        <w:t>أيضا توضيح ما إذا كانت هناك وسيلة لل</w:t>
      </w:r>
      <w:r w:rsidRPr="00301882">
        <w:rPr>
          <w:rFonts w:hint="cs"/>
          <w:rtl/>
        </w:rPr>
        <w:t xml:space="preserve">فحص تمكن من </w:t>
      </w:r>
      <w:r w:rsidRPr="00301882">
        <w:rPr>
          <w:rtl/>
        </w:rPr>
        <w:t>تحديد النساء اللاتي يقعن ضحايا للاتجار من</w:t>
      </w:r>
      <w:r w:rsidRPr="00301882">
        <w:rPr>
          <w:rFonts w:hint="cs"/>
          <w:rtl/>
        </w:rPr>
        <w:t xml:space="preserve"> </w:t>
      </w:r>
      <w:r w:rsidRPr="00301882">
        <w:rPr>
          <w:rtl/>
        </w:rPr>
        <w:t>خلال هذه الوكالات، وتسجيلهن.</w:t>
      </w:r>
    </w:p>
    <w:p w:rsidR="00301882" w:rsidRPr="00301882" w:rsidRDefault="00301882" w:rsidP="00301882">
      <w:pPr>
        <w:pStyle w:val="SingleTxt"/>
        <w:spacing w:after="0" w:line="120" w:lineRule="exact"/>
        <w:rPr>
          <w:b/>
          <w:bCs/>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01882">
        <w:rPr>
          <w:rtl/>
        </w:rPr>
        <w:t>المشاركة في الحياة السياسية والحياة العامة وفي صنع القرار</w:t>
      </w:r>
    </w:p>
    <w:p w:rsidR="00301882" w:rsidRPr="00301882" w:rsidRDefault="00301882" w:rsidP="00301882">
      <w:pPr>
        <w:pStyle w:val="SingleTxt"/>
        <w:rPr>
          <w:rtl/>
        </w:rPr>
      </w:pPr>
      <w:r w:rsidRPr="00301882">
        <w:rPr>
          <w:rtl/>
        </w:rPr>
        <w:t>19</w:t>
      </w:r>
      <w:r>
        <w:rPr>
          <w:rFonts w:hint="cs"/>
          <w:rtl/>
        </w:rPr>
        <w:t xml:space="preserve"> -</w:t>
      </w:r>
      <w:r>
        <w:rPr>
          <w:rFonts w:hint="cs"/>
          <w:rtl/>
        </w:rPr>
        <w:tab/>
      </w:r>
      <w:r w:rsidRPr="00301882">
        <w:rPr>
          <w:rtl/>
        </w:rPr>
        <w:t xml:space="preserve">بالإشارة إلى الفقرة 73 من التقرير والفقرة 24 من الملاحظات الختامية للجنة، يرجى توضيح السبب في أن معدل التمثيل العام للمرأة لا يزال منخفضا للغاية في المجالات السياسية، في الحكومة (الوطنية أو المحلية) </w:t>
      </w:r>
      <w:r w:rsidRPr="00301882">
        <w:rPr>
          <w:rFonts w:hint="cs"/>
          <w:rtl/>
        </w:rPr>
        <w:t>و</w:t>
      </w:r>
      <w:r w:rsidRPr="00301882">
        <w:rPr>
          <w:rtl/>
        </w:rPr>
        <w:t>البرلمان</w:t>
      </w:r>
      <w:r w:rsidRPr="00301882">
        <w:rPr>
          <w:rFonts w:hint="cs"/>
          <w:rtl/>
        </w:rPr>
        <w:t xml:space="preserve"> معا</w:t>
      </w:r>
      <w:r w:rsidRPr="00301882">
        <w:rPr>
          <w:rtl/>
        </w:rPr>
        <w:t xml:space="preserve">، بغض النظر عن التدابير المتخذة من خلال </w:t>
      </w:r>
      <w:r>
        <w:rPr>
          <w:rFonts w:hint="cs"/>
          <w:rtl/>
        </w:rPr>
        <w:t>”</w:t>
      </w:r>
      <w:r w:rsidRPr="00301882">
        <w:rPr>
          <w:rtl/>
        </w:rPr>
        <w:t>قانون الصندوق السياسي</w:t>
      </w:r>
      <w:r>
        <w:rPr>
          <w:rFonts w:hint="cs"/>
          <w:rtl/>
        </w:rPr>
        <w:t>“</w:t>
      </w:r>
      <w:r w:rsidRPr="00301882">
        <w:rPr>
          <w:rtl/>
        </w:rPr>
        <w:t xml:space="preserve"> و </w:t>
      </w:r>
      <w:r>
        <w:rPr>
          <w:rFonts w:hint="cs"/>
          <w:rtl/>
        </w:rPr>
        <w:t>”</w:t>
      </w:r>
      <w:r w:rsidRPr="00301882">
        <w:rPr>
          <w:rtl/>
        </w:rPr>
        <w:t>قانون الأحزاب السياسية</w:t>
      </w:r>
      <w:r>
        <w:rPr>
          <w:rFonts w:hint="cs"/>
          <w:rtl/>
        </w:rPr>
        <w:t>“</w:t>
      </w:r>
      <w:r w:rsidRPr="00301882">
        <w:rPr>
          <w:rtl/>
        </w:rPr>
        <w:t>. ويرجى بيان ماهية التدابير التي تنظر فيها الدولة الطرف بغرض تصحيح هذا الوضع.</w:t>
      </w:r>
      <w:r w:rsidRPr="00301882">
        <w:rPr>
          <w:rtl/>
        </w:rPr>
        <w:tab/>
        <w:t xml:space="preserve"> </w:t>
      </w:r>
    </w:p>
    <w:p w:rsidR="00301882" w:rsidRPr="00301882" w:rsidRDefault="00301882" w:rsidP="00301882">
      <w:pPr>
        <w:pStyle w:val="SingleTxt"/>
        <w:rPr>
          <w:rtl/>
        </w:rPr>
      </w:pPr>
      <w:r w:rsidRPr="00301882">
        <w:rPr>
          <w:rtl/>
        </w:rPr>
        <w:t>20</w:t>
      </w:r>
      <w:r>
        <w:rPr>
          <w:rFonts w:hint="cs"/>
          <w:rtl/>
        </w:rPr>
        <w:t xml:space="preserve"> -</w:t>
      </w:r>
      <w:r>
        <w:rPr>
          <w:rFonts w:hint="cs"/>
          <w:rtl/>
        </w:rPr>
        <w:tab/>
      </w:r>
      <w:r w:rsidRPr="00301882">
        <w:rPr>
          <w:rtl/>
        </w:rPr>
        <w:t xml:space="preserve">بالإشارة إلى الفقرة 44 من التقرير، يرجى توضيح السبب في أن معدل تمثيل </w:t>
      </w:r>
      <w:r w:rsidRPr="00301882">
        <w:rPr>
          <w:rFonts w:hint="cs"/>
          <w:rtl/>
        </w:rPr>
        <w:t>الإناث</w:t>
      </w:r>
      <w:r w:rsidRPr="00301882">
        <w:rPr>
          <w:rtl/>
        </w:rPr>
        <w:t xml:space="preserve"> لا يزال شديد الانخفاض على مستوى الوظائف التنفيذية ووظائف المديرين، على الرغم من التوسع في تطبيق الأحكام التي يشتمل عليها قانون تكافؤ فرص العمل لتشمل مؤسسات القطاع الخاص التي تضم 500 موظف أو أكثر.</w:t>
      </w:r>
    </w:p>
    <w:p w:rsidR="00301882" w:rsidRPr="00301882" w:rsidRDefault="00301882" w:rsidP="00301882">
      <w:pPr>
        <w:pStyle w:val="SingleTxt"/>
        <w:rPr>
          <w:rtl/>
        </w:rPr>
      </w:pPr>
      <w:r w:rsidRPr="00301882">
        <w:rPr>
          <w:rtl/>
        </w:rPr>
        <w:t>21</w:t>
      </w:r>
      <w:r>
        <w:rPr>
          <w:rFonts w:hint="cs"/>
          <w:rtl/>
        </w:rPr>
        <w:t xml:space="preserve"> -</w:t>
      </w:r>
      <w:r>
        <w:rPr>
          <w:rFonts w:hint="cs"/>
          <w:rtl/>
        </w:rPr>
        <w:tab/>
      </w:r>
      <w:r w:rsidRPr="00301882">
        <w:rPr>
          <w:rtl/>
        </w:rPr>
        <w:t>يرجى تقديم معلومات عن التدابير المطردة التي تنفذها الدولة الطرف لزيادة عدد النساء وسط المسؤولين من شاغلي الوظائف الدبلوماسية بوزارة الشؤون الخارجية والتجارة.</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الجنسية</w:t>
      </w:r>
    </w:p>
    <w:p w:rsidR="00301882" w:rsidRPr="00301882" w:rsidRDefault="00301882" w:rsidP="00301882">
      <w:pPr>
        <w:pStyle w:val="SingleTxt"/>
        <w:rPr>
          <w:rtl/>
        </w:rPr>
      </w:pPr>
      <w:r>
        <w:rPr>
          <w:rtl/>
        </w:rPr>
        <w:t>22</w:t>
      </w:r>
      <w:r>
        <w:rPr>
          <w:rFonts w:hint="cs"/>
          <w:rtl/>
        </w:rPr>
        <w:t xml:space="preserve"> -</w:t>
      </w:r>
      <w:r>
        <w:rPr>
          <w:rFonts w:hint="cs"/>
          <w:rtl/>
        </w:rPr>
        <w:tab/>
      </w:r>
      <w:r w:rsidRPr="00301882">
        <w:rPr>
          <w:rtl/>
        </w:rPr>
        <w:t xml:space="preserve">يرجى بيان ما إذا كانت الدولة الطرف تعتزم </w:t>
      </w:r>
      <w:r w:rsidRPr="00301882">
        <w:rPr>
          <w:rFonts w:hint="cs"/>
          <w:rtl/>
        </w:rPr>
        <w:t>الإبقاء على الشرط</w:t>
      </w:r>
      <w:r w:rsidRPr="00301882">
        <w:rPr>
          <w:rtl/>
        </w:rPr>
        <w:t xml:space="preserve"> </w:t>
      </w:r>
      <w:r w:rsidRPr="00301882">
        <w:rPr>
          <w:rFonts w:hint="cs"/>
          <w:rtl/>
        </w:rPr>
        <w:t>المتعلق ب</w:t>
      </w:r>
      <w:r w:rsidRPr="00301882">
        <w:rPr>
          <w:rtl/>
        </w:rPr>
        <w:t>دعم الأزواج للزوجات الأجنبيات اللاتي يتقدمن بطلبات للحصول على الجنسية الكورية، لأن هذا قد يشكل عنصر عدم تكافؤ لصالح الأزواج الكوريين.</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التعليم</w:t>
      </w:r>
    </w:p>
    <w:p w:rsidR="00301882" w:rsidRPr="00301882" w:rsidRDefault="00301882" w:rsidP="00301882">
      <w:pPr>
        <w:pStyle w:val="SingleTxt"/>
        <w:rPr>
          <w:rtl/>
        </w:rPr>
      </w:pPr>
      <w:r w:rsidRPr="00301882">
        <w:rPr>
          <w:rtl/>
        </w:rPr>
        <w:t>23</w:t>
      </w:r>
      <w:r>
        <w:rPr>
          <w:rFonts w:hint="cs"/>
          <w:rtl/>
        </w:rPr>
        <w:t xml:space="preserve"> -</w:t>
      </w:r>
      <w:r>
        <w:rPr>
          <w:rFonts w:hint="cs"/>
          <w:rtl/>
        </w:rPr>
        <w:tab/>
      </w:r>
      <w:r w:rsidRPr="00301882">
        <w:rPr>
          <w:rtl/>
        </w:rPr>
        <w:t xml:space="preserve">هل ترى الدولة الطرف وجود علاقة بين الأداء الأفضل للذكور من طلاب المرحلة الثانوية في مجالي الرياضيات والعلوم واختيارهم لبرامج أكاديمية معينة في الجامعات، وبين ارتفاع معدل توظيف خريجي الجامعات من الذكور؟ </w:t>
      </w:r>
      <w:r w:rsidRPr="00301882">
        <w:rPr>
          <w:rFonts w:hint="cs"/>
          <w:rtl/>
        </w:rPr>
        <w:t>و</w:t>
      </w:r>
      <w:r w:rsidRPr="00301882">
        <w:rPr>
          <w:rtl/>
        </w:rPr>
        <w:t>ما هي التدابير المتخذة بهدف سد الفجوات بين الجنسين في كل مرحلة من هذه المراحل؟</w:t>
      </w:r>
    </w:p>
    <w:p w:rsidR="00301882" w:rsidRPr="00301882" w:rsidRDefault="00301882" w:rsidP="00301882">
      <w:pPr>
        <w:pStyle w:val="SingleTxt"/>
        <w:rPr>
          <w:rtl/>
        </w:rPr>
      </w:pPr>
      <w:r w:rsidRPr="00301882">
        <w:rPr>
          <w:rtl/>
        </w:rPr>
        <w:t>24</w:t>
      </w:r>
      <w:r>
        <w:rPr>
          <w:rFonts w:hint="cs"/>
          <w:rtl/>
        </w:rPr>
        <w:t xml:space="preserve"> -</w:t>
      </w:r>
      <w:r>
        <w:rPr>
          <w:rFonts w:hint="cs"/>
          <w:rtl/>
        </w:rPr>
        <w:tab/>
      </w:r>
      <w:r w:rsidRPr="00301882">
        <w:rPr>
          <w:rtl/>
        </w:rPr>
        <w:t xml:space="preserve">يرجى تقديم معلومات عن التدابير التي تتوخى الدولة الطرف اتخاذها بهدف زيادة نسبة المعلمات على مستوى المدارس الثانوية ومعدل الإناث وسط أساتذة الجامعات العامة والخاصة معا.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العمالة</w:t>
      </w:r>
    </w:p>
    <w:p w:rsidR="00301882" w:rsidRPr="00301882" w:rsidRDefault="00301882" w:rsidP="007414AD">
      <w:pPr>
        <w:pStyle w:val="SingleTxt"/>
        <w:spacing w:line="380" w:lineRule="exact"/>
        <w:rPr>
          <w:rtl/>
        </w:rPr>
      </w:pPr>
      <w:r w:rsidRPr="00301882">
        <w:rPr>
          <w:rtl/>
        </w:rPr>
        <w:t>25</w:t>
      </w:r>
      <w:r>
        <w:rPr>
          <w:rFonts w:hint="cs"/>
          <w:rtl/>
        </w:rPr>
        <w:t xml:space="preserve"> -</w:t>
      </w:r>
      <w:r>
        <w:rPr>
          <w:rFonts w:hint="cs"/>
          <w:rtl/>
        </w:rPr>
        <w:tab/>
      </w:r>
      <w:r w:rsidRPr="00301882">
        <w:rPr>
          <w:rtl/>
        </w:rPr>
        <w:t>تشير التقارير إلى أن عدد النساء الناشطات اقتصاديا قد انخفض في السنوات الأخيرة، وأن عدد النساء العاملات قد خفض كذلك. بالإشارة إلى الفقرة 37 والفقرات التالية في التقرير الدوري، وإلى الفقرتين 27 و</w:t>
      </w:r>
      <w:r w:rsidR="007414AD">
        <w:rPr>
          <w:rFonts w:hint="cs"/>
          <w:rtl/>
        </w:rPr>
        <w:t xml:space="preserve"> </w:t>
      </w:r>
      <w:r w:rsidRPr="00301882">
        <w:rPr>
          <w:rtl/>
        </w:rPr>
        <w:t xml:space="preserve">28 من الملاحظات الختامية للجنة، يرجى توضيح التدابير الإضافية التي تنظر الدولة الطرف في إمكانية اتخاذها لتعزيز مشاركة المرأة في الأنشطة الاقتصادية ومعالجة الآثار السلبية للانكماش الاقتصادي التي تضار بها المرأة على نحو أشد. ويرجى أيضا تقديم معلومات إحصائية عن التفاوت في الأجور بين الجنسين وتوفير المزيد من المعلومات عن التدابير المزمع اتخاذها لتصحيح هذا الخلل. </w:t>
      </w:r>
    </w:p>
    <w:p w:rsidR="00301882" w:rsidRPr="007414AD" w:rsidRDefault="00301882" w:rsidP="007414AD">
      <w:pPr>
        <w:pStyle w:val="SingleTxt"/>
        <w:spacing w:line="380" w:lineRule="exact"/>
        <w:rPr>
          <w:w w:val="100"/>
        </w:rPr>
      </w:pPr>
      <w:r w:rsidRPr="007414AD">
        <w:rPr>
          <w:w w:val="100"/>
          <w:rtl/>
        </w:rPr>
        <w:t>26</w:t>
      </w:r>
      <w:r w:rsidRPr="007414AD">
        <w:rPr>
          <w:rFonts w:hint="cs"/>
          <w:w w:val="100"/>
          <w:rtl/>
        </w:rPr>
        <w:t xml:space="preserve"> -</w:t>
      </w:r>
      <w:r w:rsidRPr="007414AD">
        <w:rPr>
          <w:rFonts w:hint="cs"/>
          <w:w w:val="100"/>
          <w:rtl/>
        </w:rPr>
        <w:tab/>
      </w:r>
      <w:r w:rsidRPr="007414AD">
        <w:rPr>
          <w:w w:val="100"/>
          <w:rtl/>
        </w:rPr>
        <w:t xml:space="preserve">بالإشارة إلى الفقرات من 95 إلى 97 في التقرير الدوري، يرجى بيان ما إذا كانت الدولة الطرف تنظر في أمر سن تشريعات بغرض إتاحة إمكانية حصول النساء العاملات </w:t>
      </w:r>
      <w:r w:rsidRPr="007414AD">
        <w:rPr>
          <w:rFonts w:hint="cs"/>
          <w:w w:val="100"/>
          <w:rtl/>
        </w:rPr>
        <w:t xml:space="preserve">غير المتفرغات </w:t>
      </w:r>
      <w:r w:rsidRPr="007414AD">
        <w:rPr>
          <w:w w:val="100"/>
          <w:rtl/>
        </w:rPr>
        <w:t>على إجازة رعاية الطفل، وحمايتهن ضد إلغاء عقود عملهن خلال فترة الحمل وبعد إجازة الولادة. ويرجى أيضا توضيح الأساس المنطقي وراء التخفيضات الكبيرة المبلغ عنها في الميزانية، في عام 2010، فيما يتعلق بإنشاء مرافق عام</w:t>
      </w:r>
      <w:r w:rsidRPr="007414AD">
        <w:rPr>
          <w:rFonts w:hint="cs"/>
          <w:w w:val="100"/>
          <w:rtl/>
        </w:rPr>
        <w:t>ة</w:t>
      </w:r>
      <w:r w:rsidRPr="007414AD">
        <w:rPr>
          <w:w w:val="100"/>
          <w:rtl/>
        </w:rPr>
        <w:t xml:space="preserve"> ووطنية لرعاية الأطفال، بعد فترة من ال</w:t>
      </w:r>
      <w:r w:rsidRPr="007414AD">
        <w:rPr>
          <w:rFonts w:hint="cs"/>
          <w:w w:val="100"/>
          <w:rtl/>
        </w:rPr>
        <w:t>إ</w:t>
      </w:r>
      <w:r w:rsidRPr="007414AD">
        <w:rPr>
          <w:w w:val="100"/>
          <w:rtl/>
        </w:rPr>
        <w:t xml:space="preserve">نفاق من الميزانية على دعم التوسع في مثل هذه المرافق وتقديم العون المالي للآباء والأمهات في مقابلة تكاليف رعاية الأطفال (بالإشارة إلى الفقرات من 96 إلى 98 في التقرير).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الصحة</w:t>
      </w:r>
    </w:p>
    <w:p w:rsidR="00301882" w:rsidRPr="00301882" w:rsidRDefault="00301882" w:rsidP="00301882">
      <w:pPr>
        <w:pStyle w:val="SingleTxt"/>
        <w:rPr>
          <w:rtl/>
        </w:rPr>
      </w:pPr>
      <w:r w:rsidRPr="00301882">
        <w:rPr>
          <w:rtl/>
        </w:rPr>
        <w:t>27</w:t>
      </w:r>
      <w:r>
        <w:rPr>
          <w:rFonts w:hint="cs"/>
          <w:rtl/>
        </w:rPr>
        <w:t xml:space="preserve"> -</w:t>
      </w:r>
      <w:r>
        <w:rPr>
          <w:rFonts w:hint="cs"/>
          <w:rtl/>
        </w:rPr>
        <w:tab/>
      </w:r>
      <w:r w:rsidRPr="00301882">
        <w:rPr>
          <w:rtl/>
        </w:rPr>
        <w:t>بالإشارة إلى الفقرات من 105 إلى 110 في التقرير، وإلى الفقرة 30 من الملاحظات الختامية للجنة، يرجى تقديم بيانات إحصائية تشير إلى التقدم المحرز في تعزيز إمكانية حصول المرأة على الخدمات الصحية وتوسيع نطاق برامج التربية الجنسية والإنجابية من أجل الحد من حالات الحمل غير المرغوب فيه، و</w:t>
      </w:r>
      <w:r>
        <w:rPr>
          <w:rtl/>
        </w:rPr>
        <w:t>لا سيما</w:t>
      </w:r>
      <w:r w:rsidRPr="00301882">
        <w:rPr>
          <w:rtl/>
        </w:rPr>
        <w:t xml:space="preserve"> </w:t>
      </w:r>
      <w:r w:rsidRPr="00301882">
        <w:rPr>
          <w:rFonts w:hint="cs"/>
          <w:rtl/>
        </w:rPr>
        <w:t xml:space="preserve">البرامج </w:t>
      </w:r>
      <w:r w:rsidRPr="00301882">
        <w:rPr>
          <w:rtl/>
        </w:rPr>
        <w:t>الموجهة إلى النساء اللائي تتراوح أعمارهن بين 20 و 24</w:t>
      </w:r>
      <w:r w:rsidRPr="00301882">
        <w:rPr>
          <w:rFonts w:hint="cs"/>
          <w:rtl/>
        </w:rPr>
        <w:t xml:space="preserve"> سنة</w:t>
      </w:r>
      <w:r w:rsidRPr="00301882">
        <w:rPr>
          <w:rtl/>
        </w:rPr>
        <w:t>. وبالإشارة إلى الفقرتين 22 و 107 من التقرير، ما هي خطط الدولة الطرف وموقفها فيما يتعلق بالتوصية العامة رقم 24 (199) للجنة</w:t>
      </w:r>
      <w:r w:rsidRPr="00301882">
        <w:rPr>
          <w:rFonts w:hint="cs"/>
          <w:rtl/>
        </w:rPr>
        <w:t xml:space="preserve"> المتعلقة ب</w:t>
      </w:r>
      <w:r w:rsidRPr="00301882">
        <w:rPr>
          <w:rtl/>
        </w:rPr>
        <w:t xml:space="preserve">المادة 12 من الاتفاقية (المرأة والصحة)، التي تطلب إعادة النظر في تشريعات تجرم الإجهاض؟ وبالإشارة إلى الفقرة 29 من الملاحظات الختامية للجنة، يرجى أيضا تقديم معلومات عن التغير الذي طرأ على عدد النساء اللاتي يعتمدن على الأعضاء العاملين في أسرهن للحصول </w:t>
      </w:r>
      <w:r w:rsidRPr="00301882">
        <w:rPr>
          <w:rFonts w:hint="cs"/>
          <w:rtl/>
        </w:rPr>
        <w:t>على</w:t>
      </w:r>
      <w:r w:rsidRPr="00301882">
        <w:rPr>
          <w:rtl/>
        </w:rPr>
        <w:t xml:space="preserve"> الخدمات الصحية، منذ تقديم تقرير الدولة الطرف الدوري الماضي. </w:t>
      </w: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المرأة الريفية</w:t>
      </w:r>
    </w:p>
    <w:p w:rsidR="00301882" w:rsidRPr="00301882" w:rsidRDefault="00301882" w:rsidP="00301882">
      <w:pPr>
        <w:pStyle w:val="SingleTxt"/>
        <w:rPr>
          <w:rtl/>
        </w:rPr>
      </w:pPr>
      <w:r w:rsidRPr="00301882">
        <w:rPr>
          <w:rtl/>
        </w:rPr>
        <w:t>28</w:t>
      </w:r>
      <w:r>
        <w:rPr>
          <w:rFonts w:hint="cs"/>
          <w:rtl/>
        </w:rPr>
        <w:t xml:space="preserve"> -</w:t>
      </w:r>
      <w:r>
        <w:rPr>
          <w:rFonts w:hint="cs"/>
          <w:rtl/>
        </w:rPr>
        <w:tab/>
      </w:r>
      <w:r w:rsidRPr="00301882">
        <w:rPr>
          <w:rtl/>
        </w:rPr>
        <w:t xml:space="preserve">يرجى تقديم معلومات عن النتائج التي تحققت من خلال تنفيذ </w:t>
      </w:r>
      <w:r>
        <w:rPr>
          <w:rFonts w:hint="cs"/>
          <w:rtl/>
        </w:rPr>
        <w:t>”</w:t>
      </w:r>
      <w:r w:rsidRPr="00301882">
        <w:rPr>
          <w:rtl/>
        </w:rPr>
        <w:t>برنامج العمل المساعد للنساء المزارعات</w:t>
      </w:r>
      <w:r>
        <w:rPr>
          <w:rFonts w:hint="cs"/>
          <w:rtl/>
        </w:rPr>
        <w:t>“</w:t>
      </w:r>
      <w:r w:rsidRPr="00301882">
        <w:rPr>
          <w:rtl/>
        </w:rPr>
        <w:t xml:space="preserve">، نظرا لأنه موزع على </w:t>
      </w:r>
      <w:r w:rsidRPr="00301882">
        <w:rPr>
          <w:rFonts w:hint="cs"/>
          <w:rtl/>
        </w:rPr>
        <w:t>نطاق الدولة بأكملها</w:t>
      </w:r>
      <w:r w:rsidRPr="00301882">
        <w:rPr>
          <w:rtl/>
        </w:rPr>
        <w:t>. وبالإشارة أيضا إلى الفقرة 132 من التقرير الدوري، يرجى توضيح طرائق ونتائج النظام المماثل المتعلق بالأسر المعيشية الريفية الم</w:t>
      </w:r>
      <w:r w:rsidRPr="00301882">
        <w:rPr>
          <w:rFonts w:hint="cs"/>
          <w:rtl/>
        </w:rPr>
        <w:t>ت</w:t>
      </w:r>
      <w:r w:rsidRPr="00301882">
        <w:rPr>
          <w:rtl/>
        </w:rPr>
        <w:t xml:space="preserve">ضررة من الحوادث والمرض، الذي اعتمد على نطاق البلد في عام 2007. </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المجموعات المحرومة من النساء</w:t>
      </w:r>
    </w:p>
    <w:p w:rsidR="00301882" w:rsidRPr="00301882" w:rsidRDefault="00301882" w:rsidP="00301882">
      <w:pPr>
        <w:pStyle w:val="SingleTxt"/>
        <w:rPr>
          <w:rtl/>
        </w:rPr>
      </w:pPr>
      <w:r w:rsidRPr="00301882">
        <w:rPr>
          <w:rtl/>
        </w:rPr>
        <w:t>29</w:t>
      </w:r>
      <w:r>
        <w:rPr>
          <w:rFonts w:hint="cs"/>
          <w:rtl/>
        </w:rPr>
        <w:t xml:space="preserve"> -</w:t>
      </w:r>
      <w:r>
        <w:rPr>
          <w:rFonts w:hint="cs"/>
          <w:rtl/>
        </w:rPr>
        <w:tab/>
      </w:r>
      <w:r w:rsidRPr="00301882">
        <w:rPr>
          <w:rtl/>
        </w:rPr>
        <w:t xml:space="preserve">يرجى تقديم معلومات عن </w:t>
      </w:r>
      <w:r w:rsidRPr="00301882">
        <w:rPr>
          <w:rFonts w:hint="cs"/>
          <w:rtl/>
        </w:rPr>
        <w:t>اعتزام</w:t>
      </w:r>
      <w:r w:rsidRPr="00301882">
        <w:rPr>
          <w:rtl/>
        </w:rPr>
        <w:t xml:space="preserve"> الدولة الطرف تخفيف الشروط المتعلقة بطلب للحصول على الجنسية للنساء المهاجرات من ضحايا العنف المنزلي. وفي هذا الصدد، وفي ضوء التوصية العامة رقم 26 للجنة، يرجى بيان التدابير التي اتخذتها الدولة الطرف بهدف حماية العاملات المهاجرات</w:t>
      </w:r>
      <w:r w:rsidRPr="00301882">
        <w:rPr>
          <w:rFonts w:hint="cs"/>
          <w:rtl/>
        </w:rPr>
        <w:t>،</w:t>
      </w:r>
      <w:r w:rsidRPr="00301882">
        <w:rPr>
          <w:rtl/>
        </w:rPr>
        <w:t xml:space="preserve"> اللاتي أبلغن عن حالات تحرش جنسي</w:t>
      </w:r>
      <w:r w:rsidRPr="00301882">
        <w:rPr>
          <w:rFonts w:hint="cs"/>
          <w:rtl/>
        </w:rPr>
        <w:t>،</w:t>
      </w:r>
      <w:r w:rsidRPr="00301882">
        <w:rPr>
          <w:rtl/>
        </w:rPr>
        <w:t xml:space="preserve"> ضد الفصل </w:t>
      </w:r>
      <w:r w:rsidRPr="00301882">
        <w:rPr>
          <w:rFonts w:hint="cs"/>
          <w:rtl/>
        </w:rPr>
        <w:t>أ</w:t>
      </w:r>
      <w:r w:rsidRPr="00301882">
        <w:rPr>
          <w:rtl/>
        </w:rPr>
        <w:t>و</w:t>
      </w:r>
      <w:r w:rsidRPr="00301882">
        <w:rPr>
          <w:rFonts w:hint="cs"/>
          <w:rtl/>
        </w:rPr>
        <w:t xml:space="preserve"> </w:t>
      </w:r>
      <w:r w:rsidRPr="00301882">
        <w:rPr>
          <w:rtl/>
        </w:rPr>
        <w:t>فقد المركز القانوني أو أي عمل</w:t>
      </w:r>
      <w:r w:rsidRPr="00301882">
        <w:rPr>
          <w:rFonts w:hint="cs"/>
          <w:rtl/>
        </w:rPr>
        <w:t xml:space="preserve"> انتقامي</w:t>
      </w:r>
      <w:r w:rsidRPr="00301882">
        <w:rPr>
          <w:rtl/>
        </w:rPr>
        <w:t xml:space="preserve"> آخر.</w:t>
      </w:r>
    </w:p>
    <w:p w:rsidR="00301882" w:rsidRPr="00301882" w:rsidRDefault="00301882" w:rsidP="00301882">
      <w:pPr>
        <w:pStyle w:val="SingleTxt"/>
        <w:rPr>
          <w:rtl/>
        </w:rPr>
      </w:pPr>
      <w:r w:rsidRPr="00301882">
        <w:rPr>
          <w:rtl/>
        </w:rPr>
        <w:t>30</w:t>
      </w:r>
      <w:r>
        <w:rPr>
          <w:rFonts w:hint="cs"/>
          <w:rtl/>
        </w:rPr>
        <w:t xml:space="preserve"> -</w:t>
      </w:r>
      <w:r>
        <w:rPr>
          <w:rFonts w:hint="cs"/>
          <w:rtl/>
        </w:rPr>
        <w:tab/>
      </w:r>
      <w:r w:rsidRPr="00301882">
        <w:rPr>
          <w:rtl/>
        </w:rPr>
        <w:t>بالإشارة إلى الفقرات 8 و 48 و 101 و 124 من التقرير، يرجى تقديم معلومات عن معدل عمالة النساء ذوات الإعاقة، بما في ذلك العمل بدوام جزئي، وبيان مدى إمكانية مقارنة هذا المعدل بعمالة الرجال العاملين من ذوي الإعاقة ومن غير المصابين بإعاقة.</w:t>
      </w:r>
    </w:p>
    <w:p w:rsidR="00301882" w:rsidRPr="00301882" w:rsidRDefault="00301882" w:rsidP="00301882">
      <w:pPr>
        <w:pStyle w:val="SingleTxt"/>
        <w:spacing w:after="0" w:line="120" w:lineRule="exact"/>
        <w:rPr>
          <w:b/>
          <w:sz w:val="10"/>
          <w:rtl/>
        </w:rPr>
      </w:pPr>
    </w:p>
    <w:p w:rsidR="00301882" w:rsidRPr="00301882" w:rsidRDefault="00301882" w:rsidP="003018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01882">
        <w:rPr>
          <w:rtl/>
        </w:rPr>
        <w:tab/>
      </w:r>
      <w:r w:rsidRPr="00301882">
        <w:rPr>
          <w:rtl/>
        </w:rPr>
        <w:tab/>
        <w:t>الزواج والعلاقات الأسرية</w:t>
      </w:r>
    </w:p>
    <w:p w:rsidR="00301882" w:rsidRPr="00301882" w:rsidRDefault="00301882" w:rsidP="00301882">
      <w:pPr>
        <w:pStyle w:val="SingleTxt"/>
        <w:rPr>
          <w:rtl/>
        </w:rPr>
      </w:pPr>
      <w:r w:rsidRPr="00301882">
        <w:rPr>
          <w:rtl/>
        </w:rPr>
        <w:t>31</w:t>
      </w:r>
      <w:r>
        <w:rPr>
          <w:rFonts w:hint="cs"/>
          <w:rtl/>
        </w:rPr>
        <w:t xml:space="preserve"> -</w:t>
      </w:r>
      <w:r>
        <w:rPr>
          <w:rFonts w:hint="cs"/>
          <w:rtl/>
        </w:rPr>
        <w:tab/>
      </w:r>
      <w:r w:rsidRPr="00301882">
        <w:rPr>
          <w:rtl/>
        </w:rPr>
        <w:t xml:space="preserve">يرجى تقديم معلومات عن الآثار المترتبة على </w:t>
      </w:r>
      <w:r>
        <w:rPr>
          <w:rFonts w:hint="cs"/>
          <w:rtl/>
        </w:rPr>
        <w:t>”</w:t>
      </w:r>
      <w:r w:rsidRPr="00301882">
        <w:rPr>
          <w:rtl/>
        </w:rPr>
        <w:t>قانون تقديم الدعم للأسر متعددة الثقافات</w:t>
      </w:r>
      <w:r>
        <w:rPr>
          <w:rFonts w:hint="cs"/>
          <w:rtl/>
        </w:rPr>
        <w:t>“</w:t>
      </w:r>
      <w:r w:rsidRPr="00301882">
        <w:rPr>
          <w:rtl/>
        </w:rPr>
        <w:t xml:space="preserve"> لعام 2008.</w:t>
      </w:r>
    </w:p>
    <w:p w:rsidR="00301882" w:rsidRPr="00301882" w:rsidRDefault="00301882" w:rsidP="00301882">
      <w:pPr>
        <w:pStyle w:val="SingleTxt"/>
        <w:rPr>
          <w:rtl/>
        </w:rPr>
      </w:pPr>
      <w:r w:rsidRPr="00301882">
        <w:rPr>
          <w:rtl/>
        </w:rPr>
        <w:t>32</w:t>
      </w:r>
      <w:r>
        <w:rPr>
          <w:rFonts w:hint="cs"/>
          <w:rtl/>
        </w:rPr>
        <w:t xml:space="preserve"> -</w:t>
      </w:r>
      <w:r>
        <w:rPr>
          <w:rFonts w:hint="cs"/>
          <w:rtl/>
        </w:rPr>
        <w:tab/>
      </w:r>
      <w:r w:rsidRPr="00301882">
        <w:rPr>
          <w:rtl/>
        </w:rPr>
        <w:t>يرجى تقديم معلومات إحصائية عن نسبة الزيجات الدولية، ومع</w:t>
      </w:r>
      <w:r w:rsidRPr="00301882">
        <w:rPr>
          <w:rFonts w:hint="cs"/>
          <w:rtl/>
        </w:rPr>
        <w:t>د</w:t>
      </w:r>
      <w:r w:rsidRPr="00301882">
        <w:rPr>
          <w:rtl/>
        </w:rPr>
        <w:t>لات الطلاق بينها، في سياق الإحصاءات العامة للزواج في البلد، بالإشارة إلى الفقرات من 137 إلى 142 من التقرير الدوري.</w:t>
      </w:r>
    </w:p>
    <w:p w:rsidR="002F0573" w:rsidRDefault="00301882" w:rsidP="00301882">
      <w:pPr>
        <w:pStyle w:val="SingleTxt"/>
        <w:rPr>
          <w:rFonts w:hint="cs"/>
          <w:rtl/>
        </w:rPr>
      </w:pPr>
      <w:r w:rsidRPr="00301882">
        <w:rPr>
          <w:rtl/>
        </w:rPr>
        <w:t>33</w:t>
      </w:r>
      <w:r>
        <w:rPr>
          <w:rFonts w:hint="cs"/>
          <w:rtl/>
        </w:rPr>
        <w:t xml:space="preserve"> </w:t>
      </w:r>
      <w:r w:rsidRPr="00301882">
        <w:rPr>
          <w:rFonts w:hint="cs"/>
          <w:rtl/>
        </w:rPr>
        <w:t>-</w:t>
      </w:r>
      <w:r>
        <w:rPr>
          <w:rFonts w:hint="cs"/>
          <w:rtl/>
        </w:rPr>
        <w:tab/>
      </w:r>
      <w:r w:rsidRPr="00301882">
        <w:rPr>
          <w:rtl/>
        </w:rPr>
        <w:t xml:space="preserve">يرجى بيان التدابير المتخذة لتعزيز حماية حقوق الزوجات الأجنبيات، بوسائل مختلفة منها ضمان ألاّ </w:t>
      </w:r>
      <w:r w:rsidRPr="00301882">
        <w:rPr>
          <w:rFonts w:hint="cs"/>
          <w:rtl/>
        </w:rPr>
        <w:t>يتوقف</w:t>
      </w:r>
      <w:r w:rsidRPr="00301882">
        <w:rPr>
          <w:rtl/>
        </w:rPr>
        <w:t xml:space="preserve"> الوضع القانوني لإقامتهن، في حالة الانفصال/الطلاق، بشكل كامل على توفر الدليل على </w:t>
      </w:r>
      <w:r w:rsidRPr="00301882">
        <w:rPr>
          <w:rFonts w:hint="cs"/>
          <w:rtl/>
        </w:rPr>
        <w:t>أ</w:t>
      </w:r>
      <w:r w:rsidRPr="00301882">
        <w:rPr>
          <w:rtl/>
        </w:rPr>
        <w:t xml:space="preserve">ن نهاية العلاقة تعزى إلى خطأ الزوج الكوري. وفي هذا الصدد، يرجى تقديم معلومات بشأن ما إذا كان يحق للمرأة المهاجرة التي لها طفل من رجل كوري الحصول على </w:t>
      </w:r>
      <w:r w:rsidRPr="00301882">
        <w:rPr>
          <w:rFonts w:hint="cs"/>
          <w:rtl/>
        </w:rPr>
        <w:t>حقوق</w:t>
      </w:r>
      <w:r w:rsidRPr="00301882">
        <w:rPr>
          <w:rtl/>
        </w:rPr>
        <w:t xml:space="preserve"> الإقامة بغض النظر عن حالة زواجها.</w:t>
      </w:r>
    </w:p>
    <w:p w:rsidR="007414AD" w:rsidRPr="007414AD" w:rsidRDefault="007414AD" w:rsidP="007414AD">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414AD" w:rsidRPr="007414AD" w:rsidSect="00B421F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2-29T23:22:00Z" w:initials="Start">
    <w:p w:rsidR="00E26521" w:rsidRDefault="00E2652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NO&gt;&gt;N1064609A&lt;&lt;ODS JOB NO&gt;&gt;</w:t>
      </w:r>
    </w:p>
    <w:p w:rsidR="00E26521" w:rsidRDefault="00E26521">
      <w:pPr>
        <w:pStyle w:val="CommentText"/>
      </w:pPr>
      <w:r>
        <w:t>&lt;&lt;ODS DOC SYMBOL1&gt;&gt;CEDAW/C/KOR/Q/7&lt;&lt;ODS DOC SYMBOL1&gt;&gt;</w:t>
      </w:r>
    </w:p>
    <w:p w:rsidR="00E26521" w:rsidRDefault="00E265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521" w:rsidRPr="004A5A54" w:rsidRDefault="00E26521" w:rsidP="00B421F3">
      <w:pPr>
        <w:rPr>
          <w:sz w:val="14"/>
          <w:szCs w:val="16"/>
        </w:rPr>
      </w:pPr>
      <w:r>
        <w:separator/>
      </w:r>
    </w:p>
  </w:endnote>
  <w:endnote w:type="continuationSeparator" w:id="0">
    <w:p w:rsidR="00E26521" w:rsidRPr="004A5A54" w:rsidRDefault="00E26521" w:rsidP="00B421F3">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6521" w:rsidTr="00B421F3">
      <w:tblPrEx>
        <w:tblCellMar>
          <w:top w:w="0" w:type="dxa"/>
          <w:bottom w:w="0" w:type="dxa"/>
        </w:tblCellMar>
      </w:tblPrEx>
      <w:tc>
        <w:tcPr>
          <w:tcW w:w="5033" w:type="dxa"/>
          <w:shd w:val="clear" w:color="auto" w:fill="auto"/>
        </w:tcPr>
        <w:p w:rsidR="00E26521" w:rsidRPr="00B421F3" w:rsidRDefault="00E26521" w:rsidP="00B421F3">
          <w:pPr>
            <w:pStyle w:val="Footer"/>
            <w:jc w:val="right"/>
            <w:rPr>
              <w:w w:val="103"/>
            </w:rPr>
          </w:pPr>
          <w:r>
            <w:rPr>
              <w:w w:val="103"/>
            </w:rPr>
            <w:fldChar w:fldCharType="begin"/>
          </w:r>
          <w:r>
            <w:rPr>
              <w:w w:val="103"/>
            </w:rPr>
            <w:instrText xml:space="preserve"> PAGE  \* MERGEFORMAT </w:instrText>
          </w:r>
          <w:r>
            <w:rPr>
              <w:w w:val="103"/>
            </w:rPr>
            <w:fldChar w:fldCharType="separate"/>
          </w:r>
          <w:r w:rsidR="00B53BDA">
            <w:rPr>
              <w:w w:val="103"/>
            </w:rPr>
            <w:t>6</w:t>
          </w:r>
          <w:r>
            <w:rPr>
              <w:w w:val="103"/>
            </w:rPr>
            <w:fldChar w:fldCharType="end"/>
          </w:r>
        </w:p>
      </w:tc>
      <w:tc>
        <w:tcPr>
          <w:tcW w:w="5033" w:type="dxa"/>
          <w:shd w:val="clear" w:color="auto" w:fill="auto"/>
        </w:tcPr>
        <w:p w:rsidR="00E26521" w:rsidRPr="00B421F3" w:rsidRDefault="00E26521" w:rsidP="00B421F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10-64609</w:t>
          </w:r>
          <w:r>
            <w:rPr>
              <w:b w:val="0"/>
              <w:w w:val="103"/>
            </w:rPr>
            <w:fldChar w:fldCharType="end"/>
          </w:r>
        </w:p>
      </w:tc>
    </w:tr>
  </w:tbl>
  <w:p w:rsidR="00E26521" w:rsidRPr="00B421F3" w:rsidRDefault="00E26521" w:rsidP="00B421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6521" w:rsidTr="00B421F3">
      <w:tblPrEx>
        <w:tblCellMar>
          <w:top w:w="0" w:type="dxa"/>
          <w:bottom w:w="0" w:type="dxa"/>
        </w:tblCellMar>
      </w:tblPrEx>
      <w:tc>
        <w:tcPr>
          <w:tcW w:w="5033" w:type="dxa"/>
          <w:shd w:val="clear" w:color="auto" w:fill="auto"/>
        </w:tcPr>
        <w:p w:rsidR="00E26521" w:rsidRPr="00B421F3" w:rsidRDefault="00E26521" w:rsidP="00B421F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10-64609</w:t>
          </w:r>
          <w:r>
            <w:rPr>
              <w:b w:val="0"/>
              <w:w w:val="103"/>
            </w:rPr>
            <w:fldChar w:fldCharType="end"/>
          </w:r>
        </w:p>
      </w:tc>
      <w:tc>
        <w:tcPr>
          <w:tcW w:w="5033" w:type="dxa"/>
          <w:shd w:val="clear" w:color="auto" w:fill="auto"/>
        </w:tcPr>
        <w:p w:rsidR="00E26521" w:rsidRPr="00B421F3" w:rsidRDefault="00E26521" w:rsidP="00B421F3">
          <w:pPr>
            <w:pStyle w:val="Footer"/>
            <w:rPr>
              <w:w w:val="103"/>
            </w:rPr>
          </w:pPr>
          <w:r>
            <w:rPr>
              <w:w w:val="103"/>
            </w:rPr>
            <w:fldChar w:fldCharType="begin"/>
          </w:r>
          <w:r>
            <w:rPr>
              <w:w w:val="103"/>
            </w:rPr>
            <w:instrText xml:space="preserve"> PAGE  \* MERGEFORMAT </w:instrText>
          </w:r>
          <w:r>
            <w:rPr>
              <w:w w:val="103"/>
            </w:rPr>
            <w:fldChar w:fldCharType="separate"/>
          </w:r>
          <w:r w:rsidR="00B53BDA">
            <w:rPr>
              <w:w w:val="103"/>
            </w:rPr>
            <w:t>7</w:t>
          </w:r>
          <w:r>
            <w:rPr>
              <w:w w:val="103"/>
            </w:rPr>
            <w:fldChar w:fldCharType="end"/>
          </w:r>
        </w:p>
      </w:tc>
    </w:tr>
  </w:tbl>
  <w:p w:rsidR="00E26521" w:rsidRPr="00B421F3" w:rsidRDefault="00E26521" w:rsidP="00B421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26521">
      <w:tblPrEx>
        <w:tblCellMar>
          <w:top w:w="0" w:type="dxa"/>
          <w:bottom w:w="0" w:type="dxa"/>
        </w:tblCellMar>
      </w:tblPrEx>
      <w:tc>
        <w:tcPr>
          <w:tcW w:w="5033" w:type="dxa"/>
        </w:tcPr>
        <w:p w:rsidR="00E26521" w:rsidRDefault="00E26521" w:rsidP="00B421F3">
          <w:pPr>
            <w:pStyle w:val="Footer"/>
            <w:spacing w:line="240" w:lineRule="atLeast"/>
            <w:rPr>
              <w:rFonts w:cs="Times New Roman"/>
              <w:b w:val="0"/>
              <w:w w:val="103"/>
              <w:sz w:val="20"/>
            </w:rPr>
          </w:pPr>
          <w:r w:rsidRPr="00B421F3">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26521" w:rsidRDefault="00E26521" w:rsidP="00B421F3">
          <w:pPr>
            <w:pStyle w:val="Footer"/>
            <w:jc w:val="right"/>
            <w:rPr>
              <w:rFonts w:cs="Times New Roman"/>
              <w:b w:val="0"/>
              <w:w w:val="103"/>
              <w:sz w:val="20"/>
            </w:rPr>
          </w:pPr>
          <w:r>
            <w:rPr>
              <w:rFonts w:cs="Times New Roman"/>
              <w:b w:val="0"/>
              <w:w w:val="103"/>
              <w:sz w:val="20"/>
            </w:rPr>
            <w:t xml:space="preserve">170111    291210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10-64609 (A)</w:t>
          </w:r>
          <w:r>
            <w:rPr>
              <w:rFonts w:cs="Times New Roman"/>
              <w:b w:val="0"/>
              <w:w w:val="103"/>
              <w:sz w:val="20"/>
            </w:rPr>
            <w:fldChar w:fldCharType="end"/>
          </w:r>
        </w:p>
        <w:p w:rsidR="00E26521" w:rsidRPr="00B421F3" w:rsidRDefault="00E26521" w:rsidP="00B421F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*1064609*</w:t>
          </w:r>
          <w:r>
            <w:rPr>
              <w:rFonts w:ascii="Barcode 3 of 9 by request" w:hAnsi="Barcode 3 of 9 by request" w:cs="Times New Roman"/>
              <w:b w:val="0"/>
              <w:sz w:val="24"/>
            </w:rPr>
            <w:fldChar w:fldCharType="end"/>
          </w:r>
        </w:p>
      </w:tc>
    </w:tr>
  </w:tbl>
  <w:p w:rsidR="00E26521" w:rsidRPr="00B421F3" w:rsidRDefault="00E26521" w:rsidP="00B421F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521" w:rsidRPr="004A5A54" w:rsidRDefault="00E26521" w:rsidP="00B421F3">
      <w:pPr>
        <w:rPr>
          <w:sz w:val="14"/>
          <w:szCs w:val="16"/>
        </w:rPr>
      </w:pPr>
      <w:r>
        <w:separator/>
      </w:r>
    </w:p>
  </w:footnote>
  <w:footnote w:type="continuationSeparator" w:id="0">
    <w:p w:rsidR="00E26521" w:rsidRPr="004A5A54" w:rsidRDefault="00E26521" w:rsidP="00B421F3">
      <w:pP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26521" w:rsidTr="00B421F3">
      <w:tblPrEx>
        <w:tblCellMar>
          <w:top w:w="0" w:type="dxa"/>
          <w:bottom w:w="0" w:type="dxa"/>
        </w:tblCellMar>
      </w:tblPrEx>
      <w:trPr>
        <w:trHeight w:hRule="exact" w:val="864"/>
        <w:jc w:val="center"/>
      </w:trPr>
      <w:tc>
        <w:tcPr>
          <w:tcW w:w="4925" w:type="dxa"/>
          <w:shd w:val="clear" w:color="auto" w:fill="auto"/>
          <w:vAlign w:val="bottom"/>
        </w:tcPr>
        <w:p w:rsidR="00E26521" w:rsidRDefault="00E26521" w:rsidP="00B421F3">
          <w:pPr>
            <w:pStyle w:val="Header"/>
            <w:bidi/>
            <w:jc w:val="right"/>
          </w:pPr>
        </w:p>
      </w:tc>
      <w:tc>
        <w:tcPr>
          <w:tcW w:w="4925" w:type="dxa"/>
          <w:shd w:val="clear" w:color="auto" w:fill="auto"/>
          <w:vAlign w:val="bottom"/>
        </w:tcPr>
        <w:p w:rsidR="00E26521" w:rsidRPr="00B421F3" w:rsidRDefault="00E26521" w:rsidP="00B421F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CEDAW/C/KOR/Q/7</w:t>
          </w:r>
          <w:r>
            <w:rPr>
              <w:w w:val="103"/>
            </w:rPr>
            <w:fldChar w:fldCharType="end"/>
          </w:r>
        </w:p>
      </w:tc>
    </w:tr>
  </w:tbl>
  <w:p w:rsidR="00E26521" w:rsidRPr="00B421F3" w:rsidRDefault="00E26521" w:rsidP="00B421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26521" w:rsidTr="00B421F3">
      <w:tblPrEx>
        <w:tblCellMar>
          <w:top w:w="0" w:type="dxa"/>
          <w:bottom w:w="0" w:type="dxa"/>
        </w:tblCellMar>
      </w:tblPrEx>
      <w:trPr>
        <w:trHeight w:hRule="exact" w:val="864"/>
        <w:jc w:val="center"/>
      </w:trPr>
      <w:tc>
        <w:tcPr>
          <w:tcW w:w="4925" w:type="dxa"/>
          <w:shd w:val="clear" w:color="auto" w:fill="auto"/>
          <w:vAlign w:val="bottom"/>
        </w:tcPr>
        <w:p w:rsidR="00E26521" w:rsidRPr="00B421F3" w:rsidRDefault="00E26521" w:rsidP="00B421F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CEDAW/C/KOR/Q/7</w:t>
          </w:r>
          <w:r>
            <w:rPr>
              <w:w w:val="103"/>
            </w:rPr>
            <w:fldChar w:fldCharType="end"/>
          </w:r>
        </w:p>
      </w:tc>
      <w:tc>
        <w:tcPr>
          <w:tcW w:w="4925" w:type="dxa"/>
          <w:shd w:val="clear" w:color="auto" w:fill="auto"/>
          <w:vAlign w:val="bottom"/>
        </w:tcPr>
        <w:p w:rsidR="00E26521" w:rsidRDefault="00E26521" w:rsidP="00B421F3">
          <w:pPr>
            <w:pStyle w:val="Header"/>
          </w:pPr>
        </w:p>
      </w:tc>
    </w:tr>
  </w:tbl>
  <w:p w:rsidR="00E26521" w:rsidRPr="00B421F3" w:rsidRDefault="00E26521" w:rsidP="00B421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6521" w:rsidTr="00B421F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6521" w:rsidRDefault="00E26521" w:rsidP="00B421F3">
          <w:pPr>
            <w:pStyle w:val="Header"/>
            <w:spacing w:after="120"/>
          </w:pPr>
        </w:p>
      </w:tc>
      <w:tc>
        <w:tcPr>
          <w:tcW w:w="1786" w:type="dxa"/>
          <w:tcBorders>
            <w:bottom w:val="single" w:sz="4" w:space="0" w:color="auto"/>
          </w:tcBorders>
          <w:shd w:val="clear" w:color="auto" w:fill="auto"/>
          <w:vAlign w:val="bottom"/>
        </w:tcPr>
        <w:p w:rsidR="00E26521" w:rsidRPr="00B421F3" w:rsidRDefault="00E26521" w:rsidP="00B421F3">
          <w:pPr>
            <w:pStyle w:val="HCh"/>
            <w:spacing w:after="80"/>
            <w:ind w:left="14"/>
            <w:jc w:val="left"/>
            <w:rPr>
              <w:bCs w:val="0"/>
              <w:spacing w:val="2"/>
              <w:w w:val="96"/>
            </w:rPr>
          </w:pPr>
          <w:r>
            <w:rPr>
              <w:bCs w:val="0"/>
              <w:spacing w:val="2"/>
              <w:w w:val="96"/>
              <w:rtl/>
            </w:rPr>
            <w:t>الأم</w:t>
          </w:r>
          <w:r>
            <w:rPr>
              <w:rFonts w:hint="cs"/>
              <w:bCs w:val="0"/>
              <w:spacing w:val="2"/>
              <w:w w:val="96"/>
              <w:rtl/>
            </w:rPr>
            <w:t>ــ</w:t>
          </w:r>
          <w:r>
            <w:rPr>
              <w:bCs w:val="0"/>
              <w:spacing w:val="2"/>
              <w:w w:val="96"/>
              <w:rtl/>
            </w:rPr>
            <w:t>م المتح</w:t>
          </w:r>
          <w:r>
            <w:rPr>
              <w:rFonts w:hint="cs"/>
              <w:bCs w:val="0"/>
              <w:spacing w:val="2"/>
              <w:w w:val="96"/>
              <w:rtl/>
            </w:rPr>
            <w:t>ـ</w:t>
          </w:r>
          <w:r>
            <w:rPr>
              <w:bCs w:val="0"/>
              <w:spacing w:val="2"/>
              <w:w w:val="96"/>
              <w:rtl/>
            </w:rPr>
            <w:t>دة</w:t>
          </w:r>
        </w:p>
      </w:tc>
      <w:tc>
        <w:tcPr>
          <w:tcW w:w="245" w:type="dxa"/>
          <w:tcBorders>
            <w:bottom w:val="single" w:sz="4" w:space="0" w:color="auto"/>
          </w:tcBorders>
          <w:shd w:val="clear" w:color="auto" w:fill="auto"/>
          <w:vAlign w:val="bottom"/>
        </w:tcPr>
        <w:p w:rsidR="00E26521" w:rsidRDefault="00E26521" w:rsidP="00B421F3">
          <w:pPr>
            <w:pStyle w:val="Header"/>
            <w:spacing w:after="120"/>
          </w:pPr>
        </w:p>
      </w:tc>
      <w:tc>
        <w:tcPr>
          <w:tcW w:w="6523" w:type="dxa"/>
          <w:gridSpan w:val="3"/>
          <w:tcBorders>
            <w:bottom w:val="single" w:sz="4" w:space="0" w:color="auto"/>
          </w:tcBorders>
          <w:shd w:val="clear" w:color="auto" w:fill="auto"/>
          <w:vAlign w:val="bottom"/>
        </w:tcPr>
        <w:p w:rsidR="00E26521" w:rsidRPr="00B421F3" w:rsidRDefault="00E26521" w:rsidP="00B421F3">
          <w:pPr>
            <w:spacing w:line="380" w:lineRule="exact"/>
            <w:jc w:val="right"/>
          </w:pPr>
          <w:r>
            <w:rPr>
              <w:sz w:val="40"/>
            </w:rPr>
            <w:t>CEDAW</w:t>
          </w:r>
          <w:r>
            <w:t>/C/KOR/Q/7</w:t>
          </w:r>
        </w:p>
      </w:tc>
    </w:tr>
    <w:tr w:rsidR="00E26521" w:rsidRPr="00B421F3" w:rsidTr="00B421F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6521" w:rsidRDefault="00E26521" w:rsidP="00B421F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6521" w:rsidRPr="00B421F3" w:rsidRDefault="00E26521" w:rsidP="00B421F3">
          <w:pPr>
            <w:pStyle w:val="Header"/>
            <w:spacing w:before="109"/>
            <w:jc w:val="right"/>
          </w:pPr>
        </w:p>
      </w:tc>
      <w:tc>
        <w:tcPr>
          <w:tcW w:w="5227" w:type="dxa"/>
          <w:gridSpan w:val="3"/>
          <w:tcBorders>
            <w:top w:val="single" w:sz="4" w:space="0" w:color="auto"/>
            <w:bottom w:val="single" w:sz="12" w:space="0" w:color="auto"/>
          </w:tcBorders>
          <w:shd w:val="clear" w:color="auto" w:fill="auto"/>
        </w:tcPr>
        <w:p w:rsidR="00E26521" w:rsidRPr="00B421F3" w:rsidRDefault="00E26521" w:rsidP="00B421F3">
          <w:pPr>
            <w:pStyle w:val="XLarge"/>
            <w:spacing w:before="109" w:line="520" w:lineRule="exact"/>
            <w:ind w:left="14" w:right="14"/>
            <w:jc w:val="left"/>
            <w:rPr>
              <w:szCs w:val="50"/>
            </w:rPr>
          </w:pPr>
          <w:r>
            <w:rPr>
              <w:szCs w:val="50"/>
              <w:rtl/>
            </w:rPr>
            <w:t>اتفاقية القضاء على جمي</w:t>
          </w:r>
          <w:r>
            <w:rPr>
              <w:rFonts w:hint="cs"/>
              <w:szCs w:val="50"/>
              <w:rtl/>
            </w:rPr>
            <w:t>ـ</w:t>
          </w:r>
          <w:r>
            <w:rPr>
              <w:szCs w:val="50"/>
              <w:rtl/>
            </w:rPr>
            <w:t>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6521" w:rsidRPr="00B421F3" w:rsidRDefault="00E26521" w:rsidP="00B421F3">
          <w:pPr>
            <w:pStyle w:val="Header"/>
            <w:spacing w:before="109"/>
          </w:pPr>
        </w:p>
      </w:tc>
      <w:tc>
        <w:tcPr>
          <w:tcW w:w="3100" w:type="dxa"/>
          <w:gridSpan w:val="2"/>
          <w:tcBorders>
            <w:top w:val="single" w:sz="4" w:space="0" w:color="auto"/>
            <w:bottom w:val="single" w:sz="12" w:space="0" w:color="auto"/>
          </w:tcBorders>
          <w:shd w:val="clear" w:color="auto" w:fill="auto"/>
        </w:tcPr>
        <w:p w:rsidR="00E26521" w:rsidRDefault="00E26521" w:rsidP="00B421F3">
          <w:pPr>
            <w:bidi w:val="0"/>
            <w:spacing w:before="240" w:line="240" w:lineRule="exact"/>
          </w:pPr>
          <w:r>
            <w:t>Distr.: General</w:t>
          </w:r>
        </w:p>
        <w:p w:rsidR="00E26521" w:rsidRDefault="00E26521" w:rsidP="00B421F3">
          <w:pPr>
            <w:bidi w:val="0"/>
            <w:spacing w:line="240" w:lineRule="exact"/>
            <w:jc w:val="left"/>
          </w:pPr>
          <w:r>
            <w:t>22 December 2010</w:t>
          </w:r>
        </w:p>
        <w:p w:rsidR="00E26521" w:rsidRDefault="00E26521" w:rsidP="00B421F3">
          <w:pPr>
            <w:bidi w:val="0"/>
            <w:spacing w:line="240" w:lineRule="exact"/>
            <w:jc w:val="left"/>
          </w:pPr>
          <w:r>
            <w:t>Arabic</w:t>
          </w:r>
        </w:p>
        <w:p w:rsidR="00E26521" w:rsidRPr="00B421F3" w:rsidRDefault="00E26521" w:rsidP="00B421F3">
          <w:pPr>
            <w:bidi w:val="0"/>
            <w:spacing w:line="240" w:lineRule="exact"/>
            <w:jc w:val="left"/>
          </w:pPr>
          <w:r>
            <w:t>Original: English</w:t>
          </w:r>
        </w:p>
      </w:tc>
    </w:tr>
  </w:tbl>
  <w:p w:rsidR="00E26521" w:rsidRPr="00B421F3" w:rsidRDefault="00E26521" w:rsidP="00B421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27936E2D"/>
    <w:multiLevelType w:val="hybridMultilevel"/>
    <w:tmpl w:val="84E263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ymbo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ymbol"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4609*"/>
    <w:docVar w:name="CreationDt" w:val="29/12/2010 11:22 PM"/>
    <w:docVar w:name="DocCategory" w:val="Doc"/>
    <w:docVar w:name="DocType" w:val="Final"/>
    <w:docVar w:name="FooterJN" w:val="10-64609"/>
    <w:docVar w:name="jobn" w:val="10-64609 (A)"/>
    <w:docVar w:name="jobnDT" w:val="10-64609 (A)   291210"/>
    <w:docVar w:name="jobnDTDT" w:val="10-64609 (A)   291210   291210"/>
    <w:docVar w:name="JobNo" w:val="1064609A"/>
    <w:docVar w:name="OandT" w:val=" "/>
    <w:docVar w:name="sss1" w:val="CEDAW/C/KOR/Q/7"/>
    <w:docVar w:name="sss2" w:val="-"/>
    <w:docVar w:name="Symbol1" w:val="CEDAW/C/KOR/Q/7"/>
    <w:docVar w:name="Symbol2" w:val="-"/>
  </w:docVars>
  <w:rsids>
    <w:rsidRoot w:val="00FB565C"/>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08AB"/>
    <w:rsid w:val="001737F8"/>
    <w:rsid w:val="001775EA"/>
    <w:rsid w:val="0018030C"/>
    <w:rsid w:val="00187870"/>
    <w:rsid w:val="001E5A5A"/>
    <w:rsid w:val="001E5A7A"/>
    <w:rsid w:val="001F6786"/>
    <w:rsid w:val="00204D16"/>
    <w:rsid w:val="00212294"/>
    <w:rsid w:val="00213301"/>
    <w:rsid w:val="00217E03"/>
    <w:rsid w:val="00236A29"/>
    <w:rsid w:val="002416C5"/>
    <w:rsid w:val="0025002E"/>
    <w:rsid w:val="00251F81"/>
    <w:rsid w:val="00252D19"/>
    <w:rsid w:val="00266F59"/>
    <w:rsid w:val="00272B6C"/>
    <w:rsid w:val="0027623A"/>
    <w:rsid w:val="0028107D"/>
    <w:rsid w:val="00290F2F"/>
    <w:rsid w:val="002937DA"/>
    <w:rsid w:val="002A09C6"/>
    <w:rsid w:val="002C2AF2"/>
    <w:rsid w:val="002C4E1B"/>
    <w:rsid w:val="002E1490"/>
    <w:rsid w:val="002F0573"/>
    <w:rsid w:val="00301882"/>
    <w:rsid w:val="00312162"/>
    <w:rsid w:val="003501D5"/>
    <w:rsid w:val="00371AC4"/>
    <w:rsid w:val="00383CA8"/>
    <w:rsid w:val="003A42D3"/>
    <w:rsid w:val="003A65ED"/>
    <w:rsid w:val="003D4612"/>
    <w:rsid w:val="003E26D7"/>
    <w:rsid w:val="003F4B8C"/>
    <w:rsid w:val="00401BDF"/>
    <w:rsid w:val="00411BBD"/>
    <w:rsid w:val="00415922"/>
    <w:rsid w:val="00423BD7"/>
    <w:rsid w:val="0042757D"/>
    <w:rsid w:val="00437C14"/>
    <w:rsid w:val="004527C9"/>
    <w:rsid w:val="00453069"/>
    <w:rsid w:val="00483F5B"/>
    <w:rsid w:val="00485046"/>
    <w:rsid w:val="00485D03"/>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38EE"/>
    <w:rsid w:val="006C55DD"/>
    <w:rsid w:val="00700F06"/>
    <w:rsid w:val="0071531E"/>
    <w:rsid w:val="0071645B"/>
    <w:rsid w:val="00716E9D"/>
    <w:rsid w:val="00723A6D"/>
    <w:rsid w:val="007414A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772F8"/>
    <w:rsid w:val="0088317F"/>
    <w:rsid w:val="008A3FCA"/>
    <w:rsid w:val="008B04A7"/>
    <w:rsid w:val="008D1C04"/>
    <w:rsid w:val="008F04A0"/>
    <w:rsid w:val="008F419C"/>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421F3"/>
    <w:rsid w:val="00B53BDA"/>
    <w:rsid w:val="00B9542C"/>
    <w:rsid w:val="00B95560"/>
    <w:rsid w:val="00BA7FAB"/>
    <w:rsid w:val="00BC2F4C"/>
    <w:rsid w:val="00BC4A05"/>
    <w:rsid w:val="00BC567D"/>
    <w:rsid w:val="00BD7D43"/>
    <w:rsid w:val="00BF0B15"/>
    <w:rsid w:val="00BF3E42"/>
    <w:rsid w:val="00C12CBB"/>
    <w:rsid w:val="00C25A2D"/>
    <w:rsid w:val="00C260F8"/>
    <w:rsid w:val="00C43FBE"/>
    <w:rsid w:val="00C449C6"/>
    <w:rsid w:val="00C55329"/>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56BEA"/>
    <w:rsid w:val="00D66413"/>
    <w:rsid w:val="00DA66B7"/>
    <w:rsid w:val="00DB0865"/>
    <w:rsid w:val="00DB7206"/>
    <w:rsid w:val="00DE5433"/>
    <w:rsid w:val="00DE68A7"/>
    <w:rsid w:val="00DE7ADB"/>
    <w:rsid w:val="00DF5A43"/>
    <w:rsid w:val="00DF5F38"/>
    <w:rsid w:val="00E23336"/>
    <w:rsid w:val="00E26521"/>
    <w:rsid w:val="00E31661"/>
    <w:rsid w:val="00E32B52"/>
    <w:rsid w:val="00E47EB8"/>
    <w:rsid w:val="00E51BED"/>
    <w:rsid w:val="00E52641"/>
    <w:rsid w:val="00E704FD"/>
    <w:rsid w:val="00E750E1"/>
    <w:rsid w:val="00E9114A"/>
    <w:rsid w:val="00E93118"/>
    <w:rsid w:val="00EA489C"/>
    <w:rsid w:val="00EA7B59"/>
    <w:rsid w:val="00EB0CA7"/>
    <w:rsid w:val="00EB4992"/>
    <w:rsid w:val="00EB76B1"/>
    <w:rsid w:val="00EF2E52"/>
    <w:rsid w:val="00F031FB"/>
    <w:rsid w:val="00F30CB2"/>
    <w:rsid w:val="00F32E4A"/>
    <w:rsid w:val="00F36D8C"/>
    <w:rsid w:val="00F75E23"/>
    <w:rsid w:val="00F82E95"/>
    <w:rsid w:val="00F93545"/>
    <w:rsid w:val="00F96FBA"/>
    <w:rsid w:val="00FB4557"/>
    <w:rsid w:val="00FB4E06"/>
    <w:rsid w:val="00FB565C"/>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aliases w:val="Table_G"/>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301882"/>
    <w:pPr>
      <w:suppressAutoHyphens/>
      <w:spacing w:line="240" w:lineRule="auto"/>
      <w:jc w:val="left"/>
      <w:outlineLvl w:val="2"/>
    </w:pPr>
    <w:rPr>
      <w:rFonts w:cs="Times New Roman"/>
      <w:w w:val="100"/>
      <w:kern w:val="0"/>
      <w:szCs w:val="20"/>
      <w:lang w:val="ar-SA"/>
    </w:rPr>
  </w:style>
  <w:style w:type="paragraph" w:styleId="Heading4">
    <w:name w:val="heading 4"/>
    <w:basedOn w:val="Normal"/>
    <w:next w:val="Normal"/>
    <w:qFormat/>
    <w:rsid w:val="00301882"/>
    <w:pPr>
      <w:suppressAutoHyphens/>
      <w:spacing w:line="240" w:lineRule="auto"/>
      <w:jc w:val="left"/>
      <w:outlineLvl w:val="3"/>
    </w:pPr>
    <w:rPr>
      <w:rFonts w:cs="Times New Roman"/>
      <w:w w:val="100"/>
      <w:kern w:val="0"/>
      <w:szCs w:val="20"/>
      <w:lang w:val="ar-SA"/>
    </w:rPr>
  </w:style>
  <w:style w:type="paragraph" w:styleId="Heading5">
    <w:name w:val="heading 5"/>
    <w:basedOn w:val="Normal"/>
    <w:next w:val="Normal"/>
    <w:qFormat/>
    <w:rsid w:val="00301882"/>
    <w:pPr>
      <w:suppressAutoHyphens/>
      <w:spacing w:line="240" w:lineRule="auto"/>
      <w:jc w:val="left"/>
      <w:outlineLvl w:val="4"/>
    </w:pPr>
    <w:rPr>
      <w:rFonts w:cs="Times New Roman"/>
      <w:w w:val="100"/>
      <w:kern w:val="0"/>
      <w:szCs w:val="20"/>
      <w:lang w:val="ar-SA"/>
    </w:rPr>
  </w:style>
  <w:style w:type="paragraph" w:styleId="Heading6">
    <w:name w:val="heading 6"/>
    <w:basedOn w:val="Normal"/>
    <w:next w:val="Normal"/>
    <w:qFormat/>
    <w:rsid w:val="00301882"/>
    <w:pPr>
      <w:suppressAutoHyphens/>
      <w:spacing w:line="240" w:lineRule="auto"/>
      <w:jc w:val="left"/>
      <w:outlineLvl w:val="5"/>
    </w:pPr>
    <w:rPr>
      <w:rFonts w:cs="Times New Roman"/>
      <w:w w:val="100"/>
      <w:kern w:val="0"/>
      <w:szCs w:val="20"/>
      <w:lang w:val="ar-SA"/>
    </w:rPr>
  </w:style>
  <w:style w:type="paragraph" w:styleId="Heading7">
    <w:name w:val="heading 7"/>
    <w:basedOn w:val="Normal"/>
    <w:next w:val="Normal"/>
    <w:qFormat/>
    <w:rsid w:val="00301882"/>
    <w:pPr>
      <w:suppressAutoHyphens/>
      <w:spacing w:line="240" w:lineRule="auto"/>
      <w:jc w:val="left"/>
      <w:outlineLvl w:val="6"/>
    </w:pPr>
    <w:rPr>
      <w:rFonts w:cs="Times New Roman"/>
      <w:w w:val="100"/>
      <w:kern w:val="0"/>
      <w:szCs w:val="20"/>
      <w:lang w:val="ar-SA"/>
    </w:rPr>
  </w:style>
  <w:style w:type="paragraph" w:styleId="Heading8">
    <w:name w:val="heading 8"/>
    <w:basedOn w:val="Normal"/>
    <w:next w:val="Normal"/>
    <w:qFormat/>
    <w:rsid w:val="00301882"/>
    <w:pPr>
      <w:suppressAutoHyphens/>
      <w:spacing w:line="240" w:lineRule="auto"/>
      <w:jc w:val="left"/>
      <w:outlineLvl w:val="7"/>
    </w:pPr>
    <w:rPr>
      <w:rFonts w:cs="Times New Roman"/>
      <w:w w:val="100"/>
      <w:kern w:val="0"/>
      <w:szCs w:val="20"/>
      <w:lang w:val="ar-SA"/>
    </w:rPr>
  </w:style>
  <w:style w:type="paragraph" w:styleId="Heading9">
    <w:name w:val="heading 9"/>
    <w:basedOn w:val="Normal"/>
    <w:next w:val="Normal"/>
    <w:qFormat/>
    <w:rsid w:val="00301882"/>
    <w:pPr>
      <w:suppressAutoHyphens/>
      <w:spacing w:line="240" w:lineRule="auto"/>
      <w:jc w:val="left"/>
      <w:outlineLvl w:val="8"/>
    </w:pPr>
    <w:rPr>
      <w:rFonts w:cs="Times New Roman"/>
      <w:w w:val="100"/>
      <w:kern w:val="0"/>
      <w:szCs w:val="20"/>
      <w:lang w:val="ar-SA"/>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aliases w:val="3_G"/>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aliases w:val="6_G"/>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421F3"/>
    <w:rPr>
      <w:szCs w:val="20"/>
    </w:rPr>
  </w:style>
  <w:style w:type="paragraph" w:styleId="CommentSubject">
    <w:name w:val="annotation subject"/>
    <w:basedOn w:val="CommentText"/>
    <w:next w:val="CommentText"/>
    <w:semiHidden/>
    <w:rsid w:val="00B421F3"/>
    <w:rPr>
      <w:b/>
      <w:bCs/>
    </w:rPr>
  </w:style>
  <w:style w:type="paragraph" w:customStyle="1" w:styleId="SingleTxtG">
    <w:name w:val="_ Single Txt_G"/>
    <w:basedOn w:val="Normal"/>
    <w:rsid w:val="00301882"/>
    <w:pPr>
      <w:suppressAutoHyphens/>
      <w:spacing w:after="120" w:line="240" w:lineRule="atLeast"/>
      <w:ind w:left="1134" w:right="1134"/>
      <w:jc w:val="both"/>
    </w:pPr>
    <w:rPr>
      <w:rFonts w:cs="Times New Roman"/>
      <w:w w:val="100"/>
      <w:kern w:val="0"/>
      <w:szCs w:val="20"/>
      <w:lang w:val="ar-SA"/>
    </w:rPr>
  </w:style>
  <w:style w:type="paragraph" w:customStyle="1" w:styleId="HMG">
    <w:name w:val="_ H __M_G"/>
    <w:basedOn w:val="Normal"/>
    <w:next w:val="Normal"/>
    <w:rsid w:val="00301882"/>
    <w:pPr>
      <w:keepNext/>
      <w:keepLines/>
      <w:tabs>
        <w:tab w:val="right" w:pos="851"/>
      </w:tabs>
      <w:suppressAutoHyphens/>
      <w:spacing w:before="240" w:after="240" w:line="360" w:lineRule="exact"/>
      <w:ind w:left="1134" w:right="1134" w:hanging="1134"/>
      <w:jc w:val="left"/>
    </w:pPr>
    <w:rPr>
      <w:rFonts w:cs="Times New Roman"/>
      <w:b/>
      <w:w w:val="100"/>
      <w:kern w:val="0"/>
      <w:sz w:val="34"/>
      <w:szCs w:val="20"/>
      <w:lang w:val="ar-SA"/>
    </w:rPr>
  </w:style>
  <w:style w:type="paragraph" w:customStyle="1" w:styleId="HChG">
    <w:name w:val="_ H _Ch_G"/>
    <w:basedOn w:val="Normal"/>
    <w:next w:val="Normal"/>
    <w:rsid w:val="00301882"/>
    <w:pPr>
      <w:keepNext/>
      <w:keepLines/>
      <w:tabs>
        <w:tab w:val="right" w:pos="851"/>
      </w:tabs>
      <w:suppressAutoHyphens/>
      <w:spacing w:before="360" w:after="240" w:line="300" w:lineRule="exact"/>
      <w:ind w:left="1134" w:right="1134" w:hanging="1134"/>
      <w:jc w:val="left"/>
    </w:pPr>
    <w:rPr>
      <w:rFonts w:cs="Times New Roman"/>
      <w:b/>
      <w:w w:val="100"/>
      <w:kern w:val="0"/>
      <w:sz w:val="28"/>
      <w:szCs w:val="20"/>
      <w:lang w:val="ar-SA"/>
    </w:rPr>
  </w:style>
  <w:style w:type="character" w:styleId="EndnoteReference">
    <w:name w:val="endnote reference"/>
    <w:aliases w:val="1_G"/>
    <w:rsid w:val="00301882"/>
    <w:rPr>
      <w:rFonts w:ascii="Times New Roman" w:hAnsi="Times New Roman" w:cs="Traditional Arabic"/>
      <w:spacing w:val="-5"/>
      <w:w w:val="100"/>
      <w:position w:val="0"/>
      <w:sz w:val="18"/>
      <w:szCs w:val="26"/>
      <w:vertAlign w:val="superscript"/>
      <w:lang w:val="ar-SA" w:bidi="ar-SA"/>
    </w:rPr>
  </w:style>
  <w:style w:type="table" w:styleId="TableGrid">
    <w:name w:val="Table Grid"/>
    <w:basedOn w:val="TableNormal"/>
    <w:semiHidden/>
    <w:rsid w:val="00301882"/>
    <w:pPr>
      <w:suppressAutoHyphens/>
      <w:spacing w:line="240" w:lineRule="atLeas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301882"/>
    <w:rPr>
      <w:color w:val="0000FF"/>
      <w:u w:val="none"/>
      <w:lang w:val="ar-SA"/>
    </w:rPr>
  </w:style>
  <w:style w:type="character" w:styleId="FollowedHyperlink">
    <w:name w:val="FollowedHyperlink"/>
    <w:semiHidden/>
    <w:rsid w:val="00301882"/>
    <w:rPr>
      <w:color w:val="0000FF"/>
      <w:u w:val="none"/>
      <w:lang w:val="ar-SA"/>
    </w:rPr>
  </w:style>
  <w:style w:type="paragraph" w:customStyle="1" w:styleId="SMG">
    <w:name w:val="__S_M_G"/>
    <w:basedOn w:val="Normal"/>
    <w:next w:val="Normal"/>
    <w:rsid w:val="00301882"/>
    <w:pPr>
      <w:keepNext/>
      <w:keepLines/>
      <w:suppressAutoHyphens/>
      <w:spacing w:before="240" w:after="240" w:line="420" w:lineRule="exact"/>
      <w:ind w:left="1134" w:right="1134"/>
      <w:jc w:val="left"/>
    </w:pPr>
    <w:rPr>
      <w:rFonts w:cs="Times New Roman"/>
      <w:b/>
      <w:w w:val="100"/>
      <w:kern w:val="0"/>
      <w:sz w:val="40"/>
      <w:szCs w:val="20"/>
      <w:lang w:val="ar-SA"/>
    </w:rPr>
  </w:style>
  <w:style w:type="paragraph" w:customStyle="1" w:styleId="SLG">
    <w:name w:val="__S_L_G"/>
    <w:basedOn w:val="Normal"/>
    <w:next w:val="Normal"/>
    <w:rsid w:val="00301882"/>
    <w:pPr>
      <w:keepNext/>
      <w:keepLines/>
      <w:suppressAutoHyphens/>
      <w:spacing w:before="240" w:after="240" w:line="580" w:lineRule="exact"/>
      <w:ind w:left="1134" w:right="1134"/>
      <w:jc w:val="left"/>
    </w:pPr>
    <w:rPr>
      <w:rFonts w:cs="Times New Roman"/>
      <w:b/>
      <w:w w:val="100"/>
      <w:kern w:val="0"/>
      <w:sz w:val="56"/>
      <w:szCs w:val="20"/>
      <w:lang w:val="ar-SA"/>
    </w:rPr>
  </w:style>
  <w:style w:type="paragraph" w:customStyle="1" w:styleId="SSG">
    <w:name w:val="__S_S_G"/>
    <w:basedOn w:val="Normal"/>
    <w:next w:val="Normal"/>
    <w:rsid w:val="00301882"/>
    <w:pPr>
      <w:keepNext/>
      <w:keepLines/>
      <w:suppressAutoHyphens/>
      <w:spacing w:before="240" w:after="240" w:line="300" w:lineRule="exact"/>
      <w:ind w:left="1134" w:right="1134"/>
      <w:jc w:val="left"/>
    </w:pPr>
    <w:rPr>
      <w:rFonts w:cs="Times New Roman"/>
      <w:b/>
      <w:w w:val="100"/>
      <w:kern w:val="0"/>
      <w:sz w:val="28"/>
      <w:szCs w:val="20"/>
      <w:lang w:val="ar-SA"/>
    </w:rPr>
  </w:style>
  <w:style w:type="character" w:styleId="PageNumber">
    <w:name w:val="page number"/>
    <w:aliases w:val="7_G"/>
    <w:rsid w:val="00301882"/>
    <w:rPr>
      <w:rFonts w:ascii="Times New Roman" w:hAnsi="Times New Roman"/>
      <w:b/>
      <w:sz w:val="18"/>
      <w:lang w:val="ar-SA"/>
    </w:rPr>
  </w:style>
  <w:style w:type="paragraph" w:customStyle="1" w:styleId="XLargeG">
    <w:name w:val="__XLarge_G"/>
    <w:basedOn w:val="Normal"/>
    <w:next w:val="Normal"/>
    <w:rsid w:val="00301882"/>
    <w:pPr>
      <w:keepNext/>
      <w:keepLines/>
      <w:suppressAutoHyphens/>
      <w:spacing w:before="240" w:after="240" w:line="420" w:lineRule="exact"/>
      <w:ind w:left="1134" w:right="1134"/>
      <w:jc w:val="left"/>
    </w:pPr>
    <w:rPr>
      <w:rFonts w:cs="Times New Roman"/>
      <w:b/>
      <w:w w:val="100"/>
      <w:kern w:val="0"/>
      <w:sz w:val="40"/>
      <w:szCs w:val="20"/>
      <w:lang w:val="ar-SA"/>
    </w:rPr>
  </w:style>
  <w:style w:type="paragraph" w:customStyle="1" w:styleId="Bullet1G">
    <w:name w:val="_Bullet 1_G"/>
    <w:basedOn w:val="Normal"/>
    <w:rsid w:val="00301882"/>
    <w:pPr>
      <w:numPr>
        <w:numId w:val="1"/>
      </w:numPr>
      <w:suppressAutoHyphens/>
      <w:spacing w:after="120" w:line="240" w:lineRule="atLeast"/>
      <w:ind w:right="1134"/>
      <w:jc w:val="both"/>
    </w:pPr>
    <w:rPr>
      <w:rFonts w:cs="Times New Roman"/>
      <w:w w:val="100"/>
      <w:kern w:val="0"/>
      <w:szCs w:val="20"/>
      <w:lang w:val="ar-SA"/>
    </w:rPr>
  </w:style>
  <w:style w:type="paragraph" w:customStyle="1" w:styleId="Bullet2G">
    <w:name w:val="_Bullet 2_G"/>
    <w:basedOn w:val="Normal"/>
    <w:rsid w:val="00301882"/>
    <w:pPr>
      <w:numPr>
        <w:numId w:val="2"/>
      </w:numPr>
      <w:suppressAutoHyphens/>
      <w:spacing w:after="120" w:line="240" w:lineRule="atLeast"/>
      <w:ind w:right="1134"/>
      <w:jc w:val="both"/>
    </w:pPr>
    <w:rPr>
      <w:rFonts w:cs="Times New Roman"/>
      <w:w w:val="100"/>
      <w:kern w:val="0"/>
      <w:szCs w:val="20"/>
      <w:lang w:val="ar-SA"/>
    </w:rPr>
  </w:style>
  <w:style w:type="paragraph" w:customStyle="1" w:styleId="H1G">
    <w:name w:val="_ H_1_G"/>
    <w:basedOn w:val="Normal"/>
    <w:next w:val="Normal"/>
    <w:rsid w:val="00301882"/>
    <w:pPr>
      <w:keepNext/>
      <w:keepLines/>
      <w:tabs>
        <w:tab w:val="right" w:pos="851"/>
      </w:tabs>
      <w:suppressAutoHyphens/>
      <w:spacing w:before="360" w:after="240" w:line="270" w:lineRule="exact"/>
      <w:ind w:left="1134" w:right="1134" w:hanging="1134"/>
      <w:jc w:val="left"/>
    </w:pPr>
    <w:rPr>
      <w:rFonts w:cs="Times New Roman"/>
      <w:b/>
      <w:w w:val="100"/>
      <w:kern w:val="0"/>
      <w:sz w:val="24"/>
      <w:szCs w:val="20"/>
      <w:lang w:val="ar-SA"/>
    </w:rPr>
  </w:style>
  <w:style w:type="paragraph" w:customStyle="1" w:styleId="H23G">
    <w:name w:val="_ H_2/3_G"/>
    <w:basedOn w:val="Normal"/>
    <w:next w:val="Normal"/>
    <w:rsid w:val="00301882"/>
    <w:pPr>
      <w:keepNext/>
      <w:keepLines/>
      <w:tabs>
        <w:tab w:val="right" w:pos="851"/>
      </w:tabs>
      <w:suppressAutoHyphens/>
      <w:spacing w:before="240" w:after="120" w:line="240" w:lineRule="exact"/>
      <w:ind w:left="1134" w:right="1134" w:hanging="1134"/>
      <w:jc w:val="left"/>
    </w:pPr>
    <w:rPr>
      <w:rFonts w:cs="Times New Roman"/>
      <w:b/>
      <w:w w:val="100"/>
      <w:kern w:val="0"/>
      <w:szCs w:val="20"/>
      <w:lang w:val="ar-SA"/>
    </w:rPr>
  </w:style>
  <w:style w:type="paragraph" w:customStyle="1" w:styleId="H4G">
    <w:name w:val="_ H_4_G"/>
    <w:basedOn w:val="Normal"/>
    <w:next w:val="Normal"/>
    <w:rsid w:val="00301882"/>
    <w:pPr>
      <w:keepNext/>
      <w:keepLines/>
      <w:tabs>
        <w:tab w:val="right" w:pos="851"/>
      </w:tabs>
      <w:suppressAutoHyphens/>
      <w:spacing w:before="240" w:after="120" w:line="240" w:lineRule="exact"/>
      <w:ind w:left="1134" w:right="1134" w:hanging="1134"/>
      <w:jc w:val="left"/>
    </w:pPr>
    <w:rPr>
      <w:rFonts w:cs="Times New Roman"/>
      <w:i/>
      <w:w w:val="100"/>
      <w:kern w:val="0"/>
      <w:szCs w:val="20"/>
      <w:lang w:val="ar-SA"/>
    </w:rPr>
  </w:style>
  <w:style w:type="paragraph" w:customStyle="1" w:styleId="H56G">
    <w:name w:val="_ H_5/6_G"/>
    <w:basedOn w:val="Normal"/>
    <w:next w:val="Normal"/>
    <w:rsid w:val="00301882"/>
    <w:pPr>
      <w:keepNext/>
      <w:keepLines/>
      <w:tabs>
        <w:tab w:val="right" w:pos="851"/>
      </w:tabs>
      <w:suppressAutoHyphens/>
      <w:spacing w:before="240" w:after="120" w:line="240" w:lineRule="exact"/>
      <w:ind w:left="1134" w:right="1134" w:hanging="1134"/>
      <w:jc w:val="left"/>
    </w:pPr>
    <w:rPr>
      <w:rFonts w:cs="Times New Roman"/>
      <w:w w:val="100"/>
      <w:kern w:val="0"/>
      <w:szCs w:val="20"/>
      <w:lang w:val="ar-SA"/>
    </w:rPr>
  </w:style>
  <w:style w:type="character" w:customStyle="1" w:styleId="FootnoteTextChar">
    <w:name w:val="Footnote Text Char"/>
    <w:aliases w:val="5_G Char"/>
    <w:link w:val="FootnoteText"/>
    <w:semiHidden/>
    <w:locked/>
    <w:rsid w:val="00301882"/>
    <w:rPr>
      <w:rFonts w:cs="Traditional Arabic"/>
      <w:kern w:val="14"/>
      <w:sz w:val="17"/>
      <w:szCs w:val="26"/>
      <w:lang w:val="en-US" w:eastAsia="en-US" w:bidi="ar-SA"/>
    </w:rPr>
  </w:style>
  <w:style w:type="character" w:styleId="Emphasis">
    <w:name w:val="Emphasis"/>
    <w:qFormat/>
    <w:rsid w:val="00301882"/>
    <w:rPr>
      <w:rFonts w:cs="Times New Roman"/>
      <w:b/>
      <w:bCs/>
      <w:lang w:val="ar-SA"/>
    </w:rPr>
  </w:style>
  <w:style w:type="paragraph" w:customStyle="1" w:styleId="western">
    <w:name w:val="western"/>
    <w:basedOn w:val="Normal"/>
    <w:rsid w:val="00301882"/>
    <w:pPr>
      <w:spacing w:beforeLines="1" w:afterLines="1" w:line="240" w:lineRule="auto"/>
      <w:jc w:val="left"/>
    </w:pPr>
    <w:rPr>
      <w:rFonts w:ascii="Times" w:hAnsi="Times" w:cs="Times New Roman"/>
      <w:w w:val="100"/>
      <w:kern w:val="0"/>
      <w:szCs w:val="20"/>
      <w:lang w:val="ar-S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1810</Words>
  <Characters>10319</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Heyam Kawas</cp:lastModifiedBy>
  <cp:revision>8</cp:revision>
  <cp:lastPrinted>2010-12-30T21:20:00Z</cp:lastPrinted>
  <dcterms:created xsi:type="dcterms:W3CDTF">2010-12-30T21:14:00Z</dcterms:created>
  <dcterms:modified xsi:type="dcterms:W3CDTF">2011-01-17T13:11:00Z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1064609</vt:lpwstr>
  </property>
  <property fmtid="{D5CDD505-2E9C-101B-9397-08002B2CF9AE}" pid="3" name="Symbol1">
    <vt:lpwstr>CEDAW/C/KOR/Q/7</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مصطفى</vt:lpwstr>
  </property>
</Properties>
</file>