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425" w:rsidRDefault="00211425">
      <w:pPr>
        <w:spacing w:line="60" w:lineRule="exact"/>
        <w:rPr>
          <w:sz w:val="6"/>
        </w:rPr>
        <w:sectPr w:rsidR="00211425">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211425" w:rsidRDefault="00211425">
      <w:pPr>
        <w:spacing w:line="60" w:lineRule="exact"/>
        <w:rPr>
          <w:sz w:val="6"/>
        </w:rPr>
      </w:pPr>
    </w:p>
    <w:p w:rsidR="00211425" w:rsidRDefault="00211425">
      <w:pPr>
        <w:pStyle w:val="H1"/>
        <w:rPr>
          <w:rFonts w:hint="eastAsia"/>
        </w:rPr>
      </w:pPr>
      <w:r>
        <w:rPr>
          <w:rFonts w:hint="eastAsia"/>
        </w:rPr>
        <w:t>消除对妇女歧视委员会</w:t>
      </w:r>
    </w:p>
    <w:p w:rsidR="00211425" w:rsidRDefault="00211425">
      <w:pPr>
        <w:pStyle w:val="H23"/>
        <w:rPr>
          <w:rFonts w:hint="eastAsia"/>
        </w:rPr>
      </w:pPr>
      <w:r>
        <w:rPr>
          <w:rFonts w:hint="eastAsia"/>
        </w:rPr>
        <w:t>第二十八届会议</w:t>
      </w:r>
    </w:p>
    <w:p w:rsidR="00211425" w:rsidRDefault="00211425">
      <w:pPr>
        <w:spacing w:line="120" w:lineRule="exact"/>
        <w:rPr>
          <w:sz w:val="12"/>
        </w:rPr>
      </w:pPr>
    </w:p>
    <w:p w:rsidR="00211425" w:rsidRDefault="00211425">
      <w:pPr>
        <w:spacing w:line="120" w:lineRule="exact"/>
        <w:rPr>
          <w:sz w:val="10"/>
        </w:rPr>
      </w:pPr>
    </w:p>
    <w:p w:rsidR="00211425" w:rsidRDefault="00211425">
      <w:pPr>
        <w:pStyle w:val="H23"/>
        <w:rPr>
          <w:rFonts w:hint="eastAsia"/>
        </w:rPr>
      </w:pPr>
      <w:r>
        <w:rPr>
          <w:rFonts w:hint="eastAsia"/>
        </w:rPr>
        <w:t>第613次会议简要记录</w:t>
      </w:r>
    </w:p>
    <w:p w:rsidR="00211425" w:rsidRDefault="00211425">
      <w:pPr>
        <w:rPr>
          <w:rFonts w:hint="eastAsia"/>
        </w:rPr>
      </w:pPr>
      <w:r>
        <w:rPr>
          <w:rFonts w:hint="eastAsia"/>
        </w:rPr>
        <w:t>2003年7月2日，星期三，下午3时在纽约总部举行</w:t>
      </w:r>
    </w:p>
    <w:p w:rsidR="00211425" w:rsidRDefault="00211425">
      <w:pPr>
        <w:spacing w:line="120" w:lineRule="exact"/>
        <w:rPr>
          <w:rFonts w:hint="eastAsia"/>
          <w:sz w:val="10"/>
        </w:rPr>
      </w:pPr>
    </w:p>
    <w:p w:rsidR="00211425" w:rsidRDefault="00211425">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阿贾尔女士</w:t>
      </w:r>
    </w:p>
    <w:p w:rsidR="00211425" w:rsidRDefault="00211425">
      <w:pPr>
        <w:tabs>
          <w:tab w:val="left" w:pos="1267"/>
          <w:tab w:val="right" w:leader="dot" w:pos="8568"/>
        </w:tabs>
        <w:ind w:right="1267"/>
        <w:rPr>
          <w:rFonts w:hint="eastAsia"/>
          <w:color w:val="000000"/>
        </w:rPr>
      </w:pPr>
      <w:r>
        <w:rPr>
          <w:rFonts w:eastAsia="KaiTi_GB2312" w:hint="eastAsia"/>
          <w:color w:val="0000FF"/>
        </w:rPr>
        <w:t>后来</w:t>
      </w:r>
      <w:r>
        <w:rPr>
          <w:rFonts w:hint="eastAsia"/>
          <w:color w:val="000000"/>
        </w:rPr>
        <w:t>：</w:t>
      </w:r>
      <w:r>
        <w:rPr>
          <w:color w:val="000000"/>
        </w:rPr>
        <w:tab/>
      </w:r>
      <w:r>
        <w:rPr>
          <w:rFonts w:hint="eastAsia"/>
          <w:color w:val="000000"/>
        </w:rPr>
        <w:t>申女士(副主席)</w:t>
      </w:r>
    </w:p>
    <w:p w:rsidR="00211425" w:rsidRDefault="00211425">
      <w:pPr>
        <w:tabs>
          <w:tab w:val="left" w:pos="1267"/>
          <w:tab w:val="right" w:leader="dot" w:pos="8568"/>
        </w:tabs>
        <w:ind w:right="1267"/>
        <w:rPr>
          <w:color w:val="000000"/>
        </w:rPr>
      </w:pPr>
      <w:r>
        <w:rPr>
          <w:rFonts w:eastAsia="KaiTi_GB2312" w:hint="eastAsia"/>
          <w:color w:val="0000FF"/>
        </w:rPr>
        <w:t>后来</w:t>
      </w:r>
      <w:r>
        <w:rPr>
          <w:rFonts w:hint="eastAsia"/>
          <w:color w:val="000000"/>
        </w:rPr>
        <w:t>：</w:t>
      </w:r>
      <w:r>
        <w:rPr>
          <w:color w:val="000000"/>
        </w:rPr>
        <w:tab/>
      </w:r>
      <w:r>
        <w:rPr>
          <w:rFonts w:hint="eastAsia"/>
          <w:color w:val="000000"/>
        </w:rPr>
        <w:t>阿贾尔女士</w:t>
      </w:r>
    </w:p>
    <w:p w:rsidR="00211425" w:rsidRDefault="00211425">
      <w:pPr>
        <w:tabs>
          <w:tab w:val="left" w:pos="1267"/>
          <w:tab w:val="right" w:leader="dot" w:pos="8568"/>
        </w:tabs>
        <w:spacing w:line="120" w:lineRule="exact"/>
        <w:ind w:right="1267"/>
        <w:rPr>
          <w:color w:val="000000"/>
          <w:sz w:val="10"/>
        </w:rPr>
      </w:pPr>
    </w:p>
    <w:p w:rsidR="00211425" w:rsidRDefault="00211425">
      <w:pPr>
        <w:tabs>
          <w:tab w:val="left" w:pos="1267"/>
          <w:tab w:val="right" w:leader="dot" w:pos="8568"/>
        </w:tabs>
        <w:spacing w:line="120" w:lineRule="exact"/>
        <w:ind w:right="1267"/>
        <w:rPr>
          <w:color w:val="000000"/>
          <w:sz w:val="10"/>
        </w:rPr>
      </w:pPr>
    </w:p>
    <w:p w:rsidR="00211425" w:rsidRDefault="00211425">
      <w:pPr>
        <w:tabs>
          <w:tab w:val="left" w:pos="1267"/>
          <w:tab w:val="right" w:leader="dot" w:pos="8568"/>
        </w:tabs>
        <w:spacing w:line="120" w:lineRule="exact"/>
        <w:ind w:right="1267"/>
        <w:rPr>
          <w:color w:val="000000"/>
          <w:sz w:val="10"/>
        </w:rPr>
      </w:pPr>
    </w:p>
    <w:p w:rsidR="00211425" w:rsidRDefault="00211425">
      <w:pPr>
        <w:pStyle w:val="HCh"/>
        <w:rPr>
          <w:rFonts w:eastAsia="SimSun" w:hint="eastAsia"/>
        </w:rPr>
      </w:pPr>
      <w:r>
        <w:rPr>
          <w:rFonts w:eastAsia="SimSun" w:hint="eastAsia"/>
        </w:rPr>
        <w:t>目录</w:t>
      </w:r>
    </w:p>
    <w:p w:rsidR="00211425" w:rsidRDefault="00211425">
      <w:pPr>
        <w:pStyle w:val="HCh"/>
        <w:spacing w:line="240" w:lineRule="auto"/>
        <w:rPr>
          <w:rFonts w:eastAsia="SimSun"/>
          <w:sz w:val="14"/>
        </w:rPr>
      </w:pPr>
    </w:p>
    <w:p w:rsidR="00211425" w:rsidRDefault="00211425">
      <w:pPr>
        <w:pStyle w:val="SingleTxt"/>
        <w:rPr>
          <w:rFonts w:hint="eastAsia"/>
        </w:rPr>
      </w:pPr>
      <w:r>
        <w:rPr>
          <w:rFonts w:hint="eastAsia"/>
        </w:rPr>
        <w:t>审议缔约各国根据公约第十八条提交的报告（</w:t>
      </w:r>
      <w:r>
        <w:rPr>
          <w:rFonts w:ascii="KaiTi_GB2312" w:eastAsia="KaiTi_GB2312" w:hint="eastAsia"/>
          <w:color w:val="0000FF"/>
        </w:rPr>
        <w:t>续</w:t>
      </w:r>
      <w:r>
        <w:rPr>
          <w:rFonts w:hint="eastAsia"/>
        </w:rPr>
        <w:t>）</w:t>
      </w:r>
    </w:p>
    <w:p w:rsidR="00211425" w:rsidRDefault="00211425">
      <w:pPr>
        <w:pStyle w:val="SingleTxt"/>
        <w:rPr>
          <w:rFonts w:ascii="KaiTi_GB2312" w:eastAsia="KaiTi_GB2312" w:hint="eastAsia"/>
          <w:color w:val="0000FF"/>
        </w:rPr>
      </w:pPr>
      <w:r>
        <w:rPr>
          <w:rFonts w:hint="eastAsia"/>
        </w:rPr>
        <w:tab/>
      </w:r>
      <w:r>
        <w:rPr>
          <w:rFonts w:ascii="KaiTi_GB2312" w:eastAsia="KaiTi_GB2312" w:hint="eastAsia"/>
          <w:color w:val="0000FF"/>
        </w:rPr>
        <w:t>哥斯达黎加的合并初次、第二、第三和第四次定期报告（续）</w:t>
      </w:r>
    </w:p>
    <w:p w:rsidR="00211425" w:rsidRDefault="00211425">
      <w:pPr>
        <w:pStyle w:val="SingleTxt"/>
        <w:spacing w:after="0" w:line="100" w:lineRule="exact"/>
        <w:rPr>
          <w:rFonts w:ascii="KaiTi_GB2312" w:eastAsia="KaiTi_GB2312"/>
          <w:color w:val="0000FF"/>
        </w:rPr>
        <w:sectPr w:rsidR="00211425">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211425" w:rsidRDefault="00211425">
      <w:pPr>
        <w:pStyle w:val="DualTxt"/>
        <w:rPr>
          <w:rFonts w:ascii="KaiTi_GB2312" w:eastAsia="KaiTi_GB2312" w:hint="eastAsia"/>
          <w:color w:val="0000FF"/>
        </w:rPr>
      </w:pPr>
      <w:r>
        <w:rPr>
          <w:rFonts w:ascii="KaiTi_GB2312" w:eastAsia="KaiTi_GB2312" w:hint="eastAsia"/>
          <w:color w:val="0000FF"/>
        </w:rPr>
        <w:tab/>
        <w:t>下午3时05分举行会议</w:t>
      </w:r>
    </w:p>
    <w:p w:rsidR="00211425" w:rsidRDefault="00211425">
      <w:pPr>
        <w:pStyle w:val="DualTxt"/>
        <w:rPr>
          <w:rFonts w:hint="eastAsia"/>
        </w:rPr>
      </w:pPr>
      <w:r>
        <w:rPr>
          <w:rFonts w:ascii="SimHei" w:eastAsia="SimHei" w:hint="eastAsia"/>
          <w:color w:val="FF0000"/>
        </w:rPr>
        <w:t>审议缔约各国根据公约第十八条提交的报告</w:t>
      </w:r>
      <w:r>
        <w:rPr>
          <w:rFonts w:ascii="KaiTi_GB2312" w:eastAsia="KaiTi_GB2312" w:hint="eastAsia"/>
          <w:color w:val="0000FF"/>
        </w:rPr>
        <w:t>（续）</w:t>
      </w:r>
    </w:p>
    <w:p w:rsidR="00211425" w:rsidRDefault="00211425">
      <w:pPr>
        <w:pStyle w:val="DualTxt"/>
        <w:ind w:left="420"/>
        <w:rPr>
          <w:rFonts w:hint="eastAsia"/>
          <w:spacing w:val="-8"/>
        </w:rPr>
      </w:pPr>
      <w:r>
        <w:rPr>
          <w:rFonts w:ascii="KaiTi_GB2312" w:eastAsia="KaiTi_GB2312" w:hint="eastAsia"/>
          <w:color w:val="0000FF"/>
          <w:spacing w:val="-8"/>
        </w:rPr>
        <w:t>哥斯达黎加的合并初次、第二、第三和第四次定期报告（续)</w:t>
      </w:r>
      <w:r>
        <w:rPr>
          <w:rFonts w:hint="eastAsia"/>
          <w:spacing w:val="-8"/>
        </w:rPr>
        <w:t>(CEDAW/C/CRI/1-3和CEDAW/C/CRI/4)</w:t>
      </w:r>
    </w:p>
    <w:p w:rsidR="00211425" w:rsidRDefault="00211425">
      <w:pPr>
        <w:pStyle w:val="DualTxt"/>
        <w:rPr>
          <w:rFonts w:ascii="KaiTi_GB2312" w:eastAsia="KaiTi_GB2312" w:hint="eastAsia"/>
          <w:color w:val="0000FF"/>
        </w:rPr>
      </w:pPr>
      <w:r>
        <w:rPr>
          <w:rFonts w:ascii="KaiTi_GB2312" w:eastAsia="KaiTi_GB2312" w:hint="eastAsia"/>
          <w:color w:val="0000FF"/>
        </w:rPr>
        <w:t>第六条</w:t>
      </w:r>
    </w:p>
    <w:p w:rsidR="00211425" w:rsidRDefault="00211425">
      <w:pPr>
        <w:pStyle w:val="DualTxt"/>
        <w:rPr>
          <w:rFonts w:hint="eastAsia"/>
        </w:rPr>
      </w:pPr>
      <w:r>
        <w:rPr>
          <w:rFonts w:hint="eastAsia"/>
        </w:rPr>
        <w:t>1.</w:t>
      </w:r>
      <w:r>
        <w:rPr>
          <w:rFonts w:hint="eastAsia"/>
        </w:rPr>
        <w:tab/>
      </w:r>
      <w:r>
        <w:rPr>
          <w:rFonts w:ascii="SimHei" w:eastAsia="SimHei" w:hint="eastAsia"/>
          <w:b/>
          <w:bCs/>
          <w:color w:val="FF0000"/>
        </w:rPr>
        <w:t>Morvai</w:t>
      </w:r>
      <w:r>
        <w:rPr>
          <w:rFonts w:ascii="SimHei" w:eastAsia="SimHei" w:hint="eastAsia"/>
          <w:color w:val="FF0000"/>
        </w:rPr>
        <w:t>女士</w:t>
      </w:r>
      <w:r>
        <w:rPr>
          <w:rFonts w:hint="eastAsia"/>
        </w:rPr>
        <w:t>对第四次报告内提到内阁决议，规定在圣诞节和节日期间保证响应家庭暴力行为的受害者所提出给予帮助和特别保护的请求表示惊谔。她问过去是否已有这种做法，并说这些事例一向应予以优先处理。在这方面，她指出侵害者和受害妇女之间举行调解会议的做法(第198页)不符合委员会的一般建议19。除禁令外，是否通过任何措施，例如向男子提供集体咨询，以停止暴力和防止累犯行为？她还想知道婚姻强奸是否视为犯罪。关于把与未成年少女(第544段)发生性关系定罪的问题，她说她假定是指未满18岁的少女而言。</w:t>
      </w:r>
    </w:p>
    <w:p w:rsidR="00211425" w:rsidRDefault="00211425">
      <w:pPr>
        <w:pStyle w:val="DualTxt"/>
        <w:rPr>
          <w:rFonts w:hint="eastAsia"/>
        </w:rPr>
      </w:pPr>
      <w:r>
        <w:rPr>
          <w:rFonts w:hint="eastAsia"/>
        </w:rPr>
        <w:t>2.</w:t>
      </w:r>
      <w:r>
        <w:rPr>
          <w:rFonts w:hint="eastAsia"/>
        </w:rPr>
        <w:tab/>
        <w:t>她对有许多12至14岁少女怀孕感到震惊，并要求关于父亲年龄、采取措施防止未成年怀孕和对父亲提起法定强奸罪公诉的资料。关于卖淫和贩卖人口问题，她对似乎只是把重点放在儿童和少年表示美中不足(第95-97页)。她希望提供关于任何防止这些现象的法律、条例和政策及对这些罪行起诉的次数的更多资料。</w:t>
      </w:r>
    </w:p>
    <w:p w:rsidR="00211425" w:rsidRDefault="00211425">
      <w:pPr>
        <w:pStyle w:val="DualTxt"/>
        <w:rPr>
          <w:rFonts w:hint="eastAsia"/>
        </w:rPr>
      </w:pPr>
      <w:r>
        <w:rPr>
          <w:rFonts w:hint="eastAsia"/>
        </w:rPr>
        <w:t>3.</w:t>
      </w:r>
      <w:r>
        <w:rPr>
          <w:rFonts w:hint="eastAsia"/>
        </w:rPr>
        <w:tab/>
      </w:r>
      <w:r>
        <w:rPr>
          <w:rFonts w:ascii="SimHei" w:eastAsia="SimHei" w:hint="eastAsia"/>
          <w:b/>
          <w:bCs/>
          <w:color w:val="FF0000"/>
        </w:rPr>
        <w:t>Gonz</w:t>
      </w:r>
      <w:r>
        <w:rPr>
          <w:rFonts w:ascii="Times New Roman" w:eastAsia="SimHei"/>
          <w:b/>
          <w:bCs/>
          <w:color w:val="FF0000"/>
        </w:rPr>
        <w:t>á</w:t>
      </w:r>
      <w:r>
        <w:rPr>
          <w:rFonts w:ascii="SimHei" w:eastAsia="SimHei" w:hint="eastAsia"/>
          <w:b/>
          <w:bCs/>
          <w:color w:val="FF0000"/>
        </w:rPr>
        <w:t>lez Mart</w:t>
      </w:r>
      <w:r>
        <w:rPr>
          <w:rFonts w:ascii="Times New Roman" w:eastAsia="SimHei"/>
          <w:b/>
          <w:bCs/>
          <w:color w:val="FF0000"/>
        </w:rPr>
        <w:t>í</w:t>
      </w:r>
      <w:r>
        <w:rPr>
          <w:rFonts w:ascii="SimHei" w:eastAsia="SimHei" w:hint="eastAsia"/>
          <w:b/>
          <w:bCs/>
          <w:color w:val="FF0000"/>
        </w:rPr>
        <w:t>nez</w:t>
      </w:r>
      <w:r>
        <w:rPr>
          <w:rFonts w:ascii="SimHei" w:eastAsia="SimHei" w:hint="eastAsia"/>
          <w:color w:val="FF0000"/>
        </w:rPr>
        <w:t>女士</w:t>
      </w:r>
      <w:r>
        <w:rPr>
          <w:rFonts w:hint="eastAsia"/>
        </w:rPr>
        <w:t>建议适宜在一章内载列有关对妇女进行暴力的所有资料。虽然防止和消除对少女的性剥削方案固然重要，但也应有防止对男童的性剥削方案。应广泛开展不限于政府工作人员的全国提高意识运动，以消除这种性剥削和强调这对受害者的影响。应当提供关于街童受剥削的统计数字和应采取措施打击为性剥削，或为其他原因贩卖人口，包括成人及儿童的活动。</w:t>
      </w:r>
    </w:p>
    <w:p w:rsidR="00211425" w:rsidRDefault="00211425">
      <w:pPr>
        <w:pStyle w:val="DualTxt"/>
        <w:rPr>
          <w:rFonts w:ascii="KaiTi_GB2312" w:eastAsia="KaiTi_GB2312" w:hint="eastAsia"/>
          <w:color w:val="0000FF"/>
        </w:rPr>
      </w:pPr>
      <w:r>
        <w:rPr>
          <w:rFonts w:ascii="KaiTi_GB2312" w:eastAsia="KaiTi_GB2312" w:hint="eastAsia"/>
          <w:color w:val="0000FF"/>
        </w:rPr>
        <w:t>第七条</w:t>
      </w:r>
    </w:p>
    <w:p w:rsidR="00211425" w:rsidRDefault="00211425">
      <w:pPr>
        <w:pStyle w:val="DualTxt"/>
        <w:rPr>
          <w:rFonts w:hint="eastAsia"/>
        </w:rPr>
      </w:pPr>
      <w:r>
        <w:rPr>
          <w:rFonts w:hint="eastAsia"/>
        </w:rPr>
        <w:t>4.</w:t>
      </w:r>
      <w:r>
        <w:rPr>
          <w:rFonts w:hint="eastAsia"/>
        </w:rPr>
        <w:tab/>
      </w:r>
      <w:r>
        <w:rPr>
          <w:rFonts w:ascii="SimHei" w:eastAsia="SimHei" w:hint="eastAsia"/>
          <w:b/>
          <w:bCs/>
          <w:color w:val="FF0000"/>
        </w:rPr>
        <w:t>Tavares da Silva</w:t>
      </w:r>
      <w:r>
        <w:rPr>
          <w:rFonts w:ascii="SimHei" w:eastAsia="SimHei" w:hint="eastAsia"/>
          <w:color w:val="FF0000"/>
        </w:rPr>
        <w:t>女士</w:t>
      </w:r>
      <w:r>
        <w:rPr>
          <w:rFonts w:hint="eastAsia"/>
        </w:rPr>
        <w:t>说在妇女参政方面取得的显著进展证明政府在保守社会中促进妇女权利的政治意愿。哥斯达黎加的榜样和所吸取的教训，别人可资借鉴。不过，她想知道是否制订任何措施，在地方一级增加女性市长的人数。她还想知道司法部门担任高层职位的女性寥寥无几，是否因妇女资浅或难以晋级所致。</w:t>
      </w:r>
    </w:p>
    <w:p w:rsidR="00211425" w:rsidRDefault="00211425">
      <w:pPr>
        <w:pStyle w:val="DualTxt"/>
        <w:rPr>
          <w:rFonts w:hint="eastAsia"/>
        </w:rPr>
      </w:pPr>
      <w:r>
        <w:rPr>
          <w:rFonts w:hint="eastAsia"/>
        </w:rPr>
        <w:t>5.</w:t>
      </w:r>
      <w:r>
        <w:rPr>
          <w:rFonts w:hint="eastAsia"/>
        </w:rPr>
        <w:tab/>
        <w:t>国家妇女研究所就选举法典改革法案所建议的选举改革措施载列许多措施，例如轮换男女候选人、无性别歧视的语文、为培训妇女提供资金和以性别分列的统计，以促进妇女的公平任职情况。第四次定期报告的表6表明在大机构高层任职的妇女人数较少，她要求更多关于工会、社团和合作社及私人经济部门高层妇女代表的资料。最后，关于选举法典第四十八条(第285段)使用在与男子“平等和同等的条件下”的措辞，她强调重点应放在男女之间充分平等和分享权力，而不仅是平等而已。</w:t>
      </w:r>
    </w:p>
    <w:p w:rsidR="00211425" w:rsidRDefault="00211425">
      <w:pPr>
        <w:pStyle w:val="DualTxt"/>
        <w:spacing w:after="200" w:line="340" w:lineRule="exact"/>
        <w:rPr>
          <w:rFonts w:hint="eastAsia"/>
        </w:rPr>
      </w:pPr>
      <w:r>
        <w:rPr>
          <w:rFonts w:hint="eastAsia"/>
        </w:rPr>
        <w:t>6.</w:t>
      </w:r>
      <w:r>
        <w:rPr>
          <w:rFonts w:hint="eastAsia"/>
        </w:rPr>
        <w:tab/>
      </w:r>
      <w:r>
        <w:rPr>
          <w:rFonts w:ascii="SimHei" w:eastAsia="SimHei" w:hint="eastAsia"/>
          <w:b/>
          <w:bCs/>
          <w:color w:val="FF0000"/>
        </w:rPr>
        <w:t>Belmihoub-Zerdani</w:t>
      </w:r>
      <w:r>
        <w:rPr>
          <w:rFonts w:ascii="SimHei" w:eastAsia="SimHei" w:hint="eastAsia"/>
          <w:color w:val="FF0000"/>
        </w:rPr>
        <w:t>女士</w:t>
      </w:r>
      <w:r>
        <w:rPr>
          <w:rFonts w:hint="eastAsia"/>
        </w:rPr>
        <w:t>欢迎妇女参政人数显著增加，但指出应再接再厉，提高警惕保证长期保持注意和高参政率。男女候选人交替机制(第264段)是保证妇女的公平代表情况的最佳办法，但她指出应继续对当局施加压力，以确保在各地区和各级妇女获得任命非选举职位的公平配额，特别加大在区域一级的影响力。也应当借助媒介作为促进妇女权利的有力工具，这会导致甚至更显著的进展。在哥斯达黎加妇女境况甚至可作为榜样，供联合国借鉴。</w:t>
      </w:r>
    </w:p>
    <w:p w:rsidR="00211425" w:rsidRDefault="00211425">
      <w:pPr>
        <w:pStyle w:val="DualTxt"/>
        <w:spacing w:after="240" w:line="340" w:lineRule="exact"/>
        <w:rPr>
          <w:rFonts w:hint="eastAsia"/>
        </w:rPr>
      </w:pPr>
      <w:r>
        <w:rPr>
          <w:rFonts w:hint="eastAsia"/>
        </w:rPr>
        <w:t>7.</w:t>
      </w:r>
      <w:r>
        <w:rPr>
          <w:rFonts w:hint="eastAsia"/>
        </w:rPr>
        <w:tab/>
        <w:t>申女士(副主席)就座。</w:t>
      </w:r>
    </w:p>
    <w:p w:rsidR="00211425" w:rsidRDefault="00211425">
      <w:pPr>
        <w:pStyle w:val="DualTxt"/>
        <w:spacing w:after="240" w:line="340" w:lineRule="exact"/>
        <w:rPr>
          <w:rFonts w:hint="eastAsia"/>
        </w:rPr>
      </w:pPr>
      <w:r>
        <w:rPr>
          <w:rFonts w:hint="eastAsia"/>
        </w:rPr>
        <w:t>8.</w:t>
      </w:r>
      <w:r>
        <w:rPr>
          <w:rFonts w:hint="eastAsia"/>
        </w:rPr>
        <w:tab/>
      </w:r>
      <w:r>
        <w:rPr>
          <w:rFonts w:ascii="SimHei" w:eastAsia="SimHei" w:hint="eastAsia"/>
          <w:b/>
          <w:bCs/>
          <w:color w:val="FF0000"/>
        </w:rPr>
        <w:t>Gaspard</w:t>
      </w:r>
      <w:r>
        <w:rPr>
          <w:rFonts w:ascii="SimHei" w:eastAsia="SimHei" w:hint="eastAsia"/>
          <w:color w:val="FF0000"/>
        </w:rPr>
        <w:t>女士</w:t>
      </w:r>
      <w:r>
        <w:rPr>
          <w:rFonts w:hint="eastAsia"/>
        </w:rPr>
        <w:t>问是否对不遵守促进妇女社会平等选举法典和法令中妇女代表权的法规的党派实施制裁，尤其涉及其内部结构；例如，可否减少其公共资金、它们获得多少资金和是否有机制监督其使用。虽然她欢迎向党派拨款用于培训妇女，她说男子也会从培训受益。她赞同选举法典改革法案中的措施，规定40％的要职由妇女担任，但问这如何实行和可否期望政党遵守此规定。她问法案尚未通过，是否意味着有人反对这些措施。</w:t>
      </w:r>
    </w:p>
    <w:p w:rsidR="00211425" w:rsidRDefault="00211425">
      <w:pPr>
        <w:pStyle w:val="DualTxt"/>
        <w:rPr>
          <w:rFonts w:ascii="KaiTi_GB2312" w:eastAsia="KaiTi_GB2312" w:hint="eastAsia"/>
          <w:color w:val="0000FF"/>
        </w:rPr>
      </w:pPr>
      <w:r>
        <w:rPr>
          <w:rFonts w:ascii="KaiTi_GB2312" w:eastAsia="KaiTi_GB2312" w:hint="eastAsia"/>
          <w:color w:val="0000FF"/>
        </w:rPr>
        <w:t>第八条</w:t>
      </w:r>
    </w:p>
    <w:p w:rsidR="00211425" w:rsidRDefault="00211425">
      <w:pPr>
        <w:pStyle w:val="DualTxt"/>
        <w:spacing w:after="120"/>
        <w:rPr>
          <w:rFonts w:hint="eastAsia"/>
        </w:rPr>
      </w:pPr>
      <w:r>
        <w:rPr>
          <w:rFonts w:hint="eastAsia"/>
        </w:rPr>
        <w:t>9.</w:t>
      </w:r>
      <w:r>
        <w:rPr>
          <w:rFonts w:hint="eastAsia"/>
        </w:rPr>
        <w:tab/>
      </w:r>
      <w:r>
        <w:rPr>
          <w:rFonts w:ascii="SimHei" w:eastAsia="SimHei" w:hint="eastAsia"/>
          <w:b/>
          <w:bCs/>
          <w:color w:val="FF0000"/>
        </w:rPr>
        <w:t>Gabr</w:t>
      </w:r>
      <w:r>
        <w:rPr>
          <w:rFonts w:ascii="SimHei" w:eastAsia="SimHei" w:hint="eastAsia"/>
          <w:color w:val="FF0000"/>
        </w:rPr>
        <w:t>女士</w:t>
      </w:r>
      <w:r>
        <w:rPr>
          <w:rFonts w:hint="eastAsia"/>
        </w:rPr>
        <w:t>欢迎按第四次报告表7(第118页)，在外交部门任职的妇女有所增加，虽然该表包括外交工作人员、名誉领事、行政和支助工作人员。下次报告应着重于在外交使团任职的妇女人数，并应当提供关于出席国际会议的哥斯达黎加代表团中妇女代表情况的资料。最后，关于第四次报告第120页的标题，她说实际目标不是在外交使团和贸易团代表中争取公平，而是实现充分两性平等。</w:t>
      </w:r>
    </w:p>
    <w:p w:rsidR="00211425" w:rsidRDefault="00211425">
      <w:pPr>
        <w:pStyle w:val="DualTxt"/>
        <w:spacing w:after="120"/>
        <w:rPr>
          <w:rFonts w:hint="eastAsia"/>
        </w:rPr>
      </w:pPr>
      <w:r>
        <w:rPr>
          <w:rFonts w:hint="eastAsia"/>
        </w:rPr>
        <w:t>10.</w:t>
      </w:r>
      <w:r>
        <w:rPr>
          <w:rFonts w:hint="eastAsia"/>
        </w:rPr>
        <w:tab/>
      </w:r>
      <w:r>
        <w:rPr>
          <w:rFonts w:ascii="SimHei" w:eastAsia="SimHei" w:hint="eastAsia"/>
          <w:b/>
          <w:bCs/>
          <w:color w:val="FF0000"/>
        </w:rPr>
        <w:t>Kapalata</w:t>
      </w:r>
      <w:r>
        <w:rPr>
          <w:rFonts w:ascii="SimHei" w:eastAsia="SimHei" w:hint="eastAsia"/>
          <w:color w:val="FF0000"/>
        </w:rPr>
        <w:t>女士</w:t>
      </w:r>
      <w:r>
        <w:rPr>
          <w:rFonts w:hint="eastAsia"/>
        </w:rPr>
        <w:t>欢迎哥斯达黎加无保留批准公约，这是政府促进妇女权利的政治意愿的迹象。她还要求关于用于增加在外交部任职妇女的机制的资料，并希望五年内可实现平等。她还要求更多涉及妇女参加外交事务的资料。</w:t>
      </w:r>
    </w:p>
    <w:p w:rsidR="00211425" w:rsidRDefault="00211425">
      <w:pPr>
        <w:pStyle w:val="DualTxt"/>
        <w:spacing w:after="120"/>
        <w:rPr>
          <w:rFonts w:ascii="KaiTi_GB2312" w:eastAsia="KaiTi_GB2312" w:hint="eastAsia"/>
          <w:color w:val="0000FF"/>
        </w:rPr>
      </w:pPr>
      <w:r>
        <w:rPr>
          <w:rFonts w:ascii="KaiTi_GB2312" w:eastAsia="KaiTi_GB2312" w:hint="eastAsia"/>
          <w:color w:val="0000FF"/>
        </w:rPr>
        <w:t>第九条</w:t>
      </w:r>
    </w:p>
    <w:p w:rsidR="00211425" w:rsidRDefault="00211425">
      <w:pPr>
        <w:pStyle w:val="DualTxt"/>
        <w:spacing w:after="120"/>
        <w:rPr>
          <w:rFonts w:hint="eastAsia"/>
        </w:rPr>
      </w:pPr>
      <w:r>
        <w:rPr>
          <w:rFonts w:hint="eastAsia"/>
        </w:rPr>
        <w:t>11.</w:t>
      </w:r>
      <w:r>
        <w:rPr>
          <w:rFonts w:hint="eastAsia"/>
        </w:rPr>
        <w:tab/>
      </w:r>
      <w:r>
        <w:rPr>
          <w:rFonts w:ascii="SimHei" w:eastAsia="SimHei" w:hint="eastAsia"/>
          <w:b/>
          <w:bCs/>
          <w:color w:val="FF0000"/>
        </w:rPr>
        <w:t>Manalo</w:t>
      </w:r>
      <w:r>
        <w:rPr>
          <w:rFonts w:ascii="SimHei" w:eastAsia="SimHei" w:hint="eastAsia"/>
          <w:color w:val="FF0000"/>
        </w:rPr>
        <w:t>女士</w:t>
      </w:r>
      <w:r>
        <w:rPr>
          <w:rFonts w:hint="eastAsia"/>
        </w:rPr>
        <w:t>注意到有许多移民妇女，尤其尼加拉瓜人在哥斯达黎加，并指出宪法给予所有居民享有平等待遇和社会服务的权利。移民妇女容易受虐待和剥削，她问何时会制订明确政策来处理此情况；问题是政治意愿、体制意愿或缺乏专门技能？她要求澄清难民和经济移民的法律地位和改善其处境的任何法律或措施。</w:t>
      </w:r>
    </w:p>
    <w:p w:rsidR="00211425" w:rsidRDefault="00211425">
      <w:pPr>
        <w:pStyle w:val="DualTxt"/>
        <w:rPr>
          <w:rFonts w:ascii="KaiTi_GB2312" w:eastAsia="KaiTi_GB2312" w:hint="eastAsia"/>
          <w:color w:val="0000FF"/>
        </w:rPr>
      </w:pPr>
      <w:r>
        <w:rPr>
          <w:rFonts w:ascii="KaiTi_GB2312" w:eastAsia="KaiTi_GB2312" w:hint="eastAsia"/>
          <w:color w:val="0000FF"/>
        </w:rPr>
        <w:t>第十条</w:t>
      </w:r>
    </w:p>
    <w:p w:rsidR="00211425" w:rsidRDefault="00211425">
      <w:pPr>
        <w:pStyle w:val="DualTxt"/>
        <w:spacing w:after="120"/>
        <w:rPr>
          <w:rFonts w:hint="eastAsia"/>
        </w:rPr>
      </w:pPr>
      <w:r>
        <w:rPr>
          <w:rFonts w:hint="eastAsia"/>
        </w:rPr>
        <w:t>12.</w:t>
      </w:r>
      <w:r>
        <w:rPr>
          <w:rFonts w:hint="eastAsia"/>
        </w:rPr>
        <w:tab/>
      </w:r>
      <w:r>
        <w:rPr>
          <w:rFonts w:ascii="SimHei" w:eastAsia="SimHei" w:hint="eastAsia"/>
          <w:b/>
          <w:bCs/>
          <w:color w:val="FF0000"/>
        </w:rPr>
        <w:t>Achmad</w:t>
      </w:r>
      <w:r>
        <w:rPr>
          <w:rFonts w:ascii="SimHei" w:eastAsia="SimHei" w:hint="eastAsia"/>
          <w:color w:val="FF0000"/>
        </w:rPr>
        <w:t>女士</w:t>
      </w:r>
      <w:r>
        <w:rPr>
          <w:rFonts w:hint="eastAsia"/>
        </w:rPr>
        <w:t>说有人反对教师行业两性平等的目标。她问政府是否计划把将性别观点纳入师范课程的主流，以提高教师对问题的意识和赋予新教师处理性别问题的权力。她要求关于在什麽程度上教师准备使用提倡男女平等手册或改编更多传统教材以纳入性别问题。</w:t>
      </w:r>
    </w:p>
    <w:p w:rsidR="00211425" w:rsidRDefault="00211425">
      <w:pPr>
        <w:pStyle w:val="DualTxt"/>
        <w:spacing w:after="120"/>
        <w:rPr>
          <w:rFonts w:hint="eastAsia"/>
        </w:rPr>
      </w:pPr>
      <w:r>
        <w:rPr>
          <w:rFonts w:hint="eastAsia"/>
        </w:rPr>
        <w:t>13.</w:t>
      </w:r>
      <w:r>
        <w:rPr>
          <w:rFonts w:hint="eastAsia"/>
        </w:rPr>
        <w:tab/>
        <w:t>还应保证将性别观点纳入执法当局的警察、检察官和法官培训机构，以保证遵守公约的各项规定。非政府组织可帮助排除社区对解决性别问题的拒力和政府应当促进与传统、文化和宗教领袖的对话。</w:t>
      </w:r>
    </w:p>
    <w:p w:rsidR="00211425" w:rsidRDefault="00211425">
      <w:pPr>
        <w:pStyle w:val="DualTxt"/>
        <w:rPr>
          <w:rFonts w:hint="eastAsia"/>
        </w:rPr>
      </w:pPr>
      <w:r>
        <w:rPr>
          <w:rFonts w:hint="eastAsia"/>
        </w:rPr>
        <w:t>14.</w:t>
      </w:r>
      <w:r>
        <w:rPr>
          <w:rFonts w:hint="eastAsia"/>
        </w:rPr>
        <w:tab/>
        <w:t>父母也应了解分担父母责任的道德和法律义务，作为他们对各自和后代的承诺的一部分。《联合国人权教育十年》是个增进对公约作为哥斯达黎加批准的一项人权文书的良机，尤其缔约国早已无保留批准公约和其任择议定书。</w:t>
      </w:r>
    </w:p>
    <w:p w:rsidR="00211425" w:rsidRDefault="00211425">
      <w:pPr>
        <w:pStyle w:val="DualTxt"/>
        <w:rPr>
          <w:rFonts w:hint="eastAsia"/>
        </w:rPr>
      </w:pPr>
      <w:r>
        <w:rPr>
          <w:rFonts w:hint="eastAsia"/>
        </w:rPr>
        <w:t>15.</w:t>
      </w:r>
      <w:r>
        <w:rPr>
          <w:rFonts w:hint="eastAsia"/>
        </w:rPr>
        <w:tab/>
      </w:r>
      <w:r>
        <w:rPr>
          <w:rFonts w:ascii="SimHei" w:eastAsia="SimHei" w:hint="eastAsia"/>
          <w:b/>
          <w:bCs/>
          <w:color w:val="FF0000"/>
        </w:rPr>
        <w:t>Manalo</w:t>
      </w:r>
      <w:r>
        <w:rPr>
          <w:rFonts w:ascii="SimHei" w:eastAsia="SimHei" w:hint="eastAsia"/>
          <w:color w:val="FF0000"/>
        </w:rPr>
        <w:t>女士</w:t>
      </w:r>
      <w:r>
        <w:rPr>
          <w:rFonts w:hint="eastAsia"/>
        </w:rPr>
        <w:t>说她赞扬哥斯达黎加促进妇女接受教育：目前中学生中妇女和少女人数多于男性。不过，她想知道正在采取什麽措施鼓励男女儿童修非传统课程。女孩由女教师教导和男孩由男教师教导的做法无助于使女孩进入传统上以男性为主的领域。她了解学校行政部门中没有妇女担任决策职位，是否真正如此？如真是这样，她想知道哥斯达黎加采取何种措施促进妇女担任这些职位。</w:t>
      </w:r>
    </w:p>
    <w:p w:rsidR="00211425" w:rsidRDefault="00211425">
      <w:pPr>
        <w:pStyle w:val="DualTxt"/>
        <w:rPr>
          <w:rFonts w:hint="eastAsia"/>
        </w:rPr>
      </w:pPr>
      <w:r>
        <w:rPr>
          <w:rFonts w:hint="eastAsia"/>
        </w:rPr>
        <w:t>16.</w:t>
      </w:r>
      <w:r>
        <w:rPr>
          <w:rFonts w:hint="eastAsia"/>
        </w:rPr>
        <w:tab/>
        <w:t>她还想知道政府根据公约采取什麽步骤在学校提供性教育，并采取什麽措施向年轻残疾人，尤其女孩灌输适当教育。</w:t>
      </w:r>
    </w:p>
    <w:p w:rsidR="00211425" w:rsidRDefault="00211425">
      <w:pPr>
        <w:pStyle w:val="DualTxt"/>
        <w:rPr>
          <w:rFonts w:ascii="KaiTi_GB2312" w:eastAsia="KaiTi_GB2312" w:hint="eastAsia"/>
          <w:color w:val="0000FF"/>
        </w:rPr>
      </w:pPr>
      <w:r>
        <w:rPr>
          <w:rFonts w:ascii="KaiTi_GB2312" w:eastAsia="KaiTi_GB2312" w:hint="eastAsia"/>
          <w:color w:val="0000FF"/>
        </w:rPr>
        <w:t>第十一条</w:t>
      </w:r>
    </w:p>
    <w:p w:rsidR="00211425" w:rsidRDefault="00211425">
      <w:pPr>
        <w:pStyle w:val="DualTxt"/>
        <w:rPr>
          <w:rFonts w:hint="eastAsia"/>
        </w:rPr>
      </w:pPr>
      <w:r>
        <w:rPr>
          <w:rFonts w:hint="eastAsia"/>
        </w:rPr>
        <w:t>17.</w:t>
      </w:r>
      <w:r>
        <w:rPr>
          <w:rFonts w:hint="eastAsia"/>
        </w:rPr>
        <w:tab/>
      </w:r>
      <w:r>
        <w:rPr>
          <w:rFonts w:ascii="SimHei" w:eastAsia="SimHei" w:hint="eastAsia"/>
          <w:b/>
          <w:bCs/>
          <w:color w:val="FF0000"/>
        </w:rPr>
        <w:t>Khan</w:t>
      </w:r>
      <w:r>
        <w:rPr>
          <w:rFonts w:ascii="SimHei" w:eastAsia="SimHei" w:hint="eastAsia"/>
          <w:color w:val="FF0000"/>
        </w:rPr>
        <w:t>女士</w:t>
      </w:r>
      <w:r>
        <w:rPr>
          <w:rFonts w:hint="eastAsia"/>
        </w:rPr>
        <w:t>说，她想知道为何家庭劳动者的工资很低，她们的工作时间较其他工人的长得多和不享有其他工人所得到的福利。她问按劳工法典家庭劳动者是否属于特别类别，或仅是被视为非正式部门的一部分。她还想知道农业工人的工资是如何确定，他们是否享有社会保障和失业津贴。此外，特别想了解农业女工是否与男工同工同酬，并且这方面存在性别歧视和移民女工和当地工人之间的待遇是否有差别。</w:t>
      </w:r>
    </w:p>
    <w:p w:rsidR="00211425" w:rsidRDefault="00211425">
      <w:pPr>
        <w:pStyle w:val="DualTxt"/>
        <w:rPr>
          <w:rFonts w:hint="eastAsia"/>
        </w:rPr>
      </w:pPr>
      <w:r>
        <w:rPr>
          <w:rFonts w:hint="eastAsia"/>
        </w:rPr>
        <w:t>18.</w:t>
      </w:r>
      <w:r>
        <w:rPr>
          <w:rFonts w:hint="eastAsia"/>
        </w:rPr>
        <w:tab/>
        <w:t>此外，在合并初次、第二和第三次报告第357段讨论的两性平等法草案，探讨了工龄、夜间工作问题，但对平等机会措施只字不提。她想知道如何和在什麽基础上，国家工资委员会确定最低年龄，有什麽机制监测执行该工资制度，并如不予以执行，就实施什麽惩罚。</w:t>
      </w:r>
    </w:p>
    <w:p w:rsidR="00211425" w:rsidRDefault="00211425">
      <w:pPr>
        <w:pStyle w:val="DualTxt"/>
        <w:rPr>
          <w:rFonts w:hint="eastAsia"/>
        </w:rPr>
      </w:pPr>
      <w:r>
        <w:rPr>
          <w:rFonts w:hint="eastAsia"/>
        </w:rPr>
        <w:t>19.</w:t>
      </w:r>
      <w:r>
        <w:rPr>
          <w:rFonts w:hint="eastAsia"/>
        </w:rPr>
        <w:tab/>
        <w:t>她还想知道妇女劳工权利机构间委员会的具体任务，并特别是它如何促进妇女的劳工权利。最后，她询问在非正式部门工作的妇女可获得那些托儿所的服务。</w:t>
      </w:r>
    </w:p>
    <w:p w:rsidR="00211425" w:rsidRDefault="00211425">
      <w:pPr>
        <w:pStyle w:val="DualTxt"/>
        <w:spacing w:after="240"/>
        <w:rPr>
          <w:rFonts w:hint="eastAsia"/>
        </w:rPr>
      </w:pPr>
      <w:r>
        <w:rPr>
          <w:rFonts w:hint="eastAsia"/>
        </w:rPr>
        <w:t>20.</w:t>
      </w:r>
      <w:r>
        <w:rPr>
          <w:rFonts w:hint="eastAsia"/>
        </w:rPr>
        <w:tab/>
      </w:r>
      <w:r>
        <w:rPr>
          <w:rFonts w:ascii="SimHei" w:eastAsia="SimHei" w:hint="eastAsia"/>
          <w:b/>
          <w:bCs/>
          <w:color w:val="FF0000"/>
        </w:rPr>
        <w:t>Patten</w:t>
      </w:r>
      <w:r>
        <w:rPr>
          <w:rFonts w:ascii="SimHei" w:eastAsia="SimHei" w:hint="eastAsia"/>
          <w:color w:val="FF0000"/>
        </w:rPr>
        <w:t>女士</w:t>
      </w:r>
      <w:r>
        <w:rPr>
          <w:rFonts w:hint="eastAsia"/>
        </w:rPr>
        <w:t>问妇女事务部是否和在什麽程度上得到劳工和社会保险部的支助，和这些部是否密切合作。她还想知道哥斯达黎加批准了那些国际劳工组织(劳工组织)的公约，尤其是否已批准2000年《保护产妇公约》(第183号)。此外，她还想知道是否有公共和私人部门任职男女的人数。</w:t>
      </w:r>
    </w:p>
    <w:p w:rsidR="00211425" w:rsidRDefault="00211425">
      <w:pPr>
        <w:pStyle w:val="DualTxt"/>
        <w:spacing w:after="240"/>
      </w:pPr>
      <w:r>
        <w:rPr>
          <w:rFonts w:hint="eastAsia"/>
        </w:rPr>
        <w:t>21.</w:t>
      </w:r>
      <w:r>
        <w:rPr>
          <w:rFonts w:hint="eastAsia"/>
        </w:rPr>
        <w:tab/>
        <w:t>第四次报告第347段表9指出在社区和社会事务部门工作的哥斯达黎加妇女占42％，在商业部门占27％；缔约国应确切说明这些类别的意义。 她还要求关于《妇女、工作和就业国家政策议程》和《中美洲倡议》的进展和执行情况以及关于例如住房凭单及微额信贷设施的直接援助方案的详情。</w:t>
      </w:r>
    </w:p>
    <w:p w:rsidR="00211425" w:rsidRDefault="00211425">
      <w:pPr>
        <w:pStyle w:val="DualTxt"/>
        <w:spacing w:after="240"/>
      </w:pPr>
      <w:r>
        <w:rPr>
          <w:rFonts w:hint="eastAsia"/>
        </w:rPr>
        <w:t>22.</w:t>
      </w:r>
      <w:r>
        <w:rPr>
          <w:rFonts w:hint="eastAsia"/>
        </w:rPr>
        <w:tab/>
        <w:t>报告第408至第412段的讨论充满良好意愿。不过，她想知道哥斯达黎加打算采取什么具体措施以方便妇女取得资源、就业、进入市场和经营贸易，并促进她们从事非常熟练的工作及担任高级管理职位。最后，她问政府是否打算根据公约第四条第一款在中短期采取临时特别措施。</w:t>
      </w:r>
    </w:p>
    <w:p w:rsidR="00211425" w:rsidRDefault="00211425">
      <w:pPr>
        <w:pStyle w:val="DualTxt"/>
        <w:spacing w:after="240"/>
      </w:pPr>
      <w:r>
        <w:rPr>
          <w:rFonts w:hint="eastAsia"/>
        </w:rPr>
        <w:t>23.</w:t>
      </w:r>
      <w:r>
        <w:rPr>
          <w:rFonts w:hint="eastAsia"/>
        </w:rPr>
        <w:tab/>
      </w:r>
      <w:r>
        <w:rPr>
          <w:rFonts w:ascii="SimHei" w:eastAsia="SimHei" w:hint="eastAsia"/>
          <w:b/>
          <w:bCs/>
          <w:color w:val="FF0000"/>
        </w:rPr>
        <w:t>Ferrer G</w:t>
      </w:r>
      <w:r>
        <w:rPr>
          <w:rFonts w:ascii="Times New Roman" w:eastAsia="SimHei"/>
          <w:b/>
          <w:bCs/>
          <w:color w:val="FF0000"/>
        </w:rPr>
        <w:t>ó</w:t>
      </w:r>
      <w:r>
        <w:rPr>
          <w:rFonts w:ascii="SimHei" w:eastAsia="SimHei" w:hint="eastAsia"/>
          <w:b/>
          <w:bCs/>
          <w:color w:val="FF0000"/>
        </w:rPr>
        <w:t>mez</w:t>
      </w:r>
      <w:r>
        <w:rPr>
          <w:rFonts w:ascii="SimHei" w:eastAsia="SimHei" w:hint="eastAsia"/>
          <w:color w:val="FF0000"/>
        </w:rPr>
        <w:t>女士</w:t>
      </w:r>
      <w:r>
        <w:rPr>
          <w:rFonts w:hint="eastAsia"/>
        </w:rPr>
        <w:t>注意到代表团的意见，必须致力消除自由贸易协定对妇女工作和生活质量的不利影响。这些协定是什么？该代表团认为可采取什么行动以消除这些影响？</w:t>
      </w:r>
    </w:p>
    <w:p w:rsidR="00211425" w:rsidRDefault="00211425">
      <w:pPr>
        <w:pStyle w:val="DualTxt"/>
        <w:spacing w:after="240"/>
      </w:pPr>
      <w:r>
        <w:rPr>
          <w:rFonts w:hint="eastAsia"/>
        </w:rPr>
        <w:t>24.</w:t>
      </w:r>
      <w:r>
        <w:rPr>
          <w:rFonts w:hint="eastAsia"/>
        </w:rPr>
        <w:tab/>
        <w:t>此外，她想知道《妇女、工作和就业国家政策议程》的结果，尤其政府是否评价其五个战略成分的影响。她还想知道劳动和社会保障部的部级性别股有什么影响，并且是否进行评价和采取后续行动。</w:t>
      </w:r>
    </w:p>
    <w:p w:rsidR="00211425" w:rsidRDefault="00211425">
      <w:pPr>
        <w:pStyle w:val="DualTxt"/>
        <w:spacing w:after="240" w:line="340" w:lineRule="exact"/>
      </w:pPr>
      <w:r>
        <w:rPr>
          <w:rFonts w:hint="eastAsia"/>
        </w:rPr>
        <w:t>25.</w:t>
      </w:r>
      <w:r>
        <w:rPr>
          <w:rFonts w:hint="eastAsia"/>
        </w:rPr>
        <w:tab/>
        <w:t>第四次定期报告第376段指出旨在使家庭就业制度较符合最低工资标准的法律改革，因立法附加条款而被否决。她了解家务女劳动者协会后来要求通过可改革有关法律的法案。家务劳动者包括80 000名妇女和70 000名女孩，其中有许多尼加拉瓜移民。政府对此事项持什么立场？</w:t>
      </w:r>
    </w:p>
    <w:p w:rsidR="00211425" w:rsidRDefault="00211425">
      <w:pPr>
        <w:pStyle w:val="DualTxt"/>
        <w:spacing w:after="240"/>
      </w:pPr>
      <w:r>
        <w:rPr>
          <w:rFonts w:hint="eastAsia"/>
        </w:rPr>
        <w:t>26.</w:t>
      </w:r>
      <w:r>
        <w:rPr>
          <w:rFonts w:hint="eastAsia"/>
        </w:rPr>
        <w:tab/>
        <w:t>最后，她想知道女性的劳工权利是否与男子的不同，并如何不同，因为按照妇女组织，妇女不认为劳工法律可帮助她们。</w:t>
      </w:r>
    </w:p>
    <w:p w:rsidR="00211425" w:rsidRDefault="00211425">
      <w:pPr>
        <w:pStyle w:val="DualTxt"/>
        <w:rPr>
          <w:rFonts w:ascii="KaiTi_GB2312" w:eastAsia="KaiTi_GB2312" w:hint="eastAsia"/>
          <w:color w:val="0000FF"/>
        </w:rPr>
      </w:pPr>
      <w:r>
        <w:rPr>
          <w:rFonts w:ascii="KaiTi_GB2312" w:eastAsia="KaiTi_GB2312" w:hint="eastAsia"/>
          <w:color w:val="0000FF"/>
        </w:rPr>
        <w:t>第十二条</w:t>
      </w:r>
    </w:p>
    <w:p w:rsidR="00211425" w:rsidRDefault="00211425">
      <w:pPr>
        <w:pStyle w:val="DualTxt"/>
      </w:pPr>
      <w:r>
        <w:rPr>
          <w:rFonts w:hint="eastAsia"/>
        </w:rPr>
        <w:t>27.</w:t>
      </w:r>
      <w:r>
        <w:rPr>
          <w:rFonts w:hint="eastAsia"/>
        </w:rPr>
        <w:tab/>
      </w:r>
      <w:r>
        <w:rPr>
          <w:rFonts w:ascii="SimHei" w:eastAsia="SimHei" w:hint="eastAsia"/>
          <w:b/>
          <w:bCs/>
          <w:color w:val="FF0000"/>
        </w:rPr>
        <w:t>Sch</w:t>
      </w:r>
      <w:r>
        <w:rPr>
          <w:rFonts w:ascii="Times New Roman" w:eastAsia="SimHei"/>
          <w:b/>
          <w:bCs/>
          <w:color w:val="FF0000"/>
        </w:rPr>
        <w:t>ö</w:t>
      </w:r>
      <w:r>
        <w:rPr>
          <w:rFonts w:ascii="SimHei" w:eastAsia="SimHei" w:hint="eastAsia"/>
          <w:b/>
          <w:bCs/>
          <w:color w:val="FF0000"/>
        </w:rPr>
        <w:t>pp-Schilling</w:t>
      </w:r>
      <w:r>
        <w:rPr>
          <w:rFonts w:ascii="SimHei" w:eastAsia="SimHei" w:hint="eastAsia"/>
          <w:color w:val="FF0000"/>
        </w:rPr>
        <w:t>女士</w:t>
      </w:r>
      <w:r>
        <w:rPr>
          <w:rFonts w:hint="eastAsia"/>
        </w:rPr>
        <w:t>说哥斯达黎加关于卫生的大部分意见只涉及生育保健。她问卫生部和妇女事务部采取什么措施来解决该问题。已提到一间新的妇女医院；她想知道是否已拨款用于研究和有什么机制保证这些研究结果会分发给在公共和私人医疗服务部门的医生。她对老年人医院没有男女平等政策，尤其大多数老年人是妇女，感到不安。同样的，政府应当说明它采取什么措施把男女平等政策纳入医疗服务。</w:t>
      </w:r>
    </w:p>
    <w:p w:rsidR="00211425" w:rsidRDefault="00211425">
      <w:pPr>
        <w:pStyle w:val="DualTxt"/>
      </w:pPr>
      <w:r>
        <w:rPr>
          <w:rFonts w:hint="eastAsia"/>
        </w:rPr>
        <w:t>28.</w:t>
      </w:r>
      <w:r>
        <w:rPr>
          <w:rFonts w:hint="eastAsia"/>
        </w:rPr>
        <w:tab/>
        <w:t>她想知道第一夫人的任务，她的工作是否有法律依据，她是否领薪或为其工作提供经费，她的大部分努力是否与妇女有关，并且其工作是否与妇女事务部的工作协调一致。</w:t>
      </w:r>
    </w:p>
    <w:p w:rsidR="00211425" w:rsidRDefault="00211425">
      <w:pPr>
        <w:pStyle w:val="DualTxt"/>
        <w:rPr>
          <w:rFonts w:hint="eastAsia"/>
        </w:rPr>
      </w:pPr>
      <w:r>
        <w:rPr>
          <w:rFonts w:hint="eastAsia"/>
        </w:rPr>
        <w:t>29.</w:t>
      </w:r>
      <w:r>
        <w:rPr>
          <w:rFonts w:hint="eastAsia"/>
        </w:rPr>
        <w:tab/>
      </w:r>
      <w:r>
        <w:rPr>
          <w:rFonts w:ascii="SimHei" w:eastAsia="SimHei" w:hint="eastAsia"/>
          <w:b/>
          <w:bCs/>
          <w:color w:val="FF0000"/>
        </w:rPr>
        <w:t>Gonzalez</w:t>
      </w:r>
      <w:r>
        <w:rPr>
          <w:rFonts w:ascii="SimHei" w:eastAsia="SimHei" w:hint="eastAsia"/>
          <w:color w:val="FF0000"/>
        </w:rPr>
        <w:t>女士</w:t>
      </w:r>
      <w:r>
        <w:rPr>
          <w:rFonts w:hint="eastAsia"/>
        </w:rPr>
        <w:t>问第四次定期报告第420段提到的机构间生殖和性权利委员会以及第421段提到的生殖和性健康权利咨询处是否为相同机构或两个不同的机构，并且它们是否处理权利本身或仅是健康问题。</w:t>
      </w:r>
    </w:p>
    <w:p w:rsidR="00211425" w:rsidRDefault="00211425">
      <w:pPr>
        <w:pStyle w:val="DualTxt"/>
        <w:spacing w:after="120"/>
      </w:pPr>
      <w:r>
        <w:rPr>
          <w:rFonts w:hint="eastAsia"/>
        </w:rPr>
        <w:t>30.</w:t>
      </w:r>
      <w:r>
        <w:rPr>
          <w:rFonts w:hint="eastAsia"/>
        </w:rPr>
        <w:tab/>
        <w:t>由于堕胎不合法，节育问题就相当重要。对妇女同意绝育程序已有明文规定；很少男子切除输精管。需要向公众进行广泛信息宣传，强调在计划生育、节育和绝育方面男女都承担责任，特别强调男子的作用。</w:t>
      </w:r>
    </w:p>
    <w:p w:rsidR="00211425" w:rsidRDefault="00211425">
      <w:pPr>
        <w:pStyle w:val="DualTxt"/>
        <w:spacing w:after="120"/>
      </w:pPr>
      <w:r>
        <w:rPr>
          <w:rFonts w:hint="eastAsia"/>
        </w:rPr>
        <w:t>31.</w:t>
      </w:r>
      <w:r>
        <w:rPr>
          <w:rFonts w:hint="eastAsia"/>
        </w:rPr>
        <w:tab/>
        <w:t>对宫颈癌、阴道癌和乳癌非常注意。政府采取什麽措施打击由男子传染但只在妇女显示象征的乳头瘤病毒。</w:t>
      </w:r>
    </w:p>
    <w:p w:rsidR="00211425" w:rsidRDefault="00211425">
      <w:pPr>
        <w:pStyle w:val="DualTxt"/>
        <w:spacing w:after="120"/>
      </w:pPr>
      <w:r>
        <w:rPr>
          <w:rFonts w:hint="eastAsia"/>
        </w:rPr>
        <w:t>32.</w:t>
      </w:r>
      <w:r>
        <w:rPr>
          <w:rFonts w:hint="eastAsia"/>
        </w:rPr>
        <w:tab/>
      </w:r>
      <w:r>
        <w:rPr>
          <w:rFonts w:ascii="SimHei" w:eastAsia="SimHei" w:hint="eastAsia"/>
          <w:b/>
          <w:bCs/>
          <w:color w:val="FF0000"/>
        </w:rPr>
        <w:t>Khan</w:t>
      </w:r>
      <w:r>
        <w:rPr>
          <w:rFonts w:ascii="SimHei" w:eastAsia="SimHei" w:hint="eastAsia"/>
          <w:color w:val="FF0000"/>
        </w:rPr>
        <w:t>女士</w:t>
      </w:r>
      <w:r>
        <w:rPr>
          <w:rFonts w:hint="eastAsia"/>
        </w:rPr>
        <w:t>说她感兴趣地知悉妓女需要携带标明她们没有感染传染病的卡片。她不禁要问为什么男嫖客无需携带类似卡片。她想知道妓女是否有权要求其顾客使用避孕套。政府是否执行任何防治艾滋病毒/艾滋病方案，因为有越来越多的妇女被感染。</w:t>
      </w:r>
    </w:p>
    <w:p w:rsidR="00211425" w:rsidRDefault="00211425">
      <w:pPr>
        <w:pStyle w:val="DualTxt"/>
      </w:pPr>
      <w:r>
        <w:rPr>
          <w:rFonts w:hint="eastAsia"/>
        </w:rPr>
        <w:t>33.</w:t>
      </w:r>
      <w:r>
        <w:rPr>
          <w:rFonts w:hint="eastAsia"/>
        </w:rPr>
        <w:tab/>
        <w:t>儿童权利委员会注意到大批流浪街头的少女和儿童使用药物和吸胶毒麻醉自己，以减轻挨饿痛苦。香蕉园工人半数是妇女，他们接触危害健康的浓度高杀虫药。她希望获得关于这两方面更多的资料。最后，她想知道哥斯达黎加妇女所消耗烟草的数量。</w:t>
      </w:r>
    </w:p>
    <w:p w:rsidR="00211425" w:rsidRDefault="00211425">
      <w:pPr>
        <w:pStyle w:val="DualTxt"/>
      </w:pPr>
      <w:r>
        <w:rPr>
          <w:rFonts w:hint="eastAsia"/>
        </w:rPr>
        <w:t>34.</w:t>
      </w:r>
      <w:r>
        <w:rPr>
          <w:rFonts w:hint="eastAsia"/>
        </w:rPr>
        <w:tab/>
      </w:r>
      <w:r>
        <w:rPr>
          <w:rFonts w:ascii="SimHei" w:eastAsia="SimHei" w:hint="eastAsia"/>
          <w:b/>
          <w:bCs/>
          <w:color w:val="FF0000"/>
        </w:rPr>
        <w:t>Ferrer G</w:t>
      </w:r>
      <w:r>
        <w:rPr>
          <w:rFonts w:ascii="Times New Roman" w:eastAsia="SimHei"/>
          <w:b/>
          <w:bCs/>
          <w:color w:val="FF0000"/>
        </w:rPr>
        <w:t>ó</w:t>
      </w:r>
      <w:r>
        <w:rPr>
          <w:rFonts w:ascii="SimHei" w:eastAsia="SimHei" w:hint="eastAsia"/>
          <w:b/>
          <w:bCs/>
          <w:color w:val="FF0000"/>
        </w:rPr>
        <w:t>mez</w:t>
      </w:r>
      <w:r>
        <w:rPr>
          <w:rFonts w:ascii="SimHei" w:eastAsia="SimHei" w:hint="eastAsia"/>
          <w:color w:val="FF0000"/>
        </w:rPr>
        <w:t>女士</w:t>
      </w:r>
      <w:r>
        <w:rPr>
          <w:rFonts w:hint="eastAsia"/>
        </w:rPr>
        <w:t>说她获悉哥斯达黎加的保守力量阻碍生殖权利的行使和设法停止性教育的灌输，但在一个少女怀孕高的国家性教育至关重要。她问政府采取什麽措施应付该问题，宣传避孕、分发避孕药具和向男女青年提供生殖卫生服务。她还想知道目前在什麽程度上提供避孕药具，政府是否考虑允许不满13岁女童和强奸受害者进行堕胎。</w:t>
      </w:r>
    </w:p>
    <w:p w:rsidR="00211425" w:rsidRDefault="00211425">
      <w:pPr>
        <w:pStyle w:val="DualTxt"/>
        <w:rPr>
          <w:rFonts w:ascii="KaiTi_GB2312" w:eastAsia="KaiTi_GB2312" w:hint="eastAsia"/>
          <w:color w:val="0000FF"/>
        </w:rPr>
      </w:pPr>
      <w:r>
        <w:rPr>
          <w:rFonts w:ascii="KaiTi_GB2312" w:eastAsia="KaiTi_GB2312" w:hint="eastAsia"/>
          <w:color w:val="0000FF"/>
        </w:rPr>
        <w:t>第十三条</w:t>
      </w:r>
    </w:p>
    <w:p w:rsidR="00211425" w:rsidRDefault="00211425">
      <w:pPr>
        <w:pStyle w:val="DualTxt"/>
        <w:rPr>
          <w:spacing w:val="-6"/>
        </w:rPr>
      </w:pPr>
      <w:r>
        <w:rPr>
          <w:rFonts w:hint="eastAsia"/>
        </w:rPr>
        <w:t>35.</w:t>
      </w:r>
      <w:r>
        <w:rPr>
          <w:rFonts w:ascii="SimHei" w:eastAsia="SimHei" w:hint="eastAsia"/>
          <w:color w:val="FF0000"/>
        </w:rPr>
        <w:tab/>
      </w:r>
      <w:r>
        <w:rPr>
          <w:rFonts w:ascii="SimHei" w:eastAsia="SimHei" w:hint="eastAsia"/>
          <w:b/>
          <w:bCs/>
          <w:color w:val="FF0000"/>
          <w:spacing w:val="-4"/>
        </w:rPr>
        <w:t>Saiga</w:t>
      </w:r>
      <w:r>
        <w:rPr>
          <w:rFonts w:ascii="SimHei" w:eastAsia="SimHei" w:hint="eastAsia"/>
          <w:color w:val="FF0000"/>
          <w:spacing w:val="-4"/>
        </w:rPr>
        <w:t>女士</w:t>
      </w:r>
      <w:r>
        <w:rPr>
          <w:rFonts w:hint="eastAsia"/>
          <w:spacing w:val="-4"/>
        </w:rPr>
        <w:t>说报告载列很少关于第十三条的资料。她注意到妇女申请信贷时遇到障碍（CEDAW/C/CRI/1-3，第458和第461段），她问通过和/或修改现行法律的影响以及例如建立国家抵押和保证基金（CEDAW/C/CRI/4，第276段）的情况。是否与商界商讨任何这些倡议？</w:t>
      </w:r>
    </w:p>
    <w:p w:rsidR="00211425" w:rsidRDefault="00211425">
      <w:pPr>
        <w:pStyle w:val="DualTxt"/>
      </w:pPr>
      <w:r>
        <w:rPr>
          <w:rFonts w:hint="eastAsia"/>
        </w:rPr>
        <w:t>36.</w:t>
      </w:r>
      <w:r>
        <w:rPr>
          <w:rFonts w:hint="eastAsia"/>
        </w:rPr>
        <w:tab/>
      </w:r>
      <w:r>
        <w:rPr>
          <w:rFonts w:ascii="SimHei" w:eastAsia="SimHei" w:hint="eastAsia"/>
          <w:b/>
          <w:bCs/>
          <w:color w:val="FF0000"/>
        </w:rPr>
        <w:t>Kwaku</w:t>
      </w:r>
      <w:r>
        <w:rPr>
          <w:rFonts w:ascii="SimHei" w:eastAsia="SimHei" w:hint="eastAsia"/>
          <w:color w:val="FF0000"/>
        </w:rPr>
        <w:t>女士</w:t>
      </w:r>
      <w:r>
        <w:rPr>
          <w:rFonts w:hint="eastAsia"/>
        </w:rPr>
        <w:t>赞扬缔约国明显试图消除性别歧视。她希望在下次定期报告内会提供关于在早期阶段的一些倡议的具体数据，并且把“性别公平政策和方案”的措辞改为“性别平等政策”。</w:t>
      </w:r>
    </w:p>
    <w:p w:rsidR="00211425" w:rsidRDefault="00211425">
      <w:pPr>
        <w:pStyle w:val="DualTxt"/>
      </w:pPr>
      <w:r>
        <w:rPr>
          <w:rFonts w:hint="eastAsia"/>
        </w:rPr>
        <w:t>37.</w:t>
      </w:r>
      <w:r>
        <w:rPr>
          <w:rFonts w:hint="eastAsia"/>
        </w:rPr>
        <w:tab/>
        <w:t>她问第四次定期报告内所提及拟议的农村发展供资制度的执行进度。该制度包括农村妇女生产者的特别条件、农村妇女从农村信贷方案受益的程度，保证她们获得供资方案的灵活规定(CEDAW/C/CRI/4，第589和第592段)。她还想知道按照农业和牲畜部的农业和农村部门行动计划农村妇女和青年是否获得信贷，或是否很快与银行为此目的签订协定(CEDAW/C/CRI/4，第593段)。</w:t>
      </w:r>
    </w:p>
    <w:p w:rsidR="00211425" w:rsidRDefault="00211425">
      <w:pPr>
        <w:pStyle w:val="DualTxt"/>
        <w:rPr>
          <w:rFonts w:ascii="KaiTi_GB2312" w:eastAsia="KaiTi_GB2312" w:hint="eastAsia"/>
          <w:color w:val="0000FF"/>
        </w:rPr>
      </w:pPr>
      <w:r>
        <w:rPr>
          <w:rFonts w:ascii="KaiTi_GB2312" w:eastAsia="KaiTi_GB2312" w:hint="eastAsia"/>
          <w:color w:val="0000FF"/>
        </w:rPr>
        <w:t>第十五条</w:t>
      </w:r>
    </w:p>
    <w:p w:rsidR="00211425" w:rsidRDefault="00211425">
      <w:pPr>
        <w:pStyle w:val="DualTxt"/>
        <w:spacing w:after="240"/>
      </w:pPr>
      <w:r>
        <w:rPr>
          <w:rFonts w:hint="eastAsia"/>
        </w:rPr>
        <w:t>38.</w:t>
      </w:r>
      <w:r>
        <w:rPr>
          <w:rFonts w:hint="eastAsia"/>
        </w:rPr>
        <w:tab/>
      </w:r>
      <w:r>
        <w:rPr>
          <w:rFonts w:ascii="SimHei" w:eastAsia="SimHei" w:hint="eastAsia"/>
          <w:b/>
          <w:bCs/>
          <w:color w:val="FF0000"/>
        </w:rPr>
        <w:t>Gnacadja</w:t>
      </w:r>
      <w:r>
        <w:rPr>
          <w:rFonts w:ascii="SimHei" w:eastAsia="SimHei" w:hint="eastAsia"/>
          <w:color w:val="FF0000"/>
        </w:rPr>
        <w:t>女士</w:t>
      </w:r>
      <w:r>
        <w:rPr>
          <w:rFonts w:hint="eastAsia"/>
        </w:rPr>
        <w:t>欢迎通过负责父亲法和缔约国在第四次定期报告第619段所列举的进展，尤其消除了侵犯妇女行为的“自然性”和为社会接受的阻力和制订崭新的法律文书。在这种情况下，过去两年若干新保守集团，例如意志自由论者和父母分离运动的出台令人不安。对于以男子为中心的观念根深蒂固致使立法者、法官和司法行政官坚决抗拒各项歧视法案和法律行动以及政党不遵守现行法律和措施而又不受制裁，和一些立法者及议员实行违宪行动阻挠法律改革等问题，缔约国应加以处理。为什么把对妇女的暴力行为定罪的法案尚未通过，又为什么在对妇女的暴力行为案件中70％的法院判决仅是临时措施，既不谴责，也不起威慑作用。此外，宪法庭违反自身的法律先例，声明妇女参与公共生活仅是公共当局和政党的一项承诺，而非促进妇女社会平等法所定的基本权利。在甚至政府最高层也是阻力重重时，哥斯达黎加妇女还能够实际上企求什么？</w:t>
      </w:r>
    </w:p>
    <w:p w:rsidR="00211425" w:rsidRDefault="00211425">
      <w:pPr>
        <w:pStyle w:val="DualTxt"/>
        <w:spacing w:line="340" w:lineRule="exact"/>
      </w:pPr>
      <w:r>
        <w:rPr>
          <w:rFonts w:hint="eastAsia"/>
        </w:rPr>
        <w:t>39.</w:t>
      </w:r>
      <w:r>
        <w:rPr>
          <w:rFonts w:hint="eastAsia"/>
        </w:rPr>
        <w:tab/>
        <w:t>法警和法官似乎不全力保证法律上男女平等。有时，警察甚至对投诉置之不理，且投诉通常不起作用。哥斯达黎加男子的性行为和感情都与以男子为中心和重男轻女的模式有关，这使私通行为成为男性的一项自然权利合法化。她要求男法官(占大多数)保证受理妇女的投诉和对案件认真适用法律。在通奸案件中是否对男女适用相同法律、刑罚和取证程序，妇女是否需要提供更多证据？在杀妇女罪的案件中，也需要知道法官是否公正，处以适当惩罚。一般来说，立法和实践之间的差别是什么？</w:t>
      </w:r>
    </w:p>
    <w:p w:rsidR="00211425" w:rsidRDefault="00211425">
      <w:pPr>
        <w:pStyle w:val="DualTxt"/>
        <w:rPr>
          <w:rFonts w:ascii="KaiTi_GB2312" w:eastAsia="KaiTi_GB2312" w:hint="eastAsia"/>
          <w:color w:val="0000FF"/>
        </w:rPr>
      </w:pPr>
      <w:r>
        <w:rPr>
          <w:rFonts w:ascii="KaiTi_GB2312" w:eastAsia="KaiTi_GB2312" w:hint="eastAsia"/>
          <w:color w:val="0000FF"/>
        </w:rPr>
        <w:t>第十六条</w:t>
      </w:r>
    </w:p>
    <w:p w:rsidR="00211425" w:rsidRDefault="00211425">
      <w:pPr>
        <w:pStyle w:val="DualTxt"/>
        <w:spacing w:line="300" w:lineRule="exact"/>
      </w:pPr>
      <w:r>
        <w:rPr>
          <w:rFonts w:hint="eastAsia"/>
        </w:rPr>
        <w:t>40.</w:t>
      </w:r>
      <w:r>
        <w:rPr>
          <w:rFonts w:hint="eastAsia"/>
        </w:rPr>
        <w:tab/>
      </w:r>
      <w:r>
        <w:rPr>
          <w:rFonts w:ascii="SimHei" w:eastAsia="SimHei" w:hint="eastAsia"/>
          <w:b/>
          <w:bCs/>
          <w:color w:val="FF0000"/>
        </w:rPr>
        <w:t>Flinterman</w:t>
      </w:r>
      <w:r>
        <w:rPr>
          <w:rFonts w:ascii="SimHei" w:eastAsia="SimHei" w:hint="eastAsia"/>
          <w:color w:val="FF0000"/>
        </w:rPr>
        <w:t>先生</w:t>
      </w:r>
      <w:r>
        <w:rPr>
          <w:rFonts w:hint="eastAsia"/>
        </w:rPr>
        <w:t>问有多少15岁至17岁妇女结婚必须征求父母同意(CEDAW/C/CRI/1-3，第532段)，又问是否可能修正法律使男女婚龄相同。家庭法中规定配偶双方都有责任和按各自能力支付家庭开销的性别公平法案是否快将通过(CEDAW/C/CRI/1-3，第534段)？缔约国曾考虑修改法律，保证男女法律上和事实上平等办理离婚手续(CEDAW/C/CRI/1-3，第538段)？他赞扬2001年3月通过负责父亲法，但对1999年有58.9％的儿童没有宣明父亲和该数字继续增加表示震惊。应采取有力措施改进情况。</w:t>
      </w:r>
    </w:p>
    <w:p w:rsidR="00211425" w:rsidRDefault="00211425">
      <w:pPr>
        <w:pStyle w:val="DualTxt"/>
        <w:rPr>
          <w:rFonts w:hint="eastAsia"/>
        </w:rPr>
      </w:pPr>
      <w:r>
        <w:rPr>
          <w:rFonts w:hint="eastAsia"/>
        </w:rPr>
        <w:t>41.</w:t>
      </w:r>
      <w:r>
        <w:rPr>
          <w:rFonts w:hint="eastAsia"/>
        </w:rPr>
        <w:tab/>
      </w:r>
      <w:r>
        <w:rPr>
          <w:rFonts w:ascii="SimHei" w:eastAsia="SimHei" w:hint="eastAsia"/>
          <w:b/>
          <w:bCs/>
          <w:color w:val="FF0000"/>
        </w:rPr>
        <w:t>Gonz</w:t>
      </w:r>
      <w:r>
        <w:rPr>
          <w:rFonts w:ascii="Times New Roman" w:eastAsia="SimHei"/>
          <w:b/>
          <w:bCs/>
          <w:color w:val="FF0000"/>
        </w:rPr>
        <w:t>á</w:t>
      </w:r>
      <w:r>
        <w:rPr>
          <w:rFonts w:ascii="SimHei" w:eastAsia="SimHei" w:hint="eastAsia"/>
          <w:b/>
          <w:bCs/>
          <w:color w:val="FF0000"/>
        </w:rPr>
        <w:t>lez Mart</w:t>
      </w:r>
      <w:r>
        <w:rPr>
          <w:rFonts w:ascii="Times New Roman" w:eastAsia="SimHei"/>
          <w:b/>
          <w:bCs/>
          <w:color w:val="FF0000"/>
        </w:rPr>
        <w:t>í</w:t>
      </w:r>
      <w:r>
        <w:rPr>
          <w:rFonts w:ascii="SimHei" w:eastAsia="SimHei" w:hint="eastAsia"/>
          <w:b/>
          <w:bCs/>
          <w:color w:val="FF0000"/>
        </w:rPr>
        <w:t>nez</w:t>
      </w:r>
      <w:r>
        <w:rPr>
          <w:rFonts w:ascii="SimHei" w:eastAsia="SimHei" w:hint="eastAsia"/>
          <w:color w:val="FF0000"/>
        </w:rPr>
        <w:t>女士</w:t>
      </w:r>
      <w:r>
        <w:rPr>
          <w:rFonts w:hint="eastAsia"/>
        </w:rPr>
        <w:t>赞扬哥斯达黎加妇女组织的工作和成果，注意到进行DNA测试的实验室至今仍未投入使用上(CEDAW/C/CRI/4，第649段) 并问缔约国如何能够准确预测在2001年至2002年之间减少出生人数5 200名。</w:t>
      </w:r>
    </w:p>
    <w:p w:rsidR="00211425" w:rsidRDefault="00211425">
      <w:pPr>
        <w:pStyle w:val="DualTxt"/>
      </w:pPr>
      <w:r>
        <w:rPr>
          <w:rFonts w:hint="eastAsia"/>
        </w:rPr>
        <w:t>42.</w:t>
      </w:r>
      <w:r>
        <w:rPr>
          <w:rFonts w:hint="eastAsia"/>
        </w:rPr>
        <w:tab/>
      </w:r>
      <w:r>
        <w:rPr>
          <w:rFonts w:ascii="SimHei" w:eastAsia="SimHei" w:hint="eastAsia"/>
          <w:b/>
          <w:bCs/>
          <w:color w:val="FF0000"/>
        </w:rPr>
        <w:t>Patten</w:t>
      </w:r>
      <w:r>
        <w:rPr>
          <w:rFonts w:ascii="SimHei" w:eastAsia="SimHei" w:hint="eastAsia"/>
          <w:color w:val="FF0000"/>
        </w:rPr>
        <w:t>女士</w:t>
      </w:r>
      <w:r>
        <w:rPr>
          <w:rFonts w:hint="eastAsia"/>
        </w:rPr>
        <w:t>要求澄清CEDAW/C/CRI/1-3号文件，第543段所定的普通法上婚姻的法定权利。在什么情况下可防止同居伙伴结合，假定双方已依法解除旧婚约。她希望得到普通法正式承认的妻子的法定权利。当丈夫丧生后妻子是否有权承受其养老金？代表团应当说明哥斯达黎加是否有家庭法院，把监护权交给母亲的决定是否按《家庭法》的明确规定，或仅是司法惯例。她希望审判人员适当受训，执行最近对《家庭法》所作的所有修正。她想知道法庭对家长权的态度(CEDAW/C/CRI/1-3，第547段)，它们是否继续由于财政或其他理由而偏袒父亲。代表团遇到提供关于妇女获得司法制度的服务和法律援助标准以及在家庭纠纷诉讼中获得法律援助的妇女统计数字。</w:t>
      </w:r>
    </w:p>
    <w:p w:rsidR="00211425" w:rsidRDefault="00211425">
      <w:pPr>
        <w:pStyle w:val="DualTxt"/>
      </w:pPr>
      <w:r>
        <w:rPr>
          <w:rFonts w:hint="eastAsia"/>
        </w:rPr>
        <w:t>43.</w:t>
      </w:r>
      <w:r>
        <w:rPr>
          <w:rFonts w:hint="eastAsia"/>
        </w:rPr>
        <w:tab/>
      </w:r>
      <w:r>
        <w:rPr>
          <w:rFonts w:ascii="SimHei" w:eastAsia="SimHei" w:hint="eastAsia"/>
          <w:b/>
          <w:bCs/>
          <w:color w:val="FF0000"/>
        </w:rPr>
        <w:t>Tavares da Silva</w:t>
      </w:r>
      <w:r>
        <w:rPr>
          <w:rFonts w:ascii="SimHei" w:eastAsia="SimHei" w:hint="eastAsia"/>
          <w:color w:val="FF0000"/>
        </w:rPr>
        <w:t>女士</w:t>
      </w:r>
      <w:r>
        <w:rPr>
          <w:rFonts w:hint="eastAsia"/>
        </w:rPr>
        <w:t>指出报告的矛盾。一方面，它指出所有15岁以上男女可结婚，但另一方面，结婚年龄是18岁成年年龄，15岁至17岁女性除外，得到父母同意就可结婚(CEDAW/C/CRI/1-3，第529段和第532段)。她对制订一些哥斯达黎加法律可引起歧视和陈规定型观念表示不安，例如宪法第五十一条</w:t>
      </w:r>
    </w:p>
    <w:p w:rsidR="00211425" w:rsidRDefault="00211425">
      <w:pPr>
        <w:pStyle w:val="DualTxt"/>
      </w:pPr>
      <w:r>
        <w:br w:type="column"/>
      </w:r>
      <w:r>
        <w:rPr>
          <w:rFonts w:hint="eastAsia"/>
        </w:rPr>
        <w:t>提到把母亲归入“弱势群体” (CEDAW/C/CRI/1-3，第542段)，和根据“自然”原则给予她们儿童监护权。这无助于鼓励父亲承担其对子女教育和保育的责任。除《负责父亲法》外，第四次定期报告对制订法律消除这些歧视态度和陈规定型观念的努力只字不提。</w:t>
      </w:r>
    </w:p>
    <w:p w:rsidR="00211425" w:rsidRDefault="00211425">
      <w:pPr>
        <w:pStyle w:val="DualTxt"/>
        <w:spacing w:after="280"/>
      </w:pPr>
      <w:r>
        <w:rPr>
          <w:rFonts w:hint="eastAsia"/>
        </w:rPr>
        <w:t>44.</w:t>
      </w:r>
      <w:r>
        <w:rPr>
          <w:rFonts w:hint="eastAsia"/>
        </w:rPr>
        <w:tab/>
      </w:r>
      <w:r>
        <w:rPr>
          <w:rFonts w:ascii="SimHei" w:eastAsia="SimHei" w:hint="eastAsia"/>
          <w:b/>
          <w:bCs/>
          <w:color w:val="FF0000"/>
        </w:rPr>
        <w:t>Roc</w:t>
      </w:r>
      <w:r>
        <w:rPr>
          <w:rFonts w:ascii="Times New Roman" w:eastAsia="SimHei"/>
          <w:b/>
          <w:bCs/>
          <w:color w:val="FF0000"/>
        </w:rPr>
        <w:t>í</w:t>
      </w:r>
      <w:r>
        <w:rPr>
          <w:rFonts w:ascii="SimHei" w:eastAsia="SimHei" w:hint="eastAsia"/>
          <w:b/>
          <w:bCs/>
          <w:color w:val="FF0000"/>
        </w:rPr>
        <w:t>o S</w:t>
      </w:r>
      <w:r>
        <w:rPr>
          <w:rFonts w:ascii="Times New Roman" w:eastAsia="SimHei"/>
          <w:b/>
          <w:bCs/>
          <w:color w:val="FF0000"/>
        </w:rPr>
        <w:t>í</w:t>
      </w:r>
      <w:r>
        <w:rPr>
          <w:rFonts w:ascii="SimHei" w:eastAsia="SimHei" w:hint="eastAsia"/>
          <w:b/>
          <w:bCs/>
          <w:color w:val="FF0000"/>
        </w:rPr>
        <w:t>enz</w:t>
      </w:r>
      <w:r>
        <w:rPr>
          <w:rFonts w:ascii="SimHei" w:eastAsia="SimHei" w:hint="eastAsia"/>
          <w:color w:val="FF0000"/>
        </w:rPr>
        <w:t>女士</w:t>
      </w:r>
      <w:r>
        <w:rPr>
          <w:rFonts w:hint="eastAsia"/>
        </w:rPr>
        <w:t>(哥斯达黎加)说她以卫生部长的身份答复委员会一些成员的问题。首先，在国家一级的辩论后，已确定对妇女的暴力行为是个妇女权利问题，而不是公共卫生问题。2001年至2002年，生育率锐减(7.8％，而以前只是2％，即使计划生育达到1980年代的顶点)是与通过《负责父亲法》直接有关，导致改变男性的态度和行为。虽然法律保证普遍保健，但实际上移民、土著人民和农村居民仍然很难获得医疗服务。最后，她回答有关性健康和生殖健康问题时说，在第四次定期报告内生殖健康权利和生殖和性权利机构间委员会的实际工作不太明确。</w:t>
      </w:r>
    </w:p>
    <w:p w:rsidR="00211425" w:rsidRDefault="00211425">
      <w:pPr>
        <w:pStyle w:val="DualTxt"/>
        <w:rPr>
          <w:rFonts w:ascii="KaiTi_GB2312" w:eastAsia="KaiTi_GB2312"/>
          <w:color w:val="0000FF"/>
        </w:rPr>
      </w:pPr>
      <w:r>
        <w:rPr>
          <w:rFonts w:hint="eastAsia"/>
        </w:rPr>
        <w:tab/>
      </w:r>
      <w:r>
        <w:rPr>
          <w:rFonts w:ascii="KaiTi_GB2312" w:eastAsia="KaiTi_GB2312" w:hint="eastAsia"/>
          <w:color w:val="0000FF"/>
        </w:rPr>
        <w:t>下午5时宣布散会</w:t>
      </w:r>
    </w:p>
    <w:sectPr w:rsidR="00211425">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11425" w:rsidRDefault="0021142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NO&gt;&gt;N0341657C&lt;&lt;ODS JOB NO&gt;&gt;</w:t>
      </w:r>
    </w:p>
    <w:p w:rsidR="00211425" w:rsidRDefault="00211425">
      <w:pPr>
        <w:pStyle w:val="CommentText"/>
      </w:pPr>
      <w:r>
        <w:t>&lt;&lt;ODS DOC SYMBOL1&gt;&gt;CEDAW/C/SR.613&lt;&lt;ODS DOC SYMBOL1&gt;&gt;</w:t>
      </w:r>
    </w:p>
    <w:p w:rsidR="00211425" w:rsidRDefault="002114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E5036">
      <w:pPr>
        <w:spacing w:line="240" w:lineRule="auto"/>
      </w:pPr>
      <w:r>
        <w:separator/>
      </w:r>
    </w:p>
  </w:endnote>
  <w:endnote w:type="continuationSeparator" w:id="0">
    <w:p w:rsidR="00000000" w:rsidRDefault="003E5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11425">
      <w:tblPrEx>
        <w:tblCellMar>
          <w:top w:w="0" w:type="dxa"/>
          <w:bottom w:w="0" w:type="dxa"/>
        </w:tblCellMar>
      </w:tblPrEx>
      <w:tc>
        <w:tcPr>
          <w:tcW w:w="5034" w:type="dxa"/>
          <w:vAlign w:val="bottom"/>
        </w:tcPr>
        <w:p w:rsidR="00211425" w:rsidRDefault="00211425">
          <w:pPr>
            <w:pStyle w:val="Footer"/>
          </w:pPr>
          <w:r>
            <w:fldChar w:fldCharType="begin"/>
          </w:r>
          <w:r>
            <w:instrText xml:space="preserve"> PAGE  \* MERGEFORMAT </w:instrText>
          </w:r>
          <w:r>
            <w:fldChar w:fldCharType="separate"/>
          </w:r>
          <w:r>
            <w:t>2</w:t>
          </w:r>
          <w:r>
            <w:fldChar w:fldCharType="end"/>
          </w:r>
        </w:p>
      </w:tc>
      <w:tc>
        <w:tcPr>
          <w:tcW w:w="5034" w:type="dxa"/>
          <w:vAlign w:val="bottom"/>
        </w:tcPr>
        <w:p w:rsidR="00211425" w:rsidRDefault="00211425">
          <w:pPr>
            <w:pStyle w:val="Footer"/>
            <w:jc w:val="right"/>
          </w:pPr>
        </w:p>
      </w:tc>
    </w:tr>
  </w:tbl>
  <w:p w:rsidR="00211425" w:rsidRDefault="002114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11425">
      <w:tblPrEx>
        <w:tblCellMar>
          <w:top w:w="0" w:type="dxa"/>
          <w:bottom w:w="0" w:type="dxa"/>
        </w:tblCellMar>
      </w:tblPrEx>
      <w:tc>
        <w:tcPr>
          <w:tcW w:w="5034" w:type="dxa"/>
          <w:vAlign w:val="bottom"/>
        </w:tcPr>
        <w:p w:rsidR="00211425" w:rsidRDefault="00211425">
          <w:pPr>
            <w:pStyle w:val="Footer"/>
          </w:pPr>
        </w:p>
      </w:tc>
      <w:tc>
        <w:tcPr>
          <w:tcW w:w="5034" w:type="dxa"/>
          <w:vAlign w:val="bottom"/>
        </w:tcPr>
        <w:p w:rsidR="00211425" w:rsidRDefault="00211425">
          <w:pPr>
            <w:pStyle w:val="Footer"/>
            <w:jc w:val="right"/>
          </w:pPr>
          <w:r>
            <w:fldChar w:fldCharType="begin"/>
          </w:r>
          <w:r>
            <w:instrText xml:space="preserve"> PAGE  \* MERGEFORMAT </w:instrText>
          </w:r>
          <w:r>
            <w:fldChar w:fldCharType="separate"/>
          </w:r>
          <w:r>
            <w:t>5</w:t>
          </w:r>
          <w:r>
            <w:fldChar w:fldCharType="end"/>
          </w:r>
        </w:p>
      </w:tc>
    </w:tr>
  </w:tbl>
  <w:p w:rsidR="00211425" w:rsidRDefault="002114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425" w:rsidRDefault="00211425">
    <w:pPr>
      <w:pStyle w:val="Footer"/>
    </w:pPr>
  </w:p>
  <w:p w:rsidR="00211425" w:rsidRDefault="00211425">
    <w:pPr>
      <w:pStyle w:val="Footer"/>
      <w:pBdr>
        <w:top w:val="single" w:sz="2" w:space="0" w:color="000000"/>
      </w:pBdr>
      <w:rPr>
        <w:sz w:val="2"/>
      </w:rPr>
    </w:pPr>
  </w:p>
  <w:p w:rsidR="00211425" w:rsidRDefault="00211425">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211425" w:rsidRDefault="00211425">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211425" w:rsidRDefault="00211425">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211425" w:rsidRDefault="00211425">
    <w:pPr>
      <w:pStyle w:val="Footer"/>
      <w:rPr>
        <w:b w:val="0"/>
        <w:snapToGrid w:val="0"/>
        <w:w w:val="104"/>
        <w:sz w:val="21"/>
      </w:rPr>
    </w:pPr>
    <w:r>
      <w:rPr>
        <w:b w:val="0"/>
        <w:snapToGrid w:val="0"/>
        <w:w w:val="104"/>
        <w:sz w:val="21"/>
      </w:rPr>
      <w:t>03-41657 (C)</w:t>
    </w:r>
  </w:p>
  <w:p w:rsidR="00211425" w:rsidRDefault="00211425">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*0341657*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E5036">
      <w:pPr>
        <w:spacing w:line="240" w:lineRule="auto"/>
      </w:pPr>
      <w:r>
        <w:separator/>
      </w:r>
    </w:p>
  </w:footnote>
  <w:footnote w:type="continuationSeparator" w:id="0">
    <w:p w:rsidR="00000000" w:rsidRDefault="003E50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425" w:rsidRDefault="0021142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11425">
                  <w:tblPrEx>
                    <w:tblCellMar>
                      <w:top w:w="0" w:type="dxa"/>
                      <w:bottom w:w="0" w:type="dxa"/>
                    </w:tblCellMar>
                  </w:tblPrEx>
                  <w:trPr>
                    <w:trHeight w:hRule="exact" w:val="864"/>
                  </w:trPr>
                  <w:tc>
                    <w:tcPr>
                      <w:tcW w:w="4838" w:type="dxa"/>
                      <w:vAlign w:val="bottom"/>
                    </w:tcPr>
                    <w:p w:rsidR="00211425" w:rsidRDefault="00211425">
                      <w:pPr>
                        <w:pStyle w:val="Header"/>
                        <w:spacing w:after="80"/>
                        <w:rPr>
                          <w:b/>
                          <w:sz w:val="17"/>
                        </w:rPr>
                      </w:pPr>
                      <w:r>
                        <w:rPr>
                          <w:b/>
                          <w:sz w:val="17"/>
                        </w:rPr>
                        <w:t>CEDAW/C/SR.613</w:t>
                      </w:r>
                    </w:p>
                  </w:tc>
                  <w:tc>
                    <w:tcPr>
                      <w:tcW w:w="5048" w:type="dxa"/>
                      <w:vAlign w:val="bottom"/>
                    </w:tcPr>
                    <w:p w:rsidR="00211425" w:rsidRDefault="00211425">
                      <w:pPr>
                        <w:pStyle w:val="Header"/>
                      </w:pPr>
                    </w:p>
                  </w:tc>
                </w:tr>
              </w:tbl>
              <w:p w:rsidR="00211425" w:rsidRDefault="0021142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425" w:rsidRDefault="0021142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11425">
                  <w:tblPrEx>
                    <w:tblCellMar>
                      <w:top w:w="0" w:type="dxa"/>
                      <w:bottom w:w="0" w:type="dxa"/>
                    </w:tblCellMar>
                  </w:tblPrEx>
                  <w:trPr>
                    <w:trHeight w:hRule="exact" w:val="864"/>
                  </w:trPr>
                  <w:tc>
                    <w:tcPr>
                      <w:tcW w:w="4838" w:type="dxa"/>
                      <w:vAlign w:val="bottom"/>
                    </w:tcPr>
                    <w:p w:rsidR="00211425" w:rsidRDefault="00211425">
                      <w:pPr>
                        <w:pStyle w:val="Header"/>
                      </w:pPr>
                    </w:p>
                  </w:tc>
                  <w:tc>
                    <w:tcPr>
                      <w:tcW w:w="5048" w:type="dxa"/>
                      <w:vAlign w:val="bottom"/>
                    </w:tcPr>
                    <w:p w:rsidR="00211425" w:rsidRDefault="00211425">
                      <w:pPr>
                        <w:pStyle w:val="Header"/>
                        <w:spacing w:after="80"/>
                        <w:jc w:val="right"/>
                        <w:rPr>
                          <w:b/>
                          <w:sz w:val="17"/>
                        </w:rPr>
                      </w:pPr>
                      <w:r>
                        <w:rPr>
                          <w:b/>
                          <w:sz w:val="17"/>
                        </w:rPr>
                        <w:t>CEDAW/C/SR.613</w:t>
                      </w:r>
                    </w:p>
                  </w:tc>
                </w:tr>
              </w:tbl>
              <w:p w:rsidR="00211425" w:rsidRDefault="0021142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1142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11425" w:rsidRDefault="00211425">
          <w:pPr>
            <w:pStyle w:val="Header"/>
            <w:spacing w:after="120"/>
          </w:pPr>
        </w:p>
      </w:tc>
      <w:tc>
        <w:tcPr>
          <w:tcW w:w="1872" w:type="dxa"/>
          <w:tcBorders>
            <w:top w:val="nil"/>
            <w:left w:val="nil"/>
            <w:bottom w:val="single" w:sz="4" w:space="0" w:color="auto"/>
            <w:right w:val="nil"/>
          </w:tcBorders>
          <w:vAlign w:val="bottom"/>
        </w:tcPr>
        <w:p w:rsidR="00211425" w:rsidRDefault="0021142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211425" w:rsidRDefault="00211425">
          <w:pPr>
            <w:pStyle w:val="Header"/>
            <w:spacing w:after="120"/>
          </w:pPr>
        </w:p>
      </w:tc>
      <w:tc>
        <w:tcPr>
          <w:tcW w:w="6523" w:type="dxa"/>
          <w:gridSpan w:val="3"/>
          <w:tcBorders>
            <w:top w:val="nil"/>
            <w:left w:val="nil"/>
            <w:bottom w:val="single" w:sz="4" w:space="0" w:color="auto"/>
            <w:right w:val="nil"/>
          </w:tcBorders>
          <w:vAlign w:val="bottom"/>
        </w:tcPr>
        <w:p w:rsidR="00211425" w:rsidRDefault="0021142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/C/SR.613</w:t>
          </w:r>
        </w:p>
      </w:tc>
    </w:tr>
    <w:tr w:rsidR="00211425">
      <w:tblPrEx>
        <w:tblCellMar>
          <w:top w:w="0" w:type="dxa"/>
          <w:bottom w:w="0" w:type="dxa"/>
        </w:tblCellMar>
      </w:tblPrEx>
      <w:trPr>
        <w:trHeight w:hRule="exact" w:val="2880"/>
      </w:trPr>
      <w:tc>
        <w:tcPr>
          <w:tcW w:w="1267" w:type="dxa"/>
          <w:tcBorders>
            <w:left w:val="nil"/>
            <w:bottom w:val="single" w:sz="12" w:space="0" w:color="auto"/>
            <w:right w:val="nil"/>
          </w:tcBorders>
        </w:tcPr>
        <w:p w:rsidR="00211425" w:rsidRDefault="0021142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11425" w:rsidRDefault="00211425">
          <w:pPr>
            <w:pStyle w:val="Header"/>
            <w:spacing w:before="109"/>
            <w:ind w:left="-72"/>
          </w:pPr>
        </w:p>
      </w:tc>
      <w:tc>
        <w:tcPr>
          <w:tcW w:w="5227" w:type="dxa"/>
          <w:gridSpan w:val="3"/>
          <w:tcBorders>
            <w:left w:val="nil"/>
            <w:bottom w:val="single" w:sz="12" w:space="0" w:color="auto"/>
            <w:right w:val="nil"/>
          </w:tcBorders>
        </w:tcPr>
        <w:p w:rsidR="00211425" w:rsidRDefault="0021142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211425" w:rsidRDefault="00211425">
          <w:pPr>
            <w:pStyle w:val="Header"/>
            <w:spacing w:before="109"/>
          </w:pPr>
        </w:p>
      </w:tc>
      <w:tc>
        <w:tcPr>
          <w:tcW w:w="3180" w:type="dxa"/>
          <w:gridSpan w:val="2"/>
          <w:tcBorders>
            <w:left w:val="nil"/>
            <w:bottom w:val="single" w:sz="12" w:space="0" w:color="auto"/>
            <w:right w:val="nil"/>
          </w:tcBorders>
        </w:tcPr>
        <w:p w:rsidR="00211425" w:rsidRDefault="00211425">
          <w:pPr>
            <w:spacing w:before="240" w:line="240" w:lineRule="exact"/>
            <w:rPr>
              <w:rFonts w:ascii="Times New Roman"/>
            </w:rPr>
          </w:pPr>
          <w:r>
            <w:rPr>
              <w:rFonts w:ascii="Times New Roman"/>
            </w:rPr>
            <w:t>Distr.: General</w:t>
          </w:r>
        </w:p>
        <w:p w:rsidR="00211425" w:rsidRDefault="00211425">
          <w:pPr>
            <w:spacing w:line="240" w:lineRule="exact"/>
            <w:rPr>
              <w:rFonts w:ascii="Times New Roman"/>
            </w:rPr>
          </w:pPr>
          <w:r>
            <w:rPr>
              <w:rFonts w:ascii="Times New Roman"/>
            </w:rPr>
            <w:t>8 April 2004</w:t>
          </w:r>
        </w:p>
        <w:p w:rsidR="00211425" w:rsidRDefault="00211425">
          <w:pPr>
            <w:spacing w:line="240" w:lineRule="exact"/>
            <w:rPr>
              <w:rFonts w:ascii="Times New Roman"/>
            </w:rPr>
          </w:pPr>
          <w:r>
            <w:rPr>
              <w:rFonts w:ascii="Times New Roman"/>
            </w:rPr>
            <w:t>Chinese</w:t>
          </w:r>
        </w:p>
        <w:p w:rsidR="00211425" w:rsidRDefault="00211425">
          <w:pPr>
            <w:spacing w:line="240" w:lineRule="exact"/>
            <w:rPr>
              <w:rFonts w:ascii="Times New Roman"/>
            </w:rPr>
          </w:pPr>
          <w:r>
            <w:rPr>
              <w:rFonts w:ascii="Times New Roman"/>
            </w:rPr>
            <w:t>Original: English</w:t>
          </w:r>
        </w:p>
      </w:tc>
    </w:tr>
  </w:tbl>
  <w:p w:rsidR="00211425" w:rsidRDefault="002114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4/2004 3:48: PM"/>
    <w:docVar w:name="DocCategory" w:val="SROthers"/>
    <w:docVar w:name="DocType" w:val="Final"/>
    <w:docVar w:name="JobNo" w:val="0341657C"/>
    <w:docVar w:name="OandT" w:val="ZHOU"/>
    <w:docVar w:name="Symbol1" w:val="CEDAW/C/SR.613"/>
    <w:docVar w:name="Symbol2" w:val="-"/>
  </w:docVars>
  <w:rsids>
    <w:rsidRoot w:val="00211425"/>
    <w:rsid w:val="00211425"/>
    <w:rsid w:val="003E50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21142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3</Pages>
  <Words>1048</Words>
  <Characters>5980</Characters>
  <Application>Microsoft Office Word</Application>
  <DocSecurity>4</DocSecurity>
  <Lines>49</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25</cp:revision>
  <cp:lastPrinted>2004-04-08T14:01:00Z</cp:lastPrinted>
  <dcterms:created xsi:type="dcterms:W3CDTF">2004-04-01T13:48:00Z</dcterms:created>
  <dcterms:modified xsi:type="dcterms:W3CDTF">2004-04-08T14:06:00Z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0341657</vt:lpwstr>
  </property>
  <property fmtid="{D5CDD505-2E9C-101B-9397-08002B2CF9AE}" pid="3" name="Symbol1">
    <vt:lpwstr>CEDAW/C/SR.613</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