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7B35" w:rsidRDefault="00737B35">
      <w:pPr>
        <w:spacing w:line="60" w:lineRule="exact"/>
        <w:rPr>
          <w:sz w:val="6"/>
        </w:rPr>
        <w:sectPr w:rsidR="00737B35">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737B35" w:rsidRDefault="00737B35">
      <w:pPr>
        <w:spacing w:line="60" w:lineRule="exact"/>
        <w:rPr>
          <w:sz w:val="6"/>
        </w:rPr>
      </w:pP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消除对妇女歧视委员会</w:t>
      </w:r>
    </w:p>
    <w:p w:rsidR="00737B35" w:rsidRDefault="00737B35">
      <w:pPr>
        <w:pStyle w:val="SingleTxt"/>
      </w:pPr>
    </w:p>
    <w:p w:rsidR="00737B35" w:rsidRDefault="00737B35">
      <w:pPr>
        <w:pStyle w:val="SingleTxt"/>
      </w:pP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审议缔约国根据《消除对妇女一切形式歧视公约》</w:t>
      </w: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第18条提交的报告</w:t>
      </w:r>
    </w:p>
    <w:p w:rsidR="00737B35" w:rsidRDefault="00737B35">
      <w:pPr>
        <w:pStyle w:val="SingleTxt"/>
        <w:ind w:left="3792"/>
      </w:pP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缔约国第一、第二、第三、第四和第五次合并的定期报告</w:t>
      </w:r>
    </w:p>
    <w:p w:rsidR="00737B35" w:rsidRDefault="00737B35">
      <w:pPr>
        <w:pStyle w:val="SingleTxt"/>
        <w:ind w:left="3792"/>
      </w:pPr>
    </w:p>
    <w:p w:rsidR="00737B35" w:rsidRDefault="00737B35">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老挝人民民主共和国</w:t>
      </w:r>
    </w:p>
    <w:p w:rsidR="00737B35" w:rsidRDefault="00737B35">
      <w:pPr>
        <w:pStyle w:val="SingleTxt"/>
        <w:ind w:left="2528"/>
      </w:pPr>
    </w:p>
    <w:p w:rsidR="00737B35" w:rsidRDefault="00737B35">
      <w:pPr>
        <w:pStyle w:val="SingleTxt"/>
      </w:pPr>
    </w:p>
    <w:p w:rsidR="00737B35" w:rsidRDefault="00737B35">
      <w:pPr>
        <w:pStyle w:val="SingleTxt"/>
      </w:pPr>
    </w:p>
    <w:p w:rsidR="00737B35" w:rsidRDefault="00737B35">
      <w:pPr>
        <w:pStyle w:val="SingleTxt"/>
      </w:pPr>
    </w:p>
    <w:p w:rsidR="00737B35" w:rsidRDefault="00737B35">
      <w:pPr>
        <w:pStyle w:val="SingleTxt"/>
      </w:pPr>
      <w:r>
        <w:t xml:space="preserve"> </w:t>
      </w:r>
    </w:p>
    <w:p w:rsidR="00737B35" w:rsidRDefault="00737B35">
      <w:pPr>
        <w:pStyle w:val="SingleTxt"/>
      </w:pPr>
    </w:p>
    <w:p w:rsidR="00737B35" w:rsidRDefault="00737B35">
      <w:pPr>
        <w:pStyle w:val="SingleTxt"/>
      </w:pPr>
    </w:p>
    <w:p w:rsidR="00737B35" w:rsidRDefault="00737B35">
      <w:pPr>
        <w:pStyle w:val="SingleTxt"/>
      </w:pP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pPr>
      <w:r>
        <w:br w:type="page"/>
      </w: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pP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pP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pP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关于执行《消除对妇女一切形式歧视公约》的报告</w:t>
      </w: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pP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第一、第二、第三、第四和第五次合并的定期报告</w:t>
      </w:r>
    </w:p>
    <w:p w:rsidR="00737B35" w:rsidRDefault="00737B35">
      <w:pPr>
        <w:pStyle w:val="SingleTxt"/>
        <w:ind w:left="2528"/>
      </w:pPr>
    </w:p>
    <w:p w:rsidR="00737B35" w:rsidRDefault="00737B35">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老挝人民民主共和国</w:t>
      </w:r>
    </w:p>
    <w:p w:rsidR="00737B35" w:rsidRDefault="00737B35">
      <w:pPr>
        <w:pStyle w:val="SingleTxt"/>
      </w:pPr>
    </w:p>
    <w:p w:rsidR="00737B35" w:rsidRDefault="00737B35">
      <w:pPr>
        <w:pStyle w:val="SingleTxt"/>
      </w:pPr>
      <w:r>
        <w:t xml:space="preserve"> </w:t>
      </w:r>
    </w:p>
    <w:p w:rsidR="00737B35" w:rsidRDefault="00737B35">
      <w:pPr>
        <w:pStyle w:val="SingleTxt"/>
      </w:pPr>
      <w:r>
        <w:br w:type="page"/>
      </w:r>
    </w:p>
    <w:p w:rsidR="00737B35" w:rsidRDefault="00737B35">
      <w:pPr>
        <w:pStyle w:val="HCh"/>
        <w:spacing w:after="120"/>
        <w:rPr>
          <w:rFonts w:eastAsia="SimSun"/>
        </w:rPr>
      </w:pPr>
      <w:r>
        <w:rPr>
          <w:rFonts w:eastAsia="SimSun" w:hint="eastAsia"/>
        </w:rPr>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737B35">
        <w:tblPrEx>
          <w:tblCellMar>
            <w:top w:w="0" w:type="dxa"/>
            <w:bottom w:w="0" w:type="dxa"/>
          </w:tblCellMar>
        </w:tblPrEx>
        <w:tc>
          <w:tcPr>
            <w:tcW w:w="1060" w:type="dxa"/>
          </w:tcPr>
          <w:p w:rsidR="00737B35" w:rsidRDefault="00737B35">
            <w:pPr>
              <w:spacing w:after="120" w:line="240" w:lineRule="auto"/>
              <w:jc w:val="right"/>
              <w:rPr>
                <w:rFonts w:eastAsia="KaiTi_GB2312"/>
                <w:color w:val="0000FF"/>
                <w:sz w:val="16"/>
              </w:rPr>
            </w:pPr>
          </w:p>
        </w:tc>
        <w:tc>
          <w:tcPr>
            <w:tcW w:w="7315" w:type="dxa"/>
          </w:tcPr>
          <w:p w:rsidR="00737B35" w:rsidRDefault="00737B35">
            <w:pPr>
              <w:spacing w:after="120" w:line="240" w:lineRule="auto"/>
              <w:rPr>
                <w:rFonts w:eastAsia="KaiTi_GB2312"/>
                <w:color w:val="0000FF"/>
                <w:sz w:val="16"/>
              </w:rPr>
            </w:pPr>
          </w:p>
        </w:tc>
        <w:tc>
          <w:tcPr>
            <w:tcW w:w="994" w:type="dxa"/>
          </w:tcPr>
          <w:p w:rsidR="00737B35" w:rsidRDefault="00737B35">
            <w:pPr>
              <w:spacing w:after="120" w:line="240" w:lineRule="auto"/>
              <w:jc w:val="right"/>
              <w:rPr>
                <w:rFonts w:eastAsia="KaiTi_GB2312"/>
                <w:color w:val="0000FF"/>
                <w:sz w:val="16"/>
              </w:rPr>
            </w:pPr>
          </w:p>
        </w:tc>
        <w:tc>
          <w:tcPr>
            <w:tcW w:w="533" w:type="dxa"/>
          </w:tcPr>
          <w:p w:rsidR="00737B35" w:rsidRDefault="00737B35">
            <w:pPr>
              <w:spacing w:after="120" w:line="240" w:lineRule="auto"/>
              <w:jc w:val="right"/>
              <w:rPr>
                <w:rFonts w:eastAsia="KaiTi_GB2312"/>
                <w:color w:val="0000FF"/>
                <w:sz w:val="16"/>
              </w:rPr>
            </w:pPr>
            <w:r>
              <w:rPr>
                <w:rFonts w:eastAsia="KaiTi_GB2312" w:hint="eastAsia"/>
                <w:color w:val="0000FF"/>
                <w:sz w:val="16"/>
              </w:rPr>
              <w:t>页次</w:t>
            </w:r>
          </w:p>
        </w:tc>
      </w:tr>
      <w:tr w:rsidR="00737B35">
        <w:tblPrEx>
          <w:tblCellMar>
            <w:top w:w="0" w:type="dxa"/>
            <w:bottom w:w="0" w:type="dxa"/>
          </w:tblCellMar>
        </w:tblPrEx>
        <w:trPr>
          <w:cantSplit/>
        </w:trPr>
        <w:tc>
          <w:tcPr>
            <w:tcW w:w="9369" w:type="dxa"/>
            <w:gridSpan w:val="3"/>
          </w:tcPr>
          <w:p w:rsidR="00737B35" w:rsidRDefault="00737B35">
            <w:pPr>
              <w:tabs>
                <w:tab w:val="right" w:pos="1080"/>
                <w:tab w:val="left" w:pos="1296"/>
                <w:tab w:val="left" w:pos="1800"/>
                <w:tab w:val="left" w:pos="2232"/>
                <w:tab w:val="left" w:pos="2592"/>
                <w:tab w:val="left" w:pos="3024"/>
                <w:tab w:val="left" w:pos="3456"/>
                <w:tab w:val="right" w:leader="dot" w:pos="9360"/>
              </w:tabs>
              <w:spacing w:after="120"/>
              <w:ind w:left="539"/>
              <w:rPr>
                <w:rFonts w:hint="eastAsia"/>
              </w:rPr>
            </w:pPr>
            <w:r>
              <w:rPr>
                <w:rFonts w:hint="eastAsia"/>
              </w:rPr>
              <w:t>第一部分</w:t>
            </w:r>
          </w:p>
        </w:tc>
        <w:tc>
          <w:tcPr>
            <w:tcW w:w="533" w:type="dxa"/>
            <w:vAlign w:val="bottom"/>
          </w:tcPr>
          <w:p w:rsidR="00737B35" w:rsidRDefault="00737B35">
            <w:pPr>
              <w:spacing w:after="120"/>
              <w:jc w:val="right"/>
              <w:rPr>
                <w:rFonts w:hint="eastAsia"/>
              </w:rPr>
            </w:pPr>
          </w:p>
        </w:tc>
      </w:tr>
      <w:tr w:rsidR="00737B35">
        <w:tblPrEx>
          <w:tblCellMar>
            <w:top w:w="0" w:type="dxa"/>
            <w:bottom w:w="0" w:type="dxa"/>
          </w:tblCellMar>
        </w:tblPrEx>
        <w:trPr>
          <w:cantSplit/>
        </w:trPr>
        <w:tc>
          <w:tcPr>
            <w:tcW w:w="9369" w:type="dxa"/>
            <w:gridSpan w:val="3"/>
          </w:tcPr>
          <w:p w:rsidR="00737B35" w:rsidRDefault="00737B35">
            <w:pPr>
              <w:tabs>
                <w:tab w:val="right" w:pos="1080"/>
                <w:tab w:val="right" w:leader="dot" w:pos="9371"/>
              </w:tabs>
              <w:spacing w:after="120"/>
              <w:ind w:left="1080"/>
              <w:rPr>
                <w:rFonts w:hint="eastAsia"/>
              </w:rPr>
            </w:pPr>
            <w:r>
              <w:rPr>
                <w:rFonts w:hint="eastAsia"/>
              </w:rPr>
              <w:t>导言</w:t>
            </w:r>
            <w:r>
              <w:tab/>
            </w:r>
            <w:r>
              <w:tab/>
            </w:r>
          </w:p>
        </w:tc>
        <w:tc>
          <w:tcPr>
            <w:tcW w:w="533" w:type="dxa"/>
            <w:vAlign w:val="bottom"/>
          </w:tcPr>
          <w:p w:rsidR="00737B35" w:rsidRDefault="00737B35">
            <w:pPr>
              <w:spacing w:after="120"/>
              <w:ind w:right="28"/>
              <w:jc w:val="right"/>
            </w:pPr>
            <w:r>
              <w:t>4</w:t>
            </w:r>
          </w:p>
        </w:tc>
      </w:tr>
      <w:tr w:rsidR="00737B35">
        <w:tblPrEx>
          <w:tblCellMar>
            <w:top w:w="0" w:type="dxa"/>
            <w:bottom w:w="0" w:type="dxa"/>
          </w:tblCellMar>
        </w:tblPrEx>
        <w:trPr>
          <w:cantSplit/>
        </w:trPr>
        <w:tc>
          <w:tcPr>
            <w:tcW w:w="9369" w:type="dxa"/>
            <w:gridSpan w:val="3"/>
          </w:tcPr>
          <w:p w:rsidR="00737B35" w:rsidRDefault="00737B35">
            <w:pPr>
              <w:tabs>
                <w:tab w:val="right" w:pos="1080"/>
                <w:tab w:val="right" w:leader="dot" w:pos="9371"/>
              </w:tabs>
              <w:spacing w:after="120"/>
              <w:ind w:left="1080"/>
            </w:pPr>
            <w:r>
              <w:rPr>
                <w:rFonts w:hint="eastAsia"/>
              </w:rPr>
              <w:t>-  土地和人民</w:t>
            </w:r>
            <w:r>
              <w:tab/>
            </w:r>
            <w:r>
              <w:rPr>
                <w:rFonts w:hint="eastAsia"/>
              </w:rPr>
              <w:tab/>
            </w:r>
            <w:r>
              <w:tab/>
            </w:r>
          </w:p>
        </w:tc>
        <w:tc>
          <w:tcPr>
            <w:tcW w:w="533" w:type="dxa"/>
            <w:vAlign w:val="bottom"/>
          </w:tcPr>
          <w:p w:rsidR="00737B35" w:rsidRDefault="00737B35">
            <w:pPr>
              <w:spacing w:after="120"/>
              <w:ind w:right="28"/>
              <w:jc w:val="right"/>
            </w:pPr>
            <w:r>
              <w:t>4</w:t>
            </w:r>
          </w:p>
        </w:tc>
      </w:tr>
      <w:tr w:rsidR="00737B35">
        <w:tblPrEx>
          <w:tblCellMar>
            <w:top w:w="0" w:type="dxa"/>
            <w:bottom w:w="0" w:type="dxa"/>
          </w:tblCellMar>
        </w:tblPrEx>
        <w:trPr>
          <w:cantSplit/>
        </w:trPr>
        <w:tc>
          <w:tcPr>
            <w:tcW w:w="9369" w:type="dxa"/>
            <w:gridSpan w:val="3"/>
          </w:tcPr>
          <w:p w:rsidR="00737B35" w:rsidRDefault="00737B35">
            <w:pPr>
              <w:tabs>
                <w:tab w:val="right" w:pos="1080"/>
                <w:tab w:val="right" w:leader="dot" w:pos="9371"/>
              </w:tabs>
              <w:spacing w:after="120"/>
              <w:ind w:left="1080"/>
            </w:pPr>
            <w:r>
              <w:rPr>
                <w:rFonts w:hint="eastAsia"/>
              </w:rPr>
              <w:t>-  总的政治结构</w:t>
            </w:r>
            <w:r>
              <w:tab/>
            </w:r>
            <w:r>
              <w:rPr>
                <w:rFonts w:hint="eastAsia"/>
              </w:rPr>
              <w:tab/>
            </w:r>
            <w:r>
              <w:tab/>
            </w:r>
          </w:p>
        </w:tc>
        <w:tc>
          <w:tcPr>
            <w:tcW w:w="533" w:type="dxa"/>
            <w:vAlign w:val="bottom"/>
          </w:tcPr>
          <w:p w:rsidR="00737B35" w:rsidRDefault="00737B35">
            <w:pPr>
              <w:spacing w:after="120"/>
              <w:ind w:right="28"/>
              <w:jc w:val="right"/>
            </w:pPr>
            <w:r>
              <w:t>5</w:t>
            </w:r>
          </w:p>
        </w:tc>
      </w:tr>
      <w:tr w:rsidR="00737B35">
        <w:tblPrEx>
          <w:tblCellMar>
            <w:top w:w="0" w:type="dxa"/>
            <w:bottom w:w="0" w:type="dxa"/>
          </w:tblCellMar>
        </w:tblPrEx>
        <w:trPr>
          <w:cantSplit/>
        </w:trPr>
        <w:tc>
          <w:tcPr>
            <w:tcW w:w="9369" w:type="dxa"/>
            <w:gridSpan w:val="3"/>
          </w:tcPr>
          <w:p w:rsidR="00737B35" w:rsidRDefault="00737B35">
            <w:pPr>
              <w:tabs>
                <w:tab w:val="right" w:pos="1080"/>
                <w:tab w:val="right" w:leader="dot" w:pos="9371"/>
              </w:tabs>
              <w:spacing w:after="120"/>
              <w:ind w:left="1080"/>
            </w:pPr>
            <w:r>
              <w:rPr>
                <w:rFonts w:hint="eastAsia"/>
              </w:rPr>
              <w:t>-  保护人权的总的法律框架</w:t>
            </w:r>
            <w:r>
              <w:tab/>
            </w:r>
            <w:r>
              <w:rPr>
                <w:rFonts w:hint="eastAsia"/>
              </w:rPr>
              <w:tab/>
            </w:r>
            <w:r>
              <w:tab/>
            </w:r>
          </w:p>
        </w:tc>
        <w:tc>
          <w:tcPr>
            <w:tcW w:w="533" w:type="dxa"/>
            <w:vAlign w:val="bottom"/>
          </w:tcPr>
          <w:p w:rsidR="00737B35" w:rsidRDefault="00737B35">
            <w:pPr>
              <w:spacing w:after="120"/>
              <w:ind w:right="28"/>
              <w:jc w:val="right"/>
            </w:pPr>
            <w:r>
              <w:t>6</w:t>
            </w:r>
          </w:p>
        </w:tc>
      </w:tr>
      <w:tr w:rsidR="00737B35">
        <w:tblPrEx>
          <w:tblCellMar>
            <w:top w:w="0" w:type="dxa"/>
            <w:bottom w:w="0" w:type="dxa"/>
          </w:tblCellMar>
        </w:tblPrEx>
        <w:trPr>
          <w:cantSplit/>
        </w:trPr>
        <w:tc>
          <w:tcPr>
            <w:tcW w:w="9369" w:type="dxa"/>
            <w:gridSpan w:val="3"/>
          </w:tcPr>
          <w:p w:rsidR="00737B35" w:rsidRDefault="00737B35">
            <w:pPr>
              <w:tabs>
                <w:tab w:val="right" w:pos="1080"/>
                <w:tab w:val="left" w:pos="1296"/>
                <w:tab w:val="left" w:pos="1800"/>
                <w:tab w:val="left" w:pos="2232"/>
                <w:tab w:val="left" w:pos="2592"/>
                <w:tab w:val="left" w:pos="3024"/>
                <w:tab w:val="left" w:pos="3456"/>
                <w:tab w:val="right" w:leader="dot" w:pos="9360"/>
              </w:tabs>
              <w:spacing w:after="120"/>
              <w:ind w:left="539"/>
              <w:rPr>
                <w:rFonts w:hint="eastAsia"/>
              </w:rPr>
            </w:pPr>
            <w:r>
              <w:rPr>
                <w:rFonts w:hint="eastAsia"/>
              </w:rPr>
              <w:t>第二部分</w:t>
            </w:r>
          </w:p>
        </w:tc>
        <w:tc>
          <w:tcPr>
            <w:tcW w:w="533" w:type="dxa"/>
            <w:vAlign w:val="bottom"/>
          </w:tcPr>
          <w:p w:rsidR="00737B35" w:rsidRDefault="00737B35">
            <w:pPr>
              <w:spacing w:after="120"/>
              <w:jc w:val="right"/>
              <w:rPr>
                <w:rFonts w:hint="eastAsia"/>
              </w:rPr>
            </w:pPr>
          </w:p>
        </w:tc>
      </w:tr>
      <w:tr w:rsidR="00737B35">
        <w:tblPrEx>
          <w:tblCellMar>
            <w:top w:w="0" w:type="dxa"/>
            <w:bottom w:w="0" w:type="dxa"/>
          </w:tblCellMar>
        </w:tblPrEx>
        <w:trPr>
          <w:cantSplit/>
        </w:trPr>
        <w:tc>
          <w:tcPr>
            <w:tcW w:w="9369" w:type="dxa"/>
            <w:gridSpan w:val="3"/>
          </w:tcPr>
          <w:p w:rsidR="00737B35" w:rsidRDefault="00737B35">
            <w:pPr>
              <w:tabs>
                <w:tab w:val="right" w:pos="1080"/>
                <w:tab w:val="right" w:leader="dot" w:pos="9371"/>
              </w:tabs>
              <w:spacing w:after="120"/>
              <w:ind w:left="1080"/>
              <w:rPr>
                <w:rFonts w:hint="eastAsia"/>
              </w:rPr>
            </w:pPr>
            <w:r>
              <w:rPr>
                <w:rFonts w:hint="eastAsia"/>
              </w:rPr>
              <w:t>第1条：歧视妇女的定义</w:t>
            </w:r>
            <w:r>
              <w:tab/>
            </w:r>
          </w:p>
        </w:tc>
        <w:tc>
          <w:tcPr>
            <w:tcW w:w="533" w:type="dxa"/>
            <w:vAlign w:val="bottom"/>
          </w:tcPr>
          <w:p w:rsidR="00737B35" w:rsidRDefault="00737B35">
            <w:pPr>
              <w:spacing w:after="120"/>
              <w:ind w:right="28"/>
              <w:jc w:val="right"/>
            </w:pPr>
            <w:r>
              <w:t>7</w:t>
            </w:r>
          </w:p>
        </w:tc>
      </w:tr>
      <w:tr w:rsidR="00737B35">
        <w:tblPrEx>
          <w:tblCellMar>
            <w:top w:w="0" w:type="dxa"/>
            <w:bottom w:w="0" w:type="dxa"/>
          </w:tblCellMar>
        </w:tblPrEx>
        <w:trPr>
          <w:cantSplit/>
        </w:trPr>
        <w:tc>
          <w:tcPr>
            <w:tcW w:w="9369" w:type="dxa"/>
            <w:gridSpan w:val="3"/>
          </w:tcPr>
          <w:p w:rsidR="00737B35" w:rsidRDefault="00737B35">
            <w:pPr>
              <w:tabs>
                <w:tab w:val="right" w:pos="1080"/>
                <w:tab w:val="right" w:leader="dot" w:pos="9371"/>
              </w:tabs>
              <w:spacing w:after="120"/>
              <w:ind w:left="1080"/>
              <w:rPr>
                <w:rFonts w:hint="eastAsia"/>
              </w:rPr>
            </w:pPr>
            <w:r>
              <w:rPr>
                <w:rFonts w:hint="eastAsia"/>
              </w:rPr>
              <w:t>第2条：消除歧视的义务</w:t>
            </w:r>
            <w:r>
              <w:tab/>
            </w:r>
          </w:p>
        </w:tc>
        <w:tc>
          <w:tcPr>
            <w:tcW w:w="533" w:type="dxa"/>
            <w:vAlign w:val="bottom"/>
          </w:tcPr>
          <w:p w:rsidR="00737B35" w:rsidRDefault="00737B35">
            <w:pPr>
              <w:spacing w:after="120"/>
              <w:ind w:right="28"/>
              <w:jc w:val="right"/>
            </w:pPr>
            <w:r>
              <w:t>7</w:t>
            </w:r>
          </w:p>
        </w:tc>
      </w:tr>
      <w:tr w:rsidR="00737B35">
        <w:tblPrEx>
          <w:tblCellMar>
            <w:top w:w="0" w:type="dxa"/>
            <w:bottom w:w="0" w:type="dxa"/>
          </w:tblCellMar>
        </w:tblPrEx>
        <w:trPr>
          <w:cantSplit/>
        </w:trPr>
        <w:tc>
          <w:tcPr>
            <w:tcW w:w="9369" w:type="dxa"/>
            <w:gridSpan w:val="3"/>
          </w:tcPr>
          <w:p w:rsidR="00737B35" w:rsidRDefault="00737B35">
            <w:pPr>
              <w:tabs>
                <w:tab w:val="right" w:pos="1080"/>
                <w:tab w:val="right" w:leader="dot" w:pos="9371"/>
              </w:tabs>
              <w:spacing w:after="120"/>
              <w:ind w:left="1080"/>
              <w:rPr>
                <w:rFonts w:hint="eastAsia"/>
              </w:rPr>
            </w:pPr>
            <w:r>
              <w:rPr>
                <w:rFonts w:hint="eastAsia"/>
              </w:rPr>
              <w:t>第3条：妇女的发展和地位提高</w:t>
            </w:r>
            <w:r>
              <w:tab/>
            </w:r>
          </w:p>
        </w:tc>
        <w:tc>
          <w:tcPr>
            <w:tcW w:w="533" w:type="dxa"/>
            <w:vAlign w:val="bottom"/>
          </w:tcPr>
          <w:p w:rsidR="00737B35" w:rsidRDefault="00737B35">
            <w:pPr>
              <w:spacing w:after="120"/>
              <w:ind w:right="28"/>
              <w:jc w:val="right"/>
            </w:pPr>
            <w:r>
              <w:t>10</w:t>
            </w:r>
          </w:p>
        </w:tc>
      </w:tr>
      <w:tr w:rsidR="00737B35">
        <w:tblPrEx>
          <w:tblCellMar>
            <w:top w:w="0" w:type="dxa"/>
            <w:bottom w:w="0" w:type="dxa"/>
          </w:tblCellMar>
        </w:tblPrEx>
        <w:trPr>
          <w:cantSplit/>
        </w:trPr>
        <w:tc>
          <w:tcPr>
            <w:tcW w:w="9369" w:type="dxa"/>
            <w:gridSpan w:val="3"/>
          </w:tcPr>
          <w:p w:rsidR="00737B35" w:rsidRDefault="00737B35">
            <w:pPr>
              <w:tabs>
                <w:tab w:val="right" w:pos="1080"/>
                <w:tab w:val="right" w:leader="dot" w:pos="9371"/>
              </w:tabs>
              <w:spacing w:after="120"/>
              <w:ind w:left="1080"/>
              <w:rPr>
                <w:rFonts w:hint="eastAsia"/>
              </w:rPr>
            </w:pPr>
            <w:r>
              <w:rPr>
                <w:rFonts w:hint="eastAsia"/>
              </w:rPr>
              <w:t>第4条：加速男女平等</w:t>
            </w:r>
            <w:r>
              <w:tab/>
            </w:r>
          </w:p>
        </w:tc>
        <w:tc>
          <w:tcPr>
            <w:tcW w:w="533" w:type="dxa"/>
            <w:vAlign w:val="bottom"/>
          </w:tcPr>
          <w:p w:rsidR="00737B35" w:rsidRDefault="00737B35">
            <w:pPr>
              <w:spacing w:after="120"/>
              <w:ind w:right="28"/>
              <w:jc w:val="right"/>
            </w:pPr>
            <w:r>
              <w:t>13</w:t>
            </w:r>
          </w:p>
        </w:tc>
      </w:tr>
      <w:tr w:rsidR="00737B35">
        <w:tblPrEx>
          <w:tblCellMar>
            <w:top w:w="0" w:type="dxa"/>
            <w:bottom w:w="0" w:type="dxa"/>
          </w:tblCellMar>
        </w:tblPrEx>
        <w:trPr>
          <w:cantSplit/>
        </w:trPr>
        <w:tc>
          <w:tcPr>
            <w:tcW w:w="9369" w:type="dxa"/>
            <w:gridSpan w:val="3"/>
          </w:tcPr>
          <w:p w:rsidR="00737B35" w:rsidRDefault="00737B35">
            <w:pPr>
              <w:tabs>
                <w:tab w:val="right" w:pos="1080"/>
                <w:tab w:val="right" w:leader="dot" w:pos="9371"/>
              </w:tabs>
              <w:spacing w:after="120"/>
              <w:ind w:left="1080"/>
              <w:rPr>
                <w:rFonts w:hint="eastAsia"/>
              </w:rPr>
            </w:pPr>
            <w:r>
              <w:rPr>
                <w:rFonts w:hint="eastAsia"/>
              </w:rPr>
              <w:t>第5条：男女任务和定型观念</w:t>
            </w:r>
            <w:r>
              <w:tab/>
            </w:r>
          </w:p>
        </w:tc>
        <w:tc>
          <w:tcPr>
            <w:tcW w:w="533" w:type="dxa"/>
            <w:vAlign w:val="bottom"/>
          </w:tcPr>
          <w:p w:rsidR="00737B35" w:rsidRDefault="00737B35">
            <w:pPr>
              <w:spacing w:after="120"/>
              <w:ind w:right="28"/>
              <w:jc w:val="right"/>
            </w:pPr>
            <w:r>
              <w:t>13</w:t>
            </w:r>
          </w:p>
        </w:tc>
      </w:tr>
      <w:tr w:rsidR="00737B35">
        <w:tblPrEx>
          <w:tblCellMar>
            <w:top w:w="0" w:type="dxa"/>
            <w:bottom w:w="0" w:type="dxa"/>
          </w:tblCellMar>
        </w:tblPrEx>
        <w:trPr>
          <w:cantSplit/>
        </w:trPr>
        <w:tc>
          <w:tcPr>
            <w:tcW w:w="9369" w:type="dxa"/>
            <w:gridSpan w:val="3"/>
          </w:tcPr>
          <w:p w:rsidR="00737B35" w:rsidRDefault="00737B35">
            <w:pPr>
              <w:tabs>
                <w:tab w:val="right" w:pos="1080"/>
                <w:tab w:val="right" w:leader="dot" w:pos="9371"/>
              </w:tabs>
              <w:spacing w:after="120"/>
              <w:ind w:left="1080"/>
              <w:rPr>
                <w:rFonts w:hint="eastAsia"/>
              </w:rPr>
            </w:pPr>
            <w:r>
              <w:rPr>
                <w:rFonts w:hint="eastAsia"/>
              </w:rPr>
              <w:t>第6条：取缔对妇女的剥削</w:t>
            </w:r>
            <w:r>
              <w:rPr>
                <w:rFonts w:hint="eastAsia"/>
              </w:rPr>
              <w:tab/>
            </w:r>
            <w:r>
              <w:tab/>
            </w:r>
          </w:p>
        </w:tc>
        <w:tc>
          <w:tcPr>
            <w:tcW w:w="533" w:type="dxa"/>
            <w:vAlign w:val="bottom"/>
          </w:tcPr>
          <w:p w:rsidR="00737B35" w:rsidRDefault="00737B35">
            <w:pPr>
              <w:spacing w:after="120"/>
              <w:ind w:right="28"/>
              <w:jc w:val="right"/>
            </w:pPr>
            <w:r>
              <w:t>18</w:t>
            </w:r>
          </w:p>
        </w:tc>
      </w:tr>
      <w:tr w:rsidR="00737B35">
        <w:tblPrEx>
          <w:tblCellMar>
            <w:top w:w="0" w:type="dxa"/>
            <w:bottom w:w="0" w:type="dxa"/>
          </w:tblCellMar>
        </w:tblPrEx>
        <w:trPr>
          <w:cantSplit/>
        </w:trPr>
        <w:tc>
          <w:tcPr>
            <w:tcW w:w="9369" w:type="dxa"/>
            <w:gridSpan w:val="3"/>
          </w:tcPr>
          <w:p w:rsidR="00737B35" w:rsidRDefault="00737B35">
            <w:pPr>
              <w:tabs>
                <w:tab w:val="right" w:pos="1080"/>
                <w:tab w:val="right" w:leader="dot" w:pos="9371"/>
              </w:tabs>
              <w:spacing w:after="120"/>
              <w:ind w:left="1080"/>
              <w:rPr>
                <w:rFonts w:hint="eastAsia"/>
              </w:rPr>
            </w:pPr>
            <w:r>
              <w:rPr>
                <w:rFonts w:hint="eastAsia"/>
              </w:rPr>
              <w:t>第7条：政治和公共生活</w:t>
            </w:r>
            <w:r>
              <w:tab/>
            </w:r>
          </w:p>
        </w:tc>
        <w:tc>
          <w:tcPr>
            <w:tcW w:w="533" w:type="dxa"/>
            <w:vAlign w:val="bottom"/>
          </w:tcPr>
          <w:p w:rsidR="00737B35" w:rsidRDefault="00737B35">
            <w:pPr>
              <w:spacing w:after="120"/>
              <w:ind w:right="28"/>
              <w:jc w:val="right"/>
            </w:pPr>
            <w:r>
              <w:t>20</w:t>
            </w:r>
          </w:p>
        </w:tc>
      </w:tr>
      <w:tr w:rsidR="00737B35">
        <w:tblPrEx>
          <w:tblCellMar>
            <w:top w:w="0" w:type="dxa"/>
            <w:bottom w:w="0" w:type="dxa"/>
          </w:tblCellMar>
        </w:tblPrEx>
        <w:trPr>
          <w:cantSplit/>
        </w:trPr>
        <w:tc>
          <w:tcPr>
            <w:tcW w:w="9369" w:type="dxa"/>
            <w:gridSpan w:val="3"/>
          </w:tcPr>
          <w:p w:rsidR="00737B35" w:rsidRDefault="00737B35">
            <w:pPr>
              <w:tabs>
                <w:tab w:val="right" w:pos="1080"/>
                <w:tab w:val="right" w:leader="dot" w:pos="9371"/>
              </w:tabs>
              <w:spacing w:after="120"/>
              <w:ind w:left="1080"/>
              <w:rPr>
                <w:rFonts w:hint="eastAsia"/>
              </w:rPr>
            </w:pPr>
            <w:r>
              <w:rPr>
                <w:rFonts w:hint="eastAsia"/>
              </w:rPr>
              <w:t>第8条：国际代表和参与</w:t>
            </w:r>
            <w:r>
              <w:tab/>
            </w:r>
          </w:p>
        </w:tc>
        <w:tc>
          <w:tcPr>
            <w:tcW w:w="533" w:type="dxa"/>
            <w:vAlign w:val="bottom"/>
          </w:tcPr>
          <w:p w:rsidR="00737B35" w:rsidRDefault="00737B35">
            <w:pPr>
              <w:spacing w:after="120"/>
              <w:ind w:right="28"/>
              <w:jc w:val="right"/>
            </w:pPr>
            <w:r>
              <w:t>23</w:t>
            </w:r>
          </w:p>
        </w:tc>
      </w:tr>
      <w:tr w:rsidR="00737B35">
        <w:tblPrEx>
          <w:tblCellMar>
            <w:top w:w="0" w:type="dxa"/>
            <w:bottom w:w="0" w:type="dxa"/>
          </w:tblCellMar>
        </w:tblPrEx>
        <w:trPr>
          <w:cantSplit/>
        </w:trPr>
        <w:tc>
          <w:tcPr>
            <w:tcW w:w="9369" w:type="dxa"/>
            <w:gridSpan w:val="3"/>
          </w:tcPr>
          <w:p w:rsidR="00737B35" w:rsidRDefault="00737B35">
            <w:pPr>
              <w:tabs>
                <w:tab w:val="right" w:pos="1080"/>
                <w:tab w:val="right" w:leader="dot" w:pos="9371"/>
              </w:tabs>
              <w:spacing w:after="120"/>
              <w:ind w:left="1080"/>
              <w:rPr>
                <w:rFonts w:hint="eastAsia"/>
              </w:rPr>
            </w:pPr>
            <w:r>
              <w:rPr>
                <w:rFonts w:hint="eastAsia"/>
              </w:rPr>
              <w:t>第9条：国籍</w:t>
            </w:r>
            <w:r>
              <w:rPr>
                <w:rFonts w:hint="eastAsia"/>
              </w:rPr>
              <w:tab/>
            </w:r>
            <w:r>
              <w:tab/>
            </w:r>
          </w:p>
        </w:tc>
        <w:tc>
          <w:tcPr>
            <w:tcW w:w="533" w:type="dxa"/>
            <w:vAlign w:val="bottom"/>
          </w:tcPr>
          <w:p w:rsidR="00737B35" w:rsidRDefault="00737B35">
            <w:pPr>
              <w:spacing w:after="120"/>
              <w:ind w:right="28"/>
              <w:jc w:val="right"/>
            </w:pPr>
            <w:r>
              <w:t>24</w:t>
            </w:r>
          </w:p>
        </w:tc>
      </w:tr>
      <w:tr w:rsidR="00737B35">
        <w:tblPrEx>
          <w:tblCellMar>
            <w:top w:w="0" w:type="dxa"/>
            <w:bottom w:w="0" w:type="dxa"/>
          </w:tblCellMar>
        </w:tblPrEx>
        <w:trPr>
          <w:cantSplit/>
        </w:trPr>
        <w:tc>
          <w:tcPr>
            <w:tcW w:w="9369" w:type="dxa"/>
            <w:gridSpan w:val="3"/>
          </w:tcPr>
          <w:p w:rsidR="00737B35" w:rsidRDefault="00737B35">
            <w:pPr>
              <w:tabs>
                <w:tab w:val="right" w:pos="1080"/>
                <w:tab w:val="right" w:leader="dot" w:pos="9371"/>
              </w:tabs>
              <w:spacing w:after="120"/>
              <w:ind w:left="1080"/>
              <w:rPr>
                <w:rFonts w:hint="eastAsia"/>
              </w:rPr>
            </w:pPr>
            <w:r>
              <w:rPr>
                <w:rFonts w:hint="eastAsia"/>
              </w:rPr>
              <w:t>第10条：教育</w:t>
            </w:r>
            <w:r>
              <w:tab/>
            </w:r>
          </w:p>
        </w:tc>
        <w:tc>
          <w:tcPr>
            <w:tcW w:w="533" w:type="dxa"/>
            <w:vAlign w:val="bottom"/>
          </w:tcPr>
          <w:p w:rsidR="00737B35" w:rsidRDefault="00737B35">
            <w:pPr>
              <w:spacing w:after="120"/>
              <w:ind w:right="28"/>
              <w:jc w:val="right"/>
            </w:pPr>
            <w:r>
              <w:t>26</w:t>
            </w:r>
          </w:p>
        </w:tc>
      </w:tr>
      <w:tr w:rsidR="00737B35">
        <w:tblPrEx>
          <w:tblCellMar>
            <w:top w:w="0" w:type="dxa"/>
            <w:bottom w:w="0" w:type="dxa"/>
          </w:tblCellMar>
        </w:tblPrEx>
        <w:trPr>
          <w:cantSplit/>
        </w:trPr>
        <w:tc>
          <w:tcPr>
            <w:tcW w:w="9369" w:type="dxa"/>
            <w:gridSpan w:val="3"/>
          </w:tcPr>
          <w:p w:rsidR="00737B35" w:rsidRDefault="00737B35">
            <w:pPr>
              <w:tabs>
                <w:tab w:val="right" w:pos="1080"/>
                <w:tab w:val="right" w:leader="dot" w:pos="9371"/>
              </w:tabs>
              <w:spacing w:after="120"/>
              <w:ind w:left="1080"/>
              <w:rPr>
                <w:rFonts w:hint="eastAsia"/>
              </w:rPr>
            </w:pPr>
            <w:r>
              <w:rPr>
                <w:rFonts w:hint="eastAsia"/>
              </w:rPr>
              <w:t>第11条：就业</w:t>
            </w:r>
            <w:r>
              <w:tab/>
            </w:r>
          </w:p>
        </w:tc>
        <w:tc>
          <w:tcPr>
            <w:tcW w:w="533" w:type="dxa"/>
            <w:vAlign w:val="bottom"/>
          </w:tcPr>
          <w:p w:rsidR="00737B35" w:rsidRDefault="00737B35">
            <w:pPr>
              <w:spacing w:after="120"/>
              <w:ind w:right="28"/>
              <w:jc w:val="right"/>
            </w:pPr>
            <w:r>
              <w:t>33</w:t>
            </w:r>
          </w:p>
        </w:tc>
      </w:tr>
      <w:tr w:rsidR="00737B35">
        <w:tblPrEx>
          <w:tblCellMar>
            <w:top w:w="0" w:type="dxa"/>
            <w:bottom w:w="0" w:type="dxa"/>
          </w:tblCellMar>
        </w:tblPrEx>
        <w:trPr>
          <w:cantSplit/>
        </w:trPr>
        <w:tc>
          <w:tcPr>
            <w:tcW w:w="9369" w:type="dxa"/>
            <w:gridSpan w:val="3"/>
          </w:tcPr>
          <w:p w:rsidR="00737B35" w:rsidRDefault="00737B35">
            <w:pPr>
              <w:tabs>
                <w:tab w:val="right" w:pos="1080"/>
                <w:tab w:val="right" w:leader="dot" w:pos="9371"/>
              </w:tabs>
              <w:spacing w:after="120"/>
              <w:ind w:left="1080"/>
              <w:rPr>
                <w:rFonts w:hint="eastAsia"/>
              </w:rPr>
            </w:pPr>
            <w:r>
              <w:rPr>
                <w:rFonts w:hint="eastAsia"/>
              </w:rPr>
              <w:t>第12条：平等获得保健</w:t>
            </w:r>
            <w:r>
              <w:tab/>
            </w:r>
          </w:p>
        </w:tc>
        <w:tc>
          <w:tcPr>
            <w:tcW w:w="533" w:type="dxa"/>
            <w:vAlign w:val="bottom"/>
          </w:tcPr>
          <w:p w:rsidR="00737B35" w:rsidRDefault="00737B35">
            <w:pPr>
              <w:spacing w:after="120"/>
              <w:ind w:right="28"/>
              <w:jc w:val="right"/>
            </w:pPr>
            <w:r>
              <w:t>39</w:t>
            </w:r>
          </w:p>
        </w:tc>
      </w:tr>
      <w:tr w:rsidR="00737B35">
        <w:tblPrEx>
          <w:tblCellMar>
            <w:top w:w="0" w:type="dxa"/>
            <w:bottom w:w="0" w:type="dxa"/>
          </w:tblCellMar>
        </w:tblPrEx>
        <w:trPr>
          <w:cantSplit/>
        </w:trPr>
        <w:tc>
          <w:tcPr>
            <w:tcW w:w="9369" w:type="dxa"/>
            <w:gridSpan w:val="3"/>
          </w:tcPr>
          <w:p w:rsidR="00737B35" w:rsidRDefault="00737B35">
            <w:pPr>
              <w:tabs>
                <w:tab w:val="right" w:pos="1080"/>
                <w:tab w:val="right" w:leader="dot" w:pos="9371"/>
              </w:tabs>
              <w:spacing w:after="120"/>
              <w:ind w:left="1080"/>
              <w:rPr>
                <w:rFonts w:hint="eastAsia"/>
              </w:rPr>
            </w:pPr>
            <w:r>
              <w:rPr>
                <w:rFonts w:hint="eastAsia"/>
              </w:rPr>
              <w:t>第13条：社会和经济津贴</w:t>
            </w:r>
            <w:r>
              <w:tab/>
            </w:r>
          </w:p>
        </w:tc>
        <w:tc>
          <w:tcPr>
            <w:tcW w:w="533" w:type="dxa"/>
            <w:vAlign w:val="bottom"/>
          </w:tcPr>
          <w:p w:rsidR="00737B35" w:rsidRDefault="00737B35">
            <w:pPr>
              <w:spacing w:after="120"/>
              <w:ind w:right="28"/>
              <w:jc w:val="right"/>
            </w:pPr>
            <w:r>
              <w:t>48</w:t>
            </w:r>
          </w:p>
        </w:tc>
      </w:tr>
      <w:tr w:rsidR="00737B35">
        <w:tblPrEx>
          <w:tblCellMar>
            <w:top w:w="0" w:type="dxa"/>
            <w:bottom w:w="0" w:type="dxa"/>
          </w:tblCellMar>
        </w:tblPrEx>
        <w:trPr>
          <w:cantSplit/>
        </w:trPr>
        <w:tc>
          <w:tcPr>
            <w:tcW w:w="9369" w:type="dxa"/>
            <w:gridSpan w:val="3"/>
          </w:tcPr>
          <w:p w:rsidR="00737B35" w:rsidRDefault="00737B35">
            <w:pPr>
              <w:tabs>
                <w:tab w:val="right" w:pos="1080"/>
                <w:tab w:val="right" w:leader="dot" w:pos="9371"/>
              </w:tabs>
              <w:spacing w:after="120"/>
              <w:ind w:left="1080"/>
              <w:rPr>
                <w:rFonts w:hint="eastAsia"/>
              </w:rPr>
            </w:pPr>
            <w:r>
              <w:rPr>
                <w:rFonts w:hint="eastAsia"/>
              </w:rPr>
              <w:t>第14条：农村妇女</w:t>
            </w:r>
            <w:r>
              <w:tab/>
            </w:r>
          </w:p>
        </w:tc>
        <w:tc>
          <w:tcPr>
            <w:tcW w:w="533" w:type="dxa"/>
            <w:vAlign w:val="bottom"/>
          </w:tcPr>
          <w:p w:rsidR="00737B35" w:rsidRDefault="00737B35">
            <w:pPr>
              <w:spacing w:after="120"/>
              <w:ind w:right="28"/>
              <w:jc w:val="right"/>
            </w:pPr>
            <w:r>
              <w:t>51</w:t>
            </w:r>
          </w:p>
        </w:tc>
      </w:tr>
      <w:tr w:rsidR="00737B35">
        <w:tblPrEx>
          <w:tblCellMar>
            <w:top w:w="0" w:type="dxa"/>
            <w:bottom w:w="0" w:type="dxa"/>
          </w:tblCellMar>
        </w:tblPrEx>
        <w:trPr>
          <w:cantSplit/>
        </w:trPr>
        <w:tc>
          <w:tcPr>
            <w:tcW w:w="9369" w:type="dxa"/>
            <w:gridSpan w:val="3"/>
          </w:tcPr>
          <w:p w:rsidR="00737B35" w:rsidRDefault="00737B35">
            <w:pPr>
              <w:tabs>
                <w:tab w:val="right" w:pos="1080"/>
                <w:tab w:val="right" w:leader="dot" w:pos="9371"/>
              </w:tabs>
              <w:spacing w:after="120"/>
              <w:ind w:left="1080"/>
              <w:rPr>
                <w:rFonts w:hint="eastAsia"/>
              </w:rPr>
            </w:pPr>
            <w:r>
              <w:rPr>
                <w:rFonts w:hint="eastAsia"/>
              </w:rPr>
              <w:t>第15条：在法律面前和公民事务方面人人平等</w:t>
            </w:r>
            <w:r>
              <w:tab/>
            </w:r>
          </w:p>
        </w:tc>
        <w:tc>
          <w:tcPr>
            <w:tcW w:w="533" w:type="dxa"/>
            <w:vAlign w:val="bottom"/>
          </w:tcPr>
          <w:p w:rsidR="00737B35" w:rsidRDefault="00737B35">
            <w:pPr>
              <w:spacing w:after="120"/>
              <w:ind w:right="28"/>
              <w:jc w:val="right"/>
            </w:pPr>
            <w:r>
              <w:t>60</w:t>
            </w:r>
          </w:p>
        </w:tc>
      </w:tr>
      <w:tr w:rsidR="00737B35">
        <w:tblPrEx>
          <w:tblCellMar>
            <w:top w:w="0" w:type="dxa"/>
            <w:bottom w:w="0" w:type="dxa"/>
          </w:tblCellMar>
        </w:tblPrEx>
        <w:trPr>
          <w:cantSplit/>
        </w:trPr>
        <w:tc>
          <w:tcPr>
            <w:tcW w:w="9369" w:type="dxa"/>
            <w:gridSpan w:val="3"/>
          </w:tcPr>
          <w:p w:rsidR="00737B35" w:rsidRDefault="00737B35">
            <w:pPr>
              <w:tabs>
                <w:tab w:val="right" w:pos="1080"/>
                <w:tab w:val="right" w:leader="dot" w:pos="9371"/>
              </w:tabs>
              <w:spacing w:after="120"/>
              <w:ind w:left="1080"/>
              <w:rPr>
                <w:rFonts w:hint="eastAsia"/>
              </w:rPr>
            </w:pPr>
            <w:r>
              <w:rPr>
                <w:rFonts w:hint="eastAsia"/>
              </w:rPr>
              <w:t>第16条：婚姻平等与家庭法</w:t>
            </w:r>
            <w:r>
              <w:tab/>
            </w:r>
          </w:p>
        </w:tc>
        <w:tc>
          <w:tcPr>
            <w:tcW w:w="533" w:type="dxa"/>
            <w:vAlign w:val="bottom"/>
          </w:tcPr>
          <w:p w:rsidR="00737B35" w:rsidRDefault="00737B35">
            <w:pPr>
              <w:spacing w:after="120"/>
              <w:ind w:right="28"/>
              <w:jc w:val="right"/>
            </w:pPr>
            <w:r>
              <w:t>63</w:t>
            </w:r>
          </w:p>
        </w:tc>
      </w:tr>
    </w:tbl>
    <w:p w:rsidR="00737B35" w:rsidRDefault="00737B35"/>
    <w:p w:rsidR="00737B35" w:rsidRDefault="00737B35">
      <w:pPr>
        <w:pStyle w:val="SingleTxt"/>
      </w:pPr>
    </w:p>
    <w:p w:rsidR="00737B35" w:rsidRDefault="00737B35">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第一部分</w:t>
      </w:r>
    </w:p>
    <w:p w:rsidR="00737B35" w:rsidRDefault="00737B35">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导 言</w:t>
      </w: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8" w:right="1264" w:hanging="1264"/>
        <w:jc w:val="both"/>
        <w:rPr>
          <w:rFonts w:hint="eastAsia"/>
          <w:sz w:val="10"/>
        </w:rPr>
      </w:pP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8" w:right="1264" w:hanging="1264"/>
        <w:jc w:val="both"/>
        <w:rPr>
          <w:rFonts w:hint="eastAsia"/>
          <w:sz w:val="10"/>
        </w:rPr>
      </w:pP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土地和人民</w:t>
      </w:r>
    </w:p>
    <w:p w:rsidR="00737B35" w:rsidRDefault="00737B35">
      <w:pPr>
        <w:pStyle w:val="SingleTxt"/>
        <w:spacing w:after="0" w:line="120" w:lineRule="exact"/>
        <w:rPr>
          <w:rFonts w:hint="eastAsia"/>
          <w:sz w:val="10"/>
        </w:rPr>
      </w:pPr>
    </w:p>
    <w:p w:rsidR="00737B35" w:rsidRDefault="00737B35">
      <w:pPr>
        <w:pStyle w:val="SingleTxt"/>
        <w:spacing w:after="0" w:line="120" w:lineRule="exact"/>
        <w:rPr>
          <w:rFonts w:hint="eastAsia"/>
          <w:sz w:val="10"/>
        </w:rPr>
      </w:pPr>
    </w:p>
    <w:p w:rsidR="00737B35" w:rsidRDefault="00737B35">
      <w:pPr>
        <w:pStyle w:val="SingleTxt"/>
        <w:rPr>
          <w:rFonts w:hint="eastAsia"/>
        </w:rPr>
      </w:pPr>
      <w:r>
        <w:rPr>
          <w:rFonts w:hint="eastAsia"/>
        </w:rPr>
        <w:tab/>
        <w:t>老挝人民民主共和国（老挝共和国）位于印度支那半岛、与中国、越南、柬埔寨、泰国和缅甸等国为邻，它们全都是发展中国家。老挝共和国是一个内陆国家。湄公河自北向南流经该国。老挝仍是一个不发达国家，人民生活在贫困之中。城市与农村地区及平原与山区之间的生活条件存在着巨大的差距。老挝共和国有520万人口；76％的人口生活在平原地区，22％生活在城市地区。首都万象有居民528 109人。人口密度为每平方公里19.3人，该国人口非常稀少。</w:t>
      </w:r>
    </w:p>
    <w:p w:rsidR="00737B35" w:rsidRDefault="00737B35">
      <w:pPr>
        <w:pStyle w:val="SingleTxt"/>
        <w:rPr>
          <w:rFonts w:hint="eastAsia"/>
        </w:rPr>
      </w:pPr>
      <w:r>
        <w:rPr>
          <w:rFonts w:hint="eastAsia"/>
        </w:rPr>
        <w:tab/>
        <w:t>出生预期寿命妇女为61岁，男子为57岁。婴儿死亡率为每一千个活产82名，1至5岁每一千个活产170名。产妇死亡率为530/10万，而生育率为4.9（2000年人口普查）。</w:t>
      </w:r>
    </w:p>
    <w:p w:rsidR="00737B35" w:rsidRDefault="00737B35">
      <w:pPr>
        <w:pStyle w:val="SingleTxt"/>
        <w:rPr>
          <w:rFonts w:hint="eastAsia"/>
        </w:rPr>
      </w:pPr>
      <w:r>
        <w:rPr>
          <w:rFonts w:hint="eastAsia"/>
        </w:rPr>
        <w:tab/>
        <w:t>根据1995年人口普查，成人总体识字率在15岁以上人口中为60％。男子的识字率比妇女的要高得多，分别占74％和48％。城市地区的识字率（85％）远高于农村地区（55％）。</w:t>
      </w:r>
    </w:p>
    <w:p w:rsidR="00737B35" w:rsidRDefault="00737B35">
      <w:pPr>
        <w:pStyle w:val="SingleTxt"/>
        <w:rPr>
          <w:rFonts w:hint="eastAsia"/>
        </w:rPr>
      </w:pPr>
      <w:r>
        <w:rPr>
          <w:rFonts w:hint="eastAsia"/>
        </w:rPr>
        <w:tab/>
        <w:t>大约65％的人口为佛教徒，33％为泛灵论信徒。人口的百分之一为基督徒（1995年人口普查）。</w:t>
      </w:r>
    </w:p>
    <w:p w:rsidR="00737B35" w:rsidRDefault="00737B35">
      <w:pPr>
        <w:pStyle w:val="SingleTxt"/>
        <w:rPr>
          <w:rFonts w:hint="eastAsia"/>
        </w:rPr>
      </w:pPr>
      <w:r>
        <w:rPr>
          <w:rFonts w:hint="eastAsia"/>
        </w:rPr>
        <w:tab/>
        <w:t>人口普查（1995年）承认48个不同的民族群体，其中又分为4个较大的分群体。在接受调查的人口中，53％为老挝族（主要老族），11％为克穆族，10％为 Phutai族，7％为赫蒙族，2.88％为卢埃族，2.03％为Katang族，1.97％为Mahkong族，1.64％为阿卡族。人口其余部分由其他40多个民族群体共同组成。</w:t>
      </w:r>
    </w:p>
    <w:p w:rsidR="00737B35" w:rsidRDefault="00737B35">
      <w:pPr>
        <w:pStyle w:val="SingleTxt"/>
        <w:rPr>
          <w:rFonts w:hint="eastAsia"/>
        </w:rPr>
      </w:pPr>
      <w:r>
        <w:rPr>
          <w:rFonts w:hint="eastAsia"/>
        </w:rPr>
        <w:tab/>
        <w:t>本国的官方语言是老挝语，但是几乎所有的民族群体都有本族的语言，尽管并非始终采用书面形式。</w:t>
      </w:r>
    </w:p>
    <w:p w:rsidR="00737B35" w:rsidRDefault="00737B35">
      <w:pPr>
        <w:pStyle w:val="SingleTxt"/>
        <w:rPr>
          <w:rFonts w:hint="eastAsia"/>
        </w:rPr>
      </w:pPr>
      <w:r>
        <w:rPr>
          <w:rFonts w:hint="eastAsia"/>
        </w:rPr>
        <w:tab/>
        <w:t>从家庭经济开始，工业和服务业刚刚兴起。生产力发展缓慢。大多数农民仍使用落后的器具。产出低下，仅够家庭消费。市场货物的生产仍然有限。工人数量仍然很少，而且他们的专业知识和技能都有限。整个人口的知识程度低下。</w:t>
      </w:r>
    </w:p>
    <w:p w:rsidR="00737B35" w:rsidRDefault="00737B35">
      <w:pPr>
        <w:pStyle w:val="SingleTxt"/>
        <w:rPr>
          <w:rFonts w:hint="eastAsia"/>
        </w:rPr>
      </w:pPr>
      <w:r>
        <w:rPr>
          <w:rFonts w:hint="eastAsia"/>
        </w:rPr>
        <w:tab/>
        <w:t>老挝政府于1986年推出了新的经济机制以促成迅速的经济改革并从中央计划经济转向以开放市场为主的体系。一揽子经济改革方案包括各种措施以纠正宏观经济失衡，废除物价管制，以及通过消除大部分进口限制、减少进口税和废除或大幅度降低出口税等放宽贸易。</w:t>
      </w:r>
    </w:p>
    <w:p w:rsidR="00737B35" w:rsidRDefault="00737B35">
      <w:pPr>
        <w:pStyle w:val="SingleTxt"/>
        <w:rPr>
          <w:rFonts w:hint="eastAsia"/>
        </w:rPr>
      </w:pPr>
      <w:r>
        <w:rPr>
          <w:rFonts w:hint="eastAsia"/>
        </w:rPr>
        <w:tab/>
        <w:t>与此同时，建立了市场决定的汇率制，实行了双重银行体系，并发起了税制改革。重组了公共行政和国有企业，并对政府开支实行了合理化。修订了各种法律以鼓励私营企业、银行、保险、贸易和外国投资。</w:t>
      </w:r>
    </w:p>
    <w:p w:rsidR="00737B35" w:rsidRDefault="00737B35">
      <w:pPr>
        <w:pStyle w:val="SingleTxt"/>
        <w:rPr>
          <w:rFonts w:hint="eastAsia"/>
        </w:rPr>
      </w:pPr>
      <w:r>
        <w:rPr>
          <w:rFonts w:hint="eastAsia"/>
        </w:rPr>
        <w:tab/>
        <w:t>尽管有这些改革，老挝共和国仍包括在最不发达国家之列，但是政府已制定了到2020年前超出这个类别的目标。1997年国民生产总值为19亿美元，人均国民生产总值为400美元。1992至1997年国内生产总值年均增长7％，但1998至1999年降至5.2％，主要的原因是亚洲经济危机。在国内生产总值中农业占52.1％，工业占21.4％，制造业占16.4％，服务业占26.5％（开发协会，1999年）。据1995年人口普查，失业率为2.4％。</w:t>
      </w:r>
    </w:p>
    <w:p w:rsidR="00737B35" w:rsidRDefault="00737B35">
      <w:pPr>
        <w:pStyle w:val="SingleTxt"/>
        <w:rPr>
          <w:rFonts w:hint="eastAsia"/>
        </w:rPr>
      </w:pPr>
      <w:r>
        <w:rPr>
          <w:rFonts w:hint="eastAsia"/>
        </w:rPr>
        <w:tab/>
        <w:t>通货膨胀对本国货币基普的压力非常大。从1997年最后一个季度直至1999年第三季度，本国货币基普的汇率从1 793基普/1美元变至8 909基普/1美元。由于政府采取行动，1999年最后一个季度货币稳定至7 500基普/1美元，并在2000年第一季度保持了这一汇率。1997年未清和拨付的外债为23.9亿美元（开发协会，1999年）。</w:t>
      </w: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总的政治结构</w:t>
      </w:r>
    </w:p>
    <w:p w:rsidR="00737B35" w:rsidRDefault="00737B35">
      <w:pPr>
        <w:pStyle w:val="SingleTxt"/>
        <w:spacing w:after="0" w:line="120" w:lineRule="exact"/>
        <w:rPr>
          <w:rFonts w:hint="eastAsia"/>
          <w:sz w:val="10"/>
        </w:rPr>
      </w:pPr>
    </w:p>
    <w:p w:rsidR="00737B35" w:rsidRDefault="00737B35">
      <w:pPr>
        <w:pStyle w:val="SingleTxt"/>
        <w:rPr>
          <w:rFonts w:hint="eastAsia"/>
        </w:rPr>
      </w:pPr>
      <w:r>
        <w:rPr>
          <w:rFonts w:hint="eastAsia"/>
        </w:rPr>
        <w:tab/>
        <w:t>老挝共和国由老挝人民革命党（老革党）领导，实行一党制，该党有一个从中央到地方一级的领导结构。国家的治理和管理根据宪法和法律进行。</w:t>
      </w:r>
    </w:p>
    <w:p w:rsidR="00737B35" w:rsidRDefault="00737B35">
      <w:pPr>
        <w:pStyle w:val="SingleTxt"/>
        <w:rPr>
          <w:rFonts w:hint="eastAsia"/>
        </w:rPr>
      </w:pPr>
      <w:r>
        <w:rPr>
          <w:rFonts w:hint="eastAsia"/>
        </w:rPr>
        <w:tab/>
        <w:t>群众组织在党的领导下开展活动，包括老挝国家建设阵线、老挝人民革命青年联盟、老挝妇女联盟和老挝工会联合会。它们作为团结机构开展活动，在党的领导下，以工人、农民、知识分子和爱国人士之间的联盟为基础，团结各族人民、各社会阶层和宗教，增强民族团结，调集群众的力量捍卫和建设国家。老挝人民革命青年联盟教育和训练青年和年轻先进分子忠于祖国，成为党的事业的接班人。老挝妇女联盟提高各个领域妇女的知识和技能，并促进妇女在社会中的作用和实行男女平等。与此同时，它还必须积极发挥作用保护母子的利益。老挝工会联合会教育工人成为好公民。它有纪律并保护劳动人民的权益。</w:t>
      </w:r>
    </w:p>
    <w:p w:rsidR="00737B35" w:rsidRDefault="00737B35">
      <w:pPr>
        <w:pStyle w:val="SingleTxt"/>
        <w:rPr>
          <w:rFonts w:hint="eastAsia"/>
        </w:rPr>
      </w:pPr>
      <w:r>
        <w:rPr>
          <w:rFonts w:hint="eastAsia"/>
        </w:rPr>
        <w:tab/>
        <w:t>1992年以前，全国一级拥有最高人民议会，省县两级拥有人民议会。最高人民议会由国民议会取代，国民议会于1992年年底首次选出，负责制定法律和批准预算。国民议会即第四届立法机关，由99个席位组成，其中妇女占21席。国民议会的选举每五年进行一次。</w:t>
      </w:r>
    </w:p>
    <w:p w:rsidR="00737B35" w:rsidRDefault="00737B35">
      <w:pPr>
        <w:pStyle w:val="SingleTxt"/>
        <w:rPr>
          <w:rFonts w:hint="eastAsia"/>
        </w:rPr>
      </w:pPr>
      <w:r>
        <w:rPr>
          <w:rFonts w:hint="eastAsia"/>
        </w:rPr>
        <w:tab/>
        <w:t>首部宪法于1991年通过，它赋予老挝共和国政府以管理所有领域（政治、经济、文化、社会、国防和安全及外交事务）国家职责履行的权利。就制定法律而言，政府将法律草案提交国民议会，将法令草案和法规草案提交共和国主席。</w:t>
      </w:r>
    </w:p>
    <w:p w:rsidR="00737B35" w:rsidRDefault="00737B35">
      <w:pPr>
        <w:pStyle w:val="SingleTxt"/>
        <w:rPr>
          <w:rFonts w:hint="eastAsia"/>
        </w:rPr>
      </w:pPr>
      <w:r>
        <w:rPr>
          <w:rFonts w:hint="eastAsia"/>
        </w:rPr>
        <w:tab/>
        <w:t>省市两级分别设有省长和市长。县有县长，村有村长。省长和市长各配副省长和副市长。各级都有责任履行宪法和法律，并组织严格实施上级发布的决定和命令。</w:t>
      </w:r>
    </w:p>
    <w:p w:rsidR="00737B35" w:rsidRDefault="00737B35">
      <w:pPr>
        <w:pStyle w:val="SingleTxt"/>
        <w:rPr>
          <w:rFonts w:hint="eastAsia"/>
        </w:rPr>
      </w:pPr>
      <w:r>
        <w:rPr>
          <w:rFonts w:hint="eastAsia"/>
        </w:rPr>
        <w:tab/>
        <w:t>目前，老挝共和国约有44项法律和数百项法令和条例。总之，与其他国家相比，老挝共和国的整个法律框架比较新。法律人员数量有限，而且迫切需要受过培训的法律人员和培训现有的法律人员。</w:t>
      </w:r>
    </w:p>
    <w:p w:rsidR="00737B35" w:rsidRDefault="00737B35">
      <w:pPr>
        <w:pStyle w:val="SingleTxt"/>
        <w:rPr>
          <w:rFonts w:hint="eastAsia"/>
        </w:rPr>
      </w:pPr>
      <w:r>
        <w:rPr>
          <w:rFonts w:hint="eastAsia"/>
        </w:rPr>
        <w:tab/>
        <w:t>有权提出法律草案的组织和个人如下：共和国主席、国民议会常设委员会、政府、人民最高法院、总检察长和中央一级的群众组织。</w:t>
      </w:r>
    </w:p>
    <w:p w:rsidR="00737B35" w:rsidRDefault="00737B35">
      <w:pPr>
        <w:pStyle w:val="SingleTxt"/>
        <w:rPr>
          <w:rFonts w:hint="eastAsia"/>
        </w:rPr>
      </w:pPr>
      <w:r>
        <w:rPr>
          <w:rFonts w:hint="eastAsia"/>
        </w:rPr>
        <w:tab/>
        <w:t>起草法律的过程共有4个主要步骤：</w:t>
      </w:r>
    </w:p>
    <w:p w:rsidR="00737B35" w:rsidRDefault="00737B35">
      <w:pPr>
        <w:pStyle w:val="SingleTxt"/>
        <w:ind w:left="2126" w:hanging="431"/>
        <w:rPr>
          <w:rFonts w:hint="eastAsia"/>
        </w:rPr>
      </w:pPr>
      <w:r>
        <w:rPr>
          <w:rFonts w:hint="eastAsia"/>
        </w:rPr>
        <w:t>1.</w:t>
      </w:r>
      <w:r>
        <w:rPr>
          <w:rFonts w:hint="eastAsia"/>
        </w:rPr>
        <w:tab/>
        <w:t>由主管部提出议案。</w:t>
      </w:r>
    </w:p>
    <w:p w:rsidR="00737B35" w:rsidRDefault="00737B35">
      <w:pPr>
        <w:pStyle w:val="SingleTxt"/>
        <w:ind w:left="2126" w:hanging="431"/>
        <w:rPr>
          <w:rFonts w:hint="eastAsia"/>
        </w:rPr>
      </w:pPr>
      <w:r>
        <w:rPr>
          <w:rFonts w:hint="eastAsia"/>
        </w:rPr>
        <w:t>2.</w:t>
      </w:r>
      <w:r>
        <w:rPr>
          <w:rFonts w:hint="eastAsia"/>
        </w:rPr>
        <w:tab/>
        <w:t>将议案提交司法部进行法律审查（法律委员会）。</w:t>
      </w:r>
    </w:p>
    <w:p w:rsidR="00737B35" w:rsidRDefault="00737B35">
      <w:pPr>
        <w:pStyle w:val="SingleTxt"/>
        <w:ind w:left="2126" w:hanging="431"/>
        <w:rPr>
          <w:rFonts w:hint="eastAsia"/>
        </w:rPr>
      </w:pPr>
      <w:r>
        <w:rPr>
          <w:rFonts w:hint="eastAsia"/>
        </w:rPr>
        <w:t>3.</w:t>
      </w:r>
      <w:r>
        <w:rPr>
          <w:rFonts w:hint="eastAsia"/>
        </w:rPr>
        <w:tab/>
        <w:t>将议案提交总理府法律部由总理府本身和其他政府代表审查并由总理签署。</w:t>
      </w:r>
    </w:p>
    <w:p w:rsidR="00737B35" w:rsidRDefault="00737B35">
      <w:pPr>
        <w:pStyle w:val="SingleTxt"/>
        <w:ind w:left="2126" w:hanging="431"/>
        <w:rPr>
          <w:rFonts w:hint="eastAsia"/>
        </w:rPr>
      </w:pPr>
      <w:r>
        <w:rPr>
          <w:rFonts w:hint="eastAsia"/>
        </w:rPr>
        <w:t>4.</w:t>
      </w:r>
      <w:r>
        <w:rPr>
          <w:rFonts w:hint="eastAsia"/>
        </w:rPr>
        <w:tab/>
        <w:t>将议案发给国民议会，由常设委员会的立法起草委员会审查，提出法律意见和修改建议。如果需要修改，将议案发给司法部。</w:t>
      </w:r>
    </w:p>
    <w:p w:rsidR="00737B35" w:rsidRDefault="00737B35">
      <w:pPr>
        <w:pStyle w:val="SingleTxt"/>
        <w:ind w:left="2126" w:hanging="431"/>
        <w:rPr>
          <w:rFonts w:hint="eastAsia"/>
        </w:rPr>
      </w:pPr>
      <w:r>
        <w:rPr>
          <w:rFonts w:hint="eastAsia"/>
        </w:rPr>
        <w:t>5.</w:t>
      </w:r>
      <w:r>
        <w:rPr>
          <w:rFonts w:hint="eastAsia"/>
        </w:rPr>
        <w:tab/>
        <w:t>将议案发给国民议会会议批准。</w:t>
      </w:r>
    </w:p>
    <w:p w:rsidR="00737B35" w:rsidRDefault="00737B35">
      <w:pPr>
        <w:pStyle w:val="SingleTxt"/>
        <w:rPr>
          <w:rFonts w:hint="eastAsia"/>
        </w:rPr>
      </w:pPr>
      <w:r>
        <w:tab/>
      </w:r>
      <w:r>
        <w:rPr>
          <w:rFonts w:hint="eastAsia"/>
        </w:rPr>
        <w:t>公众参与老挝立法起草过程是一个追求的原则，并被认为对老挝共和国政府具有巨大的重要性。现正在使这项程序标准化和系统地普遍化。</w:t>
      </w: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国际条约的执行</w:t>
      </w:r>
    </w:p>
    <w:p w:rsidR="00737B35" w:rsidRDefault="00737B35">
      <w:pPr>
        <w:pStyle w:val="SingleTxt"/>
        <w:spacing w:after="0" w:line="120" w:lineRule="exact"/>
        <w:rPr>
          <w:rFonts w:hint="eastAsia"/>
          <w:sz w:val="10"/>
        </w:rPr>
      </w:pPr>
    </w:p>
    <w:p w:rsidR="00737B35" w:rsidRDefault="00737B35">
      <w:pPr>
        <w:pStyle w:val="SingleTxt"/>
        <w:rPr>
          <w:rFonts w:hint="eastAsia"/>
        </w:rPr>
      </w:pPr>
      <w:r>
        <w:tab/>
      </w:r>
      <w:r>
        <w:rPr>
          <w:rFonts w:hint="eastAsia"/>
        </w:rPr>
        <w:t>老挝共和国党和政府致力于参加和批准国际条约。它们按照老挝共和国的特点和现实情况积极执行这些条约以促进进步和保护多民族老挝妇女的权益。不过，由于缺乏经验和人力资源，还未将很大部分的国际条约义务转化为可持续和有效的国家立法和行政活动。</w:t>
      </w: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保护人权的总的法律框架</w:t>
      </w:r>
    </w:p>
    <w:p w:rsidR="00737B35" w:rsidRDefault="00737B35">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8" w:right="1264" w:hanging="1264"/>
        <w:jc w:val="both"/>
        <w:rPr>
          <w:rFonts w:hint="eastAsia"/>
          <w:sz w:val="10"/>
        </w:rPr>
      </w:pPr>
    </w:p>
    <w:p w:rsidR="00737B35" w:rsidRDefault="00737B35">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信息和教育</w:t>
      </w:r>
    </w:p>
    <w:p w:rsidR="00737B35" w:rsidRDefault="00737B35">
      <w:pPr>
        <w:pStyle w:val="SingleTxt"/>
        <w:spacing w:after="0" w:line="120" w:lineRule="exact"/>
        <w:rPr>
          <w:rFonts w:hint="eastAsia"/>
          <w:sz w:val="10"/>
        </w:rPr>
      </w:pPr>
    </w:p>
    <w:p w:rsidR="00737B35" w:rsidRDefault="00737B35">
      <w:pPr>
        <w:pStyle w:val="SingleTxt"/>
        <w:rPr>
          <w:rFonts w:hint="eastAsia"/>
        </w:rPr>
      </w:pPr>
      <w:r>
        <w:tab/>
      </w:r>
      <w:r>
        <w:rPr>
          <w:rFonts w:hint="eastAsia"/>
        </w:rPr>
        <w:t>为纪念《人权宣言》五十周年，老挝共和国政府将部分主要人权条约翻译成老挝文并将这些译文分发给主要政府官员和通过公共图书馆分发给一般公众。为了纪念《人权宣言》五十周年，政府还核准在全国进行了一次邮票竞赛。400多幅设计图画参加了竞赛，并将被认为最能传达普遍人权信息的图画入选印成邮票。还将最佳图画选用于明信片，明信片展览在全国各地巡回，展示在邮局以提高公众对人权的认识。</w:t>
      </w:r>
    </w:p>
    <w:p w:rsidR="00737B35" w:rsidRDefault="00737B35">
      <w:pPr>
        <w:pStyle w:val="SingleTxt"/>
        <w:rPr>
          <w:rFonts w:hint="eastAsia"/>
        </w:rPr>
      </w:pPr>
      <w:r>
        <w:tab/>
      </w:r>
      <w:r>
        <w:rPr>
          <w:rFonts w:hint="eastAsia"/>
        </w:rPr>
        <w:t>1999年7月为主要的部长、副部长和政府官员组织了一次国际公约和条约问题研讨会。多边人权条约构成研讨会议程的一部分。</w:t>
      </w:r>
    </w:p>
    <w:p w:rsidR="00737B35" w:rsidRDefault="00737B35">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第二部分</w:t>
      </w: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2528" w:right="1264" w:hanging="1264"/>
        <w:jc w:val="both"/>
        <w:rPr>
          <w:rFonts w:hint="eastAsia"/>
          <w:sz w:val="10"/>
        </w:rPr>
      </w:pP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 xml:space="preserve">第1条 </w:t>
      </w:r>
      <w:r>
        <w:t xml:space="preserve"> </w:t>
      </w:r>
      <w:r>
        <w:rPr>
          <w:rFonts w:hint="eastAsia"/>
        </w:rPr>
        <w:t>歧视妇女的定义</w:t>
      </w:r>
    </w:p>
    <w:p w:rsidR="00737B35" w:rsidRDefault="00737B35">
      <w:pPr>
        <w:pStyle w:val="SingleTxt"/>
        <w:spacing w:after="0" w:line="120" w:lineRule="exact"/>
        <w:rPr>
          <w:rFonts w:hint="eastAsia"/>
          <w:sz w:val="10"/>
        </w:rPr>
      </w:pPr>
    </w:p>
    <w:p w:rsidR="00737B35" w:rsidRDefault="00737B35">
      <w:pPr>
        <w:pStyle w:val="SingleTxt"/>
        <w:ind w:left="1695"/>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为本公约的目的，“对妇女的歧视”一词指基于性别而作的任何区别、排斥或限制，其影响或目的均足以妨碍或否认妇女不论已婚未婚在男女平等的基础上认识、享有或行使在政治、经济、社会、文化、公民或任何其他方面的人权和基本自由。</w:t>
      </w:r>
    </w:p>
    <w:p w:rsidR="00737B35" w:rsidRDefault="00737B35">
      <w:pPr>
        <w:pStyle w:val="SingleTxt"/>
        <w:rPr>
          <w:rFonts w:hint="eastAsia"/>
        </w:rPr>
      </w:pPr>
      <w:r>
        <w:tab/>
      </w:r>
      <w:r>
        <w:rPr>
          <w:rFonts w:hint="eastAsia"/>
        </w:rPr>
        <w:t>在老挝共和国，没有任何法规专门界定对妇女的歧视。不过由于该国是公约缔约国，该国承认结束任何形式性别引起的对妇女的歧视的法律义务。</w:t>
      </w:r>
    </w:p>
    <w:p w:rsidR="00737B35" w:rsidRDefault="00737B35">
      <w:pPr>
        <w:pStyle w:val="SingleTxt"/>
        <w:rPr>
          <w:rFonts w:hint="eastAsia"/>
        </w:rPr>
      </w:pPr>
      <w:r>
        <w:tab/>
      </w:r>
      <w:r>
        <w:rPr>
          <w:rFonts w:hint="eastAsia"/>
        </w:rPr>
        <w:t>宪法的下列条款提到上述对歧视的解释：</w:t>
      </w:r>
    </w:p>
    <w:p w:rsidR="00737B35" w:rsidRDefault="00737B35">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第6条：“国家保护人民不容侵犯的权利和民主自由。所有国家组织和职能部门必须向人民通报各种政策、条例和法律和对他们进行教育，并与人民一道执行它们以便保证人民的合法权益。禁止所有可能有损人民荣誉、身体、生命、良知和财产的骚扰行为。”</w:t>
      </w:r>
    </w:p>
    <w:p w:rsidR="00737B35" w:rsidRDefault="00737B35">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第8条：“国家奉行各族人民团结和平等的政策。所有民族群体均有权保护、保留和促进它们的优良风俗和文化以及国家的风俗和文化。禁止一切对民族群体进行分裂和歧视的行为。”</w:t>
      </w:r>
    </w:p>
    <w:p w:rsidR="00737B35" w:rsidRDefault="00737B35">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第22条：“老挝公民不论其性别、社会地位、教育、信仰和民族群体，在法律面前人人平等。”</w:t>
      </w:r>
    </w:p>
    <w:p w:rsidR="00737B35" w:rsidRDefault="00737B35">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第24条：“老挝男女公民在政治、经济、文化及社会和家庭事务方面均享有平等权利。”</w:t>
      </w: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第2条  消除歧视的义务</w:t>
      </w:r>
    </w:p>
    <w:p w:rsidR="00737B35" w:rsidRDefault="00737B35">
      <w:pPr>
        <w:pStyle w:val="SingleTxt"/>
        <w:spacing w:after="0" w:line="120" w:lineRule="exact"/>
        <w:rPr>
          <w:rFonts w:hint="eastAsia"/>
          <w:sz w:val="10"/>
        </w:rPr>
      </w:pPr>
    </w:p>
    <w:p w:rsidR="00737B35" w:rsidRDefault="00737B35">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缔约各国谴责对妇女一切形式的歧视，同意立即用一切适当办法，推行政策，消除对妇女的歧视。为此目的，承担：</w:t>
      </w:r>
    </w:p>
    <w:p w:rsidR="00737B35" w:rsidRDefault="00737B35">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(a)</w:t>
      </w:r>
      <w:r>
        <w:rPr>
          <w:rFonts w:ascii="KaiTi_GB2312" w:eastAsia="KaiTi_GB2312" w:hint="eastAsia"/>
          <w:color w:val="0000FF"/>
        </w:rPr>
        <w:tab/>
        <w:t>男女平等的原则如尚未列入本国宪法或其他有关法律者，应将其列入，并以法律或其他适当办法，保证实现这项原则；</w:t>
      </w:r>
    </w:p>
    <w:p w:rsidR="00737B35" w:rsidRDefault="00737B35">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(b)</w:t>
      </w:r>
      <w:r>
        <w:rPr>
          <w:rFonts w:ascii="KaiTi_GB2312" w:eastAsia="KaiTi_GB2312" w:hint="eastAsia"/>
          <w:color w:val="0000FF"/>
        </w:rPr>
        <w:tab/>
        <w:t>采取适当立法和其他措施，包括适当采取制裁，禁止对妇女的一切歧视；</w:t>
      </w:r>
    </w:p>
    <w:p w:rsidR="00737B35" w:rsidRDefault="00737B35">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(c)</w:t>
      </w:r>
      <w:r>
        <w:rPr>
          <w:rFonts w:ascii="KaiTi_GB2312" w:eastAsia="KaiTi_GB2312" w:hint="eastAsia"/>
          <w:color w:val="0000FF"/>
        </w:rPr>
        <w:tab/>
        <w:t>为妇女与男子平等的权利确立法律保护，通过各国的主管法庭及其他公共机构，保证切实保护妇女不受任何歧视；</w:t>
      </w:r>
    </w:p>
    <w:p w:rsidR="00737B35" w:rsidRDefault="00737B35">
      <w:pPr>
        <w:pStyle w:val="SingleTxt"/>
        <w:rPr>
          <w:rFonts w:ascii="KaiTi_GB2312" w:eastAsia="KaiTi_GB2312"/>
          <w:color w:val="0000FF"/>
        </w:rPr>
      </w:pPr>
      <w:r>
        <w:rPr>
          <w:rFonts w:ascii="KaiTi_GB2312" w:eastAsia="KaiTi_GB2312"/>
          <w:color w:val="0000FF"/>
        </w:rPr>
        <w:tab/>
      </w:r>
      <w:r>
        <w:rPr>
          <w:rFonts w:ascii="KaiTi_GB2312" w:eastAsia="KaiTi_GB2312" w:hint="eastAsia"/>
          <w:color w:val="0000FF"/>
        </w:rPr>
        <w:t>(d)</w:t>
      </w:r>
      <w:r>
        <w:rPr>
          <w:rFonts w:ascii="KaiTi_GB2312" w:eastAsia="KaiTi_GB2312" w:hint="eastAsia"/>
          <w:color w:val="0000FF"/>
        </w:rPr>
        <w:tab/>
        <w:t>不采取任何歧视妇女的行为或做法，并保证公共当局和公共机构的行动都不违背这项义务；</w:t>
      </w:r>
      <w:r>
        <w:rPr>
          <w:rFonts w:ascii="KaiTi_GB2312" w:eastAsia="KaiTi_GB2312"/>
          <w:color w:val="0000FF"/>
        </w:rPr>
        <w:tab/>
      </w:r>
    </w:p>
    <w:p w:rsidR="00737B35" w:rsidRDefault="00737B35">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(e)</w:t>
      </w:r>
      <w:r>
        <w:rPr>
          <w:rFonts w:ascii="KaiTi_GB2312" w:eastAsia="KaiTi_GB2312" w:hint="eastAsia"/>
          <w:color w:val="0000FF"/>
        </w:rPr>
        <w:tab/>
        <w:t>应采取一切适当措施，消除任何个人、组织或企业对妇女的歧视；</w:t>
      </w:r>
    </w:p>
    <w:p w:rsidR="00737B35" w:rsidRDefault="00737B35">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(f)</w:t>
      </w:r>
      <w:r>
        <w:rPr>
          <w:rFonts w:ascii="KaiTi_GB2312" w:eastAsia="KaiTi_GB2312" w:hint="eastAsia"/>
          <w:color w:val="0000FF"/>
        </w:rPr>
        <w:tab/>
        <w:t>应采取一切适当措施，包括制定法律，以修改或废除构成对妇女歧视的现行法律、规章、习俗和惯例；</w:t>
      </w:r>
    </w:p>
    <w:p w:rsidR="00737B35" w:rsidRDefault="00737B35">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(g)</w:t>
      </w:r>
      <w:r>
        <w:rPr>
          <w:rFonts w:ascii="KaiTi_GB2312" w:eastAsia="KaiTi_GB2312" w:hint="eastAsia"/>
          <w:color w:val="0000FF"/>
        </w:rPr>
        <w:tab/>
        <w:t>同意废止本国刑法内构成对妇女歧视的一切规定。</w:t>
      </w:r>
    </w:p>
    <w:p w:rsidR="00737B35" w:rsidRDefault="00737B35">
      <w:pPr>
        <w:pStyle w:val="SingleTxt"/>
        <w:rPr>
          <w:rFonts w:hint="eastAsia"/>
        </w:rPr>
      </w:pPr>
      <w:r>
        <w:tab/>
      </w:r>
      <w:r>
        <w:rPr>
          <w:rFonts w:hint="eastAsia"/>
        </w:rPr>
        <w:t>1991年宪法第22条规定，“老挝公民不论其性别、社会地位、教育、信仰和民族群体，在法律面前人人平等”，而且第24条规定“老挝男女公民在政治、经济、文化及社会和家庭事务方面均享有平等权利”。法律面前平等指在所有政治、民事、经济、社会和文化领域平等享有法律规定的权利和履行法律规定的义务。男女平等的原则体现在法律文件和条例中。</w:t>
      </w:r>
    </w:p>
    <w:p w:rsidR="00737B35" w:rsidRDefault="00737B35">
      <w:pPr>
        <w:pStyle w:val="SingleTxt"/>
        <w:rPr>
          <w:rFonts w:hint="eastAsia"/>
        </w:rPr>
      </w:pPr>
      <w:r>
        <w:tab/>
      </w:r>
      <w:r>
        <w:rPr>
          <w:rFonts w:hint="eastAsia"/>
        </w:rPr>
        <w:t>通过国家机构但主要是通过老挝妇女联盟这个维护老挝妇女的群众组织的司法活动，已在某种程度上采取了综合措施以确保男女平等原则的实现。值得提及的是法律承认老挝妇女与男子平等地参与社会的所有方面，这是指她们有权直接进国家机构工作。宪法第6条还指出“国家保护人民不容侵犯的权利和民主自由”。“禁止所有可能有损人民荣誉、身体、生命、良知和财产的骚扰行为。”</w:t>
      </w:r>
    </w:p>
    <w:p w:rsidR="00737B35" w:rsidRDefault="00737B35">
      <w:pPr>
        <w:pStyle w:val="SingleTxt"/>
        <w:rPr>
          <w:rFonts w:hint="eastAsia"/>
        </w:rPr>
      </w:pPr>
      <w:r>
        <w:tab/>
      </w:r>
      <w:r>
        <w:rPr>
          <w:rFonts w:hint="eastAsia"/>
        </w:rPr>
        <w:t>老挝共和国宪法和法律的起草制度是全国人民发表意见的结果。这反映出全国人民努力使老挝成为一个和平、独立、民主、统一和繁荣的国家的普遍意愿和坚强决心。</w:t>
      </w:r>
    </w:p>
    <w:p w:rsidR="00737B35" w:rsidRDefault="00737B35">
      <w:pPr>
        <w:pStyle w:val="SingleTxt"/>
        <w:rPr>
          <w:rFonts w:hint="eastAsia"/>
        </w:rPr>
      </w:pPr>
      <w:r>
        <w:tab/>
      </w:r>
      <w:r>
        <w:rPr>
          <w:rFonts w:hint="eastAsia"/>
        </w:rPr>
        <w:t>与其他国家相比，老挝共和国的整个法律框架相对较新。由于新，人民对法律认识的广度和深度仍很有限。机构体制在许多方面具有局限性。司法部正在启动一个方案提高本国司法系统的能力，而且这个方案的一个组成部分是将性别培训列为法律系学生的课程。还将对犯罪调查员和在最高法院工作的法官进行性别培训。方案的一大部分为在基层各级开展提高认识的宣传活动，特别针对妇女和少数民族，以使他们了解老挝法律保证给予他们的权利。</w:t>
      </w:r>
    </w:p>
    <w:p w:rsidR="00737B35" w:rsidRDefault="00737B35">
      <w:pPr>
        <w:pStyle w:val="SingleTxt"/>
        <w:rPr>
          <w:rFonts w:hint="eastAsia"/>
        </w:rPr>
      </w:pPr>
      <w:r>
        <w:tab/>
      </w:r>
      <w:r>
        <w:rPr>
          <w:rFonts w:hint="eastAsia"/>
        </w:rPr>
        <w:t>按照老挝宪法（第46条），“有权提议法律草案的组织和个人如下”：</w:t>
      </w:r>
    </w:p>
    <w:p w:rsidR="00737B35" w:rsidRDefault="00737B35">
      <w:pPr>
        <w:pStyle w:val="SingleTxt"/>
        <w:ind w:left="1695"/>
        <w:rPr>
          <w:rFonts w:hint="eastAsia"/>
        </w:rPr>
      </w:pPr>
      <w:r>
        <w:rPr>
          <w:rFonts w:hint="eastAsia"/>
        </w:rPr>
        <w:t>1.</w:t>
      </w:r>
      <w:r>
        <w:rPr>
          <w:rFonts w:hint="eastAsia"/>
        </w:rPr>
        <w:tab/>
        <w:t>共和国主席</w:t>
      </w:r>
    </w:p>
    <w:p w:rsidR="00737B35" w:rsidRDefault="00737B35">
      <w:pPr>
        <w:pStyle w:val="SingleTxt"/>
        <w:ind w:left="1695"/>
        <w:rPr>
          <w:rFonts w:hint="eastAsia"/>
        </w:rPr>
      </w:pPr>
      <w:r>
        <w:rPr>
          <w:rFonts w:hint="eastAsia"/>
        </w:rPr>
        <w:t>2.</w:t>
      </w:r>
      <w:r>
        <w:rPr>
          <w:rFonts w:hint="eastAsia"/>
        </w:rPr>
        <w:tab/>
        <w:t>国民议会常设委员会</w:t>
      </w:r>
    </w:p>
    <w:p w:rsidR="00737B35" w:rsidRDefault="00737B35">
      <w:pPr>
        <w:pStyle w:val="SingleTxt"/>
        <w:ind w:left="1695"/>
        <w:rPr>
          <w:rFonts w:hint="eastAsia"/>
        </w:rPr>
      </w:pPr>
      <w:r>
        <w:rPr>
          <w:rFonts w:hint="eastAsia"/>
        </w:rPr>
        <w:t>3.</w:t>
      </w:r>
      <w:r>
        <w:rPr>
          <w:rFonts w:hint="eastAsia"/>
        </w:rPr>
        <w:tab/>
        <w:t>政府</w:t>
      </w:r>
    </w:p>
    <w:p w:rsidR="00737B35" w:rsidRDefault="00737B35">
      <w:pPr>
        <w:pStyle w:val="SingleTxt"/>
        <w:ind w:left="1695"/>
        <w:rPr>
          <w:rFonts w:hint="eastAsia"/>
        </w:rPr>
      </w:pPr>
      <w:r>
        <w:rPr>
          <w:rFonts w:hint="eastAsia"/>
        </w:rPr>
        <w:t>4.</w:t>
      </w:r>
      <w:r>
        <w:rPr>
          <w:rFonts w:hint="eastAsia"/>
        </w:rPr>
        <w:tab/>
        <w:t>人民最高法院</w:t>
      </w:r>
    </w:p>
    <w:p w:rsidR="00737B35" w:rsidRDefault="00737B35">
      <w:pPr>
        <w:pStyle w:val="SingleTxt"/>
        <w:ind w:left="1695"/>
        <w:rPr>
          <w:rFonts w:hint="eastAsia"/>
        </w:rPr>
      </w:pPr>
      <w:r>
        <w:rPr>
          <w:rFonts w:hint="eastAsia"/>
        </w:rPr>
        <w:t>5.</w:t>
      </w:r>
      <w:r>
        <w:rPr>
          <w:rFonts w:hint="eastAsia"/>
        </w:rPr>
        <w:tab/>
        <w:t>总检察长</w:t>
      </w:r>
    </w:p>
    <w:p w:rsidR="00737B35" w:rsidRDefault="00737B35">
      <w:pPr>
        <w:pStyle w:val="SingleTxt"/>
        <w:ind w:left="1695"/>
        <w:rPr>
          <w:rFonts w:hint="eastAsia"/>
        </w:rPr>
      </w:pPr>
      <w:r>
        <w:rPr>
          <w:rFonts w:hint="eastAsia"/>
        </w:rPr>
        <w:t>6.</w:t>
      </w:r>
      <w:r>
        <w:rPr>
          <w:rFonts w:hint="eastAsia"/>
        </w:rPr>
        <w:tab/>
        <w:t>中央一级的群众组织。</w:t>
      </w:r>
    </w:p>
    <w:p w:rsidR="00737B35" w:rsidRDefault="00737B35">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促进妇女进步的国家机器——老挝妇女联盟</w:t>
      </w:r>
    </w:p>
    <w:p w:rsidR="00737B35" w:rsidRDefault="00737B35">
      <w:pPr>
        <w:pStyle w:val="SingleTxt"/>
        <w:spacing w:after="0" w:line="120" w:lineRule="exact"/>
        <w:rPr>
          <w:rFonts w:hint="eastAsia"/>
          <w:sz w:val="10"/>
        </w:rPr>
      </w:pPr>
    </w:p>
    <w:p w:rsidR="00737B35" w:rsidRDefault="00737B35">
      <w:pPr>
        <w:pStyle w:val="SingleTxt"/>
        <w:rPr>
          <w:rFonts w:hint="eastAsia"/>
        </w:rPr>
      </w:pPr>
      <w:r>
        <w:tab/>
      </w:r>
      <w:r>
        <w:rPr>
          <w:rFonts w:hint="eastAsia"/>
        </w:rPr>
        <w:t>老挝妇女联盟被专门授予提升妇女作用和地位及积极促使她们参与保卫和发展国家进程的任务。宪法第7条指出“老挝国家建设阵线、老挝工会联合会、老挝人民革命青年联盟、老挝妇女联盟和其他社会组织是团结和动员各民族群体所有阶层的机构，以便它们参加保卫和发展国家的任务；发展人民当家作主的权利和保护其成员的合法权益。”老挝妇女联盟成立于1955年，其组织结构从中央遍布基层各级。老挝妇联约有80万成员。它是所有民族群妇幼合法权益的代表。它是团结老挝各阶层妇女的集合点。它是教育各民族群体了解党的政策和国家法律的机构。妇女负责维护和发展国家的优良传统和文化，其目的是确保有效实现宪法和法律规定的男女平等。</w:t>
      </w:r>
    </w:p>
    <w:p w:rsidR="00737B35" w:rsidRDefault="00737B35">
      <w:pPr>
        <w:pStyle w:val="SingleTxt"/>
        <w:rPr>
          <w:rFonts w:hint="eastAsia"/>
        </w:rPr>
      </w:pPr>
      <w:r>
        <w:tab/>
      </w:r>
      <w:r>
        <w:rPr>
          <w:rFonts w:hint="eastAsia"/>
        </w:rPr>
        <w:t>老挝共和国党和政府认识到迫切需要研究老挝妇女发展方面的优势和制约因素，以便制定详尽的计划促进1998至2003年老挝妇女发展计划规定的老挝妇女地位的提高。</w:t>
      </w:r>
    </w:p>
    <w:p w:rsidR="00737B35" w:rsidRDefault="00737B35">
      <w:pPr>
        <w:pStyle w:val="SingleTxt"/>
        <w:rPr>
          <w:rFonts w:ascii="SimHei" w:eastAsia="SimHei" w:hint="eastAsia"/>
          <w:color w:val="FF0000"/>
        </w:rPr>
      </w:pPr>
      <w:r>
        <w:rPr>
          <w:rFonts w:ascii="SimHei" w:eastAsia="SimHei" w:hint="eastAsia"/>
          <w:color w:val="FF0000"/>
        </w:rPr>
        <w:t>妇女进步的某些障碍</w:t>
      </w:r>
    </w:p>
    <w:p w:rsidR="00737B35" w:rsidRDefault="00737B35">
      <w:pPr>
        <w:pStyle w:val="SingleTxt"/>
        <w:rPr>
          <w:rFonts w:hint="eastAsia"/>
        </w:rPr>
      </w:pPr>
      <w:r>
        <w:tab/>
      </w:r>
      <w:r>
        <w:rPr>
          <w:rFonts w:hint="eastAsia"/>
        </w:rPr>
        <w:t>消除对妇女歧视道路上紧迫的问题之一是缺乏关于本国社会经济情况按性别分类的数据。由于不能可靠了解本国男子和妇女的情况，老挝妇女联盟实现提高老挝妇女地位的目标就有一定的难度。为使这种局面改观，在国家统计中心的帮助下，老挝妇女联盟要求总理府发出通知，要求将按性别分类的数据和性别统计资料纳入整个国家统计系统。1999年12月12日发出了0009PMO号通知。</w:t>
      </w:r>
    </w:p>
    <w:p w:rsidR="00737B35" w:rsidRDefault="00737B35">
      <w:pPr>
        <w:pStyle w:val="SingleTxt"/>
        <w:rPr>
          <w:rFonts w:hint="eastAsia"/>
        </w:rPr>
      </w:pPr>
      <w:r>
        <w:tab/>
      </w:r>
      <w:r>
        <w:rPr>
          <w:rFonts w:hint="eastAsia"/>
        </w:rPr>
        <w:t>根据老挝妇女的看法，整个1990年代实施的土地所有权发放过程有着某些令人忧虑的方面。土地所有权发放过程涉及裁定土地所有权，这是一种永久性文件，证明所有人（即名字列入文件的人）的土地的合法所有权。老挝妇女联盟性别资源信息和发展中心（1998年）在全国四个点进行的妇女情况调查中，结果显示关于土地原属权的数目与土地证上宣称的土地所有人的名字之间存在差异。</w:t>
      </w:r>
    </w:p>
    <w:p w:rsidR="00737B35" w:rsidRDefault="00737B35">
      <w:pPr>
        <w:pStyle w:val="SingleTxt"/>
        <w:spacing w:after="240"/>
        <w:rPr>
          <w:rFonts w:hint="eastAsia"/>
        </w:rPr>
      </w:pPr>
      <w:r>
        <w:tab/>
      </w:r>
      <w:r>
        <w:rPr>
          <w:rFonts w:hint="eastAsia"/>
        </w:rPr>
        <w:t>结果清楚表明，除了婚姻期间获得的共同财产外，妇女从其家庭得到的土地的百分比大于男子所得土地的百分比。这种调查结论符合老挝社会的现实情况，其中女儿构成从其父母继承的大多数。与此有关，在老挝社会的多数情况下，结婚后丈夫迁入妻子家庭居住，因为照顾父母一生的将是女儿，而且正是女儿还将继承父母的土地和住房。这种母系传统是老挝社会特殊的传统，它承认照顾父母亲直至他们死亡和在他们死后举行适当的葬礼的价值。</w:t>
      </w:r>
    </w:p>
    <w:tbl>
      <w:tblPr>
        <w:tblW w:w="7320" w:type="dxa"/>
        <w:jc w:val="center"/>
        <w:tblLayout w:type="fixed"/>
        <w:tblLook w:val="0000" w:firstRow="0" w:lastRow="0" w:firstColumn="0" w:lastColumn="0" w:noHBand="0" w:noVBand="0"/>
      </w:tblPr>
      <w:tblGrid>
        <w:gridCol w:w="1220"/>
        <w:gridCol w:w="1220"/>
        <w:gridCol w:w="1220"/>
        <w:gridCol w:w="1220"/>
        <w:gridCol w:w="1220"/>
        <w:gridCol w:w="1220"/>
      </w:tblGrid>
      <w:tr w:rsidR="00737B35">
        <w:tblPrEx>
          <w:tblCellMar>
            <w:top w:w="0" w:type="dxa"/>
            <w:bottom w:w="0" w:type="dxa"/>
          </w:tblCellMar>
        </w:tblPrEx>
        <w:trPr>
          <w:cantSplit/>
          <w:tblHeader/>
          <w:jc w:val="center"/>
        </w:trPr>
        <w:tc>
          <w:tcPr>
            <w:tcW w:w="1220" w:type="dxa"/>
            <w:tcBorders>
              <w:top w:val="single" w:sz="2" w:space="0" w:color="auto"/>
            </w:tcBorders>
            <w:vAlign w:val="bottom"/>
          </w:tcPr>
          <w:p w:rsidR="00737B35" w:rsidRDefault="00737B3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rPr>
                <w:rFonts w:eastAsia="KaiTi_GB2312" w:hint="eastAsia"/>
                <w:color w:val="0000FF"/>
                <w:sz w:val="14"/>
              </w:rPr>
            </w:pPr>
            <w:r>
              <w:rPr>
                <w:rFonts w:eastAsia="KaiTi_GB2312" w:hint="eastAsia"/>
                <w:color w:val="0000FF"/>
                <w:sz w:val="14"/>
              </w:rPr>
              <w:t>土地原属权</w:t>
            </w:r>
          </w:p>
        </w:tc>
        <w:tc>
          <w:tcPr>
            <w:tcW w:w="6100" w:type="dxa"/>
            <w:gridSpan w:val="5"/>
            <w:tcBorders>
              <w:top w:val="single" w:sz="2" w:space="0" w:color="auto"/>
              <w:bottom w:val="single" w:sz="4" w:space="0" w:color="auto"/>
            </w:tcBorders>
            <w:vAlign w:val="bottom"/>
          </w:tcPr>
          <w:p w:rsidR="00737B35" w:rsidRDefault="00737B3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60" w:after="60" w:line="240" w:lineRule="exact"/>
              <w:ind w:left="0" w:right="40"/>
              <w:jc w:val="center"/>
              <w:rPr>
                <w:rFonts w:eastAsia="KaiTi_GB2312" w:hint="eastAsia"/>
                <w:color w:val="0000FF"/>
                <w:sz w:val="14"/>
              </w:rPr>
            </w:pPr>
            <w:r>
              <w:rPr>
                <w:rFonts w:eastAsia="KaiTi_GB2312" w:hint="eastAsia"/>
                <w:color w:val="0000FF"/>
                <w:sz w:val="14"/>
              </w:rPr>
              <w:t>土地证名字</w:t>
            </w:r>
          </w:p>
        </w:tc>
      </w:tr>
      <w:tr w:rsidR="00737B35">
        <w:tblPrEx>
          <w:tblCellMar>
            <w:top w:w="0" w:type="dxa"/>
            <w:bottom w:w="0" w:type="dxa"/>
          </w:tblCellMar>
        </w:tblPrEx>
        <w:trPr>
          <w:tblHeader/>
          <w:jc w:val="center"/>
        </w:trPr>
        <w:tc>
          <w:tcPr>
            <w:tcW w:w="1220" w:type="dxa"/>
            <w:tcBorders>
              <w:bottom w:val="single" w:sz="12" w:space="0" w:color="auto"/>
            </w:tcBorders>
            <w:vAlign w:val="bottom"/>
          </w:tcPr>
          <w:p w:rsidR="00737B35" w:rsidRDefault="00737B3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rPr>
                <w:rFonts w:eastAsia="KaiTi_GB2312"/>
                <w:color w:val="0000FF"/>
                <w:sz w:val="14"/>
              </w:rPr>
            </w:pPr>
          </w:p>
        </w:tc>
        <w:tc>
          <w:tcPr>
            <w:tcW w:w="1220" w:type="dxa"/>
            <w:tcBorders>
              <w:top w:val="single" w:sz="4" w:space="0" w:color="auto"/>
              <w:bottom w:val="single" w:sz="12" w:space="0" w:color="auto"/>
            </w:tcBorders>
            <w:vAlign w:val="bottom"/>
          </w:tcPr>
          <w:p w:rsidR="00737B35" w:rsidRDefault="00737B3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color w:val="0000FF"/>
                <w:sz w:val="14"/>
              </w:rPr>
            </w:pPr>
            <w:r>
              <w:rPr>
                <w:rFonts w:eastAsia="KaiTi_GB2312"/>
                <w:color w:val="0000FF"/>
                <w:sz w:val="14"/>
              </w:rPr>
              <w:t>#</w:t>
            </w:r>
          </w:p>
        </w:tc>
        <w:tc>
          <w:tcPr>
            <w:tcW w:w="1220" w:type="dxa"/>
            <w:tcBorders>
              <w:top w:val="single" w:sz="4" w:space="0" w:color="auto"/>
              <w:bottom w:val="single" w:sz="12" w:space="0" w:color="auto"/>
            </w:tcBorders>
            <w:vAlign w:val="bottom"/>
          </w:tcPr>
          <w:p w:rsidR="00737B35" w:rsidRDefault="00737B3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color w:val="0000FF"/>
                <w:sz w:val="14"/>
              </w:rPr>
            </w:pPr>
            <w:r>
              <w:rPr>
                <w:rFonts w:eastAsia="KaiTi_GB2312"/>
                <w:color w:val="0000FF"/>
                <w:sz w:val="14"/>
              </w:rPr>
              <w:t>％</w:t>
            </w:r>
          </w:p>
        </w:tc>
        <w:tc>
          <w:tcPr>
            <w:tcW w:w="1220" w:type="dxa"/>
            <w:tcBorders>
              <w:top w:val="single" w:sz="4" w:space="0" w:color="auto"/>
              <w:bottom w:val="single" w:sz="12" w:space="0" w:color="auto"/>
            </w:tcBorders>
            <w:vAlign w:val="bottom"/>
          </w:tcPr>
          <w:p w:rsidR="00737B35" w:rsidRDefault="00737B3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color w:val="0000FF"/>
                <w:sz w:val="14"/>
              </w:rPr>
            </w:pPr>
          </w:p>
        </w:tc>
        <w:tc>
          <w:tcPr>
            <w:tcW w:w="1220" w:type="dxa"/>
            <w:tcBorders>
              <w:top w:val="single" w:sz="4" w:space="0" w:color="auto"/>
              <w:bottom w:val="single" w:sz="12" w:space="0" w:color="auto"/>
            </w:tcBorders>
            <w:vAlign w:val="bottom"/>
          </w:tcPr>
          <w:p w:rsidR="00737B35" w:rsidRDefault="00737B3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color w:val="0000FF"/>
                <w:sz w:val="14"/>
              </w:rPr>
            </w:pPr>
            <w:r>
              <w:rPr>
                <w:rFonts w:eastAsia="KaiTi_GB2312"/>
                <w:color w:val="0000FF"/>
                <w:sz w:val="14"/>
              </w:rPr>
              <w:t>#</w:t>
            </w:r>
          </w:p>
        </w:tc>
        <w:tc>
          <w:tcPr>
            <w:tcW w:w="1220" w:type="dxa"/>
            <w:tcBorders>
              <w:top w:val="single" w:sz="4" w:space="0" w:color="auto"/>
              <w:bottom w:val="single" w:sz="12" w:space="0" w:color="auto"/>
            </w:tcBorders>
            <w:vAlign w:val="bottom"/>
          </w:tcPr>
          <w:p w:rsidR="00737B35" w:rsidRDefault="00737B3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40" w:lineRule="exact"/>
              <w:ind w:left="0" w:right="40"/>
              <w:jc w:val="right"/>
              <w:rPr>
                <w:rFonts w:eastAsia="KaiTi_GB2312"/>
                <w:color w:val="0000FF"/>
                <w:sz w:val="14"/>
              </w:rPr>
            </w:pPr>
            <w:r>
              <w:rPr>
                <w:rFonts w:eastAsia="KaiTi_GB2312"/>
                <w:color w:val="0000FF"/>
                <w:sz w:val="14"/>
              </w:rPr>
              <w:t>％</w:t>
            </w:r>
          </w:p>
        </w:tc>
      </w:tr>
      <w:tr w:rsidR="00737B35">
        <w:tblPrEx>
          <w:tblCellMar>
            <w:top w:w="0" w:type="dxa"/>
            <w:bottom w:w="0" w:type="dxa"/>
          </w:tblCellMar>
        </w:tblPrEx>
        <w:trPr>
          <w:trHeight w:hRule="exact" w:val="115"/>
          <w:tblHeader/>
          <w:jc w:val="center"/>
        </w:trPr>
        <w:tc>
          <w:tcPr>
            <w:tcW w:w="1220" w:type="dxa"/>
            <w:tcBorders>
              <w:top w:val="single" w:sz="12" w:space="0" w:color="auto"/>
            </w:tcBorders>
            <w:vAlign w:val="bottom"/>
          </w:tcPr>
          <w:p w:rsidR="00737B35" w:rsidRDefault="00737B3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rPr>
                <w:rFonts w:hint="eastAsia"/>
                <w:sz w:val="17"/>
              </w:rPr>
            </w:pPr>
          </w:p>
        </w:tc>
        <w:tc>
          <w:tcPr>
            <w:tcW w:w="1220" w:type="dxa"/>
            <w:tcBorders>
              <w:top w:val="single" w:sz="12" w:space="0" w:color="auto"/>
            </w:tcBorders>
            <w:vAlign w:val="bottom"/>
          </w:tcPr>
          <w:p w:rsidR="00737B35" w:rsidRDefault="00737B3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1220" w:type="dxa"/>
            <w:tcBorders>
              <w:top w:val="single" w:sz="12" w:space="0" w:color="auto"/>
            </w:tcBorders>
            <w:vAlign w:val="bottom"/>
          </w:tcPr>
          <w:p w:rsidR="00737B35" w:rsidRDefault="00737B3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1220" w:type="dxa"/>
            <w:tcBorders>
              <w:top w:val="single" w:sz="12" w:space="0" w:color="auto"/>
            </w:tcBorders>
            <w:vAlign w:val="bottom"/>
          </w:tcPr>
          <w:p w:rsidR="00737B35" w:rsidRDefault="00737B3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1220" w:type="dxa"/>
            <w:tcBorders>
              <w:top w:val="single" w:sz="12" w:space="0" w:color="auto"/>
            </w:tcBorders>
            <w:vAlign w:val="bottom"/>
          </w:tcPr>
          <w:p w:rsidR="00737B35" w:rsidRDefault="00737B3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c>
          <w:tcPr>
            <w:tcW w:w="1220" w:type="dxa"/>
            <w:tcBorders>
              <w:top w:val="single" w:sz="12" w:space="0" w:color="auto"/>
            </w:tcBorders>
            <w:vAlign w:val="bottom"/>
          </w:tcPr>
          <w:p w:rsidR="00737B35" w:rsidRDefault="00737B3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60" w:line="280" w:lineRule="exact"/>
              <w:ind w:left="0" w:right="40"/>
              <w:jc w:val="right"/>
              <w:rPr>
                <w:rFonts w:hint="eastAsia"/>
                <w:sz w:val="17"/>
              </w:rPr>
            </w:pPr>
          </w:p>
        </w:tc>
      </w:tr>
      <w:tr w:rsidR="00737B35">
        <w:tblPrEx>
          <w:tblCellMar>
            <w:top w:w="0" w:type="dxa"/>
            <w:bottom w:w="0" w:type="dxa"/>
          </w:tblCellMar>
        </w:tblPrEx>
        <w:trPr>
          <w:jc w:val="center"/>
        </w:trPr>
        <w:tc>
          <w:tcPr>
            <w:tcW w:w="1220" w:type="dxa"/>
            <w:vAlign w:val="bottom"/>
          </w:tcPr>
          <w:p w:rsidR="00737B35" w:rsidRDefault="00737B3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丈夫家庭</w:t>
            </w:r>
          </w:p>
        </w:tc>
        <w:tc>
          <w:tcPr>
            <w:tcW w:w="1220" w:type="dxa"/>
            <w:vAlign w:val="bottom"/>
          </w:tcPr>
          <w:p w:rsidR="00737B35" w:rsidRDefault="00737B3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 xml:space="preserve"> 798</w:t>
            </w:r>
          </w:p>
        </w:tc>
        <w:tc>
          <w:tcPr>
            <w:tcW w:w="1220" w:type="dxa"/>
            <w:vAlign w:val="bottom"/>
          </w:tcPr>
          <w:p w:rsidR="00737B35" w:rsidRDefault="00737B3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18％</w:t>
            </w:r>
          </w:p>
        </w:tc>
        <w:tc>
          <w:tcPr>
            <w:tcW w:w="1220" w:type="dxa"/>
            <w:vAlign w:val="bottom"/>
          </w:tcPr>
          <w:p w:rsidR="00737B35" w:rsidRDefault="00737B3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丈夫名字</w:t>
            </w:r>
          </w:p>
        </w:tc>
        <w:tc>
          <w:tcPr>
            <w:tcW w:w="1220" w:type="dxa"/>
            <w:vAlign w:val="bottom"/>
          </w:tcPr>
          <w:p w:rsidR="00737B35" w:rsidRDefault="00737B3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2 470</w:t>
            </w:r>
          </w:p>
        </w:tc>
        <w:tc>
          <w:tcPr>
            <w:tcW w:w="1220" w:type="dxa"/>
            <w:vAlign w:val="bottom"/>
          </w:tcPr>
          <w:p w:rsidR="00737B35" w:rsidRDefault="00737B3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58％</w:t>
            </w:r>
          </w:p>
        </w:tc>
      </w:tr>
      <w:tr w:rsidR="00737B35">
        <w:tblPrEx>
          <w:tblCellMar>
            <w:top w:w="0" w:type="dxa"/>
            <w:bottom w:w="0" w:type="dxa"/>
          </w:tblCellMar>
        </w:tblPrEx>
        <w:trPr>
          <w:jc w:val="center"/>
        </w:trPr>
        <w:tc>
          <w:tcPr>
            <w:tcW w:w="1220" w:type="dxa"/>
            <w:vAlign w:val="bottom"/>
          </w:tcPr>
          <w:p w:rsidR="00737B35" w:rsidRDefault="00737B3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妻子家庭</w:t>
            </w:r>
          </w:p>
        </w:tc>
        <w:tc>
          <w:tcPr>
            <w:tcW w:w="1220" w:type="dxa"/>
            <w:vAlign w:val="bottom"/>
          </w:tcPr>
          <w:p w:rsidR="00737B35" w:rsidRDefault="00737B3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1 254</w:t>
            </w:r>
          </w:p>
        </w:tc>
        <w:tc>
          <w:tcPr>
            <w:tcW w:w="1220" w:type="dxa"/>
            <w:vAlign w:val="bottom"/>
          </w:tcPr>
          <w:p w:rsidR="00737B35" w:rsidRDefault="00737B3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30％</w:t>
            </w:r>
          </w:p>
        </w:tc>
        <w:tc>
          <w:tcPr>
            <w:tcW w:w="1220" w:type="dxa"/>
            <w:vAlign w:val="bottom"/>
          </w:tcPr>
          <w:p w:rsidR="00737B35" w:rsidRDefault="00737B3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妻子名字</w:t>
            </w:r>
          </w:p>
        </w:tc>
        <w:tc>
          <w:tcPr>
            <w:tcW w:w="1220" w:type="dxa"/>
            <w:vAlign w:val="bottom"/>
          </w:tcPr>
          <w:p w:rsidR="00737B35" w:rsidRDefault="00737B3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 xml:space="preserve"> 696</w:t>
            </w:r>
          </w:p>
        </w:tc>
        <w:tc>
          <w:tcPr>
            <w:tcW w:w="1220" w:type="dxa"/>
            <w:vAlign w:val="bottom"/>
          </w:tcPr>
          <w:p w:rsidR="00737B35" w:rsidRDefault="00737B3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16％</w:t>
            </w:r>
          </w:p>
        </w:tc>
      </w:tr>
      <w:tr w:rsidR="00737B35">
        <w:tblPrEx>
          <w:tblCellMar>
            <w:top w:w="0" w:type="dxa"/>
            <w:bottom w:w="0" w:type="dxa"/>
          </w:tblCellMar>
        </w:tblPrEx>
        <w:trPr>
          <w:jc w:val="center"/>
        </w:trPr>
        <w:tc>
          <w:tcPr>
            <w:tcW w:w="1220" w:type="dxa"/>
            <w:tcBorders>
              <w:bottom w:val="single" w:sz="12" w:space="0" w:color="auto"/>
            </w:tcBorders>
            <w:vAlign w:val="bottom"/>
          </w:tcPr>
          <w:p w:rsidR="00737B35" w:rsidRDefault="00737B3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rPr>
                <w:rFonts w:hint="eastAsia"/>
                <w:sz w:val="17"/>
              </w:rPr>
            </w:pPr>
            <w:r>
              <w:rPr>
                <w:rFonts w:hint="eastAsia"/>
                <w:sz w:val="17"/>
              </w:rPr>
              <w:t>共同财产</w:t>
            </w:r>
          </w:p>
        </w:tc>
        <w:tc>
          <w:tcPr>
            <w:tcW w:w="1220" w:type="dxa"/>
            <w:tcBorders>
              <w:bottom w:val="single" w:sz="12" w:space="0" w:color="auto"/>
            </w:tcBorders>
            <w:vAlign w:val="bottom"/>
          </w:tcPr>
          <w:p w:rsidR="00737B35" w:rsidRDefault="00737B3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2 203</w:t>
            </w:r>
          </w:p>
        </w:tc>
        <w:tc>
          <w:tcPr>
            <w:tcW w:w="1220" w:type="dxa"/>
            <w:tcBorders>
              <w:bottom w:val="single" w:sz="12" w:space="0" w:color="auto"/>
            </w:tcBorders>
            <w:vAlign w:val="bottom"/>
          </w:tcPr>
          <w:p w:rsidR="00737B35" w:rsidRDefault="00737B3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52％</w:t>
            </w:r>
          </w:p>
        </w:tc>
        <w:tc>
          <w:tcPr>
            <w:tcW w:w="1220" w:type="dxa"/>
            <w:tcBorders>
              <w:bottom w:val="single" w:sz="12" w:space="0" w:color="auto"/>
            </w:tcBorders>
            <w:vAlign w:val="bottom"/>
          </w:tcPr>
          <w:p w:rsidR="00737B35" w:rsidRDefault="00737B3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双方名字</w:t>
            </w:r>
          </w:p>
        </w:tc>
        <w:tc>
          <w:tcPr>
            <w:tcW w:w="1220" w:type="dxa"/>
            <w:tcBorders>
              <w:bottom w:val="single" w:sz="12" w:space="0" w:color="auto"/>
            </w:tcBorders>
            <w:vAlign w:val="bottom"/>
          </w:tcPr>
          <w:p w:rsidR="00737B35" w:rsidRDefault="00737B3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 xml:space="preserve"> 279</w:t>
            </w:r>
          </w:p>
        </w:tc>
        <w:tc>
          <w:tcPr>
            <w:tcW w:w="1220" w:type="dxa"/>
            <w:tcBorders>
              <w:bottom w:val="single" w:sz="12" w:space="0" w:color="auto"/>
            </w:tcBorders>
            <w:vAlign w:val="bottom"/>
          </w:tcPr>
          <w:p w:rsidR="00737B35" w:rsidRDefault="00737B3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57"/>
                <w:tab w:val="left" w:pos="714"/>
                <w:tab w:val="left" w:pos="1071"/>
                <w:tab w:val="left" w:pos="1429"/>
              </w:tabs>
              <w:spacing w:after="60" w:line="280" w:lineRule="exact"/>
              <w:ind w:left="0" w:right="40"/>
              <w:jc w:val="right"/>
              <w:rPr>
                <w:rFonts w:hint="eastAsia"/>
                <w:sz w:val="17"/>
              </w:rPr>
            </w:pPr>
            <w:r>
              <w:rPr>
                <w:rFonts w:hint="eastAsia"/>
                <w:sz w:val="17"/>
              </w:rPr>
              <w:t>7％</w:t>
            </w:r>
          </w:p>
        </w:tc>
      </w:tr>
    </w:tbl>
    <w:p w:rsidR="00737B35" w:rsidRDefault="00737B35">
      <w:pPr>
        <w:pStyle w:val="SingleTxt"/>
      </w:pPr>
    </w:p>
    <w:p w:rsidR="00737B35" w:rsidRDefault="00737B35">
      <w:pPr>
        <w:pStyle w:val="SingleTxt"/>
        <w:rPr>
          <w:rFonts w:hint="eastAsia"/>
        </w:rPr>
      </w:pPr>
      <w:r>
        <w:br w:type="page"/>
      </w:r>
      <w:r>
        <w:tab/>
      </w:r>
      <w:r>
        <w:rPr>
          <w:rFonts w:hint="eastAsia"/>
        </w:rPr>
        <w:t>不过，由于土地所有权发放过程，这种母亲继承格局正在逐渐发生变化。将土地原属权与永久土地权的登记相比较，在58％的情况下只有丈夫的名字出现在土地证上，即使原先只有18％的土地属于他们。至于妇女的土地，只有16％以她们的名义登记，尽管妇女原先拥有30％的土地，这意味着在妇女土地权的登记中，只有52％是正确的。看来很清楚，余下48％的土地落到了丈夫的名下。至于原先为共同财产的土地，即52％的土地，列为夫妻双方名字的百分比极小，只有7％。这意味着在这些土地中只有13％作了正确的登记。这还意味着87％，即这种土地的余下部分是仅以丈夫的名义登记的。</w:t>
      </w:r>
    </w:p>
    <w:p w:rsidR="00737B35" w:rsidRDefault="00737B35">
      <w:pPr>
        <w:pStyle w:val="SingleTxt"/>
        <w:rPr>
          <w:rFonts w:hint="eastAsia"/>
        </w:rPr>
      </w:pPr>
      <w:r>
        <w:tab/>
      </w:r>
      <w:r>
        <w:rPr>
          <w:rFonts w:hint="eastAsia"/>
        </w:rPr>
        <w:t>老挝妇女联盟对这些结果感到震惊，因此已在全国各地为老挝妇女联盟的代表组织了老挝法律问题研讨会。触及的课题之一是土地分配过程和老挝妇女在这个过程中的权利。《财产法》专门规定，“婚前获得、通过继承得到或明确授予某一配偶的财产不被认为是共同财产”。老挝妇女联盟还向负责土地分配过程的当局提出了关切的问题，而且这些当局目前正在考虑采取有关措施以反对从对妇女歧视的观点看令人忧虑的趋势，包括在县级土地所有权发放官员中提高对性别敏感程序的认识。</w:t>
      </w: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第3条 妇女的发展和地位提高</w:t>
      </w:r>
    </w:p>
    <w:p w:rsidR="00737B35" w:rsidRDefault="00737B35">
      <w:pPr>
        <w:pStyle w:val="SingleTxt"/>
        <w:spacing w:after="0" w:line="120" w:lineRule="exact"/>
        <w:rPr>
          <w:rFonts w:hint="eastAsia"/>
          <w:sz w:val="10"/>
        </w:rPr>
      </w:pPr>
    </w:p>
    <w:p w:rsidR="00737B35" w:rsidRDefault="00737B35">
      <w:pPr>
        <w:pStyle w:val="SingleTxt"/>
        <w:ind w:left="1695"/>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缔约各国应在所有领域，特别是在政治、社会、经济、文化领域，采取一切适当措施，包括制定法律，保证妇女得到充分发展和进步，其目的是为确保她们在与男子平等的基础上，行使和享受人权和基本自由。</w:t>
      </w:r>
    </w:p>
    <w:p w:rsidR="00737B35" w:rsidRDefault="00737B35">
      <w:pPr>
        <w:pStyle w:val="SingleTxt"/>
        <w:rPr>
          <w:rFonts w:hint="eastAsia"/>
        </w:rPr>
      </w:pPr>
      <w:r>
        <w:tab/>
      </w:r>
      <w:r>
        <w:rPr>
          <w:rFonts w:hint="eastAsia"/>
        </w:rPr>
        <w:t>1991年宪法规定了一项公民在所有公共生活领域基本权利的制度，而且第24条规定“男女老挝公民在政治、经济、文化、社会和家庭事务方面均享有平等权利。”老挝政府根据1991年宪法颁布了其他立法，就行使公民权利的内容和方式提供详尽的规定。</w:t>
      </w:r>
    </w:p>
    <w:p w:rsidR="00737B35" w:rsidRDefault="00737B35">
      <w:pPr>
        <w:pStyle w:val="SingleTxt"/>
        <w:rPr>
          <w:rFonts w:hint="eastAsia"/>
        </w:rPr>
      </w:pPr>
      <w:r>
        <w:tab/>
      </w:r>
      <w:r>
        <w:rPr>
          <w:rFonts w:hint="eastAsia"/>
        </w:rPr>
        <w:t>妇女政治权为妇女直接参与决策或制定法律或决定有关妇女权利、利益和地位提高的事项提供了法律保障。宪法第23条规定“年满和超过18岁的老挝公民拥有选举权，而且年满和超过21岁的老挝公民拥有被选举权，但精神病人及选举权和被选举权被法院取消的人除外”。</w:t>
      </w:r>
    </w:p>
    <w:p w:rsidR="00737B35" w:rsidRDefault="00737B35">
      <w:pPr>
        <w:pStyle w:val="SingleTxt"/>
        <w:rPr>
          <w:rFonts w:hint="eastAsia"/>
        </w:rPr>
      </w:pPr>
      <w:r>
        <w:tab/>
      </w:r>
      <w:r>
        <w:rPr>
          <w:rFonts w:hint="eastAsia"/>
        </w:rPr>
        <w:t>1997年颁布的关于《国民议会选举法》的老挝共和国主席令第二节“国民议会议员人数的确定和关于候选人的原则”第7条规定，“国民议会议员应包括适当比例的不同阶层、性别和少数民族人民的代表。”《老挝人民民主共和国国民议会选举法》（1991年）关于选举一般原则的第8条规定，“老挝国家建设阵线和其他群众组织（也包括老挝妇女联盟）负责国民议会被提名人名单的提名和批准，并与选举委员会及党和政府的各级组织协作”。这保证了老挝妇女联盟提出国民议会选举女候选人的权利。</w:t>
      </w:r>
    </w:p>
    <w:p w:rsidR="00737B35" w:rsidRDefault="00737B35">
      <w:pPr>
        <w:pStyle w:val="SingleTxt"/>
        <w:rPr>
          <w:rFonts w:hint="eastAsia"/>
        </w:rPr>
      </w:pPr>
      <w:r>
        <w:tab/>
      </w:r>
      <w:r>
        <w:rPr>
          <w:rFonts w:hint="eastAsia"/>
        </w:rPr>
        <w:t>《公共行政法》草案第6章第2节“村当局”第71条规定，“村委员会成员在村居民中通过直接普选选出。”而且第74条规定：“要想当选为村委员会成员，候选人必须符合下列条件：从出生起拥有老挝国籍，不分性别或民族群体……”这样，就使妇女能够成为候选人并在地方一级选举中当选。</w:t>
      </w:r>
    </w:p>
    <w:p w:rsidR="00737B35" w:rsidRDefault="00737B35">
      <w:pPr>
        <w:pStyle w:val="SingleTxt"/>
        <w:rPr>
          <w:rFonts w:hint="eastAsia"/>
        </w:rPr>
      </w:pPr>
      <w:r>
        <w:tab/>
      </w:r>
      <w:r>
        <w:rPr>
          <w:rFonts w:hint="eastAsia"/>
        </w:rPr>
        <w:t>妇女在经济、公民和劳动领域的权利为妇女在生活的公私领域发挥独立作用提供了基本的法律基础。基本公民权利如占有权和继承权等为1991年宪法第15条所承认，并体现在《1990年财产法》第20条，尤其是第26条中，它指出“丈夫和妻子对于婚姻财产拥有平等的权利而不管是谁实际获得了资产。婚前属于丈夫或妻子或通过继承接受或在婚姻生活期间具体授予丈夫或妻子的资产将不被视为婚姻财产”。《继承法》（1990年）第6条对于女孩或男孩的继承权不作区分，但具体规定“横向血统的亲戚：兄弟姐妹或父辈叔婶及母辈舅姨和侄表兄弟姐妹，”如果遗产所有人没有子女或配偶，就拥有继承权。《合同法》（1990年）第7条承认妇女订立合同的权利，而且该法第47条承认妇女的借贷权。1991年宪法第26条承认就业权，它指出“老挝公民有权工作并从事不为法律禁止的职业。”《劳动法》（1994年）起草的基础是确保男女对于就业（第2条）、薪资（第39条）、社会保险（第47、54条）及适用优惠措施保护女工（第38条）、母亲（第17、34条）及儿童（第37条）的平等。</w:t>
      </w:r>
    </w:p>
    <w:p w:rsidR="00737B35" w:rsidRDefault="00737B35">
      <w:pPr>
        <w:pStyle w:val="SingleTxt"/>
        <w:rPr>
          <w:rFonts w:hint="eastAsia"/>
        </w:rPr>
      </w:pPr>
      <w:r>
        <w:tab/>
      </w:r>
      <w:r>
        <w:rPr>
          <w:rFonts w:hint="eastAsia"/>
        </w:rPr>
        <w:t>学习、从事科学研究和参与文化和科学研究的权利为妇女接受教育、培训、科学和技术提供了法律支持。这一点得到宪法第25条的保证：“老挝公民拥有受教育权”。而且第32条指出“老挝公民拥有进行研究；应用先进的科学、技术和工艺；创造艺术和文学作品及从事不违法的文化活动的权利。”</w:t>
      </w:r>
    </w:p>
    <w:p w:rsidR="00737B35" w:rsidRDefault="00737B35">
      <w:pPr>
        <w:pStyle w:val="SingleTxt"/>
        <w:rPr>
          <w:rFonts w:ascii="SimHei" w:eastAsia="SimHei" w:hint="eastAsia"/>
          <w:color w:val="FF0000"/>
        </w:rPr>
      </w:pPr>
      <w:r>
        <w:rPr>
          <w:rFonts w:ascii="SimHei" w:eastAsia="SimHei" w:hint="eastAsia"/>
          <w:color w:val="FF0000"/>
        </w:rPr>
        <w:t>采取的政策措施</w:t>
      </w:r>
    </w:p>
    <w:p w:rsidR="00737B35" w:rsidRDefault="00737B35">
      <w:pPr>
        <w:pStyle w:val="SingleTxt"/>
        <w:rPr>
          <w:rFonts w:hint="eastAsia"/>
        </w:rPr>
      </w:pPr>
      <w:r>
        <w:tab/>
      </w:r>
      <w:r>
        <w:rPr>
          <w:rFonts w:hint="eastAsia"/>
        </w:rPr>
        <w:t>为使法律变为行动以使老挝妇女受益，老挝人民革命党第六次大会（1996年）指出，在为发展国家人力资源采取的措施中，将必须专门处理妇女和少数民族问题。第六次大会还要求针对妇女采取专门措施以使老挝共和国农村得到公平的农村发展。</w:t>
      </w:r>
    </w:p>
    <w:p w:rsidR="00737B35" w:rsidRDefault="00737B35">
      <w:pPr>
        <w:pStyle w:val="SingleTxt"/>
        <w:rPr>
          <w:rFonts w:hint="eastAsia"/>
        </w:rPr>
      </w:pPr>
      <w:r>
        <w:tab/>
      </w:r>
      <w:r>
        <w:rPr>
          <w:rFonts w:hint="eastAsia"/>
        </w:rPr>
        <w:t>《1996至2000年老挝人民民主共和国社会经济发展战略》指出，国家的可持续人力发展“针对弱势群体，给它们创造就业机会，其途径是进行适当的培训和技能发展并提高妇女的地位，以对它们家庭的教育起增值作用”。该计划还指出，政府将奉行“2000年前普及教育”的战略，承认各级学校普遍存在着性别差距，并采取各种措施解决这种差距问题。该计划还指出，采取了具体措施以提高妇女的地位，扩大她们的创收方案和机会，并减轻她们的劳动负担。</w:t>
      </w:r>
    </w:p>
    <w:p w:rsidR="00737B35" w:rsidRDefault="00737B35">
      <w:pPr>
        <w:pStyle w:val="SingleTxt"/>
        <w:rPr>
          <w:rFonts w:hint="eastAsia"/>
        </w:rPr>
      </w:pPr>
      <w:r>
        <w:tab/>
      </w:r>
      <w:r>
        <w:rPr>
          <w:rFonts w:hint="eastAsia"/>
        </w:rPr>
        <w:t>在预算方面，《社会经济发展和投资需求计划》自第六次圆桌会议（1997年）起就采取了措施以利于妇女地位的提高。计划指出，政府1996年至2000年的目标之一是“遵照我们对20/20政策的承诺，至少将政府经费（投资和经常性费用）的20％投向社会部门，使教育、卫生和社会福利成为我国的新的信标部门”。</w:t>
      </w:r>
    </w:p>
    <w:p w:rsidR="00737B35" w:rsidRDefault="00737B35">
      <w:pPr>
        <w:pStyle w:val="SingleTxt"/>
        <w:rPr>
          <w:rFonts w:hint="eastAsia"/>
        </w:rPr>
      </w:pPr>
      <w:r>
        <w:tab/>
      </w:r>
      <w:r>
        <w:rPr>
          <w:rFonts w:hint="eastAsia"/>
        </w:rPr>
        <w:t>《1998至2003年老挝妇女发展计划》指出“……大多数老挝妇女，尤其是生活在农村和偏远地区的妇女，仍然过着艰难的生活。城市妇女虽然有更多的机会接受基础教育和保健，但与男子相比仍处于劣势”。它还指出，“态度、保守观念和落后的传统仍然妨碍妇女地位的提高”，而且“男女平等权利的实现及对妇女一切形式歧视的消除还未成为社会的广泛共识”，同时“妇女的教育程度仍然很低，妇女的文盲率仍然很高；净入学率低；农村和偏远地区妇女和女孩的辍学率仍然居高不下”，以及最后“妇女发展的预算和资源不能满足需求”。</w:t>
      </w:r>
    </w:p>
    <w:p w:rsidR="00737B35" w:rsidRDefault="00737B35">
      <w:pPr>
        <w:pStyle w:val="SingleTxt"/>
        <w:rPr>
          <w:rFonts w:hint="eastAsia"/>
        </w:rPr>
      </w:pPr>
      <w:r>
        <w:tab/>
      </w:r>
      <w:r>
        <w:rPr>
          <w:rFonts w:hint="eastAsia"/>
        </w:rPr>
        <w:t>计划说明了1998至2003年老挝妇女的下列发展战略和目标：</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集中力量提高妇女的教育、技术、科学和专业技能；</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tab/>
      </w:r>
      <w:r>
        <w:rPr>
          <w:rFonts w:hint="eastAsia"/>
        </w:rPr>
        <w:t>到2003年，更多的15至45岁的妇女应能读写，而且其中应有更多的人有机会进入技术初中、技术高中和大学学习；</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保护老挝各民族群体妇女和儿童的权益，支持实现宪法和法律规定的男女平等权利，并将性别问题列入每个政府部门发展计划的议事日程。这样做是为了使妇女能够参与制定政策和决策。</w:t>
      </w:r>
    </w:p>
    <w:p w:rsidR="00737B35" w:rsidRDefault="00737B35">
      <w:pPr>
        <w:pStyle w:val="SingleTxt"/>
        <w:rPr>
          <w:rFonts w:ascii="SimHei" w:eastAsia="SimHei" w:hint="eastAsia"/>
          <w:color w:val="FF0000"/>
        </w:rPr>
      </w:pPr>
      <w:r>
        <w:rPr>
          <w:rFonts w:ascii="SimHei" w:eastAsia="SimHei" w:hint="eastAsia"/>
          <w:color w:val="FF0000"/>
        </w:rPr>
        <w:t>为确保妇女充分发展和地位提高而采取的措施</w:t>
      </w:r>
    </w:p>
    <w:p w:rsidR="00737B35" w:rsidRDefault="00737B35">
      <w:pPr>
        <w:pStyle w:val="SingleTxt"/>
        <w:rPr>
          <w:rFonts w:hint="eastAsia"/>
        </w:rPr>
      </w:pPr>
      <w:r>
        <w:tab/>
      </w:r>
      <w:r>
        <w:rPr>
          <w:rFonts w:hint="eastAsia"/>
        </w:rPr>
        <w:t>自1980年代以来，性别和发展项目一直在接受捐助国的支持。由于性别在发展中的作用得到老挝政府的强调，1990年代的支持有所增加。在过去数年中，多边和双边捐助国以及国际非政府组织积极介入性别项目。</w:t>
      </w:r>
    </w:p>
    <w:p w:rsidR="00737B35" w:rsidRDefault="00737B35">
      <w:pPr>
        <w:pStyle w:val="SingleTxt"/>
        <w:rPr>
          <w:rFonts w:ascii="KaiTi_GB2312" w:eastAsia="KaiTi_GB2312" w:hint="eastAsia"/>
          <w:color w:val="0000FF"/>
        </w:rPr>
      </w:pPr>
      <w:r>
        <w:rPr>
          <w:rFonts w:ascii="KaiTi_GB2312" w:eastAsia="KaiTi_GB2312" w:hint="eastAsia"/>
          <w:color w:val="0000FF"/>
        </w:rPr>
        <w:t>双边捐助国在下述领域援助了老挝政府</w:t>
      </w:r>
    </w:p>
    <w:p w:rsidR="00737B35" w:rsidRDefault="00737B35">
      <w:pPr>
        <w:pStyle w:val="SingleTxt"/>
        <w:rPr>
          <w:rFonts w:hint="eastAsia"/>
        </w:rPr>
      </w:pPr>
      <w:r>
        <w:tab/>
      </w:r>
      <w:r>
        <w:rPr>
          <w:rFonts w:hint="eastAsia"/>
        </w:rPr>
        <w:t>各种培训活动，特别是关于老挝共和国宪法和法律规定的妇女法定权利和责任问题的性别认识和信息传播活动遍及全国各地。</w:t>
      </w:r>
    </w:p>
    <w:p w:rsidR="00737B35" w:rsidRDefault="00737B35">
      <w:pPr>
        <w:pStyle w:val="SingleTxt"/>
        <w:rPr>
          <w:rFonts w:hint="eastAsia"/>
        </w:rPr>
      </w:pPr>
      <w:r>
        <w:tab/>
      </w:r>
      <w:r>
        <w:rPr>
          <w:rFonts w:hint="eastAsia"/>
        </w:rPr>
        <w:t>1997年成立了老挝妇女联盟性别资源信息和发展中心（信息和发展中心），以增加老挝共和国性别问题上可获的信息量，将性别纳入各级的信息收集和发展规划工作，并支持提高各民族群体妇女的能力。这些中心位于四个点，开展四项相互关联的活动：性别培训、性别问题的定量和定性研究、通信交流活动和信息收集及传播。</w:t>
      </w:r>
    </w:p>
    <w:p w:rsidR="00737B35" w:rsidRDefault="00737B35">
      <w:pPr>
        <w:pStyle w:val="SingleTxt"/>
        <w:rPr>
          <w:rFonts w:hint="eastAsia"/>
        </w:rPr>
      </w:pPr>
      <w:r>
        <w:tab/>
      </w:r>
      <w:r>
        <w:rPr>
          <w:rFonts w:hint="eastAsia"/>
        </w:rPr>
        <w:t>全国各地正在开展支持妇女的微观金融和小型企业发展活动。</w:t>
      </w:r>
    </w:p>
    <w:p w:rsidR="00737B35" w:rsidRDefault="00737B35">
      <w:pPr>
        <w:pStyle w:val="SingleTxt"/>
        <w:rPr>
          <w:rFonts w:ascii="KaiTi_GB2312" w:eastAsia="KaiTi_GB2312" w:hint="eastAsia"/>
          <w:color w:val="0000FF"/>
        </w:rPr>
      </w:pPr>
      <w:r>
        <w:rPr>
          <w:rFonts w:ascii="KaiTi_GB2312" w:eastAsia="KaiTi_GB2312" w:hint="eastAsia"/>
          <w:color w:val="0000FF"/>
        </w:rPr>
        <w:t>多边机构在下列领域援助了政府</w:t>
      </w:r>
    </w:p>
    <w:p w:rsidR="00737B35" w:rsidRDefault="00737B35">
      <w:pPr>
        <w:pStyle w:val="SingleTxt"/>
        <w:rPr>
          <w:rFonts w:hint="eastAsia"/>
        </w:rPr>
      </w:pPr>
      <w:r>
        <w:tab/>
      </w:r>
      <w:r>
        <w:rPr>
          <w:rFonts w:hint="eastAsia"/>
        </w:rPr>
        <w:t>人口基金支持了生育间隔问题项目；儿童基金会通过老挝妇女联盟在8个省促进了基于社区的综合农村发展。联合国妇发基金支持中央老挝妇女联盟参与提高妇女能力的活动，特别是组织管理培训和拟定它的1998至2003年战略。开发计划署支持发展老挝妇女联盟的一个企业，即老挝棉花，并支持老挝妇女联盟参与艾滋病毒/艾滋病预防活动。开发计划署其他的项目正在将性别和发展问题纳入每个项目。资发基金正在支持一个微观金融项目，在两个农村省份为男女双方发展小型企业。亚银正在与老挝政府合搞一个项目以使越来越多的女孩能够上学。</w:t>
      </w:r>
    </w:p>
    <w:p w:rsidR="00737B35" w:rsidRDefault="00737B35">
      <w:pPr>
        <w:pStyle w:val="SingleTxt"/>
        <w:rPr>
          <w:rFonts w:hint="eastAsia"/>
        </w:rPr>
      </w:pPr>
      <w:r>
        <w:tab/>
      </w:r>
      <w:r>
        <w:rPr>
          <w:rFonts w:hint="eastAsia"/>
        </w:rPr>
        <w:t>非政府组织特别是在社区发展、参与性农村发展培训、能力建设和老挝妇女艾滋病毒/艾滋病预防活动方面发挥了重要的作用。</w:t>
      </w: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第4条 加速男女平等</w:t>
      </w:r>
    </w:p>
    <w:p w:rsidR="00737B35" w:rsidRDefault="00737B35">
      <w:pPr>
        <w:pStyle w:val="SingleTxt"/>
        <w:spacing w:after="0" w:line="120" w:lineRule="exact"/>
        <w:rPr>
          <w:rFonts w:hint="eastAsia"/>
          <w:sz w:val="10"/>
        </w:rPr>
      </w:pPr>
    </w:p>
    <w:p w:rsidR="00737B35" w:rsidRDefault="00737B35">
      <w:pPr>
        <w:pStyle w:val="SingleTxt"/>
        <w:ind w:left="1695"/>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缔约各国为加速实现男女事实平等而采取的暂行特别措施，不得视为本公约所指的歧视，亦不得因此导致维持不平等或分别的标准；这些措施应在男女机会和待遇平等的目的达到之后，停止采用。</w:t>
      </w:r>
    </w:p>
    <w:p w:rsidR="00737B35" w:rsidRDefault="00737B35">
      <w:pPr>
        <w:pStyle w:val="SingleTxt"/>
        <w:ind w:left="1695"/>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缔约各国为保护母性而采取的特别措施，包括本公约所列各项措施，不得视为歧视。</w:t>
      </w:r>
    </w:p>
    <w:p w:rsidR="00737B35" w:rsidRDefault="00737B35">
      <w:pPr>
        <w:pStyle w:val="SingleTxt"/>
        <w:rPr>
          <w:rFonts w:ascii="SimHei" w:eastAsia="SimHei" w:hint="eastAsia"/>
          <w:color w:val="FF0000"/>
        </w:rPr>
      </w:pPr>
      <w:r>
        <w:rPr>
          <w:rFonts w:ascii="SimHei" w:eastAsia="SimHei" w:hint="eastAsia"/>
          <w:color w:val="FF0000"/>
        </w:rPr>
        <w:t>平等的政治参与</w:t>
      </w:r>
    </w:p>
    <w:p w:rsidR="00737B35" w:rsidRDefault="00737B35">
      <w:pPr>
        <w:pStyle w:val="SingleTxt"/>
        <w:rPr>
          <w:rFonts w:hint="eastAsia"/>
        </w:rPr>
      </w:pPr>
      <w:r>
        <w:tab/>
      </w:r>
      <w:r>
        <w:rPr>
          <w:rFonts w:hint="eastAsia"/>
        </w:rPr>
        <w:t>为实现全国一级事实上平等的政治参与，老挝共和国主席就《国民议会选举法》发布了一则法令（1997年），它的第7条指出，“国民议会成员应包括不同阶层、性别和少数民族的不同比例的代表。”</w:t>
      </w:r>
    </w:p>
    <w:p w:rsidR="00737B35" w:rsidRDefault="00737B35">
      <w:pPr>
        <w:pStyle w:val="SingleTxt"/>
        <w:rPr>
          <w:rFonts w:hint="eastAsia"/>
        </w:rPr>
      </w:pPr>
      <w:r>
        <w:tab/>
      </w:r>
      <w:r>
        <w:rPr>
          <w:rFonts w:hint="eastAsia"/>
        </w:rPr>
        <w:t>在国民议会第三届议会（1997年）85名成员中，只有8名妇女，仅占议员的9％。由于执行主席令，使下届议会的女议员数从9％增至21％。</w:t>
      </w:r>
    </w:p>
    <w:p w:rsidR="00737B35" w:rsidRDefault="00737B35">
      <w:pPr>
        <w:pStyle w:val="SingleTxt"/>
        <w:rPr>
          <w:rFonts w:ascii="SimHei" w:eastAsia="SimHei" w:hint="eastAsia"/>
          <w:color w:val="FF0000"/>
        </w:rPr>
      </w:pPr>
      <w:r>
        <w:rPr>
          <w:rFonts w:ascii="SimHei" w:eastAsia="SimHei" w:hint="eastAsia"/>
          <w:color w:val="FF0000"/>
        </w:rPr>
        <w:t>平等的就业机会</w:t>
      </w:r>
    </w:p>
    <w:p w:rsidR="00737B35" w:rsidRDefault="00737B35">
      <w:pPr>
        <w:pStyle w:val="SingleTxt"/>
        <w:rPr>
          <w:rFonts w:hint="eastAsia"/>
        </w:rPr>
      </w:pPr>
      <w:r>
        <w:tab/>
      </w:r>
      <w:r>
        <w:rPr>
          <w:rFonts w:hint="eastAsia"/>
        </w:rPr>
        <w:t>老挝共和国通过了一次处理性别平等就业机会和利益的劳动法。</w:t>
      </w: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第5条  男女任务和定型观念</w:t>
      </w:r>
    </w:p>
    <w:p w:rsidR="00737B35" w:rsidRDefault="00737B35">
      <w:pPr>
        <w:pStyle w:val="SingleTxt"/>
        <w:spacing w:after="0" w:line="120" w:lineRule="exact"/>
        <w:rPr>
          <w:rFonts w:hint="eastAsia"/>
          <w:sz w:val="10"/>
        </w:rPr>
      </w:pPr>
    </w:p>
    <w:p w:rsidR="00737B35" w:rsidRDefault="00737B35">
      <w:pPr>
        <w:pStyle w:val="SingleTxt"/>
        <w:ind w:left="1695"/>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缔约各国应采取一切适当措施：</w:t>
      </w:r>
    </w:p>
    <w:p w:rsidR="00737B35" w:rsidRDefault="00737B35">
      <w:pPr>
        <w:pStyle w:val="SingleTxt"/>
        <w:ind w:left="1695"/>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(a)</w:t>
      </w:r>
      <w:r>
        <w:rPr>
          <w:rFonts w:ascii="KaiTi_GB2312" w:eastAsia="KaiTi_GB2312" w:hint="eastAsia"/>
          <w:color w:val="0000FF"/>
        </w:rPr>
        <w:tab/>
        <w:t>改变男女的社会和文化行为模式，以消除基于性别而分尊卑观念或基于男女定型任务的偏见、习俗和其他一切做法；</w:t>
      </w:r>
    </w:p>
    <w:p w:rsidR="00737B35" w:rsidRDefault="00737B35">
      <w:pPr>
        <w:pStyle w:val="SingleTxt"/>
        <w:ind w:left="1695"/>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(b)</w:t>
      </w:r>
      <w:r>
        <w:rPr>
          <w:rFonts w:ascii="KaiTi_GB2312" w:eastAsia="KaiTi_GB2312" w:hint="eastAsia"/>
          <w:color w:val="0000FF"/>
        </w:rPr>
        <w:tab/>
        <w:t>保证家庭教育包括正确了解母性的社会功能和确认教养子女是父母的共同责任，但了解到在任何情况下应首先考虑子女的利益。</w:t>
      </w:r>
    </w:p>
    <w:p w:rsidR="00737B35" w:rsidRDefault="00737B35">
      <w:pPr>
        <w:pStyle w:val="SingleTxt"/>
        <w:rPr>
          <w:rFonts w:ascii="SimHei" w:eastAsia="SimHei" w:hint="eastAsia"/>
          <w:color w:val="FF0000"/>
        </w:rPr>
      </w:pPr>
      <w:r>
        <w:rPr>
          <w:rFonts w:ascii="SimHei" w:eastAsia="SimHei" w:hint="eastAsia"/>
          <w:color w:val="FF0000"/>
        </w:rPr>
        <w:t>妨碍妇女社会地位提高的文化做法的摘要</w:t>
      </w:r>
    </w:p>
    <w:p w:rsidR="00737B35" w:rsidRDefault="00737B35">
      <w:pPr>
        <w:pStyle w:val="SingleTxt"/>
        <w:rPr>
          <w:rFonts w:hint="eastAsia"/>
        </w:rPr>
      </w:pPr>
      <w:r>
        <w:tab/>
      </w:r>
      <w:r>
        <w:rPr>
          <w:rFonts w:hint="eastAsia"/>
        </w:rPr>
        <w:t>每个社会都产生男女不公平的观念、期望和规范。然而老挝社会的基本规范和模式可以摘要如下：</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男子必须强壮，必须领导家庭，而且必须是家庭在社会中的代表；此外，认为他们适合担任社会领导人。</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妇女必须温柔，自我谦让，成为称职的家庭主妇，照管丈夫的子女，并且是不抛头露面的追随者。换言之，妻子必须在所有事情上屈从丈夫，特别是在关系到社会地位的事情上（信息和发展中心）。</w:t>
      </w:r>
    </w:p>
    <w:p w:rsidR="00737B35" w:rsidRDefault="00737B35">
      <w:pPr>
        <w:pStyle w:val="SingleTxt"/>
        <w:rPr>
          <w:rFonts w:ascii="SimHei" w:eastAsia="SimHei" w:hint="eastAsia"/>
          <w:color w:val="FF0000"/>
        </w:rPr>
      </w:pPr>
      <w:r>
        <w:rPr>
          <w:rFonts w:ascii="SimHei" w:eastAsia="SimHei" w:hint="eastAsia"/>
          <w:color w:val="FF0000"/>
        </w:rPr>
        <w:t>宗教的作用</w:t>
      </w:r>
    </w:p>
    <w:p w:rsidR="00737B35" w:rsidRDefault="00737B35">
      <w:pPr>
        <w:pStyle w:val="SingleTxt"/>
        <w:rPr>
          <w:rFonts w:hint="eastAsia"/>
        </w:rPr>
      </w:pPr>
      <w:r>
        <w:tab/>
      </w:r>
      <w:r>
        <w:rPr>
          <w:rFonts w:hint="eastAsia"/>
        </w:rPr>
        <w:t>宪法第9条指出“国家尊重和保护佛教徒和其他宗教信徒的合法活动，鼓励僧侣和修女及其他宗教教士参加有益于国家和人民的活动，并禁止一切分裂宗教和人民的行为。</w:t>
      </w:r>
    </w:p>
    <w:p w:rsidR="00737B35" w:rsidRDefault="00737B35">
      <w:pPr>
        <w:pStyle w:val="SingleTxt"/>
        <w:rPr>
          <w:rFonts w:ascii="SimHei" w:eastAsia="SimHei" w:hint="eastAsia"/>
          <w:color w:val="FF0000"/>
        </w:rPr>
      </w:pPr>
      <w:r>
        <w:rPr>
          <w:rFonts w:ascii="SimHei" w:eastAsia="SimHei" w:hint="eastAsia"/>
          <w:color w:val="FF0000"/>
        </w:rPr>
        <w:t>家庭问题的研究</w:t>
      </w:r>
    </w:p>
    <w:p w:rsidR="00737B35" w:rsidRDefault="00737B35">
      <w:pPr>
        <w:pStyle w:val="SingleTxt"/>
        <w:rPr>
          <w:rFonts w:hint="eastAsia"/>
        </w:rPr>
      </w:pPr>
      <w:r>
        <w:tab/>
      </w:r>
      <w:r>
        <w:rPr>
          <w:rFonts w:hint="eastAsia"/>
        </w:rPr>
        <w:t>家庭是社会的细胞。每个成员都有重要的作用可发挥。根据传统，老挝共和国不同的民族群体有着不同的家庭结构。在主要的老挝族群体中，主要为母系生活模式，最年幼的女儿通常继承土地，传统上夫妻双方留在妻子父母的住户中。常常预期最年幼的女儿照顾父母的老年生活。儿子离家结婚并与姻亲生活在一起。在这一群体中聘礼的做法很常见，因为据老挝妇联最近的调查（1999年），在87％的婚姻中丈夫支付聘礼。在主要的老挝族群体中，妇女在家庭经济活动中起着强有力的作用。尽管这种情况和尽管有母系结构的支持，与男子相比，老挝族群体中的妇女在政治和社会上仍处于从属地位。正如老挝族谚语所说，“家中有女婿，粮仓装不下”。</w:t>
      </w:r>
    </w:p>
    <w:p w:rsidR="00737B35" w:rsidRDefault="00737B35">
      <w:pPr>
        <w:pStyle w:val="SingleTxt"/>
        <w:rPr>
          <w:rFonts w:hint="eastAsia"/>
        </w:rPr>
      </w:pPr>
      <w:r>
        <w:tab/>
      </w:r>
      <w:r>
        <w:rPr>
          <w:rFonts w:hint="eastAsia"/>
        </w:rPr>
        <w:t>在老挝Theung族中，家庭结构最常见的是父母双系的，而且在某种程度上是父系的。在老挝Theung族中，据老挝妇联最近的调查（1999年），77％的婚姻收受聘礼。在这个群体中，家庭权威几乎完全掌握在丈夫手中。</w:t>
      </w:r>
    </w:p>
    <w:p w:rsidR="00737B35" w:rsidRDefault="00737B35">
      <w:pPr>
        <w:pStyle w:val="SingleTxt"/>
        <w:rPr>
          <w:rFonts w:hint="eastAsia"/>
        </w:rPr>
      </w:pPr>
      <w:r>
        <w:tab/>
      </w:r>
      <w:r>
        <w:rPr>
          <w:rFonts w:hint="eastAsia"/>
        </w:rPr>
        <w:t>在赫蒙族中可以见到典型的父系结构。男孩子继承土地，妇女嫁到丈夫家中同其一起生活。据老挝妇女联盟的调查（1999年），在赫蒙族中，67％的婚姻收受聘礼。与主要老挝族和老挝Theung族相比，妇女处于更加从属的地位，因为她们没有自己亲属的支持。</w:t>
      </w:r>
    </w:p>
    <w:p w:rsidR="00737B35" w:rsidRDefault="00737B35">
      <w:pPr>
        <w:pStyle w:val="SingleTxt"/>
        <w:rPr>
          <w:rFonts w:hint="eastAsia"/>
        </w:rPr>
      </w:pPr>
      <w:r>
        <w:tab/>
      </w:r>
      <w:r>
        <w:rPr>
          <w:rFonts w:hint="eastAsia"/>
        </w:rPr>
        <w:t>所有民族群体共同的是家庭的传统分工，因为照顾家庭的工作责任重重地压在妇女的身上。烧菜做饭、担水拾柴、打扫房屋、照看子女和病人及缝洗衣服等工作以及照顾家庭和福利等必不可少的所有其他工作主要都由妇女承担。此外，妇女还是农业生产领域重要的参与者，而且作为现金收入的创收者也起着重要的作用。换言之，老挝社会的大多数妇女挑着双重担子、家庭工作和经济领域的工作。据日常时间利用调查，老挝妇女睡眠、体育活动、休息和走出家庭与他人社交所花的时间少于男子（老挝支出和消费调查，1997年）。</w:t>
      </w:r>
    </w:p>
    <w:p w:rsidR="00737B35" w:rsidRDefault="00737B35">
      <w:pPr>
        <w:pStyle w:val="SingleTxt"/>
        <w:rPr>
          <w:rFonts w:ascii="SimHei" w:eastAsia="SimHei" w:hint="eastAsia"/>
          <w:color w:val="FF0000"/>
        </w:rPr>
      </w:pPr>
      <w:r>
        <w:rPr>
          <w:rFonts w:ascii="SimHei" w:eastAsia="SimHei"/>
          <w:color w:val="FF0000"/>
        </w:rPr>
        <w:br w:type="page"/>
      </w:r>
      <w:r>
        <w:rPr>
          <w:rFonts w:ascii="SimHei" w:eastAsia="SimHei" w:hint="eastAsia"/>
          <w:color w:val="FF0000"/>
        </w:rPr>
        <w:t>老挝农村家庭成员作为儿童保育提供者的作用</w:t>
      </w:r>
    </w:p>
    <w:p w:rsidR="00737B35" w:rsidRDefault="00737B35">
      <w:pPr>
        <w:pStyle w:val="SingleTxt"/>
        <w:rPr>
          <w:rFonts w:hint="eastAsia"/>
        </w:rPr>
      </w:pPr>
      <w:r>
        <w:tab/>
      </w:r>
      <w:r>
        <w:rPr>
          <w:rFonts w:hint="eastAsia"/>
        </w:rPr>
        <w:t>据儿童基金会进行的一项研究（1994年），当子女3至4个月大时，父亲将开始参与抚养孩子的工作。父亲花更多的精力外出工作，通常母亲留在家中。有时候，父亲帮助带婴儿。一般说，母亲将不得不比父亲花更多的时间照顾子女。随着子女的长大，父亲的任务将增加，如果子女不听母亲的话，他们将对较大的子女进行更多的管教。如果祖父母不住在附近，父亲参与照顾的程度也将增大。父亲还决定有关疾病、上学和家庭分工的问题和其他主要问题。祖父母也在照管孩子方面起主要作用。通常祖母担当这项任务，她将同时照管几个孙儿女。</w:t>
      </w:r>
    </w:p>
    <w:p w:rsidR="00737B35" w:rsidRDefault="00737B35">
      <w:pPr>
        <w:pStyle w:val="SingleTxt"/>
        <w:rPr>
          <w:rFonts w:hint="eastAsia"/>
        </w:rPr>
      </w:pPr>
      <w:r>
        <w:tab/>
      </w:r>
      <w:r>
        <w:rPr>
          <w:rFonts w:hint="eastAsia"/>
        </w:rPr>
        <w:t>在老挝农村地区，到了七八岁，家中女孩将开始照管弟妹。很少让男孩做这件事，通常只有在家中没有女孩时才这样做。放学回家后女孩通常照管弟妹并做些家务。男孩往往玩耍并捕捉鸟类和其他动物。女孩年满12岁时，往往让她们全责照管弟妹。</w:t>
      </w:r>
    </w:p>
    <w:p w:rsidR="00737B35" w:rsidRDefault="00737B35">
      <w:pPr>
        <w:pStyle w:val="SingleTxt"/>
        <w:rPr>
          <w:rFonts w:ascii="SimHei" w:eastAsia="SimHei" w:hint="eastAsia"/>
          <w:color w:val="FF0000"/>
        </w:rPr>
      </w:pPr>
      <w:r>
        <w:rPr>
          <w:rFonts w:ascii="SimHei" w:eastAsia="SimHei" w:hint="eastAsia"/>
          <w:color w:val="FF0000"/>
        </w:rPr>
        <w:t>父母对其子女性别的态度</w:t>
      </w:r>
    </w:p>
    <w:p w:rsidR="00737B35" w:rsidRDefault="00737B35">
      <w:pPr>
        <w:pStyle w:val="SingleTxt"/>
        <w:rPr>
          <w:rFonts w:hint="eastAsia"/>
        </w:rPr>
      </w:pPr>
      <w:r>
        <w:tab/>
      </w:r>
      <w:r>
        <w:rPr>
          <w:rFonts w:hint="eastAsia"/>
        </w:rPr>
        <w:t>据儿童基金会的研究（1994年），所有三个民族的父母都报告说他们对子女一视同仁而不管性别。然而在实践中，父母在如何照顾、对待子女或向他们提供机会方面是有区别的，要视性别而定。各个民族之间也存在着很大的差别。</w:t>
      </w:r>
    </w:p>
    <w:p w:rsidR="00737B35" w:rsidRDefault="00737B35">
      <w:pPr>
        <w:pStyle w:val="SingleTxt"/>
        <w:rPr>
          <w:rFonts w:hint="eastAsia"/>
        </w:rPr>
      </w:pPr>
      <w:r>
        <w:tab/>
      </w:r>
      <w:r>
        <w:rPr>
          <w:rFonts w:hint="eastAsia"/>
        </w:rPr>
        <w:t>在赫蒙族中，父母强烈偏爱生育儿子而不是女儿，特别是作为第一个孩子，因为据认为长子能够继续家庭祖先的精神和家系。赫蒙族继续姓氏和继承权及保持祖先精神的传统只有靠儿子来保留，如果父母没有任何子女或只有女儿，他们将设法从亲戚或其他夫妇那里收养一个男孩。</w:t>
      </w:r>
    </w:p>
    <w:p w:rsidR="00737B35" w:rsidRDefault="00737B35">
      <w:pPr>
        <w:pStyle w:val="SingleTxt"/>
        <w:rPr>
          <w:rFonts w:hint="eastAsia"/>
        </w:rPr>
      </w:pPr>
      <w:r>
        <w:tab/>
      </w:r>
      <w:r>
        <w:rPr>
          <w:rFonts w:hint="eastAsia"/>
        </w:rPr>
        <w:t>在老挝Theung族中，父母还有偏爱儿子甚于女儿的倾向。儿子通常获得其父母更多的支持和关心。</w:t>
      </w:r>
    </w:p>
    <w:p w:rsidR="00737B35" w:rsidRDefault="00737B35">
      <w:pPr>
        <w:pStyle w:val="SingleTxt"/>
        <w:rPr>
          <w:rFonts w:hint="eastAsia"/>
        </w:rPr>
      </w:pPr>
      <w:r>
        <w:tab/>
      </w:r>
      <w:r>
        <w:rPr>
          <w:rFonts w:hint="eastAsia"/>
        </w:rPr>
        <w:t>老挝寮族人对于其子女的性别没有这样绝对的偏爱。</w:t>
      </w:r>
    </w:p>
    <w:p w:rsidR="00737B35" w:rsidRDefault="00737B35">
      <w:pPr>
        <w:pStyle w:val="SingleTxt"/>
        <w:rPr>
          <w:rFonts w:ascii="SimHei" w:eastAsia="SimHei" w:hint="eastAsia"/>
          <w:color w:val="FF0000"/>
        </w:rPr>
      </w:pPr>
      <w:r>
        <w:rPr>
          <w:rFonts w:ascii="SimHei" w:eastAsia="SimHei" w:hint="eastAsia"/>
          <w:color w:val="FF0000"/>
        </w:rPr>
        <w:t>对家庭暴力和强奸的态度</w:t>
      </w:r>
    </w:p>
    <w:p w:rsidR="00737B35" w:rsidRDefault="00737B35">
      <w:pPr>
        <w:pStyle w:val="SingleTxt"/>
        <w:rPr>
          <w:rFonts w:hint="eastAsia"/>
        </w:rPr>
      </w:pPr>
      <w:r>
        <w:tab/>
      </w:r>
      <w:r>
        <w:rPr>
          <w:rFonts w:hint="eastAsia"/>
        </w:rPr>
        <w:t>就研究而言，在性别资源信息和发展中心进行的一次调查（1998年）中，首次在全国范围提到了家庭暴力和强奸的问题。结果表明，在接受抽样调查的2 399家住户中，29名妇女在过去12个月中遭受了性暴力。其中22人报告事件发生在家中。据同项调查，15名妇女报了事件：2名妇女报告警方，11人报告村当局，2人告到法院。</w:t>
      </w:r>
    </w:p>
    <w:p w:rsidR="00737B35" w:rsidRDefault="00737B35">
      <w:pPr>
        <w:pStyle w:val="SingleTxt"/>
        <w:rPr>
          <w:rFonts w:hint="eastAsia"/>
        </w:rPr>
      </w:pPr>
      <w:r>
        <w:tab/>
      </w:r>
      <w:r>
        <w:rPr>
          <w:rFonts w:hint="eastAsia"/>
        </w:rPr>
        <w:t>至少在年轻一代中，夫妻之间的暴力行为被认为是相当正常的。据在年轻人中进行的一项调查（倾听年轻人的声音，1998年），53.4％的年轻人认为，“如果妻子犯了某种错误，男人打她是完全正当的”。定型成见早已形成，因为有63％的女孩同意这种说法，而同意的男孩“只有”45％。</w:t>
      </w:r>
    </w:p>
    <w:p w:rsidR="00737B35" w:rsidRDefault="00737B35">
      <w:pPr>
        <w:pStyle w:val="SingleTxt"/>
        <w:spacing w:line="340" w:lineRule="exact"/>
        <w:rPr>
          <w:rFonts w:hint="eastAsia"/>
        </w:rPr>
      </w:pPr>
      <w:r>
        <w:tab/>
      </w:r>
      <w:r>
        <w:rPr>
          <w:rFonts w:hint="eastAsia"/>
        </w:rPr>
        <w:t>《刑法》（1992年）没有专门述及家庭暴力问题，但指出可以免于刑事责任（第22条）“……近亲之间发生身体暴力如未造成严重伤害或人体损伤、诽谤、诬蔑、侮辱、凌辱……”（非正式译文）。</w:t>
      </w:r>
    </w:p>
    <w:p w:rsidR="00737B35" w:rsidRDefault="00737B35">
      <w:pPr>
        <w:pStyle w:val="SingleTxt"/>
        <w:spacing w:line="340" w:lineRule="exact"/>
        <w:rPr>
          <w:rFonts w:hint="eastAsia"/>
        </w:rPr>
      </w:pPr>
      <w:r>
        <w:tab/>
      </w:r>
      <w:r>
        <w:rPr>
          <w:rFonts w:hint="eastAsia"/>
        </w:rPr>
        <w:t>在老挝共和国，强奸属严重罪行，《刑法》（1992年）指出：</w:t>
      </w:r>
    </w:p>
    <w:p w:rsidR="00737B35" w:rsidRDefault="00737B35">
      <w:pPr>
        <w:pStyle w:val="SingleTxt"/>
        <w:spacing w:line="340" w:lineRule="exac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“任何人使用武力，使用威胁性武器、毒品或其他方法使不属于他妻子的妇女处于孤立无助的境地而违背她的意愿实施强奸，应被处以3至5年监禁。</w:t>
      </w:r>
    </w:p>
    <w:p w:rsidR="00737B35" w:rsidRDefault="00737B35">
      <w:pPr>
        <w:pStyle w:val="SingleTxt"/>
        <w:spacing w:line="340" w:lineRule="exac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“如果不法行为者强奸15至18岁或接受不法行为者监护或照管的妇女，应被处以5至10年监禁。”</w:t>
      </w:r>
    </w:p>
    <w:p w:rsidR="00737B35" w:rsidRDefault="00737B35">
      <w:pPr>
        <w:pStyle w:val="SingleTxt"/>
        <w:spacing w:line="340" w:lineRule="exac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“如果不法行为者通过轮奸强制强奸受害人，强制强奸15岁以下幼女，或在强奸时损害女性的身体，或使受害人在余生变成残疾，或杀害受害人，应被处以7至15年监禁。”</w:t>
      </w:r>
    </w:p>
    <w:p w:rsidR="00737B35" w:rsidRDefault="00737B35">
      <w:pPr>
        <w:pStyle w:val="SingleTxt"/>
        <w:spacing w:line="340" w:lineRule="exac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“如果不法行为者以暴力强奸和杀害女性并抛弃她，应被处以15至20年监禁或终身监禁，或接受死刑。”（非正式译文）</w:t>
      </w:r>
    </w:p>
    <w:p w:rsidR="00737B35" w:rsidRDefault="00737B35">
      <w:pPr>
        <w:pStyle w:val="SingleTxt"/>
        <w:spacing w:line="340" w:lineRule="exac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《刑法》（1992年）第120条指出，“任何人如与未年满15岁的男孩或女孩发生性关系，应被处以1至5年监禁。”（非正式译文）</w:t>
      </w:r>
    </w:p>
    <w:p w:rsidR="00737B35" w:rsidRDefault="00737B35">
      <w:pPr>
        <w:pStyle w:val="SingleTxt"/>
        <w:spacing w:line="340" w:lineRule="exact"/>
        <w:rPr>
          <w:rFonts w:hint="eastAsia"/>
        </w:rPr>
      </w:pPr>
      <w:r>
        <w:tab/>
      </w:r>
      <w:r>
        <w:rPr>
          <w:rFonts w:hint="eastAsia"/>
        </w:rPr>
        <w:t>在性别资源信息和发展中心进行的上述研究（1998年）中，2 399家住户抽样中有22家报告在过去12个月中女性成员受到了某种类型的身体暴力。两家住户报告女性成员受到了强奸。作为比较，1998年全国各地县法院起诉了64宗强奸案（司法部）。</w:t>
      </w:r>
    </w:p>
    <w:p w:rsidR="00737B35" w:rsidRDefault="00737B35">
      <w:pPr>
        <w:pStyle w:val="SingleTxt"/>
        <w:spacing w:line="340" w:lineRule="exact"/>
        <w:rPr>
          <w:rFonts w:ascii="SimHei" w:eastAsia="SimHei" w:hint="eastAsia"/>
          <w:color w:val="FF0000"/>
        </w:rPr>
      </w:pPr>
      <w:r>
        <w:rPr>
          <w:rFonts w:ascii="SimHei" w:eastAsia="SimHei" w:hint="eastAsia"/>
          <w:color w:val="FF0000"/>
        </w:rPr>
        <w:t>学校课本中的男女性定型成见和打击性侵犯影片的措施</w:t>
      </w:r>
    </w:p>
    <w:p w:rsidR="00737B35" w:rsidRDefault="00737B35">
      <w:pPr>
        <w:pStyle w:val="SingleTxt"/>
        <w:spacing w:line="340" w:lineRule="exact"/>
        <w:rPr>
          <w:rFonts w:hint="eastAsia"/>
        </w:rPr>
      </w:pPr>
      <w:r>
        <w:tab/>
      </w:r>
      <w:r>
        <w:rPr>
          <w:rFonts w:hint="eastAsia"/>
        </w:rPr>
        <w:t>据教育部对小学1至6年级课本进行的一项调查（1999年），教科书中可以发现某些性别偏见。一年级课本中的图片仍在某种程度上传播这样一种信息，比如喂孩子吃饭或照管弟妹等有些任务只属于妇女。有些图片还传达体育和其他户外活动只属于男孩的信息。</w:t>
      </w:r>
    </w:p>
    <w:p w:rsidR="00737B35" w:rsidRDefault="00737B35">
      <w:pPr>
        <w:pStyle w:val="SingleTxt"/>
        <w:spacing w:line="340" w:lineRule="exact"/>
        <w:rPr>
          <w:rFonts w:hint="eastAsia"/>
        </w:rPr>
      </w:pPr>
      <w:r>
        <w:tab/>
      </w:r>
      <w:r>
        <w:rPr>
          <w:rFonts w:hint="eastAsia"/>
        </w:rPr>
        <w:t>教育部对这种情况产生了警惕，并在更新教科书时将插进对性别任务持有更均衡观点的画面。</w:t>
      </w:r>
    </w:p>
    <w:p w:rsidR="00737B35" w:rsidRDefault="00737B35">
      <w:pPr>
        <w:pStyle w:val="SingleTxt"/>
        <w:spacing w:line="340" w:lineRule="exact"/>
        <w:rPr>
          <w:rFonts w:hint="eastAsia"/>
        </w:rPr>
      </w:pPr>
      <w:r>
        <w:tab/>
      </w:r>
      <w:r>
        <w:rPr>
          <w:rFonts w:hint="eastAsia"/>
        </w:rPr>
        <w:t>处理性侵犯影片和杂志的措施十分明确。《刑法》（1992年）第127条指出，“任何人如出版或拥有不道德或攻击祖国文化和美丽的图书或图片、录像带或其他东西，应被处以3个月至一年的监禁或罚款5 000至5万基普。”</w:t>
      </w:r>
    </w:p>
    <w:p w:rsidR="00737B35" w:rsidRDefault="00737B35">
      <w:pPr>
        <w:pStyle w:val="SingleTxt"/>
        <w:rPr>
          <w:rFonts w:ascii="SimHei" w:eastAsia="SimHei" w:hint="eastAsia"/>
          <w:color w:val="FF0000"/>
        </w:rPr>
      </w:pPr>
      <w:r>
        <w:rPr>
          <w:rFonts w:ascii="SimHei" w:eastAsia="SimHei"/>
          <w:color w:val="FF0000"/>
        </w:rPr>
        <w:br w:type="page"/>
      </w:r>
      <w:r>
        <w:rPr>
          <w:rFonts w:ascii="SimHei" w:eastAsia="SimHei" w:hint="eastAsia"/>
          <w:color w:val="FF0000"/>
        </w:rPr>
        <w:t>传统态度对妇女生活和活动的影响（信息和发展中心，1999年）</w:t>
      </w:r>
    </w:p>
    <w:p w:rsidR="00737B35" w:rsidRDefault="00737B35">
      <w:pPr>
        <w:pStyle w:val="SingleTxt"/>
        <w:rPr>
          <w:rFonts w:hint="eastAsia"/>
        </w:rPr>
      </w:pPr>
      <w:r>
        <w:tab/>
      </w:r>
      <w:r>
        <w:rPr>
          <w:rFonts w:ascii="KaiTi_GB2312" w:eastAsia="KaiTi_GB2312" w:hint="eastAsia"/>
          <w:color w:val="0000FF"/>
        </w:rPr>
        <w:t>缺乏上学及接受教育和知识的机会</w:t>
      </w:r>
      <w:r>
        <w:rPr>
          <w:rFonts w:hint="eastAsia"/>
        </w:rPr>
        <w:t>——一般说，老挝妇女的教育程度低于同年龄组、同宗教或相同社会背景的男子。农村地区和除了老挝寮族之外的其他民族差别甚至更为明显。</w:t>
      </w:r>
    </w:p>
    <w:p w:rsidR="00737B35" w:rsidRDefault="00737B35">
      <w:pPr>
        <w:pStyle w:val="SingleTxt"/>
        <w:rPr>
          <w:rFonts w:hint="eastAsia"/>
        </w:rPr>
      </w:pPr>
      <w:r>
        <w:tab/>
      </w:r>
      <w:r>
        <w:rPr>
          <w:rFonts w:ascii="KaiTi_GB2312" w:eastAsia="KaiTi_GB2312" w:hint="eastAsia"/>
          <w:color w:val="0000FF"/>
        </w:rPr>
        <w:t>缺乏训练其智力及其交流能力的机会</w:t>
      </w:r>
      <w:r>
        <w:rPr>
          <w:rFonts w:hint="eastAsia"/>
        </w:rPr>
        <w:t>——整个生命周期，从小孩到成年，多数老挝妇女面临种种限制。在她们长大后，也很少有机会参与社会活动。她们很少有机会在公共论坛上发言和发表意见，而这会给她们提供发展交流技能的机会。</w:t>
      </w:r>
    </w:p>
    <w:p w:rsidR="00737B35" w:rsidRDefault="00737B35">
      <w:pPr>
        <w:pStyle w:val="SingleTxt"/>
        <w:spacing w:line="340" w:lineRule="exact"/>
        <w:rPr>
          <w:rFonts w:hint="eastAsia"/>
        </w:rPr>
      </w:pPr>
      <w:r>
        <w:tab/>
      </w:r>
      <w:r>
        <w:rPr>
          <w:rFonts w:ascii="KaiTi_GB2312" w:eastAsia="KaiTi_GB2312" w:hint="eastAsia"/>
          <w:color w:val="0000FF"/>
        </w:rPr>
        <w:t>缺乏专业选择</w:t>
      </w:r>
      <w:r>
        <w:rPr>
          <w:rFonts w:hint="eastAsia"/>
        </w:rPr>
        <w:t>——目前，随着国家发展达到较高的水平和有更多的工作可做，仍有许多种类的工作被认为“不适合妇女”，特别是在技术领域。例如，</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spacing w:line="340" w:lineRule="exact"/>
        <w:ind w:left="2126" w:hanging="862"/>
        <w:rPr>
          <w:rFonts w:hint="eastAsia"/>
        </w:rPr>
      </w:pPr>
      <w:r>
        <w:tab/>
      </w:r>
      <w:r>
        <w:rPr>
          <w:rFonts w:hint="eastAsia"/>
        </w:rPr>
        <w:t>-</w:t>
      </w:r>
      <w:r>
        <w:rPr>
          <w:rFonts w:hint="eastAsia"/>
        </w:rPr>
        <w:tab/>
        <w:t>像工程或灌溉等专业领域被社会认为属于繁重的工作，因此不适合妇女。甚至在妇女完成了学业时，管理层也不按妇女的技术能力使用她们。</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spacing w:line="340" w:lineRule="exact"/>
        <w:ind w:left="2126" w:hanging="862"/>
        <w:rPr>
          <w:rFonts w:hint="eastAsia"/>
        </w:rPr>
      </w:pPr>
      <w:r>
        <w:tab/>
      </w:r>
      <w:r>
        <w:rPr>
          <w:rFonts w:hint="eastAsia"/>
        </w:rPr>
        <w:t>-</w:t>
      </w:r>
      <w:r>
        <w:rPr>
          <w:rFonts w:hint="eastAsia"/>
        </w:rPr>
        <w:tab/>
        <w:t>农业工作涉及到农村地区，在这个领域，妇女单独出行被认为是不可能或难以完成的，尽管这个领域对女工有着巨大的需求。由于老挝共和国有大量的妇女干农活，因此需要女性农业推广人员以便与女农民的联系和交流变得更为容易。</w:t>
      </w:r>
    </w:p>
    <w:p w:rsidR="00737B35" w:rsidRDefault="00737B35">
      <w:pPr>
        <w:pStyle w:val="SingleTxt"/>
        <w:spacing w:line="340" w:lineRule="exact"/>
        <w:rPr>
          <w:rFonts w:hint="eastAsia"/>
        </w:rPr>
      </w:pPr>
      <w:r>
        <w:tab/>
      </w:r>
      <w:r>
        <w:rPr>
          <w:rFonts w:hint="eastAsia"/>
        </w:rPr>
        <w:t>即使国家城市地区取得了进步，轻视性别任务的一般传统、文化和社会结构也造成了这样一种局面：在老挝农村地区的许多领域，妇女被剥夺了机会。妇女在教育方面处于落后地位，而且面临有限的选择。这些因素造成了在社会上和妇女自身根深蒂固的劣势观念和思想。</w:t>
      </w:r>
    </w:p>
    <w:p w:rsidR="00737B35" w:rsidRDefault="00737B35">
      <w:pPr>
        <w:pStyle w:val="SingleTxt"/>
        <w:rPr>
          <w:rFonts w:ascii="SimHei" w:eastAsia="SimHei" w:hint="eastAsia"/>
          <w:color w:val="FF0000"/>
        </w:rPr>
      </w:pPr>
      <w:r>
        <w:rPr>
          <w:rFonts w:ascii="SimHei" w:eastAsia="SimHei" w:hint="eastAsia"/>
          <w:color w:val="FF0000"/>
        </w:rPr>
        <w:t>反对男女定型成见的措施</w:t>
      </w:r>
    </w:p>
    <w:p w:rsidR="00737B35" w:rsidRDefault="00737B35">
      <w:pPr>
        <w:pStyle w:val="SingleTxt"/>
        <w:spacing w:line="340" w:lineRule="exact"/>
        <w:rPr>
          <w:rFonts w:hint="eastAsia"/>
        </w:rPr>
      </w:pPr>
      <w:r>
        <w:tab/>
      </w:r>
      <w:r>
        <w:rPr>
          <w:rFonts w:hint="eastAsia"/>
        </w:rPr>
        <w:t>即使老挝城市地区在男女平等方面已取得了许多进步，老挝妇女联盟和老挝共和国政府仍然严重关注老挝妇女相对于老挝男子的从属地位，特别是在老挝农村地区。《1998至2003年老挝妇女发展计划》指出的一个目标是“使社会认识性别问题和实现男女平等的权利”。</w:t>
      </w:r>
    </w:p>
    <w:p w:rsidR="00737B35" w:rsidRDefault="00737B35">
      <w:pPr>
        <w:pStyle w:val="SingleTxt"/>
        <w:spacing w:line="340" w:lineRule="exact"/>
        <w:rPr>
          <w:rFonts w:hint="eastAsia"/>
        </w:rPr>
      </w:pPr>
      <w:r>
        <w:tab/>
      </w:r>
      <w:r>
        <w:rPr>
          <w:rFonts w:hint="eastAsia"/>
        </w:rPr>
        <w:t>具体地说，已采取了下列措施施以增加老挝妇女享有其权利和反对老挝社会中男女定型成见的可能性。</w:t>
      </w:r>
    </w:p>
    <w:p w:rsidR="00737B35" w:rsidRDefault="00737B35">
      <w:pPr>
        <w:pStyle w:val="SingleTxt"/>
        <w:spacing w:line="340" w:lineRule="exact"/>
        <w:rPr>
          <w:rFonts w:hint="eastAsia"/>
        </w:rPr>
      </w:pPr>
      <w:r>
        <w:tab/>
      </w:r>
      <w:r>
        <w:rPr>
          <w:rFonts w:hint="eastAsia"/>
        </w:rPr>
        <w:t>老挝四个点的性别资源信息和发展中心正在培训男女双方成为性别培训者。这些性别培训者将到不同部和位于全国各地的其他机构去进行性别问题的培训。这项活动仍处于刚开始的阶段，但随着时间的推移将在公营部门工作的老挝人中改变男女的定型成见。</w:t>
      </w:r>
    </w:p>
    <w:p w:rsidR="00737B35" w:rsidRDefault="00737B35">
      <w:pPr>
        <w:pStyle w:val="SingleTxt"/>
        <w:rPr>
          <w:rFonts w:hint="eastAsia"/>
        </w:rPr>
      </w:pPr>
      <w:r>
        <w:tab/>
      </w:r>
      <w:r>
        <w:rPr>
          <w:rFonts w:hint="eastAsia"/>
        </w:rPr>
        <w:t>老挝妇女联盟最近开始执行一个改善其联络部的项目。项目的目标是增加各种杂志、报纸、广播和电视节目以提升一般公众对男女在社会中任务的知识，并向一般公众传达强大的老挝妇女的信息。</w:t>
      </w:r>
    </w:p>
    <w:p w:rsidR="00737B35" w:rsidRDefault="00737B35">
      <w:pPr>
        <w:pStyle w:val="SingleTxt"/>
        <w:rPr>
          <w:rFonts w:hint="eastAsia"/>
        </w:rPr>
      </w:pPr>
      <w:r>
        <w:tab/>
      </w:r>
      <w:r>
        <w:rPr>
          <w:rFonts w:hint="eastAsia"/>
        </w:rPr>
        <w:t>老挝妇女联盟目前正在执行一个提高其管理能力的项目。通过领导能力的训练，可望使老挝妇女联盟的关键人物成为更优秀的领导人，因而更有能力促进妇女在老挝社会中地位的提高。</w:t>
      </w:r>
    </w:p>
    <w:p w:rsidR="00737B35" w:rsidRDefault="00737B35">
      <w:pPr>
        <w:pStyle w:val="SingleTxt"/>
        <w:rPr>
          <w:rFonts w:hint="eastAsia"/>
        </w:rPr>
      </w:pPr>
      <w:r>
        <w:tab/>
      </w:r>
      <w:r>
        <w:rPr>
          <w:rFonts w:hint="eastAsia"/>
        </w:rPr>
        <w:t>老挝妇女联盟正与司法部协作，进行老挝法律培训和向妇女提供法律咨询。</w:t>
      </w:r>
    </w:p>
    <w:p w:rsidR="00737B35" w:rsidRDefault="00737B35">
      <w:pPr>
        <w:pStyle w:val="SingleTxt"/>
        <w:rPr>
          <w:rFonts w:hint="eastAsia"/>
        </w:rPr>
      </w:pPr>
      <w:r>
        <w:tab/>
      </w:r>
      <w:r>
        <w:rPr>
          <w:rFonts w:hint="eastAsia"/>
        </w:rPr>
        <w:t>老挝妇女联盟正在与教育部合作，促进妇女和儿童的基础教育。目标包括鼓励父母允许其女儿上学，并让妇女特别是农村地区和少数民族的妇女参加扫盲运动。</w:t>
      </w: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第6条  取缔对妇女的剥削</w:t>
      </w:r>
    </w:p>
    <w:p w:rsidR="00737B35" w:rsidRDefault="00737B35">
      <w:pPr>
        <w:pStyle w:val="SingleTxt"/>
        <w:spacing w:after="0" w:line="120" w:lineRule="exact"/>
        <w:rPr>
          <w:rFonts w:hint="eastAsia"/>
          <w:sz w:val="10"/>
        </w:rPr>
      </w:pPr>
    </w:p>
    <w:p w:rsidR="00737B35" w:rsidRDefault="00737B35">
      <w:pPr>
        <w:pStyle w:val="SingleTxt"/>
        <w:ind w:left="1695"/>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缔约各国应采取一切适当措施，包括制定法律，以禁止一切形式贩卖妇女和强迫妇女卖淫对她们进行剥削的行为。</w:t>
      </w:r>
    </w:p>
    <w:p w:rsidR="00737B35" w:rsidRDefault="00737B35">
      <w:pPr>
        <w:pStyle w:val="SingleTxt"/>
        <w:rPr>
          <w:rFonts w:hint="eastAsia"/>
        </w:rPr>
      </w:pPr>
      <w:r>
        <w:tab/>
      </w:r>
      <w:r>
        <w:rPr>
          <w:rFonts w:hint="eastAsia"/>
        </w:rPr>
        <w:t>贩卖妇女和女孩及强迫妇女卖淫对她们进行剥削是全世界共同关切的问题。在老挝共和国，自从1986年正式采纳新经济机制以来，一直在高速进行经济改革。新经济机制的本质是转向市场定价和取消管制，通过经济自由化以为贸易和投资创造开放的氛围。新经济机制还包括了主要通过东盟成员资格为区域一体化开放的措施。所有这些进程和工厂薪资非常低等情况也造成卖淫和其他相关社会丑恶现象的滋长。老挝人民革命党、政府和老挝妇女联盟对这种情况感到震惊，并已发布了同它作斗争的政策和措施。</w:t>
      </w:r>
    </w:p>
    <w:p w:rsidR="00737B35" w:rsidRDefault="00737B35">
      <w:pPr>
        <w:pStyle w:val="SingleTxt"/>
        <w:rPr>
          <w:rFonts w:ascii="KaiTi_GB2312" w:eastAsia="KaiTi_GB2312" w:hint="eastAsia"/>
          <w:color w:val="0000FF"/>
        </w:rPr>
      </w:pPr>
      <w:r>
        <w:rPr>
          <w:rFonts w:ascii="KaiTi_GB2312" w:eastAsia="KaiTi_GB2312" w:hint="eastAsia"/>
          <w:color w:val="0000FF"/>
        </w:rPr>
        <w:t>卖淫</w:t>
      </w:r>
    </w:p>
    <w:p w:rsidR="00737B35" w:rsidRDefault="00737B35">
      <w:pPr>
        <w:pStyle w:val="SingleTxt"/>
        <w:rPr>
          <w:rFonts w:hint="eastAsia"/>
        </w:rPr>
      </w:pPr>
      <w:r>
        <w:tab/>
      </w:r>
      <w:r>
        <w:rPr>
          <w:rFonts w:hint="eastAsia"/>
        </w:rPr>
        <w:t>在老挝共和国，卖淫是非法的。《刑法》（1992年）第122条指出，“任何人口从事与另一人性交的商业行为而谋生，将被处以3个月至1年的监禁或接受监外再教育。任何人如协助或便利他人从事卖淫将被处以3个月至1年的监禁或接受自由不受限制的教养处罚。”（非正式译文）</w:t>
      </w:r>
    </w:p>
    <w:p w:rsidR="00737B35" w:rsidRDefault="00737B35">
      <w:pPr>
        <w:pStyle w:val="SingleTxt"/>
        <w:rPr>
          <w:rFonts w:hint="eastAsia"/>
        </w:rPr>
      </w:pPr>
      <w:r>
        <w:tab/>
      </w:r>
      <w:r>
        <w:rPr>
          <w:rFonts w:hint="eastAsia"/>
        </w:rPr>
        <w:t>据《刑法》（1992年）第123条“任何人如通过引诱他人从事卖淫活动取得收入，将被处以6个月至3年的监禁。任何人如果使未年满18岁的人沦为妓女或迫使任何未满18岁的女孩违背其意愿从事卖淫活动，将被处以3至6年监禁。”</w:t>
      </w:r>
    </w:p>
    <w:p w:rsidR="00737B35" w:rsidRDefault="00737B35">
      <w:pPr>
        <w:pStyle w:val="SingleTxt"/>
        <w:rPr>
          <w:rFonts w:hint="eastAsia"/>
        </w:rPr>
      </w:pPr>
      <w:r>
        <w:tab/>
      </w:r>
      <w:r>
        <w:rPr>
          <w:rFonts w:hint="eastAsia"/>
        </w:rPr>
        <w:t>“如果某人从事性商业的专业中介活动或引诱未成年人从事卖淫活动或迫使受他（或她）照管的妇女沦为妓女，此人将被处以3至5年监禁。”（非正式译文）</w:t>
      </w:r>
    </w:p>
    <w:p w:rsidR="00737B35" w:rsidRDefault="00737B35">
      <w:pPr>
        <w:pStyle w:val="SingleTxt"/>
        <w:rPr>
          <w:rFonts w:hint="eastAsia"/>
        </w:rPr>
      </w:pPr>
      <w:r>
        <w:tab/>
      </w:r>
      <w:r>
        <w:rPr>
          <w:rFonts w:hint="eastAsia"/>
        </w:rPr>
        <w:t>促成卖淫活动增长的因素包括工厂薪资未提供足够的基础以达到正常的生活水准。女孩和年轻妇女经常负有家庭义务给家里父母寄钱，而且财政压力迫使许多女孩到餐馆、夜总会和旅馆陪客喝酒等挣份外快，而在这些地方她们易受其男顾客的性剥削。</w:t>
      </w:r>
    </w:p>
    <w:p w:rsidR="00737B35" w:rsidRDefault="00737B35">
      <w:pPr>
        <w:pStyle w:val="SingleTxt"/>
        <w:rPr>
          <w:rFonts w:hint="eastAsia"/>
        </w:rPr>
      </w:pPr>
      <w:r>
        <w:tab/>
      </w:r>
      <w:r>
        <w:rPr>
          <w:rFonts w:hint="eastAsia"/>
        </w:rPr>
        <w:t>如上所述，老挝的法律对于卖淫相当严厉，特别是在第三者出售妇女的性服务时。遗憾的是，出售色情服务的做法使得当局非常难以执行这些法律，因为如果女孩或年轻妇女与顾客自己达成卖淫协议，则警方难以获取发生卖淫的证据。实际行为极少发生在酒吧，从而使当局更难干预。</w:t>
      </w:r>
    </w:p>
    <w:p w:rsidR="00737B35" w:rsidRDefault="00737B35">
      <w:pPr>
        <w:pStyle w:val="SingleTxt"/>
        <w:rPr>
          <w:rFonts w:hint="eastAsia"/>
        </w:rPr>
      </w:pPr>
      <w:r>
        <w:tab/>
      </w:r>
      <w:r>
        <w:rPr>
          <w:rFonts w:hint="eastAsia"/>
        </w:rPr>
        <w:t>对于一般人对妓女持何种态度没有进行过多少研究。不过据最近在年轻人中进行的调查（倾听年轻人声音，1998年），17.8％的年轻人认为卖淫是老挝社会一大问题。他们还相当清楚地看到，贫困的境遇促使年轻的女孩和妇女沦为妓女，并且感到不能将这种事态发展归咎于女孩和妇女。</w:t>
      </w:r>
    </w:p>
    <w:p w:rsidR="00737B35" w:rsidRDefault="00737B35">
      <w:pPr>
        <w:pStyle w:val="SingleTxt"/>
        <w:rPr>
          <w:rFonts w:hint="eastAsia"/>
        </w:rPr>
      </w:pPr>
      <w:r>
        <w:tab/>
      </w:r>
      <w:r>
        <w:rPr>
          <w:rFonts w:hint="eastAsia"/>
        </w:rPr>
        <w:t>眼下，没有多少服务或治疗方案可提供给妓女或处于受剥削风险的少女。政府和老挝妇女联盟对这种情况保持着警惕，而且《1998至2003年老挝妇女联盟发展计划》指出，为妓女和潜在的妓女提供替代收入来源和职业培训的一个项目将构成老挝妇女联盟特定时期活动的一个不可分割的部分。这个项目还旨在收集关于处境艰难的妇女和儿童的更多信息。个别学校和医院也已表示有兴趣收集更多的信息以了解如何应对处境艰难的年轻人。</w:t>
      </w:r>
    </w:p>
    <w:p w:rsidR="00737B35" w:rsidRDefault="00737B35">
      <w:pPr>
        <w:pStyle w:val="SingleTxt"/>
        <w:rPr>
          <w:rFonts w:ascii="SimHei" w:eastAsia="SimHei" w:hint="eastAsia"/>
          <w:color w:val="FF0000"/>
        </w:rPr>
      </w:pPr>
      <w:r>
        <w:rPr>
          <w:rFonts w:ascii="SimHei" w:eastAsia="SimHei" w:hint="eastAsia"/>
          <w:color w:val="FF0000"/>
        </w:rPr>
        <w:t>贩运妇女和儿童</w:t>
      </w:r>
    </w:p>
    <w:p w:rsidR="00737B35" w:rsidRDefault="00737B35">
      <w:pPr>
        <w:pStyle w:val="SingleTxt"/>
        <w:rPr>
          <w:rFonts w:hint="eastAsia"/>
        </w:rPr>
      </w:pPr>
      <w:r>
        <w:tab/>
      </w:r>
      <w:r>
        <w:rPr>
          <w:rFonts w:hint="eastAsia"/>
        </w:rPr>
        <w:t>老挝法律对于贩卖妇女和儿童很严厉。《刑法》（1992年）第92条指出，“任何人和为了赎金或贸易诱拐或贩运他人，将被处以5至15年监禁。”（非正式译文）</w:t>
      </w:r>
    </w:p>
    <w:p w:rsidR="00737B35" w:rsidRDefault="00737B35">
      <w:pPr>
        <w:pStyle w:val="SingleTxt"/>
        <w:rPr>
          <w:rFonts w:hint="eastAsia"/>
        </w:rPr>
      </w:pPr>
      <w:r>
        <w:tab/>
      </w:r>
      <w:r>
        <w:rPr>
          <w:rFonts w:hint="eastAsia"/>
        </w:rPr>
        <w:t>《刑法》（1992年）第69条还进而指出，“任何人如诱骗他人前往另一国，或将人非法送到另一国，将面临6个月至3年的监禁。”（非正式译文）</w:t>
      </w:r>
    </w:p>
    <w:p w:rsidR="00737B35" w:rsidRDefault="00737B35">
      <w:pPr>
        <w:pStyle w:val="SingleTxt"/>
        <w:rPr>
          <w:rFonts w:hint="eastAsia"/>
        </w:rPr>
      </w:pPr>
      <w:r>
        <w:tab/>
      </w:r>
      <w:r>
        <w:rPr>
          <w:rFonts w:hint="eastAsia"/>
        </w:rPr>
        <w:t>与驱使妇女和少女参与卖淫的原因十分相同的原因驱使她们遭受贩运。雨季这个老挝共和国种植季节过后，一年中年轻人往往到泰国谋生4至6个月，因为老挝共和国农村的人没有很多的季节性就业机会。</w:t>
      </w:r>
    </w:p>
    <w:p w:rsidR="00737B35" w:rsidRDefault="00737B35">
      <w:pPr>
        <w:pStyle w:val="SingleTxt"/>
        <w:rPr>
          <w:rFonts w:hint="eastAsia"/>
        </w:rPr>
      </w:pPr>
      <w:r>
        <w:tab/>
      </w:r>
      <w:r>
        <w:rPr>
          <w:rFonts w:hint="eastAsia"/>
        </w:rPr>
        <w:t>目前，没有关于老挝共和国被贩运妇女或女孩人数的可靠估计。1995年进行的老挝政府官方调查指出，老挝南方几个省中仅仅一个省即沙湾拿吉就有1.5万青年前往泰国当季节工。老挝与泰国接壤的省有8个，全都是有大量的人前往泰国找工作的地区。目前，很少有人了解他们同意前往泰国的条件或一旦到了泰国他们受到多大的胁迫和剥削。</w:t>
      </w:r>
    </w:p>
    <w:p w:rsidR="00737B35" w:rsidRDefault="00737B35">
      <w:pPr>
        <w:pStyle w:val="SingleTxt"/>
        <w:rPr>
          <w:rFonts w:hint="eastAsia"/>
        </w:rPr>
      </w:pPr>
      <w:r>
        <w:tab/>
      </w:r>
      <w:r>
        <w:rPr>
          <w:rFonts w:hint="eastAsia"/>
        </w:rPr>
        <w:t>据一项研究（倾听年轻人声音，1998年），50％的年轻人说他们在泰国找到了工作或有人试图说服他们前往那里找工作。多数年轻人决意不出走的原因各不相同。多数人说他们的父母不让他们出国。特别是女孩说，泰国是个危险的地方，她们感到担心：</w:t>
      </w:r>
    </w:p>
    <w:p w:rsidR="00737B35" w:rsidRDefault="00737B35">
      <w:pPr>
        <w:pStyle w:val="SingleTxt"/>
        <w:rPr>
          <w:rFonts w:hint="eastAsia"/>
        </w:rPr>
      </w:pPr>
      <w:r>
        <w:tab/>
      </w:r>
      <w:r>
        <w:rPr>
          <w:rFonts w:hint="eastAsia"/>
        </w:rPr>
        <w:t>“他们将送我们出去从事卖淫，然后警察会抓我们进监狱，而且我们担心有人会强奸我们。”</w:t>
      </w:r>
    </w:p>
    <w:p w:rsidR="00737B35" w:rsidRDefault="00737B35">
      <w:pPr>
        <w:pStyle w:val="SingleTxt"/>
        <w:rPr>
          <w:rFonts w:hint="eastAsia"/>
        </w:rPr>
      </w:pPr>
      <w:r>
        <w:tab/>
      </w:r>
      <w:r>
        <w:rPr>
          <w:rFonts w:hint="eastAsia"/>
        </w:rPr>
        <w:t>同一项研究还指出，在工作和薪资方面受骗的担心也使有些年轻人未去泰国，因为有人认识一些朋友，他们曾被许诺好的工作，结果发现一旦到了那里诺言并未兑现。</w:t>
      </w:r>
    </w:p>
    <w:p w:rsidR="00737B35" w:rsidRDefault="00737B35">
      <w:pPr>
        <w:pStyle w:val="SingleTxt"/>
        <w:rPr>
          <w:rFonts w:hint="eastAsia"/>
        </w:rPr>
      </w:pPr>
      <w:r>
        <w:tab/>
      </w:r>
      <w:r>
        <w:rPr>
          <w:rFonts w:hint="eastAsia"/>
        </w:rPr>
        <w:t>不过，许多年轻人表示想前往泰国找工作或实际上已去过那里并津津乐道。冒险感吸引许多年轻人到泰国去，而且钱也是一个巨大的推动力，因为泰国薪资高，即使据调查称许多年轻人认识到他们可能遭到欺骗。</w:t>
      </w:r>
    </w:p>
    <w:p w:rsidR="00737B35" w:rsidRDefault="00737B35">
      <w:pPr>
        <w:pStyle w:val="SingleTxt"/>
        <w:rPr>
          <w:rFonts w:hint="eastAsia"/>
        </w:rPr>
      </w:pPr>
      <w:r>
        <w:tab/>
      </w:r>
      <w:r>
        <w:rPr>
          <w:rFonts w:hint="eastAsia"/>
        </w:rPr>
        <w:t>劳动和社会事务部对此种情况非常关切，并正在参加湄公河分区域区内贩运妇女和儿童项目。这一项目的目标是收集关于区域内贩运妇女和女孩的原因的信息，并拿出打击贩运妇女和儿童行为的分区域措施。在老挝共和国，将建立一个载有跨界贩运信息的数据库作为项目的第一项活动。在项目的随后各阶段，包括社会其他部门的一个部际工作组将提出如何打击贩运妇女和儿童行为的具体措施。还将开展提高对社区一级问题认识的活动作为项目的组成部分。</w:t>
      </w:r>
    </w:p>
    <w:p w:rsidR="00737B35" w:rsidRDefault="00737B35">
      <w:pPr>
        <w:pStyle w:val="SingleTxt"/>
        <w:rPr>
          <w:rFonts w:hint="eastAsia"/>
        </w:rPr>
      </w:pPr>
      <w:r>
        <w:rPr>
          <w:rFonts w:hint="eastAsia"/>
        </w:rPr>
        <w:t>老挝妇女联盟正在开始执行一个项目以促进面临贩运剥削风险的妇女和女孩的工作机会。该项目的一个目标是为风险群体提供职业培训。</w:t>
      </w: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第7条  政治和公共生活</w:t>
      </w:r>
    </w:p>
    <w:p w:rsidR="00737B35" w:rsidRDefault="00737B35">
      <w:pPr>
        <w:pStyle w:val="SingleTxt"/>
        <w:spacing w:after="0" w:line="120" w:lineRule="exact"/>
        <w:rPr>
          <w:rFonts w:hint="eastAsia"/>
          <w:sz w:val="10"/>
        </w:rPr>
      </w:pPr>
    </w:p>
    <w:p w:rsidR="00737B35" w:rsidRDefault="00737B35">
      <w:pPr>
        <w:pStyle w:val="SingleTxt"/>
        <w:ind w:left="1695"/>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缔约各国应采取一切适当措施，消除在本国政治和公共生活中对妇女的歧视，特别应保证妇女在与男子平等的条件下：</w:t>
      </w:r>
    </w:p>
    <w:p w:rsidR="00737B35" w:rsidRDefault="00737B35">
      <w:pPr>
        <w:pStyle w:val="SingleTxt"/>
        <w:ind w:left="1695"/>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(a)</w:t>
      </w:r>
      <w:r>
        <w:rPr>
          <w:rFonts w:ascii="KaiTi_GB2312" w:eastAsia="KaiTi_GB2312" w:hint="eastAsia"/>
          <w:color w:val="0000FF"/>
        </w:rPr>
        <w:tab/>
        <w:t>在一切选举和公民投票中有选举权，并在一切民选机构有被选举权；</w:t>
      </w:r>
    </w:p>
    <w:p w:rsidR="00737B35" w:rsidRDefault="00737B35">
      <w:pPr>
        <w:pStyle w:val="SingleTxt"/>
        <w:ind w:left="1695"/>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(b)</w:t>
      </w:r>
      <w:r>
        <w:rPr>
          <w:rFonts w:ascii="KaiTi_GB2312" w:eastAsia="KaiTi_GB2312" w:hint="eastAsia"/>
          <w:color w:val="0000FF"/>
        </w:rPr>
        <w:tab/>
        <w:t>参加政府政策的制订及其执行，并担任各级政府公职，执行一切公务；</w:t>
      </w:r>
    </w:p>
    <w:p w:rsidR="00737B35" w:rsidRDefault="00737B35">
      <w:pPr>
        <w:pStyle w:val="SingleTxt"/>
        <w:ind w:left="1695"/>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(c)</w:t>
      </w:r>
      <w:r>
        <w:rPr>
          <w:rFonts w:ascii="KaiTi_GB2312" w:eastAsia="KaiTi_GB2312" w:hint="eastAsia"/>
          <w:color w:val="0000FF"/>
        </w:rPr>
        <w:tab/>
        <w:t>参加有关本国公共和政治生活的非政府组织和协会。</w:t>
      </w:r>
    </w:p>
    <w:p w:rsidR="00737B35" w:rsidRDefault="00737B35">
      <w:pPr>
        <w:pStyle w:val="SingleTxt"/>
        <w:rPr>
          <w:rFonts w:hint="eastAsia"/>
        </w:rPr>
      </w:pPr>
      <w:r>
        <w:tab/>
      </w:r>
      <w:r>
        <w:rPr>
          <w:rFonts w:hint="eastAsia"/>
        </w:rPr>
        <w:t>宪法（1991年）第23条指出，“年满和超过18岁的老挝公民拥有选举权，而且年满和超过21岁的老挝公民拥有被选举权，但精神病人及选举权和被选举权被法院剥夺的人除外”。</w:t>
      </w:r>
    </w:p>
    <w:p w:rsidR="00737B35" w:rsidRDefault="00737B35">
      <w:pPr>
        <w:pStyle w:val="SingleTxt"/>
        <w:rPr>
          <w:rFonts w:hint="eastAsia"/>
        </w:rPr>
      </w:pPr>
      <w:r>
        <w:tab/>
      </w:r>
      <w:r>
        <w:rPr>
          <w:rFonts w:hint="eastAsia"/>
        </w:rPr>
        <w:t>宪法（1991年）第24条进而指出，“男女老挝公民在政治、经济、文化、社会和家庭事务方面均享有平等权利。”这样，老挝妇女有权在与男子平等的基础上参加本国的政治和公共生活。”</w:t>
      </w:r>
    </w:p>
    <w:p w:rsidR="00737B35" w:rsidRDefault="00737B35">
      <w:pPr>
        <w:pStyle w:val="SingleTxt"/>
        <w:rPr>
          <w:rFonts w:ascii="SimHei" w:eastAsia="SimHei" w:hint="eastAsia"/>
          <w:color w:val="FF0000"/>
        </w:rPr>
      </w:pPr>
      <w:r>
        <w:rPr>
          <w:rFonts w:ascii="SimHei" w:eastAsia="SimHei"/>
          <w:color w:val="FF0000"/>
        </w:rPr>
        <w:br w:type="page"/>
      </w:r>
      <w:r>
        <w:rPr>
          <w:rFonts w:ascii="SimHei" w:eastAsia="SimHei" w:hint="eastAsia"/>
          <w:color w:val="FF0000"/>
        </w:rPr>
        <w:t>妇女作为政党党员</w:t>
      </w:r>
    </w:p>
    <w:p w:rsidR="00737B35" w:rsidRDefault="00737B35">
      <w:pPr>
        <w:pStyle w:val="SingleTxt"/>
        <w:rPr>
          <w:rFonts w:hint="eastAsia"/>
        </w:rPr>
      </w:pPr>
      <w:r>
        <w:tab/>
      </w:r>
      <w:r>
        <w:rPr>
          <w:rFonts w:hint="eastAsia"/>
        </w:rPr>
        <w:t>宪法（1991年）第3条指出，“多民族人民成为国家主人的权利通过政治制度的作用行使和确保，其中老挝人民革命党是领导核心”。老挝人民革命党是老挝共和国的惟一政党。</w:t>
      </w:r>
    </w:p>
    <w:p w:rsidR="00737B35" w:rsidRDefault="00737B35">
      <w:pPr>
        <w:pStyle w:val="SingleTxt"/>
        <w:rPr>
          <w:rFonts w:hint="eastAsia"/>
        </w:rPr>
      </w:pPr>
      <w:r>
        <w:tab/>
      </w:r>
      <w:r>
        <w:rPr>
          <w:rFonts w:hint="eastAsia"/>
        </w:rPr>
        <w:t>自1980年代初以来，担任党内领导职务的妇女人数颇为稳定。参加党的代表大会和担任党的中央委员会委员的妇女比例有所提高，从1982年的7.3％增至1996年的8.2％。</w:t>
      </w:r>
    </w:p>
    <w:p w:rsidR="00737B35" w:rsidRDefault="00737B35">
      <w:pPr>
        <w:pStyle w:val="SingleTxt"/>
        <w:rPr>
          <w:rFonts w:hint="eastAsia"/>
        </w:rPr>
      </w:pPr>
      <w:r>
        <w:tab/>
      </w:r>
      <w:r>
        <w:rPr>
          <w:rFonts w:hint="eastAsia"/>
        </w:rPr>
        <w:t>目前老挝人民革命党政治局内没有妇女代表，政治局是党的最高决策机关。</w:t>
      </w:r>
    </w:p>
    <w:p w:rsidR="00737B35" w:rsidRDefault="00737B35">
      <w:pPr>
        <w:pStyle w:val="SingleTxt"/>
        <w:rPr>
          <w:rFonts w:ascii="SimHei" w:eastAsia="SimHei" w:hint="eastAsia"/>
          <w:color w:val="FF0000"/>
        </w:rPr>
      </w:pPr>
      <w:r>
        <w:rPr>
          <w:rFonts w:ascii="SimHei" w:eastAsia="SimHei" w:hint="eastAsia"/>
          <w:color w:val="FF0000"/>
        </w:rPr>
        <w:t>国民议会</w:t>
      </w:r>
    </w:p>
    <w:p w:rsidR="00737B35" w:rsidRDefault="00737B35">
      <w:pPr>
        <w:pStyle w:val="SingleTxt"/>
        <w:rPr>
          <w:rFonts w:hint="eastAsia"/>
        </w:rPr>
      </w:pPr>
      <w:r>
        <w:tab/>
      </w:r>
      <w:r>
        <w:rPr>
          <w:rFonts w:hint="eastAsia"/>
        </w:rPr>
        <w:t>如本次报告第4要项下所解释，在1997年举行的上次国民议会选举中，老挝人民革命党和老挝妇女联盟都非常热切地希望增加国民议会中女议员的人数。在立法中，妇女参与率的提高通过老挝共和国主席发布的《国民议会选举法》令（1997年）表述，该法令第7条指出“国民议会成员应包括不同阶层、性别和少数民族人民适当比例的代表。”</w:t>
      </w:r>
    </w:p>
    <w:p w:rsidR="00737B35" w:rsidRDefault="00737B35">
      <w:pPr>
        <w:pStyle w:val="SingleTxt"/>
        <w:rPr>
          <w:rFonts w:hint="eastAsia"/>
        </w:rPr>
      </w:pPr>
      <w:r>
        <w:tab/>
      </w:r>
      <w:r>
        <w:rPr>
          <w:rFonts w:hint="eastAsia"/>
        </w:rPr>
        <w:t>从1975年直至1997年，国民议会女成员的数目相当稳定。由于妇女参与率从第3届议会的9.4％增至第4届议会（1997年）的21.1％，女代表比例的增长向前跨越了一步。在老挝共和国，国民议会的选举是强制性的，230万合格选民中99％参加了选举。女候选人当选的成功率达到了78％，而男子的成功率为58％。在国民议会议员中，有两名女议员当选议会常设委员会成员。常设委员会的任务是筹备国民议会的届会和确保国民议会制定的方案得到实施。一名妇女当选为国民议会副议长。</w:t>
      </w:r>
    </w:p>
    <w:p w:rsidR="00737B35" w:rsidRDefault="00737B35">
      <w:pPr>
        <w:pStyle w:val="SingleTxt"/>
        <w:rPr>
          <w:rFonts w:hint="eastAsia"/>
        </w:rPr>
      </w:pPr>
      <w:r>
        <w:tab/>
      </w:r>
      <w:r>
        <w:rPr>
          <w:rFonts w:hint="eastAsia"/>
        </w:rPr>
        <w:t>在过去3年中国民议会议员举行了两届会议以提高国民议会议员对老挝共和国的主要性别问题的认识。在研讨会上拟订的意见之一是由国民议会21名女议员组成一个妇女核心小组。还一致同意国民议会的全体议员应接受性别培训。</w:t>
      </w:r>
    </w:p>
    <w:p w:rsidR="00737B35" w:rsidRDefault="00737B35">
      <w:pPr>
        <w:pStyle w:val="SingleTxt"/>
        <w:rPr>
          <w:rFonts w:ascii="SimHei" w:eastAsia="SimHei" w:hint="eastAsia"/>
          <w:color w:val="FF0000"/>
        </w:rPr>
      </w:pPr>
      <w:r>
        <w:rPr>
          <w:rFonts w:ascii="SimHei" w:eastAsia="SimHei" w:hint="eastAsia"/>
          <w:color w:val="FF0000"/>
        </w:rPr>
        <w:t>老挝共和国政府</w:t>
      </w:r>
    </w:p>
    <w:p w:rsidR="00737B35" w:rsidRDefault="00737B35">
      <w:pPr>
        <w:pStyle w:val="SingleTxt"/>
        <w:rPr>
          <w:rFonts w:hint="eastAsia"/>
        </w:rPr>
      </w:pPr>
      <w:r>
        <w:tab/>
      </w:r>
      <w:r>
        <w:rPr>
          <w:rFonts w:hint="eastAsia"/>
        </w:rPr>
        <w:t>从1994年至目前，女部长人数增加了一名。38名成员组成的部长内阁成员中总共有两名女部长。79名副部长中有5名是妇女。</w:t>
      </w:r>
    </w:p>
    <w:p w:rsidR="00737B35" w:rsidRDefault="00737B35">
      <w:pPr>
        <w:pStyle w:val="SingleTxt"/>
        <w:rPr>
          <w:rFonts w:ascii="SimHei" w:eastAsia="SimHei" w:hint="eastAsia"/>
          <w:color w:val="FF0000"/>
        </w:rPr>
      </w:pPr>
      <w:r>
        <w:rPr>
          <w:rFonts w:ascii="SimHei" w:eastAsia="SimHei" w:hint="eastAsia"/>
          <w:color w:val="FF0000"/>
        </w:rPr>
        <w:t>地方行政</w:t>
      </w:r>
    </w:p>
    <w:p w:rsidR="00737B35" w:rsidRDefault="00737B35">
      <w:pPr>
        <w:pStyle w:val="SingleTxt"/>
        <w:rPr>
          <w:rFonts w:hint="eastAsia"/>
        </w:rPr>
      </w:pPr>
      <w:r>
        <w:tab/>
      </w:r>
      <w:r>
        <w:rPr>
          <w:rFonts w:hint="eastAsia"/>
        </w:rPr>
        <w:t>首长在省内代表总理和政府，并由主席应总理建议而任命。省长是该级最高级别的官员。在18名省长中有一名是妇女。在每个省中还有两名副省长是省长的直接助手。他们也是任命的官员。目前设有妇女被任命为副省长。</w:t>
      </w:r>
    </w:p>
    <w:p w:rsidR="00737B35" w:rsidRDefault="00737B35">
      <w:pPr>
        <w:pStyle w:val="SingleTxt"/>
        <w:rPr>
          <w:rFonts w:hint="eastAsia"/>
        </w:rPr>
      </w:pPr>
      <w:r>
        <w:tab/>
      </w:r>
      <w:r>
        <w:rPr>
          <w:rFonts w:hint="eastAsia"/>
        </w:rPr>
        <w:t>县长在他（或她）的地区单位内代表国家，但他（或她）根据省长指示履行其职责。县长负责执行宪法、法律和最高当局发布的指令。县长每两年选举一次。141名县长中有两名女县长。</w:t>
      </w:r>
    </w:p>
    <w:p w:rsidR="00737B35" w:rsidRDefault="00737B35">
      <w:pPr>
        <w:pStyle w:val="SingleTxt"/>
        <w:rPr>
          <w:rFonts w:hint="eastAsia"/>
        </w:rPr>
      </w:pPr>
      <w:r>
        <w:tab/>
      </w:r>
      <w:r>
        <w:rPr>
          <w:rFonts w:hint="eastAsia"/>
        </w:rPr>
        <w:t>村长在县长的监督下履行其职责。在村一级，村长负责确保实施法律、条例和上级当局发布的指令。村长还是基层组织的治安官。他（或她）负责仲裁村民之间的冲突。因此村长是老挝法律体系的重要成分。总共8 505名村长中有88名女村长。村长有一名副村长协助其完成任务。12 491名副村长中有236名是妇女。</w:t>
      </w:r>
    </w:p>
    <w:p w:rsidR="00737B35" w:rsidRDefault="00737B35">
      <w:pPr>
        <w:pStyle w:val="SingleTxt"/>
        <w:rPr>
          <w:rFonts w:hint="eastAsia"/>
        </w:rPr>
      </w:pPr>
      <w:r>
        <w:tab/>
      </w:r>
      <w:r>
        <w:rPr>
          <w:rFonts w:hint="eastAsia"/>
        </w:rPr>
        <w:t>村委会在磋商的基础上协助村长及其副手执行其任务。老挝妇女联盟总是派一名代表参加村委会。</w:t>
      </w:r>
    </w:p>
    <w:p w:rsidR="00737B35" w:rsidRDefault="00737B35">
      <w:pPr>
        <w:pStyle w:val="SingleTxt"/>
        <w:rPr>
          <w:rFonts w:hint="eastAsia"/>
        </w:rPr>
      </w:pPr>
      <w:r>
        <w:tab/>
      </w:r>
      <w:r>
        <w:rPr>
          <w:rFonts w:hint="eastAsia"/>
        </w:rPr>
        <w:t>老挝共和国政府已提出了关注地方一级公共行政妇女参与程度低的问题。在自1997年执行的公共行政改革项目的三方审查会议上，政府强调了推动更多妇女参与公共行政的政策的重要性。会议指出，性别问题应列入公务员制度改革行动计划，但又指出由于更广泛的社会经济和文化问题，执行起来可能会有困难。会议还指出，公共行政改革应与老挝妇女联盟密切配合来解决问题。建议推动妇女参与地方一级行政的第一步将是在整个公务员系统进行一次关于妇女培训、技能水平和参与及保持率的调查。</w:t>
      </w:r>
    </w:p>
    <w:p w:rsidR="00737B35" w:rsidRDefault="00737B35">
      <w:pPr>
        <w:pStyle w:val="SingleTxt"/>
        <w:rPr>
          <w:rFonts w:ascii="SimHei" w:eastAsia="SimHei" w:hint="eastAsia"/>
          <w:color w:val="FF0000"/>
        </w:rPr>
      </w:pPr>
      <w:r>
        <w:rPr>
          <w:rFonts w:ascii="SimHei" w:eastAsia="SimHei" w:hint="eastAsia"/>
          <w:color w:val="FF0000"/>
        </w:rPr>
        <w:t>工会</w:t>
      </w:r>
    </w:p>
    <w:p w:rsidR="00737B35" w:rsidRDefault="00737B35">
      <w:pPr>
        <w:pStyle w:val="SingleTxt"/>
        <w:spacing w:line="340" w:lineRule="exact"/>
        <w:rPr>
          <w:rFonts w:hint="eastAsia"/>
        </w:rPr>
      </w:pPr>
      <w:r>
        <w:tab/>
      </w:r>
      <w:r>
        <w:rPr>
          <w:rFonts w:hint="eastAsia"/>
        </w:rPr>
        <w:t>宪法（1991年）第7条指出：“老挝国家建设阵线、老挝工会联合会、老挝人民革命青年联盟、老挝妇女联盟和其他社会组织是团结和动员各民族群体所有阶层的机构，以便它们参加保卫和发展国家的任务；发展人民当家作主的权利和保护其成员的合法权益。”《劳动法》（1994年）第11条进而指出，“所有劳动单位应按照有关部门的具体条例建立工会。在无工会的地方，应确定工人代表。”</w:t>
      </w:r>
    </w:p>
    <w:p w:rsidR="00737B35" w:rsidRDefault="00737B35">
      <w:pPr>
        <w:pStyle w:val="SingleTxt"/>
        <w:spacing w:line="340" w:lineRule="exact"/>
        <w:rPr>
          <w:rFonts w:hint="eastAsia"/>
        </w:rPr>
      </w:pPr>
      <w:r>
        <w:tab/>
      </w:r>
      <w:r>
        <w:rPr>
          <w:rFonts w:hint="eastAsia"/>
        </w:rPr>
        <w:t>老挝工会联合会履行四项职能：教育和培训工人了解技术和文化问题以及各种法律和条例；鼓励工人积极参加国家经济、社会和政治建设；动员工人参加管理国家和社会事务及参加管理企业；维护老挝共和国工人的权益。</w:t>
      </w:r>
    </w:p>
    <w:p w:rsidR="00737B35" w:rsidRDefault="00737B35">
      <w:pPr>
        <w:pStyle w:val="SingleTxt"/>
        <w:rPr>
          <w:rFonts w:hint="eastAsia"/>
        </w:rPr>
      </w:pPr>
      <w:r>
        <w:rPr>
          <w:rFonts w:hint="eastAsia"/>
        </w:rPr>
        <w:t>老挝工会联合会有71 594名会员，其中25 787名为妇女。</w:t>
      </w:r>
    </w:p>
    <w:p w:rsidR="00737B35" w:rsidRDefault="00737B35">
      <w:pPr>
        <w:pStyle w:val="SingleTxt"/>
        <w:rPr>
          <w:rFonts w:ascii="SimHei" w:eastAsia="SimHei" w:hint="eastAsia"/>
          <w:color w:val="FF0000"/>
        </w:rPr>
      </w:pPr>
      <w:r>
        <w:rPr>
          <w:rFonts w:ascii="SimHei" w:eastAsia="SimHei" w:hint="eastAsia"/>
          <w:color w:val="FF0000"/>
        </w:rPr>
        <w:t>阻碍妇女参政的因素</w:t>
      </w:r>
    </w:p>
    <w:p w:rsidR="00737B35" w:rsidRDefault="00737B35">
      <w:pPr>
        <w:pStyle w:val="SingleTxt"/>
        <w:spacing w:line="340" w:lineRule="exact"/>
        <w:rPr>
          <w:rFonts w:hint="eastAsia"/>
        </w:rPr>
      </w:pPr>
      <w:r>
        <w:tab/>
      </w:r>
      <w:r>
        <w:rPr>
          <w:rFonts w:hint="eastAsia"/>
        </w:rPr>
        <w:t>虽然在推动妇女国家一级参政方面已取得了大量成果，但仍有许多因素阻碍妇女在地方各级参政。其中有些促成因素可追溯到老挝的传统和文化。</w:t>
      </w:r>
    </w:p>
    <w:p w:rsidR="00737B35" w:rsidRDefault="00737B35">
      <w:pPr>
        <w:pStyle w:val="SingleTxt"/>
        <w:spacing w:line="340" w:lineRule="exact"/>
        <w:rPr>
          <w:rFonts w:hint="eastAsia"/>
        </w:rPr>
      </w:pPr>
      <w:r>
        <w:tab/>
      </w:r>
      <w:r>
        <w:rPr>
          <w:rFonts w:hint="eastAsia"/>
        </w:rPr>
        <w:t>在其整个一生中，老挝妇女受到种种限制。进入成人期后，她们很少有机会参加社会活动，例如通过参加村民会议对各种议题发表她们的意见或提供信息。因此，她们很少有在公共论坛发言和发表意见的经历，这些场合将给她们提供发展其交流技能的经验。据性别资源信息和发展中心最近发表的一项报告（1999年），妇女常常不想出席会议，因为她们不知道如何阅读，担心不理解议题，而且不想发言。她们很少希望当某些专门领域如政界的领袖或社区领导人，因为当领导意味着要符合高标准。她们常常认为她们没有能力，因为这些职位要求广博的知识和经验、决策勇气和实力。</w:t>
      </w:r>
    </w:p>
    <w:p w:rsidR="00737B35" w:rsidRDefault="00737B35">
      <w:pPr>
        <w:pStyle w:val="SingleTxt"/>
        <w:rPr>
          <w:rFonts w:hint="eastAsia"/>
        </w:rPr>
      </w:pPr>
      <w:r>
        <w:rPr>
          <w:rFonts w:hint="eastAsia"/>
        </w:rPr>
        <w:t>传统和文化造成的妇女形象应是温柔、热情、美丽、可爱和人人喜欢。如果妇女当上了领导人，必然会出现她使某人不悦的情况，因为她将会管理许多人。而且，由于接受了领导角色只适合男子个性特点的社会观念，导致多数妇女认为，即使妇女有能力，她们也仍然不及男子，特别是在较高的领导层面（信息和发展中心，1999年）。</w:t>
      </w:r>
    </w:p>
    <w:p w:rsidR="00737B35" w:rsidRDefault="00737B35">
      <w:pPr>
        <w:pStyle w:val="SingleTxt"/>
        <w:rPr>
          <w:rFonts w:ascii="SimHei" w:eastAsia="SimHei" w:hint="eastAsia"/>
          <w:color w:val="FF0000"/>
        </w:rPr>
      </w:pPr>
      <w:r>
        <w:rPr>
          <w:rFonts w:ascii="SimHei" w:eastAsia="SimHei" w:hint="eastAsia"/>
          <w:color w:val="FF0000"/>
        </w:rPr>
        <w:t>使妇女能够参加公共生活的支持服务</w:t>
      </w:r>
    </w:p>
    <w:p w:rsidR="00737B35" w:rsidRDefault="00737B35">
      <w:pPr>
        <w:pStyle w:val="SingleTxt"/>
        <w:rPr>
          <w:rFonts w:hint="eastAsia"/>
        </w:rPr>
      </w:pPr>
      <w:r>
        <w:tab/>
      </w:r>
      <w:r>
        <w:rPr>
          <w:rFonts w:hint="eastAsia"/>
        </w:rPr>
        <w:t>老挝妇女联盟的根基是1954年作为老挝人民革命党的一个群众性政治动员助手成立的老挝爱国妇女联合会（爱国妇联）。1984年全国代表大会期间，爱国妇联更名为老挝妇女联盟，将它的组织向非党员开放，将它自上至下的集中组织改革成四级（中央、省、县和村），并决定将其范围扩大到妇女政治动员以外。然而，老挝妇女的政治动员仍是老挝妇女联盟在社会所有层面的核心活动之一。</w:t>
      </w:r>
    </w:p>
    <w:p w:rsidR="00737B35" w:rsidRDefault="00737B35">
      <w:pPr>
        <w:pStyle w:val="SingleTxt"/>
        <w:rPr>
          <w:rFonts w:hint="eastAsia"/>
        </w:rPr>
      </w:pPr>
      <w:r>
        <w:tab/>
      </w:r>
      <w:r>
        <w:rPr>
          <w:rFonts w:hint="eastAsia"/>
        </w:rPr>
        <w:t>根据老挝妇女联盟的建议，最近一届国民议会选举的女候选人数目增加了，因此本届国民议会女议员的人数也有所增加。目前，老挝妇女联盟正在为老挝人民革命党高级成员执行一个性别培训项目，以使他们认识社会各层面的性别作用和问题。为在各级提高老挝妇女联盟成员的自尊，老挝妇联正在执行一个项目，就作为老挝共和国公民的权利问题培训其成员。这些活动，连同加强专门针对女孩的小学和中学教育，将可望鼓励妇女和女孩今后参加国家的政治生活。</w:t>
      </w: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第8条  国际代表和参与</w:t>
      </w:r>
    </w:p>
    <w:p w:rsidR="00737B35" w:rsidRDefault="00737B35">
      <w:pPr>
        <w:pStyle w:val="SingleTxt"/>
        <w:spacing w:after="0" w:line="120" w:lineRule="exact"/>
        <w:rPr>
          <w:rFonts w:hint="eastAsia"/>
          <w:sz w:val="10"/>
        </w:rPr>
      </w:pPr>
    </w:p>
    <w:p w:rsidR="00737B35" w:rsidRDefault="00737B35">
      <w:pPr>
        <w:pStyle w:val="SingleTxt"/>
        <w:ind w:left="1695"/>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缔约各国应采取一切适当措施，保证妇女在与男子平等不受任何歧视的条件下，有机会在国际上代表本国政府参加各国际组织的工作。</w:t>
      </w:r>
    </w:p>
    <w:p w:rsidR="00737B35" w:rsidRDefault="00737B35">
      <w:pPr>
        <w:pStyle w:val="SingleTxt"/>
        <w:rPr>
          <w:rFonts w:hint="eastAsia"/>
        </w:rPr>
      </w:pPr>
      <w:r>
        <w:tab/>
      </w:r>
      <w:r>
        <w:rPr>
          <w:rFonts w:hint="eastAsia"/>
        </w:rPr>
        <w:t>宪法（1991年）第26条指出，“老挝公民有权工作并从事不为法律禁止的职业。”《劳动法》（1994年）第2条进而指出，“政府应确保雇主和工人共同受益于他们的工作关系而不依据种族、肤色、性别、宗教、政治见解和社会地位加以歧视。”这样，老挝妇女有权与男子平等地在国际上代表政府并参加国际组织的工作。</w:t>
      </w:r>
    </w:p>
    <w:p w:rsidR="00737B35" w:rsidRDefault="00737B35">
      <w:pPr>
        <w:pStyle w:val="SingleTxt"/>
        <w:rPr>
          <w:rFonts w:ascii="SimHei" w:eastAsia="SimHei" w:hint="eastAsia"/>
          <w:color w:val="FF0000"/>
        </w:rPr>
      </w:pPr>
      <w:r>
        <w:rPr>
          <w:rFonts w:ascii="SimHei" w:eastAsia="SimHei" w:hint="eastAsia"/>
          <w:color w:val="FF0000"/>
        </w:rPr>
        <w:t>外交部</w:t>
      </w:r>
    </w:p>
    <w:p w:rsidR="00737B35" w:rsidRDefault="00737B35">
      <w:pPr>
        <w:pStyle w:val="SingleTxt"/>
        <w:rPr>
          <w:rFonts w:hint="eastAsia"/>
        </w:rPr>
      </w:pPr>
      <w:r>
        <w:tab/>
      </w:r>
      <w:r>
        <w:rPr>
          <w:rFonts w:hint="eastAsia"/>
        </w:rPr>
        <w:t>在外交部工作的妇女人数自1980年代初以来稳步增加。目前，外交部405名官员中，84人为妇女。4名妇女担任处长级职务。37名大使或外交使团团长中有1人是妇女。她现任老挝人民民主共和国驻菲律宾大使（外交部，1999年）。</w:t>
      </w:r>
    </w:p>
    <w:p w:rsidR="00737B35" w:rsidRDefault="00737B35">
      <w:pPr>
        <w:pStyle w:val="SingleTxt"/>
        <w:rPr>
          <w:rFonts w:hint="eastAsia"/>
        </w:rPr>
      </w:pPr>
      <w:r>
        <w:tab/>
      </w:r>
      <w:r>
        <w:rPr>
          <w:rFonts w:hint="eastAsia"/>
        </w:rPr>
        <w:t>在派往国外代表国家的高级使团中，使团中包括老挝妇女联盟的一名代表是惯例。例如，在日内瓦举行的过去4次捐助圆桌会议就是这种情况。例如，1997年举行的最近一次圆桌会议，7名使团成员中有一名为妇女，代表老挝妇女联盟参加了谈判。包括老挝妇女联盟一名代表作为政府使团组成部分的这种相同做法适用于老挝人民民主共和国派遣代表团出席的联合国会议。参加第4次妇女问题世界会议的老挝代表团中妇女占多数。</w:t>
      </w:r>
    </w:p>
    <w:p w:rsidR="00737B35" w:rsidRDefault="00737B35">
      <w:pPr>
        <w:pStyle w:val="SingleTxt"/>
        <w:rPr>
          <w:rFonts w:ascii="SimHei" w:eastAsia="SimHei" w:hint="eastAsia"/>
          <w:color w:val="FF0000"/>
        </w:rPr>
      </w:pPr>
      <w:r>
        <w:rPr>
          <w:rFonts w:ascii="SimHei" w:eastAsia="SimHei" w:hint="eastAsia"/>
          <w:color w:val="FF0000"/>
        </w:rPr>
        <w:t>增加外交部妇女就业的措施</w:t>
      </w:r>
    </w:p>
    <w:p w:rsidR="00737B35" w:rsidRDefault="00737B35">
      <w:pPr>
        <w:pStyle w:val="SingleTxt"/>
        <w:rPr>
          <w:rFonts w:hint="eastAsia"/>
        </w:rPr>
      </w:pPr>
      <w:r>
        <w:tab/>
      </w:r>
      <w:r>
        <w:rPr>
          <w:rFonts w:hint="eastAsia"/>
        </w:rPr>
        <w:t>如第7条项下所述，老挝共和国政府提出了关注公共行政妇女参与程度低的问题。在自1997年起执行的公共行政项目三方审查会议中，政府强调了制订一项政策推动更多的妇女参与公共行政的重要性，而且将把它列入公务员制度改革行动计划中。这个行动计划将在外交部及老挝共和国其他各部贯彻执行。</w:t>
      </w:r>
    </w:p>
    <w:p w:rsidR="00737B35" w:rsidRDefault="00737B35">
      <w:pPr>
        <w:pStyle w:val="SingleTxt"/>
        <w:rPr>
          <w:rFonts w:ascii="SimHei" w:eastAsia="SimHei" w:hint="eastAsia"/>
          <w:color w:val="FF0000"/>
        </w:rPr>
      </w:pPr>
      <w:r>
        <w:rPr>
          <w:rFonts w:ascii="SimHei" w:eastAsia="SimHei" w:hint="eastAsia"/>
          <w:color w:val="FF0000"/>
        </w:rPr>
        <w:t>存在于老挝共和国的国际组织</w:t>
      </w:r>
    </w:p>
    <w:p w:rsidR="00737B35" w:rsidRDefault="00737B35">
      <w:pPr>
        <w:pStyle w:val="SingleTxt"/>
        <w:rPr>
          <w:rFonts w:hint="eastAsia"/>
        </w:rPr>
      </w:pPr>
      <w:r>
        <w:tab/>
      </w:r>
      <w:r>
        <w:rPr>
          <w:rFonts w:hint="eastAsia"/>
        </w:rPr>
        <w:t>目前老挝共和国共驻有12个国际组织。下列数目的老挝雇员正在为这些组织工作。</w:t>
      </w:r>
    </w:p>
    <w:p w:rsidR="00737B35" w:rsidRDefault="00737B35">
      <w:pPr>
        <w:pStyle w:val="SingleTxt"/>
        <w:rPr>
          <w:rFonts w:hint="eastAsia"/>
        </w:rPr>
      </w:pPr>
      <w:r>
        <w:tab/>
      </w:r>
      <w:r>
        <w:rPr>
          <w:rFonts w:hint="eastAsia"/>
        </w:rPr>
        <w:t>联合国开发计划署的51名雇员中20人为妇女。在联合国人口基金和联合国志愿人员的3名雇员中有一名妇女。联合国儿童基金会目前雇用15名妇女和17名男子，而世界粮食计划署雇用男女各1人。联合国国际药物管制规划署雇用两名妇女和3名男子。粮食及农业组织雇用两名妇女和6名男子。联合国难民事务高级专员办事处的14名雇员中，3名是妇女。世界卫生组织雇用4名妇女和6名男子。国际货币基金组织和世界银行驻万象联络处都各有1名女雇员。</w:t>
      </w:r>
    </w:p>
    <w:p w:rsidR="00737B35" w:rsidRDefault="00737B35">
      <w:pPr>
        <w:pStyle w:val="SingleTxt"/>
        <w:rPr>
          <w:rFonts w:hint="eastAsia"/>
        </w:rPr>
      </w:pPr>
      <w:r>
        <w:tab/>
      </w:r>
      <w:r>
        <w:rPr>
          <w:rFonts w:hint="eastAsia"/>
        </w:rPr>
        <w:t>联合国组织鼓励合格的女申请人申请所有空缺职位。联合国组织目前正在使它的各计划署的职位合理化，而且在此过程中特别给予合格的老挝女雇员以提升的可能性。</w:t>
      </w: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第9条 国籍</w:t>
      </w:r>
    </w:p>
    <w:p w:rsidR="00737B35" w:rsidRDefault="00737B35">
      <w:pPr>
        <w:pStyle w:val="SingleTxt"/>
        <w:spacing w:after="0" w:line="120" w:lineRule="exact"/>
        <w:rPr>
          <w:rFonts w:hint="eastAsia"/>
          <w:sz w:val="10"/>
        </w:rPr>
      </w:pPr>
    </w:p>
    <w:p w:rsidR="00737B35" w:rsidRDefault="00737B35">
      <w:pPr>
        <w:pStyle w:val="SingleTxt"/>
        <w:ind w:left="1695"/>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缔约各国应给予妇女与男子平等的取得、改变或保留国籍的权利。它们应特别保证，与外国人结婚或于婚姻存续期间丈夫改变国籍均不当然改变妻子的国籍，使她成为无国籍人，或把丈夫的国籍强加于她。</w:t>
      </w:r>
    </w:p>
    <w:p w:rsidR="00737B35" w:rsidRDefault="00737B35">
      <w:pPr>
        <w:pStyle w:val="SingleTxt"/>
        <w:ind w:left="1695"/>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缔约各国在关于子女的国籍方面，应给予妇女与男子平等的权利。</w:t>
      </w:r>
    </w:p>
    <w:p w:rsidR="00737B35" w:rsidRDefault="00737B35">
      <w:pPr>
        <w:pStyle w:val="SingleTxt"/>
        <w:ind w:left="1695"/>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法律面前男女平等（宪法第20条）允许双方行使同样的权利和承担同样的义务。因此，国籍的取得或保留受同样的规范性原则支配。</w:t>
      </w:r>
    </w:p>
    <w:p w:rsidR="00737B35" w:rsidRDefault="00737B35">
      <w:pPr>
        <w:pStyle w:val="SingleTxt"/>
        <w:rPr>
          <w:rFonts w:hint="eastAsia"/>
        </w:rPr>
      </w:pPr>
      <w:r>
        <w:tab/>
      </w:r>
      <w:r>
        <w:rPr>
          <w:rFonts w:hint="eastAsia"/>
        </w:rPr>
        <w:t>按照《老挝国籍法》（1991年）第1条规定，“老挝公民：</w:t>
      </w:r>
    </w:p>
    <w:p w:rsidR="00737B35" w:rsidRDefault="00737B35">
      <w:pPr>
        <w:pStyle w:val="SingleTxt"/>
        <w:ind w:left="1695"/>
        <w:rPr>
          <w:rFonts w:hint="eastAsia"/>
        </w:rPr>
      </w:pPr>
      <w:r>
        <w:rPr>
          <w:rFonts w:hint="eastAsia"/>
        </w:rPr>
        <w:t>1．指在本法颁布前拥有老挝国籍或已经依法取得老挝国籍的个人；</w:t>
      </w:r>
    </w:p>
    <w:p w:rsidR="00737B35" w:rsidRDefault="00737B35">
      <w:pPr>
        <w:pStyle w:val="SingleTxt"/>
        <w:ind w:left="1695"/>
        <w:rPr>
          <w:rFonts w:hint="eastAsia"/>
        </w:rPr>
      </w:pPr>
      <w:r>
        <w:rPr>
          <w:rFonts w:hint="eastAsia"/>
        </w:rPr>
        <w:t>2．指依照本国法律有老挝国籍或已取得老挝国籍的个人。”</w:t>
      </w:r>
    </w:p>
    <w:p w:rsidR="00737B35" w:rsidRDefault="00737B35">
      <w:pPr>
        <w:pStyle w:val="SingleTxt"/>
        <w:rPr>
          <w:rFonts w:hint="eastAsia"/>
        </w:rPr>
      </w:pPr>
      <w:r>
        <w:tab/>
      </w:r>
      <w:r>
        <w:rPr>
          <w:rFonts w:hint="eastAsia"/>
        </w:rPr>
        <w:t>《老挝国籍法》规定，母亲享有与父亲相同的权利将她的国籍给予子女，而不管她是凭出生还是入籍取得的国籍。</w:t>
      </w:r>
    </w:p>
    <w:p w:rsidR="00737B35" w:rsidRDefault="00737B35">
      <w:pPr>
        <w:pStyle w:val="SingleTxt"/>
        <w:spacing w:line="340" w:lineRule="exact"/>
        <w:rPr>
          <w:rFonts w:hint="eastAsia"/>
        </w:rPr>
      </w:pPr>
      <w:r>
        <w:tab/>
      </w:r>
      <w:r>
        <w:rPr>
          <w:rFonts w:hint="eastAsia"/>
        </w:rPr>
        <w:t>按照《国籍法》第8条规定，老挝国籍凭出生、入籍或该法提及的另一种基础取得。</w:t>
      </w:r>
    </w:p>
    <w:p w:rsidR="00737B35" w:rsidRDefault="00737B35">
      <w:pPr>
        <w:pStyle w:val="SingleTxt"/>
        <w:spacing w:line="340" w:lineRule="exact"/>
        <w:rPr>
          <w:rFonts w:hint="eastAsia"/>
        </w:rPr>
      </w:pPr>
      <w:r>
        <w:tab/>
      </w:r>
      <w:r>
        <w:rPr>
          <w:rFonts w:hint="eastAsia"/>
        </w:rPr>
        <w:t>下列人员应是凭出生成为的老挝人（《老挝国籍法》第9和第10条）：</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spacing w:line="340" w:lineRule="exact"/>
        <w:ind w:left="2126" w:hanging="446"/>
        <w:rPr>
          <w:rFonts w:hint="eastAsia"/>
        </w:rPr>
      </w:pPr>
      <w:r>
        <w:tab/>
      </w:r>
      <w:r>
        <w:rPr>
          <w:rFonts w:hint="eastAsia"/>
        </w:rPr>
        <w:t>一．有老挝公民资格的父母所生的子女，而不考虑这些子女出生于老挝人民民主共和国领土内外。</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spacing w:line="340" w:lineRule="exact"/>
        <w:ind w:left="2126" w:hanging="446"/>
        <w:rPr>
          <w:rFonts w:hint="eastAsia"/>
        </w:rPr>
      </w:pPr>
      <w:r>
        <w:tab/>
      </w:r>
      <w:r>
        <w:rPr>
          <w:rFonts w:hint="eastAsia"/>
        </w:rPr>
        <w:t>二．在老挝人民民主共和国领土内出生的子女。</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spacing w:line="340" w:lineRule="exact"/>
        <w:ind w:left="2126" w:hanging="446"/>
        <w:rPr>
          <w:rFonts w:hint="eastAsia"/>
        </w:rPr>
      </w:pPr>
      <w:r>
        <w:tab/>
      </w:r>
      <w:r>
        <w:rPr>
          <w:rFonts w:hint="eastAsia"/>
        </w:rPr>
        <w:t>三．在老挝人民民主共和国领土外出生但父母双方或一方在出生时在老挝人民民主共和国领土内拥有永久地址。</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spacing w:line="340" w:lineRule="exact"/>
        <w:ind w:left="2126" w:hanging="446"/>
        <w:rPr>
          <w:rFonts w:hint="eastAsia"/>
        </w:rPr>
      </w:pPr>
      <w:r>
        <w:tab/>
      </w:r>
      <w:r>
        <w:rPr>
          <w:rFonts w:hint="eastAsia"/>
        </w:rPr>
        <w:t>四．如果子女出生在老挝人民民主共和国领土外而且父母双方在老挝人民民主共和国领土外拥有地址，子女的国籍将由其父母决定。</w:t>
      </w:r>
    </w:p>
    <w:p w:rsidR="00737B35" w:rsidRDefault="00737B35">
      <w:pPr>
        <w:pStyle w:val="SingleTxt"/>
        <w:rPr>
          <w:rFonts w:hint="eastAsia"/>
        </w:rPr>
      </w:pPr>
      <w:r>
        <w:tab/>
      </w:r>
      <w:r>
        <w:rPr>
          <w:rFonts w:hint="eastAsia"/>
        </w:rPr>
        <w:t>按照《老挝国籍法》第13和14条规定，如果外国公民符合下列条件，他们可凭申请取得老挝国籍：</w:t>
      </w:r>
    </w:p>
    <w:p w:rsidR="00737B35" w:rsidRDefault="00737B35">
      <w:pPr>
        <w:pStyle w:val="SingleTxt"/>
        <w:ind w:left="1695"/>
        <w:rPr>
          <w:rFonts w:hint="eastAsia"/>
        </w:rPr>
      </w:pPr>
      <w:r>
        <w:rPr>
          <w:rFonts w:hint="eastAsia"/>
        </w:rPr>
        <w:t>1.</w:t>
      </w:r>
      <w:r>
        <w:rPr>
          <w:rFonts w:hint="eastAsia"/>
        </w:rPr>
        <w:tab/>
        <w:t>在申请老挝国籍时年满18岁或以上；</w:t>
      </w:r>
    </w:p>
    <w:p w:rsidR="00737B35" w:rsidRDefault="00737B35">
      <w:pPr>
        <w:pStyle w:val="SingleTxt"/>
        <w:ind w:left="1695"/>
        <w:rPr>
          <w:rFonts w:hint="eastAsia"/>
        </w:rPr>
      </w:pPr>
      <w:r>
        <w:rPr>
          <w:rFonts w:hint="eastAsia"/>
        </w:rPr>
        <w:t>2.</w:t>
      </w:r>
      <w:r>
        <w:rPr>
          <w:rFonts w:hint="eastAsia"/>
        </w:rPr>
        <w:tab/>
        <w:t>能说、读和写老挝语文；</w:t>
      </w:r>
    </w:p>
    <w:p w:rsidR="00737B35" w:rsidRDefault="00737B35">
      <w:pPr>
        <w:pStyle w:val="SingleTxt"/>
        <w:ind w:left="1695"/>
        <w:rPr>
          <w:rFonts w:hint="eastAsia"/>
        </w:rPr>
      </w:pPr>
      <w:r>
        <w:rPr>
          <w:rFonts w:hint="eastAsia"/>
        </w:rPr>
        <w:t>3.</w:t>
      </w:r>
      <w:r>
        <w:rPr>
          <w:rFonts w:hint="eastAsia"/>
        </w:rPr>
        <w:tab/>
        <w:t>拥有关于他们社会和文化融合、知识和尊重老挝传统的证据；</w:t>
      </w:r>
    </w:p>
    <w:p w:rsidR="00737B35" w:rsidRDefault="00737B35">
      <w:pPr>
        <w:pStyle w:val="SingleTxt"/>
        <w:spacing w:line="340" w:lineRule="exact"/>
        <w:ind w:left="1695"/>
        <w:rPr>
          <w:rFonts w:hint="eastAsia"/>
        </w:rPr>
      </w:pPr>
      <w:r>
        <w:rPr>
          <w:rFonts w:hint="eastAsia"/>
        </w:rPr>
        <w:t>4.</w:t>
      </w:r>
      <w:r>
        <w:rPr>
          <w:rFonts w:hint="eastAsia"/>
        </w:rPr>
        <w:tab/>
        <w:t>身体健康；</w:t>
      </w:r>
    </w:p>
    <w:p w:rsidR="00737B35" w:rsidRDefault="00737B35">
      <w:pPr>
        <w:pStyle w:val="SingleTxt"/>
        <w:spacing w:line="340" w:lineRule="exact"/>
        <w:ind w:left="1695"/>
        <w:rPr>
          <w:rFonts w:hint="eastAsia"/>
        </w:rPr>
      </w:pPr>
      <w:r>
        <w:rPr>
          <w:rFonts w:hint="eastAsia"/>
        </w:rPr>
        <w:t>5.</w:t>
      </w:r>
      <w:r>
        <w:rPr>
          <w:rFonts w:hint="eastAsia"/>
        </w:rPr>
        <w:tab/>
        <w:t>不受法院起诉或不被拘捕；</w:t>
      </w:r>
    </w:p>
    <w:p w:rsidR="00737B35" w:rsidRDefault="00737B35">
      <w:pPr>
        <w:pStyle w:val="SingleTxt"/>
        <w:spacing w:line="340" w:lineRule="exact"/>
        <w:ind w:left="1695"/>
        <w:rPr>
          <w:rFonts w:hint="eastAsia"/>
        </w:rPr>
      </w:pPr>
      <w:r>
        <w:rPr>
          <w:rFonts w:hint="eastAsia"/>
        </w:rPr>
        <w:t>6.</w:t>
      </w:r>
      <w:r>
        <w:rPr>
          <w:rFonts w:hint="eastAsia"/>
        </w:rPr>
        <w:tab/>
        <w:t>同意放弃其原有国籍；</w:t>
      </w:r>
    </w:p>
    <w:p w:rsidR="00737B35" w:rsidRDefault="00737B35">
      <w:pPr>
        <w:pStyle w:val="SingleTxt"/>
        <w:spacing w:line="340" w:lineRule="exact"/>
        <w:ind w:left="1695"/>
        <w:rPr>
          <w:rFonts w:hint="eastAsia"/>
        </w:rPr>
      </w:pPr>
      <w:r>
        <w:rPr>
          <w:rFonts w:hint="eastAsia"/>
        </w:rPr>
        <w:t>7.</w:t>
      </w:r>
      <w:r>
        <w:rPr>
          <w:rFonts w:hint="eastAsia"/>
        </w:rPr>
        <w:tab/>
        <w:t>申请老挝国籍前连续10年在老挝共和国有长期居所。</w:t>
      </w:r>
    </w:p>
    <w:p w:rsidR="00737B35" w:rsidRDefault="00737B35">
      <w:pPr>
        <w:pStyle w:val="SingleTxt"/>
        <w:spacing w:line="340" w:lineRule="exact"/>
        <w:rPr>
          <w:rFonts w:hint="eastAsia"/>
        </w:rPr>
      </w:pPr>
      <w:r>
        <w:tab/>
      </w:r>
      <w:r>
        <w:rPr>
          <w:rFonts w:hint="eastAsia"/>
        </w:rPr>
        <w:t>老挝立法不以任何法令或法规规定与非国民结婚可以成为丧失老挝国籍的理由。按照《老挝国籍法》（第17条）规定，“取得的老挝国籍可以从取得之日起10年之内撤销，如果发现取得老挝国籍的个人：</w:t>
      </w:r>
    </w:p>
    <w:p w:rsidR="00737B35" w:rsidRDefault="00737B35">
      <w:pPr>
        <w:pStyle w:val="SingleTxt"/>
        <w:spacing w:line="340" w:lineRule="exact"/>
        <w:ind w:left="1695"/>
        <w:rPr>
          <w:rFonts w:hint="eastAsia"/>
        </w:rPr>
      </w:pPr>
      <w:r>
        <w:rPr>
          <w:rFonts w:hint="eastAsia"/>
        </w:rPr>
        <w:t>1.</w:t>
      </w:r>
      <w:r>
        <w:rPr>
          <w:rFonts w:hint="eastAsia"/>
        </w:rPr>
        <w:tab/>
        <w:t>在申请老挝国籍时提供了虚假信息；</w:t>
      </w:r>
    </w:p>
    <w:p w:rsidR="00737B35" w:rsidRDefault="00737B35">
      <w:pPr>
        <w:pStyle w:val="SingleTxt"/>
        <w:spacing w:line="340" w:lineRule="exact"/>
        <w:ind w:left="1695"/>
        <w:rPr>
          <w:rFonts w:hint="eastAsia"/>
        </w:rPr>
      </w:pPr>
      <w:r>
        <w:rPr>
          <w:rFonts w:hint="eastAsia"/>
        </w:rPr>
        <w:t>2.</w:t>
      </w:r>
      <w:r>
        <w:rPr>
          <w:rFonts w:hint="eastAsia"/>
        </w:rPr>
        <w:tab/>
        <w:t>侮辱了老挝公民资格。</w:t>
      </w:r>
    </w:p>
    <w:p w:rsidR="00737B35" w:rsidRDefault="00737B35">
      <w:pPr>
        <w:pStyle w:val="SingleTxt"/>
        <w:spacing w:line="340" w:lineRule="exact"/>
        <w:rPr>
          <w:rFonts w:hint="eastAsia"/>
        </w:rPr>
      </w:pPr>
      <w:r>
        <w:tab/>
      </w:r>
      <w:r>
        <w:rPr>
          <w:rFonts w:hint="eastAsia"/>
        </w:rPr>
        <w:t>撤销老挝国籍将不会招致改变有关个人的配偶或子女的国籍。”此外，按照该法第3条规定，“老挝公民与具有其他国籍或无国籍的人结婚或离婚将不会引起他们老挝国籍的任何改变。配偶取得或丧失老挝国籍将不会引起另一方国籍的任何变更。”</w:t>
      </w:r>
    </w:p>
    <w:p w:rsidR="00737B35" w:rsidRDefault="00737B35">
      <w:pPr>
        <w:pStyle w:val="SingleTxt"/>
        <w:rPr>
          <w:rFonts w:hint="eastAsia"/>
        </w:rPr>
      </w:pPr>
      <w:r>
        <w:tab/>
      </w:r>
      <w:r>
        <w:rPr>
          <w:rFonts w:hint="eastAsia"/>
        </w:rPr>
        <w:t>按照《老挝国籍法》第16条规定，“老挝公民可经老挝人民民主共和国国民议会常设委员会核准放弃老挝国籍。如果请求人未履行作为公民对国家或社会组织承担的义务，老挝国籍的放弃将不予核准。”</w:t>
      </w:r>
    </w:p>
    <w:p w:rsidR="00737B35" w:rsidRDefault="00737B35">
      <w:pPr>
        <w:pStyle w:val="SingleTxt"/>
        <w:rPr>
          <w:rFonts w:hint="eastAsia"/>
        </w:rPr>
      </w:pPr>
      <w:r>
        <w:tab/>
      </w:r>
      <w:r>
        <w:rPr>
          <w:rFonts w:hint="eastAsia"/>
        </w:rPr>
        <w:t>这些条件适用于全体公民，男女都一样。</w:t>
      </w:r>
    </w:p>
    <w:p w:rsidR="00737B35" w:rsidRDefault="00737B35">
      <w:pPr>
        <w:pStyle w:val="SingleTxt"/>
        <w:rPr>
          <w:rFonts w:hint="eastAsia"/>
        </w:rPr>
      </w:pPr>
      <w:r>
        <w:tab/>
      </w:r>
      <w:r>
        <w:rPr>
          <w:rFonts w:hint="eastAsia"/>
        </w:rPr>
        <w:t>按照《老挝国籍法》第21条规定，“如果父母一方放弃了老挝国籍而另一方保留了老挝国籍，则子女将保持老挝国籍。”</w:t>
      </w:r>
    </w:p>
    <w:p w:rsidR="00737B35" w:rsidRDefault="00737B35">
      <w:pPr>
        <w:pStyle w:val="SingleTxt"/>
        <w:rPr>
          <w:rFonts w:hint="eastAsia"/>
        </w:rPr>
      </w:pPr>
      <w:r>
        <w:tab/>
      </w:r>
      <w:r>
        <w:rPr>
          <w:rFonts w:hint="eastAsia"/>
        </w:rPr>
        <w:t>按照《老挝国籍法》第18条规定，所有个人，男女都一样，可递交申请经老挝人民民主共和国国民议会常设委员会批准而重新获得老挝国籍。</w:t>
      </w: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第10条  教育</w:t>
      </w:r>
    </w:p>
    <w:p w:rsidR="00737B35" w:rsidRDefault="00737B35">
      <w:pPr>
        <w:pStyle w:val="SingleTxt"/>
        <w:spacing w:after="0" w:line="120" w:lineRule="exact"/>
        <w:rPr>
          <w:rFonts w:hint="eastAsia"/>
          <w:sz w:val="10"/>
        </w:rPr>
      </w:pPr>
    </w:p>
    <w:p w:rsidR="00737B35" w:rsidRDefault="00737B35">
      <w:pPr>
        <w:pStyle w:val="SingleTxt"/>
        <w:rPr>
          <w:rFonts w:hint="eastAsia"/>
        </w:rPr>
      </w:pPr>
      <w:r>
        <w:tab/>
      </w:r>
      <w:r>
        <w:rPr>
          <w:rFonts w:hint="eastAsia"/>
        </w:rPr>
        <w:t>缔约各国应采取一切适当措施消除对妇女的歧视，以保证妇女在教育方面享有与男子平等的权利，特别是在男女平等的基础上保证：</w:t>
      </w:r>
    </w:p>
    <w:p w:rsidR="00737B35" w:rsidRDefault="00737B35">
      <w:pPr>
        <w:pStyle w:val="SingleTxt"/>
        <w:ind w:left="1695"/>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(a)</w:t>
      </w:r>
      <w:r>
        <w:rPr>
          <w:rFonts w:ascii="KaiTi_GB2312" w:eastAsia="KaiTi_GB2312" w:hint="eastAsia"/>
          <w:color w:val="0000FF"/>
        </w:rPr>
        <w:tab/>
        <w:t>在各类教育机构，不论其在农村或城市，职业和行业辅导、学习的机会和文凭的取得，条件相同。在学前教育、普通教育、技术、专业和高等技术教育以及各种职业训练方面，都应保证这种平等；</w:t>
      </w:r>
    </w:p>
    <w:p w:rsidR="00737B35" w:rsidRDefault="00737B35">
      <w:pPr>
        <w:pStyle w:val="SingleTxt"/>
        <w:ind w:left="1695"/>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(b)</w:t>
      </w:r>
      <w:r>
        <w:rPr>
          <w:rFonts w:ascii="KaiTi_GB2312" w:eastAsia="KaiTi_GB2312" w:hint="eastAsia"/>
          <w:color w:val="0000FF"/>
        </w:rPr>
        <w:tab/>
        <w:t>课程、考试、师资的标准、校舍和设备的质量一律相同；</w:t>
      </w:r>
    </w:p>
    <w:p w:rsidR="00737B35" w:rsidRDefault="00737B35">
      <w:pPr>
        <w:pStyle w:val="SingleTxt"/>
        <w:ind w:left="1695"/>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(c)</w:t>
      </w:r>
      <w:r>
        <w:rPr>
          <w:rFonts w:ascii="KaiTi_GB2312" w:eastAsia="KaiTi_GB2312" w:hint="eastAsia"/>
          <w:color w:val="0000FF"/>
        </w:rPr>
        <w:tab/>
        <w:t>为消除在各级和各种方式的教育中对男女任务的任务定型观念，鼓励实行男女同校和其他有助于实现这个目的的教育形式，并特别应修订教科书和课程以及相应地修改教学方法；</w:t>
      </w:r>
    </w:p>
    <w:p w:rsidR="00737B35" w:rsidRDefault="00737B35">
      <w:pPr>
        <w:pStyle w:val="SingleTxt"/>
        <w:ind w:left="1695"/>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(d)</w:t>
      </w:r>
      <w:r>
        <w:rPr>
          <w:rFonts w:ascii="KaiTi_GB2312" w:eastAsia="KaiTi_GB2312" w:hint="eastAsia"/>
          <w:color w:val="0000FF"/>
        </w:rPr>
        <w:tab/>
        <w:t>领受奖学金和其他研究补助金的机会相同；</w:t>
      </w:r>
    </w:p>
    <w:p w:rsidR="00737B35" w:rsidRDefault="00737B35">
      <w:pPr>
        <w:pStyle w:val="SingleTxt"/>
        <w:ind w:left="1695"/>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(e)</w:t>
      </w:r>
      <w:r>
        <w:rPr>
          <w:rFonts w:ascii="KaiTi_GB2312" w:eastAsia="KaiTi_GB2312" w:hint="eastAsia"/>
          <w:color w:val="0000FF"/>
        </w:rPr>
        <w:tab/>
        <w:t>接受成人教育，包括成人识字和实用识字教育的机会相同，特别是为了尽早缩短男女之间存在的教育水平上的一切差距；</w:t>
      </w:r>
    </w:p>
    <w:p w:rsidR="00737B35" w:rsidRDefault="00737B35">
      <w:pPr>
        <w:pStyle w:val="SingleTxt"/>
        <w:ind w:left="1695"/>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(f)</w:t>
      </w:r>
      <w:r>
        <w:rPr>
          <w:rFonts w:ascii="KaiTi_GB2312" w:eastAsia="KaiTi_GB2312" w:hint="eastAsia"/>
          <w:color w:val="0000FF"/>
        </w:rPr>
        <w:tab/>
        <w:t>减少女生退学率，并为离校过早的少女和妇女办理种种方案；</w:t>
      </w:r>
    </w:p>
    <w:p w:rsidR="00737B35" w:rsidRDefault="00737B35">
      <w:pPr>
        <w:pStyle w:val="SingleTxt"/>
        <w:ind w:left="1695"/>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(g)</w:t>
      </w:r>
      <w:r>
        <w:rPr>
          <w:rFonts w:ascii="KaiTi_GB2312" w:eastAsia="KaiTi_GB2312" w:hint="eastAsia"/>
          <w:color w:val="0000FF"/>
        </w:rPr>
        <w:tab/>
        <w:t>积极参加运动和体育的机会相同；</w:t>
      </w:r>
    </w:p>
    <w:p w:rsidR="00737B35" w:rsidRDefault="00737B35">
      <w:pPr>
        <w:pStyle w:val="SingleTxt"/>
        <w:ind w:left="1695"/>
        <w:rPr>
          <w:rFonts w:hint="eastAsia"/>
        </w:rPr>
      </w:pPr>
      <w:r>
        <w:rPr>
          <w:rFonts w:ascii="KaiTi_GB2312" w:eastAsia="KaiTi_GB2312"/>
          <w:color w:val="0000FF"/>
        </w:rPr>
        <w:tab/>
      </w:r>
      <w:r>
        <w:rPr>
          <w:rFonts w:ascii="KaiTi_GB2312" w:eastAsia="KaiTi_GB2312" w:hint="eastAsia"/>
          <w:color w:val="0000FF"/>
        </w:rPr>
        <w:t>(h)</w:t>
      </w:r>
      <w:r>
        <w:rPr>
          <w:rFonts w:ascii="KaiTi_GB2312" w:eastAsia="KaiTi_GB2312" w:hint="eastAsia"/>
          <w:color w:val="0000FF"/>
        </w:rPr>
        <w:tab/>
        <w:t>有接受具体教育信息的机会，以保障家庭健康和幸福，包括关于计划生育的信息和辅导在内。</w:t>
      </w:r>
    </w:p>
    <w:p w:rsidR="00737B35" w:rsidRDefault="00737B35">
      <w:pPr>
        <w:pStyle w:val="SingleTxt"/>
        <w:rPr>
          <w:rFonts w:hint="eastAsia"/>
        </w:rPr>
      </w:pPr>
      <w:r>
        <w:tab/>
      </w:r>
      <w:r>
        <w:rPr>
          <w:rFonts w:hint="eastAsia"/>
        </w:rPr>
        <w:t>真正了解当前老挝共和国教育部门的情况，需要历史地回顾这个国家的教育情况。仅仅一个世纪前，受到教育的惟一儿童是信佛教的男孩，他们可进寺庙学习。在法国殖民时期，城市地区的法语课程和法语学校开始教育男孩和精英家庭的少数女孩。由于缺乏法语技能和学费，普通农家的学生很少有机会接受教育。毕业后，这些学生立即进入法国行政部门工作。在1975年革命时，只有三分之一左右的人口识字，而且绝大多数是男性。青少年中只有5％上中学（儿童基金会，1996年）。</w:t>
      </w:r>
    </w:p>
    <w:p w:rsidR="00737B35" w:rsidRDefault="00737B35">
      <w:pPr>
        <w:pStyle w:val="SingleTxt"/>
        <w:rPr>
          <w:rFonts w:hint="eastAsia"/>
        </w:rPr>
      </w:pPr>
      <w:r>
        <w:tab/>
      </w:r>
      <w:r>
        <w:rPr>
          <w:rFonts w:hint="eastAsia"/>
        </w:rPr>
        <w:t>1976至1985年，新政府扩大教育的工作取得了令人难忘的成绩。学校、学生和教师的人数大约增加了77％。小学入学率提高了50％以上，中学入学率提高了近200％。同期，1万多名学生领取了东欧、苏联、越南和中国的奖学金。其中大约20％的奖学金发放给妇女。该时期毕业的全体学生都在公务员系统安排了职务。还在我国农村地区开展了大规模的扫盲运动，并取得了立竿见影但不幸的是并非长远的效果。这样，在革命后的10年期间，老挝共和国在教育方面取得了长足的进步。这些努力一直继续到今天，但从总体情况和弥合教育方面的差距而言，都还有大量的工作要做。</w:t>
      </w:r>
    </w:p>
    <w:p w:rsidR="00737B35" w:rsidRDefault="00737B35">
      <w:pPr>
        <w:pStyle w:val="SingleTxt"/>
        <w:rPr>
          <w:rFonts w:ascii="SimHei" w:eastAsia="SimHei" w:hint="eastAsia"/>
          <w:color w:val="FF0000"/>
        </w:rPr>
      </w:pPr>
      <w:r>
        <w:rPr>
          <w:rFonts w:ascii="SimHei" w:eastAsia="SimHei" w:hint="eastAsia"/>
          <w:color w:val="FF0000"/>
        </w:rPr>
        <w:t>老挝共和国教育系统的组织</w:t>
      </w:r>
    </w:p>
    <w:p w:rsidR="00737B35" w:rsidRDefault="00737B35">
      <w:pPr>
        <w:pStyle w:val="SingleTxt"/>
        <w:rPr>
          <w:rFonts w:hint="eastAsia"/>
        </w:rPr>
      </w:pPr>
      <w:r>
        <w:tab/>
      </w:r>
      <w:r>
        <w:rPr>
          <w:rFonts w:hint="eastAsia"/>
        </w:rPr>
        <w:t>老挝的教育系统分为五级：</w:t>
      </w:r>
    </w:p>
    <w:p w:rsidR="00737B35" w:rsidRDefault="00737B35">
      <w:pPr>
        <w:pStyle w:val="SingleTxt"/>
        <w:ind w:left="1695"/>
        <w:rPr>
          <w:rFonts w:hint="eastAsia"/>
        </w:rPr>
      </w:pPr>
      <w:r>
        <w:rPr>
          <w:rFonts w:hint="eastAsia"/>
        </w:rPr>
        <w:t>-</w:t>
      </w:r>
      <w:r>
        <w:rPr>
          <w:rFonts w:hint="eastAsia"/>
        </w:rPr>
        <w:tab/>
        <w:t>学前教育</w:t>
      </w:r>
    </w:p>
    <w:p w:rsidR="00737B35" w:rsidRDefault="00737B35">
      <w:pPr>
        <w:pStyle w:val="SingleTxt"/>
        <w:ind w:left="1695"/>
        <w:rPr>
          <w:rFonts w:hint="eastAsia"/>
        </w:rPr>
      </w:pPr>
      <w:r>
        <w:rPr>
          <w:rFonts w:hint="eastAsia"/>
        </w:rPr>
        <w:t>-</w:t>
      </w:r>
      <w:r>
        <w:rPr>
          <w:rFonts w:hint="eastAsia"/>
        </w:rPr>
        <w:tab/>
        <w:t>小学（5年）</w:t>
      </w:r>
    </w:p>
    <w:p w:rsidR="00737B35" w:rsidRDefault="00737B35">
      <w:pPr>
        <w:pStyle w:val="SingleTxt"/>
        <w:ind w:left="1695"/>
        <w:rPr>
          <w:rFonts w:hint="eastAsia"/>
        </w:rPr>
      </w:pPr>
      <w:r>
        <w:rPr>
          <w:rFonts w:hint="eastAsia"/>
        </w:rPr>
        <w:t>-</w:t>
      </w:r>
      <w:r>
        <w:rPr>
          <w:rFonts w:hint="eastAsia"/>
        </w:rPr>
        <w:tab/>
        <w:t>初中（3年）</w:t>
      </w:r>
    </w:p>
    <w:p w:rsidR="00737B35" w:rsidRDefault="00737B35">
      <w:pPr>
        <w:pStyle w:val="SingleTxt"/>
        <w:ind w:left="1695"/>
        <w:rPr>
          <w:rFonts w:hint="eastAsia"/>
        </w:rPr>
      </w:pPr>
      <w:r>
        <w:rPr>
          <w:rFonts w:hint="eastAsia"/>
        </w:rPr>
        <w:t>-</w:t>
      </w:r>
      <w:r>
        <w:rPr>
          <w:rFonts w:hint="eastAsia"/>
        </w:rPr>
        <w:tab/>
        <w:t>高中（3年）</w:t>
      </w:r>
    </w:p>
    <w:p w:rsidR="00737B35" w:rsidRDefault="00737B35">
      <w:pPr>
        <w:pStyle w:val="SingleTxt"/>
        <w:ind w:left="1695"/>
        <w:rPr>
          <w:rFonts w:hint="eastAsia"/>
        </w:rPr>
      </w:pPr>
      <w:r>
        <w:rPr>
          <w:rFonts w:hint="eastAsia"/>
        </w:rPr>
        <w:t>-</w:t>
      </w:r>
      <w:r>
        <w:rPr>
          <w:rFonts w:hint="eastAsia"/>
        </w:rPr>
        <w:tab/>
        <w:t>中学后（2至6年）</w:t>
      </w:r>
    </w:p>
    <w:p w:rsidR="00737B35" w:rsidRDefault="00737B35">
      <w:pPr>
        <w:pStyle w:val="SingleTxt"/>
        <w:rPr>
          <w:rFonts w:hint="eastAsia"/>
        </w:rPr>
      </w:pPr>
      <w:r>
        <w:tab/>
      </w:r>
      <w:r>
        <w:rPr>
          <w:rFonts w:hint="eastAsia"/>
        </w:rPr>
        <w:t>教育系统在国家一级由教育部组织和管理。教育部有工作人员136名，其中28名是妇女。教育系统通过省教育服务办公室和县教育局网络延伸到乡村。村一级的整合由村长、学校管理委员会和校长负责。</w:t>
      </w:r>
    </w:p>
    <w:p w:rsidR="00737B35" w:rsidRDefault="00737B35">
      <w:pPr>
        <w:pStyle w:val="SingleTxt"/>
        <w:rPr>
          <w:rFonts w:hint="eastAsia"/>
        </w:rPr>
      </w:pPr>
      <w:r>
        <w:tab/>
      </w:r>
      <w:r>
        <w:rPr>
          <w:rFonts w:hint="eastAsia"/>
        </w:rPr>
        <w:t>宪法（1991年）第25条指出，“老挝公民享有受教育权。”宪法（1991年）第19条进而指出，“国家在小学一级执行义务教育制度。国家授权经营私立学校，它们使用国家的课程。国家与人民共同建设各级学校以保证建立一个全面的教育系统，并注意在少数民族居住地区发展教育。”不过在目前情况下政府决定将各级小学义务教育的实施推迟到2000年以后，尽管如此，在进行有关教育部门的决策时仍将铭记这个目标。</w:t>
      </w:r>
    </w:p>
    <w:p w:rsidR="00737B35" w:rsidRDefault="00737B35">
      <w:pPr>
        <w:pStyle w:val="SingleTxt"/>
        <w:rPr>
          <w:rFonts w:ascii="SimHei" w:eastAsia="SimHei" w:hint="eastAsia"/>
          <w:color w:val="FF0000"/>
        </w:rPr>
      </w:pPr>
      <w:r>
        <w:rPr>
          <w:rFonts w:ascii="SimHei" w:eastAsia="SimHei" w:hint="eastAsia"/>
          <w:color w:val="FF0000"/>
        </w:rPr>
        <w:t>现状——初等教育</w:t>
      </w:r>
    </w:p>
    <w:p w:rsidR="00737B35" w:rsidRDefault="00737B35">
      <w:pPr>
        <w:pStyle w:val="SingleTxt"/>
        <w:spacing w:line="340" w:lineRule="exact"/>
        <w:rPr>
          <w:rFonts w:hint="eastAsia"/>
        </w:rPr>
      </w:pPr>
      <w:r>
        <w:tab/>
      </w:r>
      <w:r>
        <w:rPr>
          <w:rFonts w:hint="eastAsia"/>
        </w:rPr>
        <w:t>尽管1991年宪法指出所有各级均实行义务初等教育，但最尖锐的教育问题却出现在小学一级。小学一级学生流失的程度最为严重，入学的学生只有41％从小学毕业。据1995年人口普查，在6岁及以上人口中，只有9％的妇女读完了小学，男子的数字是13％。27％的妇女和35％的男子在小学接受了某种程度的教育但并未上完。6至10岁的所有学龄儿童中大约28％不上小学。女孩的数字上升至33％。不上学的儿童中少数民族的子女占了很大的比例。总入学比率显示出巨大的差异。中部省份总入学率最高，而南部和北部各省很低。</w:t>
      </w:r>
    </w:p>
    <w:p w:rsidR="00737B35" w:rsidRDefault="00737B35">
      <w:pPr>
        <w:pStyle w:val="SingleTxt"/>
        <w:rPr>
          <w:rFonts w:hint="eastAsia"/>
        </w:rPr>
      </w:pPr>
      <w:r>
        <w:tab/>
      </w:r>
      <w:r>
        <w:rPr>
          <w:rFonts w:hint="eastAsia"/>
        </w:rPr>
        <w:t>据人口普查（1995年），6岁以上的女性52％和6岁以上的男性33％未接受过教育。少数民族的女孩有更大的比例，即56％从未上过小学，而且上过小学的人中多数也只念完二年级。此外，4 000多个村庄——大多地处偏远地区——缺乏上小学的机会。</w:t>
      </w:r>
    </w:p>
    <w:p w:rsidR="00737B35" w:rsidRDefault="00737B35">
      <w:pPr>
        <w:pStyle w:val="SingleTxt"/>
        <w:rPr>
          <w:rFonts w:hint="eastAsia"/>
        </w:rPr>
      </w:pPr>
      <w:r>
        <w:tab/>
      </w:r>
      <w:r>
        <w:rPr>
          <w:rFonts w:hint="eastAsia"/>
        </w:rPr>
        <w:t>1993至1994学年，有小学教师22 650名，其中约有42％是妇女。在农村地区，小学女教师的比例下降到30％左右。很大比例的教师即55％不合格（少于8年学校教育和3年师资培训）。老挝农村地区不合格教师的数量比城市地区大得多，前者约占教师的70％，后者约占35％（世界银行，1995年）。</w:t>
      </w:r>
    </w:p>
    <w:p w:rsidR="00737B35" w:rsidRDefault="00737B35">
      <w:pPr>
        <w:pStyle w:val="SingleTxt"/>
        <w:rPr>
          <w:rFonts w:ascii="SimHei" w:eastAsia="SimHei" w:hint="eastAsia"/>
          <w:color w:val="FF0000"/>
        </w:rPr>
      </w:pPr>
      <w:r>
        <w:rPr>
          <w:rFonts w:ascii="SimHei" w:eastAsia="SimHei" w:hint="eastAsia"/>
          <w:color w:val="FF0000"/>
        </w:rPr>
        <w:t>现状——中学</w:t>
      </w:r>
    </w:p>
    <w:p w:rsidR="00737B35" w:rsidRDefault="00737B35">
      <w:pPr>
        <w:pStyle w:val="SingleTxt"/>
        <w:rPr>
          <w:rFonts w:hint="eastAsia"/>
        </w:rPr>
      </w:pPr>
      <w:r>
        <w:tab/>
      </w:r>
      <w:r>
        <w:rPr>
          <w:rFonts w:hint="eastAsia"/>
        </w:rPr>
        <w:t>据1995年的人口普查，在15岁及以上人口中，3％的妇女和5％的男子完成了初中学业，2％的妇女和3％的男子完成了高中学业。大约4％的妇女和6％的男子上过初中，以及1％的妇女和2％的男子接受过某种程度的高中教育。</w:t>
      </w:r>
    </w:p>
    <w:p w:rsidR="00737B35" w:rsidRDefault="00737B35">
      <w:pPr>
        <w:pStyle w:val="SingleTxt"/>
        <w:rPr>
          <w:rFonts w:hint="eastAsia"/>
        </w:rPr>
      </w:pPr>
      <w:r>
        <w:tab/>
      </w:r>
      <w:r>
        <w:rPr>
          <w:rFonts w:hint="eastAsia"/>
        </w:rPr>
        <w:t>中学上学比例较低的原因可从初等教育的复读率中找到一部分。在小学一级，平均复读率为25.3％，辍学率为16.4％，而通过率为71.1％。1994/1995学年，有73 073名小学生参加了毕业考试。其中42.2％是妇女。全体参考生中通过的占71％，而参加考试的女生73.4％通过了考试。使用1995至1996年度的升级率，一年级新生中35％有可能升入五年级，但五年级学生中将只有55％升入初中。女孩的比例比男孩的要低得多（世界银行，1995年）。</w:t>
      </w:r>
    </w:p>
    <w:p w:rsidR="00737B35" w:rsidRDefault="00737B35">
      <w:pPr>
        <w:pStyle w:val="SingleTxt"/>
        <w:rPr>
          <w:rFonts w:hint="eastAsia"/>
        </w:rPr>
      </w:pPr>
      <w:r>
        <w:tab/>
      </w:r>
      <w:r>
        <w:rPr>
          <w:rFonts w:hint="eastAsia"/>
        </w:rPr>
        <w:t>1986/1987学年，初中教师共有6 764名，其中2 648名是妇女。1994/1995学年的教师总数是7 710名，其中3 055名是妇女（世界银行，1995年）。</w:t>
      </w:r>
    </w:p>
    <w:p w:rsidR="00737B35" w:rsidRDefault="00737B35">
      <w:pPr>
        <w:pStyle w:val="SingleTxt"/>
        <w:rPr>
          <w:rFonts w:ascii="SimHei" w:eastAsia="SimHei" w:hint="eastAsia"/>
          <w:color w:val="FF0000"/>
        </w:rPr>
      </w:pPr>
      <w:r>
        <w:rPr>
          <w:rFonts w:ascii="SimHei" w:eastAsia="SimHei" w:hint="eastAsia"/>
          <w:color w:val="FF0000"/>
        </w:rPr>
        <w:t>现状——高等教育</w:t>
      </w:r>
    </w:p>
    <w:p w:rsidR="00737B35" w:rsidRDefault="00737B35">
      <w:pPr>
        <w:pStyle w:val="SingleTxt"/>
        <w:rPr>
          <w:rFonts w:hint="eastAsia"/>
        </w:rPr>
      </w:pPr>
      <w:r>
        <w:tab/>
      </w:r>
      <w:r>
        <w:rPr>
          <w:rFonts w:hint="eastAsia"/>
        </w:rPr>
        <w:t>自1990年代初以来，初高中入学率增长了18％。与此同时，学生进入中学后各级继续学业的机会减少了19％。中学和中学后各级学生的主要问题似乎在于缺乏与劳动力市场需要对口的大专教育机会和职业培训（儿童基金会，1996年）。</w:t>
      </w:r>
    </w:p>
    <w:p w:rsidR="00737B35" w:rsidRDefault="00737B35">
      <w:pPr>
        <w:pStyle w:val="SingleTxt"/>
        <w:rPr>
          <w:rFonts w:hint="eastAsia"/>
        </w:rPr>
      </w:pPr>
      <w:r>
        <w:tab/>
      </w:r>
      <w:r>
        <w:rPr>
          <w:rFonts w:hint="eastAsia"/>
        </w:rPr>
        <w:t>据1995年人口普查，2％的女性和3％的男性完成了高等教育。1995/1996学年，接受高等教育的男生有5 755名，女生有2 237名。1997/1998学年的学生人数为男生7 389名，女生3 360名。1995/1996学年，2 731名男生和1 625名女生取得了学士学位。1997/1998学年，男生为3 598名，女生2 244名。1995/1996学年，共向3 024名男生和612名女生颁发了学位证书。1997/1998学年，男生为3 791名，女生为1 116名。1997/1998学年，总共有33名男生和13名女生从高教育机构退学（教育部）。</w:t>
      </w:r>
    </w:p>
    <w:p w:rsidR="00737B35" w:rsidRDefault="00737B35">
      <w:pPr>
        <w:pStyle w:val="SingleTxt"/>
        <w:rPr>
          <w:rFonts w:hint="eastAsia"/>
        </w:rPr>
      </w:pPr>
      <w:r>
        <w:tab/>
      </w:r>
      <w:r>
        <w:rPr>
          <w:rFonts w:hint="eastAsia"/>
        </w:rPr>
        <w:t>高等技术教育按主要学科分，1997/1998学年学生在校情况如下：</w:t>
      </w:r>
    </w:p>
    <w:tbl>
      <w:tblPr>
        <w:tblW w:w="3635" w:type="pct"/>
        <w:jc w:val="center"/>
        <w:tblLook w:val="0000" w:firstRow="0" w:lastRow="0" w:firstColumn="0" w:lastColumn="0" w:noHBand="0" w:noVBand="0"/>
      </w:tblPr>
      <w:tblGrid>
        <w:gridCol w:w="2439"/>
        <w:gridCol w:w="2440"/>
        <w:gridCol w:w="2440"/>
      </w:tblGrid>
      <w:tr w:rsidR="00737B35">
        <w:tblPrEx>
          <w:tblCellMar>
            <w:top w:w="0" w:type="dxa"/>
            <w:bottom w:w="0" w:type="dxa"/>
          </w:tblCellMar>
        </w:tblPrEx>
        <w:trPr>
          <w:tblHeader/>
          <w:jc w:val="center"/>
        </w:trPr>
        <w:tc>
          <w:tcPr>
            <w:tcW w:w="1666" w:type="pct"/>
            <w:tcBorders>
              <w:top w:val="single" w:sz="2" w:space="0" w:color="auto"/>
            </w:tcBorders>
            <w:vAlign w:val="bottom"/>
          </w:tcPr>
          <w:p w:rsidR="00737B35" w:rsidRDefault="00737B35">
            <w:pPr>
              <w:spacing w:before="60" w:after="60" w:line="240" w:lineRule="exact"/>
              <w:ind w:right="40"/>
              <w:rPr>
                <w:rFonts w:eastAsia="KaiTi_GB2312" w:hint="eastAsia"/>
                <w:color w:val="0000FF"/>
                <w:sz w:val="14"/>
              </w:rPr>
            </w:pPr>
            <w:r>
              <w:rPr>
                <w:rFonts w:eastAsia="KaiTi_GB2312" w:hint="eastAsia"/>
                <w:color w:val="0000FF"/>
                <w:sz w:val="14"/>
              </w:rPr>
              <w:t>高等技术培训（学位文凭级别）</w:t>
            </w:r>
          </w:p>
        </w:tc>
        <w:tc>
          <w:tcPr>
            <w:tcW w:w="1667" w:type="pct"/>
            <w:tcBorders>
              <w:top w:val="single" w:sz="2" w:space="0" w:color="auto"/>
            </w:tcBorders>
            <w:vAlign w:val="bottom"/>
          </w:tcPr>
          <w:p w:rsidR="00737B35" w:rsidRDefault="00737B35">
            <w:pPr>
              <w:spacing w:before="60" w:after="60" w:line="240" w:lineRule="exact"/>
              <w:ind w:right="40"/>
              <w:jc w:val="right"/>
              <w:rPr>
                <w:rFonts w:eastAsia="KaiTi_GB2312" w:hint="eastAsia"/>
                <w:color w:val="0000FF"/>
                <w:sz w:val="14"/>
              </w:rPr>
            </w:pPr>
          </w:p>
        </w:tc>
        <w:tc>
          <w:tcPr>
            <w:tcW w:w="1667" w:type="pct"/>
            <w:tcBorders>
              <w:top w:val="single" w:sz="2" w:space="0" w:color="auto"/>
            </w:tcBorders>
            <w:vAlign w:val="bottom"/>
          </w:tcPr>
          <w:p w:rsidR="00737B35" w:rsidRDefault="00737B35">
            <w:pPr>
              <w:spacing w:before="60" w:after="60" w:line="240" w:lineRule="exact"/>
              <w:ind w:right="40"/>
              <w:jc w:val="right"/>
              <w:rPr>
                <w:rFonts w:eastAsia="KaiTi_GB2312" w:hint="eastAsia"/>
                <w:color w:val="0000FF"/>
                <w:sz w:val="14"/>
              </w:rPr>
            </w:pPr>
          </w:p>
        </w:tc>
      </w:tr>
      <w:tr w:rsidR="00737B35">
        <w:tblPrEx>
          <w:tblCellMar>
            <w:top w:w="0" w:type="dxa"/>
            <w:bottom w:w="0" w:type="dxa"/>
          </w:tblCellMar>
        </w:tblPrEx>
        <w:trPr>
          <w:tblHeader/>
          <w:jc w:val="center"/>
        </w:trPr>
        <w:tc>
          <w:tcPr>
            <w:tcW w:w="1666" w:type="pct"/>
            <w:tcBorders>
              <w:bottom w:val="single" w:sz="12" w:space="0" w:color="auto"/>
            </w:tcBorders>
            <w:vAlign w:val="bottom"/>
          </w:tcPr>
          <w:p w:rsidR="00737B35" w:rsidRDefault="00737B35">
            <w:pPr>
              <w:spacing w:after="60" w:line="240" w:lineRule="exact"/>
              <w:ind w:right="40"/>
              <w:rPr>
                <w:rFonts w:eastAsia="KaiTi_GB2312" w:hint="eastAsia"/>
                <w:color w:val="0000FF"/>
                <w:sz w:val="14"/>
              </w:rPr>
            </w:pPr>
          </w:p>
        </w:tc>
        <w:tc>
          <w:tcPr>
            <w:tcW w:w="1667" w:type="pct"/>
            <w:tcBorders>
              <w:bottom w:val="single" w:sz="12" w:space="0" w:color="auto"/>
            </w:tcBorders>
            <w:vAlign w:val="bottom"/>
          </w:tcPr>
          <w:p w:rsidR="00737B35" w:rsidRDefault="00737B35">
            <w:pPr>
              <w:spacing w:after="60" w:line="240" w:lineRule="exact"/>
              <w:ind w:right="40"/>
              <w:jc w:val="right"/>
              <w:rPr>
                <w:rFonts w:eastAsia="KaiTi_GB2312" w:hint="eastAsia"/>
                <w:color w:val="0000FF"/>
                <w:sz w:val="14"/>
              </w:rPr>
            </w:pPr>
            <w:r>
              <w:rPr>
                <w:rFonts w:eastAsia="KaiTi_GB2312" w:hint="eastAsia"/>
                <w:color w:val="0000FF"/>
                <w:sz w:val="14"/>
              </w:rPr>
              <w:t>男</w:t>
            </w:r>
          </w:p>
        </w:tc>
        <w:tc>
          <w:tcPr>
            <w:tcW w:w="1667" w:type="pct"/>
            <w:tcBorders>
              <w:bottom w:val="single" w:sz="12" w:space="0" w:color="auto"/>
            </w:tcBorders>
            <w:vAlign w:val="bottom"/>
          </w:tcPr>
          <w:p w:rsidR="00737B35" w:rsidRDefault="00737B35">
            <w:pPr>
              <w:spacing w:after="60" w:line="240" w:lineRule="exact"/>
              <w:ind w:right="40"/>
              <w:jc w:val="right"/>
              <w:rPr>
                <w:rFonts w:eastAsia="KaiTi_GB2312" w:hint="eastAsia"/>
                <w:color w:val="0000FF"/>
                <w:sz w:val="14"/>
              </w:rPr>
            </w:pPr>
            <w:r>
              <w:rPr>
                <w:rFonts w:eastAsia="KaiTi_GB2312" w:hint="eastAsia"/>
                <w:color w:val="0000FF"/>
                <w:sz w:val="14"/>
              </w:rPr>
              <w:t>女</w:t>
            </w:r>
          </w:p>
        </w:tc>
      </w:tr>
      <w:tr w:rsidR="00737B35">
        <w:tblPrEx>
          <w:tblCellMar>
            <w:top w:w="0" w:type="dxa"/>
            <w:bottom w:w="0" w:type="dxa"/>
          </w:tblCellMar>
        </w:tblPrEx>
        <w:trPr>
          <w:trHeight w:hRule="exact" w:val="115"/>
          <w:tblHeader/>
          <w:jc w:val="center"/>
        </w:trPr>
        <w:tc>
          <w:tcPr>
            <w:tcW w:w="1666" w:type="pct"/>
            <w:tcBorders>
              <w:top w:val="single" w:sz="12" w:space="0" w:color="auto"/>
            </w:tcBorders>
            <w:vAlign w:val="bottom"/>
          </w:tcPr>
          <w:p w:rsidR="00737B35" w:rsidRDefault="00737B35">
            <w:pPr>
              <w:spacing w:after="60" w:line="280" w:lineRule="exact"/>
              <w:ind w:right="40"/>
              <w:rPr>
                <w:rFonts w:hint="eastAsia"/>
                <w:sz w:val="17"/>
              </w:rPr>
            </w:pPr>
          </w:p>
        </w:tc>
        <w:tc>
          <w:tcPr>
            <w:tcW w:w="1667" w:type="pct"/>
            <w:tcBorders>
              <w:top w:val="single" w:sz="12" w:space="0" w:color="auto"/>
            </w:tcBorders>
            <w:vAlign w:val="bottom"/>
          </w:tcPr>
          <w:p w:rsidR="00737B35" w:rsidRDefault="00737B35" w:rsidP="00335557">
            <w:pPr>
              <w:spacing w:after="60" w:line="280" w:lineRule="exact"/>
              <w:ind w:rightChars="660" w:right="31680"/>
              <w:jc w:val="right"/>
              <w:rPr>
                <w:rFonts w:hint="eastAsia"/>
                <w:sz w:val="17"/>
              </w:rPr>
            </w:pPr>
          </w:p>
        </w:tc>
        <w:tc>
          <w:tcPr>
            <w:tcW w:w="1667" w:type="pct"/>
            <w:tcBorders>
              <w:top w:val="single" w:sz="12" w:space="0" w:color="auto"/>
            </w:tcBorders>
            <w:vAlign w:val="bottom"/>
          </w:tcPr>
          <w:p w:rsidR="00737B35" w:rsidRDefault="00737B35" w:rsidP="00335557">
            <w:pPr>
              <w:spacing w:after="60" w:line="280" w:lineRule="exact"/>
              <w:ind w:rightChars="660" w:right="31680"/>
              <w:jc w:val="right"/>
              <w:rPr>
                <w:rFonts w:hint="eastAsia"/>
                <w:sz w:val="17"/>
              </w:rPr>
            </w:pP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交通运输</w:t>
            </w:r>
          </w:p>
        </w:tc>
        <w:tc>
          <w:tcPr>
            <w:tcW w:w="1667"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436</w:t>
            </w:r>
          </w:p>
        </w:tc>
        <w:tc>
          <w:tcPr>
            <w:tcW w:w="1667"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79</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灌溉</w:t>
            </w:r>
          </w:p>
        </w:tc>
        <w:tc>
          <w:tcPr>
            <w:tcW w:w="1667"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306</w:t>
            </w:r>
          </w:p>
        </w:tc>
        <w:tc>
          <w:tcPr>
            <w:tcW w:w="1667"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30</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建筑</w:t>
            </w:r>
          </w:p>
        </w:tc>
        <w:tc>
          <w:tcPr>
            <w:tcW w:w="1667" w:type="pct"/>
            <w:vAlign w:val="bottom"/>
          </w:tcPr>
          <w:p w:rsidR="00737B35" w:rsidRDefault="00737B35">
            <w:pPr>
              <w:pStyle w:val="Header"/>
              <w:tabs>
                <w:tab w:val="clear" w:pos="4320"/>
                <w:tab w:val="clear" w:pos="8640"/>
                <w:tab w:val="left" w:pos="357"/>
                <w:tab w:val="left" w:pos="714"/>
                <w:tab w:val="left" w:pos="1071"/>
                <w:tab w:val="left" w:pos="1429"/>
              </w:tabs>
              <w:spacing w:after="60" w:line="280" w:lineRule="exact"/>
              <w:jc w:val="right"/>
              <w:rPr>
                <w:rFonts w:hint="eastAsia"/>
                <w:sz w:val="17"/>
              </w:rPr>
            </w:pPr>
            <w:r>
              <w:rPr>
                <w:rFonts w:hint="eastAsia"/>
                <w:sz w:val="17"/>
              </w:rPr>
              <w:t>355</w:t>
            </w:r>
          </w:p>
        </w:tc>
        <w:tc>
          <w:tcPr>
            <w:tcW w:w="1667"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55</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电子</w:t>
            </w:r>
          </w:p>
        </w:tc>
        <w:tc>
          <w:tcPr>
            <w:tcW w:w="1667"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314</w:t>
            </w:r>
          </w:p>
        </w:tc>
        <w:tc>
          <w:tcPr>
            <w:tcW w:w="1667"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45</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林业</w:t>
            </w:r>
          </w:p>
        </w:tc>
        <w:tc>
          <w:tcPr>
            <w:tcW w:w="1667"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219</w:t>
            </w:r>
          </w:p>
        </w:tc>
        <w:tc>
          <w:tcPr>
            <w:tcW w:w="1667"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50</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农业</w:t>
            </w:r>
          </w:p>
        </w:tc>
        <w:tc>
          <w:tcPr>
            <w:tcW w:w="1667"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261</w:t>
            </w:r>
          </w:p>
        </w:tc>
        <w:tc>
          <w:tcPr>
            <w:tcW w:w="1667"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32</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法律</w:t>
            </w:r>
          </w:p>
        </w:tc>
        <w:tc>
          <w:tcPr>
            <w:tcW w:w="1667"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1 113</w:t>
            </w:r>
          </w:p>
        </w:tc>
        <w:tc>
          <w:tcPr>
            <w:tcW w:w="1667"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251</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邮政——电信</w:t>
            </w:r>
          </w:p>
        </w:tc>
        <w:tc>
          <w:tcPr>
            <w:tcW w:w="1667"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73</w:t>
            </w:r>
          </w:p>
        </w:tc>
        <w:tc>
          <w:tcPr>
            <w:tcW w:w="1667"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15</w:t>
            </w:r>
          </w:p>
        </w:tc>
      </w:tr>
      <w:tr w:rsidR="00737B35">
        <w:tblPrEx>
          <w:tblCellMar>
            <w:top w:w="0" w:type="dxa"/>
            <w:bottom w:w="0" w:type="dxa"/>
          </w:tblCellMar>
        </w:tblPrEx>
        <w:trPr>
          <w:jc w:val="center"/>
        </w:trPr>
        <w:tc>
          <w:tcPr>
            <w:tcW w:w="1666"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rPr>
                <w:sz w:val="17"/>
              </w:rPr>
            </w:pPr>
            <w:r>
              <w:rPr>
                <w:rFonts w:hint="eastAsia"/>
                <w:sz w:val="17"/>
              </w:rPr>
              <w:t>企业管理</w:t>
            </w:r>
            <w:r>
              <w:rPr>
                <w:sz w:val="17"/>
              </w:rPr>
              <w:br/>
              <w:t>(</w:t>
            </w:r>
            <w:r>
              <w:rPr>
                <w:rFonts w:hint="eastAsia"/>
                <w:sz w:val="17"/>
              </w:rPr>
              <w:t>私营教育</w:t>
            </w:r>
            <w:r>
              <w:rPr>
                <w:sz w:val="17"/>
              </w:rPr>
              <w:t>)</w:t>
            </w:r>
          </w:p>
        </w:tc>
        <w:tc>
          <w:tcPr>
            <w:tcW w:w="1667"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714</w:t>
            </w:r>
          </w:p>
        </w:tc>
        <w:tc>
          <w:tcPr>
            <w:tcW w:w="1667"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559</w:t>
            </w:r>
          </w:p>
        </w:tc>
      </w:tr>
    </w:tbl>
    <w:p w:rsidR="00737B35" w:rsidRDefault="00737B35">
      <w:pPr>
        <w:pStyle w:val="SingleTxt"/>
      </w:pPr>
    </w:p>
    <w:tbl>
      <w:tblPr>
        <w:tblW w:w="3635" w:type="pct"/>
        <w:jc w:val="center"/>
        <w:tblLook w:val="0000" w:firstRow="0" w:lastRow="0" w:firstColumn="0" w:lastColumn="0" w:noHBand="0" w:noVBand="0"/>
      </w:tblPr>
      <w:tblGrid>
        <w:gridCol w:w="2439"/>
        <w:gridCol w:w="2440"/>
        <w:gridCol w:w="2440"/>
      </w:tblGrid>
      <w:tr w:rsidR="00737B35">
        <w:tblPrEx>
          <w:tblCellMar>
            <w:top w:w="0" w:type="dxa"/>
            <w:bottom w:w="0" w:type="dxa"/>
          </w:tblCellMar>
        </w:tblPrEx>
        <w:trPr>
          <w:tblHeader/>
          <w:jc w:val="center"/>
        </w:trPr>
        <w:tc>
          <w:tcPr>
            <w:tcW w:w="1666" w:type="pct"/>
            <w:tcBorders>
              <w:top w:val="single" w:sz="2" w:space="0" w:color="auto"/>
            </w:tcBorders>
            <w:vAlign w:val="bottom"/>
          </w:tcPr>
          <w:p w:rsidR="00737B35" w:rsidRDefault="00737B35">
            <w:pPr>
              <w:spacing w:before="60" w:after="60" w:line="240" w:lineRule="exact"/>
              <w:ind w:right="40"/>
              <w:rPr>
                <w:rFonts w:eastAsia="KaiTi_GB2312" w:hint="eastAsia"/>
                <w:color w:val="0000FF"/>
                <w:sz w:val="14"/>
              </w:rPr>
            </w:pPr>
            <w:r>
              <w:rPr>
                <w:rFonts w:eastAsia="KaiTi_GB2312" w:hint="eastAsia"/>
                <w:color w:val="0000FF"/>
                <w:sz w:val="14"/>
              </w:rPr>
              <w:t>大学（学士学位）</w:t>
            </w:r>
          </w:p>
        </w:tc>
        <w:tc>
          <w:tcPr>
            <w:tcW w:w="1667" w:type="pct"/>
            <w:tcBorders>
              <w:top w:val="single" w:sz="2" w:space="0" w:color="auto"/>
            </w:tcBorders>
            <w:vAlign w:val="bottom"/>
          </w:tcPr>
          <w:p w:rsidR="00737B35" w:rsidRDefault="00737B35">
            <w:pPr>
              <w:spacing w:before="60" w:after="60" w:line="240" w:lineRule="exact"/>
              <w:ind w:right="40"/>
              <w:jc w:val="right"/>
              <w:rPr>
                <w:rFonts w:eastAsia="KaiTi_GB2312" w:hint="eastAsia"/>
                <w:color w:val="0000FF"/>
                <w:sz w:val="14"/>
              </w:rPr>
            </w:pPr>
          </w:p>
        </w:tc>
        <w:tc>
          <w:tcPr>
            <w:tcW w:w="1667" w:type="pct"/>
            <w:tcBorders>
              <w:top w:val="single" w:sz="2" w:space="0" w:color="auto"/>
            </w:tcBorders>
            <w:vAlign w:val="bottom"/>
          </w:tcPr>
          <w:p w:rsidR="00737B35" w:rsidRDefault="00737B35">
            <w:pPr>
              <w:spacing w:before="60" w:after="60" w:line="240" w:lineRule="exact"/>
              <w:ind w:right="40"/>
              <w:jc w:val="right"/>
              <w:rPr>
                <w:rFonts w:eastAsia="KaiTi_GB2312" w:hint="eastAsia"/>
                <w:color w:val="0000FF"/>
                <w:sz w:val="14"/>
              </w:rPr>
            </w:pPr>
          </w:p>
        </w:tc>
      </w:tr>
      <w:tr w:rsidR="00737B35">
        <w:tblPrEx>
          <w:tblCellMar>
            <w:top w:w="0" w:type="dxa"/>
            <w:bottom w:w="0" w:type="dxa"/>
          </w:tblCellMar>
        </w:tblPrEx>
        <w:trPr>
          <w:tblHeader/>
          <w:jc w:val="center"/>
        </w:trPr>
        <w:tc>
          <w:tcPr>
            <w:tcW w:w="1666" w:type="pct"/>
            <w:tcBorders>
              <w:bottom w:val="single" w:sz="12" w:space="0" w:color="auto"/>
            </w:tcBorders>
            <w:vAlign w:val="bottom"/>
          </w:tcPr>
          <w:p w:rsidR="00737B35" w:rsidRDefault="00737B35">
            <w:pPr>
              <w:spacing w:after="60" w:line="240" w:lineRule="exact"/>
              <w:ind w:right="40"/>
              <w:rPr>
                <w:rFonts w:eastAsia="KaiTi_GB2312" w:hint="eastAsia"/>
                <w:color w:val="0000FF"/>
                <w:sz w:val="14"/>
              </w:rPr>
            </w:pPr>
          </w:p>
        </w:tc>
        <w:tc>
          <w:tcPr>
            <w:tcW w:w="1667" w:type="pct"/>
            <w:tcBorders>
              <w:bottom w:val="single" w:sz="12" w:space="0" w:color="auto"/>
            </w:tcBorders>
            <w:vAlign w:val="bottom"/>
          </w:tcPr>
          <w:p w:rsidR="00737B35" w:rsidRDefault="00737B35">
            <w:pPr>
              <w:spacing w:after="60" w:line="240" w:lineRule="exact"/>
              <w:ind w:right="40"/>
              <w:jc w:val="right"/>
              <w:rPr>
                <w:rFonts w:eastAsia="KaiTi_GB2312" w:hint="eastAsia"/>
                <w:color w:val="0000FF"/>
                <w:sz w:val="14"/>
              </w:rPr>
            </w:pPr>
            <w:r>
              <w:rPr>
                <w:rFonts w:eastAsia="KaiTi_GB2312" w:hint="eastAsia"/>
                <w:color w:val="0000FF"/>
                <w:sz w:val="14"/>
              </w:rPr>
              <w:t>男</w:t>
            </w:r>
          </w:p>
        </w:tc>
        <w:tc>
          <w:tcPr>
            <w:tcW w:w="1667" w:type="pct"/>
            <w:tcBorders>
              <w:bottom w:val="single" w:sz="12" w:space="0" w:color="auto"/>
            </w:tcBorders>
            <w:vAlign w:val="bottom"/>
          </w:tcPr>
          <w:p w:rsidR="00737B35" w:rsidRDefault="00737B35">
            <w:pPr>
              <w:spacing w:after="60" w:line="240" w:lineRule="exact"/>
              <w:ind w:right="40"/>
              <w:jc w:val="right"/>
              <w:rPr>
                <w:rFonts w:eastAsia="KaiTi_GB2312" w:hint="eastAsia"/>
                <w:color w:val="0000FF"/>
                <w:sz w:val="14"/>
              </w:rPr>
            </w:pPr>
            <w:r>
              <w:rPr>
                <w:rFonts w:eastAsia="KaiTi_GB2312" w:hint="eastAsia"/>
                <w:color w:val="0000FF"/>
                <w:sz w:val="14"/>
              </w:rPr>
              <w:t>女</w:t>
            </w:r>
          </w:p>
        </w:tc>
      </w:tr>
      <w:tr w:rsidR="00737B35">
        <w:tblPrEx>
          <w:tblCellMar>
            <w:top w:w="0" w:type="dxa"/>
            <w:bottom w:w="0" w:type="dxa"/>
          </w:tblCellMar>
        </w:tblPrEx>
        <w:trPr>
          <w:trHeight w:hRule="exact" w:val="115"/>
          <w:tblHeader/>
          <w:jc w:val="center"/>
        </w:trPr>
        <w:tc>
          <w:tcPr>
            <w:tcW w:w="1666" w:type="pct"/>
            <w:tcBorders>
              <w:top w:val="single" w:sz="12" w:space="0" w:color="auto"/>
            </w:tcBorders>
            <w:vAlign w:val="bottom"/>
          </w:tcPr>
          <w:p w:rsidR="00737B35" w:rsidRDefault="00737B35">
            <w:pPr>
              <w:spacing w:after="60" w:line="280" w:lineRule="exact"/>
              <w:ind w:right="40"/>
              <w:rPr>
                <w:rFonts w:hint="eastAsia"/>
                <w:sz w:val="17"/>
              </w:rPr>
            </w:pPr>
          </w:p>
        </w:tc>
        <w:tc>
          <w:tcPr>
            <w:tcW w:w="1667" w:type="pct"/>
            <w:tcBorders>
              <w:top w:val="single" w:sz="12" w:space="0" w:color="auto"/>
            </w:tcBorders>
            <w:vAlign w:val="bottom"/>
          </w:tcPr>
          <w:p w:rsidR="00737B35" w:rsidRDefault="00737B35" w:rsidP="00335557">
            <w:pPr>
              <w:pStyle w:val="Header"/>
              <w:tabs>
                <w:tab w:val="clear" w:pos="4320"/>
                <w:tab w:val="clear" w:pos="8640"/>
              </w:tabs>
              <w:spacing w:after="60" w:line="280" w:lineRule="exact"/>
              <w:ind w:rightChars="660" w:right="31680"/>
              <w:jc w:val="right"/>
              <w:rPr>
                <w:rFonts w:hint="eastAsia"/>
                <w:sz w:val="17"/>
              </w:rPr>
            </w:pPr>
          </w:p>
        </w:tc>
        <w:tc>
          <w:tcPr>
            <w:tcW w:w="1667" w:type="pct"/>
            <w:tcBorders>
              <w:top w:val="single" w:sz="12" w:space="0" w:color="auto"/>
            </w:tcBorders>
            <w:vAlign w:val="bottom"/>
          </w:tcPr>
          <w:p w:rsidR="00737B35" w:rsidRDefault="00737B35" w:rsidP="00335557">
            <w:pPr>
              <w:spacing w:after="60" w:line="280" w:lineRule="exact"/>
              <w:ind w:rightChars="660" w:right="31680"/>
              <w:jc w:val="right"/>
              <w:rPr>
                <w:rFonts w:hint="eastAsia"/>
                <w:sz w:val="17"/>
              </w:rPr>
            </w:pP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医学系</w:t>
            </w:r>
          </w:p>
        </w:tc>
        <w:tc>
          <w:tcPr>
            <w:tcW w:w="1667" w:type="pct"/>
            <w:vAlign w:val="bottom"/>
          </w:tcPr>
          <w:p w:rsidR="00737B35" w:rsidRDefault="00737B35">
            <w:pPr>
              <w:pStyle w:val="Header"/>
              <w:tabs>
                <w:tab w:val="clear" w:pos="4320"/>
                <w:tab w:val="clear" w:pos="8640"/>
                <w:tab w:val="left" w:pos="357"/>
                <w:tab w:val="left" w:pos="714"/>
                <w:tab w:val="left" w:pos="1071"/>
                <w:tab w:val="left" w:pos="1429"/>
              </w:tabs>
              <w:spacing w:after="60" w:line="280" w:lineRule="exact"/>
              <w:jc w:val="right"/>
              <w:rPr>
                <w:rFonts w:hint="eastAsia"/>
                <w:sz w:val="17"/>
              </w:rPr>
            </w:pPr>
            <w:r>
              <w:rPr>
                <w:rFonts w:hint="eastAsia"/>
                <w:sz w:val="17"/>
              </w:rPr>
              <w:t>282</w:t>
            </w:r>
          </w:p>
        </w:tc>
        <w:tc>
          <w:tcPr>
            <w:tcW w:w="1667"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248</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人文和社会科学系</w:t>
            </w:r>
          </w:p>
        </w:tc>
        <w:tc>
          <w:tcPr>
            <w:tcW w:w="1667"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1 401</w:t>
            </w:r>
          </w:p>
        </w:tc>
        <w:tc>
          <w:tcPr>
            <w:tcW w:w="1667"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1 045</w:t>
            </w:r>
          </w:p>
        </w:tc>
      </w:tr>
      <w:tr w:rsidR="00737B35">
        <w:tblPrEx>
          <w:tblCellMar>
            <w:top w:w="0" w:type="dxa"/>
            <w:bottom w:w="0" w:type="dxa"/>
          </w:tblCellMar>
        </w:tblPrEx>
        <w:trPr>
          <w:jc w:val="center"/>
        </w:trPr>
        <w:tc>
          <w:tcPr>
            <w:tcW w:w="1666"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科学系</w:t>
            </w:r>
          </w:p>
        </w:tc>
        <w:tc>
          <w:tcPr>
            <w:tcW w:w="1667"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128</w:t>
            </w:r>
          </w:p>
        </w:tc>
        <w:tc>
          <w:tcPr>
            <w:tcW w:w="1667"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68</w:t>
            </w:r>
          </w:p>
        </w:tc>
      </w:tr>
    </w:tbl>
    <w:p w:rsidR="00737B35" w:rsidRDefault="00737B35">
      <w:pPr>
        <w:pStyle w:val="SingleTxt"/>
      </w:pPr>
    </w:p>
    <w:p w:rsidR="00737B35" w:rsidRDefault="00737B35">
      <w:pPr>
        <w:pStyle w:val="SingleTxt"/>
        <w:rPr>
          <w:rFonts w:hint="eastAsia"/>
        </w:rPr>
      </w:pPr>
      <w:r>
        <w:rPr>
          <w:rFonts w:hint="eastAsia"/>
        </w:rPr>
        <w:tab/>
        <w:t>根据针对来自各省处境不利的学生或针对处境不利的女学生的“特殊考虑”条款，在特殊情况下可为女生进入大学学习提供便利。可先准许这些群体进行一年的大学预科学习再参加入学考试，以便能为考试进行适当的准备。</w:t>
      </w:r>
    </w:p>
    <w:p w:rsidR="00737B35" w:rsidRDefault="00737B35">
      <w:pPr>
        <w:pStyle w:val="SingleTxt"/>
        <w:rPr>
          <w:rFonts w:hint="eastAsia"/>
        </w:rPr>
      </w:pPr>
      <w:r>
        <w:rPr>
          <w:rFonts w:hint="eastAsia"/>
        </w:rPr>
        <w:tab/>
        <w:t>有些外国政府还为高等教育一级的留学提供奖学金。例如，澳大利亚政府每年提供40个硕士学位奖学金，20个在自由选择类，20个在政府雇员类。澳大利亚政策对这两个类别都实行50％男生和50％女生的配额原则。</w:t>
      </w:r>
    </w:p>
    <w:p w:rsidR="00737B35" w:rsidRDefault="00737B35">
      <w:pPr>
        <w:pStyle w:val="SingleTxt"/>
        <w:rPr>
          <w:rFonts w:ascii="SimHei" w:eastAsia="SimHei" w:hint="eastAsia"/>
          <w:color w:val="FF0000"/>
        </w:rPr>
      </w:pPr>
      <w:r>
        <w:rPr>
          <w:rFonts w:ascii="SimHei" w:eastAsia="SimHei" w:hint="eastAsia"/>
          <w:color w:val="FF0000"/>
        </w:rPr>
        <w:t>非正规教育和识字</w:t>
      </w:r>
    </w:p>
    <w:p w:rsidR="00737B35" w:rsidRDefault="00737B35">
      <w:pPr>
        <w:pStyle w:val="SingleTxt"/>
        <w:rPr>
          <w:rFonts w:hint="eastAsia"/>
        </w:rPr>
      </w:pPr>
      <w:r>
        <w:rPr>
          <w:rFonts w:hint="eastAsia"/>
        </w:rPr>
        <w:tab/>
        <w:t>据1995年人口普查，老挝共和国的总体识字率为60％，即15岁及以上人口中，六成的人能够读写老挝文。首都地区的识字率最高，这里15岁及以上人口中85％有阅读能力。男子的全国识字率比妇女高得多，分别为74％和48％。这方面城乡之间也存在差异。城市地区的识字率是85％，而农村地区的识字率则略低于55％。少数民族妇女的识字率尤其令人忧虑：</w:t>
      </w:r>
    </w:p>
    <w:p w:rsidR="00737B35" w:rsidRDefault="00737B35">
      <w:pPr>
        <w:pStyle w:val="SingleTxt"/>
      </w:pPr>
    </w:p>
    <w:tbl>
      <w:tblPr>
        <w:tblW w:w="3635" w:type="pct"/>
        <w:jc w:val="center"/>
        <w:tblLook w:val="0000" w:firstRow="0" w:lastRow="0" w:firstColumn="0" w:lastColumn="0" w:noHBand="0" w:noVBand="0"/>
      </w:tblPr>
      <w:tblGrid>
        <w:gridCol w:w="2439"/>
        <w:gridCol w:w="2440"/>
        <w:gridCol w:w="2440"/>
      </w:tblGrid>
      <w:tr w:rsidR="00737B35">
        <w:tblPrEx>
          <w:tblCellMar>
            <w:top w:w="0" w:type="dxa"/>
            <w:bottom w:w="0" w:type="dxa"/>
          </w:tblCellMar>
        </w:tblPrEx>
        <w:trPr>
          <w:tblHeader/>
          <w:jc w:val="center"/>
        </w:trPr>
        <w:tc>
          <w:tcPr>
            <w:tcW w:w="1666" w:type="pct"/>
            <w:tcBorders>
              <w:top w:val="single" w:sz="2" w:space="0" w:color="auto"/>
              <w:bottom w:val="single" w:sz="12" w:space="0" w:color="auto"/>
            </w:tcBorders>
            <w:vAlign w:val="bottom"/>
          </w:tcPr>
          <w:p w:rsidR="00737B35" w:rsidRDefault="00737B35">
            <w:pPr>
              <w:spacing w:before="60" w:after="60" w:line="240" w:lineRule="exact"/>
              <w:ind w:right="40"/>
              <w:rPr>
                <w:rFonts w:eastAsia="KaiTi_GB2312" w:hint="eastAsia"/>
                <w:color w:val="0000FF"/>
                <w:sz w:val="14"/>
              </w:rPr>
            </w:pPr>
          </w:p>
        </w:tc>
        <w:tc>
          <w:tcPr>
            <w:tcW w:w="1667"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识字女性％</w:t>
            </w:r>
          </w:p>
        </w:tc>
        <w:tc>
          <w:tcPr>
            <w:tcW w:w="1667"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识字男性％</w:t>
            </w:r>
          </w:p>
        </w:tc>
      </w:tr>
      <w:tr w:rsidR="00737B35">
        <w:tblPrEx>
          <w:tblCellMar>
            <w:top w:w="0" w:type="dxa"/>
            <w:bottom w:w="0" w:type="dxa"/>
          </w:tblCellMar>
        </w:tblPrEx>
        <w:trPr>
          <w:trHeight w:hRule="exact" w:val="115"/>
          <w:tblHeader/>
          <w:jc w:val="center"/>
        </w:trPr>
        <w:tc>
          <w:tcPr>
            <w:tcW w:w="1666" w:type="pct"/>
            <w:tcBorders>
              <w:top w:val="single" w:sz="12" w:space="0" w:color="auto"/>
            </w:tcBorders>
            <w:vAlign w:val="bottom"/>
          </w:tcPr>
          <w:p w:rsidR="00737B35" w:rsidRDefault="00737B35">
            <w:pPr>
              <w:spacing w:after="60" w:line="280" w:lineRule="exact"/>
              <w:ind w:right="40"/>
              <w:rPr>
                <w:rFonts w:hint="eastAsia"/>
                <w:sz w:val="17"/>
              </w:rPr>
            </w:pPr>
          </w:p>
        </w:tc>
        <w:tc>
          <w:tcPr>
            <w:tcW w:w="1667" w:type="pct"/>
            <w:tcBorders>
              <w:top w:val="single" w:sz="12" w:space="0" w:color="auto"/>
            </w:tcBorders>
            <w:vAlign w:val="bottom"/>
          </w:tcPr>
          <w:p w:rsidR="00737B35" w:rsidRDefault="00737B35">
            <w:pPr>
              <w:spacing w:after="60" w:line="280" w:lineRule="exact"/>
              <w:ind w:right="40"/>
              <w:jc w:val="right"/>
              <w:rPr>
                <w:rFonts w:hint="eastAsia"/>
                <w:sz w:val="17"/>
              </w:rPr>
            </w:pPr>
          </w:p>
        </w:tc>
        <w:tc>
          <w:tcPr>
            <w:tcW w:w="1667" w:type="pct"/>
            <w:tcBorders>
              <w:top w:val="single" w:sz="12" w:space="0" w:color="auto"/>
            </w:tcBorders>
            <w:vAlign w:val="bottom"/>
          </w:tcPr>
          <w:p w:rsidR="00737B35" w:rsidRDefault="00737B35">
            <w:pPr>
              <w:spacing w:after="60" w:line="280" w:lineRule="exact"/>
              <w:ind w:right="40"/>
              <w:jc w:val="right"/>
              <w:rPr>
                <w:rFonts w:hint="eastAsia"/>
                <w:sz w:val="17"/>
              </w:rPr>
            </w:pP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老挝族</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66.12％</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86.03％</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克穆族</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22.71％</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60.76％</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赫蒙族</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8.10％</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45.65％</w:t>
            </w:r>
          </w:p>
        </w:tc>
      </w:tr>
      <w:tr w:rsidR="00737B35">
        <w:tblPrEx>
          <w:tblCellMar>
            <w:top w:w="0" w:type="dxa"/>
            <w:bottom w:w="0" w:type="dxa"/>
          </w:tblCellMar>
        </w:tblPrEx>
        <w:trPr>
          <w:jc w:val="center"/>
        </w:trPr>
        <w:tc>
          <w:tcPr>
            <w:tcW w:w="1666"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阿卡族</w:t>
            </w:r>
          </w:p>
        </w:tc>
        <w:tc>
          <w:tcPr>
            <w:tcW w:w="1667"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0.74％</w:t>
            </w:r>
          </w:p>
        </w:tc>
        <w:tc>
          <w:tcPr>
            <w:tcW w:w="1667"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7.01％</w:t>
            </w:r>
          </w:p>
        </w:tc>
      </w:tr>
    </w:tbl>
    <w:p w:rsidR="00737B35" w:rsidRDefault="00737B35">
      <w:pPr>
        <w:pStyle w:val="SingleTxt"/>
      </w:pPr>
    </w:p>
    <w:p w:rsidR="00737B35" w:rsidRDefault="00737B35">
      <w:pPr>
        <w:pStyle w:val="SingleTxt"/>
        <w:rPr>
          <w:rFonts w:hint="eastAsia"/>
        </w:rPr>
      </w:pPr>
      <w:r>
        <w:rPr>
          <w:rFonts w:hint="eastAsia"/>
        </w:rPr>
        <w:tab/>
      </w:r>
      <w:r>
        <w:rPr>
          <w:rFonts w:hint="eastAsia"/>
          <w:spacing w:val="4"/>
        </w:rPr>
        <w:t>生育和出生间隔调查（1995年）显示，在已婚妇女中，40％未受过教育</w:t>
      </w:r>
      <w:r>
        <w:rPr>
          <w:rFonts w:hint="eastAsia"/>
        </w:rPr>
        <w:t>，26％受过小学教育，其中只有12％毕业。自1990年以来，政府制定了一个非正规教育方案。这个方案将技能培训与扫盲和基础教育结合起来，而且受益的多数是妇女。</w:t>
      </w:r>
    </w:p>
    <w:p w:rsidR="00737B35" w:rsidRDefault="00737B35">
      <w:pPr>
        <w:pStyle w:val="SingleTxt"/>
        <w:rPr>
          <w:rFonts w:ascii="SimHei" w:eastAsia="SimHei" w:hint="eastAsia"/>
          <w:color w:val="FF0000"/>
        </w:rPr>
      </w:pPr>
      <w:r>
        <w:rPr>
          <w:rFonts w:ascii="SimHei" w:eastAsia="SimHei" w:hint="eastAsia"/>
          <w:color w:val="FF0000"/>
        </w:rPr>
        <w:t>女孩参加运动和体育的平等机会</w:t>
      </w:r>
    </w:p>
    <w:p w:rsidR="00737B35" w:rsidRDefault="00737B35">
      <w:pPr>
        <w:pStyle w:val="SingleTxt"/>
        <w:rPr>
          <w:rFonts w:hint="eastAsia"/>
        </w:rPr>
      </w:pPr>
      <w:r>
        <w:rPr>
          <w:rFonts w:hint="eastAsia"/>
        </w:rPr>
        <w:tab/>
        <w:t>全国从事体育专业的教师人数为373人，其中38人为妇女。在中小学两级，男女生平等参加体育。男女孩子课程相同，孩子们玩足球、排球、羽毛球和其他类似形式的集体运动。</w:t>
      </w:r>
    </w:p>
    <w:p w:rsidR="00737B35" w:rsidRDefault="00737B35">
      <w:pPr>
        <w:pStyle w:val="SingleTxt"/>
        <w:rPr>
          <w:rFonts w:hint="eastAsia"/>
        </w:rPr>
      </w:pPr>
      <w:r>
        <w:rPr>
          <w:rFonts w:hint="eastAsia"/>
        </w:rPr>
        <w:tab/>
        <w:t>据全国运动委员会统计，下课后约有5 000名男子和1 500名妇女利用自由支配时间参加跑步锻炼。据同项统计，妇女和女孩倾向于玩篮球和排球作为自由活动，而男子和男孩更喜欢玩足球和从事像空手道和老挝式拳击等运动。在每年举行的传统的佛教大斋节赛艇中，每年约有600名男子和200名女子参赛。</w:t>
      </w:r>
    </w:p>
    <w:p w:rsidR="00737B35" w:rsidRDefault="00737B35">
      <w:pPr>
        <w:pStyle w:val="SingleTxt"/>
        <w:rPr>
          <w:rFonts w:ascii="SimHei" w:eastAsia="SimHei" w:hint="eastAsia"/>
          <w:color w:val="FF0000"/>
        </w:rPr>
      </w:pPr>
      <w:r>
        <w:rPr>
          <w:rFonts w:ascii="SimHei" w:eastAsia="SimHei" w:hint="eastAsia"/>
          <w:color w:val="FF0000"/>
        </w:rPr>
        <w:t>教科书中对男女孩的定型成见</w:t>
      </w:r>
    </w:p>
    <w:p w:rsidR="00737B35" w:rsidRDefault="00737B35">
      <w:pPr>
        <w:pStyle w:val="SingleTxt"/>
        <w:rPr>
          <w:rFonts w:hint="eastAsia"/>
        </w:rPr>
      </w:pPr>
      <w:r>
        <w:rPr>
          <w:rFonts w:hint="eastAsia"/>
        </w:rPr>
        <w:tab/>
        <w:t>据教育部（1999年）对小学一至五年级课本进行的调查，教科书中可以见到某些性别偏见。一年级课本上的图画某种程度上仍在传达这样的信息，即某些任务如喂孩子吃饭或照看弟妹只是妇女的事。有些画面还传达运动和其他户外活动只属于男孩的信息。教育部对这种情况保持着警觉并将在审查教科书时列进对性别任务持有更平衡看法的图画。</w:t>
      </w:r>
    </w:p>
    <w:p w:rsidR="00737B35" w:rsidRDefault="00737B35">
      <w:pPr>
        <w:pStyle w:val="SingleTxt"/>
        <w:rPr>
          <w:rFonts w:ascii="SimHei" w:eastAsia="SimHei" w:hint="eastAsia"/>
          <w:color w:val="FF0000"/>
        </w:rPr>
      </w:pPr>
      <w:r>
        <w:rPr>
          <w:rFonts w:ascii="SimHei" w:eastAsia="SimHei" w:hint="eastAsia"/>
          <w:color w:val="FF0000"/>
        </w:rPr>
        <w:t>学校的计划生育教育</w:t>
      </w:r>
    </w:p>
    <w:p w:rsidR="00737B35" w:rsidRDefault="00737B35">
      <w:pPr>
        <w:pStyle w:val="SingleTxt"/>
        <w:rPr>
          <w:rFonts w:hint="eastAsia"/>
        </w:rPr>
      </w:pPr>
      <w:r>
        <w:rPr>
          <w:rFonts w:hint="eastAsia"/>
        </w:rPr>
        <w:tab/>
        <w:t>老挝共和国政府承认青少年人口教育的重要性，而且教育部将专注于在正规和非正规教育部门学习的青少年。主要的目标是编制课程教材以将人口教育纳入中小学及非正规教育方案。内容方面包括生殖健康和性教育及人口问题和关切的事项。目前只在全国各地为数不多的教育机构执行试点项目，但在1999至2000年期间，该方案将扩大到100所小学、60所新建的初中、40所高中、8个非正规教育中心和4所师范学校。</w:t>
      </w:r>
    </w:p>
    <w:p w:rsidR="00737B35" w:rsidRDefault="00737B35">
      <w:pPr>
        <w:pStyle w:val="SingleTxt"/>
        <w:rPr>
          <w:rFonts w:ascii="SimHei" w:eastAsia="SimHei" w:hint="eastAsia"/>
          <w:color w:val="FF0000"/>
        </w:rPr>
      </w:pPr>
      <w:r>
        <w:rPr>
          <w:rFonts w:ascii="SimHei" w:eastAsia="SimHei" w:hint="eastAsia"/>
          <w:color w:val="FF0000"/>
        </w:rPr>
        <w:t>妨碍女孩和妇女平等接受教育的因素</w:t>
      </w:r>
    </w:p>
    <w:p w:rsidR="00737B35" w:rsidRDefault="00737B35">
      <w:pPr>
        <w:pStyle w:val="SingleTxt"/>
        <w:rPr>
          <w:rFonts w:hint="eastAsia"/>
        </w:rPr>
      </w:pPr>
      <w:r>
        <w:rPr>
          <w:rFonts w:hint="eastAsia"/>
        </w:rPr>
        <w:tab/>
        <w:t>有几个因素造成女孩和妇女不能平等地接受正规和非正规教育。首先，女孩负责做家务和看管弟妹。这导致女孩上了不多几年小学后普遍中途辍学。实际利用教育服务的机会是决定女孩和特别是少数民族女孩（尤其是居住在偏僻地区的女孩）是否上学的关键因素之一，她们的家庭可能出于若干原因不愿意将她们送到村外的学校读书。目前，大约有4 000座村庄没有学校。</w:t>
      </w:r>
    </w:p>
    <w:p w:rsidR="00737B35" w:rsidRDefault="00737B35">
      <w:pPr>
        <w:pStyle w:val="SingleTxt"/>
        <w:rPr>
          <w:rFonts w:hint="eastAsia"/>
        </w:rPr>
      </w:pPr>
      <w:r>
        <w:rPr>
          <w:rFonts w:hint="eastAsia"/>
        </w:rPr>
        <w:tab/>
        <w:t>城市地区的女孩由于看不到教育会使找工作的机会增多而辍学（儿童基金会，1996年）。在民族群体居住的农村地区，有些群体特别是父系群体对女孩获得教育持有一种文化偏见。此外，在许多民族群体中，女孩在年纪非常轻的时候就结婚生孩子，因此难以接受教育（亚银，1997年）。</w:t>
      </w:r>
    </w:p>
    <w:p w:rsidR="00737B35" w:rsidRDefault="00737B35">
      <w:pPr>
        <w:pStyle w:val="SingleTxt"/>
        <w:rPr>
          <w:rFonts w:hint="eastAsia"/>
        </w:rPr>
      </w:pPr>
      <w:r>
        <w:rPr>
          <w:rFonts w:hint="eastAsia"/>
        </w:rPr>
        <w:tab/>
        <w:t>如果学校中树立同性和（或）同民族积极的行为榜样，少数民族的女孩和成员便较有可能参加学习。1993/1994学年，老挝族（主要老族）的小学教师的比例达到82％左右。每个年级的小学女教师的比例随年级而变化，从二年级48％的高比例降至五年级25％这样低的比例，五年级是小学升初中的关键性的过渡年（亚银，1997年）。</w:t>
      </w:r>
    </w:p>
    <w:p w:rsidR="00737B35" w:rsidRDefault="00737B35">
      <w:pPr>
        <w:pStyle w:val="SingleTxt"/>
        <w:rPr>
          <w:rFonts w:hint="eastAsia"/>
        </w:rPr>
      </w:pPr>
      <w:r>
        <w:rPr>
          <w:rFonts w:hint="eastAsia"/>
        </w:rPr>
        <w:tab/>
        <w:t>此外，少数民族的男女孩子在学校面临语言困难，因为所有的教学都使用主要的老族的语言进行（亚银，1997年）。</w:t>
      </w:r>
    </w:p>
    <w:p w:rsidR="00737B35" w:rsidRDefault="00737B35">
      <w:pPr>
        <w:pStyle w:val="SingleTxt"/>
        <w:rPr>
          <w:rFonts w:hint="eastAsia"/>
        </w:rPr>
      </w:pPr>
      <w:r>
        <w:rPr>
          <w:rFonts w:hint="eastAsia"/>
        </w:rPr>
        <w:tab/>
        <w:t>最后，并不总是很容易就看出识字、基础教育和职业培训同女孩和妇女的生活的相关性。有的家庭依然认为，教育男孩的未来成本效益要高于对女孩的教育（亚银，1997年）。</w:t>
      </w:r>
    </w:p>
    <w:p w:rsidR="00737B35" w:rsidRDefault="00737B35">
      <w:pPr>
        <w:pStyle w:val="SingleTxt"/>
        <w:rPr>
          <w:rFonts w:hint="eastAsia"/>
        </w:rPr>
      </w:pPr>
      <w:r>
        <w:rPr>
          <w:rFonts w:hint="eastAsia"/>
        </w:rPr>
        <w:tab/>
        <w:t>在非正规教育中，现行的方案取得了非常好的效果，但其中有些半途而废，原因是未考虑到受训者——他们多数代表少数民族——的传统（儿童基金会，1996年）。</w:t>
      </w:r>
    </w:p>
    <w:p w:rsidR="00737B35" w:rsidRDefault="00737B35">
      <w:pPr>
        <w:pStyle w:val="SingleTxt"/>
        <w:rPr>
          <w:rFonts w:ascii="SimHei" w:eastAsia="SimHei" w:hint="eastAsia"/>
          <w:color w:val="FF0000"/>
        </w:rPr>
      </w:pPr>
      <w:r>
        <w:rPr>
          <w:rFonts w:ascii="SimHei" w:eastAsia="SimHei" w:hint="eastAsia"/>
          <w:color w:val="FF0000"/>
        </w:rPr>
        <w:t>确保两性平等接受教育的政府政策和计划</w:t>
      </w:r>
    </w:p>
    <w:p w:rsidR="00737B35" w:rsidRDefault="00737B35">
      <w:pPr>
        <w:pStyle w:val="SingleTxt"/>
        <w:rPr>
          <w:rFonts w:hint="eastAsia"/>
        </w:rPr>
      </w:pPr>
      <w:r>
        <w:rPr>
          <w:rFonts w:hint="eastAsia"/>
        </w:rPr>
        <w:tab/>
        <w:t>老挝共和国政府非常关注教育部门的整个情况。1998年，教育部编写了政府教育政策的概况。有关女孩和妇女的教育，提到了下列几点：</w:t>
      </w:r>
    </w:p>
    <w:p w:rsidR="00737B35" w:rsidRDefault="00737B35">
      <w:pPr>
        <w:pStyle w:val="SingleTxt"/>
        <w:ind w:left="1695"/>
        <w:rPr>
          <w:rFonts w:hint="eastAsia"/>
        </w:rPr>
      </w:pPr>
      <w:r>
        <w:rPr>
          <w:rFonts w:hint="eastAsia"/>
        </w:rPr>
        <w:t>-</w:t>
      </w:r>
      <w:r>
        <w:rPr>
          <w:rFonts w:hint="eastAsia"/>
        </w:rPr>
        <w:tab/>
        <w:t>有力地强调改善获得基础教育服务的公平性</w:t>
      </w:r>
    </w:p>
    <w:p w:rsidR="00737B35" w:rsidRDefault="00737B35">
      <w:pPr>
        <w:pStyle w:val="SingleTxt"/>
        <w:ind w:left="1695"/>
        <w:rPr>
          <w:rFonts w:hint="eastAsia"/>
        </w:rPr>
      </w:pPr>
      <w:r>
        <w:rPr>
          <w:rFonts w:hint="eastAsia"/>
        </w:rPr>
        <w:t>-</w:t>
      </w:r>
      <w:r>
        <w:rPr>
          <w:rFonts w:hint="eastAsia"/>
        </w:rPr>
        <w:tab/>
        <w:t>为妇女和女孩、少数民族群体和弱势成人提供职业培训</w:t>
      </w:r>
    </w:p>
    <w:p w:rsidR="00737B35" w:rsidRDefault="00737B35">
      <w:pPr>
        <w:pStyle w:val="SingleTxt"/>
        <w:ind w:left="1695"/>
        <w:rPr>
          <w:rFonts w:hint="eastAsia"/>
        </w:rPr>
      </w:pPr>
      <w:r>
        <w:rPr>
          <w:rFonts w:hint="eastAsia"/>
        </w:rPr>
        <w:t>-</w:t>
      </w:r>
      <w:r>
        <w:rPr>
          <w:rFonts w:hint="eastAsia"/>
        </w:rPr>
        <w:tab/>
        <w:t>扩大弱势群体包括女孩、妇女和少数民族的成人识字和职业教育方案。</w:t>
      </w:r>
    </w:p>
    <w:p w:rsidR="00737B35" w:rsidRDefault="00737B35">
      <w:pPr>
        <w:pStyle w:val="SingleTxt"/>
        <w:rPr>
          <w:rFonts w:hint="eastAsia"/>
        </w:rPr>
      </w:pPr>
      <w:r>
        <w:rPr>
          <w:rFonts w:hint="eastAsia"/>
        </w:rPr>
        <w:tab/>
        <w:t>此外，教育部还制定了一个特别的“2000年普及教育”方案。这个方案的目标包括：</w:t>
      </w:r>
    </w:p>
    <w:p w:rsidR="00737B35" w:rsidRDefault="00737B35">
      <w:pPr>
        <w:pStyle w:val="SingleTxt"/>
        <w:ind w:left="1695"/>
        <w:rPr>
          <w:rFonts w:hint="eastAsia"/>
        </w:rPr>
      </w:pPr>
      <w:r>
        <w:rPr>
          <w:rFonts w:hint="eastAsia"/>
        </w:rPr>
        <w:t>-</w:t>
      </w:r>
      <w:r>
        <w:rPr>
          <w:rFonts w:hint="eastAsia"/>
        </w:rPr>
        <w:tab/>
        <w:t>到2003年将6岁儿童的净入学率提高到80％，到2005年提高到85％；</w:t>
      </w:r>
    </w:p>
    <w:p w:rsidR="00737B35" w:rsidRDefault="00737B35">
      <w:pPr>
        <w:pStyle w:val="SingleTxt"/>
        <w:ind w:left="1695"/>
        <w:rPr>
          <w:rFonts w:hint="eastAsia"/>
        </w:rPr>
      </w:pPr>
      <w:r>
        <w:rPr>
          <w:rFonts w:hint="eastAsia"/>
        </w:rPr>
        <w:t>-</w:t>
      </w:r>
      <w:r>
        <w:rPr>
          <w:rFonts w:hint="eastAsia"/>
        </w:rPr>
        <w:tab/>
        <w:t>降低辍学率和复读率，并将保留率从40％提高到80％；</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rPr>
          <w:rFonts w:hint="eastAsia"/>
        </w:rPr>
        <w:tab/>
        <w:t>-</w:t>
      </w:r>
      <w:r>
        <w:rPr>
          <w:rFonts w:hint="eastAsia"/>
        </w:rPr>
        <w:tab/>
        <w:t>通过提升教学内容的质量提高学生的学习成绩，从而使学生能够获得同社区需要相关的知识和技能；</w:t>
      </w:r>
    </w:p>
    <w:p w:rsidR="00737B35" w:rsidRDefault="00737B35">
      <w:pPr>
        <w:pStyle w:val="SingleTxt"/>
        <w:ind w:left="1695"/>
        <w:rPr>
          <w:rFonts w:hint="eastAsia"/>
        </w:rPr>
      </w:pPr>
      <w:r>
        <w:rPr>
          <w:rFonts w:hint="eastAsia"/>
        </w:rPr>
        <w:t>-</w:t>
      </w:r>
      <w:r>
        <w:rPr>
          <w:rFonts w:hint="eastAsia"/>
        </w:rPr>
        <w:tab/>
        <w:t>将初中的毕业率提高到70％；</w:t>
      </w:r>
    </w:p>
    <w:p w:rsidR="00737B35" w:rsidRDefault="00737B35">
      <w:pPr>
        <w:pStyle w:val="SingleTxt"/>
        <w:ind w:left="1695"/>
        <w:rPr>
          <w:rFonts w:hint="eastAsia"/>
        </w:rPr>
      </w:pPr>
      <w:r>
        <w:rPr>
          <w:rFonts w:hint="eastAsia"/>
        </w:rPr>
        <w:t>-</w:t>
      </w:r>
      <w:r>
        <w:rPr>
          <w:rFonts w:hint="eastAsia"/>
        </w:rPr>
        <w:tab/>
        <w:t>在民族群体的成人中实现80％识字率的目标。</w:t>
      </w:r>
    </w:p>
    <w:p w:rsidR="00737B35" w:rsidRDefault="00737B35">
      <w:pPr>
        <w:pStyle w:val="SingleTxt"/>
        <w:rPr>
          <w:rFonts w:hint="eastAsia"/>
        </w:rPr>
      </w:pPr>
      <w:r>
        <w:rPr>
          <w:rFonts w:hint="eastAsia"/>
        </w:rPr>
        <w:tab/>
        <w:t>政府非正规教育的努力针对七个主要目标群体，包括妇女，特别是农村地区的妇女，她们受教育的程度不够，目标是使她们接受关于家庭健康和安全孕产的教育。</w:t>
      </w:r>
    </w:p>
    <w:p w:rsidR="00737B35" w:rsidRDefault="00737B35">
      <w:pPr>
        <w:pStyle w:val="SingleTxt"/>
        <w:rPr>
          <w:rFonts w:hint="eastAsia"/>
        </w:rPr>
      </w:pPr>
      <w:r>
        <w:rPr>
          <w:rFonts w:hint="eastAsia"/>
        </w:rPr>
        <w:tab/>
        <w:t>为实现这个目标，教育预算已从1990年占政府预算总额8.3％提高到12％左右。</w:t>
      </w:r>
    </w:p>
    <w:p w:rsidR="00737B35" w:rsidRDefault="00737B35">
      <w:pPr>
        <w:pStyle w:val="SingleTxt"/>
        <w:rPr>
          <w:rFonts w:hint="eastAsia"/>
        </w:rPr>
      </w:pPr>
      <w:r>
        <w:rPr>
          <w:rFonts w:hint="eastAsia"/>
        </w:rPr>
        <w:tab/>
        <w:t>为了具体针对女孩和妇女的教育需要，政府开始执行一个妇女教育项目。制定这个项目是为了提高正规学校系统的性别和民族敏感性，特别是通过促进村级三个主要教育系统（土著传统学习系统、非正规教育和正规教育或学校教育）的整合及加强教育系统本身内部的纵向和横向整合和协调。项目活动计划在全国各地推开并于2005年完成。</w:t>
      </w:r>
    </w:p>
    <w:p w:rsidR="00737B35" w:rsidRDefault="00737B35">
      <w:pPr>
        <w:pStyle w:val="SingleTxt"/>
        <w:rPr>
          <w:rFonts w:hint="eastAsia"/>
        </w:rPr>
      </w:pPr>
      <w:r>
        <w:rPr>
          <w:rFonts w:hint="eastAsia"/>
        </w:rPr>
        <w:tab/>
        <w:t>就实现教育可持续性而言，该项目将：</w:t>
      </w:r>
    </w:p>
    <w:p w:rsidR="00737B35" w:rsidRDefault="00737B35">
      <w:pPr>
        <w:pStyle w:val="SingleTxt"/>
        <w:ind w:left="1695"/>
        <w:rPr>
          <w:rFonts w:hint="eastAsia"/>
        </w:rPr>
      </w:pPr>
      <w:r>
        <w:rPr>
          <w:rFonts w:hint="eastAsia"/>
        </w:rPr>
        <w:t>-</w:t>
      </w:r>
      <w:r>
        <w:rPr>
          <w:rFonts w:hint="eastAsia"/>
        </w:rPr>
        <w:tab/>
        <w:t>加强协调、战略规划、政策制定和教育内部的资源分配；</w:t>
      </w:r>
    </w:p>
    <w:p w:rsidR="00737B35" w:rsidRDefault="00737B35">
      <w:pPr>
        <w:pStyle w:val="SingleTxt"/>
        <w:ind w:left="1695"/>
        <w:rPr>
          <w:rFonts w:hint="eastAsia"/>
        </w:rPr>
      </w:pPr>
      <w:r>
        <w:rPr>
          <w:rFonts w:hint="eastAsia"/>
        </w:rPr>
        <w:t>-</w:t>
      </w:r>
      <w:r>
        <w:rPr>
          <w:rFonts w:hint="eastAsia"/>
        </w:rPr>
        <w:tab/>
        <w:t>增进国家政策目标与省县两级当地条件的协调和整合。</w:t>
      </w:r>
    </w:p>
    <w:p w:rsidR="00737B35" w:rsidRDefault="00737B35">
      <w:pPr>
        <w:pStyle w:val="SingleTxt"/>
        <w:rPr>
          <w:rFonts w:hint="eastAsia"/>
        </w:rPr>
      </w:pPr>
      <w:r>
        <w:rPr>
          <w:rFonts w:hint="eastAsia"/>
        </w:rPr>
        <w:tab/>
        <w:t>就提供受教育机会而言，该项目将：</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rPr>
          <w:rFonts w:hint="eastAsia"/>
        </w:rPr>
        <w:tab/>
        <w:t>-</w:t>
      </w:r>
      <w:r>
        <w:rPr>
          <w:rFonts w:hint="eastAsia"/>
        </w:rPr>
        <w:tab/>
        <w:t>增加女孩和少数民族利用教育设施的机会，包括200所新的小学和6所新的寄宿制小学；</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rPr>
          <w:rFonts w:hint="eastAsia"/>
        </w:rPr>
        <w:tab/>
        <w:t>-</w:t>
      </w:r>
      <w:r>
        <w:rPr>
          <w:rFonts w:hint="eastAsia"/>
        </w:rPr>
        <w:tab/>
        <w:t>促成学校、家庭、社区、宗教机构和地方教育当局对教育和社会文化现实共同的理解；</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rPr>
          <w:rFonts w:hint="eastAsia"/>
        </w:rPr>
        <w:tab/>
        <w:t>-</w:t>
      </w:r>
      <w:r>
        <w:rPr>
          <w:rFonts w:hint="eastAsia"/>
        </w:rPr>
        <w:tab/>
        <w:t>研究尽量减少求学女孩社会经济障碍的切实可行的方法；制定处理贫困和偏僻地区女孩和少数民族家庭经济和财政制约因素的结构、行动计划和可持续的手段。</w:t>
      </w:r>
    </w:p>
    <w:p w:rsidR="00737B35" w:rsidRDefault="00737B35">
      <w:pPr>
        <w:pStyle w:val="SingleTxt"/>
        <w:rPr>
          <w:rFonts w:hint="eastAsia"/>
        </w:rPr>
      </w:pPr>
      <w:r>
        <w:rPr>
          <w:rFonts w:hint="eastAsia"/>
        </w:rPr>
        <w:tab/>
        <w:t>为使教育同女孩和妇女息息相关，该项目将：</w:t>
      </w:r>
    </w:p>
    <w:p w:rsidR="00737B35" w:rsidRDefault="00737B35">
      <w:pPr>
        <w:pStyle w:val="SingleTxt"/>
        <w:ind w:left="1695"/>
        <w:rPr>
          <w:rFonts w:hint="eastAsia"/>
        </w:rPr>
      </w:pPr>
      <w:r>
        <w:rPr>
          <w:rFonts w:hint="eastAsia"/>
        </w:rPr>
        <w:t>-</w:t>
      </w:r>
      <w:r>
        <w:rPr>
          <w:rFonts w:hint="eastAsia"/>
        </w:rPr>
        <w:tab/>
        <w:t>加强传统学习与正规基础教育的整合；</w:t>
      </w:r>
    </w:p>
    <w:p w:rsidR="00737B35" w:rsidRDefault="00737B35">
      <w:pPr>
        <w:pStyle w:val="SingleTxt"/>
        <w:ind w:left="1695"/>
        <w:rPr>
          <w:rFonts w:hint="eastAsia"/>
        </w:rPr>
      </w:pPr>
      <w:r>
        <w:rPr>
          <w:rFonts w:hint="eastAsia"/>
        </w:rPr>
        <w:t>-</w:t>
      </w:r>
      <w:r>
        <w:rPr>
          <w:rFonts w:hint="eastAsia"/>
        </w:rPr>
        <w:tab/>
        <w:t>将非正规教育做法适用于正规教育战略；</w:t>
      </w:r>
    </w:p>
    <w:p w:rsidR="00737B35" w:rsidRDefault="00737B35">
      <w:pPr>
        <w:pStyle w:val="SingleTxt"/>
        <w:ind w:left="1695"/>
        <w:rPr>
          <w:rFonts w:hint="eastAsia"/>
        </w:rPr>
      </w:pPr>
      <w:r>
        <w:rPr>
          <w:rFonts w:hint="eastAsia"/>
        </w:rPr>
        <w:t>-</w:t>
      </w:r>
      <w:r>
        <w:rPr>
          <w:rFonts w:hint="eastAsia"/>
        </w:rPr>
        <w:tab/>
        <w:t>树立女教师和少数民族教师的行为榜样。</w:t>
      </w:r>
    </w:p>
    <w:p w:rsidR="00737B35" w:rsidRDefault="00737B35">
      <w:pPr>
        <w:pStyle w:val="SingleTxt"/>
        <w:rPr>
          <w:rFonts w:hint="eastAsia"/>
        </w:rPr>
      </w:pPr>
      <w:r>
        <w:rPr>
          <w:rFonts w:hint="eastAsia"/>
        </w:rPr>
        <w:tab/>
        <w:t>此外，还将培训老挝语作为第二语言的教师以消除少数民族女孩在试图进入正规学校系统求学时面临的语言障碍。</w:t>
      </w:r>
    </w:p>
    <w:p w:rsidR="00737B35" w:rsidRDefault="00737B35">
      <w:pPr>
        <w:pStyle w:val="SingleTxt"/>
        <w:rPr>
          <w:rFonts w:hint="eastAsia"/>
        </w:rPr>
      </w:pPr>
      <w:r>
        <w:rPr>
          <w:rFonts w:hint="eastAsia"/>
        </w:rPr>
        <w:tab/>
        <w:t>还将通过另一个方案关注妇女的非正规教育，这个方案目前正在开始执行并将持续到2003年。作为方案的组成部分，将为参加非正规教育班学习的妇女的子女提供育儿设施以使这些妇女能够从所提供的教育中受益。</w:t>
      </w: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第11条  就业</w:t>
      </w:r>
    </w:p>
    <w:p w:rsidR="00737B35" w:rsidRDefault="00737B35">
      <w:pPr>
        <w:pStyle w:val="SingleTxt"/>
        <w:spacing w:after="0" w:line="120" w:lineRule="exact"/>
        <w:rPr>
          <w:rFonts w:hint="eastAsia"/>
          <w:sz w:val="10"/>
        </w:rPr>
      </w:pP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ascii="KaiTi_GB2312" w:eastAsia="KaiTi_GB2312" w:hint="eastAsia"/>
          <w:color w:val="0000FF"/>
        </w:rPr>
      </w:pPr>
      <w:r>
        <w:rPr>
          <w:rFonts w:ascii="KaiTi_GB2312" w:eastAsia="KaiTi_GB2312" w:hint="eastAsia"/>
          <w:color w:val="0000FF"/>
        </w:rPr>
        <w:tab/>
        <w:t>1.</w:t>
      </w:r>
      <w:r>
        <w:rPr>
          <w:rFonts w:ascii="KaiTi_GB2312" w:eastAsia="KaiTi_GB2312" w:hint="eastAsia"/>
          <w:color w:val="0000FF"/>
        </w:rPr>
        <w:tab/>
        <w:t>缔约各国应采取一切适当的措施，消除在就业方面对妇女的歧视，以保证她们在男女平等的基础上享有相同权利，特别是：</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spacing w:line="340" w:lineRule="exact"/>
        <w:ind w:left="2126" w:hanging="862"/>
        <w:rPr>
          <w:rFonts w:ascii="KaiTi_GB2312" w:eastAsia="KaiTi_GB2312" w:hint="eastAsia"/>
          <w:color w:val="0000FF"/>
        </w:rPr>
      </w:pPr>
      <w:r>
        <w:rPr>
          <w:rFonts w:ascii="KaiTi_GB2312" w:eastAsia="KaiTi_GB2312" w:hint="eastAsia"/>
          <w:color w:val="0000FF"/>
        </w:rPr>
        <w:tab/>
        <w:t>(a)</w:t>
      </w:r>
      <w:r>
        <w:rPr>
          <w:rFonts w:ascii="KaiTi_GB2312" w:eastAsia="KaiTi_GB2312" w:hint="eastAsia"/>
          <w:color w:val="0000FF"/>
        </w:rPr>
        <w:tab/>
        <w:t>人人有不可剥夺的工作权利；</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spacing w:line="340" w:lineRule="exact"/>
        <w:ind w:left="2126" w:hanging="862"/>
        <w:rPr>
          <w:rFonts w:ascii="KaiTi_GB2312" w:eastAsia="KaiTi_GB2312" w:hint="eastAsia"/>
          <w:color w:val="0000FF"/>
        </w:rPr>
      </w:pPr>
      <w:r>
        <w:rPr>
          <w:rFonts w:ascii="KaiTi_GB2312" w:eastAsia="KaiTi_GB2312" w:hint="eastAsia"/>
          <w:color w:val="0000FF"/>
        </w:rPr>
        <w:tab/>
        <w:t>(b)</w:t>
      </w:r>
      <w:r>
        <w:rPr>
          <w:rFonts w:ascii="KaiTi_GB2312" w:eastAsia="KaiTi_GB2312" w:hint="eastAsia"/>
          <w:color w:val="0000FF"/>
        </w:rPr>
        <w:tab/>
        <w:t>享有相同就业机会的权利，包括在就业方面相同的甄选标准；</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spacing w:line="340" w:lineRule="exact"/>
        <w:ind w:left="2126" w:hanging="862"/>
        <w:rPr>
          <w:rFonts w:ascii="KaiTi_GB2312" w:eastAsia="KaiTi_GB2312" w:hint="eastAsia"/>
          <w:color w:val="0000FF"/>
        </w:rPr>
      </w:pPr>
      <w:r>
        <w:rPr>
          <w:rFonts w:ascii="KaiTi_GB2312" w:eastAsia="KaiTi_GB2312" w:hint="eastAsia"/>
          <w:color w:val="0000FF"/>
        </w:rPr>
        <w:tab/>
        <w:t>(c)</w:t>
      </w:r>
      <w:r>
        <w:rPr>
          <w:rFonts w:ascii="KaiTi_GB2312" w:eastAsia="KaiTi_GB2312" w:hint="eastAsia"/>
          <w:color w:val="0000FF"/>
        </w:rPr>
        <w:tab/>
        <w:t>享有自由选择专业和职业，提升和工作保障，一切服务福利和条件，接受职业训练和再训练，包括实习训练、高等职业训练和经常训练的权利；</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spacing w:line="340" w:lineRule="exact"/>
        <w:ind w:left="2126" w:hanging="862"/>
        <w:rPr>
          <w:rFonts w:ascii="KaiTi_GB2312" w:eastAsia="KaiTi_GB2312" w:hint="eastAsia"/>
          <w:color w:val="0000FF"/>
        </w:rPr>
      </w:pPr>
      <w:r>
        <w:rPr>
          <w:rFonts w:ascii="KaiTi_GB2312" w:eastAsia="KaiTi_GB2312" w:hint="eastAsia"/>
          <w:color w:val="0000FF"/>
        </w:rPr>
        <w:tab/>
        <w:t>(d)</w:t>
      </w:r>
      <w:r>
        <w:rPr>
          <w:rFonts w:ascii="KaiTi_GB2312" w:eastAsia="KaiTi_GB2312" w:hint="eastAsia"/>
          <w:color w:val="0000FF"/>
        </w:rPr>
        <w:tab/>
        <w:t>同样价值的工作享有同等报酬包括福利和享有平等待遇的权利，在评定工作的表现方面，享有平等待遇的权利；</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spacing w:line="340" w:lineRule="exact"/>
        <w:ind w:left="2126" w:hanging="862"/>
        <w:rPr>
          <w:rFonts w:ascii="KaiTi_GB2312" w:eastAsia="KaiTi_GB2312" w:hint="eastAsia"/>
          <w:color w:val="0000FF"/>
        </w:rPr>
      </w:pPr>
      <w:r>
        <w:rPr>
          <w:rFonts w:ascii="KaiTi_GB2312" w:eastAsia="KaiTi_GB2312" w:hint="eastAsia"/>
          <w:color w:val="0000FF"/>
        </w:rPr>
        <w:tab/>
        <w:t>(e)</w:t>
      </w:r>
      <w:r>
        <w:rPr>
          <w:rFonts w:ascii="KaiTi_GB2312" w:eastAsia="KaiTi_GB2312" w:hint="eastAsia"/>
          <w:color w:val="0000FF"/>
        </w:rPr>
        <w:tab/>
        <w:t>享有社会保障的权利，特别是在退休、失业、疾病、残废和老年或在其他丧失工作能力的情况下，以及享有带薪假的权利；</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spacing w:line="340" w:lineRule="exact"/>
        <w:ind w:left="2126" w:hanging="862"/>
        <w:rPr>
          <w:rFonts w:ascii="KaiTi_GB2312" w:eastAsia="KaiTi_GB2312" w:hint="eastAsia"/>
          <w:color w:val="0000FF"/>
        </w:rPr>
      </w:pPr>
      <w:r>
        <w:rPr>
          <w:rFonts w:ascii="KaiTi_GB2312" w:eastAsia="KaiTi_GB2312" w:hint="eastAsia"/>
          <w:color w:val="0000FF"/>
        </w:rPr>
        <w:tab/>
        <w:t>(f)</w:t>
      </w:r>
      <w:r>
        <w:rPr>
          <w:rFonts w:ascii="KaiTi_GB2312" w:eastAsia="KaiTi_GB2312" w:hint="eastAsia"/>
          <w:color w:val="0000FF"/>
        </w:rPr>
        <w:tab/>
        <w:t>在工作条件中享有健康和安全保障，包括保障生育机能的权利。</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spacing w:line="340" w:lineRule="exact"/>
        <w:ind w:left="2126" w:hanging="862"/>
        <w:rPr>
          <w:rFonts w:ascii="KaiTi_GB2312" w:eastAsia="KaiTi_GB2312" w:hint="eastAsia"/>
          <w:color w:val="0000FF"/>
        </w:rPr>
      </w:pPr>
      <w:r>
        <w:rPr>
          <w:rFonts w:ascii="KaiTi_GB2312" w:eastAsia="KaiTi_GB2312" w:hint="eastAsia"/>
          <w:color w:val="0000FF"/>
        </w:rPr>
        <w:tab/>
        <w:t>2.</w:t>
      </w:r>
      <w:r>
        <w:rPr>
          <w:rFonts w:ascii="KaiTi_GB2312" w:eastAsia="KaiTi_GB2312" w:hint="eastAsia"/>
          <w:color w:val="0000FF"/>
        </w:rPr>
        <w:tab/>
        <w:t>缔约各国为使妇女不致因结婚或生育而受歧视，又为保障其有效的工作权利起见，应采取适当措施：</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spacing w:line="340" w:lineRule="exact"/>
        <w:ind w:left="2126" w:hanging="862"/>
        <w:rPr>
          <w:rFonts w:ascii="KaiTi_GB2312" w:eastAsia="KaiTi_GB2312" w:hint="eastAsia"/>
          <w:color w:val="0000FF"/>
        </w:rPr>
      </w:pPr>
      <w:r>
        <w:rPr>
          <w:rFonts w:ascii="KaiTi_GB2312" w:eastAsia="KaiTi_GB2312" w:hint="eastAsia"/>
          <w:color w:val="0000FF"/>
        </w:rPr>
        <w:tab/>
        <w:t>(a)</w:t>
      </w:r>
      <w:r>
        <w:rPr>
          <w:rFonts w:ascii="KaiTi_GB2312" w:eastAsia="KaiTi_GB2312" w:hint="eastAsia"/>
          <w:color w:val="0000FF"/>
        </w:rPr>
        <w:tab/>
        <w:t>禁止以怀孕或产假为理由予以解雇，以及以婚姻状况为理由予以解雇的歧视，违反规定者得受处分；</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spacing w:line="340" w:lineRule="exact"/>
        <w:ind w:left="2126" w:hanging="862"/>
        <w:rPr>
          <w:rFonts w:ascii="KaiTi_GB2312" w:eastAsia="KaiTi_GB2312" w:hint="eastAsia"/>
          <w:color w:val="0000FF"/>
        </w:rPr>
      </w:pPr>
      <w:r>
        <w:rPr>
          <w:rFonts w:ascii="KaiTi_GB2312" w:eastAsia="KaiTi_GB2312" w:hint="eastAsia"/>
          <w:color w:val="0000FF"/>
        </w:rPr>
        <w:tab/>
        <w:t>(b)</w:t>
      </w:r>
      <w:r>
        <w:rPr>
          <w:rFonts w:ascii="KaiTi_GB2312" w:eastAsia="KaiTi_GB2312" w:hint="eastAsia"/>
          <w:color w:val="0000FF"/>
        </w:rPr>
        <w:tab/>
        <w:t>实施带薪产假或具有同等社会福利的产假，不丧失原有工作、工资或社会津贴；</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spacing w:line="340" w:lineRule="exact"/>
        <w:ind w:left="2126" w:hanging="862"/>
        <w:rPr>
          <w:rFonts w:ascii="KaiTi_GB2312" w:eastAsia="KaiTi_GB2312" w:hint="eastAsia"/>
          <w:color w:val="0000FF"/>
        </w:rPr>
      </w:pPr>
      <w:r>
        <w:rPr>
          <w:rFonts w:ascii="KaiTi_GB2312" w:eastAsia="KaiTi_GB2312" w:hint="eastAsia"/>
          <w:color w:val="0000FF"/>
        </w:rPr>
        <w:tab/>
        <w:t>(c)</w:t>
      </w:r>
      <w:r>
        <w:rPr>
          <w:rFonts w:ascii="KaiTi_GB2312" w:eastAsia="KaiTi_GB2312" w:hint="eastAsia"/>
          <w:color w:val="0000FF"/>
        </w:rPr>
        <w:tab/>
        <w:t>鼓励提供必要的辅助性社会服务，特别是通过促进建立和发展托儿设施系统，使父母得以兼顾家庭义务和工作责任并参与公共生活；</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spacing w:line="340" w:lineRule="exact"/>
        <w:ind w:left="2126" w:hanging="862"/>
        <w:rPr>
          <w:rFonts w:ascii="KaiTi_GB2312" w:eastAsia="KaiTi_GB2312" w:hint="eastAsia"/>
          <w:color w:val="0000FF"/>
        </w:rPr>
      </w:pPr>
      <w:r>
        <w:rPr>
          <w:rFonts w:ascii="KaiTi_GB2312" w:eastAsia="KaiTi_GB2312" w:hint="eastAsia"/>
          <w:color w:val="0000FF"/>
        </w:rPr>
        <w:tab/>
        <w:t>(d)</w:t>
      </w:r>
      <w:r>
        <w:rPr>
          <w:rFonts w:ascii="KaiTi_GB2312" w:eastAsia="KaiTi_GB2312" w:hint="eastAsia"/>
          <w:color w:val="0000FF"/>
        </w:rPr>
        <w:tab/>
        <w:t>对于怀孕其间从事确实有害于健康的工作的妇女给予特别保护。</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spacing w:line="340" w:lineRule="exact"/>
        <w:ind w:left="2126" w:hanging="862"/>
        <w:rPr>
          <w:rFonts w:hint="eastAsia"/>
        </w:rPr>
      </w:pPr>
      <w:r>
        <w:rPr>
          <w:rFonts w:ascii="KaiTi_GB2312" w:eastAsia="KaiTi_GB2312" w:hint="eastAsia"/>
          <w:color w:val="0000FF"/>
        </w:rPr>
        <w:tab/>
        <w:t>3.</w:t>
      </w:r>
      <w:r>
        <w:rPr>
          <w:rFonts w:ascii="KaiTi_GB2312" w:eastAsia="KaiTi_GB2312" w:hint="eastAsia"/>
          <w:color w:val="0000FF"/>
        </w:rPr>
        <w:tab/>
        <w:t>应参照科技知识，定期审查与本条所包涵的内容有关的保护性法律，必要时应加以修订、废止或推广。</w:t>
      </w:r>
    </w:p>
    <w:p w:rsidR="00737B35" w:rsidRDefault="00737B35">
      <w:pPr>
        <w:pStyle w:val="SingleTxt"/>
        <w:rPr>
          <w:rFonts w:ascii="SimHei" w:eastAsia="SimHei" w:hint="eastAsia"/>
          <w:color w:val="FF0000"/>
        </w:rPr>
      </w:pPr>
      <w:r>
        <w:rPr>
          <w:rFonts w:ascii="SimHei" w:eastAsia="SimHei" w:hint="eastAsia"/>
          <w:color w:val="FF0000"/>
        </w:rPr>
        <w:t>男女在法律面前就业平等</w:t>
      </w:r>
    </w:p>
    <w:p w:rsidR="00737B35" w:rsidRDefault="00737B35">
      <w:pPr>
        <w:pStyle w:val="SingleTxt"/>
        <w:rPr>
          <w:rFonts w:hint="eastAsia"/>
        </w:rPr>
      </w:pPr>
      <w:r>
        <w:rPr>
          <w:rFonts w:hint="eastAsia"/>
        </w:rPr>
        <w:tab/>
        <w:t>宪法（1991年）第26条指出，“老挝公民有权工作并从事不为法律禁止的职业。劳动人民有权休息，生病时接受治疗和及失去工作能力和残疾、老年及法律规定的其他情况下接受援助。”《劳动法》（1994年）第2条指出“政府应确保雇主和工人从他们的关系中共同受益而不受基于种族、肤色、性别、宗教、政治见解或社会地位的歧视。”与此同时，它规定了男女双方就业报酬和条件平等，以及工作质量评价方面待遇平等（第21、24、25、26条）。</w:t>
      </w:r>
    </w:p>
    <w:p w:rsidR="00737B35" w:rsidRDefault="00737B35">
      <w:pPr>
        <w:pStyle w:val="SingleTxt"/>
        <w:rPr>
          <w:rFonts w:hint="eastAsia"/>
        </w:rPr>
      </w:pPr>
      <w:r>
        <w:rPr>
          <w:rFonts w:hint="eastAsia"/>
        </w:rPr>
        <w:tab/>
        <w:t>根据《劳动法》（1994年），按月领取报酬的所有工人有权每年最多享受30天全薪病假，而且在病假超过30天时，有关工人应获得社会保障体系的补偿金（第29条）。</w:t>
      </w:r>
    </w:p>
    <w:p w:rsidR="00737B35" w:rsidRDefault="00737B35">
      <w:pPr>
        <w:pStyle w:val="SingleTxt"/>
        <w:rPr>
          <w:rFonts w:hint="eastAsia"/>
        </w:rPr>
      </w:pPr>
      <w:r>
        <w:rPr>
          <w:rFonts w:hint="eastAsia"/>
        </w:rPr>
        <w:tab/>
        <w:t>第30条指出，根据不定期或超过一年期订立的就业合同雇用并且工作时间超过一整年的所有工人应有权享受15天年假。从事艰苦工作或有损健康的工作的工人应有权享受18天年假。</w:t>
      </w:r>
    </w:p>
    <w:p w:rsidR="00737B35" w:rsidRDefault="00737B35">
      <w:pPr>
        <w:pStyle w:val="SingleTxt"/>
        <w:rPr>
          <w:rFonts w:hint="eastAsia"/>
        </w:rPr>
      </w:pPr>
      <w:r>
        <w:rPr>
          <w:rFonts w:hint="eastAsia"/>
        </w:rPr>
        <w:tab/>
        <w:t>该法第50条保证所有工人有权享受一年一次的体检和与职业病有关的保健。所有工人受到职业伤害或患职业病时保证获得同样的补偿（第53条）。</w:t>
      </w:r>
    </w:p>
    <w:p w:rsidR="00737B35" w:rsidRDefault="00737B35">
      <w:pPr>
        <w:pStyle w:val="SingleTxt"/>
        <w:rPr>
          <w:rFonts w:hint="eastAsia"/>
        </w:rPr>
      </w:pPr>
      <w:r>
        <w:rPr>
          <w:rFonts w:hint="eastAsia"/>
        </w:rPr>
        <w:tab/>
        <w:t>《劳动法》（1994年）第33条指出，“雇主不得雇用妇女从事条例规定的对其健康有危险的繁重工作，不得在夜间从晚上10时至次日早晨5时在所有工业部门工作。在次日复工之前，妇女的休息期应至少达到11小时。”</w:t>
      </w:r>
    </w:p>
    <w:p w:rsidR="00737B35" w:rsidRDefault="00737B35">
      <w:pPr>
        <w:pStyle w:val="SingleTxt"/>
        <w:rPr>
          <w:rFonts w:hint="eastAsia"/>
        </w:rPr>
      </w:pPr>
      <w:r>
        <w:rPr>
          <w:rFonts w:hint="eastAsia"/>
        </w:rPr>
        <w:tab/>
        <w:t>通常，男子的退休年龄为60岁，妇女的退休年龄为55岁。退休前从事危险职业连续超过五年的工人，领取退休金所需的工作年限为20年，而且退休年龄男子为55岁，妇女为50岁《劳动法》第54条，1994年）。</w:t>
      </w:r>
    </w:p>
    <w:p w:rsidR="00737B35" w:rsidRDefault="00737B35">
      <w:pPr>
        <w:pStyle w:val="SingleTxt"/>
        <w:rPr>
          <w:rFonts w:hint="eastAsia"/>
        </w:rPr>
      </w:pPr>
      <w:r>
        <w:rPr>
          <w:rFonts w:hint="eastAsia"/>
        </w:rPr>
        <w:tab/>
        <w:t>根据《劳动法》（1994年）第48条规定，“各社会经济部门每个劳动单位应设立社会保障基金或按照社会保障制度支付补偿基金以确保其工人的生活水准。工人和雇主应按照政府通过的条例向社会保障基金缴款。”但在实践中，社会保障基金只是从1996年起才开始运作，而且迄今为止，只有5 150名女性和7 910名男性向退休基金缴款，有135 名女性和1 455名男性向孤儿基金缴款，并有270名妇女和2 545名男子向残疾基金缴款。这些数字目前涉及公营部门，而且私营部门的社会保障基金将于2001年启动。</w:t>
      </w:r>
    </w:p>
    <w:p w:rsidR="00737B35" w:rsidRDefault="00737B35">
      <w:pPr>
        <w:pStyle w:val="SingleTxt"/>
        <w:rPr>
          <w:rFonts w:ascii="SimHei" w:eastAsia="SimHei" w:hint="eastAsia"/>
          <w:color w:val="FF0000"/>
        </w:rPr>
      </w:pPr>
      <w:r>
        <w:rPr>
          <w:rFonts w:ascii="SimHei" w:eastAsia="SimHei" w:hint="eastAsia"/>
          <w:color w:val="FF0000"/>
        </w:rPr>
        <w:t>妇女加入劳动力市场</w:t>
      </w:r>
    </w:p>
    <w:p w:rsidR="00737B35" w:rsidRDefault="00737B35">
      <w:pPr>
        <w:pStyle w:val="SingleTxt"/>
        <w:rPr>
          <w:rFonts w:hint="eastAsia"/>
        </w:rPr>
      </w:pPr>
      <w:r>
        <w:rPr>
          <w:rFonts w:hint="eastAsia"/>
        </w:rPr>
        <w:tab/>
        <w:t>老挝妇女占到人口的51％左右和劳动力总数的50％。大约90％的妇女参加劳动力。1995年人口普查表明男女失业人数很少（占劳动力的1.7％），但在失业其间女雇员很有可能获得就业机会。1994年城市劳动调查表明，城市工人（不足4％为少数民族）男女比率较为平等（男52％，女48％）。根据同项调查，城市职业机会存在着男女失衡状况，妇女占据非熟练工作岗位的绝大多数，且担任高级职务的人数少得多。在管理人员中女性仅占10％。在专业人员、熟练的手工艺工人和机器设备操作工等职业中，女性比男性少30％。服务性工作和非熟练的初等工作，以女工为主。城市工人的平均收入也显示出男女差别，女工收入约为男工薪资额的77％。在对男女任何一方来说教育和训练均不是主要考虑因素的初等职业中，妇女收入占男子平均薪资的61％。</w:t>
      </w:r>
    </w:p>
    <w:p w:rsidR="00737B35" w:rsidRDefault="00737B35">
      <w:pPr>
        <w:pStyle w:val="SingleTxt"/>
        <w:rPr>
          <w:rFonts w:hint="eastAsia"/>
        </w:rPr>
      </w:pPr>
      <w:r>
        <w:rPr>
          <w:rFonts w:hint="eastAsia"/>
        </w:rPr>
        <w:tab/>
        <w:t>主要由于正规工资部门的劳动力在老挝共和国仍为数不多，因此最近亚洲危机对就业和收入的影响不像有些邻国那样严重。世界银行（1999年）进行的初步评估表明，在有些情况下，特别是在城市地区，妇女不得不承受过重的负担以应对最近亚洲经济危机产生的经济困难。将需要进行更多的研究以核实这些结果。</w:t>
      </w:r>
    </w:p>
    <w:p w:rsidR="00737B35" w:rsidRDefault="00737B35">
      <w:pPr>
        <w:pStyle w:val="SingleTxt"/>
        <w:rPr>
          <w:rFonts w:ascii="SimHei" w:eastAsia="SimHei" w:hint="eastAsia"/>
          <w:color w:val="FF0000"/>
        </w:rPr>
      </w:pPr>
      <w:r>
        <w:rPr>
          <w:rFonts w:ascii="SimHei" w:eastAsia="SimHei" w:hint="eastAsia"/>
          <w:color w:val="FF0000"/>
        </w:rPr>
        <w:t>从事农业的妇女</w:t>
      </w:r>
    </w:p>
    <w:p w:rsidR="00737B35" w:rsidRDefault="00737B35">
      <w:pPr>
        <w:pStyle w:val="SingleTxt"/>
        <w:rPr>
          <w:rFonts w:hint="eastAsia"/>
        </w:rPr>
      </w:pPr>
      <w:r>
        <w:rPr>
          <w:rFonts w:hint="eastAsia"/>
        </w:rPr>
        <w:tab/>
        <w:t>必须牢记，老挝共和国主要是一个农业社会，超过83％的人口生活在农村地区。在农村地区，耕作是几乎91％的创收男性和超过94％的创收女性的主要活动，</w:t>
      </w:r>
      <w:r>
        <w:rPr>
          <w:rStyle w:val="FootnoteReference"/>
        </w:rPr>
        <w:footnoteReference w:id="1"/>
      </w:r>
      <w:r>
        <w:t xml:space="preserve"> </w:t>
      </w:r>
      <w:r>
        <w:rPr>
          <w:rFonts w:hint="eastAsia"/>
        </w:rPr>
        <w:t>各区域间差异很小。老挝共和国的农业生产者绝大多数是自耕自给性的，收入非常低。不幸的是，眼下的官方统计不允许对其农业收入得到户主次要活动或住户其他成员非农业主要活动补充的农户进行分类（世界银行，1995年）。</w:t>
      </w:r>
    </w:p>
    <w:p w:rsidR="00737B35" w:rsidRDefault="00737B35">
      <w:pPr>
        <w:pStyle w:val="SingleTxt"/>
        <w:rPr>
          <w:rFonts w:hint="eastAsia"/>
        </w:rPr>
      </w:pPr>
      <w:r>
        <w:rPr>
          <w:rFonts w:hint="eastAsia"/>
        </w:rPr>
        <w:tab/>
        <w:t>妇女总数中85％为农民，其产出主要供家庭消费。甚至在城市地区，47％的女劳力也介入农业。据估计，妇女和女孩承担50％至70％的所有家庭消费和生产任务。稻米是老挝共和国最重要的作物。男女在谷类、水稻和旱稻种植和家畜</w:t>
      </w:r>
      <w:r>
        <w:rPr>
          <w:rFonts w:hint="eastAsia"/>
          <w:spacing w:val="2"/>
        </w:rPr>
        <w:t>饲养方面的任务大体公平，妇女承担大部分乏味耗时的任务，而男子从事短时间的费劲工作。不过，妇女和儿童从事与消费和现金创收的园艺、家庭和林产品采集有关的大部分家务。妇女来自牲畜饲养的所得占到家庭食物和</w:t>
      </w:r>
      <w:r>
        <w:rPr>
          <w:rFonts w:hint="eastAsia"/>
        </w:rPr>
        <w:t>家庭需要的30％，而且在某些情况下妇女的捕鱼所得占到家庭蛋白质食物的70％（亚银，1996年）。</w:t>
      </w:r>
    </w:p>
    <w:p w:rsidR="00737B35" w:rsidRDefault="00737B35">
      <w:pPr>
        <w:pStyle w:val="SingleTxt"/>
        <w:rPr>
          <w:rFonts w:hint="eastAsia"/>
        </w:rPr>
      </w:pPr>
      <w:r>
        <w:tab/>
      </w:r>
      <w:r>
        <w:rPr>
          <w:rFonts w:hint="eastAsia"/>
        </w:rPr>
        <w:t>老挝共和国政府认识到妇女在农村发展和农业部门的重要作用。如第10条“教育”项下所述，政府正在促进妇女普及教育，特别是对生活在农村地区的少数民族妇女的教育。政府注意到，妇女扫盲和至少接受初等教育对于她们使收入来源多样化来说是当务之急。改善农村妇女生活条件的具体措施将在第14条“农村妇女”项下论述。</w:t>
      </w:r>
    </w:p>
    <w:p w:rsidR="00737B35" w:rsidRDefault="00737B35">
      <w:pPr>
        <w:pStyle w:val="SingleTxt"/>
        <w:rPr>
          <w:rFonts w:ascii="SimHei" w:eastAsia="SimHei" w:hint="eastAsia"/>
          <w:color w:val="FF0000"/>
        </w:rPr>
      </w:pPr>
      <w:r>
        <w:rPr>
          <w:rFonts w:ascii="SimHei" w:eastAsia="SimHei"/>
          <w:color w:val="FF0000"/>
        </w:rPr>
        <w:br w:type="page"/>
      </w:r>
      <w:r>
        <w:rPr>
          <w:rFonts w:ascii="SimHei" w:eastAsia="SimHei" w:hint="eastAsia"/>
          <w:color w:val="FF0000"/>
        </w:rPr>
        <w:t>正规和非正规企业中的妇女</w:t>
      </w:r>
    </w:p>
    <w:p w:rsidR="00737B35" w:rsidRDefault="00737B35">
      <w:pPr>
        <w:pStyle w:val="SingleTxt"/>
        <w:rPr>
          <w:rFonts w:hint="eastAsia"/>
        </w:rPr>
      </w:pPr>
      <w:r>
        <w:tab/>
      </w:r>
      <w:r>
        <w:rPr>
          <w:rFonts w:hint="eastAsia"/>
        </w:rPr>
        <w:t>在中小型企业部门，妇女作为企业家的地位失而复得。1975年革命以前，妇女主宰了针对城市市场的小买卖、市场经营、家庭铺面手工企业和小商店。随着私营贸易的开放和由于最近的亚洲经济危机影响了家庭的收入，特别是在城市地区，妇女收复了办实业的权力和地位（儿童基金会，1996年）。</w:t>
      </w:r>
    </w:p>
    <w:p w:rsidR="00737B35" w:rsidRDefault="00737B35">
      <w:pPr>
        <w:pStyle w:val="SingleTxt"/>
        <w:spacing w:after="360"/>
        <w:rPr>
          <w:rFonts w:hint="eastAsia"/>
        </w:rPr>
      </w:pPr>
      <w:r>
        <w:tab/>
      </w:r>
      <w:r>
        <w:rPr>
          <w:rFonts w:hint="eastAsia"/>
          <w:spacing w:val="4"/>
        </w:rPr>
        <w:t>1995年的小型企业调查发现妇女拥有和经营着2.5万个注册小企业中的</w:t>
      </w:r>
      <w:r>
        <w:rPr>
          <w:rFonts w:hint="eastAsia"/>
        </w:rPr>
        <w:t>63％。妇女在这个部门占到劳动力的57％，该部门对国内生产总值的贡献约9％。女企业家和男企业家的平均年龄分别为36岁和41岁，这表明妇女创办企业的年龄早于男子。女企业家的教育程度明显较低：在受访者中22％的妇女和12％的男子未受过学校教育。95％的妇女办的企业使用技术水平较低的手工工具。中小型企业的某些领域有着强烈的男女偏见。四分之三以上的中小型企业位于农村地区，约13％位于五座最大的城市（贸易部，1995年）。</w:t>
      </w:r>
    </w:p>
    <w:tbl>
      <w:tblPr>
        <w:tblW w:w="3635" w:type="pct"/>
        <w:jc w:val="center"/>
        <w:tblLook w:val="0000" w:firstRow="0" w:lastRow="0" w:firstColumn="0" w:lastColumn="0" w:noHBand="0" w:noVBand="0"/>
      </w:tblPr>
      <w:tblGrid>
        <w:gridCol w:w="1829"/>
        <w:gridCol w:w="1830"/>
        <w:gridCol w:w="1830"/>
        <w:gridCol w:w="1830"/>
      </w:tblGrid>
      <w:tr w:rsidR="00737B35">
        <w:tblPrEx>
          <w:tblCellMar>
            <w:top w:w="0" w:type="dxa"/>
            <w:bottom w:w="0" w:type="dxa"/>
          </w:tblCellMar>
        </w:tblPrEx>
        <w:trPr>
          <w:tblHeader/>
          <w:jc w:val="center"/>
        </w:trPr>
        <w:tc>
          <w:tcPr>
            <w:tcW w:w="1249" w:type="pct"/>
            <w:tcBorders>
              <w:top w:val="single" w:sz="2" w:space="0" w:color="auto"/>
              <w:bottom w:val="single" w:sz="12" w:space="0" w:color="auto"/>
            </w:tcBorders>
            <w:vAlign w:val="bottom"/>
          </w:tcPr>
          <w:p w:rsidR="00737B35" w:rsidRDefault="00737B35">
            <w:pPr>
              <w:spacing w:before="60" w:after="60" w:line="240" w:lineRule="exact"/>
              <w:ind w:right="40"/>
              <w:rPr>
                <w:rFonts w:eastAsia="KaiTi_GB2312" w:hint="eastAsia"/>
                <w:color w:val="0000FF"/>
                <w:sz w:val="14"/>
              </w:rPr>
            </w:pPr>
            <w:r>
              <w:rPr>
                <w:rFonts w:eastAsia="KaiTi_GB2312" w:hint="eastAsia"/>
                <w:color w:val="0000FF"/>
                <w:sz w:val="14"/>
              </w:rPr>
              <w:t>企业类型</w:t>
            </w:r>
          </w:p>
        </w:tc>
        <w:tc>
          <w:tcPr>
            <w:tcW w:w="1250"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男</w:t>
            </w:r>
          </w:p>
        </w:tc>
        <w:tc>
          <w:tcPr>
            <w:tcW w:w="1250"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女</w:t>
            </w:r>
          </w:p>
        </w:tc>
        <w:tc>
          <w:tcPr>
            <w:tcW w:w="1250"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混合</w:t>
            </w:r>
          </w:p>
        </w:tc>
      </w:tr>
      <w:tr w:rsidR="00737B35">
        <w:tblPrEx>
          <w:tblCellMar>
            <w:top w:w="0" w:type="dxa"/>
            <w:bottom w:w="0" w:type="dxa"/>
          </w:tblCellMar>
        </w:tblPrEx>
        <w:trPr>
          <w:trHeight w:hRule="exact" w:val="115"/>
          <w:tblHeader/>
          <w:jc w:val="center"/>
        </w:trPr>
        <w:tc>
          <w:tcPr>
            <w:tcW w:w="1249" w:type="pct"/>
            <w:tcBorders>
              <w:top w:val="single" w:sz="12" w:space="0" w:color="auto"/>
            </w:tcBorders>
            <w:vAlign w:val="bottom"/>
          </w:tcPr>
          <w:p w:rsidR="00737B35" w:rsidRDefault="00737B35">
            <w:pPr>
              <w:spacing w:after="60" w:line="280" w:lineRule="exact"/>
              <w:ind w:right="40"/>
              <w:rPr>
                <w:rFonts w:hint="eastAsia"/>
                <w:sz w:val="17"/>
              </w:rPr>
            </w:pPr>
          </w:p>
        </w:tc>
        <w:tc>
          <w:tcPr>
            <w:tcW w:w="1250" w:type="pct"/>
            <w:tcBorders>
              <w:top w:val="single" w:sz="12" w:space="0" w:color="auto"/>
            </w:tcBorders>
            <w:vAlign w:val="bottom"/>
          </w:tcPr>
          <w:p w:rsidR="00737B35" w:rsidRDefault="00737B35" w:rsidP="00335557">
            <w:pPr>
              <w:spacing w:after="60" w:line="280" w:lineRule="exact"/>
              <w:ind w:rightChars="384" w:right="31680"/>
              <w:jc w:val="right"/>
              <w:rPr>
                <w:rFonts w:hint="eastAsia"/>
                <w:sz w:val="17"/>
              </w:rPr>
            </w:pPr>
          </w:p>
        </w:tc>
        <w:tc>
          <w:tcPr>
            <w:tcW w:w="1250" w:type="pct"/>
            <w:tcBorders>
              <w:top w:val="single" w:sz="12" w:space="0" w:color="auto"/>
            </w:tcBorders>
            <w:vAlign w:val="bottom"/>
          </w:tcPr>
          <w:p w:rsidR="00737B35" w:rsidRDefault="00737B35" w:rsidP="00335557">
            <w:pPr>
              <w:spacing w:after="60" w:line="280" w:lineRule="exact"/>
              <w:ind w:rightChars="384" w:right="31680"/>
              <w:jc w:val="right"/>
              <w:rPr>
                <w:rFonts w:hint="eastAsia"/>
                <w:sz w:val="17"/>
              </w:rPr>
            </w:pPr>
          </w:p>
        </w:tc>
        <w:tc>
          <w:tcPr>
            <w:tcW w:w="1250" w:type="pct"/>
            <w:tcBorders>
              <w:top w:val="single" w:sz="12" w:space="0" w:color="auto"/>
            </w:tcBorders>
            <w:vAlign w:val="bottom"/>
          </w:tcPr>
          <w:p w:rsidR="00737B35" w:rsidRDefault="00737B35" w:rsidP="00335557">
            <w:pPr>
              <w:spacing w:after="60" w:line="280" w:lineRule="exact"/>
              <w:ind w:rightChars="384" w:right="31680"/>
              <w:jc w:val="right"/>
              <w:rPr>
                <w:rFonts w:hint="eastAsia"/>
                <w:sz w:val="17"/>
              </w:rPr>
            </w:pPr>
          </w:p>
        </w:tc>
      </w:tr>
      <w:tr w:rsidR="00737B35">
        <w:tblPrEx>
          <w:tblCellMar>
            <w:top w:w="0" w:type="dxa"/>
            <w:bottom w:w="0" w:type="dxa"/>
          </w:tblCellMar>
        </w:tblPrEx>
        <w:trPr>
          <w:jc w:val="center"/>
        </w:trPr>
        <w:tc>
          <w:tcPr>
            <w:tcW w:w="1249"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碾米</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82.2%</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6.5%</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11.3%</w:t>
            </w:r>
          </w:p>
        </w:tc>
      </w:tr>
      <w:tr w:rsidR="00737B35">
        <w:tblPrEx>
          <w:tblCellMar>
            <w:top w:w="0" w:type="dxa"/>
            <w:bottom w:w="0" w:type="dxa"/>
          </w:tblCellMar>
        </w:tblPrEx>
        <w:trPr>
          <w:jc w:val="center"/>
        </w:trPr>
        <w:tc>
          <w:tcPr>
            <w:tcW w:w="1249" w:type="pct"/>
            <w:vAlign w:val="bottom"/>
          </w:tcPr>
          <w:p w:rsidR="00737B35" w:rsidRDefault="00737B35">
            <w:pPr>
              <w:pStyle w:val="Header"/>
              <w:tabs>
                <w:tab w:val="clear" w:pos="4320"/>
                <w:tab w:val="clear" w:pos="8640"/>
                <w:tab w:val="left" w:pos="357"/>
                <w:tab w:val="left" w:pos="714"/>
                <w:tab w:val="left" w:pos="1071"/>
                <w:tab w:val="left" w:pos="1429"/>
              </w:tabs>
              <w:spacing w:after="60" w:line="280" w:lineRule="exact"/>
              <w:ind w:right="40"/>
              <w:jc w:val="both"/>
              <w:rPr>
                <w:rFonts w:hint="eastAsia"/>
                <w:sz w:val="17"/>
              </w:rPr>
            </w:pPr>
            <w:r>
              <w:rPr>
                <w:rFonts w:hint="eastAsia"/>
                <w:sz w:val="17"/>
              </w:rPr>
              <w:t>面条米纸</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2.5%</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97.5%</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p>
        </w:tc>
      </w:tr>
      <w:tr w:rsidR="00737B35">
        <w:tblPrEx>
          <w:tblCellMar>
            <w:top w:w="0" w:type="dxa"/>
            <w:bottom w:w="0" w:type="dxa"/>
          </w:tblCellMar>
        </w:tblPrEx>
        <w:trPr>
          <w:jc w:val="center"/>
        </w:trPr>
        <w:tc>
          <w:tcPr>
            <w:tcW w:w="1249"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食品加工</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6.2%</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93%</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p>
        </w:tc>
      </w:tr>
      <w:tr w:rsidR="00737B35">
        <w:tblPrEx>
          <w:tblCellMar>
            <w:top w:w="0" w:type="dxa"/>
            <w:bottom w:w="0" w:type="dxa"/>
          </w:tblCellMar>
        </w:tblPrEx>
        <w:trPr>
          <w:jc w:val="center"/>
        </w:trPr>
        <w:tc>
          <w:tcPr>
            <w:tcW w:w="1249"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家具</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99.3%</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0.6%</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0.1%</w:t>
            </w:r>
          </w:p>
        </w:tc>
      </w:tr>
      <w:tr w:rsidR="00737B35">
        <w:tblPrEx>
          <w:tblCellMar>
            <w:top w:w="0" w:type="dxa"/>
            <w:bottom w:w="0" w:type="dxa"/>
          </w:tblCellMar>
        </w:tblPrEx>
        <w:trPr>
          <w:jc w:val="center"/>
        </w:trPr>
        <w:tc>
          <w:tcPr>
            <w:tcW w:w="1249"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编织</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1.0%</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97.6%</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1.4%</w:t>
            </w:r>
          </w:p>
        </w:tc>
      </w:tr>
      <w:tr w:rsidR="00737B35">
        <w:tblPrEx>
          <w:tblCellMar>
            <w:top w:w="0" w:type="dxa"/>
            <w:bottom w:w="0" w:type="dxa"/>
          </w:tblCellMar>
        </w:tblPrEx>
        <w:trPr>
          <w:jc w:val="center"/>
        </w:trPr>
        <w:tc>
          <w:tcPr>
            <w:tcW w:w="1249"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金属加工</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100%</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p>
        </w:tc>
      </w:tr>
      <w:tr w:rsidR="00737B35">
        <w:tblPrEx>
          <w:tblCellMar>
            <w:top w:w="0" w:type="dxa"/>
            <w:bottom w:w="0" w:type="dxa"/>
          </w:tblCellMar>
        </w:tblPrEx>
        <w:trPr>
          <w:jc w:val="center"/>
        </w:trPr>
        <w:tc>
          <w:tcPr>
            <w:tcW w:w="1249"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食品出售</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29.4%</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70.6%</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p>
        </w:tc>
      </w:tr>
      <w:tr w:rsidR="00737B35">
        <w:tblPrEx>
          <w:tblCellMar>
            <w:top w:w="0" w:type="dxa"/>
            <w:bottom w:w="0" w:type="dxa"/>
          </w:tblCellMar>
        </w:tblPrEx>
        <w:trPr>
          <w:jc w:val="center"/>
        </w:trPr>
        <w:tc>
          <w:tcPr>
            <w:tcW w:w="1249"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饮料出售</w:t>
            </w:r>
          </w:p>
        </w:tc>
        <w:tc>
          <w:tcPr>
            <w:tcW w:w="1250"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1.1%</w:t>
            </w:r>
          </w:p>
        </w:tc>
        <w:tc>
          <w:tcPr>
            <w:tcW w:w="1250"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95.6%</w:t>
            </w:r>
          </w:p>
        </w:tc>
        <w:tc>
          <w:tcPr>
            <w:tcW w:w="1250"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3.3%</w:t>
            </w:r>
          </w:p>
        </w:tc>
      </w:tr>
    </w:tbl>
    <w:p w:rsidR="00737B35" w:rsidRDefault="00737B35">
      <w:pPr>
        <w:pStyle w:val="SingleTxt"/>
      </w:pPr>
    </w:p>
    <w:p w:rsidR="00737B35" w:rsidRDefault="00737B35">
      <w:pPr>
        <w:pStyle w:val="SingleTxt"/>
        <w:rPr>
          <w:rFonts w:hint="eastAsia"/>
        </w:rPr>
      </w:pPr>
      <w:r>
        <w:tab/>
      </w:r>
      <w:r>
        <w:rPr>
          <w:rFonts w:hint="eastAsia"/>
        </w:rPr>
        <w:t>商业部门由妇女主导，女性与男性的比率是2：1，妇女还主宰着服装和纺织品生产及碾米以外的食品加工。男子主要在木材、金属和其他制造分部门居多。男子拥有的企业的销售额约为女性拥有的企业的两倍。</w:t>
      </w:r>
    </w:p>
    <w:p w:rsidR="00737B35" w:rsidRDefault="00737B35">
      <w:pPr>
        <w:pStyle w:val="SingleTxt"/>
        <w:rPr>
          <w:rFonts w:hint="eastAsia"/>
        </w:rPr>
      </w:pPr>
      <w:r>
        <w:tab/>
      </w:r>
      <w:r>
        <w:rPr>
          <w:rFonts w:hint="eastAsia"/>
        </w:rPr>
        <w:t>一次定性调查（德国技术合作署，1996年）披露，女性拥有的企业多数以家庭为基础，这是因为这种形式在儿童保育方面有灵活性，也因为人们认为这在文化上是可接受的。调查总体上认为这些选定的女性企业看来运作良好并正在进步。妇女为她们为什么创办企业提供了几个原因：</w:t>
      </w:r>
    </w:p>
    <w:p w:rsidR="00737B35" w:rsidRDefault="00737B35">
      <w:pPr>
        <w:pStyle w:val="SingleTxt"/>
        <w:ind w:left="1695"/>
        <w:rPr>
          <w:rFonts w:hint="eastAsia"/>
        </w:rPr>
      </w:pPr>
      <w:r>
        <w:rPr>
          <w:rFonts w:hint="eastAsia"/>
        </w:rPr>
        <w:t>-</w:t>
      </w:r>
      <w:r>
        <w:rPr>
          <w:rFonts w:hint="eastAsia"/>
        </w:rPr>
        <w:tab/>
        <w:t>配偶的政府薪资不足以维持家庭生计；</w:t>
      </w:r>
    </w:p>
    <w:p w:rsidR="00737B35" w:rsidRDefault="00737B35">
      <w:pPr>
        <w:pStyle w:val="SingleTxt"/>
        <w:ind w:left="1695"/>
        <w:rPr>
          <w:rFonts w:hint="eastAsia"/>
        </w:rPr>
      </w:pPr>
      <w:r>
        <w:rPr>
          <w:rFonts w:hint="eastAsia"/>
        </w:rPr>
        <w:t>-</w:t>
      </w:r>
      <w:r>
        <w:rPr>
          <w:rFonts w:hint="eastAsia"/>
        </w:rPr>
        <w:tab/>
        <w:t>女性担任户主，没有别的办法；</w:t>
      </w:r>
    </w:p>
    <w:p w:rsidR="00737B35" w:rsidRDefault="00737B35">
      <w:pPr>
        <w:pStyle w:val="SingleTxt"/>
        <w:ind w:left="1695"/>
        <w:rPr>
          <w:rFonts w:hint="eastAsia"/>
        </w:rPr>
      </w:pPr>
      <w:r>
        <w:rPr>
          <w:rFonts w:hint="eastAsia"/>
        </w:rPr>
        <w:t>-</w:t>
      </w:r>
      <w:r>
        <w:rPr>
          <w:rFonts w:hint="eastAsia"/>
        </w:rPr>
        <w:tab/>
        <w:t>被解职的政府雇员；</w:t>
      </w:r>
    </w:p>
    <w:p w:rsidR="00737B35" w:rsidRDefault="00737B35">
      <w:pPr>
        <w:pStyle w:val="SingleTxt"/>
        <w:ind w:left="1695"/>
        <w:rPr>
          <w:rFonts w:hint="eastAsia"/>
        </w:rPr>
      </w:pPr>
      <w:r>
        <w:rPr>
          <w:rFonts w:hint="eastAsia"/>
        </w:rPr>
        <w:t>-</w:t>
      </w:r>
      <w:r>
        <w:rPr>
          <w:rFonts w:hint="eastAsia"/>
        </w:rPr>
        <w:tab/>
        <w:t>极小规模的买卖和贸易崛起成企业；</w:t>
      </w:r>
    </w:p>
    <w:p w:rsidR="00737B35" w:rsidRDefault="00737B35">
      <w:pPr>
        <w:pStyle w:val="SingleTxt"/>
        <w:ind w:left="1695"/>
        <w:rPr>
          <w:rFonts w:hint="eastAsia"/>
        </w:rPr>
      </w:pPr>
      <w:r>
        <w:rPr>
          <w:rFonts w:hint="eastAsia"/>
        </w:rPr>
        <w:t>-</w:t>
      </w:r>
      <w:r>
        <w:rPr>
          <w:rFonts w:hint="eastAsia"/>
        </w:rPr>
        <w:tab/>
        <w:t>非正规手工技能发展为较大规模的生产。</w:t>
      </w:r>
    </w:p>
    <w:p w:rsidR="00737B35" w:rsidRDefault="00737B35">
      <w:pPr>
        <w:pStyle w:val="SingleTxt"/>
        <w:rPr>
          <w:rFonts w:hint="eastAsia"/>
        </w:rPr>
      </w:pPr>
      <w:r>
        <w:tab/>
      </w:r>
      <w:r>
        <w:rPr>
          <w:rFonts w:hint="eastAsia"/>
        </w:rPr>
        <w:t>在老挝社会中，妇女被认为在家庭外是商业谈判和财务管理的能手。同项调查披露妇女拥有的企业贡献了约一半的家庭收入。</w:t>
      </w:r>
    </w:p>
    <w:p w:rsidR="00737B35" w:rsidRDefault="00737B35">
      <w:pPr>
        <w:pStyle w:val="SingleTxt"/>
        <w:rPr>
          <w:rFonts w:hint="eastAsia"/>
        </w:rPr>
      </w:pPr>
      <w:r>
        <w:tab/>
      </w:r>
      <w:r>
        <w:rPr>
          <w:rFonts w:hint="eastAsia"/>
        </w:rPr>
        <w:t>老挝共和国政府认识到小型商业企业显然为妇女能力的提高和机遇开辟了新的渠道，并给其家庭增加了收入。老挝妇女联盟正在与女企业家联手执行一个更大的叫做“促进妇女参加经济发展和减轻贫困”的方案，以便增强妇女的职业技能并使她们有更好的机会获得创收贷款和使妇女更好地了解她们的合法权利。</w:t>
      </w:r>
    </w:p>
    <w:p w:rsidR="00737B35" w:rsidRDefault="00737B35">
      <w:pPr>
        <w:pStyle w:val="SingleTxt"/>
        <w:rPr>
          <w:rFonts w:hint="eastAsia"/>
        </w:rPr>
      </w:pPr>
      <w:r>
        <w:tab/>
      </w:r>
      <w:r>
        <w:rPr>
          <w:rFonts w:hint="eastAsia"/>
        </w:rPr>
        <w:t>然而在企业领导人和管理者队伍中，妇女仍处于弱势地位。全国工商联合会估计私营企业中11％的资深决策者是妇女，而且她们的薪资只有男性管理者的一半。</w:t>
      </w:r>
    </w:p>
    <w:p w:rsidR="00737B35" w:rsidRDefault="00737B35">
      <w:pPr>
        <w:pStyle w:val="SingleTxt"/>
        <w:rPr>
          <w:rFonts w:ascii="SimHei" w:eastAsia="SimHei"/>
          <w:color w:val="FF0000"/>
        </w:rPr>
      </w:pPr>
      <w:r>
        <w:rPr>
          <w:rFonts w:ascii="SimHei" w:eastAsia="SimHei" w:hint="eastAsia"/>
          <w:color w:val="FF0000"/>
        </w:rPr>
        <w:t>老挝共和国按性别列示的企业领导人，1993年</w:t>
      </w:r>
      <w:r>
        <w:rPr>
          <w:rStyle w:val="FootnoteReference"/>
          <w:rFonts w:ascii="SimHei" w:eastAsia="SimHei"/>
        </w:rPr>
        <w:footnoteReference w:id="2"/>
      </w:r>
    </w:p>
    <w:tbl>
      <w:tblPr>
        <w:tblW w:w="3636" w:type="pct"/>
        <w:jc w:val="center"/>
        <w:tblLook w:val="0000" w:firstRow="0" w:lastRow="0" w:firstColumn="0" w:lastColumn="0" w:noHBand="0" w:noVBand="0"/>
      </w:tblPr>
      <w:tblGrid>
        <w:gridCol w:w="2418"/>
        <w:gridCol w:w="1243"/>
        <w:gridCol w:w="1830"/>
        <w:gridCol w:w="1830"/>
      </w:tblGrid>
      <w:tr w:rsidR="00737B35">
        <w:tblPrEx>
          <w:tblCellMar>
            <w:top w:w="0" w:type="dxa"/>
            <w:bottom w:w="0" w:type="dxa"/>
          </w:tblCellMar>
        </w:tblPrEx>
        <w:trPr>
          <w:tblHeader/>
          <w:jc w:val="center"/>
        </w:trPr>
        <w:tc>
          <w:tcPr>
            <w:tcW w:w="1651" w:type="pct"/>
            <w:tcBorders>
              <w:top w:val="single" w:sz="2" w:space="0" w:color="auto"/>
              <w:bottom w:val="single" w:sz="12" w:space="0" w:color="auto"/>
            </w:tcBorders>
            <w:vAlign w:val="bottom"/>
          </w:tcPr>
          <w:p w:rsidR="00737B35" w:rsidRDefault="00737B35">
            <w:pPr>
              <w:spacing w:before="60" w:after="60" w:line="240" w:lineRule="exact"/>
              <w:ind w:right="40"/>
              <w:jc w:val="center"/>
              <w:rPr>
                <w:rFonts w:eastAsia="KaiTi_GB2312" w:hint="eastAsia"/>
                <w:color w:val="0000FF"/>
                <w:sz w:val="14"/>
              </w:rPr>
            </w:pPr>
          </w:p>
        </w:tc>
        <w:tc>
          <w:tcPr>
            <w:tcW w:w="849"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男</w:t>
            </w:r>
          </w:p>
        </w:tc>
        <w:tc>
          <w:tcPr>
            <w:tcW w:w="1250"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女</w:t>
            </w:r>
          </w:p>
        </w:tc>
        <w:tc>
          <w:tcPr>
            <w:tcW w:w="1250"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合计</w:t>
            </w:r>
          </w:p>
        </w:tc>
      </w:tr>
      <w:tr w:rsidR="00737B35">
        <w:tblPrEx>
          <w:tblCellMar>
            <w:top w:w="0" w:type="dxa"/>
            <w:bottom w:w="0" w:type="dxa"/>
          </w:tblCellMar>
        </w:tblPrEx>
        <w:trPr>
          <w:trHeight w:hRule="exact" w:val="115"/>
          <w:tblHeader/>
          <w:jc w:val="center"/>
        </w:trPr>
        <w:tc>
          <w:tcPr>
            <w:tcW w:w="1651" w:type="pct"/>
            <w:tcBorders>
              <w:top w:val="single" w:sz="12" w:space="0" w:color="auto"/>
            </w:tcBorders>
            <w:vAlign w:val="bottom"/>
          </w:tcPr>
          <w:p w:rsidR="00737B35" w:rsidRDefault="00737B35">
            <w:pPr>
              <w:spacing w:after="60" w:line="280" w:lineRule="exact"/>
              <w:ind w:right="40"/>
              <w:rPr>
                <w:rFonts w:hint="eastAsia"/>
                <w:sz w:val="17"/>
              </w:rPr>
            </w:pPr>
          </w:p>
        </w:tc>
        <w:tc>
          <w:tcPr>
            <w:tcW w:w="849" w:type="pct"/>
            <w:tcBorders>
              <w:top w:val="single" w:sz="12" w:space="0" w:color="auto"/>
            </w:tcBorders>
            <w:vAlign w:val="bottom"/>
          </w:tcPr>
          <w:p w:rsidR="00737B35" w:rsidRDefault="00737B35">
            <w:pPr>
              <w:spacing w:after="60" w:line="280" w:lineRule="exact"/>
              <w:ind w:right="40"/>
              <w:jc w:val="right"/>
              <w:rPr>
                <w:rFonts w:hint="eastAsia"/>
                <w:sz w:val="17"/>
              </w:rPr>
            </w:pPr>
          </w:p>
        </w:tc>
        <w:tc>
          <w:tcPr>
            <w:tcW w:w="1250" w:type="pct"/>
            <w:tcBorders>
              <w:top w:val="single" w:sz="12" w:space="0" w:color="auto"/>
            </w:tcBorders>
            <w:vAlign w:val="bottom"/>
          </w:tcPr>
          <w:p w:rsidR="00737B35" w:rsidRDefault="00737B35">
            <w:pPr>
              <w:spacing w:after="60" w:line="280" w:lineRule="exact"/>
              <w:ind w:right="40"/>
              <w:jc w:val="right"/>
              <w:rPr>
                <w:rFonts w:hint="eastAsia"/>
                <w:sz w:val="17"/>
              </w:rPr>
            </w:pPr>
          </w:p>
        </w:tc>
        <w:tc>
          <w:tcPr>
            <w:tcW w:w="1250" w:type="pct"/>
            <w:tcBorders>
              <w:top w:val="single" w:sz="12" w:space="0" w:color="auto"/>
            </w:tcBorders>
            <w:vAlign w:val="bottom"/>
          </w:tcPr>
          <w:p w:rsidR="00737B35" w:rsidRDefault="00737B35">
            <w:pPr>
              <w:spacing w:after="60" w:line="280" w:lineRule="exact"/>
              <w:ind w:right="40"/>
              <w:jc w:val="right"/>
              <w:rPr>
                <w:rFonts w:hint="eastAsia"/>
                <w:sz w:val="17"/>
              </w:rPr>
            </w:pPr>
          </w:p>
        </w:tc>
      </w:tr>
      <w:tr w:rsidR="00737B35">
        <w:tblPrEx>
          <w:tblCellMar>
            <w:top w:w="0" w:type="dxa"/>
            <w:bottom w:w="0" w:type="dxa"/>
          </w:tblCellMar>
        </w:tblPrEx>
        <w:trPr>
          <w:jc w:val="center"/>
        </w:trPr>
        <w:tc>
          <w:tcPr>
            <w:tcW w:w="1651"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老挝全国工商联合会理事会</w:t>
            </w:r>
          </w:p>
        </w:tc>
        <w:tc>
          <w:tcPr>
            <w:tcW w:w="849"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11</w:t>
            </w:r>
          </w:p>
        </w:tc>
        <w:tc>
          <w:tcPr>
            <w:tcW w:w="1250"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1</w:t>
            </w:r>
          </w:p>
        </w:tc>
        <w:tc>
          <w:tcPr>
            <w:tcW w:w="1250"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12</w:t>
            </w:r>
          </w:p>
        </w:tc>
      </w:tr>
      <w:tr w:rsidR="00737B35">
        <w:tblPrEx>
          <w:tblCellMar>
            <w:top w:w="0" w:type="dxa"/>
            <w:bottom w:w="0" w:type="dxa"/>
          </w:tblCellMar>
        </w:tblPrEx>
        <w:trPr>
          <w:jc w:val="center"/>
        </w:trPr>
        <w:tc>
          <w:tcPr>
            <w:tcW w:w="1651"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贸易和服务部门</w:t>
            </w:r>
          </w:p>
        </w:tc>
        <w:tc>
          <w:tcPr>
            <w:tcW w:w="849"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39</w:t>
            </w:r>
          </w:p>
        </w:tc>
        <w:tc>
          <w:tcPr>
            <w:tcW w:w="1250"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2</w:t>
            </w:r>
          </w:p>
        </w:tc>
        <w:tc>
          <w:tcPr>
            <w:tcW w:w="1250"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41</w:t>
            </w:r>
          </w:p>
        </w:tc>
      </w:tr>
      <w:tr w:rsidR="00737B35">
        <w:tblPrEx>
          <w:tblCellMar>
            <w:top w:w="0" w:type="dxa"/>
            <w:bottom w:w="0" w:type="dxa"/>
          </w:tblCellMar>
        </w:tblPrEx>
        <w:trPr>
          <w:jc w:val="center"/>
        </w:trPr>
        <w:tc>
          <w:tcPr>
            <w:tcW w:w="1651"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工业、手工业和农业部门</w:t>
            </w:r>
          </w:p>
        </w:tc>
        <w:tc>
          <w:tcPr>
            <w:tcW w:w="849"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26</w:t>
            </w:r>
          </w:p>
        </w:tc>
        <w:tc>
          <w:tcPr>
            <w:tcW w:w="1250"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3</w:t>
            </w:r>
          </w:p>
        </w:tc>
        <w:tc>
          <w:tcPr>
            <w:tcW w:w="1250"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29</w:t>
            </w:r>
          </w:p>
        </w:tc>
      </w:tr>
      <w:tr w:rsidR="00737B35">
        <w:tblPrEx>
          <w:tblCellMar>
            <w:top w:w="0" w:type="dxa"/>
            <w:bottom w:w="0" w:type="dxa"/>
          </w:tblCellMar>
        </w:tblPrEx>
        <w:trPr>
          <w:jc w:val="center"/>
        </w:trPr>
        <w:tc>
          <w:tcPr>
            <w:tcW w:w="1651"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进口部门</w:t>
            </w:r>
          </w:p>
        </w:tc>
        <w:tc>
          <w:tcPr>
            <w:tcW w:w="849"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28</w:t>
            </w:r>
          </w:p>
        </w:tc>
        <w:tc>
          <w:tcPr>
            <w:tcW w:w="1250"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4</w:t>
            </w:r>
          </w:p>
        </w:tc>
        <w:tc>
          <w:tcPr>
            <w:tcW w:w="1250"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32</w:t>
            </w:r>
          </w:p>
        </w:tc>
      </w:tr>
      <w:tr w:rsidR="00737B35">
        <w:tblPrEx>
          <w:tblCellMar>
            <w:top w:w="0" w:type="dxa"/>
            <w:bottom w:w="0" w:type="dxa"/>
          </w:tblCellMar>
        </w:tblPrEx>
        <w:trPr>
          <w:jc w:val="center"/>
        </w:trPr>
        <w:tc>
          <w:tcPr>
            <w:tcW w:w="1651"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服装和纺织品制造部门</w:t>
            </w:r>
          </w:p>
        </w:tc>
        <w:tc>
          <w:tcPr>
            <w:tcW w:w="849"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15</w:t>
            </w:r>
          </w:p>
        </w:tc>
        <w:tc>
          <w:tcPr>
            <w:tcW w:w="1250"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5</w:t>
            </w:r>
          </w:p>
        </w:tc>
        <w:tc>
          <w:tcPr>
            <w:tcW w:w="1250"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20</w:t>
            </w:r>
          </w:p>
        </w:tc>
      </w:tr>
      <w:tr w:rsidR="00737B35">
        <w:tblPrEx>
          <w:tblCellMar>
            <w:top w:w="0" w:type="dxa"/>
            <w:bottom w:w="0" w:type="dxa"/>
          </w:tblCellMar>
        </w:tblPrEx>
        <w:trPr>
          <w:jc w:val="center"/>
        </w:trPr>
        <w:tc>
          <w:tcPr>
            <w:tcW w:w="1651"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咨询</w:t>
            </w:r>
          </w:p>
        </w:tc>
        <w:tc>
          <w:tcPr>
            <w:tcW w:w="849"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10</w:t>
            </w:r>
          </w:p>
        </w:tc>
        <w:tc>
          <w:tcPr>
            <w:tcW w:w="1250"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1</w:t>
            </w:r>
          </w:p>
        </w:tc>
        <w:tc>
          <w:tcPr>
            <w:tcW w:w="1250"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11</w:t>
            </w:r>
          </w:p>
        </w:tc>
      </w:tr>
      <w:tr w:rsidR="00737B35">
        <w:tblPrEx>
          <w:tblCellMar>
            <w:top w:w="0" w:type="dxa"/>
            <w:bottom w:w="0" w:type="dxa"/>
          </w:tblCellMar>
        </w:tblPrEx>
        <w:trPr>
          <w:jc w:val="center"/>
        </w:trPr>
        <w:tc>
          <w:tcPr>
            <w:tcW w:w="1651"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建筑</w:t>
            </w:r>
          </w:p>
        </w:tc>
        <w:tc>
          <w:tcPr>
            <w:tcW w:w="849"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9</w:t>
            </w:r>
          </w:p>
        </w:tc>
        <w:tc>
          <w:tcPr>
            <w:tcW w:w="1250"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0</w:t>
            </w:r>
          </w:p>
        </w:tc>
        <w:tc>
          <w:tcPr>
            <w:tcW w:w="1250"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9</w:t>
            </w:r>
          </w:p>
        </w:tc>
      </w:tr>
      <w:tr w:rsidR="00737B35">
        <w:tblPrEx>
          <w:tblCellMar>
            <w:top w:w="0" w:type="dxa"/>
            <w:bottom w:w="0" w:type="dxa"/>
          </w:tblCellMar>
        </w:tblPrEx>
        <w:trPr>
          <w:jc w:val="center"/>
        </w:trPr>
        <w:tc>
          <w:tcPr>
            <w:tcW w:w="1651" w:type="pct"/>
            <w:tcBorders>
              <w:bottom w:val="single" w:sz="12" w:space="0" w:color="auto"/>
            </w:tcBorders>
            <w:vAlign w:val="bottom"/>
          </w:tcPr>
          <w:p w:rsidR="00737B35" w:rsidRDefault="00737B35">
            <w:pPr>
              <w:pStyle w:val="Header"/>
              <w:tabs>
                <w:tab w:val="clear" w:pos="4320"/>
                <w:tab w:val="clear" w:pos="8640"/>
                <w:tab w:val="left" w:pos="357"/>
                <w:tab w:val="left" w:pos="714"/>
                <w:tab w:val="left" w:pos="1071"/>
                <w:tab w:val="left" w:pos="1429"/>
              </w:tabs>
              <w:spacing w:after="60" w:line="280" w:lineRule="exact"/>
              <w:ind w:right="40"/>
              <w:jc w:val="both"/>
              <w:rPr>
                <w:rFonts w:hint="eastAsia"/>
                <w:sz w:val="17"/>
              </w:rPr>
            </w:pPr>
            <w:r>
              <w:rPr>
                <w:rFonts w:hint="eastAsia"/>
                <w:sz w:val="17"/>
              </w:rPr>
              <w:t>旅游、餐馆、旅馆</w:t>
            </w:r>
          </w:p>
        </w:tc>
        <w:tc>
          <w:tcPr>
            <w:tcW w:w="849"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9</w:t>
            </w:r>
          </w:p>
        </w:tc>
        <w:tc>
          <w:tcPr>
            <w:tcW w:w="1250"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2</w:t>
            </w:r>
          </w:p>
        </w:tc>
        <w:tc>
          <w:tcPr>
            <w:tcW w:w="1250"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11</w:t>
            </w:r>
          </w:p>
        </w:tc>
      </w:tr>
    </w:tbl>
    <w:p w:rsidR="00737B35" w:rsidRDefault="00737B35">
      <w:pPr>
        <w:pStyle w:val="SingleTxt"/>
      </w:pPr>
    </w:p>
    <w:p w:rsidR="00737B35" w:rsidRDefault="00737B35">
      <w:pPr>
        <w:pStyle w:val="SingleTxt"/>
        <w:rPr>
          <w:rFonts w:ascii="SimHei" w:eastAsia="SimHei" w:hint="eastAsia"/>
          <w:color w:val="FF0000"/>
        </w:rPr>
      </w:pPr>
      <w:r>
        <w:rPr>
          <w:rFonts w:ascii="SimHei" w:eastAsia="SimHei" w:hint="eastAsia"/>
          <w:color w:val="FF0000"/>
        </w:rPr>
        <w:t>在工业部门从业的妇女</w:t>
      </w:r>
    </w:p>
    <w:p w:rsidR="00737B35" w:rsidRDefault="00737B35">
      <w:pPr>
        <w:pStyle w:val="SingleTxt"/>
        <w:rPr>
          <w:rFonts w:hint="eastAsia"/>
        </w:rPr>
      </w:pPr>
      <w:r>
        <w:tab/>
      </w:r>
      <w:r>
        <w:rPr>
          <w:rFonts w:hint="eastAsia"/>
        </w:rPr>
        <w:t>快速增长的服装业已成为第二大出口部门，而且吸收的城市女劳力最多。50个企业中大多数是外方和老方合资的中小企业。1.5万名工人中，95％以上为教育程度很低的年轻农村妇女（亚银，1996年）。</w:t>
      </w:r>
    </w:p>
    <w:p w:rsidR="00737B35" w:rsidRDefault="00737B35">
      <w:pPr>
        <w:pStyle w:val="SingleTxt"/>
        <w:rPr>
          <w:rFonts w:hint="eastAsia"/>
        </w:rPr>
      </w:pPr>
      <w:r>
        <w:tab/>
      </w:r>
      <w:r>
        <w:rPr>
          <w:rFonts w:hint="eastAsia"/>
        </w:rPr>
        <w:t>政府关注服装厂中这些年轻妇女的情况，因为她们对《劳动法》赋予的权利的了解非常有限。政府已组成了一个部际工作组促进服装工业工作条件的改善和提高纺织工人对于她们在工作场所的权利的认识（城市劳动调查，1994年；亚银，1996年）。</w:t>
      </w:r>
    </w:p>
    <w:p w:rsidR="00737B35" w:rsidRDefault="00737B35">
      <w:pPr>
        <w:pStyle w:val="SingleTxt"/>
        <w:rPr>
          <w:rFonts w:ascii="SimHei" w:eastAsia="SimHei" w:hint="eastAsia"/>
          <w:color w:val="FF0000"/>
        </w:rPr>
      </w:pPr>
      <w:r>
        <w:rPr>
          <w:rFonts w:ascii="SimHei" w:eastAsia="SimHei" w:hint="eastAsia"/>
          <w:color w:val="FF0000"/>
        </w:rPr>
        <w:t>在政府系统工作的妇女</w:t>
      </w:r>
    </w:p>
    <w:p w:rsidR="00737B35" w:rsidRDefault="00737B35">
      <w:pPr>
        <w:pStyle w:val="SingleTxt"/>
        <w:rPr>
          <w:rFonts w:hint="eastAsia"/>
        </w:rPr>
      </w:pPr>
      <w:r>
        <w:tab/>
      </w:r>
      <w:r>
        <w:rPr>
          <w:rFonts w:hint="eastAsia"/>
        </w:rPr>
        <w:t>农业之外，政府系统是妇女就业的第二大渠道。1988和1991年，公务员系统的改组使妇女就业率的下降幅度超过了男子的幅度。不幸的是，在精简期间，公务员系统丧失了众多有才智的熟练女专业人员。这种倾向加剧了公务员系统的性别失衡程度，削弱了妇女在发展规划和执行中的影响力，并减少了妇女作为女孩行为榜样的人数（儿童基金会，1996年）。</w:t>
      </w:r>
    </w:p>
    <w:p w:rsidR="00737B35" w:rsidRDefault="00737B35">
      <w:pPr>
        <w:pStyle w:val="SingleTxt"/>
        <w:rPr>
          <w:rFonts w:hint="eastAsia"/>
        </w:rPr>
      </w:pPr>
      <w:r>
        <w:tab/>
      </w:r>
      <w:r>
        <w:rPr>
          <w:rFonts w:hint="eastAsia"/>
        </w:rPr>
        <w:t>根据1995年的人口普查，130 500名国家雇员中，27％是妇女。1999年，有19名妇女担任局长级职务，46名妇女担任副局长职务，236名妇女担任公务员系统的处长（政府公共行政改革，2000年）。</w:t>
      </w:r>
    </w:p>
    <w:p w:rsidR="00737B35" w:rsidRDefault="00737B35">
      <w:pPr>
        <w:pStyle w:val="SingleTxt"/>
        <w:rPr>
          <w:rFonts w:hint="eastAsia"/>
        </w:rPr>
      </w:pPr>
      <w:r>
        <w:tab/>
      </w:r>
      <w:r>
        <w:rPr>
          <w:rFonts w:hint="eastAsia"/>
        </w:rPr>
        <w:t>仍然留在公务员系统的专业妇女继续面对着性别偏见。工作安排并不经常与女雇员的资格条件相匹配，而这随之影响年轻妇女的专业选择。年轻妇女不想学习理科或工程，因为与同等教育程度的男同事相比，她们在许多领域面临不平等的就业机会和有限的升迁可能性（亚银，1996年）。</w:t>
      </w:r>
    </w:p>
    <w:p w:rsidR="00737B35" w:rsidRDefault="00737B35">
      <w:pPr>
        <w:pStyle w:val="SingleTxt"/>
        <w:rPr>
          <w:rFonts w:hint="eastAsia"/>
        </w:rPr>
      </w:pPr>
      <w:r>
        <w:tab/>
      </w:r>
      <w:r>
        <w:rPr>
          <w:rFonts w:hint="eastAsia"/>
        </w:rPr>
        <w:t>在学术专业中还有一些男性占据主导地位的专业。</w:t>
      </w:r>
    </w:p>
    <w:p w:rsidR="00737B35" w:rsidRDefault="00737B35">
      <w:pPr>
        <w:pStyle w:val="SingleTxt"/>
        <w:rPr>
          <w:rFonts w:ascii="SimHei" w:eastAsia="SimHei" w:hint="eastAsia"/>
          <w:color w:val="FF0000"/>
        </w:rPr>
      </w:pPr>
      <w:r>
        <w:rPr>
          <w:rFonts w:ascii="SimHei" w:eastAsia="SimHei" w:hint="eastAsia"/>
          <w:color w:val="FF0000"/>
        </w:rPr>
        <w:t>1995年人口普查中按性别分类的受雇人员</w:t>
      </w:r>
    </w:p>
    <w:tbl>
      <w:tblPr>
        <w:tblW w:w="3636" w:type="pct"/>
        <w:jc w:val="center"/>
        <w:tblLook w:val="0000" w:firstRow="0" w:lastRow="0" w:firstColumn="0" w:lastColumn="0" w:noHBand="0" w:noVBand="0"/>
      </w:tblPr>
      <w:tblGrid>
        <w:gridCol w:w="2440"/>
        <w:gridCol w:w="2440"/>
        <w:gridCol w:w="2441"/>
      </w:tblGrid>
      <w:tr w:rsidR="00737B35">
        <w:tblPrEx>
          <w:tblCellMar>
            <w:top w:w="0" w:type="dxa"/>
            <w:bottom w:w="0" w:type="dxa"/>
          </w:tblCellMar>
        </w:tblPrEx>
        <w:trPr>
          <w:tblHeader/>
          <w:jc w:val="center"/>
        </w:trPr>
        <w:tc>
          <w:tcPr>
            <w:tcW w:w="1666" w:type="pct"/>
            <w:tcBorders>
              <w:top w:val="single" w:sz="2" w:space="0" w:color="auto"/>
              <w:bottom w:val="single" w:sz="12" w:space="0" w:color="auto"/>
            </w:tcBorders>
            <w:vAlign w:val="bottom"/>
          </w:tcPr>
          <w:p w:rsidR="00737B35" w:rsidRDefault="00737B35">
            <w:pPr>
              <w:spacing w:before="60" w:after="60" w:line="240" w:lineRule="exact"/>
              <w:ind w:right="40"/>
              <w:rPr>
                <w:rFonts w:eastAsia="KaiTi_GB2312" w:hint="eastAsia"/>
                <w:color w:val="0000FF"/>
                <w:sz w:val="14"/>
              </w:rPr>
            </w:pPr>
            <w:r>
              <w:rPr>
                <w:rFonts w:eastAsia="KaiTi_GB2312" w:hint="eastAsia"/>
                <w:color w:val="0000FF"/>
                <w:sz w:val="14"/>
              </w:rPr>
              <w:t>职业</w:t>
            </w:r>
          </w:p>
        </w:tc>
        <w:tc>
          <w:tcPr>
            <w:tcW w:w="1666"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男</w:t>
            </w:r>
          </w:p>
        </w:tc>
        <w:tc>
          <w:tcPr>
            <w:tcW w:w="1667"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女</w:t>
            </w:r>
          </w:p>
        </w:tc>
      </w:tr>
      <w:tr w:rsidR="00737B35">
        <w:tblPrEx>
          <w:tblCellMar>
            <w:top w:w="0" w:type="dxa"/>
            <w:bottom w:w="0" w:type="dxa"/>
          </w:tblCellMar>
        </w:tblPrEx>
        <w:trPr>
          <w:trHeight w:hRule="exact" w:val="115"/>
          <w:tblHeader/>
          <w:jc w:val="center"/>
        </w:trPr>
        <w:tc>
          <w:tcPr>
            <w:tcW w:w="1666" w:type="pct"/>
            <w:tcBorders>
              <w:top w:val="single" w:sz="12" w:space="0" w:color="auto"/>
            </w:tcBorders>
            <w:vAlign w:val="bottom"/>
          </w:tcPr>
          <w:p w:rsidR="00737B35" w:rsidRDefault="00737B35">
            <w:pPr>
              <w:spacing w:after="60" w:line="280" w:lineRule="exact"/>
              <w:ind w:right="40"/>
              <w:rPr>
                <w:rFonts w:hint="eastAsia"/>
                <w:sz w:val="17"/>
              </w:rPr>
            </w:pPr>
          </w:p>
        </w:tc>
        <w:tc>
          <w:tcPr>
            <w:tcW w:w="1666" w:type="pct"/>
            <w:tcBorders>
              <w:top w:val="single" w:sz="12" w:space="0" w:color="auto"/>
            </w:tcBorders>
            <w:vAlign w:val="bottom"/>
          </w:tcPr>
          <w:p w:rsidR="00737B35" w:rsidRDefault="00737B35">
            <w:pPr>
              <w:spacing w:after="60" w:line="280" w:lineRule="exact"/>
              <w:ind w:right="40"/>
              <w:jc w:val="right"/>
              <w:rPr>
                <w:rFonts w:hint="eastAsia"/>
                <w:sz w:val="17"/>
              </w:rPr>
            </w:pPr>
          </w:p>
        </w:tc>
        <w:tc>
          <w:tcPr>
            <w:tcW w:w="1667" w:type="pct"/>
            <w:tcBorders>
              <w:top w:val="single" w:sz="12" w:space="0" w:color="auto"/>
            </w:tcBorders>
            <w:vAlign w:val="bottom"/>
          </w:tcPr>
          <w:p w:rsidR="00737B35" w:rsidRDefault="00737B35">
            <w:pPr>
              <w:spacing w:after="60" w:line="280" w:lineRule="exact"/>
              <w:ind w:right="40"/>
              <w:jc w:val="right"/>
              <w:rPr>
                <w:rFonts w:hint="eastAsia"/>
                <w:sz w:val="17"/>
              </w:rPr>
            </w:pP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议员和高级官员</w:t>
            </w:r>
          </w:p>
        </w:tc>
        <w:tc>
          <w:tcPr>
            <w:tcW w:w="1666"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5 167</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94</w:t>
            </w:r>
          </w:p>
        </w:tc>
      </w:tr>
      <w:tr w:rsidR="00737B35">
        <w:tblPrEx>
          <w:tblCellMar>
            <w:top w:w="0" w:type="dxa"/>
            <w:bottom w:w="0" w:type="dxa"/>
          </w:tblCellMar>
        </w:tblPrEx>
        <w:trPr>
          <w:jc w:val="center"/>
        </w:trPr>
        <w:tc>
          <w:tcPr>
            <w:tcW w:w="1666"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工程</w:t>
            </w:r>
          </w:p>
        </w:tc>
        <w:tc>
          <w:tcPr>
            <w:tcW w:w="1666" w:type="pct"/>
            <w:tcBorders>
              <w:bottom w:val="single" w:sz="12" w:space="0" w:color="auto"/>
            </w:tcBorders>
            <w:vAlign w:val="bottom"/>
          </w:tcPr>
          <w:p w:rsidR="00737B35" w:rsidRDefault="00737B35">
            <w:pPr>
              <w:pStyle w:val="Header"/>
              <w:tabs>
                <w:tab w:val="clear" w:pos="4320"/>
                <w:tab w:val="clear" w:pos="8640"/>
                <w:tab w:val="left" w:pos="357"/>
                <w:tab w:val="left" w:pos="714"/>
                <w:tab w:val="left" w:pos="1071"/>
                <w:tab w:val="left" w:pos="1429"/>
              </w:tabs>
              <w:spacing w:after="60" w:line="280" w:lineRule="exact"/>
              <w:ind w:right="40"/>
              <w:jc w:val="right"/>
              <w:rPr>
                <w:rFonts w:hint="eastAsia"/>
                <w:sz w:val="17"/>
              </w:rPr>
            </w:pPr>
            <w:r>
              <w:rPr>
                <w:rFonts w:hint="eastAsia"/>
                <w:sz w:val="17"/>
              </w:rPr>
              <w:t>3 257</w:t>
            </w:r>
          </w:p>
        </w:tc>
        <w:tc>
          <w:tcPr>
            <w:tcW w:w="1667"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522</w:t>
            </w:r>
          </w:p>
        </w:tc>
      </w:tr>
    </w:tbl>
    <w:p w:rsidR="00737B35" w:rsidRDefault="00737B35">
      <w:pPr>
        <w:pStyle w:val="SingleTxt"/>
      </w:pPr>
    </w:p>
    <w:p w:rsidR="00737B35" w:rsidRDefault="00737B35">
      <w:pPr>
        <w:pStyle w:val="SingleTxt"/>
        <w:rPr>
          <w:rFonts w:hint="eastAsia"/>
        </w:rPr>
      </w:pPr>
      <w:r>
        <w:tab/>
      </w:r>
      <w:r>
        <w:rPr>
          <w:rFonts w:hint="eastAsia"/>
        </w:rPr>
        <w:t>在老挝妇女联盟1993至1995年组织的一系列部长级会议上，在公营部门工作的妇女说，她们希望为在公营部门工作的雇员组织提高性别认识的活动。老挝妇女联盟正在解决这个紧迫的问题，目前正在不同的部组织性别培训。</w:t>
      </w:r>
    </w:p>
    <w:p w:rsidR="00737B35" w:rsidRDefault="00737B35">
      <w:pPr>
        <w:pStyle w:val="SingleTxt"/>
        <w:rPr>
          <w:rFonts w:hint="eastAsia"/>
        </w:rPr>
      </w:pPr>
      <w:r>
        <w:tab/>
      </w:r>
      <w:r>
        <w:rPr>
          <w:rFonts w:hint="eastAsia"/>
        </w:rPr>
        <w:t>老挝共和国政府对于因公务员系统妇女提升缺乏足够的渠道而丧失对国家发展至关重要的此类人才资源感到非常关切。目前公务员系统的高级官员中只有6％是妇女。在自1997年以来执行的公共行政改革项目的三方审查会议上，政府强调了制定一项政策推动更多妇女参加公共行政的重要性。会议指出应将性别问题列入公务员制度改革行动计划，但它也指出，由于更广泛的社会经济和文化问题，事实证明执行起来可能会有难度。会议还提出，公共行政改革应与老挝妇女联盟密切配合以解决问题。会议建议推动妇女参加地方一级行政的第一步将是在整个公务员系统进行一次关于妇女培训、技能水平、参与和保留率等的调查。</w:t>
      </w:r>
    </w:p>
    <w:p w:rsidR="00737B35" w:rsidRDefault="00737B35">
      <w:pPr>
        <w:pStyle w:val="SingleTxt"/>
        <w:rPr>
          <w:rFonts w:ascii="SimHei" w:eastAsia="SimHei" w:hint="eastAsia"/>
          <w:color w:val="FF0000"/>
        </w:rPr>
      </w:pPr>
      <w:r>
        <w:rPr>
          <w:rFonts w:ascii="SimHei" w:eastAsia="SimHei" w:hint="eastAsia"/>
          <w:color w:val="FF0000"/>
        </w:rPr>
        <w:t>孕产妇福利和儿童保育</w:t>
      </w:r>
    </w:p>
    <w:p w:rsidR="00737B35" w:rsidRDefault="00737B35">
      <w:pPr>
        <w:pStyle w:val="SingleTxt"/>
        <w:rPr>
          <w:rFonts w:hint="eastAsia"/>
        </w:rPr>
      </w:pPr>
      <w:r>
        <w:tab/>
      </w:r>
      <w:r>
        <w:rPr>
          <w:rFonts w:hint="eastAsia"/>
        </w:rPr>
        <w:t>《劳动法》（1994年）第34条指出“雇主不得雇用妇女在其怀孕期间或分娩后6个月期间从事下列任何工作：提升或搬运重物；干需要长时间站立的工作。在此种情况下，雇主应安排女工干其他临时工作。在干这些临时工作时，有关工人应继续领取其正常的薪金或工资，最多为期3个月，之后应按新工作向她们支付薪金或工资。雇主不得雇用怀孕妇女或不满12个月的子女的妇女加班或在周休息日的夜间工作。”</w:t>
      </w:r>
    </w:p>
    <w:p w:rsidR="00737B35" w:rsidRDefault="00737B35">
      <w:pPr>
        <w:pStyle w:val="SingleTxt"/>
        <w:spacing w:line="340" w:lineRule="exact"/>
        <w:rPr>
          <w:rFonts w:hint="eastAsia"/>
        </w:rPr>
      </w:pPr>
      <w:r>
        <w:tab/>
      </w:r>
      <w:r>
        <w:rPr>
          <w:rFonts w:hint="eastAsia"/>
        </w:rPr>
        <w:t>《劳动法》（1994年）第35条指出“分娩之前或之后，女工应有权享受至少90天的产假，正常工资由雇主发给，或从社会保障基金领取，如果已向这种基金全额缴纳了费用。此种产假应包括至少42天产后假。在分娩后的12个月中，女工应有权每天工休一小时喂养或照看其子女，如果她们将子女放在托儿所或带到了工作场所。”妇女还有权领取政府按照《劳动法》（1994年）第36条规定对生育子女确定的相当于至少60％最低工资的一次性现金福利。</w:t>
      </w:r>
    </w:p>
    <w:p w:rsidR="00737B35" w:rsidRDefault="00737B35">
      <w:pPr>
        <w:pStyle w:val="SingleTxt"/>
        <w:spacing w:line="340" w:lineRule="exact"/>
        <w:rPr>
          <w:rFonts w:hint="eastAsia"/>
        </w:rPr>
      </w:pPr>
      <w:r>
        <w:tab/>
      </w:r>
      <w:r>
        <w:rPr>
          <w:rFonts w:hint="eastAsia"/>
        </w:rPr>
        <w:t>在老挝农村地区，一种传统的“Yu Kam”是产后妇女休息和产后康复的历史悠久的传统做法。这个时期的长短并不一致，视特定民族群体的传统而定。一般说，所有民族群体的母亲在婴儿分娩后至少都要全休一个月（儿童基金会，1994年）。城市地区的妇女，特别是在国有部门，能够更好地受益于《劳动法》准予她们的带薪产假。</w:t>
      </w:r>
    </w:p>
    <w:p w:rsidR="00737B35" w:rsidRDefault="00737B35">
      <w:pPr>
        <w:pStyle w:val="SingleTxt"/>
        <w:spacing w:line="340" w:lineRule="exact"/>
        <w:rPr>
          <w:rFonts w:hint="eastAsia"/>
        </w:rPr>
      </w:pPr>
      <w:r>
        <w:tab/>
      </w:r>
      <w:r>
        <w:rPr>
          <w:rFonts w:hint="eastAsia"/>
        </w:rPr>
        <w:t>在老挝农村地区，合作社时代（1976至1985年实行）在许多村子建立了托儿中心。在托儿中心这种地方，白天父母可将子女寄托在那里，以便能够到田间干合作社农活。农村地区的有些托儿中心仍在运转，但在合作社时代结束后儿童支持系统往往倒回到依靠近亲的传统模式，通常依靠祖父母（儿童基金会，1995年）。</w:t>
      </w:r>
    </w:p>
    <w:p w:rsidR="00737B35" w:rsidRDefault="00737B35">
      <w:pPr>
        <w:pStyle w:val="SingleTxt"/>
        <w:spacing w:line="340" w:lineRule="exact"/>
        <w:rPr>
          <w:rFonts w:hint="eastAsia"/>
        </w:rPr>
      </w:pPr>
      <w:r>
        <w:tab/>
      </w:r>
      <w:r>
        <w:rPr>
          <w:rFonts w:hint="eastAsia"/>
        </w:rPr>
        <w:t>在城市地区，有一些幼儿园和日托中心可供利用，但它们大多由私人经营，普通挣工资的人负担不起。在正规和非正规企业工作的妇女通常对工作时间和她们企业的地点作出安排，以便她们能够照管其子女。近亲特别是年长的女孩、子女和祖父母参与照管其子女。有些国家机构拥有儿童保育设施在同座楼内运作，雇员上班工作时间可将其子女寄托在这些中心内。在另一些情况下，父母的亲戚白天帮助照管子女。</w:t>
      </w: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第12条  平等获得保健</w:t>
      </w:r>
    </w:p>
    <w:p w:rsidR="00737B35" w:rsidRDefault="00737B35">
      <w:pPr>
        <w:pStyle w:val="SingleTxt"/>
        <w:spacing w:after="0" w:line="120" w:lineRule="exact"/>
        <w:rPr>
          <w:rFonts w:hint="eastAsia"/>
          <w:sz w:val="10"/>
        </w:rPr>
      </w:pP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1.</w:t>
      </w:r>
      <w:r>
        <w:rPr>
          <w:rFonts w:ascii="KaiTi_GB2312" w:eastAsia="KaiTi_GB2312" w:hint="eastAsia"/>
          <w:color w:val="0000FF"/>
        </w:rPr>
        <w:tab/>
        <w:t>缔约各国应采取一切适当措施以消除在保健方面对妇女的歧视，保证她们在男女平等的基础上取得各种保健服务，包括有关计划生育的保健服务。</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2.</w:t>
      </w:r>
      <w:r>
        <w:rPr>
          <w:rFonts w:ascii="KaiTi_GB2312" w:eastAsia="KaiTi_GB2312" w:hint="eastAsia"/>
          <w:color w:val="0000FF"/>
        </w:rPr>
        <w:tab/>
        <w:t>尽管有本条第1款的规定，缔约各国应保证为妇女提供有关怀孕、分娩和产后期间的适当服务，在必要时给予免费服务，并保证在怀孕和哺乳期间得到充分营养。</w:t>
      </w:r>
    </w:p>
    <w:p w:rsidR="00737B35" w:rsidRDefault="00737B35">
      <w:pPr>
        <w:pStyle w:val="SingleTxt"/>
        <w:rPr>
          <w:rFonts w:ascii="SimHei" w:eastAsia="SimHei" w:hint="eastAsia"/>
          <w:color w:val="FF0000"/>
        </w:rPr>
      </w:pPr>
      <w:r>
        <w:rPr>
          <w:rFonts w:ascii="SimHei" w:eastAsia="SimHei" w:hint="eastAsia"/>
          <w:color w:val="FF0000"/>
        </w:rPr>
        <w:t>老挝共和国的国家人口和发展政策目标：</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支持各种措施以促进实现与国内可利用的社会经济发展和就业机会相适应的人口增长率。</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调动人民的积极性并帮助他们通过确保安全孕产提高其生活质量，降低与生殖系统病情相关的妇幼发病率和死亡率，并使夫妻双方在考虑到他们自身社会和经济条件的情况下负责地决定子女数量和生育间隔。</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通过增加享受教育、保健、社会福利和社会经济发展的机会以提高妇女和少数民族人口的地位。</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促进全国各地人口的均衡分布以保护国家的环境，其目的是确保可持续的发展。</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通过支持人口与发展问题的数据收集和研究工作同时又提高国家在人口发展领域的机构和技术能力，促进和便利人口因素和问题纳入所有的社会和经济政策、计划和方案。</w:t>
      </w:r>
    </w:p>
    <w:p w:rsidR="00737B35" w:rsidRDefault="00737B35">
      <w:pPr>
        <w:pStyle w:val="SingleTxt"/>
        <w:rPr>
          <w:rFonts w:hint="eastAsia"/>
        </w:rPr>
      </w:pPr>
      <w:r>
        <w:tab/>
      </w:r>
      <w:r>
        <w:rPr>
          <w:rFonts w:hint="eastAsia"/>
        </w:rPr>
        <w:t>在过去的5年中，老挝共和国的健康状况有了改观，但仍落后于亚洲标准。老挝共和国的社会指标调查表明，婴儿死亡率为每一千次出生死亡约82人。产妇死亡率为每10万次出生死亡约530人，而且总生育率每名妇女约为5.6个子女。妇女的出生预期寿命是61岁，男子是57岁（人口普查，2000年）。卫生系统的特点是服务利用程度相当低而且服务效率有限。</w:t>
      </w:r>
    </w:p>
    <w:p w:rsidR="00737B35" w:rsidRDefault="00737B35">
      <w:pPr>
        <w:pStyle w:val="SingleTxt"/>
        <w:rPr>
          <w:rFonts w:ascii="SimHei" w:eastAsia="SimHei" w:hint="eastAsia"/>
          <w:color w:val="FF0000"/>
        </w:rPr>
      </w:pPr>
      <w:r>
        <w:rPr>
          <w:rFonts w:ascii="SimHei" w:eastAsia="SimHei" w:hint="eastAsia"/>
          <w:color w:val="FF0000"/>
        </w:rPr>
        <w:t>保健服务的利用和质量</w:t>
      </w:r>
    </w:p>
    <w:p w:rsidR="00737B35" w:rsidRDefault="00737B35">
      <w:pPr>
        <w:pStyle w:val="SingleTxt"/>
        <w:rPr>
          <w:rFonts w:hint="eastAsia"/>
        </w:rPr>
      </w:pPr>
      <w:r>
        <w:tab/>
      </w:r>
      <w:r>
        <w:rPr>
          <w:rFonts w:hint="eastAsia"/>
        </w:rPr>
        <w:t>在过去的20年中，对于发展中国家而言，医务人员和设施总数已增加到合理的水平。1976至1995年间，中央医院的数目已从4家增至8家，省级医院的数目从12家增至18家，县级医院从96家增至131家，而且保健中心的数目已从294个增至542个。尽管如此，城乡之间医疗服务和医务人员方面的差距已变得极其明显。在大多数最贫困和健康状况最差的家庭所生活的农村和边远地区，专业保健网络仍很薄弱。城市居民几近百分之百地可以利用附近的医院和医疗从业人员，而70％的农村家庭远离医院、诊所或药房3公里之外。条件差的基础设施限制了保健服务的可供性和可用性：49％的农村村庄要花两三天时间才能得到保健服务。在117家县医院中，据报告只有20家全面开业。万象居民每人拥有的医生数为全国其他地方的9倍，中级医务人员为4倍，而低级医务人员为近两倍。全国医生中一半以上为居住在万象的10％的人口服务（世界银行，1995年；儿童基金会，1996年）。</w:t>
      </w:r>
    </w:p>
    <w:p w:rsidR="00737B35" w:rsidRDefault="00737B35">
      <w:pPr>
        <w:pStyle w:val="SingleTxt"/>
        <w:rPr>
          <w:rFonts w:hint="eastAsia"/>
        </w:rPr>
      </w:pPr>
      <w:r>
        <w:tab/>
      </w:r>
      <w:r>
        <w:rPr>
          <w:rFonts w:hint="eastAsia"/>
        </w:rPr>
        <w:t>由于极端贫困和粮食经常供应不足，给农村人口保持良好健康造成额外的障碍。文化传统和低下的教育程度使情况变得更糟。没有受过教育的人往往不易看到保健服务的价值，而且有时候还搞迷信。村民们咨询长者和其他受尊教的人，而他们并不一定能提供正确的保健信息。在有些少数民族群体中，家庭成员利用哪些和哪种保健服务，要由父亲来定。即使农村妇女决定利用现代保健设施，语言障碍也限制她们这样做（儿童基金会，1996年）。</w:t>
      </w:r>
    </w:p>
    <w:p w:rsidR="00737B35" w:rsidRDefault="00737B35">
      <w:pPr>
        <w:pStyle w:val="SingleTxt"/>
        <w:spacing w:line="340" w:lineRule="exact"/>
        <w:rPr>
          <w:rFonts w:hint="eastAsia"/>
        </w:rPr>
      </w:pPr>
      <w:r>
        <w:tab/>
      </w:r>
      <w:r>
        <w:rPr>
          <w:rFonts w:hint="eastAsia"/>
        </w:rPr>
        <w:t>关于在老挝共和国选择何种保健提供者，几乎60％的成人和儿童报告说他们寻求药品医疗保健。平均只有12％的人到现代设施去看病。17％的人口报告利用传统保健，而13％的人口报告没有得到任何保健。在老挝共和国农村，利用药品和传统术士的人在报告寻求保健的人中占到75％。另一方面，某些保健服务的利用情况有所改善（世界银行，1995年）。这包括妇幼保健方案和针对村庄的保健方案。</w:t>
      </w:r>
    </w:p>
    <w:p w:rsidR="00737B35" w:rsidRDefault="00737B35">
      <w:pPr>
        <w:pStyle w:val="SingleTxt"/>
        <w:rPr>
          <w:rFonts w:ascii="SimHei" w:eastAsia="SimHei" w:hint="eastAsia"/>
          <w:color w:val="FF0000"/>
        </w:rPr>
      </w:pPr>
      <w:r>
        <w:rPr>
          <w:rFonts w:ascii="SimHei" w:eastAsia="SimHei" w:hint="eastAsia"/>
          <w:color w:val="FF0000"/>
        </w:rPr>
        <w:t>城市住户利用药品和现代保健的模式</w:t>
      </w:r>
    </w:p>
    <w:tbl>
      <w:tblPr>
        <w:tblW w:w="3680" w:type="pct"/>
        <w:jc w:val="center"/>
        <w:tblInd w:w="1260" w:type="dxa"/>
        <w:tblLook w:val="0000" w:firstRow="0" w:lastRow="0" w:firstColumn="0" w:lastColumn="0" w:noHBand="0" w:noVBand="0"/>
      </w:tblPr>
      <w:tblGrid>
        <w:gridCol w:w="1234"/>
        <w:gridCol w:w="1234"/>
        <w:gridCol w:w="1236"/>
        <w:gridCol w:w="1235"/>
        <w:gridCol w:w="1235"/>
        <w:gridCol w:w="1236"/>
      </w:tblGrid>
      <w:tr w:rsidR="00737B35">
        <w:tblPrEx>
          <w:tblCellMar>
            <w:top w:w="0" w:type="dxa"/>
            <w:bottom w:w="0" w:type="dxa"/>
          </w:tblCellMar>
        </w:tblPrEx>
        <w:trPr>
          <w:cantSplit/>
          <w:tblHeader/>
          <w:jc w:val="center"/>
        </w:trPr>
        <w:tc>
          <w:tcPr>
            <w:tcW w:w="2500" w:type="pct"/>
            <w:gridSpan w:val="3"/>
            <w:tcBorders>
              <w:top w:val="single" w:sz="2" w:space="0" w:color="auto"/>
            </w:tcBorders>
            <w:vAlign w:val="bottom"/>
          </w:tcPr>
          <w:p w:rsidR="00737B35" w:rsidRDefault="00737B35">
            <w:pPr>
              <w:spacing w:before="60" w:after="60" w:line="240" w:lineRule="exact"/>
              <w:ind w:right="40"/>
              <w:jc w:val="center"/>
              <w:rPr>
                <w:rFonts w:eastAsia="KaiTi_GB2312" w:hint="eastAsia"/>
                <w:color w:val="0000FF"/>
                <w:sz w:val="14"/>
              </w:rPr>
            </w:pPr>
            <w:r>
              <w:rPr>
                <w:rFonts w:eastAsia="KaiTi_GB2312" w:hint="eastAsia"/>
                <w:color w:val="0000FF"/>
                <w:sz w:val="14"/>
              </w:rPr>
              <w:t>药品</w:t>
            </w:r>
          </w:p>
        </w:tc>
        <w:tc>
          <w:tcPr>
            <w:tcW w:w="2500" w:type="pct"/>
            <w:gridSpan w:val="3"/>
            <w:tcBorders>
              <w:top w:val="single" w:sz="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现代</w:t>
            </w:r>
          </w:p>
        </w:tc>
      </w:tr>
      <w:tr w:rsidR="00737B35">
        <w:tblPrEx>
          <w:tblCellMar>
            <w:top w:w="0" w:type="dxa"/>
            <w:bottom w:w="0" w:type="dxa"/>
          </w:tblCellMar>
        </w:tblPrEx>
        <w:trPr>
          <w:tblHeader/>
          <w:jc w:val="center"/>
        </w:trPr>
        <w:tc>
          <w:tcPr>
            <w:tcW w:w="833" w:type="pct"/>
            <w:tcBorders>
              <w:bottom w:val="single" w:sz="12" w:space="0" w:color="auto"/>
            </w:tcBorders>
            <w:vAlign w:val="bottom"/>
          </w:tcPr>
          <w:p w:rsidR="00737B35" w:rsidRDefault="00737B35">
            <w:pPr>
              <w:spacing w:after="60" w:line="240" w:lineRule="exact"/>
              <w:ind w:right="40"/>
              <w:jc w:val="center"/>
              <w:rPr>
                <w:rFonts w:eastAsia="KaiTi_GB2312" w:hint="eastAsia"/>
                <w:color w:val="0000FF"/>
                <w:sz w:val="14"/>
              </w:rPr>
            </w:pPr>
            <w:r>
              <w:rPr>
                <w:rFonts w:eastAsia="KaiTi_GB2312" w:hint="eastAsia"/>
                <w:color w:val="0000FF"/>
                <w:sz w:val="14"/>
              </w:rPr>
              <w:t>男</w:t>
            </w:r>
          </w:p>
        </w:tc>
        <w:tc>
          <w:tcPr>
            <w:tcW w:w="833" w:type="pct"/>
            <w:tcBorders>
              <w:bottom w:val="single" w:sz="12" w:space="0" w:color="auto"/>
            </w:tcBorders>
            <w:vAlign w:val="bottom"/>
          </w:tcPr>
          <w:p w:rsidR="00737B35" w:rsidRDefault="00737B35">
            <w:pPr>
              <w:spacing w:after="60" w:line="240" w:lineRule="exact"/>
              <w:ind w:right="40"/>
              <w:jc w:val="center"/>
              <w:rPr>
                <w:rFonts w:eastAsia="KaiTi_GB2312" w:hint="eastAsia"/>
                <w:color w:val="0000FF"/>
                <w:sz w:val="14"/>
              </w:rPr>
            </w:pPr>
            <w:r>
              <w:rPr>
                <w:rFonts w:eastAsia="KaiTi_GB2312" w:hint="eastAsia"/>
                <w:color w:val="0000FF"/>
                <w:sz w:val="14"/>
              </w:rPr>
              <w:t>女</w:t>
            </w:r>
          </w:p>
        </w:tc>
        <w:tc>
          <w:tcPr>
            <w:tcW w:w="833" w:type="pct"/>
            <w:tcBorders>
              <w:bottom w:val="single" w:sz="12" w:space="0" w:color="auto"/>
            </w:tcBorders>
            <w:vAlign w:val="bottom"/>
          </w:tcPr>
          <w:p w:rsidR="00737B35" w:rsidRDefault="00737B35">
            <w:pPr>
              <w:spacing w:after="60" w:line="240" w:lineRule="exact"/>
              <w:ind w:right="40"/>
              <w:jc w:val="center"/>
              <w:rPr>
                <w:rFonts w:eastAsia="KaiTi_GB2312" w:hint="eastAsia"/>
                <w:color w:val="0000FF"/>
                <w:sz w:val="14"/>
              </w:rPr>
            </w:pPr>
            <w:r>
              <w:rPr>
                <w:rFonts w:eastAsia="KaiTi_GB2312" w:hint="eastAsia"/>
                <w:color w:val="0000FF"/>
                <w:sz w:val="14"/>
              </w:rPr>
              <w:t>合计</w:t>
            </w:r>
          </w:p>
        </w:tc>
        <w:tc>
          <w:tcPr>
            <w:tcW w:w="833" w:type="pct"/>
            <w:tcBorders>
              <w:bottom w:val="single" w:sz="12" w:space="0" w:color="auto"/>
            </w:tcBorders>
            <w:vAlign w:val="bottom"/>
          </w:tcPr>
          <w:p w:rsidR="00737B35" w:rsidRDefault="00737B35">
            <w:pPr>
              <w:spacing w:after="60" w:line="240" w:lineRule="exact"/>
              <w:ind w:right="40"/>
              <w:jc w:val="right"/>
              <w:rPr>
                <w:rFonts w:eastAsia="KaiTi_GB2312" w:hint="eastAsia"/>
                <w:color w:val="0000FF"/>
                <w:sz w:val="14"/>
              </w:rPr>
            </w:pPr>
            <w:r>
              <w:rPr>
                <w:rFonts w:eastAsia="KaiTi_GB2312" w:hint="eastAsia"/>
                <w:color w:val="0000FF"/>
                <w:sz w:val="14"/>
              </w:rPr>
              <w:t>男</w:t>
            </w:r>
          </w:p>
        </w:tc>
        <w:tc>
          <w:tcPr>
            <w:tcW w:w="833" w:type="pct"/>
            <w:tcBorders>
              <w:bottom w:val="single" w:sz="12" w:space="0" w:color="auto"/>
            </w:tcBorders>
            <w:vAlign w:val="bottom"/>
          </w:tcPr>
          <w:p w:rsidR="00737B35" w:rsidRDefault="00737B35">
            <w:pPr>
              <w:spacing w:after="60" w:line="240" w:lineRule="exact"/>
              <w:ind w:right="40"/>
              <w:jc w:val="right"/>
              <w:rPr>
                <w:rFonts w:eastAsia="KaiTi_GB2312" w:hint="eastAsia"/>
                <w:color w:val="0000FF"/>
                <w:sz w:val="14"/>
              </w:rPr>
            </w:pPr>
            <w:r>
              <w:rPr>
                <w:rFonts w:eastAsia="KaiTi_GB2312" w:hint="eastAsia"/>
                <w:color w:val="0000FF"/>
                <w:sz w:val="14"/>
              </w:rPr>
              <w:t>女</w:t>
            </w:r>
          </w:p>
        </w:tc>
        <w:tc>
          <w:tcPr>
            <w:tcW w:w="833" w:type="pct"/>
            <w:tcBorders>
              <w:bottom w:val="single" w:sz="12" w:space="0" w:color="auto"/>
            </w:tcBorders>
            <w:vAlign w:val="bottom"/>
          </w:tcPr>
          <w:p w:rsidR="00737B35" w:rsidRDefault="00737B35">
            <w:pPr>
              <w:spacing w:after="60" w:line="240" w:lineRule="exact"/>
              <w:ind w:right="40"/>
              <w:jc w:val="right"/>
              <w:rPr>
                <w:rFonts w:eastAsia="KaiTi_GB2312" w:hint="eastAsia"/>
                <w:color w:val="0000FF"/>
                <w:sz w:val="14"/>
              </w:rPr>
            </w:pPr>
            <w:r>
              <w:rPr>
                <w:rFonts w:eastAsia="KaiTi_GB2312" w:hint="eastAsia"/>
                <w:color w:val="0000FF"/>
                <w:sz w:val="14"/>
              </w:rPr>
              <w:t>合计</w:t>
            </w:r>
          </w:p>
        </w:tc>
      </w:tr>
      <w:tr w:rsidR="00737B35">
        <w:tblPrEx>
          <w:tblCellMar>
            <w:top w:w="0" w:type="dxa"/>
            <w:bottom w:w="0" w:type="dxa"/>
          </w:tblCellMar>
        </w:tblPrEx>
        <w:trPr>
          <w:trHeight w:hRule="exact" w:val="115"/>
          <w:tblHeader/>
          <w:jc w:val="center"/>
        </w:trPr>
        <w:tc>
          <w:tcPr>
            <w:tcW w:w="833" w:type="pct"/>
            <w:tcBorders>
              <w:top w:val="single" w:sz="12" w:space="0" w:color="auto"/>
            </w:tcBorders>
            <w:vAlign w:val="bottom"/>
          </w:tcPr>
          <w:p w:rsidR="00737B35" w:rsidRDefault="00737B35">
            <w:pPr>
              <w:spacing w:after="60" w:line="280" w:lineRule="exact"/>
              <w:ind w:right="40"/>
              <w:jc w:val="center"/>
              <w:rPr>
                <w:rFonts w:hint="eastAsia"/>
                <w:sz w:val="17"/>
              </w:rPr>
            </w:pPr>
          </w:p>
        </w:tc>
        <w:tc>
          <w:tcPr>
            <w:tcW w:w="833" w:type="pct"/>
            <w:tcBorders>
              <w:top w:val="single" w:sz="12" w:space="0" w:color="auto"/>
            </w:tcBorders>
            <w:vAlign w:val="bottom"/>
          </w:tcPr>
          <w:p w:rsidR="00737B35" w:rsidRDefault="00737B35">
            <w:pPr>
              <w:spacing w:after="60" w:line="280" w:lineRule="exact"/>
              <w:ind w:right="40"/>
              <w:jc w:val="center"/>
              <w:rPr>
                <w:rFonts w:hint="eastAsia"/>
                <w:sz w:val="17"/>
              </w:rPr>
            </w:pPr>
          </w:p>
        </w:tc>
        <w:tc>
          <w:tcPr>
            <w:tcW w:w="833" w:type="pct"/>
            <w:tcBorders>
              <w:top w:val="single" w:sz="12" w:space="0" w:color="auto"/>
            </w:tcBorders>
            <w:vAlign w:val="bottom"/>
          </w:tcPr>
          <w:p w:rsidR="00737B35" w:rsidRDefault="00737B35">
            <w:pPr>
              <w:spacing w:after="60" w:line="280" w:lineRule="exact"/>
              <w:ind w:right="40"/>
              <w:jc w:val="center"/>
              <w:rPr>
                <w:rFonts w:hint="eastAsia"/>
                <w:sz w:val="17"/>
              </w:rPr>
            </w:pPr>
          </w:p>
        </w:tc>
        <w:tc>
          <w:tcPr>
            <w:tcW w:w="833" w:type="pct"/>
            <w:tcBorders>
              <w:top w:val="single" w:sz="12" w:space="0" w:color="auto"/>
            </w:tcBorders>
            <w:vAlign w:val="bottom"/>
          </w:tcPr>
          <w:p w:rsidR="00737B35" w:rsidRDefault="00737B35">
            <w:pPr>
              <w:spacing w:after="60" w:line="280" w:lineRule="exact"/>
              <w:ind w:right="40"/>
              <w:jc w:val="right"/>
              <w:rPr>
                <w:rFonts w:hint="eastAsia"/>
                <w:sz w:val="17"/>
              </w:rPr>
            </w:pPr>
          </w:p>
        </w:tc>
        <w:tc>
          <w:tcPr>
            <w:tcW w:w="833" w:type="pct"/>
            <w:tcBorders>
              <w:top w:val="single" w:sz="12" w:space="0" w:color="auto"/>
            </w:tcBorders>
            <w:vAlign w:val="bottom"/>
          </w:tcPr>
          <w:p w:rsidR="00737B35" w:rsidRDefault="00737B35">
            <w:pPr>
              <w:spacing w:after="60" w:line="280" w:lineRule="exact"/>
              <w:ind w:right="40"/>
              <w:jc w:val="right"/>
              <w:rPr>
                <w:rFonts w:hint="eastAsia"/>
                <w:sz w:val="17"/>
              </w:rPr>
            </w:pPr>
          </w:p>
        </w:tc>
        <w:tc>
          <w:tcPr>
            <w:tcW w:w="833" w:type="pct"/>
            <w:tcBorders>
              <w:top w:val="single" w:sz="12" w:space="0" w:color="auto"/>
            </w:tcBorders>
            <w:vAlign w:val="bottom"/>
          </w:tcPr>
          <w:p w:rsidR="00737B35" w:rsidRDefault="00737B35">
            <w:pPr>
              <w:spacing w:after="60" w:line="280" w:lineRule="exact"/>
              <w:ind w:right="40"/>
              <w:jc w:val="right"/>
              <w:rPr>
                <w:rFonts w:hint="eastAsia"/>
                <w:sz w:val="17"/>
              </w:rPr>
            </w:pPr>
          </w:p>
        </w:tc>
      </w:tr>
      <w:tr w:rsidR="00737B35">
        <w:tblPrEx>
          <w:tblCellMar>
            <w:top w:w="0" w:type="dxa"/>
            <w:bottom w:w="0" w:type="dxa"/>
          </w:tblCellMar>
        </w:tblPrEx>
        <w:trPr>
          <w:jc w:val="center"/>
        </w:trPr>
        <w:tc>
          <w:tcPr>
            <w:tcW w:w="833"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center"/>
              <w:rPr>
                <w:rFonts w:hint="eastAsia"/>
                <w:sz w:val="17"/>
              </w:rPr>
            </w:pPr>
            <w:r>
              <w:rPr>
                <w:rFonts w:hint="eastAsia"/>
                <w:sz w:val="17"/>
              </w:rPr>
              <w:t>72%</w:t>
            </w:r>
          </w:p>
        </w:tc>
        <w:tc>
          <w:tcPr>
            <w:tcW w:w="833"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center"/>
              <w:rPr>
                <w:rFonts w:hint="eastAsia"/>
                <w:sz w:val="17"/>
              </w:rPr>
            </w:pPr>
            <w:r>
              <w:rPr>
                <w:rFonts w:hint="eastAsia"/>
                <w:sz w:val="17"/>
              </w:rPr>
              <w:t>66%</w:t>
            </w:r>
          </w:p>
        </w:tc>
        <w:tc>
          <w:tcPr>
            <w:tcW w:w="833"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center"/>
              <w:rPr>
                <w:rFonts w:hint="eastAsia"/>
                <w:sz w:val="17"/>
              </w:rPr>
            </w:pPr>
            <w:r>
              <w:rPr>
                <w:rFonts w:hint="eastAsia"/>
                <w:sz w:val="17"/>
              </w:rPr>
              <w:t>69%</w:t>
            </w:r>
          </w:p>
        </w:tc>
        <w:tc>
          <w:tcPr>
            <w:tcW w:w="833"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center"/>
              <w:rPr>
                <w:rFonts w:hint="eastAsia"/>
                <w:sz w:val="17"/>
              </w:rPr>
            </w:pPr>
            <w:r>
              <w:rPr>
                <w:rFonts w:hint="eastAsia"/>
                <w:sz w:val="17"/>
              </w:rPr>
              <w:t>20%</w:t>
            </w:r>
          </w:p>
        </w:tc>
        <w:tc>
          <w:tcPr>
            <w:tcW w:w="833"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center"/>
              <w:rPr>
                <w:rFonts w:hint="eastAsia"/>
                <w:sz w:val="17"/>
              </w:rPr>
            </w:pPr>
            <w:r>
              <w:rPr>
                <w:rFonts w:hint="eastAsia"/>
                <w:sz w:val="17"/>
              </w:rPr>
              <w:t>23%</w:t>
            </w:r>
          </w:p>
        </w:tc>
        <w:tc>
          <w:tcPr>
            <w:tcW w:w="833"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center"/>
              <w:rPr>
                <w:rFonts w:hint="eastAsia"/>
                <w:sz w:val="17"/>
              </w:rPr>
            </w:pPr>
            <w:r>
              <w:rPr>
                <w:rFonts w:hint="eastAsia"/>
                <w:sz w:val="17"/>
              </w:rPr>
              <w:t>22%</w:t>
            </w:r>
          </w:p>
        </w:tc>
      </w:tr>
    </w:tbl>
    <w:p w:rsidR="00737B35" w:rsidRDefault="00737B35">
      <w:pPr>
        <w:pStyle w:val="SingleTxt"/>
      </w:pPr>
    </w:p>
    <w:p w:rsidR="00737B35" w:rsidRDefault="00737B35">
      <w:pPr>
        <w:pStyle w:val="SingleTxt"/>
        <w:spacing w:line="340" w:lineRule="exact"/>
        <w:rPr>
          <w:rFonts w:hint="eastAsia"/>
        </w:rPr>
      </w:pPr>
      <w:r>
        <w:tab/>
      </w:r>
      <w:r>
        <w:rPr>
          <w:rFonts w:hint="eastAsia"/>
        </w:rPr>
        <w:t>保健人员的总数已从1976年的5 000名增至1995年的10 200名，但保健部门人力资源和财务的管理仍是一个突出的问题。保健人员工作任务缺乏明确性，而且尽管教育程度较高薪金却仍非常低。由于薪金不能定期发放和缺乏药品及设备，偏僻地区的保健人员条件更加困难。这些条件阻碍保健人员到农村地区的意愿。各种研究表明，医务人员特别是较低级别的医务人员希望接受更多的培训（儿童基金会，1996年；世界银行，1995年）。</w:t>
      </w:r>
    </w:p>
    <w:p w:rsidR="00737B35" w:rsidRDefault="00737B35">
      <w:pPr>
        <w:pStyle w:val="SingleTxt"/>
        <w:spacing w:line="340" w:lineRule="exact"/>
        <w:rPr>
          <w:rFonts w:hint="eastAsia"/>
        </w:rPr>
      </w:pPr>
      <w:r>
        <w:tab/>
      </w:r>
      <w:r>
        <w:rPr>
          <w:rFonts w:hint="eastAsia"/>
        </w:rPr>
        <w:t>除了最高级别的医疗专业，作为保健提供者，妇女的参与地位与男子的平等。</w:t>
      </w:r>
    </w:p>
    <w:p w:rsidR="00737B35" w:rsidRDefault="00737B35">
      <w:pPr>
        <w:pStyle w:val="SingleTxt"/>
        <w:spacing w:after="0" w:line="120" w:lineRule="exact"/>
        <w:rPr>
          <w:rFonts w:ascii="SimHei" w:eastAsia="SimHei" w:hint="eastAsia"/>
          <w:color w:val="FF0000"/>
          <w:sz w:val="10"/>
        </w:rPr>
      </w:pPr>
    </w:p>
    <w:p w:rsidR="00737B35" w:rsidRDefault="00737B35">
      <w:pPr>
        <w:pStyle w:val="SingleTxt"/>
        <w:rPr>
          <w:rFonts w:ascii="SimHei" w:eastAsia="SimHei" w:hint="eastAsia"/>
          <w:color w:val="FF0000"/>
        </w:rPr>
      </w:pPr>
      <w:r>
        <w:rPr>
          <w:rFonts w:ascii="SimHei" w:eastAsia="SimHei" w:hint="eastAsia"/>
          <w:color w:val="FF0000"/>
        </w:rPr>
        <w:t>女专业人员作为保健提供者的参与情况（卫生部，1995年）</w:t>
      </w:r>
    </w:p>
    <w:tbl>
      <w:tblPr>
        <w:tblW w:w="3635" w:type="pct"/>
        <w:jc w:val="center"/>
        <w:tblLook w:val="0000" w:firstRow="0" w:lastRow="0" w:firstColumn="0" w:lastColumn="0" w:noHBand="0" w:noVBand="0"/>
      </w:tblPr>
      <w:tblGrid>
        <w:gridCol w:w="2439"/>
        <w:gridCol w:w="2440"/>
        <w:gridCol w:w="2440"/>
      </w:tblGrid>
      <w:tr w:rsidR="00737B35">
        <w:tblPrEx>
          <w:tblCellMar>
            <w:top w:w="0" w:type="dxa"/>
            <w:bottom w:w="0" w:type="dxa"/>
          </w:tblCellMar>
        </w:tblPrEx>
        <w:trPr>
          <w:tblHeader/>
          <w:jc w:val="center"/>
        </w:trPr>
        <w:tc>
          <w:tcPr>
            <w:tcW w:w="1666" w:type="pct"/>
            <w:tcBorders>
              <w:top w:val="single" w:sz="2" w:space="0" w:color="auto"/>
              <w:bottom w:val="single" w:sz="12" w:space="0" w:color="auto"/>
            </w:tcBorders>
            <w:vAlign w:val="bottom"/>
          </w:tcPr>
          <w:p w:rsidR="00737B35" w:rsidRDefault="00737B35">
            <w:pPr>
              <w:spacing w:before="60" w:after="60" w:line="240" w:lineRule="exact"/>
              <w:ind w:right="40"/>
              <w:rPr>
                <w:rFonts w:eastAsia="KaiTi_GB2312" w:hint="eastAsia"/>
                <w:color w:val="0000FF"/>
                <w:sz w:val="14"/>
              </w:rPr>
            </w:pPr>
            <w:r>
              <w:rPr>
                <w:rFonts w:eastAsia="KaiTi_GB2312" w:hint="eastAsia"/>
                <w:color w:val="0000FF"/>
                <w:sz w:val="14"/>
              </w:rPr>
              <w:t>类别</w:t>
            </w:r>
          </w:p>
        </w:tc>
        <w:tc>
          <w:tcPr>
            <w:tcW w:w="1667"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妇女</w:t>
            </w:r>
          </w:p>
        </w:tc>
        <w:tc>
          <w:tcPr>
            <w:tcW w:w="1667"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男子</w:t>
            </w:r>
          </w:p>
        </w:tc>
      </w:tr>
      <w:tr w:rsidR="00737B35">
        <w:tblPrEx>
          <w:tblCellMar>
            <w:top w:w="0" w:type="dxa"/>
            <w:bottom w:w="0" w:type="dxa"/>
          </w:tblCellMar>
        </w:tblPrEx>
        <w:trPr>
          <w:trHeight w:hRule="exact" w:val="115"/>
          <w:tblHeader/>
          <w:jc w:val="center"/>
        </w:trPr>
        <w:tc>
          <w:tcPr>
            <w:tcW w:w="1666" w:type="pct"/>
            <w:tcBorders>
              <w:top w:val="single" w:sz="12" w:space="0" w:color="auto"/>
            </w:tcBorders>
            <w:vAlign w:val="bottom"/>
          </w:tcPr>
          <w:p w:rsidR="00737B35" w:rsidRDefault="00737B35">
            <w:pPr>
              <w:pStyle w:val="Header"/>
              <w:tabs>
                <w:tab w:val="clear" w:pos="4320"/>
                <w:tab w:val="clear" w:pos="8640"/>
              </w:tabs>
              <w:spacing w:after="60" w:line="280" w:lineRule="exact"/>
              <w:ind w:right="40"/>
              <w:jc w:val="both"/>
              <w:rPr>
                <w:rFonts w:hint="eastAsia"/>
                <w:sz w:val="17"/>
              </w:rPr>
            </w:pPr>
          </w:p>
        </w:tc>
        <w:tc>
          <w:tcPr>
            <w:tcW w:w="1667" w:type="pct"/>
            <w:tcBorders>
              <w:top w:val="single" w:sz="12" w:space="0" w:color="auto"/>
            </w:tcBorders>
            <w:vAlign w:val="bottom"/>
          </w:tcPr>
          <w:p w:rsidR="00737B35" w:rsidRDefault="00737B35">
            <w:pPr>
              <w:spacing w:after="60" w:line="280" w:lineRule="exact"/>
              <w:ind w:right="40"/>
              <w:jc w:val="right"/>
              <w:rPr>
                <w:rFonts w:hint="eastAsia"/>
                <w:sz w:val="17"/>
              </w:rPr>
            </w:pPr>
          </w:p>
        </w:tc>
        <w:tc>
          <w:tcPr>
            <w:tcW w:w="1667" w:type="pct"/>
            <w:tcBorders>
              <w:top w:val="single" w:sz="12" w:space="0" w:color="auto"/>
            </w:tcBorders>
            <w:vAlign w:val="bottom"/>
          </w:tcPr>
          <w:p w:rsidR="00737B35" w:rsidRDefault="00737B35">
            <w:pPr>
              <w:spacing w:after="60" w:line="280" w:lineRule="exact"/>
              <w:ind w:right="40"/>
              <w:jc w:val="right"/>
              <w:rPr>
                <w:rFonts w:hint="eastAsia"/>
                <w:sz w:val="17"/>
              </w:rPr>
            </w:pPr>
          </w:p>
        </w:tc>
      </w:tr>
      <w:tr w:rsidR="00737B35">
        <w:tblPrEx>
          <w:tblCellMar>
            <w:top w:w="0" w:type="dxa"/>
            <w:bottom w:w="0" w:type="dxa"/>
          </w:tblCellMar>
        </w:tblPrEx>
        <w:trPr>
          <w:jc w:val="center"/>
        </w:trPr>
        <w:tc>
          <w:tcPr>
            <w:tcW w:w="1666" w:type="pct"/>
            <w:vAlign w:val="bottom"/>
          </w:tcPr>
          <w:p w:rsidR="00737B35" w:rsidRDefault="00737B35">
            <w:pPr>
              <w:pStyle w:val="Header"/>
              <w:tabs>
                <w:tab w:val="clear" w:pos="4320"/>
                <w:tab w:val="clear" w:pos="8640"/>
                <w:tab w:val="left" w:pos="357"/>
                <w:tab w:val="left" w:pos="714"/>
                <w:tab w:val="left" w:pos="1071"/>
                <w:tab w:val="left" w:pos="1429"/>
              </w:tabs>
              <w:spacing w:after="60" w:line="280" w:lineRule="exact"/>
              <w:ind w:right="40"/>
              <w:jc w:val="both"/>
              <w:rPr>
                <w:rFonts w:hint="eastAsia"/>
                <w:sz w:val="17"/>
              </w:rPr>
            </w:pPr>
            <w:r>
              <w:rPr>
                <w:rFonts w:hint="eastAsia"/>
                <w:sz w:val="17"/>
              </w:rPr>
              <w:t>工作人员合计</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57.4%</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42.6%</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高等院校</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23.0%</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77.0%</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内科医生</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41.4%</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58.6%</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中级人员</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56.6%</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43.4%</w:t>
            </w:r>
          </w:p>
        </w:tc>
      </w:tr>
      <w:tr w:rsidR="00737B35">
        <w:tblPrEx>
          <w:tblCellMar>
            <w:top w:w="0" w:type="dxa"/>
            <w:bottom w:w="0" w:type="dxa"/>
          </w:tblCellMar>
        </w:tblPrEx>
        <w:trPr>
          <w:cantSplit/>
          <w:trHeight w:val="189"/>
          <w:jc w:val="center"/>
        </w:trPr>
        <w:tc>
          <w:tcPr>
            <w:tcW w:w="1666"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低级人员</w:t>
            </w:r>
          </w:p>
        </w:tc>
        <w:tc>
          <w:tcPr>
            <w:tcW w:w="1667"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63.7%</w:t>
            </w:r>
          </w:p>
        </w:tc>
        <w:tc>
          <w:tcPr>
            <w:tcW w:w="1667"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36.6%</w:t>
            </w:r>
          </w:p>
        </w:tc>
      </w:tr>
    </w:tbl>
    <w:p w:rsidR="00737B35" w:rsidRDefault="00737B35">
      <w:pPr>
        <w:pStyle w:val="SingleTxt"/>
      </w:pPr>
    </w:p>
    <w:p w:rsidR="00737B35" w:rsidRDefault="00737B35">
      <w:pPr>
        <w:pStyle w:val="SingleTxt"/>
        <w:rPr>
          <w:rFonts w:hint="eastAsia"/>
        </w:rPr>
      </w:pPr>
      <w:r>
        <w:tab/>
      </w:r>
      <w:r>
        <w:rPr>
          <w:rFonts w:hint="eastAsia"/>
        </w:rPr>
        <w:t>卫生部目前正在处理其工作人员的人力资源开发问题。本方案包含三个子目标即培训、人员配置和积极性的调动。</w:t>
      </w:r>
    </w:p>
    <w:p w:rsidR="00737B35" w:rsidRDefault="00737B35">
      <w:pPr>
        <w:pStyle w:val="SingleTxt"/>
        <w:rPr>
          <w:rFonts w:hint="eastAsia"/>
        </w:rPr>
      </w:pPr>
      <w:r>
        <w:tab/>
      </w:r>
      <w:r>
        <w:rPr>
          <w:rFonts w:hint="eastAsia"/>
        </w:rPr>
        <w:t>政府对卫生部门的供资在过去几年中稳步增加，已从1986/1987年度占国内生产总值的2.8％增至1995年的3.2％。外援占到卫生开支来源的25％，住户的缴款占57％（世界银行，1995年）。</w:t>
      </w:r>
    </w:p>
    <w:p w:rsidR="00737B35" w:rsidRDefault="00737B35">
      <w:pPr>
        <w:pStyle w:val="SingleTxt"/>
        <w:rPr>
          <w:rFonts w:hint="eastAsia"/>
        </w:rPr>
      </w:pPr>
      <w:r>
        <w:tab/>
      </w:r>
      <w:r>
        <w:rPr>
          <w:rFonts w:hint="eastAsia"/>
        </w:rPr>
        <w:t>区域卫生中心和村药店除了药品外不准收费。不要求退休人员、政府和党务工作人员及其18岁以下的子女和配偶付费。穷人、学生、僧侣和修女也免费（儿童基金会，1996年）。</w:t>
      </w:r>
    </w:p>
    <w:p w:rsidR="00737B35" w:rsidRDefault="00737B35">
      <w:pPr>
        <w:pStyle w:val="SingleTxt"/>
        <w:rPr>
          <w:rFonts w:hint="eastAsia"/>
        </w:rPr>
      </w:pPr>
      <w:r>
        <w:tab/>
      </w:r>
      <w:r>
        <w:rPr>
          <w:rFonts w:hint="eastAsia"/>
        </w:rPr>
        <w:t>政府已制定了一个目标，即到2000年至少50％的人口将利用卫生设施。专门针对保健服务女性使用者的方案将在以下各章作进一步的讨论。</w:t>
      </w:r>
    </w:p>
    <w:p w:rsidR="00737B35" w:rsidRDefault="00737B35">
      <w:pPr>
        <w:pStyle w:val="SingleTxt"/>
        <w:rPr>
          <w:rFonts w:ascii="SimHei" w:eastAsia="SimHei" w:hint="eastAsia"/>
          <w:color w:val="FF0000"/>
        </w:rPr>
      </w:pPr>
      <w:r>
        <w:rPr>
          <w:rFonts w:ascii="SimHei" w:eastAsia="SimHei" w:hint="eastAsia"/>
          <w:color w:val="FF0000"/>
        </w:rPr>
        <w:t>妇女的健康状况</w:t>
      </w:r>
    </w:p>
    <w:p w:rsidR="00737B35" w:rsidRDefault="00737B35">
      <w:pPr>
        <w:pStyle w:val="SingleTxt"/>
        <w:rPr>
          <w:rFonts w:hint="eastAsia"/>
        </w:rPr>
      </w:pPr>
      <w:r>
        <w:tab/>
      </w:r>
      <w:r>
        <w:rPr>
          <w:rFonts w:hint="eastAsia"/>
        </w:rPr>
        <w:t>根据成年女性死亡率首次全国研究（1994年），所有城市妇女中约有三分之一死在医院或死在去医院的途中，而农村妇女却不足八分之一。教育、民族和经济地位全都影响妇女利用现代医疗设施的意愿。</w:t>
      </w:r>
    </w:p>
    <w:p w:rsidR="00737B35" w:rsidRDefault="00737B35">
      <w:pPr>
        <w:pStyle w:val="SingleTxt"/>
        <w:rPr>
          <w:rFonts w:hint="eastAsia"/>
        </w:rPr>
      </w:pPr>
      <w:r>
        <w:tab/>
      </w:r>
      <w:r>
        <w:rPr>
          <w:rFonts w:hint="eastAsia"/>
        </w:rPr>
        <w:t>成年女性死亡的主要原因依次为引起发热综合症的疟疾、产科并发症、引起慢性呼吸疾病的结核病、心脏病、侵袭性腹泻、腹部肿瘤、事故、引起急性腹泻的霍乱和软组织感染。</w:t>
      </w:r>
    </w:p>
    <w:p w:rsidR="00737B35" w:rsidRDefault="00737B35">
      <w:pPr>
        <w:pStyle w:val="SingleTxt"/>
        <w:rPr>
          <w:rFonts w:ascii="SimHei" w:eastAsia="SimHei" w:hint="eastAsia"/>
          <w:color w:val="FF0000"/>
        </w:rPr>
      </w:pPr>
      <w:r>
        <w:rPr>
          <w:rFonts w:ascii="SimHei" w:eastAsia="SimHei" w:hint="eastAsia"/>
          <w:color w:val="FF0000"/>
        </w:rPr>
        <w:t>妇幼保健</w:t>
      </w:r>
    </w:p>
    <w:p w:rsidR="00737B35" w:rsidRDefault="00737B35">
      <w:pPr>
        <w:pStyle w:val="SingleTxt"/>
        <w:rPr>
          <w:rFonts w:hint="eastAsia"/>
        </w:rPr>
      </w:pPr>
      <w:r>
        <w:tab/>
      </w:r>
      <w:r>
        <w:rPr>
          <w:rFonts w:hint="eastAsia"/>
        </w:rPr>
        <w:t>孕产妇死亡率（530/100 000万）的主要原因是缺乏可得、可用和可接受的产前、产中和产后护理。考虑到大部分高风险因素能在首次产前就诊时认定和管理，甚至一次就诊就能拯救母亲的生命。然而，只有四分之一的妇女前往产前护理设施就诊。态度和可得性是个不变的阻碍因素。农村家庭离最近的公共保健设施平均11至15公里（国家统计中心、老挝支出和消费调查/老挝社会指标调查，1993年）。农村孕妇往往缺乏交通工具和旅行及服务所需的钱（公共卫生部/卫生组织/儿童基金会/日本国际协力事业团，1995年）。</w:t>
      </w:r>
    </w:p>
    <w:p w:rsidR="00737B35" w:rsidRDefault="00737B35">
      <w:pPr>
        <w:pStyle w:val="SingleTxt"/>
        <w:rPr>
          <w:rFonts w:hint="eastAsia"/>
        </w:rPr>
      </w:pPr>
      <w:r>
        <w:tab/>
      </w:r>
      <w:r>
        <w:rPr>
          <w:rFonts w:hint="eastAsia"/>
        </w:rPr>
        <w:t>成年女性死亡率首次研究（老挝社会指标调查，1994年）表明，孕产妇死亡的主要原因是产后出血、流产并发症、传染病（疟疾）、产后脓毒症和心脏病。</w:t>
      </w:r>
    </w:p>
    <w:p w:rsidR="00737B35" w:rsidRDefault="00737B35">
      <w:pPr>
        <w:pStyle w:val="SingleTxt"/>
        <w:rPr>
          <w:rFonts w:hint="eastAsia"/>
        </w:rPr>
      </w:pPr>
      <w:r>
        <w:tab/>
      </w:r>
      <w:r>
        <w:rPr>
          <w:rFonts w:hint="eastAsia"/>
        </w:rPr>
        <w:t>在老挝共和国，数十年来婴儿和5岁以下儿童死亡率一直居高不下。据估计1989至1994年期间，婴儿和5岁以下儿童死亡率为113/1 000和142/1 000（国家统计中心、生育率和出生间隔调查，1995年）。性别差异微不足道。有关疾病如疟疾、麻疹、急性呼吸道感染、腹泻和痢疾占了婴儿和儿童死亡和发病率的大头。对1984至1988年期间与1989至1994年期间的死亡率所作的比较表明，婴儿死亡率小幅下降了7％，而1至5岁儿童的死亡率则大幅下降了52％。后者下降的原因是1至5岁儿童的死亡率从68/1 000降到了33/1 000。在所有儿童死亡（1至5岁）中，大约58％处于生命的第一年。</w:t>
      </w:r>
    </w:p>
    <w:p w:rsidR="00737B35" w:rsidRDefault="00737B35">
      <w:pPr>
        <w:pStyle w:val="SingleTxt"/>
        <w:rPr>
          <w:rFonts w:hint="eastAsia"/>
        </w:rPr>
      </w:pPr>
      <w:r>
        <w:tab/>
      </w:r>
      <w:r>
        <w:rPr>
          <w:rFonts w:hint="eastAsia"/>
        </w:rPr>
        <w:t>在全国一级，老挝共和国几乎有40％的妇女报告子女是分娩在自己家中的，没有任何帮助。大约30％的妇女报告说得到朋友或亲属的协助，而23％获得传统术士或接生婆的帮助，但也在家中。</w:t>
      </w:r>
    </w:p>
    <w:p w:rsidR="00737B35" w:rsidRDefault="00737B35">
      <w:pPr>
        <w:pStyle w:val="SingleTxt"/>
        <w:rPr>
          <w:rFonts w:ascii="SimHei" w:eastAsia="SimHei" w:hint="eastAsia"/>
          <w:color w:val="FF0000"/>
        </w:rPr>
      </w:pPr>
      <w:r>
        <w:rPr>
          <w:rFonts w:ascii="SimHei" w:eastAsia="SimHei" w:hint="eastAsia"/>
          <w:color w:val="FF0000"/>
        </w:rPr>
        <w:t>城乡孩子分娩时的援助类型（老挝支出和消费调查、老挝社会指标调查，1993年）</w:t>
      </w:r>
    </w:p>
    <w:tbl>
      <w:tblPr>
        <w:tblW w:w="3636" w:type="pct"/>
        <w:jc w:val="center"/>
        <w:tblLook w:val="0000" w:firstRow="0" w:lastRow="0" w:firstColumn="0" w:lastColumn="0" w:noHBand="0" w:noVBand="0"/>
      </w:tblPr>
      <w:tblGrid>
        <w:gridCol w:w="1831"/>
        <w:gridCol w:w="1830"/>
        <w:gridCol w:w="1830"/>
        <w:gridCol w:w="1830"/>
      </w:tblGrid>
      <w:tr w:rsidR="00737B35">
        <w:tblPrEx>
          <w:tblCellMar>
            <w:top w:w="0" w:type="dxa"/>
            <w:bottom w:w="0" w:type="dxa"/>
          </w:tblCellMar>
        </w:tblPrEx>
        <w:trPr>
          <w:tblHeader/>
          <w:jc w:val="center"/>
        </w:trPr>
        <w:tc>
          <w:tcPr>
            <w:tcW w:w="1250" w:type="pct"/>
            <w:tcBorders>
              <w:top w:val="single" w:sz="2" w:space="0" w:color="auto"/>
              <w:bottom w:val="single" w:sz="12" w:space="0" w:color="auto"/>
            </w:tcBorders>
            <w:vAlign w:val="bottom"/>
          </w:tcPr>
          <w:p w:rsidR="00737B35" w:rsidRDefault="00737B35">
            <w:pPr>
              <w:spacing w:before="60" w:after="60" w:line="240" w:lineRule="exact"/>
              <w:ind w:right="40"/>
              <w:jc w:val="center"/>
              <w:rPr>
                <w:rFonts w:eastAsia="KaiTi_GB2312" w:hint="eastAsia"/>
                <w:color w:val="0000FF"/>
                <w:sz w:val="14"/>
              </w:rPr>
            </w:pPr>
            <w:r>
              <w:rPr>
                <w:rFonts w:eastAsia="KaiTi_GB2312" w:hint="eastAsia"/>
                <w:color w:val="0000FF"/>
                <w:sz w:val="14"/>
              </w:rPr>
              <w:t>无人帮助</w:t>
            </w:r>
          </w:p>
        </w:tc>
        <w:tc>
          <w:tcPr>
            <w:tcW w:w="1250"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朋友</w:t>
            </w:r>
            <w:r>
              <w:rPr>
                <w:rFonts w:eastAsia="KaiTi_GB2312" w:hint="eastAsia"/>
                <w:color w:val="0000FF"/>
                <w:sz w:val="14"/>
              </w:rPr>
              <w:t>/</w:t>
            </w:r>
            <w:r>
              <w:rPr>
                <w:rFonts w:eastAsia="KaiTi_GB2312" w:hint="eastAsia"/>
                <w:color w:val="0000FF"/>
                <w:sz w:val="14"/>
              </w:rPr>
              <w:t>亲属</w:t>
            </w:r>
          </w:p>
        </w:tc>
        <w:tc>
          <w:tcPr>
            <w:tcW w:w="1250"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传统术士</w:t>
            </w:r>
            <w:r>
              <w:rPr>
                <w:rFonts w:eastAsia="KaiTi_GB2312" w:hint="eastAsia"/>
                <w:color w:val="0000FF"/>
                <w:sz w:val="14"/>
              </w:rPr>
              <w:t>/</w:t>
            </w:r>
            <w:r>
              <w:rPr>
                <w:rFonts w:eastAsia="KaiTi_GB2312" w:hint="eastAsia"/>
                <w:color w:val="0000FF"/>
                <w:sz w:val="14"/>
              </w:rPr>
              <w:t>接生婆</w:t>
            </w:r>
          </w:p>
        </w:tc>
        <w:tc>
          <w:tcPr>
            <w:tcW w:w="1251"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现代</w:t>
            </w:r>
          </w:p>
        </w:tc>
      </w:tr>
      <w:tr w:rsidR="00737B35">
        <w:tblPrEx>
          <w:tblCellMar>
            <w:top w:w="0" w:type="dxa"/>
            <w:bottom w:w="0" w:type="dxa"/>
          </w:tblCellMar>
        </w:tblPrEx>
        <w:trPr>
          <w:trHeight w:hRule="exact" w:val="115"/>
          <w:tblHeader/>
          <w:jc w:val="center"/>
        </w:trPr>
        <w:tc>
          <w:tcPr>
            <w:tcW w:w="1250" w:type="pct"/>
            <w:tcBorders>
              <w:top w:val="single" w:sz="12" w:space="0" w:color="auto"/>
            </w:tcBorders>
            <w:vAlign w:val="bottom"/>
          </w:tcPr>
          <w:p w:rsidR="00737B35" w:rsidRDefault="00737B35">
            <w:pPr>
              <w:spacing w:after="60" w:line="280" w:lineRule="exact"/>
              <w:ind w:right="40"/>
              <w:jc w:val="center"/>
              <w:rPr>
                <w:rFonts w:hint="eastAsia"/>
                <w:sz w:val="17"/>
              </w:rPr>
            </w:pPr>
          </w:p>
        </w:tc>
        <w:tc>
          <w:tcPr>
            <w:tcW w:w="1250" w:type="pct"/>
            <w:tcBorders>
              <w:top w:val="single" w:sz="12" w:space="0" w:color="auto"/>
            </w:tcBorders>
            <w:vAlign w:val="bottom"/>
          </w:tcPr>
          <w:p w:rsidR="00737B35" w:rsidRDefault="00737B35">
            <w:pPr>
              <w:spacing w:after="60" w:line="280" w:lineRule="exact"/>
              <w:ind w:right="40"/>
              <w:jc w:val="right"/>
              <w:rPr>
                <w:rFonts w:hint="eastAsia"/>
                <w:sz w:val="17"/>
              </w:rPr>
            </w:pPr>
          </w:p>
        </w:tc>
        <w:tc>
          <w:tcPr>
            <w:tcW w:w="1250" w:type="pct"/>
            <w:tcBorders>
              <w:top w:val="single" w:sz="12" w:space="0" w:color="auto"/>
            </w:tcBorders>
            <w:vAlign w:val="bottom"/>
          </w:tcPr>
          <w:p w:rsidR="00737B35" w:rsidRDefault="00737B35">
            <w:pPr>
              <w:spacing w:after="60" w:line="280" w:lineRule="exact"/>
              <w:ind w:right="40"/>
              <w:jc w:val="right"/>
              <w:rPr>
                <w:rFonts w:hint="eastAsia"/>
                <w:sz w:val="17"/>
              </w:rPr>
            </w:pPr>
          </w:p>
        </w:tc>
        <w:tc>
          <w:tcPr>
            <w:tcW w:w="1251" w:type="pct"/>
            <w:tcBorders>
              <w:top w:val="single" w:sz="12" w:space="0" w:color="auto"/>
            </w:tcBorders>
            <w:vAlign w:val="bottom"/>
          </w:tcPr>
          <w:p w:rsidR="00737B35" w:rsidRDefault="00737B35">
            <w:pPr>
              <w:spacing w:after="60" w:line="280" w:lineRule="exact"/>
              <w:ind w:right="40"/>
              <w:jc w:val="right"/>
              <w:rPr>
                <w:rFonts w:hint="eastAsia"/>
                <w:sz w:val="17"/>
              </w:rPr>
            </w:pPr>
          </w:p>
        </w:tc>
      </w:tr>
      <w:tr w:rsidR="00737B35">
        <w:tblPrEx>
          <w:tblCellMar>
            <w:top w:w="0" w:type="dxa"/>
            <w:bottom w:w="0" w:type="dxa"/>
          </w:tblCellMar>
        </w:tblPrEx>
        <w:trPr>
          <w:jc w:val="center"/>
        </w:trPr>
        <w:tc>
          <w:tcPr>
            <w:tcW w:w="1250" w:type="pct"/>
            <w:vAlign w:val="bottom"/>
          </w:tcPr>
          <w:p w:rsidR="00737B35" w:rsidRDefault="00737B35">
            <w:pPr>
              <w:tabs>
                <w:tab w:val="left" w:pos="357"/>
                <w:tab w:val="left" w:pos="714"/>
                <w:tab w:val="left" w:pos="1071"/>
                <w:tab w:val="left" w:pos="1429"/>
              </w:tabs>
              <w:spacing w:after="60" w:line="280" w:lineRule="exact"/>
              <w:ind w:right="40"/>
              <w:jc w:val="center"/>
              <w:rPr>
                <w:rFonts w:hint="eastAsia"/>
                <w:sz w:val="17"/>
              </w:rPr>
            </w:pPr>
            <w:r>
              <w:rPr>
                <w:rFonts w:hint="eastAsia"/>
                <w:sz w:val="17"/>
              </w:rPr>
              <w:t>城市/农村</w:t>
            </w:r>
          </w:p>
        </w:tc>
        <w:tc>
          <w:tcPr>
            <w:tcW w:w="1250"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城市/农村</w:t>
            </w:r>
          </w:p>
        </w:tc>
        <w:tc>
          <w:tcPr>
            <w:tcW w:w="1250"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城市/农村</w:t>
            </w:r>
          </w:p>
        </w:tc>
        <w:tc>
          <w:tcPr>
            <w:tcW w:w="1251"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城市/农村</w:t>
            </w:r>
          </w:p>
        </w:tc>
      </w:tr>
      <w:tr w:rsidR="00737B35">
        <w:tblPrEx>
          <w:tblCellMar>
            <w:top w:w="0" w:type="dxa"/>
            <w:bottom w:w="0" w:type="dxa"/>
          </w:tblCellMar>
        </w:tblPrEx>
        <w:trPr>
          <w:jc w:val="center"/>
        </w:trPr>
        <w:tc>
          <w:tcPr>
            <w:tcW w:w="1250"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center"/>
              <w:rPr>
                <w:rFonts w:hint="eastAsia"/>
                <w:sz w:val="17"/>
              </w:rPr>
            </w:pPr>
            <w:r>
              <w:rPr>
                <w:rFonts w:hint="eastAsia"/>
                <w:sz w:val="17"/>
              </w:rPr>
              <w:t>21%/42%</w:t>
            </w:r>
          </w:p>
        </w:tc>
        <w:tc>
          <w:tcPr>
            <w:tcW w:w="1250"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23%/34%</w:t>
            </w:r>
          </w:p>
        </w:tc>
        <w:tc>
          <w:tcPr>
            <w:tcW w:w="1250"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29%/21%</w:t>
            </w:r>
          </w:p>
        </w:tc>
        <w:tc>
          <w:tcPr>
            <w:tcW w:w="1251"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27%/3%</w:t>
            </w:r>
          </w:p>
        </w:tc>
      </w:tr>
    </w:tbl>
    <w:p w:rsidR="00737B35" w:rsidRDefault="00737B35">
      <w:pPr>
        <w:pStyle w:val="SingleTxt"/>
      </w:pPr>
    </w:p>
    <w:p w:rsidR="00737B35" w:rsidRDefault="00737B35">
      <w:pPr>
        <w:pStyle w:val="SingleTxt"/>
        <w:spacing w:line="360" w:lineRule="exact"/>
        <w:rPr>
          <w:rFonts w:hint="eastAsia"/>
        </w:rPr>
      </w:pPr>
      <w:r>
        <w:tab/>
      </w:r>
      <w:r>
        <w:rPr>
          <w:rFonts w:hint="eastAsia"/>
        </w:rPr>
        <w:t>按地点统计，老挝共和国的分娩援助差异很大。在城市地区，孩子分娩时</w:t>
      </w:r>
      <w:r>
        <w:rPr>
          <w:rFonts w:hint="eastAsia"/>
          <w:spacing w:val="2"/>
        </w:rPr>
        <w:t>利用现代保健服务的要高得多，达到27％，而且随收入水平明显提高。在农村地区，所有收入组的现代保健利用率都低。在15至49岁年龄组的</w:t>
      </w:r>
      <w:r>
        <w:rPr>
          <w:rFonts w:hint="eastAsia"/>
        </w:rPr>
        <w:t>已婚妇女中，只有17％接受过至少三次破伤风疫苗接种，这是一种在分娩时能够拯救母亲生命的免疫功能。</w:t>
      </w:r>
    </w:p>
    <w:p w:rsidR="00737B35" w:rsidRDefault="00737B35">
      <w:pPr>
        <w:pStyle w:val="SingleTxt"/>
        <w:spacing w:line="360" w:lineRule="exact"/>
        <w:rPr>
          <w:rFonts w:hint="eastAsia"/>
        </w:rPr>
      </w:pPr>
      <w:r>
        <w:tab/>
      </w:r>
      <w:r>
        <w:rPr>
          <w:rFonts w:hint="eastAsia"/>
        </w:rPr>
        <w:t>产后护理多数通过妇幼保健诊所的保健人员的家访进行，这是因为文化惯例鼓励产妇分娩后卧床约一个月。不过，目前这种服务提供的程度相当有限。</w:t>
      </w:r>
    </w:p>
    <w:p w:rsidR="00737B35" w:rsidRDefault="00737B35">
      <w:pPr>
        <w:pStyle w:val="SingleTxt"/>
        <w:spacing w:line="360" w:lineRule="exact"/>
        <w:rPr>
          <w:rFonts w:hint="eastAsia"/>
        </w:rPr>
      </w:pPr>
      <w:r>
        <w:tab/>
      </w:r>
      <w:r>
        <w:rPr>
          <w:rFonts w:hint="eastAsia"/>
        </w:rPr>
        <w:t>近三分之一的老挝家庭食物摄入量不足，因此许多成人和儿童患有慢性能量不足症。由于劳动负担繁重，食品不安全和经常怀孕，妇女的患病率高于男子（分别为15％和12％）（粮农组织，1995年）。长期的母乳喂养做法（平均14至16个月）有益于新生儿，但在食品摄入数量质量差的情况下，这种做法会严重减少母亲的营养。数次住户和营养调查（国家统计中心、老挝支出和消费调查/老挝社会指标调查，1993年；粮农组织，1995年）都提请注意急性和慢性营养不良的盛行及其与家庭食品安全、贫困、低水平的教育和洁净水供应的关系。慢性营养不良在人口中普遍存在且分布均匀。世界银行的研究（1995年）表明，与我国北部和中部地区比较，南部地区的急性营养不良高达两倍。不过，老挝共和国的营养不良远低于东南亚的平均水平。</w:t>
      </w:r>
    </w:p>
    <w:p w:rsidR="00737B35" w:rsidRDefault="00737B35">
      <w:pPr>
        <w:pStyle w:val="SingleTxt"/>
        <w:spacing w:line="360" w:lineRule="exact"/>
        <w:rPr>
          <w:rFonts w:hint="eastAsia"/>
        </w:rPr>
      </w:pPr>
      <w:r>
        <w:tab/>
      </w:r>
      <w:r>
        <w:rPr>
          <w:rFonts w:hint="eastAsia"/>
        </w:rPr>
        <w:t>5岁以下儿童消瘦和身高发育不良看来很严重。从粮农组织对老挝营养状况的诊断可以看出，0至5岁婴幼儿消瘦（体重与身高之比）程度为10％，发育不良（身高与年龄之比）达到48％。根据这些研究，食品消费和营养不良的性别差异程度微不足道。然而，需作进一步的研究以证实这一结果。</w:t>
      </w:r>
    </w:p>
    <w:p w:rsidR="00737B35" w:rsidRDefault="00737B35">
      <w:pPr>
        <w:pStyle w:val="SingleTxt"/>
        <w:spacing w:line="360" w:lineRule="exact"/>
        <w:rPr>
          <w:rFonts w:hint="eastAsia"/>
        </w:rPr>
      </w:pPr>
      <w:r>
        <w:tab/>
      </w:r>
      <w:r>
        <w:rPr>
          <w:rFonts w:hint="eastAsia"/>
        </w:rPr>
        <w:t>老挝共和国政府已认识到与死亡率相关的严重问题，并已推出了一个方案与这种令人忧虑的趋势作斗争。政府已制定了一个目标，即到2000年将孕产妇死亡率降至400/100 000。为实现这个目标，安全孕产方案将致力于：</w:t>
      </w:r>
    </w:p>
    <w:p w:rsidR="00737B35" w:rsidRDefault="00737B35">
      <w:pPr>
        <w:pStyle w:val="SingleTxt"/>
        <w:spacing w:line="360" w:lineRule="exact"/>
        <w:ind w:left="2126" w:hanging="431"/>
        <w:rPr>
          <w:rFonts w:hint="eastAsia"/>
        </w:rPr>
      </w:pPr>
      <w:r>
        <w:rPr>
          <w:rFonts w:hint="eastAsia"/>
        </w:rPr>
        <w:sym w:font="Symbol" w:char="F0B7"/>
      </w:r>
      <w:r>
        <w:tab/>
      </w:r>
      <w:r>
        <w:rPr>
          <w:rFonts w:hint="eastAsia"/>
        </w:rPr>
        <w:t>确保全体妇女中至少50％能够获得和利用高质量的产前、产中和产后护理，并将高风险怀孕病人和产科紧急病人转至医院；</w:t>
      </w:r>
    </w:p>
    <w:p w:rsidR="00737B35" w:rsidRDefault="00737B35">
      <w:pPr>
        <w:pStyle w:val="SingleTxt"/>
        <w:spacing w:line="360" w:lineRule="exact"/>
        <w:ind w:left="2126" w:hanging="431"/>
        <w:rPr>
          <w:rFonts w:hint="eastAsia"/>
        </w:rPr>
      </w:pPr>
      <w:r>
        <w:rPr>
          <w:rFonts w:hint="eastAsia"/>
        </w:rPr>
        <w:sym w:font="Symbol" w:char="F0B7"/>
      </w:r>
      <w:r>
        <w:tab/>
      </w:r>
      <w:r>
        <w:rPr>
          <w:rFonts w:hint="eastAsia"/>
        </w:rPr>
        <w:t>提倡独享的母乳喂养至4个月（至少80％的妇女）；</w:t>
      </w:r>
    </w:p>
    <w:p w:rsidR="00737B35" w:rsidRDefault="00737B35">
      <w:pPr>
        <w:pStyle w:val="SingleTxt"/>
        <w:spacing w:line="360" w:lineRule="exact"/>
        <w:ind w:left="2126" w:hanging="431"/>
        <w:rPr>
          <w:rFonts w:hint="eastAsia"/>
        </w:rPr>
      </w:pPr>
      <w:r>
        <w:rPr>
          <w:rFonts w:hint="eastAsia"/>
        </w:rPr>
        <w:sym w:font="Symbol" w:char="F0B7"/>
      </w:r>
      <w:r>
        <w:tab/>
      </w:r>
      <w:r>
        <w:rPr>
          <w:rFonts w:hint="eastAsia"/>
        </w:rPr>
        <w:t>提倡分娩后30分钟之内母乳喂养以减少产后出血（至少80％的妇女）；</w:t>
      </w:r>
    </w:p>
    <w:p w:rsidR="00737B35" w:rsidRDefault="00737B35">
      <w:pPr>
        <w:pStyle w:val="SingleTxt"/>
        <w:spacing w:line="360" w:lineRule="exact"/>
        <w:ind w:left="2126" w:hanging="431"/>
        <w:rPr>
          <w:rFonts w:hint="eastAsia"/>
        </w:rPr>
      </w:pPr>
      <w:r>
        <w:rPr>
          <w:rFonts w:hint="eastAsia"/>
        </w:rPr>
        <w:sym w:font="Symbol" w:char="F0B7"/>
      </w:r>
      <w:r>
        <w:tab/>
      </w:r>
      <w:r>
        <w:rPr>
          <w:rFonts w:hint="eastAsia"/>
        </w:rPr>
        <w:t>提倡使用蚊帐（impregnated　nets）（至少80％的妇女睡觉使用蚊帐以减少疟疾和贫血症的发生）；</w:t>
      </w:r>
    </w:p>
    <w:p w:rsidR="00737B35" w:rsidRDefault="00737B35">
      <w:pPr>
        <w:pStyle w:val="SingleTxt"/>
        <w:spacing w:line="360" w:lineRule="exact"/>
        <w:ind w:left="2126" w:hanging="431"/>
        <w:rPr>
          <w:rFonts w:hint="eastAsia"/>
        </w:rPr>
      </w:pPr>
      <w:r>
        <w:rPr>
          <w:rFonts w:hint="eastAsia"/>
        </w:rPr>
        <w:sym w:font="Symbol" w:char="F0B7"/>
      </w:r>
      <w:r>
        <w:tab/>
      </w:r>
      <w:r>
        <w:rPr>
          <w:rFonts w:hint="eastAsia"/>
        </w:rPr>
        <w:t>消除碘和维生素A缺乏症。</w:t>
      </w:r>
    </w:p>
    <w:p w:rsidR="00737B35" w:rsidRDefault="00737B35">
      <w:pPr>
        <w:pStyle w:val="SingleTxt"/>
        <w:spacing w:line="360" w:lineRule="exact"/>
        <w:rPr>
          <w:rFonts w:hint="eastAsia"/>
        </w:rPr>
      </w:pPr>
      <w:r>
        <w:tab/>
      </w:r>
      <w:r>
        <w:rPr>
          <w:rFonts w:hint="eastAsia"/>
        </w:rPr>
        <w:t>妇女的需要问题还由扩大的免疫方案、全国腹泻病方案和急性呼吸道感染方案等处理。</w:t>
      </w:r>
    </w:p>
    <w:p w:rsidR="00737B35" w:rsidRDefault="00737B35">
      <w:pPr>
        <w:pStyle w:val="SingleTxt"/>
        <w:spacing w:line="360" w:lineRule="exact"/>
        <w:rPr>
          <w:rFonts w:ascii="SimHei" w:eastAsia="SimHei" w:hint="eastAsia"/>
          <w:color w:val="FF0000"/>
        </w:rPr>
      </w:pPr>
      <w:r>
        <w:rPr>
          <w:rFonts w:ascii="SimHei" w:eastAsia="SimHei" w:hint="eastAsia"/>
          <w:color w:val="FF0000"/>
        </w:rPr>
        <w:t>妇女享受计划生育服务</w:t>
      </w:r>
    </w:p>
    <w:p w:rsidR="00737B35" w:rsidRDefault="00737B35">
      <w:pPr>
        <w:pStyle w:val="SingleTxt"/>
        <w:spacing w:line="360" w:lineRule="exact"/>
        <w:rPr>
          <w:rFonts w:hint="eastAsia"/>
        </w:rPr>
      </w:pPr>
      <w:r>
        <w:tab/>
      </w:r>
      <w:r>
        <w:rPr>
          <w:rFonts w:hint="eastAsia"/>
        </w:rPr>
        <w:t>老挝共和国的总生育率为5.6个（人口普查，1995年）。城市地区显示生育率低于农村地区。根据目前生育率测量，城市妇女平均有3个子女，少于其农村姐妹（生育率和出生间隔调查，1995年）。同项调查提示，总生育率随教育和富裕程度下降，而且情况相同而不管何种民族群体。</w:t>
      </w:r>
    </w:p>
    <w:p w:rsidR="00737B35" w:rsidRDefault="00737B35">
      <w:pPr>
        <w:pStyle w:val="SingleTxt"/>
        <w:spacing w:line="360" w:lineRule="exact"/>
        <w:rPr>
          <w:rFonts w:hint="eastAsia"/>
        </w:rPr>
      </w:pPr>
      <w:r>
        <w:tab/>
      </w:r>
      <w:r>
        <w:rPr>
          <w:rFonts w:hint="eastAsia"/>
        </w:rPr>
        <w:t>降低妇幼死亡率的一个主要因素是提高年轻妇女生头胎的平均年龄。不过，生育率和出生间隔调查（1995年）显示年轻妇女结婚和生孩子的平均年龄小于她们的母亲。农村地区和城市地区分别有28％和17％的年轻妇女15至19岁生孩子（人口普查，1995年）。目前年轻妇女在19.7岁时生头胎，比她们的母亲早得多，后者在22.1岁的中位数年龄开始生孩子。</w:t>
      </w:r>
    </w:p>
    <w:p w:rsidR="00737B35" w:rsidRDefault="00737B35">
      <w:pPr>
        <w:pStyle w:val="SingleTxt"/>
        <w:spacing w:line="360" w:lineRule="exact"/>
        <w:rPr>
          <w:rFonts w:hint="eastAsia"/>
        </w:rPr>
      </w:pPr>
      <w:r>
        <w:tab/>
      </w:r>
      <w:r>
        <w:rPr>
          <w:rFonts w:hint="eastAsia"/>
        </w:rPr>
        <w:t>还有一个重要的生育率因素是男女双方对合意的家庭规模和避孕手段使用的态度。生育率和出生间隔调查（1995年）表明，55％的已婚妇女不想再要孩子。想要更多子女的愿望同尚未生育3个子女的妇女密切相关，而在这以后限制家庭成员数的愿望占据上风。在不想再要子女的人中，很大比例是从事农业、受教育较少和生活在我国北部和中部地区的妇女。迄今为止，关于男子的避孕观念和所希望的子女数尚未获得多少信息。</w:t>
      </w:r>
    </w:p>
    <w:p w:rsidR="00737B35" w:rsidRDefault="00737B35">
      <w:pPr>
        <w:pStyle w:val="SingleTxt"/>
        <w:spacing w:line="360" w:lineRule="exact"/>
        <w:rPr>
          <w:rFonts w:hint="eastAsia"/>
        </w:rPr>
      </w:pPr>
      <w:r>
        <w:tab/>
      </w:r>
      <w:r>
        <w:rPr>
          <w:rFonts w:hint="eastAsia"/>
        </w:rPr>
        <w:t>在过去4年中，避孕的普及率稳步提高，从1995年的4.8％增至1998年的11％。在城市地区，接受程度高于农村地区。</w:t>
      </w:r>
    </w:p>
    <w:p w:rsidR="00737B35" w:rsidRDefault="00737B35">
      <w:pPr>
        <w:pStyle w:val="SingleTxt"/>
        <w:rPr>
          <w:rFonts w:ascii="SimHei" w:eastAsia="SimHei"/>
          <w:color w:val="FF0000"/>
        </w:rPr>
      </w:pPr>
      <w:r>
        <w:rPr>
          <w:rFonts w:ascii="SimHei" w:eastAsia="SimHei" w:hint="eastAsia"/>
          <w:color w:val="FF0000"/>
        </w:rPr>
        <w:t>1998年按省列示的避孕观念接受情况和估计的避孕普及率</w:t>
      </w:r>
      <w:r>
        <w:rPr>
          <w:rStyle w:val="FootnoteReference"/>
          <w:rFonts w:ascii="SimHei" w:eastAsia="SimHei"/>
        </w:rPr>
        <w:footnoteReference w:id="3"/>
      </w:r>
    </w:p>
    <w:tbl>
      <w:tblPr>
        <w:tblW w:w="3635" w:type="pct"/>
        <w:jc w:val="center"/>
        <w:tblLook w:val="0000" w:firstRow="0" w:lastRow="0" w:firstColumn="0" w:lastColumn="0" w:noHBand="0" w:noVBand="0"/>
      </w:tblPr>
      <w:tblGrid>
        <w:gridCol w:w="2439"/>
        <w:gridCol w:w="2440"/>
        <w:gridCol w:w="2440"/>
      </w:tblGrid>
      <w:tr w:rsidR="00737B35">
        <w:tblPrEx>
          <w:tblCellMar>
            <w:top w:w="0" w:type="dxa"/>
            <w:bottom w:w="0" w:type="dxa"/>
          </w:tblCellMar>
        </w:tblPrEx>
        <w:trPr>
          <w:tblHeader/>
          <w:jc w:val="center"/>
        </w:trPr>
        <w:tc>
          <w:tcPr>
            <w:tcW w:w="1666" w:type="pct"/>
            <w:tcBorders>
              <w:top w:val="single" w:sz="2" w:space="0" w:color="auto"/>
              <w:bottom w:val="single" w:sz="12" w:space="0" w:color="auto"/>
            </w:tcBorders>
            <w:vAlign w:val="bottom"/>
          </w:tcPr>
          <w:p w:rsidR="00737B35" w:rsidRDefault="00737B35">
            <w:pPr>
              <w:spacing w:before="60" w:after="60" w:line="240" w:lineRule="exact"/>
              <w:ind w:right="40"/>
              <w:rPr>
                <w:rFonts w:eastAsia="KaiTi_GB2312" w:hint="eastAsia"/>
                <w:color w:val="0000FF"/>
                <w:sz w:val="14"/>
              </w:rPr>
            </w:pPr>
            <w:r>
              <w:rPr>
                <w:rFonts w:eastAsia="KaiTi_GB2312" w:hint="eastAsia"/>
                <w:color w:val="0000FF"/>
                <w:sz w:val="14"/>
              </w:rPr>
              <w:t>省</w:t>
            </w:r>
          </w:p>
        </w:tc>
        <w:tc>
          <w:tcPr>
            <w:tcW w:w="1667"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接受人数</w:t>
            </w:r>
          </w:p>
        </w:tc>
        <w:tc>
          <w:tcPr>
            <w:tcW w:w="1667"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普及率</w:t>
            </w:r>
          </w:p>
        </w:tc>
      </w:tr>
      <w:tr w:rsidR="00737B35">
        <w:tblPrEx>
          <w:tblCellMar>
            <w:top w:w="0" w:type="dxa"/>
            <w:bottom w:w="0" w:type="dxa"/>
          </w:tblCellMar>
        </w:tblPrEx>
        <w:trPr>
          <w:trHeight w:hRule="exact" w:val="115"/>
          <w:tblHeader/>
          <w:jc w:val="center"/>
        </w:trPr>
        <w:tc>
          <w:tcPr>
            <w:tcW w:w="1666" w:type="pct"/>
            <w:tcBorders>
              <w:top w:val="single" w:sz="12" w:space="0" w:color="auto"/>
            </w:tcBorders>
            <w:vAlign w:val="bottom"/>
          </w:tcPr>
          <w:p w:rsidR="00737B35" w:rsidRDefault="00737B35">
            <w:pPr>
              <w:spacing w:after="60" w:line="280" w:lineRule="exact"/>
              <w:ind w:right="40"/>
              <w:rPr>
                <w:rFonts w:hint="eastAsia"/>
                <w:sz w:val="17"/>
              </w:rPr>
            </w:pPr>
          </w:p>
        </w:tc>
        <w:tc>
          <w:tcPr>
            <w:tcW w:w="1667" w:type="pct"/>
            <w:tcBorders>
              <w:top w:val="single" w:sz="12" w:space="0" w:color="auto"/>
            </w:tcBorders>
            <w:vAlign w:val="bottom"/>
          </w:tcPr>
          <w:p w:rsidR="00737B35" w:rsidRDefault="00737B35">
            <w:pPr>
              <w:spacing w:after="60" w:line="280" w:lineRule="exact"/>
              <w:ind w:right="40"/>
              <w:jc w:val="right"/>
              <w:rPr>
                <w:rFonts w:hint="eastAsia"/>
                <w:sz w:val="17"/>
              </w:rPr>
            </w:pPr>
          </w:p>
        </w:tc>
        <w:tc>
          <w:tcPr>
            <w:tcW w:w="1667" w:type="pct"/>
            <w:tcBorders>
              <w:top w:val="single" w:sz="12" w:space="0" w:color="auto"/>
            </w:tcBorders>
            <w:vAlign w:val="bottom"/>
          </w:tcPr>
          <w:p w:rsidR="00737B35" w:rsidRDefault="00737B35">
            <w:pPr>
              <w:spacing w:after="60" w:line="280" w:lineRule="exact"/>
              <w:ind w:right="40"/>
              <w:jc w:val="right"/>
              <w:rPr>
                <w:rFonts w:hint="eastAsia"/>
                <w:sz w:val="17"/>
              </w:rPr>
            </w:pP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万象直辖市</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10 544</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12.4%</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万象省</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3 150</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6.5%</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甘蒙</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6 666</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14.3%</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琅勃拉邦</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4 201</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7.1%</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沙耶武里</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1 315</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2.7%</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沙湾拿吉</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13 089</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11.1%</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博胶</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1 296</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6.6%</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乌多姆赛</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2 283</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6.5%</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川圹</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2 331</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7.1%</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华潘</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3 888</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9.2%</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占巴塞</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5 378</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6.2%</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沙拉湾</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3 091</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6.4%</w:t>
            </w:r>
          </w:p>
        </w:tc>
      </w:tr>
      <w:tr w:rsidR="00737B35">
        <w:tblPrEx>
          <w:tblCellMar>
            <w:top w:w="0" w:type="dxa"/>
            <w:bottom w:w="0" w:type="dxa"/>
          </w:tblCellMar>
        </w:tblPrEx>
        <w:trPr>
          <w:jc w:val="center"/>
        </w:trPr>
        <w:tc>
          <w:tcPr>
            <w:tcW w:w="1666"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公河</w:t>
            </w:r>
          </w:p>
        </w:tc>
        <w:tc>
          <w:tcPr>
            <w:tcW w:w="1667"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533</w:t>
            </w:r>
          </w:p>
        </w:tc>
        <w:tc>
          <w:tcPr>
            <w:tcW w:w="1667"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4.6%</w:t>
            </w:r>
          </w:p>
        </w:tc>
      </w:tr>
    </w:tbl>
    <w:p w:rsidR="00737B35" w:rsidRDefault="00737B35">
      <w:pPr>
        <w:pStyle w:val="SingleTxt"/>
      </w:pPr>
    </w:p>
    <w:p w:rsidR="00737B35" w:rsidRDefault="00737B35">
      <w:pPr>
        <w:pStyle w:val="SingleTxt"/>
        <w:rPr>
          <w:rFonts w:hint="eastAsia"/>
        </w:rPr>
      </w:pPr>
      <w:r>
        <w:tab/>
      </w:r>
      <w:r>
        <w:rPr>
          <w:rFonts w:hint="eastAsia"/>
        </w:rPr>
        <w:t>对具体避孕法的偏爱似乎随地域而变化很大。一般说，可注射的药物是最受欢迎的避孕法（1998年为46.5％）。接下来依次是口服药丸（24.2％）、宫内避孕器（20.4％）和安全套（9％）（全国出生间隔方案、IMCH、公共卫生部，1999年）。</w:t>
      </w:r>
    </w:p>
    <w:p w:rsidR="00737B35" w:rsidRDefault="00737B35">
      <w:pPr>
        <w:pStyle w:val="SingleTxt"/>
        <w:rPr>
          <w:rFonts w:hint="eastAsia"/>
        </w:rPr>
      </w:pPr>
      <w:r>
        <w:tab/>
      </w:r>
      <w:r>
        <w:rPr>
          <w:rFonts w:hint="eastAsia"/>
        </w:rPr>
        <w:t>同已婚夫妻的情况不一样，青少年接受关于生殖健康或出生间隔的信息或咨询的渠道很少。这个问题目前正在通过在各级教育机构提供人口教育班加以解决。如在第10条项下所解释，这个教育方案将加以扩大。此外，老挝青年联盟将青年（男女双方），特别是15至24岁的非在校青年作为对象。该方案将专注于性发育、对性别关系认识的提高、生育子女和出生间隔以及性传播疾病和艾滋病毒/艾滋病的预防等。基于社区的普及法将适用于培训教育者同行。老挝青年联盟还将与卫生部一起共同探索创新方法以向青少年提供咨询和生育间隔服务。</w:t>
      </w:r>
    </w:p>
    <w:p w:rsidR="00737B35" w:rsidRDefault="00737B35">
      <w:pPr>
        <w:pStyle w:val="SingleTxt"/>
        <w:rPr>
          <w:rFonts w:hint="eastAsia"/>
        </w:rPr>
      </w:pPr>
      <w:r>
        <w:tab/>
      </w:r>
      <w:r>
        <w:rPr>
          <w:rFonts w:hint="eastAsia"/>
        </w:rPr>
        <w:t>生育率和出生间隔调查表明，在女性答卷人中39％的人了解堕胎，但自1991年以来只有3％的人有过一次。根据《刑法》第85条规定，“任何人如实施非法堕胎可处以2至5年监禁。如经常实施非法堕胎或不法行为者使妇女的健康恶化或使该妇女死亡，对不法行为者可处以5至10年监禁。自行实施或试图实施堕胎或要求他人为她实施堕胎的妇女，将处以3个月至1年的监禁。”（非正式译文）</w:t>
      </w:r>
    </w:p>
    <w:p w:rsidR="00737B35" w:rsidRDefault="00737B35">
      <w:pPr>
        <w:pStyle w:val="SingleTxt"/>
        <w:rPr>
          <w:rFonts w:hint="eastAsia"/>
        </w:rPr>
      </w:pPr>
      <w:r>
        <w:tab/>
      </w:r>
      <w:r>
        <w:rPr>
          <w:rFonts w:hint="eastAsia"/>
        </w:rPr>
        <w:t>不过，近年来医院已能制定允许据以实施堕胎的医学标准。这包括危及母亲生命的与怀孕相关的风险，母亲至少已有4个子女和出生间隔法失效引起的怀孕。老挝政府非常关注这样一种情况，即堕胎并发症是孕产妇死亡的第二大原因，并因此推出了一个项目向省县两级的妇幼保健人员提供全面培训以治疗浓毒性堕胎并发症。</w:t>
      </w:r>
    </w:p>
    <w:p w:rsidR="00737B35" w:rsidRDefault="00737B35">
      <w:pPr>
        <w:pStyle w:val="SingleTxt"/>
        <w:rPr>
          <w:rFonts w:hint="eastAsia"/>
        </w:rPr>
      </w:pPr>
      <w:r>
        <w:tab/>
      </w:r>
      <w:r>
        <w:rPr>
          <w:rFonts w:hint="eastAsia"/>
        </w:rPr>
        <w:t>在统计上，不把男女绝育视为出生间隔法的一部分。但有着明确的规则管理在何种条件下（例如已产子女数、年龄、健康状况、社会经济状况）可以实施女性绝育，而且有许多省县级医院提供这种服务。不幸的是，这些程序登记在普外科项下，不反映在出生间隔服务的分娩统计中。</w:t>
      </w:r>
    </w:p>
    <w:p w:rsidR="00737B35" w:rsidRDefault="00737B35">
      <w:pPr>
        <w:pStyle w:val="SingleTxt"/>
        <w:rPr>
          <w:rFonts w:hint="eastAsia"/>
        </w:rPr>
      </w:pPr>
      <w:r>
        <w:tab/>
      </w:r>
      <w:r>
        <w:rPr>
          <w:rFonts w:hint="eastAsia"/>
        </w:rPr>
        <w:t>为促进安全孕产和儿童营养，并满足公众对避孕日益增长的需求，政府于1988年将它的鼓励提高人口出生率的立场改为提倡出生间隔的立场。全国出生间隔方案于1995年开始执行，其授权来自卫生部批准的国家出生间隔政策。与老挝妇女联盟一起培训了一支村志愿人员队伍（基于社区的分配人员）以在我国农村地区倡导出生间隔。还对村级药店和商店店主进行了培训以提供有关出生间隔服务的基础教育和某些咨询，以及直接向有关客户分发安全套和口服药丸。今后将建立更多的流动诊所以提供出生间隔服务，还将为孕妇、产后妇女及其新生儿提供例行的服务。</w:t>
      </w:r>
    </w:p>
    <w:p w:rsidR="00737B35" w:rsidRDefault="00737B35">
      <w:pPr>
        <w:pStyle w:val="SingleTxt"/>
        <w:rPr>
          <w:rFonts w:hint="eastAsia"/>
        </w:rPr>
      </w:pPr>
      <w:r>
        <w:tab/>
      </w:r>
      <w:r>
        <w:rPr>
          <w:rFonts w:hint="eastAsia"/>
        </w:rPr>
        <w:t>1999年5月，国家计划委员会拟订了国家人口与发展政策定稿并提交部长内阁审批。这项政策直接响应老挝人民革命党1996年第六次代表大会的决议，它要求制定有关政策使人口增长与国家经济发展水平相适应。政策还符合老挝共和国签署的1994年开罗国际人口与发展会议通过的《行动方案》的目标。政策引用了《老挝共和国宪法》（1991年）第24和27条，认可政治、经济、文化、社会和家庭事务方面男女平等，并指出妇女在法定权利、经济和社会机会方面应得到平等待遇。</w:t>
      </w:r>
    </w:p>
    <w:p w:rsidR="00737B35" w:rsidRDefault="00737B35">
      <w:pPr>
        <w:pStyle w:val="SingleTxt"/>
        <w:rPr>
          <w:rFonts w:hint="eastAsia"/>
        </w:rPr>
      </w:pPr>
      <w:r>
        <w:tab/>
      </w:r>
      <w:r>
        <w:rPr>
          <w:rFonts w:hint="eastAsia"/>
        </w:rPr>
        <w:t>国家人口政策和发展政策草案阐明了2000至2020年的政策目标、目标指标和执行战略。政策具体地要求扩大初级保健的范围；向全国各地提供生殖健康和计划生育服务，特别是农村地区，以便降低婴儿、孕产妇、5岁以下儿童的死亡率和总生育率，同时又在2020年前将避孕普及率提高到85％。政策提倡为了妇女的最佳健康生育间隔至少应为2至3年，而且理想的母子比率应为2至4个子女。政策还拟订了到2020年女性的识字率和女学生的入学率，并主张加强人口数据收集以指导人口活动的政策、规划和实施。</w:t>
      </w:r>
    </w:p>
    <w:p w:rsidR="00737B35" w:rsidRDefault="00737B35">
      <w:pPr>
        <w:pStyle w:val="SingleTxt"/>
        <w:rPr>
          <w:rFonts w:ascii="SimHei" w:eastAsia="SimHei" w:hint="eastAsia"/>
          <w:color w:val="FF0000"/>
        </w:rPr>
      </w:pPr>
      <w:r>
        <w:rPr>
          <w:rFonts w:ascii="SimHei" w:eastAsia="SimHei"/>
          <w:color w:val="FF0000"/>
        </w:rPr>
        <w:br w:type="page"/>
      </w:r>
      <w:r>
        <w:rPr>
          <w:rFonts w:ascii="SimHei" w:eastAsia="SimHei" w:hint="eastAsia"/>
          <w:color w:val="FF0000"/>
        </w:rPr>
        <w:t>性传播疾病和艾滋病毒/艾滋病</w:t>
      </w:r>
    </w:p>
    <w:p w:rsidR="00737B35" w:rsidRDefault="00737B35">
      <w:pPr>
        <w:pStyle w:val="SingleTxt"/>
        <w:rPr>
          <w:rFonts w:hint="eastAsia"/>
        </w:rPr>
      </w:pPr>
      <w:r>
        <w:tab/>
      </w:r>
      <w:r>
        <w:rPr>
          <w:rFonts w:hint="eastAsia"/>
        </w:rPr>
        <w:t>鉴于老挝共和国与亚洲艾滋病毒感染率最高的三个国家，即柬埔寨、缅甸和泰国为邻，因此关注艾滋病毒是有原因的。根据最近得到的信息，感染艾滋病毒的累积人数为420人，其中46％为男性，35％为女性。接受测试的人中19％不希望被确定，因此数据不能按性别分类。虽然这个数字看来较低，但目前正在建立一个国家血清检测系统，而且越来越多的轶事证据表明老挝共和国目前可能确实在流行艾滋病毒。这包括：</w:t>
      </w:r>
    </w:p>
    <w:p w:rsidR="00737B35" w:rsidRDefault="00737B35">
      <w:pPr>
        <w:pStyle w:val="SingleTxt"/>
        <w:tabs>
          <w:tab w:val="clear" w:pos="1264"/>
          <w:tab w:val="clear" w:pos="1695"/>
          <w:tab w:val="clear" w:pos="2126"/>
          <w:tab w:val="clear" w:pos="2988"/>
          <w:tab w:val="clear" w:pos="3419"/>
          <w:tab w:val="clear" w:pos="3850"/>
          <w:tab w:val="clear" w:pos="4281"/>
          <w:tab w:val="clear" w:pos="4712"/>
          <w:tab w:val="clear" w:pos="5143"/>
          <w:tab w:val="clear" w:pos="5574"/>
          <w:tab w:val="clear" w:pos="6005"/>
          <w:tab w:val="clear" w:pos="6435"/>
          <w:tab w:val="right" w:pos="1680"/>
          <w:tab w:val="left" w:pos="1890"/>
          <w:tab w:val="left" w:pos="2557"/>
        </w:tabs>
        <w:ind w:left="1888" w:hanging="624"/>
        <w:rPr>
          <w:rFonts w:hint="eastAsia"/>
        </w:rPr>
      </w:pPr>
      <w:r>
        <w:tab/>
      </w:r>
      <w:r>
        <w:rPr>
          <w:rFonts w:hint="eastAsia"/>
        </w:rPr>
        <w:t>-</w:t>
      </w:r>
      <w:r>
        <w:rPr>
          <w:rFonts w:hint="eastAsia"/>
        </w:rPr>
        <w:tab/>
        <w:t>在泰国干季节工回国后接受测试的近1 000个年轻人中感染率超过了6％（不幸的是信息未按性别分类）；</w:t>
      </w:r>
    </w:p>
    <w:p w:rsidR="00737B35" w:rsidRDefault="00737B35">
      <w:pPr>
        <w:pStyle w:val="SingleTxt"/>
        <w:tabs>
          <w:tab w:val="clear" w:pos="1264"/>
          <w:tab w:val="clear" w:pos="1695"/>
          <w:tab w:val="clear" w:pos="2126"/>
          <w:tab w:val="clear" w:pos="2988"/>
          <w:tab w:val="clear" w:pos="3419"/>
          <w:tab w:val="clear" w:pos="3850"/>
          <w:tab w:val="clear" w:pos="4281"/>
          <w:tab w:val="clear" w:pos="4712"/>
          <w:tab w:val="clear" w:pos="5143"/>
          <w:tab w:val="clear" w:pos="5574"/>
          <w:tab w:val="clear" w:pos="6005"/>
          <w:tab w:val="clear" w:pos="6435"/>
          <w:tab w:val="right" w:pos="1680"/>
          <w:tab w:val="left" w:pos="1890"/>
          <w:tab w:val="left" w:pos="2557"/>
        </w:tabs>
        <w:ind w:left="1888" w:hanging="624"/>
        <w:rPr>
          <w:rFonts w:hint="eastAsia"/>
        </w:rPr>
      </w:pPr>
      <w:r>
        <w:tab/>
      </w:r>
      <w:r>
        <w:rPr>
          <w:rFonts w:hint="eastAsia"/>
        </w:rPr>
        <w:t>-</w:t>
      </w:r>
      <w:r>
        <w:rPr>
          <w:rFonts w:hint="eastAsia"/>
        </w:rPr>
        <w:tab/>
        <w:t>有证据表明被认为风险不是最大的人群中感染率在上升，其中包括已婚妇女和从未出过国的其他人；</w:t>
      </w:r>
    </w:p>
    <w:p w:rsidR="00737B35" w:rsidRDefault="00737B35">
      <w:pPr>
        <w:pStyle w:val="SingleTxt"/>
        <w:tabs>
          <w:tab w:val="clear" w:pos="1264"/>
          <w:tab w:val="clear" w:pos="1695"/>
          <w:tab w:val="clear" w:pos="2126"/>
          <w:tab w:val="clear" w:pos="2988"/>
          <w:tab w:val="clear" w:pos="3419"/>
          <w:tab w:val="clear" w:pos="3850"/>
          <w:tab w:val="clear" w:pos="4281"/>
          <w:tab w:val="clear" w:pos="4712"/>
          <w:tab w:val="clear" w:pos="5143"/>
          <w:tab w:val="clear" w:pos="5574"/>
          <w:tab w:val="clear" w:pos="6005"/>
          <w:tab w:val="clear" w:pos="6435"/>
          <w:tab w:val="right" w:pos="1680"/>
          <w:tab w:val="left" w:pos="1890"/>
          <w:tab w:val="left" w:pos="2557"/>
        </w:tabs>
        <w:ind w:left="1888" w:hanging="624"/>
        <w:rPr>
          <w:rFonts w:hint="eastAsia"/>
        </w:rPr>
      </w:pPr>
      <w:r>
        <w:tab/>
      </w:r>
      <w:r>
        <w:rPr>
          <w:rFonts w:hint="eastAsia"/>
        </w:rPr>
        <w:t>-</w:t>
      </w:r>
      <w:r>
        <w:rPr>
          <w:rFonts w:hint="eastAsia"/>
        </w:rPr>
        <w:tab/>
        <w:t>经济拮据与大型公共基础设施项目和商业公司对移民工需求的增加结合起来造成酒吧工作和酒吧工增加，以及随着道路改善和老挝共和国对邻国的开放而机会增加。</w:t>
      </w:r>
    </w:p>
    <w:p w:rsidR="00737B35" w:rsidRDefault="00737B35">
      <w:pPr>
        <w:pStyle w:val="SingleTxt"/>
        <w:rPr>
          <w:rFonts w:hint="eastAsia"/>
        </w:rPr>
      </w:pPr>
      <w:r>
        <w:tab/>
      </w:r>
      <w:r>
        <w:rPr>
          <w:rFonts w:hint="eastAsia"/>
        </w:rPr>
        <w:t>买得起的高质量安全套这种主要的预防手段不能经常随时随地地获得，而且在老挝共和国安全套的使用率历来很低。根据在城乡两地妇女中进行的一项调查（</w:t>
      </w:r>
      <w:r>
        <w:rPr>
          <w:rFonts w:hint="eastAsia"/>
          <w:spacing w:val="2"/>
        </w:rPr>
        <w:t>生育率和出生间隔调查，1995年），在已婚妇女中，98％的城市妇女听说过艾滋病毒，但听说过艾滋病毒的农村妇女却只有48％。据最近在首都地区进行</w:t>
      </w:r>
      <w:r>
        <w:rPr>
          <w:rFonts w:hint="eastAsia"/>
        </w:rPr>
        <w:t>的一项研究（1999年），不使用安全套的答卷者最经常指出的理由是“信任伙伴”（40％），接下来是“缺乏可获性”（27％）和“不喜欢安全套”（13％）。以“缺乏可得性”为不使用理由的妇女（37％）多于男子（30％）。据这项研究，只有37％的妇女曾经使用过安全套。这个数字不足为奇，因为56％的男子和59％的妇女感到身带安全套的妇女放荡/下贱。在所有答卷者中还有63％的人相信“是否使用安全套由男子决定”。</w:t>
      </w:r>
    </w:p>
    <w:p w:rsidR="00737B35" w:rsidRDefault="00737B35">
      <w:pPr>
        <w:pStyle w:val="SingleTxt"/>
        <w:rPr>
          <w:rFonts w:hint="eastAsia"/>
        </w:rPr>
      </w:pPr>
      <w:r>
        <w:tab/>
      </w:r>
      <w:r>
        <w:rPr>
          <w:rFonts w:hint="eastAsia"/>
        </w:rPr>
        <w:t>看来所有年龄组的男女都普遍不了解性传播疾病的各种原因、与某些性行为相联系的风险和在面对疾病具体症状时应采取的适当卫生措施。由于对这种情况感到震惊，由不同部的专家组成的特别工作组编写了“国家防治性传播疾病政策和战略”草案。卫生部长于1998年6月核准了这项政策。政策草案中确定影响性传播疾病传播增加的原因之一是男女差异，它使妇女处于风险特高的境地，其原因是她们缺乏知识，她们在社区和家庭中的总体地位低，以及在与男子商榷安全性行为时她们的能力有限。</w:t>
      </w:r>
    </w:p>
    <w:p w:rsidR="00737B35" w:rsidRDefault="00737B35">
      <w:pPr>
        <w:pStyle w:val="SingleTxt"/>
        <w:rPr>
          <w:rFonts w:hint="eastAsia"/>
        </w:rPr>
      </w:pPr>
      <w:r>
        <w:tab/>
      </w:r>
      <w:r>
        <w:rPr>
          <w:rFonts w:hint="eastAsia"/>
        </w:rPr>
        <w:t>目前国家制定了同艾滋病毒/艾滋病和性传播疾病二者作斗争的方案。1998年设立了老挝共和国艾滋病毒/艾滋病信托基金以协调和动员各种资源和便利国家艾滋病毒/艾滋病方案的管理。艾滋病毒/艾滋病方案的一个组成部分由老挝妇女联盟执行，并将具体处理女性人口有关艾滋病毒/艾滋病认识提高和预防的需要问题。对于安全套的可获性，老挝共和国刚推出了一个安全套社会营销方案，而且该方案能够在一年之内在全国各地分配100多万个安全套。全国性传播疾病方案的一个组成部分通过非政府组织进行的社区推广具体处理易受伤害的群体（包括妇女在内）的问题。</w:t>
      </w: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第13条  社会和经济津贴</w:t>
      </w:r>
    </w:p>
    <w:p w:rsidR="00737B35" w:rsidRDefault="00737B35">
      <w:pPr>
        <w:pStyle w:val="SingleTxt"/>
        <w:spacing w:after="0" w:line="120" w:lineRule="exact"/>
        <w:rPr>
          <w:rFonts w:hint="eastAsia"/>
          <w:sz w:val="10"/>
        </w:rPr>
      </w:pPr>
    </w:p>
    <w:p w:rsidR="00737B35" w:rsidRDefault="00737B35">
      <w:pPr>
        <w:pStyle w:val="SingleTxt"/>
        <w:ind w:left="1695"/>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缔约各国应采取一切适当措施以消除在经济和社会生活的其他方面对妇女的歧视，保证她们在男女平等的基础上有相同的权利，特别是：</w:t>
      </w:r>
    </w:p>
    <w:p w:rsidR="00737B35" w:rsidRDefault="00737B35">
      <w:pPr>
        <w:pStyle w:val="SingleTxt"/>
        <w:ind w:left="1695"/>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(a)</w:t>
      </w:r>
      <w:r>
        <w:rPr>
          <w:rFonts w:ascii="KaiTi_GB2312" w:eastAsia="KaiTi_GB2312" w:hint="eastAsia"/>
          <w:color w:val="0000FF"/>
        </w:rPr>
        <w:tab/>
        <w:t>领取家属津贴的权利；</w:t>
      </w:r>
    </w:p>
    <w:p w:rsidR="00737B35" w:rsidRDefault="00737B35">
      <w:pPr>
        <w:pStyle w:val="SingleTxt"/>
        <w:ind w:left="1695"/>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(b)</w:t>
      </w:r>
      <w:r>
        <w:rPr>
          <w:rFonts w:ascii="KaiTi_GB2312" w:eastAsia="KaiTi_GB2312" w:hint="eastAsia"/>
          <w:color w:val="0000FF"/>
        </w:rPr>
        <w:tab/>
        <w:t>银行贷款、抵押和其他形式的金融信贷的权利；</w:t>
      </w:r>
    </w:p>
    <w:p w:rsidR="00737B35" w:rsidRDefault="00737B35">
      <w:pPr>
        <w:pStyle w:val="SingleTxt"/>
        <w:ind w:left="1695"/>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(c)</w:t>
      </w:r>
      <w:r>
        <w:rPr>
          <w:rFonts w:ascii="KaiTi_GB2312" w:eastAsia="KaiTi_GB2312" w:hint="eastAsia"/>
          <w:color w:val="0000FF"/>
        </w:rPr>
        <w:tab/>
        <w:t>参与娱乐活动、运动和文化生活所有各方面的权利。</w:t>
      </w:r>
    </w:p>
    <w:p w:rsidR="00737B35" w:rsidRDefault="00737B35">
      <w:pPr>
        <w:pStyle w:val="SingleTxt"/>
        <w:rPr>
          <w:rFonts w:ascii="SimHei" w:eastAsia="SimHei" w:hint="eastAsia"/>
          <w:color w:val="FF0000"/>
        </w:rPr>
      </w:pPr>
      <w:r>
        <w:rPr>
          <w:rFonts w:ascii="SimHei" w:eastAsia="SimHei" w:hint="eastAsia"/>
          <w:color w:val="FF0000"/>
        </w:rPr>
        <w:t>妇女领取家属津贴的权利</w:t>
      </w:r>
    </w:p>
    <w:p w:rsidR="00737B35" w:rsidRDefault="00737B35">
      <w:pPr>
        <w:pStyle w:val="SingleTxt"/>
        <w:rPr>
          <w:rFonts w:hint="eastAsia"/>
        </w:rPr>
      </w:pPr>
      <w:r>
        <w:tab/>
      </w:r>
      <w:r>
        <w:rPr>
          <w:rFonts w:hint="eastAsia"/>
        </w:rPr>
        <w:t>在第11条“就业”项下，已详细讨论了妇女享受产假的权利。《劳动法》（1994年）第35条指出，“分娩前后，女工应有权享受至少90天的产假，并从其雇主或从社会保障基金领取其正常工资，如果已向该基金进行了足额缴款。此种产假应包括至少42天产后假……在分娩后的12个月中，如果女工将其子女放到托儿所或带到工作场所，应有权每天工休1小时喂养或照看子女。”妇女还有权领取相当于政府根据《劳动法》（1994年）第36条规定就生育子女确定的相当于至少60％的最低工资的一次性现金津贴。妇女是这些津贴的惟一受益人而且津贴直接支付给他们。</w:t>
      </w:r>
    </w:p>
    <w:p w:rsidR="00737B35" w:rsidRDefault="00737B35">
      <w:pPr>
        <w:pStyle w:val="SingleTxt"/>
        <w:rPr>
          <w:rFonts w:hint="eastAsia"/>
        </w:rPr>
      </w:pPr>
      <w:r>
        <w:tab/>
      </w:r>
      <w:r>
        <w:rPr>
          <w:rFonts w:hint="eastAsia"/>
        </w:rPr>
        <w:t>如第11条“就业”项下所讨论，《劳动法》第48条指出“社会经济部门的每个劳动单位均应按照社会保障制度建立社会保障基金或向补偿基金缴款以确保其工人的生活水准。工人和雇主应按照政府通过的条例向社会保障基金缴款。”然而在实践中，社会保障基金只是自1996年以来才运作，而且迄今为止只有5 150名女性和7 910名男性向退休基金缴款，有135名女性和1 455名男性向孤儿基金缴款，以及270名女性和2 545名男性向残疾基金缴款。目前这些数字涉及公营部门的雇员，而私营部门的社会保障基金将于2001年起动。公营和私营两个部门的基金现在和今后都向从事工资劳动的男女双方提供。</w:t>
      </w:r>
    </w:p>
    <w:p w:rsidR="00737B35" w:rsidRDefault="00737B35">
      <w:pPr>
        <w:pStyle w:val="SingleTxt"/>
        <w:rPr>
          <w:rFonts w:hint="eastAsia"/>
        </w:rPr>
      </w:pPr>
      <w:r>
        <w:tab/>
      </w:r>
      <w:r>
        <w:rPr>
          <w:rFonts w:hint="eastAsia"/>
        </w:rPr>
        <w:t>目前，老挝妇女或男子都不能得到其他形式的家属津贴。</w:t>
      </w:r>
    </w:p>
    <w:p w:rsidR="00737B35" w:rsidRDefault="00737B35">
      <w:pPr>
        <w:pStyle w:val="SingleTxt"/>
        <w:rPr>
          <w:rFonts w:ascii="SimHei" w:eastAsia="SimHei" w:hint="eastAsia"/>
          <w:color w:val="FF0000"/>
        </w:rPr>
      </w:pPr>
      <w:r>
        <w:rPr>
          <w:rFonts w:ascii="SimHei" w:eastAsia="SimHei" w:hint="eastAsia"/>
          <w:color w:val="FF0000"/>
        </w:rPr>
        <w:t>妇女获得银行贷款、抵押和其他形式金融信贷的权利</w:t>
      </w:r>
    </w:p>
    <w:p w:rsidR="00737B35" w:rsidRDefault="00737B35">
      <w:pPr>
        <w:pStyle w:val="SingleTxt"/>
        <w:rPr>
          <w:rFonts w:hint="eastAsia"/>
        </w:rPr>
      </w:pPr>
      <w:r>
        <w:tab/>
      </w:r>
      <w:r>
        <w:rPr>
          <w:rFonts w:hint="eastAsia"/>
        </w:rPr>
        <w:t>《财产法》（1990年）第7条指出“行为能力指通过自己的行为为自己建立公民权利和义务的能力。任何人年满18岁并能控制其意识能力时将被视为拥有行为能力。任何人不足18岁但已依法结婚将被视为拥有行为能力。”该法第46条指出，贷款是一种合同形式，在处理合同时适用的条件在处理贷款时同样适用。因此，男女双方都有平等的权利订立合同和取得贷款并管理这些合同。</w:t>
      </w:r>
    </w:p>
    <w:p w:rsidR="00737B35" w:rsidRDefault="00737B35">
      <w:pPr>
        <w:pStyle w:val="SingleTxt"/>
        <w:rPr>
          <w:rFonts w:hint="eastAsia"/>
        </w:rPr>
      </w:pPr>
      <w:r>
        <w:tab/>
      </w:r>
      <w:r>
        <w:rPr>
          <w:rFonts w:hint="eastAsia"/>
        </w:rPr>
        <w:t>《商业银行和金融机构信贷政策问题第5号条例》（1996年）界定了商业银行和其他金融机构能够发放贷款的条件并确立了妇女与男子平等地取得银行和其他金融机构发放的贷款的权利。</w:t>
      </w:r>
    </w:p>
    <w:p w:rsidR="00737B35" w:rsidRDefault="00737B35">
      <w:pPr>
        <w:pStyle w:val="SingleTxt"/>
        <w:rPr>
          <w:rFonts w:hint="eastAsia"/>
        </w:rPr>
      </w:pPr>
      <w:r>
        <w:tab/>
      </w:r>
      <w:r>
        <w:rPr>
          <w:rFonts w:hint="eastAsia"/>
        </w:rPr>
        <w:t>传统上，老挝人民对能在生活上自立而具有某种自豪感。借钱的观念被认为是不恰当的。信贷和金融计划在老挝共和国是一种较新的现象，而且只是自1992年以来金融机构和银行的数量才有所增加。在老挝共和国有4家自主但为政府所有的银行，而且多数泰国银行在首都万象设有分支机构。</w:t>
      </w:r>
    </w:p>
    <w:p w:rsidR="00737B35" w:rsidRDefault="00737B35">
      <w:pPr>
        <w:pStyle w:val="SingleTxt"/>
        <w:rPr>
          <w:rFonts w:hint="eastAsia"/>
        </w:rPr>
      </w:pPr>
      <w:r>
        <w:tab/>
      </w:r>
      <w:r>
        <w:rPr>
          <w:rFonts w:hint="eastAsia"/>
        </w:rPr>
        <w:t>1995年的一项小企业调查（贸易部）发现，在2.5万家注册小企业中，妇女拥有和经营的占了63％。在这个部门妇女占到劳动力的57％，并给国内生产总值贡献了9％左右。大约22％妇女办的企业拥有信贷，而在男子办的企业中只有7％。不过，妇女的贷款大多数是在正规银行部门以外得到的。</w:t>
      </w:r>
    </w:p>
    <w:p w:rsidR="00737B35" w:rsidRDefault="00737B35">
      <w:pPr>
        <w:pStyle w:val="SingleTxt"/>
        <w:rPr>
          <w:rFonts w:hint="eastAsia"/>
        </w:rPr>
      </w:pPr>
      <w:r>
        <w:tab/>
      </w:r>
      <w:r>
        <w:rPr>
          <w:rFonts w:hint="eastAsia"/>
        </w:rPr>
        <w:t>根据德国技术合作署的研究（1996年），老挝妇女不喜欢经办各种手续以获得贷款而且感到太羞怯而根本不想进入银行机构。在文化上，她们感到借钱是难为情的事，而且害怕人们会发现她们负债。据老挝妇联（1998年）研究，老挝妇女还需要一名“家属代表”——他总是一个男子——签字以获得正式的银行贷款。官办银行还倾向于收取高利率。妇女宁愿快捷地向不提问题的放债人借款，或参加非正式的储蓄或信贷小组。特别是在农村地区，妇女还缺乏附属担保品或不拥有能用作附属担保品的依法承认的资产。下列非正规信贷渠道向妇女开放。</w:t>
      </w:r>
    </w:p>
    <w:p w:rsidR="00737B35" w:rsidRDefault="00737B35">
      <w:pPr>
        <w:pStyle w:val="SingleTxt"/>
        <w:rPr>
          <w:rFonts w:hint="eastAsia"/>
        </w:rPr>
      </w:pPr>
      <w:r>
        <w:tab/>
      </w:r>
      <w:r>
        <w:rPr>
          <w:rFonts w:ascii="KaiTi_GB2312" w:eastAsia="KaiTi_GB2312" w:hint="eastAsia"/>
          <w:color w:val="0000FF"/>
        </w:rPr>
        <w:t>轮流基金小组</w:t>
      </w:r>
      <w:r>
        <w:rPr>
          <w:rFonts w:hint="eastAsia"/>
        </w:rPr>
        <w:t>：一种传统的信贷形式，在老挝共和国已存在了数代人的时间。它基于这样一种思想：一组人决定合用他们的钱。小组开会次数等于小组成员数。每次开会时，其中一人可以取出“合用钱”供他（或她）自用。每个成员只能取一次钱。小组始终由一名受人尊教的女性领导，她在钱款问题上具有良好的声誉，并由她保证小组其他成员诚实可靠。整个圈子中每个成员将支付相同的金额，最终形成共有的贷款总金额。利息计算可以采取两种形式：</w:t>
      </w:r>
    </w:p>
    <w:p w:rsidR="00737B35" w:rsidRDefault="00737B35">
      <w:pPr>
        <w:pStyle w:val="SingleTxt"/>
        <w:rPr>
          <w:rFonts w:hint="eastAsia"/>
        </w:rPr>
      </w:pPr>
      <w:r>
        <w:tab/>
      </w:r>
      <w:r>
        <w:rPr>
          <w:rFonts w:ascii="KaiTi_GB2312" w:eastAsia="KaiTi_GB2312" w:hint="eastAsia"/>
          <w:color w:val="0000FF"/>
        </w:rPr>
        <w:t>宽限共有款</w:t>
      </w:r>
      <w:r>
        <w:rPr>
          <w:rFonts w:hint="eastAsia"/>
        </w:rPr>
        <w:t>：共有款的取款者不付利息；这尤其通行于在同一工作场所的朋友/同事中。</w:t>
      </w:r>
    </w:p>
    <w:p w:rsidR="00737B35" w:rsidRDefault="00737B35">
      <w:pPr>
        <w:pStyle w:val="SingleTxt"/>
        <w:rPr>
          <w:rFonts w:hint="eastAsia"/>
        </w:rPr>
      </w:pPr>
      <w:r>
        <w:tab/>
      </w:r>
      <w:r>
        <w:rPr>
          <w:rFonts w:ascii="KaiTi_GB2312" w:eastAsia="KaiTi_GB2312" w:hint="eastAsia"/>
          <w:color w:val="0000FF"/>
        </w:rPr>
        <w:t>带息共有款</w:t>
      </w:r>
      <w:r>
        <w:rPr>
          <w:rFonts w:hint="eastAsia"/>
        </w:rPr>
        <w:t>：基于上述总的机制，小组成员有机会从共有圈子获得比投资多的额。每个共有款提取者在取走其份额后，必须向下个共有款提取者支付还款和利息。根据这种机制，最后的贷款提取者将比其他人多得，而且第一个提取者将有所损失，因为前面没有共有款提取者。利率在底线上固定，但可按需求洽谈。</w:t>
      </w:r>
    </w:p>
    <w:p w:rsidR="00737B35" w:rsidRDefault="00737B35">
      <w:pPr>
        <w:pStyle w:val="SingleTxt"/>
        <w:rPr>
          <w:rFonts w:hint="eastAsia"/>
        </w:rPr>
      </w:pPr>
      <w:r>
        <w:tab/>
      </w:r>
      <w:r>
        <w:rPr>
          <w:rFonts w:hint="eastAsia"/>
        </w:rPr>
        <w:t>这种非正规信贷方法在市场交易商之间很常见，而且在某些女制造厂商和家庭作坊业主中也很常见。</w:t>
      </w:r>
    </w:p>
    <w:p w:rsidR="00737B35" w:rsidRDefault="00737B35">
      <w:pPr>
        <w:pStyle w:val="SingleTxt"/>
        <w:rPr>
          <w:rFonts w:hint="eastAsia"/>
        </w:rPr>
      </w:pPr>
      <w:r>
        <w:tab/>
      </w:r>
      <w:r>
        <w:rPr>
          <w:rFonts w:ascii="KaiTi_GB2312" w:eastAsia="KaiTi_GB2312" w:hint="eastAsia"/>
          <w:color w:val="0000FF"/>
        </w:rPr>
        <w:t>家庭对家庭贷款</w:t>
      </w:r>
      <w:r>
        <w:rPr>
          <w:rFonts w:hint="eastAsia"/>
        </w:rPr>
        <w:t>：这种贷款由较富裕的人放给妇女所有的企业、朋友和邻居。使用的附属担保品包括汽车、房子和土地。利率约为3％和5％。</w:t>
      </w:r>
    </w:p>
    <w:p w:rsidR="00737B35" w:rsidRDefault="00737B35">
      <w:pPr>
        <w:pStyle w:val="SingleTxt"/>
        <w:rPr>
          <w:rFonts w:hint="eastAsia"/>
        </w:rPr>
      </w:pPr>
      <w:r>
        <w:tab/>
      </w:r>
      <w:r>
        <w:rPr>
          <w:rFonts w:ascii="KaiTi_GB2312" w:eastAsia="KaiTi_GB2312" w:hint="eastAsia"/>
          <w:color w:val="0000FF"/>
        </w:rPr>
        <w:t>放债人</w:t>
      </w:r>
      <w:r>
        <w:rPr>
          <w:rFonts w:hint="eastAsia"/>
        </w:rPr>
        <w:t>：这种方法广泛用于市场交易商之间。它是放债人与借款人之间的双边协议。放债人将一笔款项放给借款人，每天还款，利率通常很高。利率、偿还期限和每天还款额由放债人与借款人谈判达成。</w:t>
      </w:r>
    </w:p>
    <w:p w:rsidR="00737B35" w:rsidRDefault="00737B35">
      <w:pPr>
        <w:pStyle w:val="SingleTxt"/>
        <w:rPr>
          <w:rFonts w:hint="eastAsia"/>
        </w:rPr>
      </w:pPr>
      <w:r>
        <w:tab/>
      </w:r>
      <w:r>
        <w:rPr>
          <w:rFonts w:hint="eastAsia"/>
        </w:rPr>
        <w:t>由妇女所有的多数老挝企业拥有其中一类贷款。手续不太复杂，而且也不需要正式户主的签字。</w:t>
      </w:r>
    </w:p>
    <w:p w:rsidR="00737B35" w:rsidRDefault="00737B35">
      <w:pPr>
        <w:pStyle w:val="SingleTxt"/>
        <w:rPr>
          <w:rFonts w:hint="eastAsia"/>
        </w:rPr>
      </w:pPr>
      <w:r>
        <w:tab/>
      </w:r>
      <w:r>
        <w:rPr>
          <w:rFonts w:hint="eastAsia"/>
        </w:rPr>
        <w:t>最近，还有半正规信贷供妇女利用。这基于这样一种想法：某个主要借款人将来自正规银行机构的贷款在拥有小型企业或从事小规模交易活动的妇女中再分配。这些妇女可以将款项再分配以通过累计利率取得收益或留给自有企业使用。利率为10％至20％。</w:t>
      </w:r>
    </w:p>
    <w:p w:rsidR="00737B35" w:rsidRDefault="00737B35">
      <w:pPr>
        <w:pStyle w:val="SingleTxt"/>
        <w:rPr>
          <w:rFonts w:hint="eastAsia"/>
        </w:rPr>
      </w:pPr>
      <w:r>
        <w:tab/>
      </w:r>
      <w:r>
        <w:rPr>
          <w:rFonts w:hint="eastAsia"/>
        </w:rPr>
        <w:t>老挝妇女联盟、工业和手工业部及农业和林业部也充当中介，向尤其是农村地区的各组人员提供贷款和循环基金。不需要附属担保品，而且利率不高（5％至12％）。这些类型的新鼓励措施对妇女似乎具有吸引力。例如，在北方的沙耶武里省，一种微观融资方案的客户85％是妇女（资发基金，1999年）。</w:t>
      </w:r>
    </w:p>
    <w:p w:rsidR="00737B35" w:rsidRDefault="00737B35">
      <w:pPr>
        <w:pStyle w:val="SingleTxt"/>
        <w:rPr>
          <w:rFonts w:hint="eastAsia"/>
        </w:rPr>
      </w:pPr>
      <w:r>
        <w:tab/>
      </w:r>
      <w:r>
        <w:rPr>
          <w:rFonts w:hint="eastAsia"/>
        </w:rPr>
        <w:t>老挝妇女联盟希望鼓励妇女充当小企业家，并已发起了一个培训妇女掌握企业家技能的方案，向她们提供切实可行的方案支助，包括小额贷款和循环基金。方案执行期为1998年至2003年。</w:t>
      </w:r>
    </w:p>
    <w:p w:rsidR="00737B35" w:rsidRDefault="00737B35">
      <w:pPr>
        <w:pStyle w:val="SingleTxt"/>
        <w:rPr>
          <w:rFonts w:ascii="SimHei" w:eastAsia="SimHei" w:hint="eastAsia"/>
          <w:color w:val="FF0000"/>
        </w:rPr>
      </w:pPr>
      <w:r>
        <w:rPr>
          <w:rFonts w:ascii="SimHei" w:eastAsia="SimHei" w:hint="eastAsia"/>
          <w:color w:val="FF0000"/>
        </w:rPr>
        <w:t>妇女参加文娱活动、运动和文化生活各个方面的权利</w:t>
      </w:r>
    </w:p>
    <w:p w:rsidR="00737B35" w:rsidRDefault="00737B35">
      <w:pPr>
        <w:pStyle w:val="SingleTxt"/>
        <w:rPr>
          <w:rFonts w:hint="eastAsia"/>
        </w:rPr>
      </w:pPr>
      <w:r>
        <w:tab/>
      </w:r>
      <w:r>
        <w:rPr>
          <w:rFonts w:hint="eastAsia"/>
        </w:rPr>
        <w:t>全国专门担任体育课的教师人数共373名，其中38人是妇女。在中小学中，男女孩子平等参加体育。男女生课程相同，孩子们玩足球、排球、羽毛球和其他类似的集体运动。</w:t>
      </w:r>
    </w:p>
    <w:p w:rsidR="00737B35" w:rsidRDefault="00737B35">
      <w:pPr>
        <w:pStyle w:val="SingleTxt"/>
        <w:rPr>
          <w:rFonts w:hint="eastAsia"/>
        </w:rPr>
      </w:pPr>
      <w:r>
        <w:tab/>
      </w:r>
      <w:r>
        <w:rPr>
          <w:rFonts w:hint="eastAsia"/>
        </w:rPr>
        <w:t>据全国运动委员会的统计，放学后约有5 000名男生和1 500名女生参加慢跑作为其自由活动。据同一统计，妇女和女孩在闲暇时间倾向于打篮球和排球，而男子和男孩更喜欢踢足球和从事自卫性运动，像空手道和老挝式拳击。在每年举行的传统的佛教大斋节划船比赛中，每年约有600名男子和200名女子参加。</w:t>
      </w:r>
    </w:p>
    <w:p w:rsidR="00737B35" w:rsidRDefault="00737B35">
      <w:pPr>
        <w:pStyle w:val="SingleTxt"/>
        <w:spacing w:after="0" w:line="120" w:lineRule="exact"/>
        <w:rPr>
          <w:rFonts w:ascii="SimHei" w:eastAsia="SimHei" w:hint="eastAsia"/>
          <w:color w:val="FF0000"/>
          <w:sz w:val="10"/>
        </w:rPr>
      </w:pPr>
    </w:p>
    <w:p w:rsidR="00737B35" w:rsidRDefault="00737B35">
      <w:pPr>
        <w:pStyle w:val="SingleTxt"/>
        <w:rPr>
          <w:rFonts w:ascii="SimHei" w:eastAsia="SimHei" w:hint="eastAsia"/>
          <w:color w:val="FF0000"/>
        </w:rPr>
      </w:pPr>
      <w:r>
        <w:rPr>
          <w:rFonts w:ascii="SimHei" w:eastAsia="SimHei" w:hint="eastAsia"/>
          <w:color w:val="FF0000"/>
        </w:rPr>
        <w:t>1998年A司部分运动统计</w:t>
      </w:r>
    </w:p>
    <w:tbl>
      <w:tblPr>
        <w:tblW w:w="3635" w:type="pct"/>
        <w:jc w:val="center"/>
        <w:tblLook w:val="0000" w:firstRow="0" w:lastRow="0" w:firstColumn="0" w:lastColumn="0" w:noHBand="0" w:noVBand="0"/>
      </w:tblPr>
      <w:tblGrid>
        <w:gridCol w:w="2439"/>
        <w:gridCol w:w="2440"/>
        <w:gridCol w:w="2440"/>
      </w:tblGrid>
      <w:tr w:rsidR="00737B35">
        <w:tblPrEx>
          <w:tblCellMar>
            <w:top w:w="0" w:type="dxa"/>
            <w:bottom w:w="0" w:type="dxa"/>
          </w:tblCellMar>
        </w:tblPrEx>
        <w:trPr>
          <w:tblHeader/>
          <w:jc w:val="center"/>
        </w:trPr>
        <w:tc>
          <w:tcPr>
            <w:tcW w:w="1666" w:type="pct"/>
            <w:tcBorders>
              <w:top w:val="single" w:sz="2" w:space="0" w:color="auto"/>
              <w:bottom w:val="single" w:sz="12" w:space="0" w:color="auto"/>
            </w:tcBorders>
            <w:vAlign w:val="bottom"/>
          </w:tcPr>
          <w:p w:rsidR="00737B35" w:rsidRDefault="00737B35">
            <w:pPr>
              <w:spacing w:before="60" w:after="60" w:line="240" w:lineRule="exact"/>
              <w:ind w:right="40"/>
              <w:jc w:val="center"/>
              <w:rPr>
                <w:rFonts w:eastAsia="KaiTi_GB2312" w:hint="eastAsia"/>
                <w:color w:val="0000FF"/>
                <w:sz w:val="14"/>
              </w:rPr>
            </w:pPr>
          </w:p>
        </w:tc>
        <w:tc>
          <w:tcPr>
            <w:tcW w:w="1667"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男</w:t>
            </w:r>
          </w:p>
        </w:tc>
        <w:tc>
          <w:tcPr>
            <w:tcW w:w="1667"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女</w:t>
            </w:r>
          </w:p>
        </w:tc>
      </w:tr>
      <w:tr w:rsidR="00737B35">
        <w:tblPrEx>
          <w:tblCellMar>
            <w:top w:w="0" w:type="dxa"/>
            <w:bottom w:w="0" w:type="dxa"/>
          </w:tblCellMar>
        </w:tblPrEx>
        <w:trPr>
          <w:trHeight w:hRule="exact" w:val="115"/>
          <w:tblHeader/>
          <w:jc w:val="center"/>
        </w:trPr>
        <w:tc>
          <w:tcPr>
            <w:tcW w:w="1666" w:type="pct"/>
            <w:tcBorders>
              <w:top w:val="single" w:sz="12" w:space="0" w:color="auto"/>
            </w:tcBorders>
            <w:vAlign w:val="bottom"/>
          </w:tcPr>
          <w:p w:rsidR="00737B35" w:rsidRDefault="00737B35">
            <w:pPr>
              <w:spacing w:after="60" w:line="280" w:lineRule="exact"/>
              <w:ind w:right="40"/>
              <w:jc w:val="center"/>
              <w:rPr>
                <w:rFonts w:hint="eastAsia"/>
                <w:sz w:val="17"/>
              </w:rPr>
            </w:pPr>
          </w:p>
        </w:tc>
        <w:tc>
          <w:tcPr>
            <w:tcW w:w="1667" w:type="pct"/>
            <w:tcBorders>
              <w:top w:val="single" w:sz="12" w:space="0" w:color="auto"/>
            </w:tcBorders>
            <w:vAlign w:val="bottom"/>
          </w:tcPr>
          <w:p w:rsidR="00737B35" w:rsidRDefault="00737B35">
            <w:pPr>
              <w:spacing w:after="60" w:line="280" w:lineRule="exact"/>
              <w:ind w:right="40"/>
              <w:jc w:val="right"/>
              <w:rPr>
                <w:rFonts w:hint="eastAsia"/>
                <w:sz w:val="17"/>
              </w:rPr>
            </w:pPr>
          </w:p>
        </w:tc>
        <w:tc>
          <w:tcPr>
            <w:tcW w:w="1667" w:type="pct"/>
            <w:tcBorders>
              <w:top w:val="single" w:sz="12" w:space="0" w:color="auto"/>
            </w:tcBorders>
            <w:vAlign w:val="bottom"/>
          </w:tcPr>
          <w:p w:rsidR="00737B35" w:rsidRDefault="00737B35">
            <w:pPr>
              <w:spacing w:after="60" w:line="280" w:lineRule="exact"/>
              <w:ind w:right="40"/>
              <w:jc w:val="right"/>
              <w:rPr>
                <w:rFonts w:hint="eastAsia"/>
                <w:sz w:val="17"/>
              </w:rPr>
            </w:pP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足球</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300</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108</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排球</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240</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120</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乒乓球</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100</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60</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老挝传统拳击</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80</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p>
        </w:tc>
      </w:tr>
      <w:tr w:rsidR="00737B35">
        <w:tblPrEx>
          <w:tblCellMar>
            <w:top w:w="0" w:type="dxa"/>
            <w:bottom w:w="0" w:type="dxa"/>
          </w:tblCellMar>
        </w:tblPrEx>
        <w:trPr>
          <w:jc w:val="center"/>
        </w:trPr>
        <w:tc>
          <w:tcPr>
            <w:tcW w:w="1666" w:type="pct"/>
            <w:vAlign w:val="bottom"/>
          </w:tcPr>
          <w:p w:rsidR="00737B35" w:rsidRDefault="00737B35">
            <w:pPr>
              <w:pStyle w:val="Header"/>
              <w:tabs>
                <w:tab w:val="clear" w:pos="4320"/>
                <w:tab w:val="clear" w:pos="8640"/>
                <w:tab w:val="left" w:pos="357"/>
                <w:tab w:val="left" w:pos="714"/>
                <w:tab w:val="left" w:pos="1071"/>
                <w:tab w:val="left" w:pos="1429"/>
              </w:tabs>
              <w:spacing w:after="60" w:line="280" w:lineRule="exact"/>
              <w:ind w:right="40"/>
              <w:jc w:val="both"/>
              <w:rPr>
                <w:rFonts w:hint="eastAsia"/>
                <w:sz w:val="17"/>
              </w:rPr>
            </w:pPr>
            <w:r>
              <w:rPr>
                <w:rFonts w:hint="eastAsia"/>
                <w:sz w:val="17"/>
              </w:rPr>
              <w:t>自行车</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60</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20</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网球</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60</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30</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游泳</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40</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20</w:t>
            </w:r>
          </w:p>
        </w:tc>
      </w:tr>
      <w:tr w:rsidR="00737B35">
        <w:tblPrEx>
          <w:tblCellMar>
            <w:top w:w="0" w:type="dxa"/>
            <w:bottom w:w="0" w:type="dxa"/>
          </w:tblCellMar>
        </w:tblPrEx>
        <w:trPr>
          <w:jc w:val="center"/>
        </w:trPr>
        <w:tc>
          <w:tcPr>
            <w:tcW w:w="1666"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跆拳道</w:t>
            </w:r>
          </w:p>
        </w:tc>
        <w:tc>
          <w:tcPr>
            <w:tcW w:w="1667"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60</w:t>
            </w:r>
          </w:p>
        </w:tc>
        <w:tc>
          <w:tcPr>
            <w:tcW w:w="1667"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15</w:t>
            </w:r>
          </w:p>
        </w:tc>
      </w:tr>
    </w:tbl>
    <w:p w:rsidR="00737B35" w:rsidRDefault="00737B35">
      <w:pPr>
        <w:pStyle w:val="SingleTxt"/>
      </w:pPr>
    </w:p>
    <w:p w:rsidR="00737B35" w:rsidRDefault="00737B35">
      <w:pPr>
        <w:pStyle w:val="SingleTxt"/>
        <w:rPr>
          <w:rFonts w:hint="eastAsia"/>
        </w:rPr>
      </w:pPr>
      <w:r>
        <w:tab/>
      </w:r>
      <w:r>
        <w:rPr>
          <w:rFonts w:hint="eastAsia"/>
        </w:rPr>
        <w:t>这些统计表明，妇女和女孩参加半专业和专业运动的积极性不如男子和男孩。参加1998年第13届亚洲运动会的男女比率也进一步证实了这种情况，因为96名运动员是男子，19名运动员是女子。需作进一步的研究以断定女孩和妇女不想将业余运动爱好转为专业级的原因。</w:t>
      </w:r>
    </w:p>
    <w:p w:rsidR="00737B35" w:rsidRDefault="00737B35">
      <w:pPr>
        <w:pStyle w:val="SingleTxt"/>
        <w:rPr>
          <w:rFonts w:hint="eastAsia"/>
        </w:rPr>
      </w:pPr>
      <w:r>
        <w:tab/>
      </w:r>
      <w:r>
        <w:rPr>
          <w:rFonts w:hint="eastAsia"/>
        </w:rPr>
        <w:t>妇女能与男子平等地参加老挝共和国生活的文化方面。几乎完全为妇女保留的文化生活的一个特点是传统的老挝舞蹈。作为舞蹈教师和保护人员，妇女在将这种舞蹈一代代留传下去方面发挥着非常重要的作用。</w:t>
      </w:r>
    </w:p>
    <w:p w:rsidR="00737B35" w:rsidRDefault="00737B35">
      <w:pPr>
        <w:pStyle w:val="SingleTxt"/>
        <w:rPr>
          <w:rFonts w:hint="eastAsia"/>
        </w:rPr>
      </w:pPr>
      <w:r>
        <w:rPr>
          <w:rFonts w:hint="eastAsia"/>
        </w:rPr>
        <w:t>新闻和文化部有工作人员总共2 646人，其中741名是妇女。</w:t>
      </w: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第14条  农村妇女</w:t>
      </w:r>
    </w:p>
    <w:p w:rsidR="00737B35" w:rsidRDefault="00737B35">
      <w:pPr>
        <w:pStyle w:val="SingleTxt"/>
        <w:spacing w:after="0" w:line="120" w:lineRule="exact"/>
        <w:rPr>
          <w:rFonts w:hint="eastAsia"/>
          <w:sz w:val="10"/>
        </w:rPr>
      </w:pP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1.</w:t>
      </w:r>
      <w:r>
        <w:rPr>
          <w:rFonts w:ascii="KaiTi_GB2312" w:eastAsia="KaiTi_GB2312" w:hint="eastAsia"/>
          <w:color w:val="0000FF"/>
        </w:rPr>
        <w:tab/>
        <w:t>缔约各国应考虑到农村妇女面对的特殊问题和她们对家庭生计包括她们在经济体系中无金钱交易的部门的工作方面所发挥的重要作用，并应采取一切适当措施，保证对农村地区妇女适用本公约的各项规定。</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2.</w:t>
      </w:r>
      <w:r>
        <w:rPr>
          <w:rFonts w:ascii="KaiTi_GB2312" w:eastAsia="KaiTi_GB2312" w:hint="eastAsia"/>
          <w:color w:val="0000FF"/>
        </w:rPr>
        <w:tab/>
        <w:t>缔约各国应采取一切适当措施以消除对农村地区妇女的歧视，保证她们在男女平等的基础上参与农村发展并受其益惠，尤其是保证她们有权：</w:t>
      </w:r>
    </w:p>
    <w:p w:rsidR="00737B35" w:rsidRDefault="00737B35">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(a)</w:t>
      </w:r>
      <w:r>
        <w:rPr>
          <w:rFonts w:ascii="KaiTi_GB2312" w:eastAsia="KaiTi_GB2312" w:hint="eastAsia"/>
          <w:color w:val="0000FF"/>
        </w:rPr>
        <w:tab/>
        <w:t>参与各级发展规划的拟订和执行工作；</w:t>
      </w:r>
    </w:p>
    <w:p w:rsidR="00737B35" w:rsidRDefault="00737B35">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(b)</w:t>
      </w:r>
      <w:r>
        <w:rPr>
          <w:rFonts w:ascii="KaiTi_GB2312" w:eastAsia="KaiTi_GB2312" w:hint="eastAsia"/>
          <w:color w:val="0000FF"/>
        </w:rPr>
        <w:tab/>
        <w:t>有机会利用充分的保健设施，包括计划生育方面的知识、辅导和服务；</w:t>
      </w:r>
    </w:p>
    <w:p w:rsidR="00737B35" w:rsidRDefault="00737B35">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(c)</w:t>
      </w:r>
      <w:r>
        <w:rPr>
          <w:rFonts w:ascii="KaiTi_GB2312" w:eastAsia="KaiTi_GB2312" w:hint="eastAsia"/>
          <w:color w:val="0000FF"/>
        </w:rPr>
        <w:tab/>
        <w:t>从社会保障方案直接受益；</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(d)</w:t>
      </w:r>
      <w:r>
        <w:rPr>
          <w:rFonts w:ascii="KaiTi_GB2312" w:eastAsia="KaiTi_GB2312" w:hint="eastAsia"/>
          <w:color w:val="0000FF"/>
        </w:rPr>
        <w:tab/>
        <w:t>接受各种正式和非正式的训练和教育，包括实用识字的训练和教育在内，以及除了别的以外，享受一切社区服务和推广服务的益惠，以提高她们的技术熟练程度；</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(e)</w:t>
      </w:r>
      <w:r>
        <w:rPr>
          <w:rFonts w:ascii="KaiTi_GB2312" w:eastAsia="KaiTi_GB2312" w:hint="eastAsia"/>
          <w:color w:val="0000FF"/>
        </w:rPr>
        <w:tab/>
        <w:t>组织自助团体和合作社，以通过受雇和自雇的途径取得平等的经济机会；</w:t>
      </w:r>
    </w:p>
    <w:p w:rsidR="00737B35" w:rsidRDefault="00737B35">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(f)</w:t>
      </w:r>
      <w:r>
        <w:rPr>
          <w:rFonts w:ascii="KaiTi_GB2312" w:eastAsia="KaiTi_GB2312" w:hint="eastAsia"/>
          <w:color w:val="0000FF"/>
        </w:rPr>
        <w:tab/>
        <w:t>参加一切社区活动；</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(g)</w:t>
      </w:r>
      <w:r>
        <w:rPr>
          <w:rFonts w:ascii="KaiTi_GB2312" w:eastAsia="KaiTi_GB2312" w:hint="eastAsia"/>
          <w:color w:val="0000FF"/>
        </w:rPr>
        <w:tab/>
        <w:t>有机会取得农业信贷，利用销售设施，获得适当技术，并在土地改革和土地垦殖计划方面享有平等待遇；</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rPr>
          <w:rFonts w:ascii="KaiTi_GB2312" w:eastAsia="KaiTi_GB2312"/>
          <w:color w:val="0000FF"/>
        </w:rPr>
        <w:tab/>
      </w:r>
      <w:r>
        <w:rPr>
          <w:rFonts w:ascii="KaiTi_GB2312" w:eastAsia="KaiTi_GB2312" w:hint="eastAsia"/>
          <w:color w:val="0000FF"/>
        </w:rPr>
        <w:t>(h)</w:t>
      </w:r>
      <w:r>
        <w:rPr>
          <w:rFonts w:ascii="KaiTi_GB2312" w:eastAsia="KaiTi_GB2312" w:hint="eastAsia"/>
          <w:color w:val="0000FF"/>
        </w:rPr>
        <w:tab/>
        <w:t>享受适当的生活条件，特别是在住房、卫生、水电供应、交通和通讯方面。</w:t>
      </w:r>
    </w:p>
    <w:p w:rsidR="00737B35" w:rsidRDefault="00737B35">
      <w:pPr>
        <w:pStyle w:val="SingleTxt"/>
        <w:spacing w:after="0" w:line="120" w:lineRule="exact"/>
        <w:rPr>
          <w:rFonts w:ascii="SimHei" w:eastAsia="SimHei" w:hint="eastAsia"/>
          <w:color w:val="FF0000"/>
          <w:sz w:val="10"/>
        </w:rPr>
      </w:pPr>
    </w:p>
    <w:p w:rsidR="00737B35" w:rsidRDefault="00737B35">
      <w:pPr>
        <w:pStyle w:val="SingleTxt"/>
        <w:rPr>
          <w:rFonts w:ascii="SimHei" w:eastAsia="SimHei" w:hint="eastAsia"/>
          <w:color w:val="FF0000"/>
        </w:rPr>
      </w:pPr>
      <w:r>
        <w:rPr>
          <w:rFonts w:ascii="SimHei" w:eastAsia="SimHei" w:hint="eastAsia"/>
          <w:color w:val="FF0000"/>
        </w:rPr>
        <w:t>老挝共和国国家人口与发展政策：民族人口的地位</w:t>
      </w:r>
    </w:p>
    <w:p w:rsidR="00737B35" w:rsidRDefault="00737B35">
      <w:pPr>
        <w:pStyle w:val="SingleTxt"/>
        <w:rPr>
          <w:rFonts w:hint="eastAsia"/>
        </w:rPr>
      </w:pPr>
      <w:r>
        <w:tab/>
      </w:r>
      <w:r>
        <w:rPr>
          <w:rFonts w:hint="eastAsia"/>
        </w:rPr>
        <w:t>为减少社会经济差异，将在全国各地采取措施以提供享受教育、保健服务和其他社会服务的机会：</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鼓励就民族人口的社会经济条件及其文化方面开展数据收集和研究活动以增加信息供应量用于规划、决策、方案执行和监测。</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组织各种运动鼓励各个民族群体送其女孩上学并延长她们在校的学习时间，并强调至少完成初等教育的重要性。</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采取措施使各民族人口能够获得生殖保健和初级保健服务。</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tab/>
      </w:r>
      <w:r>
        <w:rPr>
          <w:rFonts w:hint="eastAsia"/>
        </w:rPr>
        <w:t>-</w:t>
      </w:r>
      <w:r>
        <w:rPr>
          <w:rFonts w:hint="eastAsia"/>
        </w:rPr>
        <w:tab/>
        <w:t>鼓励各个群众组织如老挝妇女联盟、老挝国家建设阵线、老挝青年联盟和其他组织参加关于民族人口的人口与发展问题的信息、教育和宣传活动。</w:t>
      </w:r>
    </w:p>
    <w:p w:rsidR="00737B35" w:rsidRDefault="00737B35">
      <w:pPr>
        <w:pStyle w:val="SingleTxt"/>
        <w:rPr>
          <w:rFonts w:hint="eastAsia"/>
        </w:rPr>
      </w:pPr>
      <w:r>
        <w:tab/>
      </w:r>
      <w:r>
        <w:rPr>
          <w:rFonts w:hint="eastAsia"/>
        </w:rPr>
        <w:t>农村发展在老挝共和国的总体发展规划中至关重要，因为据1995年人口普查，17％的居民生活在城市地区，而83％生活在我国农村地区。城市地区的定义基于下列标准。要被归类为城市村子，该村必须至少满足下列5个条件中的3个。达不到这些标准的村子被认为是农村村子。这些标准是：村子里有一个市场；有机动车路可出入村子；村子位于县或省级当局所在的城市的附近；村里多数住户可用上电；向多数房子供应自来水。</w:t>
      </w:r>
    </w:p>
    <w:p w:rsidR="00737B35" w:rsidRDefault="00737B35">
      <w:pPr>
        <w:pStyle w:val="SingleTxt"/>
        <w:rPr>
          <w:rFonts w:hint="eastAsia"/>
        </w:rPr>
      </w:pPr>
      <w:r>
        <w:tab/>
      </w:r>
      <w:r>
        <w:rPr>
          <w:rFonts w:hint="eastAsia"/>
        </w:rPr>
        <w:t>在老挝共和国，妇女在农村发展中的作用至关重要。妇女负责很大部分的农活，而且提供的稻米种植劳动力多于男子。在农村地区，种植是几乎91％的男性和超过94％的女性的主要活动（世界银行，1995年）。</w:t>
      </w:r>
    </w:p>
    <w:p w:rsidR="00737B35" w:rsidRDefault="00737B35">
      <w:pPr>
        <w:pStyle w:val="SingleTxt"/>
        <w:rPr>
          <w:rFonts w:hint="eastAsia"/>
        </w:rPr>
      </w:pPr>
      <w:r>
        <w:tab/>
      </w:r>
      <w:r>
        <w:rPr>
          <w:rFonts w:hint="eastAsia"/>
        </w:rPr>
        <w:t>男女双方在农业方面有着不同的作用，并执行不同种类的任务。老挝共和国大多数农业生产者是自给自足的生产者，收入非常低，而且稻田的所有权对生存至关重要。妇女在种稻方面的任务十分必要，因为糯米生产通常采取以下方式：男子犁田、筑堤田和准备秧田，而妇女插秧、除草、收割、脱拉和从事其他收割后的工作。</w:t>
      </w:r>
    </w:p>
    <w:p w:rsidR="00737B35" w:rsidRDefault="00737B35">
      <w:pPr>
        <w:pStyle w:val="SingleTxt"/>
        <w:rPr>
          <w:rFonts w:hint="eastAsia"/>
        </w:rPr>
      </w:pPr>
      <w:r>
        <w:tab/>
      </w:r>
      <w:r>
        <w:rPr>
          <w:rFonts w:hint="eastAsia"/>
        </w:rPr>
        <w:t>除了通常的家务以外，农村妇女还要负责50％至70％的水稻和旱稻种植；50％的家庭牲畜饲养工作（猪、鸡、鸭和鹅）；30％至50％的捕鱼；至少50％的经济作物生产；少数民族村子中70％的鸦片生产；很大部分的家庭菜园活；染织、编篮子和建房。（亚银，1996年；Scherk-Sendbergen等人，1995年）。此外，拾柴和收集其他林产品占去妇女大量的时间。大约93％的老挝住户将木柴用作煮饭燃料（人口普查，1995年）。为一家五六口人拾柴的妇女每年必须担回120至150捆柴薪。肩扛背驮，每担柴重15至20公斤，并使用1至3个小时行走和切割（信息和发展中心，1999年）。</w:t>
      </w:r>
    </w:p>
    <w:p w:rsidR="00737B35" w:rsidRDefault="00737B35">
      <w:pPr>
        <w:pStyle w:val="SingleTxt"/>
        <w:rPr>
          <w:rFonts w:hint="eastAsia"/>
        </w:rPr>
      </w:pPr>
      <w:r>
        <w:tab/>
      </w:r>
      <w:r>
        <w:rPr>
          <w:rFonts w:hint="eastAsia"/>
        </w:rPr>
        <w:t>农村活动的机械化这个领域，往往增强男子在农业中的主宰地位。在老挝农村地区，农民正在缓慢地将牛耕改为耕耘机或小型拖拉机。这导致劳动分工的改变，因为一般的态度是只有男子才能使用更有技术的耕耘机工作。耕耘机用于耕地，而且可用来运柴、水和作物。男子往往拥有更多的决策权，因此妇女在种稻方面的影响在这种背景下可能会减少。妇女历来利用有机粪便肥田。随着拖拉机正在一起引进化肥和其他投入，而且这些现代技术创新被认为是“男人的事”。不过，预计妇女在支付这些新创新费用方面将作出贡献（Schank-Sandbergen，1996年）。</w:t>
      </w:r>
    </w:p>
    <w:p w:rsidR="00737B35" w:rsidRDefault="00737B35">
      <w:pPr>
        <w:pStyle w:val="SingleTxt"/>
        <w:rPr>
          <w:rFonts w:ascii="SimHei" w:eastAsia="SimHei" w:hint="eastAsia"/>
          <w:color w:val="FF0000"/>
        </w:rPr>
      </w:pPr>
      <w:r>
        <w:rPr>
          <w:rFonts w:ascii="SimHei" w:eastAsia="SimHei" w:hint="eastAsia"/>
          <w:color w:val="FF0000"/>
        </w:rPr>
        <w:t>农村妇女享有保健和计划生育服务的机会</w:t>
      </w:r>
    </w:p>
    <w:p w:rsidR="00737B35" w:rsidRDefault="00737B35">
      <w:pPr>
        <w:pStyle w:val="SingleTxt"/>
        <w:rPr>
          <w:rFonts w:hint="eastAsia"/>
        </w:rPr>
      </w:pPr>
      <w:r>
        <w:tab/>
      </w:r>
      <w:r>
        <w:rPr>
          <w:rFonts w:hint="eastAsia"/>
        </w:rPr>
        <w:t>据全国首次成年女性死亡率研究（1994年），所有城市妇女中约有三分之一死在医院或去医院的途中，相比之下农村妇女不足八分之一。教育、民族和经济地位全都影响妇女利用现代医疗设施的意愿。城乡之间医疗服务和医务人员的差距已变得很明显。在农村和偏僻地区这些大多数最贫穷和健康状况最差的家庭居住的地方，专业卫生网络仍然很薄弱。城市居民接近百分之百地可以到附近医院接受开业医生的治疗，而70％的农村家庭离医院、诊所或药店的距离超过3公里。保健服务的可得性和可用性受糟糕的基础设施的限制：49％的农村需要两三天时间才能得到保健服务。在117家县级医院中，据报告只有20家完全开业。万象居民每人的医生数为老挝其他地方的9倍，中级医务人员为4倍，而低级医务人员为近两倍。老挝50％以上的医生服务于生活在万象的10％的人口（世界银行，1995年）。</w:t>
      </w:r>
    </w:p>
    <w:p w:rsidR="00737B35" w:rsidRDefault="00737B35">
      <w:pPr>
        <w:pStyle w:val="SingleTxt"/>
        <w:rPr>
          <w:rFonts w:hint="eastAsia"/>
        </w:rPr>
      </w:pPr>
      <w:r>
        <w:tab/>
      </w:r>
      <w:r>
        <w:rPr>
          <w:rFonts w:hint="eastAsia"/>
        </w:rPr>
        <w:t>由于短缺现代保健设施，我国农村人口的健康受到严重的阻碍。不识字的少数民族妇女还存在着语言障碍。</w:t>
      </w:r>
    </w:p>
    <w:p w:rsidR="00737B35" w:rsidRDefault="00737B35">
      <w:pPr>
        <w:pStyle w:val="SingleTxt"/>
        <w:rPr>
          <w:rFonts w:hint="eastAsia"/>
        </w:rPr>
      </w:pPr>
      <w:r>
        <w:tab/>
      </w:r>
      <w:r>
        <w:rPr>
          <w:rFonts w:hint="eastAsia"/>
        </w:rPr>
        <w:t>关于老挝共和国选择保健提供者，几乎60％的成人和儿童报告说找药房治疗。平均只有12％的人到现代设施去看病。17％的人口报告接受传统的保健，而13％的人口报告得不到治疗。在老挝共和国农村，利用药房和传统术士的占到报告寻求保健的人数的75％（世界银行，1995年）。</w:t>
      </w:r>
    </w:p>
    <w:p w:rsidR="00737B35" w:rsidRDefault="00737B35">
      <w:pPr>
        <w:pStyle w:val="SingleTxt"/>
        <w:rPr>
          <w:rFonts w:hint="eastAsia"/>
        </w:rPr>
      </w:pPr>
      <w:r>
        <w:tab/>
      </w:r>
      <w:r>
        <w:rPr>
          <w:rFonts w:hint="eastAsia"/>
        </w:rPr>
        <w:t>孕产妇死亡率（660/100 000）的主要原因是缺乏可得、可用和可接受的产前、产中和产后护理。考虑到大多数高风险因素可在首次产前就诊期间确定和管理，甚至一次就诊就能拯救母亲的生命。然而，只有四分之一的妇女到产前医疗设施作检查。态度和可利用性是经常性的阻碍因素。农村家庭离最近的公共卫生设施的距离平均为11至15公里（国家统计中心、老挝支出和消费调查/老挝社会指标调查，1993年）。农村孕妇经常缺乏外出接受服务所需的交通工具和钱（公共卫生部/卫生组织/儿童基金会/日本国际协力事业团，1995年）。</w:t>
      </w:r>
    </w:p>
    <w:p w:rsidR="00737B35" w:rsidRDefault="00737B35">
      <w:pPr>
        <w:pStyle w:val="SingleTxt"/>
        <w:rPr>
          <w:rFonts w:ascii="SimHei" w:eastAsia="SimHei" w:hint="eastAsia"/>
          <w:color w:val="FF0000"/>
        </w:rPr>
      </w:pPr>
      <w:r>
        <w:br w:type="page"/>
      </w:r>
      <w:r>
        <w:rPr>
          <w:rFonts w:ascii="SimHei" w:eastAsia="SimHei" w:hint="eastAsia"/>
          <w:color w:val="FF0000"/>
        </w:rPr>
        <w:t>城乡分娩时的援助类型（老挝支出和消费调查、社会指标调查，1993年）</w:t>
      </w:r>
    </w:p>
    <w:tbl>
      <w:tblPr>
        <w:tblW w:w="3636" w:type="pct"/>
        <w:jc w:val="center"/>
        <w:tblLook w:val="0000" w:firstRow="0" w:lastRow="0" w:firstColumn="0" w:lastColumn="0" w:noHBand="0" w:noVBand="0"/>
      </w:tblPr>
      <w:tblGrid>
        <w:gridCol w:w="1831"/>
        <w:gridCol w:w="1830"/>
        <w:gridCol w:w="1830"/>
        <w:gridCol w:w="1830"/>
      </w:tblGrid>
      <w:tr w:rsidR="00737B35">
        <w:tblPrEx>
          <w:tblCellMar>
            <w:top w:w="0" w:type="dxa"/>
            <w:bottom w:w="0" w:type="dxa"/>
          </w:tblCellMar>
        </w:tblPrEx>
        <w:trPr>
          <w:tblHeader/>
          <w:jc w:val="center"/>
        </w:trPr>
        <w:tc>
          <w:tcPr>
            <w:tcW w:w="1250" w:type="pct"/>
            <w:tcBorders>
              <w:top w:val="single" w:sz="2" w:space="0" w:color="auto"/>
              <w:bottom w:val="single" w:sz="12" w:space="0" w:color="auto"/>
            </w:tcBorders>
            <w:vAlign w:val="bottom"/>
          </w:tcPr>
          <w:p w:rsidR="00737B35" w:rsidRDefault="00737B35">
            <w:pPr>
              <w:spacing w:before="60" w:after="60" w:line="240" w:lineRule="exact"/>
              <w:ind w:right="40"/>
              <w:jc w:val="center"/>
              <w:rPr>
                <w:rFonts w:eastAsia="KaiTi_GB2312" w:hint="eastAsia"/>
                <w:color w:val="0000FF"/>
                <w:sz w:val="14"/>
              </w:rPr>
            </w:pPr>
            <w:r>
              <w:rPr>
                <w:rFonts w:eastAsia="KaiTi_GB2312" w:hint="eastAsia"/>
                <w:color w:val="0000FF"/>
                <w:sz w:val="14"/>
              </w:rPr>
              <w:t>无帮助</w:t>
            </w:r>
          </w:p>
        </w:tc>
        <w:tc>
          <w:tcPr>
            <w:tcW w:w="1250"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朋友</w:t>
            </w:r>
            <w:r>
              <w:rPr>
                <w:rFonts w:eastAsia="KaiTi_GB2312" w:hint="eastAsia"/>
                <w:color w:val="0000FF"/>
                <w:sz w:val="14"/>
              </w:rPr>
              <w:t>/</w:t>
            </w:r>
            <w:r>
              <w:rPr>
                <w:rFonts w:eastAsia="KaiTi_GB2312" w:hint="eastAsia"/>
                <w:color w:val="0000FF"/>
                <w:sz w:val="14"/>
              </w:rPr>
              <w:t>亲属</w:t>
            </w:r>
          </w:p>
        </w:tc>
        <w:tc>
          <w:tcPr>
            <w:tcW w:w="1250"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治疗术士</w:t>
            </w:r>
            <w:r>
              <w:rPr>
                <w:rFonts w:eastAsia="KaiTi_GB2312" w:hint="eastAsia"/>
                <w:color w:val="0000FF"/>
                <w:sz w:val="14"/>
              </w:rPr>
              <w:t>/</w:t>
            </w:r>
            <w:r>
              <w:rPr>
                <w:rFonts w:eastAsia="KaiTi_GB2312" w:hint="eastAsia"/>
                <w:color w:val="0000FF"/>
                <w:sz w:val="14"/>
              </w:rPr>
              <w:t>接生婆</w:t>
            </w:r>
          </w:p>
        </w:tc>
        <w:tc>
          <w:tcPr>
            <w:tcW w:w="1251"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现代</w:t>
            </w:r>
          </w:p>
        </w:tc>
      </w:tr>
      <w:tr w:rsidR="00737B35">
        <w:tblPrEx>
          <w:tblCellMar>
            <w:top w:w="0" w:type="dxa"/>
            <w:bottom w:w="0" w:type="dxa"/>
          </w:tblCellMar>
        </w:tblPrEx>
        <w:trPr>
          <w:trHeight w:hRule="exact" w:val="115"/>
          <w:tblHeader/>
          <w:jc w:val="center"/>
        </w:trPr>
        <w:tc>
          <w:tcPr>
            <w:tcW w:w="1250" w:type="pct"/>
            <w:tcBorders>
              <w:top w:val="single" w:sz="12" w:space="0" w:color="auto"/>
            </w:tcBorders>
            <w:vAlign w:val="bottom"/>
          </w:tcPr>
          <w:p w:rsidR="00737B35" w:rsidRDefault="00737B35">
            <w:pPr>
              <w:spacing w:after="60" w:line="280" w:lineRule="exact"/>
              <w:ind w:right="40"/>
              <w:jc w:val="center"/>
              <w:rPr>
                <w:rFonts w:hint="eastAsia"/>
                <w:sz w:val="17"/>
              </w:rPr>
            </w:pPr>
          </w:p>
        </w:tc>
        <w:tc>
          <w:tcPr>
            <w:tcW w:w="1250" w:type="pct"/>
            <w:tcBorders>
              <w:top w:val="single" w:sz="12" w:space="0" w:color="auto"/>
            </w:tcBorders>
            <w:vAlign w:val="bottom"/>
          </w:tcPr>
          <w:p w:rsidR="00737B35" w:rsidRDefault="00737B35">
            <w:pPr>
              <w:spacing w:after="60" w:line="280" w:lineRule="exact"/>
              <w:ind w:right="40"/>
              <w:jc w:val="right"/>
              <w:rPr>
                <w:rFonts w:hint="eastAsia"/>
                <w:sz w:val="17"/>
              </w:rPr>
            </w:pPr>
          </w:p>
        </w:tc>
        <w:tc>
          <w:tcPr>
            <w:tcW w:w="1250" w:type="pct"/>
            <w:tcBorders>
              <w:top w:val="single" w:sz="12" w:space="0" w:color="auto"/>
            </w:tcBorders>
            <w:vAlign w:val="bottom"/>
          </w:tcPr>
          <w:p w:rsidR="00737B35" w:rsidRDefault="00737B35">
            <w:pPr>
              <w:spacing w:after="60" w:line="280" w:lineRule="exact"/>
              <w:ind w:right="40"/>
              <w:jc w:val="right"/>
              <w:rPr>
                <w:rFonts w:hint="eastAsia"/>
                <w:sz w:val="17"/>
              </w:rPr>
            </w:pPr>
          </w:p>
        </w:tc>
        <w:tc>
          <w:tcPr>
            <w:tcW w:w="1251" w:type="pct"/>
            <w:tcBorders>
              <w:top w:val="single" w:sz="12" w:space="0" w:color="auto"/>
            </w:tcBorders>
            <w:vAlign w:val="bottom"/>
          </w:tcPr>
          <w:p w:rsidR="00737B35" w:rsidRDefault="00737B35">
            <w:pPr>
              <w:spacing w:after="60" w:line="280" w:lineRule="exact"/>
              <w:ind w:right="40"/>
              <w:jc w:val="right"/>
              <w:rPr>
                <w:rFonts w:hint="eastAsia"/>
                <w:sz w:val="17"/>
              </w:rPr>
            </w:pPr>
          </w:p>
        </w:tc>
      </w:tr>
      <w:tr w:rsidR="00737B35">
        <w:tblPrEx>
          <w:tblCellMar>
            <w:top w:w="0" w:type="dxa"/>
            <w:bottom w:w="0" w:type="dxa"/>
          </w:tblCellMar>
        </w:tblPrEx>
        <w:trPr>
          <w:jc w:val="center"/>
        </w:trPr>
        <w:tc>
          <w:tcPr>
            <w:tcW w:w="1250" w:type="pct"/>
            <w:vAlign w:val="bottom"/>
          </w:tcPr>
          <w:p w:rsidR="00737B35" w:rsidRDefault="00737B35">
            <w:pPr>
              <w:tabs>
                <w:tab w:val="left" w:pos="357"/>
                <w:tab w:val="left" w:pos="714"/>
                <w:tab w:val="left" w:pos="1071"/>
                <w:tab w:val="left" w:pos="1429"/>
              </w:tabs>
              <w:spacing w:after="60" w:line="280" w:lineRule="exact"/>
              <w:ind w:right="40"/>
              <w:jc w:val="center"/>
              <w:rPr>
                <w:rFonts w:hint="eastAsia"/>
                <w:sz w:val="17"/>
              </w:rPr>
            </w:pPr>
            <w:r>
              <w:rPr>
                <w:rFonts w:hint="eastAsia"/>
                <w:sz w:val="17"/>
              </w:rPr>
              <w:t>城/乡</w:t>
            </w:r>
          </w:p>
        </w:tc>
        <w:tc>
          <w:tcPr>
            <w:tcW w:w="1250"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城/乡</w:t>
            </w:r>
          </w:p>
        </w:tc>
        <w:tc>
          <w:tcPr>
            <w:tcW w:w="1250"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城/乡</w:t>
            </w:r>
          </w:p>
        </w:tc>
        <w:tc>
          <w:tcPr>
            <w:tcW w:w="1251"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城/乡</w:t>
            </w:r>
          </w:p>
        </w:tc>
      </w:tr>
      <w:tr w:rsidR="00737B35">
        <w:tblPrEx>
          <w:tblCellMar>
            <w:top w:w="0" w:type="dxa"/>
            <w:bottom w:w="0" w:type="dxa"/>
          </w:tblCellMar>
        </w:tblPrEx>
        <w:trPr>
          <w:cantSplit/>
          <w:trHeight w:val="146"/>
          <w:jc w:val="center"/>
        </w:trPr>
        <w:tc>
          <w:tcPr>
            <w:tcW w:w="1250"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center"/>
              <w:rPr>
                <w:rFonts w:hint="eastAsia"/>
                <w:sz w:val="17"/>
              </w:rPr>
            </w:pPr>
            <w:r>
              <w:rPr>
                <w:rFonts w:hint="eastAsia"/>
                <w:sz w:val="17"/>
              </w:rPr>
              <w:t>21%/42%</w:t>
            </w:r>
          </w:p>
        </w:tc>
        <w:tc>
          <w:tcPr>
            <w:tcW w:w="1250"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23%/34%</w:t>
            </w:r>
          </w:p>
        </w:tc>
        <w:tc>
          <w:tcPr>
            <w:tcW w:w="1250"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29%/21%</w:t>
            </w:r>
          </w:p>
        </w:tc>
        <w:tc>
          <w:tcPr>
            <w:tcW w:w="1251"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27%/3%</w:t>
            </w:r>
          </w:p>
        </w:tc>
      </w:tr>
    </w:tbl>
    <w:p w:rsidR="00737B35" w:rsidRDefault="00737B35">
      <w:pPr>
        <w:pStyle w:val="SingleTxt"/>
      </w:pPr>
    </w:p>
    <w:p w:rsidR="00737B35" w:rsidRDefault="00737B35">
      <w:pPr>
        <w:pStyle w:val="SingleTxt"/>
        <w:rPr>
          <w:rFonts w:hint="eastAsia"/>
        </w:rPr>
      </w:pPr>
      <w:r>
        <w:tab/>
      </w:r>
      <w:r>
        <w:rPr>
          <w:rFonts w:hint="eastAsia"/>
        </w:rPr>
        <w:t>分娩时的援助在老挝共和国因地点不同而差异巨大。在城市地区，利用现代保健接生的比例高得多，达到27％，而且随收入水平而大幅度提高。在农村地区，现代保健在所有收入组中都低。15至49岁已婚妇女中只有17％接种过至少3次破伤风疫苗，这种免疫功能能够在分娩时拯救母亲的生命。</w:t>
      </w:r>
    </w:p>
    <w:p w:rsidR="00737B35" w:rsidRDefault="00737B35">
      <w:pPr>
        <w:pStyle w:val="SingleTxt"/>
        <w:rPr>
          <w:rFonts w:hint="eastAsia"/>
        </w:rPr>
      </w:pPr>
      <w:r>
        <w:tab/>
      </w:r>
      <w:r>
        <w:rPr>
          <w:rFonts w:hint="eastAsia"/>
        </w:rPr>
        <w:t>老挝共和国的总生育率是5.6（人口普查，1995年）。城市地区生育率比农村地区低。根据目前的生育率测算，城市妇女的子女比其农村姐妹平均少3个（生育率和出生间隔调查，1995年）。同一调查表明，总生育率随着教育程度和财富的下降而下降而并不管民族群体如何。</w:t>
      </w:r>
    </w:p>
    <w:p w:rsidR="00737B35" w:rsidRDefault="00737B35">
      <w:pPr>
        <w:pStyle w:val="SingleTxt"/>
        <w:rPr>
          <w:rFonts w:hint="eastAsia"/>
        </w:rPr>
      </w:pPr>
      <w:r>
        <w:tab/>
      </w:r>
      <w:r>
        <w:rPr>
          <w:rFonts w:hint="eastAsia"/>
        </w:rPr>
        <w:t>在过去4年中避孕流行程度稳步增长，从1995年的4.8％上升到1998年的11％。在城市地区接受程度高于农村地区。</w:t>
      </w:r>
    </w:p>
    <w:p w:rsidR="00737B35" w:rsidRDefault="00737B35">
      <w:pPr>
        <w:pStyle w:val="SingleTxt"/>
        <w:rPr>
          <w:rFonts w:ascii="SimHei" w:eastAsia="SimHei"/>
          <w:color w:val="FF0000"/>
        </w:rPr>
      </w:pPr>
      <w:r>
        <w:rPr>
          <w:rFonts w:ascii="SimHei" w:eastAsia="SimHei" w:hint="eastAsia"/>
          <w:color w:val="FF0000"/>
        </w:rPr>
        <w:t>1998年按省列示的避孕观念接受情况和估计的避孕普及率</w:t>
      </w:r>
      <w:r>
        <w:rPr>
          <w:rStyle w:val="FootnoteReference"/>
          <w:rFonts w:ascii="SimHei" w:eastAsia="SimHei"/>
        </w:rPr>
        <w:footnoteReference w:id="4"/>
      </w:r>
    </w:p>
    <w:tbl>
      <w:tblPr>
        <w:tblW w:w="3635" w:type="pct"/>
        <w:jc w:val="center"/>
        <w:tblLook w:val="0000" w:firstRow="0" w:lastRow="0" w:firstColumn="0" w:lastColumn="0" w:noHBand="0" w:noVBand="0"/>
      </w:tblPr>
      <w:tblGrid>
        <w:gridCol w:w="2439"/>
        <w:gridCol w:w="2440"/>
        <w:gridCol w:w="2440"/>
      </w:tblGrid>
      <w:tr w:rsidR="00737B35">
        <w:tblPrEx>
          <w:tblCellMar>
            <w:top w:w="0" w:type="dxa"/>
            <w:bottom w:w="0" w:type="dxa"/>
          </w:tblCellMar>
        </w:tblPrEx>
        <w:trPr>
          <w:tblHeader/>
          <w:jc w:val="center"/>
        </w:trPr>
        <w:tc>
          <w:tcPr>
            <w:tcW w:w="1666" w:type="pct"/>
            <w:tcBorders>
              <w:top w:val="single" w:sz="2" w:space="0" w:color="auto"/>
              <w:bottom w:val="single" w:sz="12" w:space="0" w:color="auto"/>
            </w:tcBorders>
            <w:vAlign w:val="bottom"/>
          </w:tcPr>
          <w:p w:rsidR="00737B35" w:rsidRDefault="00737B35">
            <w:pPr>
              <w:spacing w:before="60" w:after="60" w:line="240" w:lineRule="exact"/>
              <w:ind w:right="40"/>
              <w:jc w:val="both"/>
              <w:rPr>
                <w:rFonts w:eastAsia="KaiTi_GB2312" w:hint="eastAsia"/>
                <w:color w:val="0000FF"/>
                <w:sz w:val="14"/>
              </w:rPr>
            </w:pPr>
            <w:r>
              <w:rPr>
                <w:rFonts w:eastAsia="KaiTi_GB2312" w:hint="eastAsia"/>
                <w:color w:val="0000FF"/>
                <w:sz w:val="14"/>
              </w:rPr>
              <w:t>省</w:t>
            </w:r>
          </w:p>
        </w:tc>
        <w:tc>
          <w:tcPr>
            <w:tcW w:w="1667"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接受人数</w:t>
            </w:r>
          </w:p>
        </w:tc>
        <w:tc>
          <w:tcPr>
            <w:tcW w:w="1667"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避孕普及率</w:t>
            </w:r>
          </w:p>
        </w:tc>
      </w:tr>
      <w:tr w:rsidR="00737B35">
        <w:tblPrEx>
          <w:tblCellMar>
            <w:top w:w="0" w:type="dxa"/>
            <w:bottom w:w="0" w:type="dxa"/>
          </w:tblCellMar>
        </w:tblPrEx>
        <w:trPr>
          <w:trHeight w:hRule="exact" w:val="115"/>
          <w:tblHeader/>
          <w:jc w:val="center"/>
        </w:trPr>
        <w:tc>
          <w:tcPr>
            <w:tcW w:w="1666" w:type="pct"/>
            <w:tcBorders>
              <w:top w:val="single" w:sz="12" w:space="0" w:color="auto"/>
            </w:tcBorders>
            <w:vAlign w:val="bottom"/>
          </w:tcPr>
          <w:p w:rsidR="00737B35" w:rsidRDefault="00737B35">
            <w:pPr>
              <w:spacing w:after="60" w:line="280" w:lineRule="exact"/>
              <w:ind w:right="40"/>
              <w:jc w:val="both"/>
              <w:rPr>
                <w:rFonts w:hint="eastAsia"/>
                <w:sz w:val="17"/>
              </w:rPr>
            </w:pPr>
          </w:p>
        </w:tc>
        <w:tc>
          <w:tcPr>
            <w:tcW w:w="1667" w:type="pct"/>
            <w:tcBorders>
              <w:top w:val="single" w:sz="12" w:space="0" w:color="auto"/>
            </w:tcBorders>
            <w:vAlign w:val="bottom"/>
          </w:tcPr>
          <w:p w:rsidR="00737B35" w:rsidRDefault="00737B35">
            <w:pPr>
              <w:spacing w:after="60" w:line="280" w:lineRule="exact"/>
              <w:ind w:right="40"/>
              <w:jc w:val="right"/>
              <w:rPr>
                <w:rFonts w:hint="eastAsia"/>
                <w:sz w:val="17"/>
              </w:rPr>
            </w:pPr>
          </w:p>
        </w:tc>
        <w:tc>
          <w:tcPr>
            <w:tcW w:w="1667" w:type="pct"/>
            <w:tcBorders>
              <w:top w:val="single" w:sz="12" w:space="0" w:color="auto"/>
            </w:tcBorders>
            <w:vAlign w:val="bottom"/>
          </w:tcPr>
          <w:p w:rsidR="00737B35" w:rsidRDefault="00737B35">
            <w:pPr>
              <w:spacing w:after="60" w:line="280" w:lineRule="exact"/>
              <w:ind w:right="40"/>
              <w:jc w:val="right"/>
              <w:rPr>
                <w:rFonts w:hint="eastAsia"/>
                <w:sz w:val="17"/>
              </w:rPr>
            </w:pP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万象直辖市</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10 544</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12.4%</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万象省</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3 150</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6.5%</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甘蒙</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6 666</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14.3%</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琅勃拉邦</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4 201</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7.1%</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沙耶武里</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1 315</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2.7%</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沙湾拿吉</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13 089</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11.1%</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博胶</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1 296</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6.6%</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乌多姆赛</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2 283</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6.5%</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川圹</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2 331</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7.1%</w:t>
            </w:r>
          </w:p>
        </w:tc>
      </w:tr>
      <w:tr w:rsidR="00737B35">
        <w:tblPrEx>
          <w:tblCellMar>
            <w:top w:w="0" w:type="dxa"/>
            <w:bottom w:w="0" w:type="dxa"/>
          </w:tblCellMar>
        </w:tblPrEx>
        <w:trPr>
          <w:jc w:val="center"/>
        </w:trPr>
        <w:tc>
          <w:tcPr>
            <w:tcW w:w="1666" w:type="pct"/>
            <w:vAlign w:val="bottom"/>
          </w:tcPr>
          <w:p w:rsidR="00737B35" w:rsidRDefault="00737B35">
            <w:pPr>
              <w:pStyle w:val="Header"/>
              <w:tabs>
                <w:tab w:val="clear" w:pos="4320"/>
                <w:tab w:val="clear" w:pos="8640"/>
                <w:tab w:val="left" w:pos="357"/>
                <w:tab w:val="left" w:pos="714"/>
                <w:tab w:val="left" w:pos="1071"/>
                <w:tab w:val="left" w:pos="1429"/>
              </w:tabs>
              <w:spacing w:after="60" w:line="280" w:lineRule="exact"/>
              <w:ind w:right="40"/>
              <w:jc w:val="both"/>
              <w:rPr>
                <w:rFonts w:hint="eastAsia"/>
                <w:sz w:val="17"/>
              </w:rPr>
            </w:pPr>
            <w:r>
              <w:rPr>
                <w:rFonts w:hint="eastAsia"/>
                <w:sz w:val="17"/>
              </w:rPr>
              <w:t>华潘</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3 888</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9.2%</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占巴塞</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5 378</w:t>
            </w:r>
          </w:p>
        </w:tc>
        <w:tc>
          <w:tcPr>
            <w:tcW w:w="1667" w:type="pct"/>
            <w:vAlign w:val="bottom"/>
          </w:tcPr>
          <w:p w:rsidR="00737B35" w:rsidRDefault="00737B35">
            <w:pPr>
              <w:pStyle w:val="Header"/>
              <w:tabs>
                <w:tab w:val="clear" w:pos="4320"/>
                <w:tab w:val="clear" w:pos="8640"/>
                <w:tab w:val="left" w:pos="357"/>
                <w:tab w:val="left" w:pos="714"/>
                <w:tab w:val="left" w:pos="1071"/>
                <w:tab w:val="left" w:pos="1429"/>
              </w:tabs>
              <w:spacing w:after="60" w:line="280" w:lineRule="exact"/>
              <w:ind w:right="40"/>
              <w:jc w:val="right"/>
              <w:rPr>
                <w:rFonts w:hint="eastAsia"/>
                <w:sz w:val="17"/>
              </w:rPr>
            </w:pPr>
            <w:r>
              <w:rPr>
                <w:rFonts w:hint="eastAsia"/>
                <w:sz w:val="17"/>
              </w:rPr>
              <w:t>6.2%</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沙拉湾</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3 091</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6.4%</w:t>
            </w:r>
          </w:p>
        </w:tc>
      </w:tr>
      <w:tr w:rsidR="00737B35">
        <w:tblPrEx>
          <w:tblCellMar>
            <w:top w:w="0" w:type="dxa"/>
            <w:bottom w:w="0" w:type="dxa"/>
          </w:tblCellMar>
        </w:tblPrEx>
        <w:trPr>
          <w:jc w:val="center"/>
        </w:trPr>
        <w:tc>
          <w:tcPr>
            <w:tcW w:w="1666"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公河</w:t>
            </w:r>
          </w:p>
        </w:tc>
        <w:tc>
          <w:tcPr>
            <w:tcW w:w="1667"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533</w:t>
            </w:r>
          </w:p>
        </w:tc>
        <w:tc>
          <w:tcPr>
            <w:tcW w:w="1667"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4.6%</w:t>
            </w:r>
          </w:p>
        </w:tc>
      </w:tr>
    </w:tbl>
    <w:p w:rsidR="00737B35" w:rsidRDefault="00737B35">
      <w:pPr>
        <w:pStyle w:val="SingleTxt"/>
      </w:pPr>
    </w:p>
    <w:p w:rsidR="00737B35" w:rsidRDefault="00737B35">
      <w:pPr>
        <w:pStyle w:val="SingleTxt"/>
        <w:rPr>
          <w:rFonts w:hint="eastAsia"/>
        </w:rPr>
      </w:pPr>
      <w:r>
        <w:tab/>
      </w:r>
      <w:r>
        <w:rPr>
          <w:rFonts w:hint="eastAsia"/>
        </w:rPr>
        <w:t>对具体避孕法的偏受似乎随地域不同而变化很大。一般说，可注射的药物是最受欢迎的避孕法（1998年为46.5％）。接下来依次是口服药丸（24.2％）、宫内避孕器（20.4％）和安全套（9％）（全国出生间隔方案、IMCH、公共卫生部，1999年）。</w:t>
      </w:r>
    </w:p>
    <w:p w:rsidR="00737B35" w:rsidRDefault="00737B35">
      <w:pPr>
        <w:pStyle w:val="SingleTxt"/>
        <w:rPr>
          <w:rFonts w:ascii="SimHei" w:eastAsia="SimHei" w:hint="eastAsia"/>
          <w:color w:val="FF0000"/>
        </w:rPr>
      </w:pPr>
      <w:r>
        <w:rPr>
          <w:rFonts w:ascii="SimHei" w:eastAsia="SimHei" w:hint="eastAsia"/>
          <w:color w:val="FF0000"/>
        </w:rPr>
        <w:t>农村妇女受教育的机会</w:t>
      </w:r>
    </w:p>
    <w:p w:rsidR="00737B35" w:rsidRDefault="00737B35">
      <w:pPr>
        <w:pStyle w:val="SingleTxt"/>
        <w:rPr>
          <w:rFonts w:hint="eastAsia"/>
        </w:rPr>
      </w:pPr>
      <w:r>
        <w:tab/>
      </w:r>
      <w:r>
        <w:rPr>
          <w:rFonts w:hint="eastAsia"/>
        </w:rPr>
        <w:t>据1995年人口普查，老挝共和国的总识字率是60％，即15岁及以上人口中有六成的人能读写老挝文。首都地区识字率最高，15岁及以上人口中85％能够阅读。男子的识字率比妇女的高得多，分别为74％和48％。这方面城乡之间也存在差别。城市地区的识字率为85％，农村地区的识字率略低于55％。少数民族妇女的识字率尤其令人忧虑：</w:t>
      </w:r>
    </w:p>
    <w:tbl>
      <w:tblPr>
        <w:tblW w:w="3635" w:type="pct"/>
        <w:jc w:val="center"/>
        <w:tblLook w:val="0000" w:firstRow="0" w:lastRow="0" w:firstColumn="0" w:lastColumn="0" w:noHBand="0" w:noVBand="0"/>
      </w:tblPr>
      <w:tblGrid>
        <w:gridCol w:w="2439"/>
        <w:gridCol w:w="2440"/>
        <w:gridCol w:w="2440"/>
      </w:tblGrid>
      <w:tr w:rsidR="00737B35">
        <w:tblPrEx>
          <w:tblCellMar>
            <w:top w:w="0" w:type="dxa"/>
            <w:bottom w:w="0" w:type="dxa"/>
          </w:tblCellMar>
        </w:tblPrEx>
        <w:trPr>
          <w:tblHeader/>
          <w:jc w:val="center"/>
        </w:trPr>
        <w:tc>
          <w:tcPr>
            <w:tcW w:w="1666" w:type="pct"/>
            <w:tcBorders>
              <w:top w:val="single" w:sz="2" w:space="0" w:color="auto"/>
              <w:bottom w:val="single" w:sz="12" w:space="0" w:color="auto"/>
            </w:tcBorders>
            <w:vAlign w:val="bottom"/>
          </w:tcPr>
          <w:p w:rsidR="00737B35" w:rsidRDefault="00737B35">
            <w:pPr>
              <w:spacing w:before="60" w:after="60" w:line="240" w:lineRule="exact"/>
              <w:ind w:right="40"/>
              <w:jc w:val="center"/>
              <w:rPr>
                <w:rFonts w:eastAsia="KaiTi_GB2312" w:hint="eastAsia"/>
                <w:color w:val="0000FF"/>
                <w:sz w:val="14"/>
              </w:rPr>
            </w:pPr>
          </w:p>
        </w:tc>
        <w:tc>
          <w:tcPr>
            <w:tcW w:w="1667"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识字女性</w:t>
            </w:r>
            <w:r>
              <w:rPr>
                <w:rFonts w:eastAsia="KaiTi_GB2312" w:hint="eastAsia"/>
                <w:color w:val="0000FF"/>
                <w:sz w:val="14"/>
              </w:rPr>
              <w:t>%</w:t>
            </w:r>
          </w:p>
        </w:tc>
        <w:tc>
          <w:tcPr>
            <w:tcW w:w="1667"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识字男性</w:t>
            </w:r>
            <w:r>
              <w:rPr>
                <w:rFonts w:eastAsia="KaiTi_GB2312" w:hint="eastAsia"/>
                <w:color w:val="0000FF"/>
                <w:sz w:val="14"/>
              </w:rPr>
              <w:t>%</w:t>
            </w:r>
          </w:p>
        </w:tc>
      </w:tr>
      <w:tr w:rsidR="00737B35">
        <w:tblPrEx>
          <w:tblCellMar>
            <w:top w:w="0" w:type="dxa"/>
            <w:bottom w:w="0" w:type="dxa"/>
          </w:tblCellMar>
        </w:tblPrEx>
        <w:trPr>
          <w:trHeight w:hRule="exact" w:val="115"/>
          <w:tblHeader/>
          <w:jc w:val="center"/>
        </w:trPr>
        <w:tc>
          <w:tcPr>
            <w:tcW w:w="1666" w:type="pct"/>
            <w:tcBorders>
              <w:top w:val="single" w:sz="12" w:space="0" w:color="auto"/>
            </w:tcBorders>
            <w:vAlign w:val="bottom"/>
          </w:tcPr>
          <w:p w:rsidR="00737B35" w:rsidRDefault="00737B35">
            <w:pPr>
              <w:spacing w:after="60" w:line="280" w:lineRule="exact"/>
              <w:ind w:right="40"/>
              <w:jc w:val="center"/>
              <w:rPr>
                <w:rFonts w:hint="eastAsia"/>
                <w:sz w:val="17"/>
              </w:rPr>
            </w:pPr>
          </w:p>
        </w:tc>
        <w:tc>
          <w:tcPr>
            <w:tcW w:w="1667" w:type="pct"/>
            <w:tcBorders>
              <w:top w:val="single" w:sz="12" w:space="0" w:color="auto"/>
            </w:tcBorders>
            <w:vAlign w:val="bottom"/>
          </w:tcPr>
          <w:p w:rsidR="00737B35" w:rsidRDefault="00737B35">
            <w:pPr>
              <w:spacing w:after="60" w:line="280" w:lineRule="exact"/>
              <w:ind w:right="40"/>
              <w:jc w:val="right"/>
              <w:rPr>
                <w:rFonts w:hint="eastAsia"/>
                <w:sz w:val="17"/>
              </w:rPr>
            </w:pPr>
          </w:p>
        </w:tc>
        <w:tc>
          <w:tcPr>
            <w:tcW w:w="1667" w:type="pct"/>
            <w:tcBorders>
              <w:top w:val="single" w:sz="12" w:space="0" w:color="auto"/>
            </w:tcBorders>
            <w:vAlign w:val="bottom"/>
          </w:tcPr>
          <w:p w:rsidR="00737B35" w:rsidRDefault="00737B35">
            <w:pPr>
              <w:spacing w:after="60" w:line="280" w:lineRule="exact"/>
              <w:ind w:right="40"/>
              <w:jc w:val="right"/>
              <w:rPr>
                <w:rFonts w:hint="eastAsia"/>
                <w:sz w:val="17"/>
              </w:rPr>
            </w:pP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老挝族</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66.12%</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86.03%</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克穆族</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22.71%</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60.76%</w:t>
            </w: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赫蒙族</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8.10%</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45.65%</w:t>
            </w:r>
          </w:p>
        </w:tc>
      </w:tr>
      <w:tr w:rsidR="00737B35">
        <w:tblPrEx>
          <w:tblCellMar>
            <w:top w:w="0" w:type="dxa"/>
            <w:bottom w:w="0" w:type="dxa"/>
          </w:tblCellMar>
        </w:tblPrEx>
        <w:trPr>
          <w:jc w:val="center"/>
        </w:trPr>
        <w:tc>
          <w:tcPr>
            <w:tcW w:w="1666"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阿卡族</w:t>
            </w:r>
          </w:p>
        </w:tc>
        <w:tc>
          <w:tcPr>
            <w:tcW w:w="1667"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0.74%</w:t>
            </w:r>
          </w:p>
        </w:tc>
        <w:tc>
          <w:tcPr>
            <w:tcW w:w="1667"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7.01%</w:t>
            </w:r>
          </w:p>
        </w:tc>
      </w:tr>
    </w:tbl>
    <w:p w:rsidR="00737B35" w:rsidRDefault="00737B35">
      <w:pPr>
        <w:pStyle w:val="SingleTxt"/>
      </w:pPr>
    </w:p>
    <w:p w:rsidR="00737B35" w:rsidRDefault="00737B35">
      <w:pPr>
        <w:pStyle w:val="SingleTxt"/>
        <w:rPr>
          <w:rFonts w:hint="eastAsia"/>
        </w:rPr>
      </w:pPr>
      <w:r>
        <w:tab/>
      </w:r>
      <w:r>
        <w:rPr>
          <w:rFonts w:hint="eastAsia"/>
        </w:rPr>
        <w:t>就识字而言最重要的成果表现在城市妇女中，接下来是农村女性。然而仍有大量工作要做。</w:t>
      </w:r>
    </w:p>
    <w:p w:rsidR="00737B35" w:rsidRDefault="00737B35">
      <w:pPr>
        <w:pStyle w:val="SingleTxt"/>
        <w:spacing w:after="0" w:line="120" w:lineRule="exact"/>
        <w:rPr>
          <w:rFonts w:ascii="SimHei" w:eastAsia="SimHei" w:hint="eastAsia"/>
          <w:color w:val="FF0000"/>
          <w:sz w:val="10"/>
        </w:rPr>
      </w:pPr>
    </w:p>
    <w:p w:rsidR="00737B35" w:rsidRDefault="00737B35">
      <w:pPr>
        <w:pStyle w:val="SingleTxt"/>
        <w:rPr>
          <w:rFonts w:ascii="SimHei" w:eastAsia="SimHei" w:hint="eastAsia"/>
          <w:color w:val="FF0000"/>
        </w:rPr>
      </w:pPr>
      <w:r>
        <w:rPr>
          <w:rFonts w:ascii="SimHei" w:eastAsia="SimHei" w:hint="eastAsia"/>
          <w:color w:val="FF0000"/>
        </w:rPr>
        <w:t>按区域列示的两个年龄组的女性文盲率（老挝支出和消费调查，1992/1993年）</w:t>
      </w:r>
    </w:p>
    <w:tbl>
      <w:tblPr>
        <w:tblW w:w="3635" w:type="pct"/>
        <w:jc w:val="center"/>
        <w:tblLook w:val="0000" w:firstRow="0" w:lastRow="0" w:firstColumn="0" w:lastColumn="0" w:noHBand="0" w:noVBand="0"/>
      </w:tblPr>
      <w:tblGrid>
        <w:gridCol w:w="2439"/>
        <w:gridCol w:w="2440"/>
        <w:gridCol w:w="2440"/>
      </w:tblGrid>
      <w:tr w:rsidR="00737B35">
        <w:tblPrEx>
          <w:tblCellMar>
            <w:top w:w="0" w:type="dxa"/>
            <w:bottom w:w="0" w:type="dxa"/>
          </w:tblCellMar>
        </w:tblPrEx>
        <w:trPr>
          <w:tblHeader/>
          <w:jc w:val="center"/>
        </w:trPr>
        <w:tc>
          <w:tcPr>
            <w:tcW w:w="1666" w:type="pct"/>
            <w:tcBorders>
              <w:top w:val="single" w:sz="2" w:space="0" w:color="auto"/>
              <w:bottom w:val="single" w:sz="12" w:space="0" w:color="auto"/>
            </w:tcBorders>
            <w:vAlign w:val="bottom"/>
          </w:tcPr>
          <w:p w:rsidR="00737B35" w:rsidRDefault="00737B35">
            <w:pPr>
              <w:spacing w:before="60" w:after="60" w:line="240" w:lineRule="exact"/>
              <w:ind w:right="40"/>
              <w:jc w:val="both"/>
              <w:rPr>
                <w:rFonts w:eastAsia="KaiTi_GB2312" w:hint="eastAsia"/>
                <w:color w:val="0000FF"/>
                <w:sz w:val="14"/>
              </w:rPr>
            </w:pPr>
            <w:r>
              <w:rPr>
                <w:rFonts w:eastAsia="KaiTi_GB2312" w:hint="eastAsia"/>
                <w:color w:val="0000FF"/>
                <w:sz w:val="14"/>
              </w:rPr>
              <w:t>区域</w:t>
            </w:r>
          </w:p>
        </w:tc>
        <w:tc>
          <w:tcPr>
            <w:tcW w:w="1667"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36</w:t>
            </w:r>
            <w:r>
              <w:rPr>
                <w:rFonts w:eastAsia="KaiTi_GB2312" w:hint="eastAsia"/>
                <w:color w:val="0000FF"/>
                <w:sz w:val="14"/>
              </w:rPr>
              <w:t>至</w:t>
            </w:r>
            <w:r>
              <w:rPr>
                <w:rFonts w:eastAsia="KaiTi_GB2312" w:hint="eastAsia"/>
                <w:color w:val="0000FF"/>
                <w:sz w:val="14"/>
              </w:rPr>
              <w:t>55</w:t>
            </w:r>
            <w:r>
              <w:rPr>
                <w:rFonts w:eastAsia="KaiTi_GB2312" w:hint="eastAsia"/>
                <w:color w:val="0000FF"/>
                <w:sz w:val="14"/>
              </w:rPr>
              <w:t>岁</w:t>
            </w:r>
          </w:p>
        </w:tc>
        <w:tc>
          <w:tcPr>
            <w:tcW w:w="1667"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18</w:t>
            </w:r>
            <w:r>
              <w:rPr>
                <w:rFonts w:eastAsia="KaiTi_GB2312" w:hint="eastAsia"/>
                <w:color w:val="0000FF"/>
                <w:sz w:val="14"/>
              </w:rPr>
              <w:t>至</w:t>
            </w:r>
            <w:r>
              <w:rPr>
                <w:rFonts w:eastAsia="KaiTi_GB2312" w:hint="eastAsia"/>
                <w:color w:val="0000FF"/>
                <w:sz w:val="14"/>
              </w:rPr>
              <w:t>35</w:t>
            </w:r>
            <w:r>
              <w:rPr>
                <w:rFonts w:eastAsia="KaiTi_GB2312" w:hint="eastAsia"/>
                <w:color w:val="0000FF"/>
                <w:sz w:val="14"/>
              </w:rPr>
              <w:t>岁</w:t>
            </w:r>
          </w:p>
        </w:tc>
      </w:tr>
      <w:tr w:rsidR="00737B35">
        <w:tblPrEx>
          <w:tblCellMar>
            <w:top w:w="0" w:type="dxa"/>
            <w:bottom w:w="0" w:type="dxa"/>
          </w:tblCellMar>
        </w:tblPrEx>
        <w:trPr>
          <w:trHeight w:hRule="exact" w:val="115"/>
          <w:tblHeader/>
          <w:jc w:val="center"/>
        </w:trPr>
        <w:tc>
          <w:tcPr>
            <w:tcW w:w="1666" w:type="pct"/>
            <w:tcBorders>
              <w:top w:val="single" w:sz="12" w:space="0" w:color="auto"/>
            </w:tcBorders>
            <w:vAlign w:val="bottom"/>
          </w:tcPr>
          <w:p w:rsidR="00737B35" w:rsidRDefault="00737B35">
            <w:pPr>
              <w:spacing w:after="60" w:line="280" w:lineRule="exact"/>
              <w:ind w:right="40"/>
              <w:jc w:val="both"/>
              <w:rPr>
                <w:rFonts w:hint="eastAsia"/>
                <w:sz w:val="17"/>
              </w:rPr>
            </w:pPr>
          </w:p>
        </w:tc>
        <w:tc>
          <w:tcPr>
            <w:tcW w:w="1667" w:type="pct"/>
            <w:tcBorders>
              <w:top w:val="single" w:sz="12" w:space="0" w:color="auto"/>
            </w:tcBorders>
            <w:vAlign w:val="bottom"/>
          </w:tcPr>
          <w:p w:rsidR="00737B35" w:rsidRDefault="00737B35">
            <w:pPr>
              <w:spacing w:after="60" w:line="280" w:lineRule="exact"/>
              <w:ind w:right="40"/>
              <w:jc w:val="right"/>
              <w:rPr>
                <w:rFonts w:hint="eastAsia"/>
                <w:sz w:val="17"/>
              </w:rPr>
            </w:pPr>
          </w:p>
        </w:tc>
        <w:tc>
          <w:tcPr>
            <w:tcW w:w="1667" w:type="pct"/>
            <w:tcBorders>
              <w:top w:val="single" w:sz="12" w:space="0" w:color="auto"/>
            </w:tcBorders>
            <w:vAlign w:val="bottom"/>
          </w:tcPr>
          <w:p w:rsidR="00737B35" w:rsidRDefault="00737B35">
            <w:pPr>
              <w:spacing w:after="60" w:line="280" w:lineRule="exact"/>
              <w:ind w:right="40"/>
              <w:jc w:val="right"/>
              <w:rPr>
                <w:rFonts w:hint="eastAsia"/>
                <w:sz w:val="17"/>
              </w:rPr>
            </w:pPr>
          </w:p>
        </w:tc>
      </w:tr>
      <w:tr w:rsidR="00737B35">
        <w:tblPrEx>
          <w:tblCellMar>
            <w:top w:w="0" w:type="dxa"/>
            <w:bottom w:w="0" w:type="dxa"/>
          </w:tblCellMar>
        </w:tblPrEx>
        <w:trPr>
          <w:jc w:val="center"/>
        </w:trPr>
        <w:tc>
          <w:tcPr>
            <w:tcW w:w="1666" w:type="pct"/>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城市</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36%</w:t>
            </w:r>
          </w:p>
        </w:tc>
        <w:tc>
          <w:tcPr>
            <w:tcW w:w="1667"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7%</w:t>
            </w:r>
          </w:p>
        </w:tc>
      </w:tr>
      <w:tr w:rsidR="00737B35">
        <w:tblPrEx>
          <w:tblCellMar>
            <w:top w:w="0" w:type="dxa"/>
            <w:bottom w:w="0" w:type="dxa"/>
          </w:tblCellMar>
        </w:tblPrEx>
        <w:trPr>
          <w:jc w:val="center"/>
        </w:trPr>
        <w:tc>
          <w:tcPr>
            <w:tcW w:w="1666"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农村</w:t>
            </w:r>
          </w:p>
        </w:tc>
        <w:tc>
          <w:tcPr>
            <w:tcW w:w="1667"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76%</w:t>
            </w:r>
          </w:p>
        </w:tc>
        <w:tc>
          <w:tcPr>
            <w:tcW w:w="1667"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43%</w:t>
            </w:r>
          </w:p>
        </w:tc>
      </w:tr>
    </w:tbl>
    <w:p w:rsidR="00737B35" w:rsidRDefault="00737B35">
      <w:pPr>
        <w:pStyle w:val="SingleTxt"/>
      </w:pPr>
    </w:p>
    <w:p w:rsidR="00737B35" w:rsidRDefault="00737B35">
      <w:pPr>
        <w:pStyle w:val="SingleTxt"/>
        <w:rPr>
          <w:rFonts w:hint="eastAsia"/>
        </w:rPr>
      </w:pPr>
      <w:r>
        <w:tab/>
      </w:r>
      <w:r>
        <w:rPr>
          <w:rFonts w:hint="eastAsia"/>
        </w:rPr>
        <w:t>中小学生的总入学率表明地域之间存在着巨大的差异，它还表明与较为城市化的中部相比，北部与南部的农村之间也有严重的差异。</w:t>
      </w:r>
    </w:p>
    <w:p w:rsidR="00737B35" w:rsidRDefault="00737B35">
      <w:pPr>
        <w:pStyle w:val="SingleTxt"/>
        <w:rPr>
          <w:rFonts w:ascii="SimHei" w:eastAsia="SimHei"/>
          <w:color w:val="FF0000"/>
        </w:rPr>
      </w:pPr>
      <w:r>
        <w:rPr>
          <w:rFonts w:ascii="SimHei" w:eastAsia="SimHei"/>
          <w:color w:val="FF0000"/>
        </w:rPr>
        <w:br w:type="page"/>
      </w:r>
      <w:r>
        <w:rPr>
          <w:rFonts w:ascii="SimHei" w:eastAsia="SimHei" w:hint="eastAsia"/>
          <w:color w:val="FF0000"/>
        </w:rPr>
        <w:t>按性别和区域列示的小学和初中的净入学率</w:t>
      </w:r>
      <w:r>
        <w:rPr>
          <w:rStyle w:val="FootnoteReference"/>
          <w:rFonts w:ascii="SimHei" w:eastAsia="SimHei"/>
        </w:rPr>
        <w:footnoteReference w:id="5"/>
      </w:r>
    </w:p>
    <w:p w:rsidR="00737B35" w:rsidRDefault="00737B35">
      <w:pPr>
        <w:pStyle w:val="SingleTxt"/>
        <w:rPr>
          <w:rFonts w:hint="eastAsia"/>
        </w:rPr>
      </w:pPr>
      <w:r>
        <w:rPr>
          <w:rFonts w:ascii="SimHei" w:eastAsia="SimHei" w:hint="eastAsia"/>
          <w:color w:val="FF0000"/>
        </w:rPr>
        <w:t>小学入学率</w:t>
      </w:r>
    </w:p>
    <w:tbl>
      <w:tblPr>
        <w:tblW w:w="3680" w:type="pct"/>
        <w:jc w:val="center"/>
        <w:tblInd w:w="1260" w:type="dxa"/>
        <w:tblLook w:val="0000" w:firstRow="0" w:lastRow="0" w:firstColumn="0" w:lastColumn="0" w:noHBand="0" w:noVBand="0"/>
      </w:tblPr>
      <w:tblGrid>
        <w:gridCol w:w="1852"/>
        <w:gridCol w:w="1852"/>
        <w:gridCol w:w="1853"/>
        <w:gridCol w:w="1853"/>
      </w:tblGrid>
      <w:tr w:rsidR="00737B35">
        <w:tblPrEx>
          <w:tblCellMar>
            <w:top w:w="0" w:type="dxa"/>
            <w:bottom w:w="0" w:type="dxa"/>
          </w:tblCellMar>
        </w:tblPrEx>
        <w:trPr>
          <w:tblHeader/>
          <w:jc w:val="center"/>
        </w:trPr>
        <w:tc>
          <w:tcPr>
            <w:tcW w:w="1250" w:type="pct"/>
            <w:tcBorders>
              <w:top w:val="single" w:sz="2" w:space="0" w:color="auto"/>
              <w:bottom w:val="single" w:sz="12" w:space="0" w:color="auto"/>
            </w:tcBorders>
            <w:vAlign w:val="bottom"/>
          </w:tcPr>
          <w:p w:rsidR="00737B35" w:rsidRDefault="00737B35">
            <w:pPr>
              <w:spacing w:before="60" w:after="60" w:line="240" w:lineRule="exact"/>
              <w:ind w:right="40"/>
              <w:jc w:val="center"/>
              <w:rPr>
                <w:rFonts w:eastAsia="KaiTi_GB2312" w:hint="eastAsia"/>
                <w:color w:val="0000FF"/>
                <w:sz w:val="14"/>
              </w:rPr>
            </w:pPr>
          </w:p>
        </w:tc>
        <w:tc>
          <w:tcPr>
            <w:tcW w:w="1250"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男性</w:t>
            </w:r>
          </w:p>
        </w:tc>
        <w:tc>
          <w:tcPr>
            <w:tcW w:w="1250"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女性</w:t>
            </w:r>
          </w:p>
        </w:tc>
        <w:tc>
          <w:tcPr>
            <w:tcW w:w="1250"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总数</w:t>
            </w:r>
          </w:p>
        </w:tc>
      </w:tr>
      <w:tr w:rsidR="00737B35">
        <w:tblPrEx>
          <w:tblCellMar>
            <w:top w:w="0" w:type="dxa"/>
            <w:bottom w:w="0" w:type="dxa"/>
          </w:tblCellMar>
        </w:tblPrEx>
        <w:trPr>
          <w:cantSplit/>
          <w:trHeight w:hRule="exact" w:val="115"/>
          <w:tblHeader/>
          <w:jc w:val="center"/>
        </w:trPr>
        <w:tc>
          <w:tcPr>
            <w:tcW w:w="5000" w:type="pct"/>
            <w:gridSpan w:val="4"/>
            <w:tcBorders>
              <w:top w:val="single" w:sz="12" w:space="0" w:color="auto"/>
            </w:tcBorders>
            <w:vAlign w:val="bottom"/>
          </w:tcPr>
          <w:p w:rsidR="00737B35" w:rsidRDefault="00737B35" w:rsidP="00335557">
            <w:pPr>
              <w:spacing w:after="60" w:line="280" w:lineRule="exact"/>
              <w:ind w:right="40" w:firstLineChars="100" w:firstLine="31680"/>
              <w:rPr>
                <w:rFonts w:hint="eastAsia"/>
                <w:sz w:val="17"/>
              </w:rPr>
            </w:pPr>
          </w:p>
        </w:tc>
      </w:tr>
      <w:tr w:rsidR="00737B35">
        <w:tblPrEx>
          <w:tblCellMar>
            <w:top w:w="0" w:type="dxa"/>
            <w:bottom w:w="0" w:type="dxa"/>
          </w:tblCellMar>
        </w:tblPrEx>
        <w:trPr>
          <w:cantSplit/>
          <w:jc w:val="center"/>
        </w:trPr>
        <w:tc>
          <w:tcPr>
            <w:tcW w:w="5000" w:type="pct"/>
            <w:gridSpan w:val="4"/>
            <w:vAlign w:val="bottom"/>
          </w:tcPr>
          <w:p w:rsidR="00737B35" w:rsidRDefault="00737B35" w:rsidP="00335557">
            <w:pPr>
              <w:tabs>
                <w:tab w:val="left" w:pos="357"/>
                <w:tab w:val="left" w:pos="714"/>
                <w:tab w:val="left" w:pos="1071"/>
                <w:tab w:val="left" w:pos="1429"/>
              </w:tabs>
              <w:spacing w:after="60" w:line="280" w:lineRule="exact"/>
              <w:ind w:right="40" w:firstLineChars="21" w:firstLine="31680"/>
              <w:jc w:val="both"/>
              <w:rPr>
                <w:rFonts w:hint="eastAsia"/>
                <w:sz w:val="17"/>
              </w:rPr>
            </w:pPr>
            <w:r>
              <w:rPr>
                <w:rFonts w:hint="eastAsia"/>
                <w:sz w:val="17"/>
              </w:rPr>
              <w:t>区域</w:t>
            </w:r>
          </w:p>
        </w:tc>
      </w:tr>
      <w:tr w:rsidR="00737B35">
        <w:tblPrEx>
          <w:tblCellMar>
            <w:top w:w="0" w:type="dxa"/>
            <w:bottom w:w="0" w:type="dxa"/>
          </w:tblCellMar>
        </w:tblPrEx>
        <w:trPr>
          <w:jc w:val="center"/>
        </w:trPr>
        <w:tc>
          <w:tcPr>
            <w:tcW w:w="1250" w:type="pct"/>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sz w:val="17"/>
              </w:rPr>
              <w:tab/>
            </w:r>
            <w:r>
              <w:rPr>
                <w:rFonts w:hint="eastAsia"/>
                <w:sz w:val="17"/>
              </w:rPr>
              <w:t>北部</w:t>
            </w:r>
          </w:p>
        </w:tc>
        <w:tc>
          <w:tcPr>
            <w:tcW w:w="1250" w:type="pct"/>
            <w:vAlign w:val="bottom"/>
          </w:tcPr>
          <w:p w:rsidR="00737B35" w:rsidRDefault="00737B35">
            <w:pPr>
              <w:tabs>
                <w:tab w:val="left" w:pos="357"/>
                <w:tab w:val="left" w:pos="714"/>
                <w:tab w:val="left" w:pos="1071"/>
                <w:tab w:val="left" w:pos="1429"/>
              </w:tabs>
              <w:spacing w:after="60" w:line="280" w:lineRule="exact"/>
              <w:ind w:right="40"/>
              <w:jc w:val="center"/>
              <w:rPr>
                <w:rFonts w:hint="eastAsia"/>
                <w:sz w:val="17"/>
              </w:rPr>
            </w:pPr>
            <w:r>
              <w:rPr>
                <w:rFonts w:hint="eastAsia"/>
                <w:sz w:val="17"/>
              </w:rPr>
              <w:t>54%</w:t>
            </w:r>
          </w:p>
        </w:tc>
        <w:tc>
          <w:tcPr>
            <w:tcW w:w="1250" w:type="pct"/>
            <w:vAlign w:val="bottom"/>
          </w:tcPr>
          <w:p w:rsidR="00737B35" w:rsidRDefault="00737B35">
            <w:pPr>
              <w:tabs>
                <w:tab w:val="left" w:pos="357"/>
                <w:tab w:val="left" w:pos="714"/>
                <w:tab w:val="left" w:pos="1071"/>
                <w:tab w:val="left" w:pos="1429"/>
              </w:tabs>
              <w:spacing w:after="60" w:line="280" w:lineRule="exact"/>
              <w:ind w:right="40"/>
              <w:jc w:val="center"/>
              <w:rPr>
                <w:rFonts w:hint="eastAsia"/>
                <w:sz w:val="17"/>
              </w:rPr>
            </w:pPr>
            <w:r>
              <w:rPr>
                <w:rFonts w:hint="eastAsia"/>
                <w:sz w:val="17"/>
              </w:rPr>
              <w:t>49%</w:t>
            </w:r>
          </w:p>
        </w:tc>
        <w:tc>
          <w:tcPr>
            <w:tcW w:w="1250" w:type="pct"/>
            <w:vAlign w:val="bottom"/>
          </w:tcPr>
          <w:p w:rsidR="00737B35" w:rsidRDefault="00737B35">
            <w:pPr>
              <w:tabs>
                <w:tab w:val="left" w:pos="357"/>
                <w:tab w:val="left" w:pos="714"/>
                <w:tab w:val="left" w:pos="1071"/>
                <w:tab w:val="left" w:pos="1429"/>
              </w:tabs>
              <w:spacing w:after="60" w:line="280" w:lineRule="exact"/>
              <w:ind w:right="40"/>
              <w:jc w:val="center"/>
              <w:rPr>
                <w:rFonts w:hint="eastAsia"/>
                <w:sz w:val="17"/>
              </w:rPr>
            </w:pPr>
            <w:r>
              <w:rPr>
                <w:rFonts w:hint="eastAsia"/>
                <w:sz w:val="17"/>
              </w:rPr>
              <w:t>51%</w:t>
            </w:r>
          </w:p>
        </w:tc>
      </w:tr>
      <w:tr w:rsidR="00737B35">
        <w:tblPrEx>
          <w:tblCellMar>
            <w:top w:w="0" w:type="dxa"/>
            <w:bottom w:w="0" w:type="dxa"/>
          </w:tblCellMar>
        </w:tblPrEx>
        <w:trPr>
          <w:jc w:val="center"/>
        </w:trPr>
        <w:tc>
          <w:tcPr>
            <w:tcW w:w="1250" w:type="pct"/>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sz w:val="17"/>
              </w:rPr>
              <w:tab/>
            </w:r>
            <w:r>
              <w:rPr>
                <w:rFonts w:hint="eastAsia"/>
                <w:sz w:val="17"/>
              </w:rPr>
              <w:t>中部</w:t>
            </w:r>
          </w:p>
        </w:tc>
        <w:tc>
          <w:tcPr>
            <w:tcW w:w="1250" w:type="pct"/>
            <w:vAlign w:val="bottom"/>
          </w:tcPr>
          <w:p w:rsidR="00737B35" w:rsidRDefault="00737B35">
            <w:pPr>
              <w:tabs>
                <w:tab w:val="left" w:pos="357"/>
                <w:tab w:val="left" w:pos="714"/>
                <w:tab w:val="left" w:pos="1071"/>
                <w:tab w:val="left" w:pos="1429"/>
              </w:tabs>
              <w:spacing w:after="60" w:line="280" w:lineRule="exact"/>
              <w:ind w:right="40"/>
              <w:jc w:val="center"/>
              <w:rPr>
                <w:rFonts w:hint="eastAsia"/>
                <w:sz w:val="17"/>
              </w:rPr>
            </w:pPr>
            <w:r>
              <w:rPr>
                <w:rFonts w:hint="eastAsia"/>
                <w:sz w:val="17"/>
              </w:rPr>
              <w:t>71%</w:t>
            </w:r>
          </w:p>
        </w:tc>
        <w:tc>
          <w:tcPr>
            <w:tcW w:w="1250" w:type="pct"/>
            <w:vAlign w:val="bottom"/>
          </w:tcPr>
          <w:p w:rsidR="00737B35" w:rsidRDefault="00737B35">
            <w:pPr>
              <w:tabs>
                <w:tab w:val="left" w:pos="357"/>
                <w:tab w:val="left" w:pos="714"/>
                <w:tab w:val="left" w:pos="1071"/>
                <w:tab w:val="left" w:pos="1429"/>
              </w:tabs>
              <w:spacing w:after="60" w:line="280" w:lineRule="exact"/>
              <w:ind w:right="40"/>
              <w:jc w:val="center"/>
              <w:rPr>
                <w:rFonts w:hint="eastAsia"/>
                <w:sz w:val="17"/>
              </w:rPr>
            </w:pPr>
            <w:r>
              <w:rPr>
                <w:rFonts w:hint="eastAsia"/>
                <w:sz w:val="17"/>
              </w:rPr>
              <w:t>66%</w:t>
            </w:r>
          </w:p>
        </w:tc>
        <w:tc>
          <w:tcPr>
            <w:tcW w:w="1250" w:type="pct"/>
            <w:vAlign w:val="bottom"/>
          </w:tcPr>
          <w:p w:rsidR="00737B35" w:rsidRDefault="00737B35">
            <w:pPr>
              <w:tabs>
                <w:tab w:val="left" w:pos="357"/>
                <w:tab w:val="left" w:pos="714"/>
                <w:tab w:val="left" w:pos="1071"/>
                <w:tab w:val="left" w:pos="1429"/>
              </w:tabs>
              <w:spacing w:after="60" w:line="280" w:lineRule="exact"/>
              <w:ind w:right="40"/>
              <w:jc w:val="center"/>
              <w:rPr>
                <w:rFonts w:hint="eastAsia"/>
                <w:sz w:val="17"/>
              </w:rPr>
            </w:pPr>
            <w:r>
              <w:rPr>
                <w:rFonts w:hint="eastAsia"/>
                <w:sz w:val="17"/>
              </w:rPr>
              <w:t>69%</w:t>
            </w:r>
          </w:p>
        </w:tc>
      </w:tr>
      <w:tr w:rsidR="00737B35">
        <w:tblPrEx>
          <w:tblCellMar>
            <w:top w:w="0" w:type="dxa"/>
            <w:bottom w:w="0" w:type="dxa"/>
          </w:tblCellMar>
        </w:tblPrEx>
        <w:trPr>
          <w:jc w:val="center"/>
        </w:trPr>
        <w:tc>
          <w:tcPr>
            <w:tcW w:w="1250" w:type="pct"/>
            <w:tcBorders>
              <w:bottom w:val="single" w:sz="4" w:space="0" w:color="auto"/>
            </w:tcBorders>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sz w:val="17"/>
              </w:rPr>
              <w:tab/>
            </w:r>
            <w:r>
              <w:rPr>
                <w:rFonts w:hint="eastAsia"/>
                <w:sz w:val="17"/>
              </w:rPr>
              <w:t>南部</w:t>
            </w:r>
          </w:p>
        </w:tc>
        <w:tc>
          <w:tcPr>
            <w:tcW w:w="1250" w:type="pct"/>
            <w:tcBorders>
              <w:bottom w:val="single" w:sz="4" w:space="0" w:color="auto"/>
            </w:tcBorders>
            <w:vAlign w:val="bottom"/>
          </w:tcPr>
          <w:p w:rsidR="00737B35" w:rsidRDefault="00737B35">
            <w:pPr>
              <w:tabs>
                <w:tab w:val="left" w:pos="357"/>
                <w:tab w:val="left" w:pos="714"/>
                <w:tab w:val="left" w:pos="1071"/>
                <w:tab w:val="left" w:pos="1429"/>
              </w:tabs>
              <w:spacing w:after="60" w:line="280" w:lineRule="exact"/>
              <w:ind w:right="40"/>
              <w:jc w:val="center"/>
              <w:rPr>
                <w:rFonts w:hint="eastAsia"/>
                <w:sz w:val="17"/>
              </w:rPr>
            </w:pPr>
            <w:r>
              <w:rPr>
                <w:rFonts w:hint="eastAsia"/>
                <w:sz w:val="17"/>
              </w:rPr>
              <w:t>53%</w:t>
            </w:r>
          </w:p>
        </w:tc>
        <w:tc>
          <w:tcPr>
            <w:tcW w:w="1250" w:type="pct"/>
            <w:tcBorders>
              <w:bottom w:val="single" w:sz="4" w:space="0" w:color="auto"/>
            </w:tcBorders>
            <w:vAlign w:val="bottom"/>
          </w:tcPr>
          <w:p w:rsidR="00737B35" w:rsidRDefault="00737B35">
            <w:pPr>
              <w:tabs>
                <w:tab w:val="left" w:pos="357"/>
                <w:tab w:val="left" w:pos="714"/>
                <w:tab w:val="left" w:pos="1071"/>
                <w:tab w:val="left" w:pos="1429"/>
              </w:tabs>
              <w:spacing w:after="60" w:line="280" w:lineRule="exact"/>
              <w:ind w:right="40"/>
              <w:jc w:val="center"/>
              <w:rPr>
                <w:rFonts w:hint="eastAsia"/>
                <w:sz w:val="17"/>
              </w:rPr>
            </w:pPr>
            <w:r>
              <w:rPr>
                <w:rFonts w:hint="eastAsia"/>
                <w:sz w:val="17"/>
              </w:rPr>
              <w:t>49%</w:t>
            </w:r>
          </w:p>
        </w:tc>
        <w:tc>
          <w:tcPr>
            <w:tcW w:w="1250" w:type="pct"/>
            <w:tcBorders>
              <w:bottom w:val="single" w:sz="4" w:space="0" w:color="auto"/>
            </w:tcBorders>
            <w:vAlign w:val="bottom"/>
          </w:tcPr>
          <w:p w:rsidR="00737B35" w:rsidRDefault="00737B35">
            <w:pPr>
              <w:tabs>
                <w:tab w:val="left" w:pos="357"/>
                <w:tab w:val="left" w:pos="714"/>
                <w:tab w:val="left" w:pos="1071"/>
                <w:tab w:val="left" w:pos="1429"/>
              </w:tabs>
              <w:spacing w:after="60" w:line="280" w:lineRule="exact"/>
              <w:ind w:right="40"/>
              <w:jc w:val="center"/>
              <w:rPr>
                <w:rFonts w:hint="eastAsia"/>
                <w:sz w:val="17"/>
              </w:rPr>
            </w:pPr>
            <w:r>
              <w:rPr>
                <w:rFonts w:hint="eastAsia"/>
                <w:sz w:val="17"/>
              </w:rPr>
              <w:t>51%</w:t>
            </w:r>
          </w:p>
        </w:tc>
      </w:tr>
      <w:tr w:rsidR="00737B35">
        <w:tblPrEx>
          <w:tblCellMar>
            <w:top w:w="0" w:type="dxa"/>
            <w:bottom w:w="0" w:type="dxa"/>
          </w:tblCellMar>
        </w:tblPrEx>
        <w:trPr>
          <w:cantSplit/>
          <w:trHeight w:val="83"/>
          <w:jc w:val="center"/>
        </w:trPr>
        <w:tc>
          <w:tcPr>
            <w:tcW w:w="1250" w:type="pct"/>
            <w:tcBorders>
              <w:top w:val="single" w:sz="4" w:space="0" w:color="auto"/>
              <w:bottom w:val="single" w:sz="12" w:space="0" w:color="auto"/>
            </w:tcBorders>
            <w:vAlign w:val="bottom"/>
          </w:tcPr>
          <w:p w:rsidR="00737B35" w:rsidRDefault="00737B35">
            <w:pPr>
              <w:pStyle w:val="Header"/>
              <w:tabs>
                <w:tab w:val="clear" w:pos="4320"/>
                <w:tab w:val="clear" w:pos="8640"/>
                <w:tab w:val="left" w:pos="357"/>
                <w:tab w:val="left" w:pos="714"/>
                <w:tab w:val="left" w:pos="1071"/>
                <w:tab w:val="left" w:pos="1429"/>
              </w:tabs>
              <w:spacing w:after="60" w:line="280" w:lineRule="exact"/>
              <w:ind w:right="40"/>
              <w:jc w:val="both"/>
              <w:rPr>
                <w:rFonts w:ascii="SimHei" w:eastAsia="SimHei" w:hint="eastAsia"/>
                <w:color w:val="FF0000"/>
                <w:sz w:val="17"/>
              </w:rPr>
            </w:pPr>
            <w:r>
              <w:rPr>
                <w:rFonts w:ascii="SimHei" w:eastAsia="SimHei"/>
                <w:color w:val="FF0000"/>
                <w:sz w:val="17"/>
              </w:rPr>
              <w:tab/>
            </w:r>
            <w:r>
              <w:rPr>
                <w:rFonts w:ascii="SimHei" w:eastAsia="SimHei" w:hint="eastAsia"/>
                <w:color w:val="FF0000"/>
                <w:sz w:val="17"/>
              </w:rPr>
              <w:t>合计</w:t>
            </w:r>
          </w:p>
        </w:tc>
        <w:tc>
          <w:tcPr>
            <w:tcW w:w="1250" w:type="pct"/>
            <w:tcBorders>
              <w:top w:val="single" w:sz="4" w:space="0" w:color="auto"/>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center"/>
              <w:rPr>
                <w:rFonts w:ascii="SimHei" w:eastAsia="SimHei" w:hint="eastAsia"/>
                <w:color w:val="FF0000"/>
                <w:sz w:val="17"/>
              </w:rPr>
            </w:pPr>
            <w:r>
              <w:rPr>
                <w:rFonts w:ascii="SimHei" w:eastAsia="SimHei" w:hint="eastAsia"/>
                <w:color w:val="FF0000"/>
                <w:sz w:val="17"/>
              </w:rPr>
              <w:t>62%</w:t>
            </w:r>
          </w:p>
        </w:tc>
        <w:tc>
          <w:tcPr>
            <w:tcW w:w="1250" w:type="pct"/>
            <w:tcBorders>
              <w:top w:val="single" w:sz="4" w:space="0" w:color="auto"/>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center"/>
              <w:rPr>
                <w:rFonts w:ascii="SimHei" w:eastAsia="SimHei" w:hint="eastAsia"/>
                <w:color w:val="FF0000"/>
                <w:sz w:val="17"/>
              </w:rPr>
            </w:pPr>
            <w:r>
              <w:rPr>
                <w:rFonts w:ascii="SimHei" w:eastAsia="SimHei" w:hint="eastAsia"/>
                <w:color w:val="FF0000"/>
                <w:sz w:val="17"/>
              </w:rPr>
              <w:t>57%</w:t>
            </w:r>
          </w:p>
        </w:tc>
        <w:tc>
          <w:tcPr>
            <w:tcW w:w="1250" w:type="pct"/>
            <w:tcBorders>
              <w:top w:val="single" w:sz="4" w:space="0" w:color="auto"/>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center"/>
              <w:rPr>
                <w:rFonts w:ascii="SimHei" w:eastAsia="SimHei" w:hint="eastAsia"/>
                <w:color w:val="FF0000"/>
                <w:sz w:val="17"/>
              </w:rPr>
            </w:pPr>
            <w:r>
              <w:rPr>
                <w:rFonts w:ascii="SimHei" w:eastAsia="SimHei" w:hint="eastAsia"/>
                <w:color w:val="FF0000"/>
                <w:sz w:val="17"/>
              </w:rPr>
              <w:t>60%</w:t>
            </w:r>
          </w:p>
        </w:tc>
      </w:tr>
    </w:tbl>
    <w:p w:rsidR="00737B35" w:rsidRDefault="00737B35">
      <w:pPr>
        <w:pStyle w:val="SingleTxt"/>
      </w:pPr>
    </w:p>
    <w:p w:rsidR="00737B35" w:rsidRDefault="00737B35">
      <w:pPr>
        <w:pStyle w:val="SingleTxt"/>
        <w:rPr>
          <w:rFonts w:ascii="SimHei" w:eastAsia="SimHei" w:hint="eastAsia"/>
          <w:color w:val="FF0000"/>
        </w:rPr>
      </w:pPr>
      <w:r>
        <w:rPr>
          <w:rFonts w:ascii="SimHei" w:eastAsia="SimHei" w:hint="eastAsia"/>
          <w:color w:val="FF0000"/>
        </w:rPr>
        <w:t>初中入学率</w:t>
      </w:r>
    </w:p>
    <w:tbl>
      <w:tblPr>
        <w:tblW w:w="7371" w:type="dxa"/>
        <w:jc w:val="center"/>
        <w:tblLook w:val="0000" w:firstRow="0" w:lastRow="0" w:firstColumn="0" w:lastColumn="0" w:noHBand="0" w:noVBand="0"/>
      </w:tblPr>
      <w:tblGrid>
        <w:gridCol w:w="1842"/>
        <w:gridCol w:w="1843"/>
        <w:gridCol w:w="1843"/>
        <w:gridCol w:w="1843"/>
      </w:tblGrid>
      <w:tr w:rsidR="00737B35">
        <w:tblPrEx>
          <w:tblCellMar>
            <w:top w:w="0" w:type="dxa"/>
            <w:bottom w:w="0" w:type="dxa"/>
          </w:tblCellMar>
        </w:tblPrEx>
        <w:trPr>
          <w:tblHeader/>
          <w:jc w:val="center"/>
        </w:trPr>
        <w:tc>
          <w:tcPr>
            <w:tcW w:w="1250" w:type="pct"/>
            <w:tcBorders>
              <w:top w:val="single" w:sz="2" w:space="0" w:color="auto"/>
              <w:bottom w:val="single" w:sz="12" w:space="0" w:color="auto"/>
            </w:tcBorders>
            <w:vAlign w:val="bottom"/>
          </w:tcPr>
          <w:p w:rsidR="00737B35" w:rsidRDefault="00737B35">
            <w:pPr>
              <w:spacing w:before="60" w:after="60" w:line="240" w:lineRule="exact"/>
              <w:ind w:right="40"/>
              <w:jc w:val="center"/>
              <w:rPr>
                <w:rFonts w:eastAsia="KaiTi_GB2312" w:hint="eastAsia"/>
                <w:color w:val="0000FF"/>
                <w:sz w:val="14"/>
              </w:rPr>
            </w:pPr>
          </w:p>
        </w:tc>
        <w:tc>
          <w:tcPr>
            <w:tcW w:w="1250"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男性</w:t>
            </w:r>
          </w:p>
        </w:tc>
        <w:tc>
          <w:tcPr>
            <w:tcW w:w="1250"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女性</w:t>
            </w:r>
          </w:p>
        </w:tc>
        <w:tc>
          <w:tcPr>
            <w:tcW w:w="1250"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总数</w:t>
            </w:r>
          </w:p>
        </w:tc>
      </w:tr>
      <w:tr w:rsidR="00737B35">
        <w:tblPrEx>
          <w:tblCellMar>
            <w:top w:w="0" w:type="dxa"/>
            <w:bottom w:w="0" w:type="dxa"/>
          </w:tblCellMar>
        </w:tblPrEx>
        <w:trPr>
          <w:cantSplit/>
          <w:trHeight w:hRule="exact" w:val="115"/>
          <w:tblHeader/>
          <w:jc w:val="center"/>
        </w:trPr>
        <w:tc>
          <w:tcPr>
            <w:tcW w:w="5000" w:type="pct"/>
            <w:gridSpan w:val="4"/>
            <w:tcBorders>
              <w:top w:val="single" w:sz="12" w:space="0" w:color="auto"/>
            </w:tcBorders>
            <w:vAlign w:val="bottom"/>
          </w:tcPr>
          <w:p w:rsidR="00737B35" w:rsidRDefault="00737B35" w:rsidP="00335557">
            <w:pPr>
              <w:spacing w:after="60" w:line="280" w:lineRule="exact"/>
              <w:ind w:right="40" w:firstLineChars="100" w:firstLine="31680"/>
              <w:rPr>
                <w:rFonts w:hint="eastAsia"/>
                <w:sz w:val="17"/>
              </w:rPr>
            </w:pPr>
          </w:p>
        </w:tc>
      </w:tr>
      <w:tr w:rsidR="00737B35">
        <w:tblPrEx>
          <w:tblCellMar>
            <w:top w:w="0" w:type="dxa"/>
            <w:bottom w:w="0" w:type="dxa"/>
          </w:tblCellMar>
        </w:tblPrEx>
        <w:trPr>
          <w:cantSplit/>
          <w:jc w:val="center"/>
        </w:trPr>
        <w:tc>
          <w:tcPr>
            <w:tcW w:w="5000" w:type="pct"/>
            <w:gridSpan w:val="4"/>
            <w:vAlign w:val="bottom"/>
          </w:tcPr>
          <w:p w:rsidR="00737B35" w:rsidRDefault="00737B35">
            <w:pPr>
              <w:tabs>
                <w:tab w:val="left" w:pos="357"/>
                <w:tab w:val="left" w:pos="714"/>
                <w:tab w:val="left" w:pos="1071"/>
                <w:tab w:val="left" w:pos="1429"/>
              </w:tabs>
              <w:spacing w:after="60" w:line="280" w:lineRule="exact"/>
              <w:ind w:right="40"/>
              <w:rPr>
                <w:rFonts w:hint="eastAsia"/>
                <w:sz w:val="17"/>
              </w:rPr>
            </w:pPr>
            <w:r>
              <w:rPr>
                <w:rFonts w:hint="eastAsia"/>
                <w:sz w:val="17"/>
              </w:rPr>
              <w:t>区域</w:t>
            </w:r>
          </w:p>
        </w:tc>
      </w:tr>
      <w:tr w:rsidR="00737B35">
        <w:tblPrEx>
          <w:tblCellMar>
            <w:top w:w="0" w:type="dxa"/>
            <w:bottom w:w="0" w:type="dxa"/>
          </w:tblCellMar>
        </w:tblPrEx>
        <w:trPr>
          <w:jc w:val="center"/>
        </w:trPr>
        <w:tc>
          <w:tcPr>
            <w:tcW w:w="1250" w:type="pct"/>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sz w:val="17"/>
              </w:rPr>
              <w:tab/>
            </w:r>
            <w:r>
              <w:rPr>
                <w:rFonts w:hint="eastAsia"/>
                <w:sz w:val="17"/>
              </w:rPr>
              <w:t>北部</w:t>
            </w:r>
          </w:p>
        </w:tc>
        <w:tc>
          <w:tcPr>
            <w:tcW w:w="1250" w:type="pct"/>
            <w:vAlign w:val="bottom"/>
          </w:tcPr>
          <w:p w:rsidR="00737B35" w:rsidRDefault="00737B35">
            <w:pPr>
              <w:tabs>
                <w:tab w:val="left" w:pos="357"/>
                <w:tab w:val="left" w:pos="714"/>
                <w:tab w:val="left" w:pos="1071"/>
                <w:tab w:val="left" w:pos="1429"/>
              </w:tabs>
              <w:spacing w:after="60" w:line="280" w:lineRule="exact"/>
              <w:ind w:right="40"/>
              <w:jc w:val="center"/>
              <w:rPr>
                <w:rFonts w:hint="eastAsia"/>
                <w:sz w:val="17"/>
              </w:rPr>
            </w:pPr>
            <w:r>
              <w:rPr>
                <w:rFonts w:hint="eastAsia"/>
                <w:sz w:val="17"/>
              </w:rPr>
              <w:t>13%</w:t>
            </w:r>
          </w:p>
        </w:tc>
        <w:tc>
          <w:tcPr>
            <w:tcW w:w="1250" w:type="pct"/>
            <w:vAlign w:val="bottom"/>
          </w:tcPr>
          <w:p w:rsidR="00737B35" w:rsidRDefault="00737B35">
            <w:pPr>
              <w:tabs>
                <w:tab w:val="left" w:pos="357"/>
                <w:tab w:val="left" w:pos="714"/>
                <w:tab w:val="left" w:pos="1071"/>
                <w:tab w:val="left" w:pos="1429"/>
              </w:tabs>
              <w:spacing w:after="60" w:line="280" w:lineRule="exact"/>
              <w:ind w:right="40"/>
              <w:jc w:val="center"/>
              <w:rPr>
                <w:rFonts w:hint="eastAsia"/>
                <w:sz w:val="17"/>
              </w:rPr>
            </w:pPr>
            <w:r>
              <w:rPr>
                <w:rFonts w:hint="eastAsia"/>
                <w:sz w:val="17"/>
              </w:rPr>
              <w:t>11%</w:t>
            </w:r>
          </w:p>
        </w:tc>
        <w:tc>
          <w:tcPr>
            <w:tcW w:w="1250" w:type="pct"/>
            <w:vAlign w:val="bottom"/>
          </w:tcPr>
          <w:p w:rsidR="00737B35" w:rsidRDefault="00737B35">
            <w:pPr>
              <w:tabs>
                <w:tab w:val="left" w:pos="357"/>
                <w:tab w:val="left" w:pos="714"/>
                <w:tab w:val="left" w:pos="1071"/>
                <w:tab w:val="left" w:pos="1429"/>
              </w:tabs>
              <w:spacing w:after="60" w:line="280" w:lineRule="exact"/>
              <w:ind w:right="40"/>
              <w:jc w:val="center"/>
              <w:rPr>
                <w:rFonts w:hint="eastAsia"/>
                <w:sz w:val="17"/>
              </w:rPr>
            </w:pPr>
            <w:r>
              <w:rPr>
                <w:rFonts w:hint="eastAsia"/>
                <w:sz w:val="17"/>
              </w:rPr>
              <w:t>12%</w:t>
            </w:r>
          </w:p>
        </w:tc>
      </w:tr>
      <w:tr w:rsidR="00737B35">
        <w:tblPrEx>
          <w:tblCellMar>
            <w:top w:w="0" w:type="dxa"/>
            <w:bottom w:w="0" w:type="dxa"/>
          </w:tblCellMar>
        </w:tblPrEx>
        <w:trPr>
          <w:jc w:val="center"/>
        </w:trPr>
        <w:tc>
          <w:tcPr>
            <w:tcW w:w="1250" w:type="pct"/>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sz w:val="17"/>
              </w:rPr>
              <w:tab/>
            </w:r>
            <w:r>
              <w:rPr>
                <w:rFonts w:hint="eastAsia"/>
                <w:sz w:val="17"/>
              </w:rPr>
              <w:t>中部</w:t>
            </w:r>
          </w:p>
        </w:tc>
        <w:tc>
          <w:tcPr>
            <w:tcW w:w="1250" w:type="pct"/>
            <w:vAlign w:val="bottom"/>
          </w:tcPr>
          <w:p w:rsidR="00737B35" w:rsidRDefault="00737B35">
            <w:pPr>
              <w:tabs>
                <w:tab w:val="left" w:pos="357"/>
                <w:tab w:val="left" w:pos="714"/>
                <w:tab w:val="left" w:pos="1071"/>
                <w:tab w:val="left" w:pos="1429"/>
              </w:tabs>
              <w:spacing w:after="60" w:line="280" w:lineRule="exact"/>
              <w:ind w:right="40"/>
              <w:jc w:val="center"/>
              <w:rPr>
                <w:rFonts w:hint="eastAsia"/>
                <w:sz w:val="17"/>
              </w:rPr>
            </w:pPr>
            <w:r>
              <w:rPr>
                <w:rFonts w:hint="eastAsia"/>
                <w:sz w:val="17"/>
              </w:rPr>
              <w:t>17%</w:t>
            </w:r>
          </w:p>
        </w:tc>
        <w:tc>
          <w:tcPr>
            <w:tcW w:w="1250" w:type="pct"/>
            <w:vAlign w:val="bottom"/>
          </w:tcPr>
          <w:p w:rsidR="00737B35" w:rsidRDefault="00737B35">
            <w:pPr>
              <w:tabs>
                <w:tab w:val="left" w:pos="357"/>
                <w:tab w:val="left" w:pos="714"/>
                <w:tab w:val="left" w:pos="1071"/>
                <w:tab w:val="left" w:pos="1429"/>
              </w:tabs>
              <w:spacing w:after="60" w:line="280" w:lineRule="exact"/>
              <w:ind w:right="40"/>
              <w:jc w:val="center"/>
              <w:rPr>
                <w:rFonts w:hint="eastAsia"/>
                <w:sz w:val="17"/>
              </w:rPr>
            </w:pPr>
            <w:r>
              <w:rPr>
                <w:rFonts w:hint="eastAsia"/>
                <w:sz w:val="17"/>
              </w:rPr>
              <w:t>18%</w:t>
            </w:r>
          </w:p>
        </w:tc>
        <w:tc>
          <w:tcPr>
            <w:tcW w:w="1250" w:type="pct"/>
            <w:vAlign w:val="bottom"/>
          </w:tcPr>
          <w:p w:rsidR="00737B35" w:rsidRDefault="00737B35">
            <w:pPr>
              <w:tabs>
                <w:tab w:val="left" w:pos="357"/>
                <w:tab w:val="left" w:pos="714"/>
                <w:tab w:val="left" w:pos="1071"/>
                <w:tab w:val="left" w:pos="1429"/>
              </w:tabs>
              <w:spacing w:after="60" w:line="280" w:lineRule="exact"/>
              <w:ind w:right="40"/>
              <w:jc w:val="center"/>
              <w:rPr>
                <w:rFonts w:hint="eastAsia"/>
                <w:sz w:val="17"/>
              </w:rPr>
            </w:pPr>
            <w:r>
              <w:rPr>
                <w:rFonts w:hint="eastAsia"/>
                <w:sz w:val="17"/>
              </w:rPr>
              <w:t>17%</w:t>
            </w:r>
          </w:p>
        </w:tc>
      </w:tr>
      <w:tr w:rsidR="00737B35">
        <w:tblPrEx>
          <w:tblCellMar>
            <w:top w:w="0" w:type="dxa"/>
            <w:bottom w:w="0" w:type="dxa"/>
          </w:tblCellMar>
        </w:tblPrEx>
        <w:trPr>
          <w:jc w:val="center"/>
        </w:trPr>
        <w:tc>
          <w:tcPr>
            <w:tcW w:w="1250" w:type="pct"/>
            <w:tcBorders>
              <w:bottom w:val="single" w:sz="4" w:space="0" w:color="auto"/>
            </w:tcBorders>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sz w:val="17"/>
              </w:rPr>
              <w:tab/>
            </w:r>
            <w:r>
              <w:rPr>
                <w:rFonts w:hint="eastAsia"/>
                <w:sz w:val="17"/>
              </w:rPr>
              <w:t>南部</w:t>
            </w:r>
          </w:p>
        </w:tc>
        <w:tc>
          <w:tcPr>
            <w:tcW w:w="1250" w:type="pct"/>
            <w:tcBorders>
              <w:bottom w:val="single" w:sz="4" w:space="0" w:color="auto"/>
            </w:tcBorders>
            <w:vAlign w:val="bottom"/>
          </w:tcPr>
          <w:p w:rsidR="00737B35" w:rsidRDefault="00737B35">
            <w:pPr>
              <w:tabs>
                <w:tab w:val="left" w:pos="357"/>
                <w:tab w:val="left" w:pos="714"/>
                <w:tab w:val="left" w:pos="1071"/>
                <w:tab w:val="left" w:pos="1429"/>
              </w:tabs>
              <w:spacing w:after="60" w:line="280" w:lineRule="exact"/>
              <w:ind w:right="40"/>
              <w:jc w:val="center"/>
              <w:rPr>
                <w:rFonts w:hint="eastAsia"/>
                <w:sz w:val="17"/>
              </w:rPr>
            </w:pPr>
            <w:r>
              <w:rPr>
                <w:rFonts w:hint="eastAsia"/>
                <w:sz w:val="17"/>
              </w:rPr>
              <w:t>15%</w:t>
            </w:r>
          </w:p>
        </w:tc>
        <w:tc>
          <w:tcPr>
            <w:tcW w:w="1250" w:type="pct"/>
            <w:tcBorders>
              <w:bottom w:val="single" w:sz="4" w:space="0" w:color="auto"/>
            </w:tcBorders>
            <w:vAlign w:val="bottom"/>
          </w:tcPr>
          <w:p w:rsidR="00737B35" w:rsidRDefault="00737B35">
            <w:pPr>
              <w:tabs>
                <w:tab w:val="left" w:pos="357"/>
                <w:tab w:val="left" w:pos="714"/>
                <w:tab w:val="left" w:pos="1071"/>
                <w:tab w:val="left" w:pos="1429"/>
              </w:tabs>
              <w:spacing w:after="60" w:line="280" w:lineRule="exact"/>
              <w:ind w:right="40"/>
              <w:jc w:val="center"/>
              <w:rPr>
                <w:rFonts w:hint="eastAsia"/>
                <w:sz w:val="17"/>
              </w:rPr>
            </w:pPr>
            <w:r>
              <w:rPr>
                <w:rFonts w:hint="eastAsia"/>
                <w:sz w:val="17"/>
              </w:rPr>
              <w:t>11%</w:t>
            </w:r>
          </w:p>
        </w:tc>
        <w:tc>
          <w:tcPr>
            <w:tcW w:w="1250" w:type="pct"/>
            <w:tcBorders>
              <w:bottom w:val="single" w:sz="4" w:space="0" w:color="auto"/>
            </w:tcBorders>
            <w:vAlign w:val="bottom"/>
          </w:tcPr>
          <w:p w:rsidR="00737B35" w:rsidRDefault="00737B35">
            <w:pPr>
              <w:tabs>
                <w:tab w:val="left" w:pos="357"/>
                <w:tab w:val="left" w:pos="714"/>
                <w:tab w:val="left" w:pos="1071"/>
                <w:tab w:val="left" w:pos="1429"/>
              </w:tabs>
              <w:spacing w:after="60" w:line="280" w:lineRule="exact"/>
              <w:ind w:right="40"/>
              <w:jc w:val="center"/>
              <w:rPr>
                <w:rFonts w:hint="eastAsia"/>
                <w:sz w:val="17"/>
              </w:rPr>
            </w:pPr>
            <w:r>
              <w:rPr>
                <w:rFonts w:hint="eastAsia"/>
                <w:sz w:val="17"/>
              </w:rPr>
              <w:t>13%</w:t>
            </w:r>
          </w:p>
        </w:tc>
      </w:tr>
      <w:tr w:rsidR="00737B35">
        <w:tblPrEx>
          <w:tblCellMar>
            <w:top w:w="0" w:type="dxa"/>
            <w:bottom w:w="0" w:type="dxa"/>
          </w:tblCellMar>
        </w:tblPrEx>
        <w:trPr>
          <w:jc w:val="center"/>
        </w:trPr>
        <w:tc>
          <w:tcPr>
            <w:tcW w:w="1250" w:type="pct"/>
            <w:tcBorders>
              <w:top w:val="single" w:sz="4" w:space="0" w:color="auto"/>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both"/>
              <w:rPr>
                <w:rFonts w:ascii="SimHei" w:eastAsia="SimHei" w:hint="eastAsia"/>
                <w:color w:val="FF0000"/>
                <w:sz w:val="17"/>
              </w:rPr>
            </w:pPr>
            <w:r>
              <w:rPr>
                <w:rFonts w:ascii="SimHei" w:eastAsia="SimHei"/>
                <w:color w:val="FF0000"/>
                <w:sz w:val="17"/>
              </w:rPr>
              <w:tab/>
            </w:r>
            <w:r>
              <w:rPr>
                <w:rFonts w:ascii="SimHei" w:eastAsia="SimHei" w:hint="eastAsia"/>
                <w:color w:val="FF0000"/>
                <w:sz w:val="17"/>
              </w:rPr>
              <w:t>合计</w:t>
            </w:r>
          </w:p>
        </w:tc>
        <w:tc>
          <w:tcPr>
            <w:tcW w:w="1250" w:type="pct"/>
            <w:tcBorders>
              <w:top w:val="single" w:sz="4" w:space="0" w:color="auto"/>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center"/>
              <w:rPr>
                <w:rFonts w:ascii="SimHei" w:eastAsia="SimHei" w:hint="eastAsia"/>
                <w:color w:val="FF0000"/>
                <w:sz w:val="17"/>
              </w:rPr>
            </w:pPr>
            <w:r>
              <w:rPr>
                <w:rFonts w:ascii="SimHei" w:eastAsia="SimHei" w:hint="eastAsia"/>
                <w:color w:val="FF0000"/>
                <w:sz w:val="17"/>
              </w:rPr>
              <w:t>15%</w:t>
            </w:r>
          </w:p>
        </w:tc>
        <w:tc>
          <w:tcPr>
            <w:tcW w:w="1250" w:type="pct"/>
            <w:tcBorders>
              <w:top w:val="single" w:sz="4" w:space="0" w:color="auto"/>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center"/>
              <w:rPr>
                <w:rFonts w:ascii="SimHei" w:eastAsia="SimHei" w:hint="eastAsia"/>
                <w:color w:val="FF0000"/>
                <w:sz w:val="17"/>
              </w:rPr>
            </w:pPr>
            <w:r>
              <w:rPr>
                <w:rFonts w:ascii="SimHei" w:eastAsia="SimHei" w:hint="eastAsia"/>
                <w:color w:val="FF0000"/>
                <w:sz w:val="17"/>
              </w:rPr>
              <w:t>15%</w:t>
            </w:r>
          </w:p>
        </w:tc>
        <w:tc>
          <w:tcPr>
            <w:tcW w:w="1250" w:type="pct"/>
            <w:tcBorders>
              <w:top w:val="single" w:sz="4" w:space="0" w:color="auto"/>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center"/>
              <w:rPr>
                <w:rFonts w:ascii="SimHei" w:eastAsia="SimHei" w:hint="eastAsia"/>
                <w:color w:val="FF0000"/>
                <w:sz w:val="17"/>
              </w:rPr>
            </w:pPr>
            <w:r>
              <w:rPr>
                <w:rFonts w:ascii="SimHei" w:eastAsia="SimHei" w:hint="eastAsia"/>
                <w:color w:val="FF0000"/>
                <w:sz w:val="17"/>
              </w:rPr>
              <w:t>15%</w:t>
            </w:r>
          </w:p>
        </w:tc>
      </w:tr>
    </w:tbl>
    <w:p w:rsidR="00737B35" w:rsidRDefault="00737B35">
      <w:pPr>
        <w:pStyle w:val="SingleTxt"/>
      </w:pPr>
    </w:p>
    <w:p w:rsidR="00737B35" w:rsidRDefault="00737B35">
      <w:pPr>
        <w:pStyle w:val="SingleTxt"/>
        <w:rPr>
          <w:rFonts w:ascii="SimHei" w:eastAsia="SimHei" w:hint="eastAsia"/>
          <w:color w:val="FF0000"/>
        </w:rPr>
      </w:pPr>
      <w:r>
        <w:rPr>
          <w:rFonts w:ascii="SimHei" w:eastAsia="SimHei" w:hint="eastAsia"/>
          <w:color w:val="FF0000"/>
        </w:rPr>
        <w:t>农村妇女获得农业信贷的机会</w:t>
      </w:r>
    </w:p>
    <w:p w:rsidR="00737B35" w:rsidRDefault="00737B35">
      <w:pPr>
        <w:pStyle w:val="SingleTxt"/>
        <w:rPr>
          <w:rFonts w:hint="eastAsia"/>
        </w:rPr>
      </w:pPr>
      <w:r>
        <w:rPr>
          <w:rFonts w:hint="eastAsia"/>
        </w:rPr>
        <w:tab/>
        <w:t>1995年的一项小型企业调查发现，在2.5万家注册的小企业中，妇女拥有和经营的占63％。这一部门妇女占到劳动力的57％，对国内生产总值的贡献约为9％。四分之三以上的中小企业位于农村地区，大约13％位于5个最大的城市。然而，女企业主更多地集中于城市地区（73％）而不是农村地区（61％）（贸易部，1995年）。农村地区妇女的创收活动给靠自给自足农业为生而难以为继的家庭提供了重要的现金收入来源。</w:t>
      </w:r>
    </w:p>
    <w:p w:rsidR="00737B35" w:rsidRDefault="00737B35">
      <w:pPr>
        <w:pStyle w:val="SingleTxt"/>
        <w:rPr>
          <w:rFonts w:hint="eastAsia"/>
        </w:rPr>
      </w:pPr>
      <w:r>
        <w:rPr>
          <w:rFonts w:hint="eastAsia"/>
        </w:rPr>
        <w:tab/>
        <w:t>老挝妇女联盟、工业和手工业部和农业和林业部也充当中介机构，向尤其在农村地区的各个人群提供贷款和循环基金。不需要附属担保，而且利率低（5％至12％）。例如，在北部的沙耶武里省，一个微观金融方案的客户85％是妇女（儿童基金会，1999年）。</w:t>
      </w:r>
    </w:p>
    <w:p w:rsidR="00737B35" w:rsidRDefault="00737B35">
      <w:pPr>
        <w:pStyle w:val="SingleTxt"/>
        <w:rPr>
          <w:rFonts w:ascii="SimHei" w:eastAsia="SimHei" w:hint="eastAsia"/>
          <w:color w:val="FF0000"/>
        </w:rPr>
      </w:pPr>
      <w:r>
        <w:rPr>
          <w:rFonts w:ascii="SimHei" w:eastAsia="SimHei"/>
          <w:color w:val="FF0000"/>
        </w:rPr>
        <w:br w:type="page"/>
      </w:r>
      <w:r>
        <w:rPr>
          <w:rFonts w:ascii="SimHei" w:eastAsia="SimHei" w:hint="eastAsia"/>
          <w:color w:val="FF0000"/>
        </w:rPr>
        <w:t>农村妇女和土地改革</w:t>
      </w:r>
    </w:p>
    <w:p w:rsidR="00737B35" w:rsidRDefault="00737B35">
      <w:pPr>
        <w:pStyle w:val="SingleTxt"/>
        <w:rPr>
          <w:rFonts w:hint="eastAsia"/>
        </w:rPr>
      </w:pPr>
      <w:r>
        <w:rPr>
          <w:rFonts w:hint="eastAsia"/>
        </w:rPr>
        <w:tab/>
        <w:t>1990年代，政府实施了分配土地所有权的方案（证明所有人合法拥有土地所有权的永久性文件——所有人的名字列示在文件上）。老挝妇女联盟性别资源信息和发展中心在老挝4个地方进行的妇女情况调查（1998年）结果表明，有关土地来源和土地证宣称的土地所有人名字的数目之间存在出入。</w:t>
      </w:r>
    </w:p>
    <w:p w:rsidR="00737B35" w:rsidRDefault="00737B35">
      <w:pPr>
        <w:pStyle w:val="SingleTxt"/>
        <w:rPr>
          <w:rFonts w:hint="eastAsia"/>
        </w:rPr>
      </w:pPr>
      <w:r>
        <w:rPr>
          <w:rFonts w:hint="eastAsia"/>
        </w:rPr>
        <w:tab/>
        <w:t>结果清楚显示，除了婚姻期间得到的共有财产外，妇女从其家庭收受的土地的百分比大于男子收受的土地的百分比。这一调查结果与老挝社会的现实情况相吻合，在老挝社会中，女儿在从父母继承的人中占了大多数。与此相关，在老挝社会的多数情况下，婚后丈夫搬到妻子家庭去住，因为将由女儿照顾父母的一生，还将从父母那里继承土地和房子。这种母系传统为老挝社会所特有，它承认给父母养老送终和在他们死后举行适当葬礼的价值。</w:t>
      </w:r>
    </w:p>
    <w:tbl>
      <w:tblPr>
        <w:tblW w:w="7371" w:type="dxa"/>
        <w:jc w:val="center"/>
        <w:tblLook w:val="0000" w:firstRow="0" w:lastRow="0" w:firstColumn="0" w:lastColumn="0" w:noHBand="0" w:noVBand="0"/>
      </w:tblPr>
      <w:tblGrid>
        <w:gridCol w:w="1229"/>
        <w:gridCol w:w="1228"/>
        <w:gridCol w:w="1229"/>
        <w:gridCol w:w="1228"/>
        <w:gridCol w:w="1228"/>
        <w:gridCol w:w="1229"/>
      </w:tblGrid>
      <w:tr w:rsidR="00737B35">
        <w:tblPrEx>
          <w:tblCellMar>
            <w:top w:w="0" w:type="dxa"/>
            <w:bottom w:w="0" w:type="dxa"/>
          </w:tblCellMar>
        </w:tblPrEx>
        <w:trPr>
          <w:cantSplit/>
          <w:tblHeader/>
          <w:jc w:val="center"/>
        </w:trPr>
        <w:tc>
          <w:tcPr>
            <w:tcW w:w="2500" w:type="pct"/>
            <w:gridSpan w:val="3"/>
            <w:tcBorders>
              <w:top w:val="single" w:sz="2" w:space="0" w:color="auto"/>
              <w:bottom w:val="single" w:sz="12" w:space="0" w:color="auto"/>
            </w:tcBorders>
            <w:vAlign w:val="bottom"/>
          </w:tcPr>
          <w:p w:rsidR="00737B35" w:rsidRDefault="00737B35">
            <w:pPr>
              <w:spacing w:before="60" w:after="60" w:line="240" w:lineRule="exact"/>
              <w:ind w:right="40"/>
              <w:jc w:val="center"/>
              <w:rPr>
                <w:rFonts w:eastAsia="KaiTi_GB2312" w:hint="eastAsia"/>
                <w:color w:val="0000FF"/>
                <w:sz w:val="14"/>
              </w:rPr>
            </w:pPr>
            <w:r>
              <w:rPr>
                <w:rFonts w:eastAsia="KaiTi_GB2312" w:hint="eastAsia"/>
                <w:color w:val="0000FF"/>
                <w:sz w:val="14"/>
              </w:rPr>
              <w:t>土地原属情况</w:t>
            </w:r>
          </w:p>
        </w:tc>
        <w:tc>
          <w:tcPr>
            <w:tcW w:w="2500" w:type="pct"/>
            <w:gridSpan w:val="3"/>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土地证上名字</w:t>
            </w:r>
          </w:p>
        </w:tc>
      </w:tr>
      <w:tr w:rsidR="00737B35">
        <w:tblPrEx>
          <w:tblCellMar>
            <w:top w:w="0" w:type="dxa"/>
            <w:bottom w:w="0" w:type="dxa"/>
          </w:tblCellMar>
        </w:tblPrEx>
        <w:trPr>
          <w:trHeight w:hRule="exact" w:val="115"/>
          <w:tblHeader/>
          <w:jc w:val="center"/>
        </w:trPr>
        <w:tc>
          <w:tcPr>
            <w:tcW w:w="833" w:type="pct"/>
            <w:tcBorders>
              <w:top w:val="single" w:sz="12" w:space="0" w:color="auto"/>
            </w:tcBorders>
            <w:vAlign w:val="bottom"/>
          </w:tcPr>
          <w:p w:rsidR="00737B35" w:rsidRDefault="00737B35">
            <w:pPr>
              <w:spacing w:after="60" w:line="280" w:lineRule="exact"/>
              <w:ind w:right="40"/>
              <w:jc w:val="center"/>
              <w:rPr>
                <w:rFonts w:hint="eastAsia"/>
                <w:sz w:val="17"/>
              </w:rPr>
            </w:pPr>
          </w:p>
        </w:tc>
        <w:tc>
          <w:tcPr>
            <w:tcW w:w="833" w:type="pct"/>
            <w:tcBorders>
              <w:top w:val="single" w:sz="12" w:space="0" w:color="auto"/>
            </w:tcBorders>
            <w:vAlign w:val="bottom"/>
          </w:tcPr>
          <w:p w:rsidR="00737B35" w:rsidRDefault="00737B35">
            <w:pPr>
              <w:spacing w:after="60" w:line="280" w:lineRule="exact"/>
              <w:ind w:right="40"/>
              <w:jc w:val="center"/>
              <w:rPr>
                <w:rFonts w:hint="eastAsia"/>
                <w:sz w:val="17"/>
              </w:rPr>
            </w:pPr>
          </w:p>
        </w:tc>
        <w:tc>
          <w:tcPr>
            <w:tcW w:w="833" w:type="pct"/>
            <w:tcBorders>
              <w:top w:val="single" w:sz="12" w:space="0" w:color="auto"/>
            </w:tcBorders>
            <w:vAlign w:val="bottom"/>
          </w:tcPr>
          <w:p w:rsidR="00737B35" w:rsidRDefault="00737B35">
            <w:pPr>
              <w:spacing w:after="60" w:line="280" w:lineRule="exact"/>
              <w:ind w:right="40"/>
              <w:jc w:val="center"/>
              <w:rPr>
                <w:rFonts w:hint="eastAsia"/>
                <w:sz w:val="17"/>
              </w:rPr>
            </w:pPr>
          </w:p>
        </w:tc>
        <w:tc>
          <w:tcPr>
            <w:tcW w:w="833" w:type="pct"/>
            <w:tcBorders>
              <w:top w:val="single" w:sz="12" w:space="0" w:color="auto"/>
            </w:tcBorders>
            <w:vAlign w:val="bottom"/>
          </w:tcPr>
          <w:p w:rsidR="00737B35" w:rsidRDefault="00737B35">
            <w:pPr>
              <w:spacing w:after="60" w:line="280" w:lineRule="exact"/>
              <w:ind w:right="40"/>
              <w:jc w:val="right"/>
              <w:rPr>
                <w:rFonts w:hint="eastAsia"/>
                <w:sz w:val="17"/>
              </w:rPr>
            </w:pPr>
          </w:p>
        </w:tc>
        <w:tc>
          <w:tcPr>
            <w:tcW w:w="833" w:type="pct"/>
            <w:tcBorders>
              <w:top w:val="single" w:sz="12" w:space="0" w:color="auto"/>
            </w:tcBorders>
            <w:vAlign w:val="bottom"/>
          </w:tcPr>
          <w:p w:rsidR="00737B35" w:rsidRDefault="00737B35">
            <w:pPr>
              <w:spacing w:after="60" w:line="280" w:lineRule="exact"/>
              <w:ind w:right="40"/>
              <w:jc w:val="right"/>
              <w:rPr>
                <w:rFonts w:hint="eastAsia"/>
                <w:sz w:val="17"/>
              </w:rPr>
            </w:pPr>
          </w:p>
        </w:tc>
        <w:tc>
          <w:tcPr>
            <w:tcW w:w="834" w:type="pct"/>
            <w:tcBorders>
              <w:top w:val="single" w:sz="12" w:space="0" w:color="auto"/>
            </w:tcBorders>
            <w:vAlign w:val="bottom"/>
          </w:tcPr>
          <w:p w:rsidR="00737B35" w:rsidRDefault="00737B35">
            <w:pPr>
              <w:spacing w:after="60" w:line="280" w:lineRule="exact"/>
              <w:ind w:right="40"/>
              <w:jc w:val="right"/>
              <w:rPr>
                <w:rFonts w:hint="eastAsia"/>
                <w:sz w:val="17"/>
              </w:rPr>
            </w:pPr>
          </w:p>
        </w:tc>
      </w:tr>
      <w:tr w:rsidR="00737B35">
        <w:tblPrEx>
          <w:tblCellMar>
            <w:top w:w="0" w:type="dxa"/>
            <w:bottom w:w="0" w:type="dxa"/>
          </w:tblCellMar>
        </w:tblPrEx>
        <w:trPr>
          <w:jc w:val="center"/>
        </w:trPr>
        <w:tc>
          <w:tcPr>
            <w:tcW w:w="833" w:type="pct"/>
            <w:vAlign w:val="bottom"/>
          </w:tcPr>
          <w:p w:rsidR="00737B35" w:rsidRDefault="00737B35">
            <w:pPr>
              <w:tabs>
                <w:tab w:val="left" w:pos="357"/>
                <w:tab w:val="left" w:pos="714"/>
                <w:tab w:val="left" w:pos="1071"/>
                <w:tab w:val="left" w:pos="1429"/>
              </w:tabs>
              <w:spacing w:after="60" w:line="280" w:lineRule="exact"/>
              <w:ind w:right="40"/>
              <w:jc w:val="center"/>
              <w:rPr>
                <w:rFonts w:hint="eastAsia"/>
                <w:sz w:val="17"/>
              </w:rPr>
            </w:pPr>
          </w:p>
        </w:tc>
        <w:tc>
          <w:tcPr>
            <w:tcW w:w="833"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数目</w:t>
            </w:r>
          </w:p>
        </w:tc>
        <w:tc>
          <w:tcPr>
            <w:tcW w:w="833"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w:t>
            </w:r>
          </w:p>
        </w:tc>
        <w:tc>
          <w:tcPr>
            <w:tcW w:w="833"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p>
        </w:tc>
        <w:tc>
          <w:tcPr>
            <w:tcW w:w="833"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数目</w:t>
            </w:r>
          </w:p>
        </w:tc>
        <w:tc>
          <w:tcPr>
            <w:tcW w:w="834"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w:t>
            </w:r>
          </w:p>
        </w:tc>
      </w:tr>
      <w:tr w:rsidR="00737B35">
        <w:tblPrEx>
          <w:tblCellMar>
            <w:top w:w="0" w:type="dxa"/>
            <w:bottom w:w="0" w:type="dxa"/>
          </w:tblCellMar>
        </w:tblPrEx>
        <w:trPr>
          <w:jc w:val="center"/>
        </w:trPr>
        <w:tc>
          <w:tcPr>
            <w:tcW w:w="833" w:type="pct"/>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丈夫家庭</w:t>
            </w:r>
          </w:p>
        </w:tc>
        <w:tc>
          <w:tcPr>
            <w:tcW w:w="833"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798</w:t>
            </w:r>
          </w:p>
        </w:tc>
        <w:tc>
          <w:tcPr>
            <w:tcW w:w="833"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18%</w:t>
            </w:r>
          </w:p>
        </w:tc>
        <w:tc>
          <w:tcPr>
            <w:tcW w:w="833" w:type="pct"/>
            <w:vAlign w:val="bottom"/>
          </w:tcPr>
          <w:p w:rsidR="00737B35" w:rsidRDefault="00737B35">
            <w:pPr>
              <w:tabs>
                <w:tab w:val="left" w:pos="357"/>
                <w:tab w:val="left" w:pos="714"/>
                <w:tab w:val="left" w:pos="1071"/>
                <w:tab w:val="left" w:pos="1429"/>
              </w:tabs>
              <w:spacing w:after="60" w:line="280" w:lineRule="exact"/>
              <w:ind w:right="40"/>
              <w:jc w:val="center"/>
              <w:rPr>
                <w:rFonts w:hint="eastAsia"/>
                <w:sz w:val="17"/>
              </w:rPr>
            </w:pPr>
            <w:r>
              <w:rPr>
                <w:rFonts w:hint="eastAsia"/>
                <w:sz w:val="17"/>
              </w:rPr>
              <w:t>丈夫名字</w:t>
            </w:r>
          </w:p>
        </w:tc>
        <w:tc>
          <w:tcPr>
            <w:tcW w:w="833"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2 470</w:t>
            </w:r>
          </w:p>
        </w:tc>
        <w:tc>
          <w:tcPr>
            <w:tcW w:w="834"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58%</w:t>
            </w:r>
          </w:p>
        </w:tc>
      </w:tr>
      <w:tr w:rsidR="00737B35">
        <w:tblPrEx>
          <w:tblCellMar>
            <w:top w:w="0" w:type="dxa"/>
            <w:bottom w:w="0" w:type="dxa"/>
          </w:tblCellMar>
        </w:tblPrEx>
        <w:trPr>
          <w:jc w:val="center"/>
        </w:trPr>
        <w:tc>
          <w:tcPr>
            <w:tcW w:w="833" w:type="pct"/>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妻子家庭</w:t>
            </w:r>
          </w:p>
        </w:tc>
        <w:tc>
          <w:tcPr>
            <w:tcW w:w="833"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1 254</w:t>
            </w:r>
          </w:p>
        </w:tc>
        <w:tc>
          <w:tcPr>
            <w:tcW w:w="833"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30%</w:t>
            </w:r>
          </w:p>
        </w:tc>
        <w:tc>
          <w:tcPr>
            <w:tcW w:w="833" w:type="pct"/>
            <w:vAlign w:val="bottom"/>
          </w:tcPr>
          <w:p w:rsidR="00737B35" w:rsidRDefault="00737B35">
            <w:pPr>
              <w:tabs>
                <w:tab w:val="left" w:pos="357"/>
                <w:tab w:val="left" w:pos="714"/>
                <w:tab w:val="left" w:pos="1071"/>
                <w:tab w:val="left" w:pos="1429"/>
              </w:tabs>
              <w:spacing w:after="60" w:line="280" w:lineRule="exact"/>
              <w:ind w:right="40"/>
              <w:jc w:val="center"/>
              <w:rPr>
                <w:rFonts w:hint="eastAsia"/>
                <w:sz w:val="17"/>
              </w:rPr>
            </w:pPr>
            <w:r>
              <w:rPr>
                <w:rFonts w:hint="eastAsia"/>
                <w:sz w:val="17"/>
              </w:rPr>
              <w:t>妻子名字</w:t>
            </w:r>
          </w:p>
        </w:tc>
        <w:tc>
          <w:tcPr>
            <w:tcW w:w="833"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696</w:t>
            </w:r>
          </w:p>
        </w:tc>
        <w:tc>
          <w:tcPr>
            <w:tcW w:w="834" w:type="pct"/>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16%</w:t>
            </w:r>
          </w:p>
        </w:tc>
      </w:tr>
      <w:tr w:rsidR="00737B35">
        <w:tblPrEx>
          <w:tblCellMar>
            <w:top w:w="0" w:type="dxa"/>
            <w:bottom w:w="0" w:type="dxa"/>
          </w:tblCellMar>
        </w:tblPrEx>
        <w:trPr>
          <w:cantSplit/>
          <w:trHeight w:val="263"/>
          <w:jc w:val="center"/>
        </w:trPr>
        <w:tc>
          <w:tcPr>
            <w:tcW w:w="833"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共有财产</w:t>
            </w:r>
          </w:p>
        </w:tc>
        <w:tc>
          <w:tcPr>
            <w:tcW w:w="833"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2 203</w:t>
            </w:r>
          </w:p>
        </w:tc>
        <w:tc>
          <w:tcPr>
            <w:tcW w:w="833"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52%</w:t>
            </w:r>
          </w:p>
        </w:tc>
        <w:tc>
          <w:tcPr>
            <w:tcW w:w="833"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center"/>
              <w:rPr>
                <w:rFonts w:hint="eastAsia"/>
                <w:sz w:val="17"/>
              </w:rPr>
            </w:pPr>
            <w:r>
              <w:rPr>
                <w:rFonts w:hint="eastAsia"/>
                <w:sz w:val="17"/>
              </w:rPr>
              <w:t>双方名字</w:t>
            </w:r>
          </w:p>
        </w:tc>
        <w:tc>
          <w:tcPr>
            <w:tcW w:w="833"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279</w:t>
            </w:r>
          </w:p>
        </w:tc>
        <w:tc>
          <w:tcPr>
            <w:tcW w:w="834"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right"/>
              <w:rPr>
                <w:rFonts w:hint="eastAsia"/>
                <w:sz w:val="17"/>
              </w:rPr>
            </w:pPr>
            <w:r>
              <w:rPr>
                <w:rFonts w:hint="eastAsia"/>
                <w:sz w:val="17"/>
              </w:rPr>
              <w:t>7%</w:t>
            </w:r>
          </w:p>
        </w:tc>
      </w:tr>
    </w:tbl>
    <w:p w:rsidR="00737B35" w:rsidRDefault="00737B35">
      <w:pPr>
        <w:pStyle w:val="SingleTxt"/>
      </w:pPr>
    </w:p>
    <w:p w:rsidR="00737B35" w:rsidRDefault="00737B35">
      <w:pPr>
        <w:pStyle w:val="SingleTxt"/>
        <w:rPr>
          <w:rFonts w:hint="eastAsia"/>
        </w:rPr>
      </w:pPr>
      <w:r>
        <w:rPr>
          <w:rFonts w:hint="eastAsia"/>
        </w:rPr>
        <w:tab/>
        <w:t>然而，由于土地证发放的过程，这种母系继承格局正在慢慢变化。如对土地原属情况与土地永久权的登记作一比较，可以看出58％的情况下只有丈夫的名字出现在土地证上，即使原先只有18％的土地属于他们。至于妇女的土地，只有16％以她们的名义登记，尽管原先妇女拥有30％的土地。这意味着只有52％的情况下妇女土地所有权的登记是正确的。看来很清楚，余下48％的土地落到了丈夫的名下。至于本来属于共有财产的土地，即52％的土地，列上夫妻双方名字的百分比极小，只有7％。这意味着只有13％的这种土地是正确登记的。这还意味着87％即这种土地的余下部分，是只以丈夫的名义登记的。</w:t>
      </w:r>
    </w:p>
    <w:p w:rsidR="00737B35" w:rsidRDefault="00737B35">
      <w:pPr>
        <w:pStyle w:val="SingleTxt"/>
        <w:rPr>
          <w:rFonts w:ascii="SimHei" w:eastAsia="SimHei" w:hint="eastAsia"/>
          <w:color w:val="FF0000"/>
        </w:rPr>
      </w:pPr>
      <w:r>
        <w:rPr>
          <w:rFonts w:ascii="SimHei" w:eastAsia="SimHei" w:hint="eastAsia"/>
          <w:color w:val="FF0000"/>
        </w:rPr>
        <w:t>农村妇女享有供水、灌溉和基础设施的机会</w:t>
      </w:r>
    </w:p>
    <w:p w:rsidR="00737B35" w:rsidRDefault="00737B35">
      <w:pPr>
        <w:pStyle w:val="SingleTxt"/>
        <w:rPr>
          <w:rFonts w:hint="eastAsia"/>
        </w:rPr>
      </w:pPr>
      <w:r>
        <w:rPr>
          <w:rFonts w:hint="eastAsia"/>
        </w:rPr>
        <w:tab/>
        <w:t>1992至1996年间，农村的供水和卫生覆盖面明显增加。这些成就来自加强了的服务提供和倡导。安装了数种饮用水系统。而且认识也提高了，认为环境卫生是个人卫生一个主要的组成部分，而且老挝农村各地正在成功地执行水和环境卫生方案（儿童基金会，1996年）。</w:t>
      </w:r>
    </w:p>
    <w:p w:rsidR="00737B35" w:rsidRDefault="00737B35">
      <w:pPr>
        <w:pStyle w:val="SingleTxt"/>
        <w:rPr>
          <w:rFonts w:hint="eastAsia"/>
        </w:rPr>
      </w:pPr>
      <w:r>
        <w:rPr>
          <w:rFonts w:hint="eastAsia"/>
        </w:rPr>
        <w:tab/>
        <w:t>灌溉对于稻米种植者确保稳定的产量和提供来自补充作物的收入来说至关重要。近年来，灌溉计划的责任已逐步转给农民自己。建立了水用户组织以管理灌溉计划。妇女参与水用户组织的决策将十分必要，因为妇女肩负着有关种稻的很大部分工作量。妇女还需要水供应清洗、洗澡和用户一般性用途。据一项研究（Schenk-Sandbergen，1995年），妇女在一定程度上被排斥于水用户组织的决策之外。因此，在老挝农村的部分地区，灌溉计划并不满足妇女的需要，而且妇女仍需步行很长的距离担水给家人饮用，即使村里可以利用灌溉计划也不行。</w:t>
      </w:r>
    </w:p>
    <w:p w:rsidR="00737B35" w:rsidRDefault="00737B35">
      <w:pPr>
        <w:pStyle w:val="SingleTxt"/>
        <w:rPr>
          <w:rFonts w:hint="eastAsia"/>
        </w:rPr>
      </w:pPr>
      <w:r>
        <w:rPr>
          <w:rFonts w:hint="eastAsia"/>
        </w:rPr>
        <w:tab/>
        <w:t>就老挝共和国基础设施的发展而言，老挝仍面临着几个制约因素。大约三分之一的村子和22％的人口仍在农村地区，卡车开不过去，只有11％的人口生活在有电可用的村子，而且只有7％的村子设有永久性市场（世界银行，1995年）。</w:t>
      </w:r>
    </w:p>
    <w:p w:rsidR="00737B35" w:rsidRDefault="00737B35">
      <w:pPr>
        <w:pStyle w:val="SingleTxt"/>
        <w:rPr>
          <w:rFonts w:ascii="SimHei" w:eastAsia="SimHei" w:hint="eastAsia"/>
          <w:color w:val="FF0000"/>
        </w:rPr>
      </w:pPr>
      <w:r>
        <w:rPr>
          <w:rFonts w:ascii="SimHei" w:eastAsia="SimHei" w:hint="eastAsia"/>
          <w:color w:val="FF0000"/>
        </w:rPr>
        <w:t>政府在农村地区消除对妇女歧视的措施</w:t>
      </w:r>
    </w:p>
    <w:p w:rsidR="00737B35" w:rsidRDefault="00737B35">
      <w:pPr>
        <w:pStyle w:val="SingleTxt"/>
        <w:rPr>
          <w:rFonts w:hint="eastAsia"/>
        </w:rPr>
      </w:pPr>
      <w:r>
        <w:rPr>
          <w:rFonts w:hint="eastAsia"/>
        </w:rPr>
        <w:tab/>
        <w:t>老挝共和国政府非常关注全国农村地区的发展状况。为使现状有所改观，政府已推出了一个农村发展方案作为政府8个优先方案之一。农村发展方案规定的目标是：减轻偏僻地区农村人口的贫困；提供粮食安全；促进农业生产商业化；增加利用发展服务的机会。方案为促进民族文化和男女参与发展作出了一项特殊规定。</w:t>
      </w:r>
    </w:p>
    <w:p w:rsidR="00737B35" w:rsidRDefault="00737B35">
      <w:pPr>
        <w:pStyle w:val="SingleTxt"/>
        <w:rPr>
          <w:rFonts w:hint="eastAsia"/>
        </w:rPr>
      </w:pPr>
      <w:r>
        <w:rPr>
          <w:rFonts w:hint="eastAsia"/>
        </w:rPr>
        <w:tab/>
        <w:t>为了系统地促进农村发展，政府正式成立了一个农村发展领导委员会并概括了它的任务和责任（第40号法令，1994年11月）。该法令还要求建立省发展委员会（省发会），由副省长主持工作。国家计划委员会强调了地方真正参与省农村发展委员会工作的重要性并特别提到老挝妇女联盟作为地方知识重要来源的作用（1998至2002年农村发展方案，重点场址战略）。农村发展方案要求村志愿人员动员村民并协助管理村的活动。老挝妇女联盟的代表拟参加村小组的工作。</w:t>
      </w:r>
    </w:p>
    <w:p w:rsidR="00737B35" w:rsidRDefault="00737B35">
      <w:pPr>
        <w:pStyle w:val="SingleTxt"/>
        <w:rPr>
          <w:rFonts w:hint="eastAsia"/>
        </w:rPr>
      </w:pPr>
      <w:r>
        <w:rPr>
          <w:rFonts w:hint="eastAsia"/>
        </w:rPr>
        <w:tab/>
        <w:t>农村发展方案与国家其他发展方案挂钩以避免稀缺资源的重复。这些方案全部对妇女作出了具体的规定，其中包括：全国营养行动计划、国家人口政策、全国水和卫生方案及全国人力资源方案。</w:t>
      </w:r>
    </w:p>
    <w:p w:rsidR="00737B35" w:rsidRDefault="00737B35">
      <w:pPr>
        <w:pStyle w:val="SingleTxt"/>
        <w:rPr>
          <w:rFonts w:ascii="SimHei" w:eastAsia="SimHei" w:hint="eastAsia"/>
          <w:color w:val="FF0000"/>
        </w:rPr>
      </w:pPr>
      <w:r>
        <w:rPr>
          <w:rFonts w:ascii="SimHei" w:eastAsia="SimHei" w:hint="eastAsia"/>
          <w:color w:val="FF0000"/>
        </w:rPr>
        <w:t>保证农村妇女平等获得卫生和计划生育服务的措施</w:t>
      </w:r>
    </w:p>
    <w:p w:rsidR="00737B35" w:rsidRDefault="00737B35">
      <w:pPr>
        <w:pStyle w:val="SingleTxt"/>
        <w:rPr>
          <w:rFonts w:hint="eastAsia"/>
        </w:rPr>
      </w:pPr>
      <w:r>
        <w:rPr>
          <w:rFonts w:hint="eastAsia"/>
        </w:rPr>
        <w:tab/>
        <w:t>老挝共和国政府已认识到了同特别是我国偏僻地区的妇女和儿童死亡率有关的严重问题，并推出了一个遏制令人担心的趋势的方案。政府制定了一个到2000年将孕产妇死亡率降至400/100 000的目标。为实现这个目标，更安全孕产方案将致力于：</w:t>
      </w:r>
    </w:p>
    <w:p w:rsidR="00737B35" w:rsidRDefault="00737B35">
      <w:pPr>
        <w:pStyle w:val="SingleTxt"/>
        <w:ind w:left="2126" w:hanging="431"/>
        <w:rPr>
          <w:rFonts w:hint="eastAsia"/>
        </w:rPr>
      </w:pPr>
      <w:r>
        <w:rPr>
          <w:rFonts w:hint="eastAsia"/>
        </w:rPr>
        <w:sym w:font="Symbol" w:char="F0B7"/>
      </w:r>
      <w:r>
        <w:tab/>
      </w:r>
      <w:r>
        <w:rPr>
          <w:rFonts w:hint="eastAsia"/>
        </w:rPr>
        <w:t>保证至少50％的妇女获得和利用高质量的产前、产中和产后护理，并将高风险孕妇和产科急诊病人转往医院；</w:t>
      </w:r>
    </w:p>
    <w:p w:rsidR="00737B35" w:rsidRDefault="00737B35">
      <w:pPr>
        <w:pStyle w:val="SingleTxt"/>
        <w:ind w:left="2126" w:hanging="431"/>
        <w:rPr>
          <w:rFonts w:hint="eastAsia"/>
        </w:rPr>
      </w:pPr>
      <w:r>
        <w:rPr>
          <w:rFonts w:hint="eastAsia"/>
        </w:rPr>
        <w:sym w:font="Symbol" w:char="F0B7"/>
      </w:r>
      <w:r>
        <w:tab/>
      </w:r>
      <w:r>
        <w:rPr>
          <w:rFonts w:hint="eastAsia"/>
        </w:rPr>
        <w:t>提倡完全母乳喂养至4个月（至少80％的妇女）；</w:t>
      </w:r>
    </w:p>
    <w:p w:rsidR="00737B35" w:rsidRDefault="00737B35">
      <w:pPr>
        <w:pStyle w:val="SingleTxt"/>
        <w:ind w:left="2126" w:hanging="431"/>
        <w:rPr>
          <w:rFonts w:hint="eastAsia"/>
        </w:rPr>
      </w:pPr>
      <w:r>
        <w:rPr>
          <w:rFonts w:hint="eastAsia"/>
        </w:rPr>
        <w:sym w:font="Symbol" w:char="F0B7"/>
      </w:r>
      <w:r>
        <w:tab/>
      </w:r>
      <w:r>
        <w:rPr>
          <w:rFonts w:hint="eastAsia"/>
        </w:rPr>
        <w:t>提倡出生后30分钟内母乳喂养以减少产后出血（至少80％的妇女）；</w:t>
      </w:r>
    </w:p>
    <w:p w:rsidR="00737B35" w:rsidRDefault="00737B35">
      <w:pPr>
        <w:pStyle w:val="SingleTxt"/>
        <w:ind w:left="2126" w:hanging="431"/>
        <w:rPr>
          <w:rFonts w:hint="eastAsia"/>
        </w:rPr>
      </w:pPr>
      <w:r>
        <w:rPr>
          <w:rFonts w:hint="eastAsia"/>
        </w:rPr>
        <w:sym w:font="Symbol" w:char="F0B7"/>
      </w:r>
      <w:r>
        <w:tab/>
      </w:r>
      <w:r>
        <w:rPr>
          <w:rFonts w:hint="eastAsia"/>
        </w:rPr>
        <w:t>提倡使用蚊帐（至少80％的妇女使用蚊帐睡觉以减少疟疾和贫血症的发生）；</w:t>
      </w:r>
    </w:p>
    <w:p w:rsidR="00737B35" w:rsidRDefault="00737B35">
      <w:pPr>
        <w:pStyle w:val="SingleTxt"/>
        <w:ind w:left="2126" w:hanging="431"/>
        <w:rPr>
          <w:rFonts w:hint="eastAsia"/>
        </w:rPr>
      </w:pPr>
      <w:r>
        <w:rPr>
          <w:rFonts w:hint="eastAsia"/>
        </w:rPr>
        <w:sym w:font="Symbol" w:char="F0B7"/>
      </w:r>
      <w:r>
        <w:tab/>
      </w:r>
      <w:r>
        <w:rPr>
          <w:rFonts w:hint="eastAsia"/>
        </w:rPr>
        <w:t>消除碘和维生素A缺乏症；</w:t>
      </w:r>
    </w:p>
    <w:p w:rsidR="00737B35" w:rsidRDefault="00737B35">
      <w:pPr>
        <w:pStyle w:val="SingleTxt"/>
        <w:ind w:left="2126" w:hanging="431"/>
        <w:rPr>
          <w:rFonts w:hint="eastAsia"/>
        </w:rPr>
      </w:pPr>
      <w:r>
        <w:rPr>
          <w:rFonts w:hint="eastAsia"/>
        </w:rPr>
        <w:sym w:font="Symbol" w:char="F0B7"/>
      </w:r>
      <w:r>
        <w:tab/>
      </w:r>
      <w:r>
        <w:rPr>
          <w:rFonts w:hint="eastAsia"/>
        </w:rPr>
        <w:t>确保所有夫妻获得计划生育信息和至少75％的夫妻获得计划生育服务；</w:t>
      </w:r>
    </w:p>
    <w:p w:rsidR="00737B35" w:rsidRDefault="00737B35">
      <w:pPr>
        <w:pStyle w:val="SingleTxt"/>
        <w:ind w:left="2126" w:hanging="431"/>
        <w:rPr>
          <w:rFonts w:hint="eastAsia"/>
        </w:rPr>
      </w:pPr>
      <w:r>
        <w:rPr>
          <w:rFonts w:hint="eastAsia"/>
        </w:rPr>
        <w:sym w:font="Symbol" w:char="F0B7"/>
      </w:r>
      <w:r>
        <w:tab/>
      </w:r>
      <w:r>
        <w:rPr>
          <w:rFonts w:hint="eastAsia"/>
        </w:rPr>
        <w:t>使15至45岁妇女的缺铁性贫血症减少三分之一。</w:t>
      </w:r>
    </w:p>
    <w:p w:rsidR="00737B35" w:rsidRDefault="00737B35">
      <w:pPr>
        <w:pStyle w:val="SingleTxt"/>
        <w:spacing w:line="340" w:lineRule="exact"/>
        <w:rPr>
          <w:rFonts w:hint="eastAsia"/>
        </w:rPr>
      </w:pPr>
      <w:r>
        <w:rPr>
          <w:rFonts w:hint="eastAsia"/>
        </w:rPr>
        <w:tab/>
        <w:t>妇女的需要问题还由扩大的免疫方案、国家腹泻病方案处理，也根据急性呼吸道感染方案处理。</w:t>
      </w:r>
    </w:p>
    <w:p w:rsidR="00737B35" w:rsidRDefault="00737B35">
      <w:pPr>
        <w:pStyle w:val="SingleTxt"/>
        <w:spacing w:line="340" w:lineRule="exact"/>
        <w:rPr>
          <w:rFonts w:hint="eastAsia"/>
        </w:rPr>
      </w:pPr>
      <w:r>
        <w:rPr>
          <w:rFonts w:hint="eastAsia"/>
        </w:rPr>
        <w:tab/>
        <w:t>国家人口政策和发展政策草案制定了从2000年到2020年的政策目标、目标指标和执行战略。政策具体要求将初级保健、生殖健康和计划生育服务扩大到全国所有地区，特别是农村地区，以便降低婴儿、产妇、5岁以下儿童的死亡率和总生育率，同时又在2020年前将避孕普及率提高到85％。政策提倡为了妇女的最佳健康出生间隔至少为2至3年，而且理想的母子比率是2至4个子女。政策还拟订了到2020年女性识字的目标和女生的入学率，并倡导加强人口数据的收集以指导人口活动的政策、规划和开展。</w:t>
      </w:r>
    </w:p>
    <w:p w:rsidR="00737B35" w:rsidRDefault="00737B35">
      <w:pPr>
        <w:pStyle w:val="SingleTxt"/>
        <w:spacing w:line="340" w:lineRule="exact"/>
        <w:rPr>
          <w:rFonts w:ascii="SimHei" w:eastAsia="SimHei" w:hint="eastAsia"/>
          <w:color w:val="FF0000"/>
        </w:rPr>
      </w:pPr>
      <w:r>
        <w:rPr>
          <w:rFonts w:ascii="SimHei" w:eastAsia="SimHei" w:hint="eastAsia"/>
          <w:color w:val="FF0000"/>
        </w:rPr>
        <w:t>保证农村妇女平等接受正规和非正规教育的措施</w:t>
      </w:r>
    </w:p>
    <w:p w:rsidR="00737B35" w:rsidRDefault="00737B35">
      <w:pPr>
        <w:pStyle w:val="SingleTxt"/>
        <w:spacing w:line="340" w:lineRule="exact"/>
        <w:rPr>
          <w:rFonts w:hint="eastAsia"/>
        </w:rPr>
      </w:pPr>
      <w:r>
        <w:rPr>
          <w:rFonts w:hint="eastAsia"/>
        </w:rPr>
        <w:tab/>
        <w:t>如第10条“教育”项下所讨论，关于教育、政府已制定了农村女孩和妇女入学的具体目标。政府的非正规教育努力针对受教育程度不够的七个主要目标群体和妇女——特别是在农村地区的那些——让他们接受关于家庭健康和安全孕产的教育。</w:t>
      </w:r>
    </w:p>
    <w:p w:rsidR="00737B35" w:rsidRDefault="00737B35">
      <w:pPr>
        <w:pStyle w:val="SingleTxt"/>
        <w:spacing w:line="340" w:lineRule="exact"/>
        <w:rPr>
          <w:rFonts w:hint="eastAsia"/>
        </w:rPr>
      </w:pPr>
      <w:r>
        <w:rPr>
          <w:rFonts w:hint="eastAsia"/>
        </w:rPr>
        <w:tab/>
        <w:t>为实现这一目标，教育预算已从1990年政府预算总额的8.3％增加到12％左右。</w:t>
      </w:r>
    </w:p>
    <w:p w:rsidR="00737B35" w:rsidRDefault="00737B35">
      <w:pPr>
        <w:pStyle w:val="SingleTxt"/>
        <w:spacing w:line="340" w:lineRule="exact"/>
        <w:rPr>
          <w:rFonts w:hint="eastAsia"/>
        </w:rPr>
      </w:pPr>
      <w:r>
        <w:rPr>
          <w:rFonts w:hint="eastAsia"/>
        </w:rPr>
        <w:tab/>
        <w:t>为具体针对女孩和妇女的教育需要，政府已开始执行一个妇女教育项目。制定该项目是为了提高正规教育系统的性别和民族敏感性，特别是通过促成三大教育系统在村一级的整合（土著传统学习系统、非正规教育和正规教育或学校教育）和教育系统本身内部更好的纵向和横向整合和协调。项目活动包括改进农村妇女教育条件的特殊规定，拟于在全国各地开展并在2005年前完成。</w:t>
      </w:r>
    </w:p>
    <w:p w:rsidR="00737B35" w:rsidRDefault="00737B35">
      <w:pPr>
        <w:pStyle w:val="SingleTxt"/>
        <w:spacing w:line="340" w:lineRule="exact"/>
        <w:rPr>
          <w:rFonts w:hint="eastAsia"/>
        </w:rPr>
      </w:pPr>
      <w:r>
        <w:rPr>
          <w:rFonts w:hint="eastAsia"/>
        </w:rPr>
        <w:tab/>
        <w:t>在实现教育可持续性方面，项目将：</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spacing w:line="340" w:lineRule="exact"/>
        <w:ind w:left="2126" w:hanging="862"/>
        <w:rPr>
          <w:rFonts w:hint="eastAsia"/>
        </w:rPr>
      </w:pPr>
      <w:r>
        <w:rPr>
          <w:rFonts w:hint="eastAsia"/>
        </w:rPr>
        <w:tab/>
        <w:t>-</w:t>
      </w:r>
      <w:r>
        <w:rPr>
          <w:rFonts w:hint="eastAsia"/>
        </w:rPr>
        <w:tab/>
        <w:t>改善协调、战略规划、政策制定和教育内部的资源分配；</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spacing w:line="340" w:lineRule="exact"/>
        <w:ind w:left="2126" w:hanging="862"/>
        <w:rPr>
          <w:rFonts w:hint="eastAsia"/>
        </w:rPr>
      </w:pPr>
      <w:r>
        <w:rPr>
          <w:rFonts w:hint="eastAsia"/>
        </w:rPr>
        <w:tab/>
        <w:t>-</w:t>
      </w:r>
      <w:r>
        <w:rPr>
          <w:rFonts w:hint="eastAsia"/>
        </w:rPr>
        <w:tab/>
        <w:t>加强国家政策目标与当地条件的省县两级的协调和整合；</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spacing w:line="340" w:lineRule="exact"/>
        <w:ind w:left="2126" w:hanging="862"/>
        <w:rPr>
          <w:rFonts w:hint="eastAsia"/>
        </w:rPr>
      </w:pPr>
      <w:r>
        <w:rPr>
          <w:rFonts w:hint="eastAsia"/>
        </w:rPr>
        <w:tab/>
        <w:t>-</w:t>
      </w:r>
      <w:r>
        <w:rPr>
          <w:rFonts w:hint="eastAsia"/>
        </w:rPr>
        <w:tab/>
        <w:t>增加女孩和少数民族享受教育设施的机会，包括200所新建小学和6所寄宿小学；</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spacing w:line="340" w:lineRule="exact"/>
        <w:ind w:left="2126" w:hanging="862"/>
        <w:rPr>
          <w:rFonts w:hint="eastAsia"/>
        </w:rPr>
      </w:pPr>
      <w:r>
        <w:rPr>
          <w:rFonts w:hint="eastAsia"/>
        </w:rPr>
        <w:tab/>
        <w:t>-</w:t>
      </w:r>
      <w:r>
        <w:rPr>
          <w:rFonts w:hint="eastAsia"/>
        </w:rPr>
        <w:tab/>
        <w:t>使学校、家庭、社区、宗教机构和地方教育当局对于教育和社会文化现实达成共识；</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hint="eastAsia"/>
        </w:rPr>
      </w:pPr>
      <w:r>
        <w:rPr>
          <w:rFonts w:hint="eastAsia"/>
        </w:rPr>
        <w:tab/>
        <w:t>-</w:t>
      </w:r>
      <w:r>
        <w:rPr>
          <w:rFonts w:hint="eastAsia"/>
        </w:rPr>
        <w:tab/>
        <w:t>制定一套尽量减少女孩上学的社会经济障碍的行之有效的方法；并制定一种结构、一个行动计划和可持续的方式方法解决贫困和偏僻地区女孩和少数民族家庭的经济和财政制约问题。</w:t>
      </w:r>
    </w:p>
    <w:p w:rsidR="00737B35" w:rsidRDefault="00737B35">
      <w:pPr>
        <w:pStyle w:val="SingleTxt"/>
        <w:rPr>
          <w:rFonts w:ascii="SimHei" w:eastAsia="SimHei" w:hint="eastAsia"/>
          <w:color w:val="FF0000"/>
        </w:rPr>
      </w:pPr>
      <w:r>
        <w:rPr>
          <w:rFonts w:ascii="SimHei" w:eastAsia="SimHei" w:hint="eastAsia"/>
          <w:color w:val="FF0000"/>
        </w:rPr>
        <w:t>保证农村妇女平等获得贷款、技术和便利农村妇女干活的措施</w:t>
      </w:r>
    </w:p>
    <w:p w:rsidR="00737B35" w:rsidRDefault="00737B35">
      <w:pPr>
        <w:pStyle w:val="SingleTxt"/>
        <w:rPr>
          <w:rFonts w:hint="eastAsia"/>
        </w:rPr>
      </w:pPr>
      <w:r>
        <w:rPr>
          <w:rFonts w:hint="eastAsia"/>
        </w:rPr>
        <w:tab/>
        <w:t>关于农村妇女获得贷款，老挝妇女联盟希望鼓励妇女充当小企业主，并已推出一个方案培训妇女掌握企业家的技能，向她们提供切实可行的方案性支助，包括小额贷款和循环基金。方案执行期为1998年至2003年，并在老挝共和国17个省运作。</w:t>
      </w:r>
    </w:p>
    <w:p w:rsidR="00737B35" w:rsidRDefault="00737B35">
      <w:pPr>
        <w:pStyle w:val="SingleTxt"/>
        <w:rPr>
          <w:rFonts w:hint="eastAsia"/>
        </w:rPr>
      </w:pPr>
      <w:r>
        <w:rPr>
          <w:rFonts w:hint="eastAsia"/>
        </w:rPr>
        <w:tab/>
        <w:t>为了减轻农村妇女繁重的工作量，老挝妇女联盟推出了一个方案，在我国10个偏僻省份培训妇女使用现代农业技术。将在使用和建立碾米厂、厕所、水泵和传统水井方面培训妇女。就灌溉计划而言，将在选定的灌溉计划中以试点方式组织性别培训，以便使推广人员更深入地了解妇女一般地在农业和特别是在灌溉方面的作用。林业局还推出了一个将性别纳入主流的方案和在局内成立了一个性别发展单位，以期向本局工作人员提供性别敏感的林业管理问题的培训。</w:t>
      </w:r>
    </w:p>
    <w:p w:rsidR="00737B35" w:rsidRDefault="00737B35">
      <w:pPr>
        <w:pStyle w:val="SingleTxt"/>
        <w:rPr>
          <w:rFonts w:hint="eastAsia"/>
        </w:rPr>
      </w:pPr>
      <w:r>
        <w:rPr>
          <w:rFonts w:hint="eastAsia"/>
        </w:rPr>
        <w:tab/>
        <w:t>老挝国家湄公河委员会推出了一个全国性别行动计划，通过一系列的培训和提高认识活动，以在老挝共和国各个湄公河河水和相关资源部门和组织中增强性别敏感性方面的技能、知识和态度。数据收集构成性别方案一个不可分割的组成部分。</w:t>
      </w:r>
    </w:p>
    <w:p w:rsidR="00737B35" w:rsidRDefault="00737B35">
      <w:pPr>
        <w:pStyle w:val="SingleTxt"/>
        <w:rPr>
          <w:rFonts w:hint="eastAsia"/>
        </w:rPr>
      </w:pPr>
      <w:r>
        <w:rPr>
          <w:rFonts w:hint="eastAsia"/>
        </w:rPr>
        <w:tab/>
        <w:t>至于改变土地分配过程中令人忧虑的错位，老挝妇女联盟为其全国各地的代表组织了老挝法律研讨会。触及的主题之一是土地分配过程和老挝妇女在此过程中的权利。</w:t>
      </w: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第15条  在法律面前和公民事务方面人人平等</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spacing w:after="0" w:line="120" w:lineRule="exact"/>
        <w:ind w:left="2126" w:hanging="862"/>
        <w:rPr>
          <w:rFonts w:ascii="KaiTi_GB2312" w:eastAsia="KaiTi_GB2312" w:hint="eastAsia"/>
          <w:color w:val="0000FF"/>
          <w:sz w:val="10"/>
        </w:rPr>
      </w:pP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ascii="KaiTi_GB2312" w:eastAsia="KaiTi_GB2312" w:hint="eastAsia"/>
          <w:color w:val="0000FF"/>
        </w:rPr>
      </w:pPr>
      <w:r>
        <w:rPr>
          <w:rFonts w:ascii="KaiTi_GB2312" w:eastAsia="KaiTi_GB2312" w:hint="eastAsia"/>
          <w:color w:val="0000FF"/>
        </w:rPr>
        <w:tab/>
        <w:t>1.</w:t>
      </w:r>
      <w:r>
        <w:rPr>
          <w:rFonts w:ascii="KaiTi_GB2312" w:eastAsia="KaiTi_GB2312" w:hint="eastAsia"/>
          <w:color w:val="0000FF"/>
        </w:rPr>
        <w:tab/>
        <w:t>缔约各国应给予男女在法律面前平等的地位。</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ascii="KaiTi_GB2312" w:eastAsia="KaiTi_GB2312" w:hint="eastAsia"/>
          <w:color w:val="0000FF"/>
        </w:rPr>
      </w:pPr>
      <w:r>
        <w:rPr>
          <w:rFonts w:ascii="KaiTi_GB2312" w:eastAsia="KaiTi_GB2312" w:hint="eastAsia"/>
          <w:color w:val="0000FF"/>
        </w:rPr>
        <w:tab/>
        <w:t>2.</w:t>
      </w:r>
      <w:r>
        <w:rPr>
          <w:rFonts w:ascii="KaiTi_GB2312" w:eastAsia="KaiTi_GB2312" w:hint="eastAsia"/>
          <w:color w:val="0000FF"/>
        </w:rPr>
        <w:tab/>
        <w:t>缔约各国应在公民事务上，给予妇女与男子同等的法律行为能力，以及行使这种行为能力的相同机会。特别应给予妇女鉴订合同和管理财产的平等权利，并在法院和法庭诉讼的各个阶段给予平等待遇。</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ascii="KaiTi_GB2312" w:eastAsia="KaiTi_GB2312" w:hint="eastAsia"/>
          <w:color w:val="0000FF"/>
        </w:rPr>
      </w:pPr>
      <w:r>
        <w:rPr>
          <w:rFonts w:ascii="KaiTi_GB2312" w:eastAsia="KaiTi_GB2312" w:hint="eastAsia"/>
          <w:color w:val="0000FF"/>
        </w:rPr>
        <w:tab/>
        <w:t>3.</w:t>
      </w:r>
      <w:r>
        <w:rPr>
          <w:rFonts w:ascii="KaiTi_GB2312" w:eastAsia="KaiTi_GB2312" w:hint="eastAsia"/>
          <w:color w:val="0000FF"/>
        </w:rPr>
        <w:tab/>
        <w:t>缔约各国同意，旨在限制妇女法律行为能力的所有合同和其他任何具有法律效力的私人文书，应一律视为无效。</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ascii="KaiTi_GB2312" w:eastAsia="KaiTi_GB2312" w:hint="eastAsia"/>
          <w:color w:val="0000FF"/>
        </w:rPr>
      </w:pPr>
      <w:r>
        <w:rPr>
          <w:rFonts w:ascii="KaiTi_GB2312" w:eastAsia="KaiTi_GB2312" w:hint="eastAsia"/>
          <w:color w:val="0000FF"/>
        </w:rPr>
        <w:tab/>
        <w:t>4.</w:t>
      </w:r>
      <w:r>
        <w:rPr>
          <w:rFonts w:ascii="KaiTi_GB2312" w:eastAsia="KaiTi_GB2312" w:hint="eastAsia"/>
          <w:color w:val="0000FF"/>
        </w:rPr>
        <w:tab/>
        <w:t>缔约各国在有关人员流动和自由择居的法律方面，应给予男女相同的权利。</w:t>
      </w:r>
    </w:p>
    <w:p w:rsidR="00737B35" w:rsidRDefault="00737B35">
      <w:pPr>
        <w:pStyle w:val="SingleTxt"/>
        <w:rPr>
          <w:rFonts w:ascii="SimHei" w:eastAsia="SimHei" w:hint="eastAsia"/>
          <w:color w:val="FF0000"/>
        </w:rPr>
      </w:pPr>
      <w:r>
        <w:rPr>
          <w:rFonts w:ascii="SimHei" w:eastAsia="SimHei" w:hint="eastAsia"/>
          <w:color w:val="FF0000"/>
        </w:rPr>
        <w:t>法律面前男女平等</w:t>
      </w:r>
    </w:p>
    <w:p w:rsidR="00737B35" w:rsidRDefault="00737B35">
      <w:pPr>
        <w:pStyle w:val="SingleTxt"/>
        <w:rPr>
          <w:rFonts w:hint="eastAsia"/>
        </w:rPr>
      </w:pPr>
      <w:r>
        <w:rPr>
          <w:rFonts w:hint="eastAsia"/>
        </w:rPr>
        <w:tab/>
        <w:t>宪法规定，在老挝法律面前老挝妇女和男子拥有相同的权利和义务，而且妇女行使这些权利不受任何限制。宪法（1991年）第22条指出“老挝公民不论其性别、社会地位、教育、信仰和民族群体，在法律面前人人平等。”宪法第24条“老挝男女公民在政治、经济、文化、社会和家庭事务方面均享有平等权利”进一步强调了这一信息。《刑法典》第2条指出，所有个人承担刑事责任并将可能受到惩罚。</w:t>
      </w:r>
    </w:p>
    <w:p w:rsidR="00737B35" w:rsidRDefault="00737B35">
      <w:pPr>
        <w:pStyle w:val="SingleTxt"/>
        <w:rPr>
          <w:rFonts w:hint="eastAsia"/>
        </w:rPr>
      </w:pPr>
      <w:r>
        <w:rPr>
          <w:rFonts w:hint="eastAsia"/>
        </w:rPr>
        <w:tab/>
        <w:t>在老挝法律中没有只适用于妇女的特殊辩护。不过，《刑法典》在具体情况下准予妇女特殊的让步。《刑法典》第36条“有助于减轻刑事责任的原因”指出，怀孕的女犯人可能减轻刑事责任。《刑法典》第29和30条进一步指出，“不得对……怀孕妇女……判处终身监禁”和“对于犯法时或在法院作出裁决或判刑被批准时怀孕的妇女……禁止执行死刑。”（非正式译文）《刑法典》第34条还指出“对于在犯法时怀孕的妇女或照顾8岁以下幼小子女的妇女不得批准软禁判决”（非正式译文）。</w:t>
      </w:r>
    </w:p>
    <w:p w:rsidR="00737B35" w:rsidRDefault="00737B35">
      <w:pPr>
        <w:pStyle w:val="SingleTxt"/>
        <w:rPr>
          <w:rFonts w:hint="eastAsia"/>
        </w:rPr>
      </w:pPr>
      <w:r>
        <w:rPr>
          <w:rFonts w:hint="eastAsia"/>
        </w:rPr>
        <w:tab/>
        <w:t>《刑法典》中有一个只提及妇女的法律概念。据《刑法典》第119条规定，只有妇女可能是强奸的受害人。该条指出“任何人如果使用武力、以武器威胁、药物或其他方法导致不是其妻子的妇女处于孤立无助的状态以便在违背该妇女意愿的情况下实施强奸，将可处以3至5年监禁。”（非正式译文）</w:t>
      </w:r>
    </w:p>
    <w:p w:rsidR="00737B35" w:rsidRDefault="00737B35">
      <w:pPr>
        <w:pStyle w:val="SingleTxt"/>
        <w:rPr>
          <w:rFonts w:hint="eastAsia"/>
        </w:rPr>
      </w:pPr>
      <w:r>
        <w:rPr>
          <w:rFonts w:hint="eastAsia"/>
        </w:rPr>
        <w:tab/>
        <w:t>宪法和法律体系赋予妇女的这些权利应由村级政府行使。《地方政府法》准予村长及其副手有权在村一级适用老挝法律。村长负责确保执行上级当局发布的法律、条例和指示。村长也是基层单位的治安官员。他（或她）是村民之间冲突的仲裁人。因此，村长是老挝法律体系中的一个重要组成部分。村民所犯的所有罪行首先接受村级调解，而且只有在这一级不能找到令人满意的解决办法时才将案件提交县法院。</w:t>
      </w:r>
    </w:p>
    <w:p w:rsidR="00737B35" w:rsidRDefault="00737B35">
      <w:pPr>
        <w:pStyle w:val="SingleTxt"/>
        <w:rPr>
          <w:rFonts w:hint="eastAsia"/>
        </w:rPr>
      </w:pPr>
      <w:r>
        <w:rPr>
          <w:rFonts w:hint="eastAsia"/>
        </w:rPr>
        <w:tab/>
        <w:t>在基层一级适用法律的机构中，妇女的代表比例也不足。总共8 505名村长中，有14名女村长。村长下设一名副村长协助其完成任务。在12 491名副村长中，101名是妇女。村委员会在协商的基础上协助村长及其副手完成任务。委员会成员也能充当争端仲裁人。老挝妇女联盟的代表总是村委员会的一名成员，但经常是地方政府中的惟一女代表。</w:t>
      </w:r>
    </w:p>
    <w:p w:rsidR="00737B35" w:rsidRDefault="00737B35">
      <w:pPr>
        <w:pStyle w:val="SingleTxt"/>
        <w:rPr>
          <w:rFonts w:hint="eastAsia"/>
        </w:rPr>
      </w:pPr>
      <w:r>
        <w:rPr>
          <w:rFonts w:hint="eastAsia"/>
        </w:rPr>
        <w:tab/>
        <w:t>老挝仍极端缺乏训练有素的法律人员。受过训练的女法律专业人员甚至更为稀缺，从下表可以看出这一点。</w:t>
      </w:r>
    </w:p>
    <w:p w:rsidR="00737B35" w:rsidRDefault="00737B35">
      <w:pPr>
        <w:pStyle w:val="SingleTxt"/>
        <w:spacing w:after="240" w:line="240" w:lineRule="auto"/>
        <w:rPr>
          <w:rFonts w:ascii="SimHei" w:eastAsia="SimHei" w:hint="eastAsia"/>
          <w:color w:val="FF0000"/>
        </w:rPr>
      </w:pPr>
      <w:r>
        <w:rPr>
          <w:rFonts w:ascii="SimHei" w:eastAsia="SimHei"/>
          <w:color w:val="FF0000"/>
        </w:rPr>
        <w:br w:type="page"/>
      </w:r>
      <w:r>
        <w:rPr>
          <w:rFonts w:ascii="SimHei" w:eastAsia="SimHei" w:hint="eastAsia"/>
          <w:color w:val="FF0000"/>
        </w:rPr>
        <w:t>1998年在老挝法律系统供职的法官和法律官员</w:t>
      </w:r>
      <w:r>
        <w:rPr>
          <w:rStyle w:val="FootnoteReference"/>
        </w:rPr>
        <w:footnoteReference w:id="6"/>
      </w:r>
    </w:p>
    <w:tbl>
      <w:tblPr>
        <w:tblW w:w="3635" w:type="pct"/>
        <w:tblInd w:w="1260" w:type="dxa"/>
        <w:tblLook w:val="0000" w:firstRow="0" w:lastRow="0" w:firstColumn="0" w:lastColumn="0" w:noHBand="0" w:noVBand="0"/>
      </w:tblPr>
      <w:tblGrid>
        <w:gridCol w:w="1829"/>
        <w:gridCol w:w="1830"/>
        <w:gridCol w:w="1830"/>
        <w:gridCol w:w="1830"/>
      </w:tblGrid>
      <w:tr w:rsidR="00737B35">
        <w:tblPrEx>
          <w:tblCellMar>
            <w:top w:w="0" w:type="dxa"/>
            <w:bottom w:w="0" w:type="dxa"/>
          </w:tblCellMar>
        </w:tblPrEx>
        <w:trPr>
          <w:tblHeader/>
        </w:trPr>
        <w:tc>
          <w:tcPr>
            <w:tcW w:w="1249" w:type="pct"/>
            <w:tcBorders>
              <w:top w:val="single" w:sz="2" w:space="0" w:color="auto"/>
              <w:bottom w:val="single" w:sz="12" w:space="0" w:color="auto"/>
            </w:tcBorders>
            <w:vAlign w:val="bottom"/>
          </w:tcPr>
          <w:p w:rsidR="00737B35" w:rsidRDefault="00737B35">
            <w:pPr>
              <w:spacing w:before="60" w:after="60" w:line="240" w:lineRule="exact"/>
              <w:ind w:right="40"/>
              <w:jc w:val="center"/>
              <w:rPr>
                <w:rFonts w:eastAsia="KaiTi_GB2312" w:hint="eastAsia"/>
                <w:color w:val="0000FF"/>
                <w:sz w:val="14"/>
              </w:rPr>
            </w:pPr>
          </w:p>
        </w:tc>
        <w:tc>
          <w:tcPr>
            <w:tcW w:w="1250"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合计</w:t>
            </w:r>
          </w:p>
        </w:tc>
        <w:tc>
          <w:tcPr>
            <w:tcW w:w="1250"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男</w:t>
            </w:r>
          </w:p>
        </w:tc>
        <w:tc>
          <w:tcPr>
            <w:tcW w:w="1250" w:type="pct"/>
            <w:tcBorders>
              <w:top w:val="single" w:sz="2" w:space="0" w:color="auto"/>
              <w:bottom w:val="single" w:sz="12" w:space="0" w:color="auto"/>
            </w:tcBorders>
            <w:vAlign w:val="bottom"/>
          </w:tcPr>
          <w:p w:rsidR="00737B35" w:rsidRDefault="00737B35">
            <w:pPr>
              <w:spacing w:before="60" w:after="60" w:line="240" w:lineRule="exact"/>
              <w:ind w:right="40"/>
              <w:jc w:val="right"/>
              <w:rPr>
                <w:rFonts w:eastAsia="KaiTi_GB2312" w:hint="eastAsia"/>
                <w:color w:val="0000FF"/>
                <w:sz w:val="14"/>
              </w:rPr>
            </w:pPr>
            <w:r>
              <w:rPr>
                <w:rFonts w:eastAsia="KaiTi_GB2312" w:hint="eastAsia"/>
                <w:color w:val="0000FF"/>
                <w:sz w:val="14"/>
              </w:rPr>
              <w:t>女</w:t>
            </w:r>
          </w:p>
        </w:tc>
      </w:tr>
      <w:tr w:rsidR="00737B35">
        <w:tblPrEx>
          <w:tblCellMar>
            <w:top w:w="0" w:type="dxa"/>
            <w:bottom w:w="0" w:type="dxa"/>
          </w:tblCellMar>
        </w:tblPrEx>
        <w:trPr>
          <w:trHeight w:hRule="exact" w:val="110"/>
          <w:tblHeader/>
        </w:trPr>
        <w:tc>
          <w:tcPr>
            <w:tcW w:w="1249" w:type="pct"/>
            <w:tcBorders>
              <w:top w:val="single" w:sz="12" w:space="0" w:color="auto"/>
            </w:tcBorders>
            <w:vAlign w:val="bottom"/>
          </w:tcPr>
          <w:p w:rsidR="00737B35" w:rsidRDefault="00737B35">
            <w:pPr>
              <w:spacing w:after="60" w:line="280" w:lineRule="exact"/>
              <w:ind w:right="40"/>
              <w:jc w:val="center"/>
              <w:rPr>
                <w:rFonts w:hint="eastAsia"/>
                <w:sz w:val="17"/>
              </w:rPr>
            </w:pPr>
          </w:p>
        </w:tc>
        <w:tc>
          <w:tcPr>
            <w:tcW w:w="1250" w:type="pct"/>
            <w:tcBorders>
              <w:top w:val="single" w:sz="12" w:space="0" w:color="auto"/>
            </w:tcBorders>
            <w:vAlign w:val="bottom"/>
          </w:tcPr>
          <w:p w:rsidR="00737B35" w:rsidRDefault="00737B35" w:rsidP="00335557">
            <w:pPr>
              <w:spacing w:after="60" w:line="280" w:lineRule="exact"/>
              <w:ind w:rightChars="441" w:right="31680"/>
              <w:jc w:val="right"/>
              <w:rPr>
                <w:rFonts w:hint="eastAsia"/>
                <w:sz w:val="17"/>
              </w:rPr>
            </w:pPr>
          </w:p>
        </w:tc>
        <w:tc>
          <w:tcPr>
            <w:tcW w:w="1250" w:type="pct"/>
            <w:tcBorders>
              <w:top w:val="single" w:sz="12" w:space="0" w:color="auto"/>
            </w:tcBorders>
            <w:vAlign w:val="bottom"/>
          </w:tcPr>
          <w:p w:rsidR="00737B35" w:rsidRDefault="00737B35" w:rsidP="00335557">
            <w:pPr>
              <w:spacing w:after="60" w:line="280" w:lineRule="exact"/>
              <w:ind w:rightChars="441" w:right="31680"/>
              <w:jc w:val="right"/>
              <w:rPr>
                <w:rFonts w:hint="eastAsia"/>
                <w:sz w:val="17"/>
              </w:rPr>
            </w:pPr>
          </w:p>
        </w:tc>
        <w:tc>
          <w:tcPr>
            <w:tcW w:w="1250" w:type="pct"/>
            <w:tcBorders>
              <w:top w:val="single" w:sz="12" w:space="0" w:color="auto"/>
            </w:tcBorders>
            <w:vAlign w:val="bottom"/>
          </w:tcPr>
          <w:p w:rsidR="00737B35" w:rsidRDefault="00737B35" w:rsidP="00335557">
            <w:pPr>
              <w:spacing w:after="60" w:line="280" w:lineRule="exact"/>
              <w:ind w:rightChars="441" w:right="31680"/>
              <w:jc w:val="right"/>
              <w:rPr>
                <w:rFonts w:hint="eastAsia"/>
                <w:sz w:val="17"/>
              </w:rPr>
            </w:pPr>
          </w:p>
        </w:tc>
      </w:tr>
      <w:tr w:rsidR="00737B35">
        <w:tblPrEx>
          <w:tblCellMar>
            <w:top w:w="0" w:type="dxa"/>
            <w:bottom w:w="0" w:type="dxa"/>
          </w:tblCellMar>
        </w:tblPrEx>
        <w:tc>
          <w:tcPr>
            <w:tcW w:w="1249" w:type="pct"/>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人民最高法院</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19</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17</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2</w:t>
            </w:r>
          </w:p>
        </w:tc>
      </w:tr>
      <w:tr w:rsidR="00737B35">
        <w:tblPrEx>
          <w:tblCellMar>
            <w:top w:w="0" w:type="dxa"/>
            <w:bottom w:w="0" w:type="dxa"/>
          </w:tblCellMar>
        </w:tblPrEx>
        <w:tc>
          <w:tcPr>
            <w:tcW w:w="1249" w:type="pct"/>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省法院</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86</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78</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8</w:t>
            </w:r>
          </w:p>
        </w:tc>
      </w:tr>
      <w:tr w:rsidR="00737B35">
        <w:tblPrEx>
          <w:tblCellMar>
            <w:top w:w="0" w:type="dxa"/>
            <w:bottom w:w="0" w:type="dxa"/>
          </w:tblCellMar>
        </w:tblPrEx>
        <w:tc>
          <w:tcPr>
            <w:tcW w:w="1249" w:type="pct"/>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县法院</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168</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157</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11</w:t>
            </w:r>
          </w:p>
        </w:tc>
      </w:tr>
      <w:tr w:rsidR="00737B35">
        <w:tblPrEx>
          <w:tblCellMar>
            <w:top w:w="0" w:type="dxa"/>
            <w:bottom w:w="0" w:type="dxa"/>
          </w:tblCellMar>
        </w:tblPrEx>
        <w:tc>
          <w:tcPr>
            <w:tcW w:w="1249" w:type="pct"/>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中央一级检察官</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28</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25</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3</w:t>
            </w:r>
          </w:p>
        </w:tc>
      </w:tr>
      <w:tr w:rsidR="00737B35">
        <w:tblPrEx>
          <w:tblCellMar>
            <w:top w:w="0" w:type="dxa"/>
            <w:bottom w:w="0" w:type="dxa"/>
          </w:tblCellMar>
        </w:tblPrEx>
        <w:tc>
          <w:tcPr>
            <w:tcW w:w="1249" w:type="pct"/>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地方检察官</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106</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93</w:t>
            </w:r>
          </w:p>
        </w:tc>
        <w:tc>
          <w:tcPr>
            <w:tcW w:w="1250" w:type="pct"/>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13</w:t>
            </w:r>
          </w:p>
        </w:tc>
      </w:tr>
      <w:tr w:rsidR="00737B35">
        <w:tblPrEx>
          <w:tblCellMar>
            <w:top w:w="0" w:type="dxa"/>
            <w:bottom w:w="0" w:type="dxa"/>
          </w:tblCellMar>
        </w:tblPrEx>
        <w:tc>
          <w:tcPr>
            <w:tcW w:w="1249"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ind w:right="40"/>
              <w:jc w:val="both"/>
              <w:rPr>
                <w:rFonts w:hint="eastAsia"/>
                <w:sz w:val="17"/>
              </w:rPr>
            </w:pPr>
            <w:r>
              <w:rPr>
                <w:rFonts w:hint="eastAsia"/>
                <w:sz w:val="17"/>
              </w:rPr>
              <w:t>律师协会成员</w:t>
            </w:r>
          </w:p>
        </w:tc>
        <w:tc>
          <w:tcPr>
            <w:tcW w:w="1250"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27</w:t>
            </w:r>
          </w:p>
        </w:tc>
        <w:tc>
          <w:tcPr>
            <w:tcW w:w="1250"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26</w:t>
            </w:r>
          </w:p>
        </w:tc>
        <w:tc>
          <w:tcPr>
            <w:tcW w:w="1250" w:type="pct"/>
            <w:tcBorders>
              <w:bottom w:val="single" w:sz="12" w:space="0" w:color="auto"/>
            </w:tcBorders>
            <w:vAlign w:val="bottom"/>
          </w:tcPr>
          <w:p w:rsidR="00737B35" w:rsidRDefault="00737B35">
            <w:pPr>
              <w:tabs>
                <w:tab w:val="left" w:pos="357"/>
                <w:tab w:val="left" w:pos="714"/>
                <w:tab w:val="left" w:pos="1071"/>
                <w:tab w:val="left" w:pos="1429"/>
              </w:tabs>
              <w:spacing w:after="60" w:line="280" w:lineRule="exact"/>
              <w:jc w:val="right"/>
              <w:rPr>
                <w:rFonts w:hint="eastAsia"/>
                <w:sz w:val="17"/>
              </w:rPr>
            </w:pPr>
            <w:r>
              <w:rPr>
                <w:rFonts w:hint="eastAsia"/>
                <w:sz w:val="17"/>
              </w:rPr>
              <w:t>1</w:t>
            </w:r>
          </w:p>
        </w:tc>
      </w:tr>
    </w:tbl>
    <w:p w:rsidR="00737B35" w:rsidRDefault="00737B35">
      <w:pPr>
        <w:pStyle w:val="SingleTxt"/>
        <w:spacing w:after="0" w:line="240" w:lineRule="auto"/>
        <w:rPr>
          <w:rFonts w:hint="eastAsia"/>
        </w:rPr>
      </w:pPr>
    </w:p>
    <w:p w:rsidR="00737B35" w:rsidRDefault="00737B35">
      <w:pPr>
        <w:pStyle w:val="SingleTxt"/>
        <w:rPr>
          <w:rFonts w:hint="eastAsia"/>
        </w:rPr>
      </w:pPr>
      <w:r>
        <w:rPr>
          <w:rFonts w:hint="eastAsia"/>
        </w:rPr>
        <w:tab/>
        <w:t>司法部正开始执行一个方案以提高我国司法系统的能力，而且方案的一个组成部分是将性别培训列为法律学生的课程之一。还将向在最高法院工作的罪行调查员和法官提供性别培训。方案的一大部分包括在基层一级开展提高认识的活动，特别针对妇女和少数民族，使他们了解老挝法律保证给予他们的权利。</w:t>
      </w:r>
    </w:p>
    <w:p w:rsidR="00737B35" w:rsidRDefault="00737B35">
      <w:pPr>
        <w:pStyle w:val="SingleTxt"/>
        <w:rPr>
          <w:rFonts w:ascii="SimHei" w:eastAsia="SimHei" w:hint="eastAsia"/>
          <w:color w:val="FF0000"/>
        </w:rPr>
      </w:pPr>
      <w:r>
        <w:rPr>
          <w:rFonts w:ascii="SimHei" w:eastAsia="SimHei" w:hint="eastAsia"/>
          <w:color w:val="FF0000"/>
        </w:rPr>
        <w:t>在公民事务上男女平等的权利</w:t>
      </w:r>
    </w:p>
    <w:p w:rsidR="00737B35" w:rsidRDefault="00737B35">
      <w:pPr>
        <w:pStyle w:val="SingleTxt"/>
        <w:rPr>
          <w:rFonts w:hint="eastAsia"/>
        </w:rPr>
      </w:pPr>
      <w:r>
        <w:rPr>
          <w:rFonts w:hint="eastAsia"/>
        </w:rPr>
        <w:tab/>
        <w:t>《财产法》（1990年）第7条指出，“行为能力指通过自身行为给自己创造公民权利和义务的能力。任何人如年满18岁以上并控制着他（或她）的意识能力，将被视为拥有能力。未年满18岁但依法结婚的人将被视为具有行为能力。”该法第46条指出，贷款是一种合同形式，而且在订立合同时适用的相同条件在订立贷款合同时也适用。这样，男女双方具有平等的权利订立合同和取得贷款并管理这些合同。</w:t>
      </w:r>
    </w:p>
    <w:p w:rsidR="00737B35" w:rsidRDefault="00737B35">
      <w:pPr>
        <w:pStyle w:val="SingleTxt"/>
        <w:rPr>
          <w:rFonts w:hint="eastAsia"/>
        </w:rPr>
      </w:pPr>
      <w:r>
        <w:rPr>
          <w:rFonts w:hint="eastAsia"/>
        </w:rPr>
        <w:tab/>
        <w:t>《关于商业银行和金融机构信贷政策的第5号条例》（1996年）界定了商业银行和其他金融机构能够发放贷款的条件，并确立了妇女取得银行和其他金融机构发放的贷款的与男子平等的权利。但在实践中，金融银行要求户主签字，而户主总是男子，然后才发放贷款（老挝妇联，1998年）。</w:t>
      </w:r>
    </w:p>
    <w:p w:rsidR="00737B35" w:rsidRDefault="00737B35">
      <w:pPr>
        <w:pStyle w:val="SingleTxt"/>
        <w:rPr>
          <w:rFonts w:hint="eastAsia"/>
        </w:rPr>
      </w:pPr>
      <w:r>
        <w:rPr>
          <w:rFonts w:hint="eastAsia"/>
        </w:rPr>
        <w:tab/>
        <w:t>基本公民权利如占有权和继承权等得到《1991年宪法》第15条承认并体现在《1990年财产法》第20条和特别是第26条中，它指出“婚姻财产指结婚夫妻在婚姻生活期间获得的资产，但价值低的个人物品除外。丈夫和妻子对婚姻财产拥有平等的权利而不管谁实际获取了资产。婚前属于丈夫或妻子或通过继承收受或在婚姻生活期间具体赠予丈夫或妻子的资产，将不被视为婚姻财产。”《家庭法》（1990年）第27条指出“丈夫和妻子对于获得的资产拥有平等的权利而不管资产由丈夫还是妻子获得。丈夫和妻子有权按照家庭需求使用获得的资产。获得的财产的用益权和决定权，必须事先取得双方同意。”</w:t>
      </w:r>
    </w:p>
    <w:p w:rsidR="00737B35" w:rsidRDefault="00737B35">
      <w:pPr>
        <w:pStyle w:val="SingleTxt"/>
        <w:rPr>
          <w:rFonts w:hint="eastAsia"/>
        </w:rPr>
      </w:pPr>
      <w:r>
        <w:rPr>
          <w:rFonts w:hint="eastAsia"/>
        </w:rPr>
        <w:tab/>
        <w:t>《继承法》（1990年）第6条对于男女孩子的继承权不作任何区分，但具体规定“横向血统的亲戚：兄弟姐妹，或父系叔婶、母系舅姨，或侄甥子和侄甥女”享有继承权，如果遗产所有人没有子女或配偶。该法第49条给予男女双方以执行遗嘱的平等权利。</w:t>
      </w:r>
    </w:p>
    <w:p w:rsidR="00737B35" w:rsidRDefault="00737B35">
      <w:pPr>
        <w:pStyle w:val="SingleTxt"/>
        <w:rPr>
          <w:rFonts w:ascii="SimHei" w:eastAsia="SimHei" w:hint="eastAsia"/>
          <w:color w:val="FF0000"/>
        </w:rPr>
      </w:pPr>
      <w:r>
        <w:rPr>
          <w:rFonts w:ascii="SimHei" w:eastAsia="SimHei" w:hint="eastAsia"/>
          <w:color w:val="FF0000"/>
        </w:rPr>
        <w:t>男女择居的平等权利</w:t>
      </w:r>
    </w:p>
    <w:p w:rsidR="00737B35" w:rsidRDefault="00737B35">
      <w:pPr>
        <w:pStyle w:val="SingleTxt"/>
        <w:rPr>
          <w:rFonts w:hint="eastAsia"/>
        </w:rPr>
      </w:pPr>
      <w:r>
        <w:rPr>
          <w:rFonts w:hint="eastAsia"/>
        </w:rPr>
        <w:tab/>
        <w:t>宪法（1991年）第27条指出“老挝公民享有法律规定的流动和居住的自由”。《家庭法》第14条进一步指出：“家庭居住地的选择由已婚夫妇共同决定”。</w:t>
      </w:r>
    </w:p>
    <w:p w:rsidR="00737B35" w:rsidRDefault="00737B35">
      <w:pPr>
        <w:pStyle w:val="SingleTxt"/>
        <w:rPr>
          <w:rFonts w:hint="eastAsia"/>
        </w:rPr>
      </w:pPr>
      <w:r>
        <w:rPr>
          <w:rFonts w:hint="eastAsia"/>
        </w:rPr>
        <w:tab/>
        <w:t>在现实生活中，老挝共和国不同的民族群体有着不同的家庭结构，它反过来又决定家庭的居住地。在主要的老挝群体（老挝寮人）中，主要为母系生活模式，通常由最年幼的女儿继承土地，而且夫妻传统上留在妻子父母的住户内。儿子离家出走结婚并与姻亲生活在一起。在老挝Theung人群体中，极其常见的是双系和在某种程度上父系的家庭结构，年轻夫妻可以留住在新娘的村里或搬到新郎的村子。在赫蒙人群体中，可以见到典型的父系结构。男孩子继续土地，妇女到丈夫家生活。在主要的老挝人和老挝Theung人群体中，妇女更处于从属地位，因为妇女得不到其自己亲属的支助。</w:t>
      </w:r>
    </w:p>
    <w:p w:rsidR="00737B35" w:rsidRDefault="00737B3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第16条  婚姻平等与家庭法</w:t>
      </w:r>
    </w:p>
    <w:p w:rsidR="00737B35" w:rsidRDefault="00737B35">
      <w:pPr>
        <w:pStyle w:val="SingleTxt"/>
        <w:spacing w:after="0" w:line="120" w:lineRule="exact"/>
        <w:rPr>
          <w:rFonts w:hint="eastAsia"/>
          <w:sz w:val="10"/>
        </w:rPr>
      </w:pP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ascii="KaiTi_GB2312" w:eastAsia="KaiTi_GB2312" w:hint="eastAsia"/>
          <w:color w:val="0000FF"/>
        </w:rPr>
      </w:pPr>
      <w:r>
        <w:rPr>
          <w:rFonts w:ascii="KaiTi_GB2312" w:eastAsia="KaiTi_GB2312" w:hint="eastAsia"/>
          <w:color w:val="0000FF"/>
        </w:rPr>
        <w:tab/>
        <w:t>1.</w:t>
      </w:r>
      <w:r>
        <w:rPr>
          <w:rFonts w:ascii="KaiTi_GB2312" w:eastAsia="KaiTi_GB2312" w:hint="eastAsia"/>
          <w:color w:val="0000FF"/>
        </w:rPr>
        <w:tab/>
        <w:t>缔约各国应采取一切适当措施，消除在有关婚姻和家庭关系的一切事项上对妇女的歧视，并特别应保证她们在男女平等的基础上：</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ascii="KaiTi_GB2312" w:eastAsia="KaiTi_GB2312" w:hint="eastAsia"/>
          <w:color w:val="0000FF"/>
        </w:rPr>
      </w:pPr>
      <w:r>
        <w:rPr>
          <w:rFonts w:ascii="KaiTi_GB2312" w:eastAsia="KaiTi_GB2312" w:hint="eastAsia"/>
          <w:color w:val="0000FF"/>
        </w:rPr>
        <w:tab/>
        <w:t>(a)</w:t>
      </w:r>
      <w:r>
        <w:rPr>
          <w:rFonts w:ascii="KaiTi_GB2312" w:eastAsia="KaiTi_GB2312" w:hint="eastAsia"/>
          <w:color w:val="0000FF"/>
        </w:rPr>
        <w:tab/>
        <w:t>有相同的缔婚权利；</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ascii="KaiTi_GB2312" w:eastAsia="KaiTi_GB2312" w:hint="eastAsia"/>
          <w:color w:val="0000FF"/>
        </w:rPr>
      </w:pPr>
      <w:r>
        <w:rPr>
          <w:rFonts w:ascii="KaiTi_GB2312" w:eastAsia="KaiTi_GB2312" w:hint="eastAsia"/>
          <w:color w:val="0000FF"/>
        </w:rPr>
        <w:tab/>
        <w:t>(b)</w:t>
      </w:r>
      <w:r>
        <w:rPr>
          <w:rFonts w:ascii="KaiTi_GB2312" w:eastAsia="KaiTi_GB2312" w:hint="eastAsia"/>
          <w:color w:val="0000FF"/>
        </w:rPr>
        <w:tab/>
        <w:t>有相同的自由选择配偶和非经本人自由表示，完全同意不缔婚约的权利；</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ascii="KaiTi_GB2312" w:eastAsia="KaiTi_GB2312" w:hint="eastAsia"/>
          <w:color w:val="0000FF"/>
        </w:rPr>
      </w:pPr>
      <w:r>
        <w:rPr>
          <w:rFonts w:ascii="KaiTi_GB2312" w:eastAsia="KaiTi_GB2312" w:hint="eastAsia"/>
          <w:color w:val="0000FF"/>
        </w:rPr>
        <w:tab/>
        <w:t>(c)</w:t>
      </w:r>
      <w:r>
        <w:rPr>
          <w:rFonts w:ascii="KaiTi_GB2312" w:eastAsia="KaiTi_GB2312" w:hint="eastAsia"/>
          <w:color w:val="0000FF"/>
        </w:rPr>
        <w:tab/>
        <w:t>不论婚姻状况如何，在有关子女的事务上，作为父母亲有相同的权利和义务。但在任何情形下，均应以子女的利益为重；</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ascii="KaiTi_GB2312" w:eastAsia="KaiTi_GB2312" w:hint="eastAsia"/>
          <w:color w:val="0000FF"/>
        </w:rPr>
      </w:pPr>
      <w:r>
        <w:rPr>
          <w:rFonts w:ascii="KaiTi_GB2312" w:eastAsia="KaiTi_GB2312" w:hint="eastAsia"/>
          <w:color w:val="0000FF"/>
        </w:rPr>
        <w:tab/>
        <w:t>(d)</w:t>
      </w:r>
      <w:r>
        <w:rPr>
          <w:rFonts w:ascii="KaiTi_GB2312" w:eastAsia="KaiTi_GB2312" w:hint="eastAsia"/>
          <w:color w:val="0000FF"/>
        </w:rPr>
        <w:tab/>
        <w:t>有相同的权利自由负责地决定子女人数和生育间隔，并有机会获得使她们能够行使这种权利的知识、教育和方法；</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ascii="KaiTi_GB2312" w:eastAsia="KaiTi_GB2312" w:hint="eastAsia"/>
          <w:color w:val="0000FF"/>
        </w:rPr>
      </w:pPr>
      <w:r>
        <w:rPr>
          <w:rFonts w:ascii="KaiTi_GB2312" w:eastAsia="KaiTi_GB2312" w:hint="eastAsia"/>
          <w:color w:val="0000FF"/>
        </w:rPr>
        <w:tab/>
        <w:t>(e)</w:t>
      </w:r>
      <w:r>
        <w:rPr>
          <w:rFonts w:ascii="KaiTi_GB2312" w:eastAsia="KaiTi_GB2312" w:hint="eastAsia"/>
          <w:color w:val="0000FF"/>
        </w:rPr>
        <w:tab/>
        <w:t>在监护、看管、受托和收养子女或类似的制度方面，如果国家法规有这些观念的话，有相同的权利和义务。但在任何情况下，均应以子女的利益为重；</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ascii="KaiTi_GB2312" w:eastAsia="KaiTi_GB2312" w:hint="eastAsia"/>
          <w:color w:val="0000FF"/>
        </w:rPr>
      </w:pPr>
      <w:r>
        <w:rPr>
          <w:rFonts w:ascii="KaiTi_GB2312" w:eastAsia="KaiTi_GB2312" w:hint="eastAsia"/>
          <w:color w:val="0000FF"/>
        </w:rPr>
        <w:tab/>
        <w:t>(f)</w:t>
      </w:r>
      <w:r>
        <w:rPr>
          <w:rFonts w:ascii="KaiTi_GB2312" w:eastAsia="KaiTi_GB2312" w:hint="eastAsia"/>
          <w:color w:val="0000FF"/>
        </w:rPr>
        <w:tab/>
        <w:t>夫妻有相同的个人权利，包括选择姓氏、专业和职业的权利；</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ascii="KaiTi_GB2312" w:eastAsia="KaiTi_GB2312" w:hint="eastAsia"/>
          <w:color w:val="0000FF"/>
        </w:rPr>
      </w:pPr>
      <w:r>
        <w:rPr>
          <w:rFonts w:ascii="KaiTi_GB2312" w:eastAsia="KaiTi_GB2312" w:hint="eastAsia"/>
          <w:color w:val="0000FF"/>
        </w:rPr>
        <w:tab/>
        <w:t>(g)</w:t>
      </w:r>
      <w:r>
        <w:rPr>
          <w:rFonts w:ascii="KaiTi_GB2312" w:eastAsia="KaiTi_GB2312" w:hint="eastAsia"/>
          <w:color w:val="0000FF"/>
        </w:rPr>
        <w:tab/>
        <w:t>配偶双方在财产的所有、取得、经营、管理、享有、处置方面，不论是无偿的或是收取价值酬报的，都具有相同的权利。</w:t>
      </w:r>
    </w:p>
    <w:p w:rsidR="00737B35" w:rsidRDefault="00737B35">
      <w:pPr>
        <w:pStyle w:val="SingleTxt"/>
        <w:tabs>
          <w:tab w:val="clear" w:pos="1264"/>
          <w:tab w:val="clear" w:pos="1695"/>
          <w:tab w:val="clear" w:pos="2988"/>
          <w:tab w:val="clear" w:pos="3419"/>
          <w:tab w:val="clear" w:pos="3850"/>
          <w:tab w:val="clear" w:pos="4281"/>
          <w:tab w:val="clear" w:pos="4712"/>
          <w:tab w:val="clear" w:pos="5143"/>
          <w:tab w:val="clear" w:pos="5574"/>
          <w:tab w:val="clear" w:pos="6005"/>
          <w:tab w:val="clear" w:pos="6435"/>
          <w:tab w:val="right" w:pos="1982"/>
          <w:tab w:val="left" w:pos="2126"/>
          <w:tab w:val="left" w:pos="2557"/>
        </w:tabs>
        <w:ind w:left="2126" w:hanging="862"/>
        <w:rPr>
          <w:rFonts w:ascii="KaiTi_GB2312" w:eastAsia="KaiTi_GB2312" w:hint="eastAsia"/>
          <w:color w:val="0000FF"/>
        </w:rPr>
      </w:pPr>
      <w:r>
        <w:rPr>
          <w:rFonts w:ascii="KaiTi_GB2312" w:eastAsia="KaiTi_GB2312" w:hint="eastAsia"/>
          <w:color w:val="0000FF"/>
        </w:rPr>
        <w:tab/>
        <w:t>2.</w:t>
      </w:r>
      <w:r>
        <w:rPr>
          <w:rFonts w:ascii="KaiTi_GB2312" w:eastAsia="KaiTi_GB2312" w:hint="eastAsia"/>
          <w:color w:val="0000FF"/>
        </w:rPr>
        <w:tab/>
        <w:t>童年订婚和童婚应不具有法律效力，并应采取一切必要行动，包括制订法律，规定结婚最低年龄，并规定婚姻必须向正式登记机构登记。</w:t>
      </w:r>
    </w:p>
    <w:p w:rsidR="00737B35" w:rsidRDefault="00737B35">
      <w:pPr>
        <w:pStyle w:val="SingleTxt"/>
        <w:rPr>
          <w:rFonts w:hint="eastAsia"/>
        </w:rPr>
      </w:pPr>
      <w:r>
        <w:rPr>
          <w:rFonts w:hint="eastAsia"/>
        </w:rPr>
        <w:tab/>
        <w:t>《家庭法》（1990年）第3条论述结婚自由并指出“年满结婚年龄的男女有权在意愿、自由和相爱的基础上结婚。禁止强迫或阻止他人结婚”。第9条规定了结婚的条件：“男女双方有权从18岁起结婚。在特殊和必要情况下，可将这项限制降低到不小于15岁。结婚必须基于双方同意和意愿不受任何一方或个人胁迫。”第2条还指出“在有关家庭关系的所有方面，男女有平等的权利。家庭关系的产生不依赖于出生、经济及社会地位、国籍、民族、文化程度、职业、宗教和居住地等”。第4条论述一夫一妻制，指出“婚姻受制于一夫一妻制。”</w:t>
      </w:r>
    </w:p>
    <w:p w:rsidR="00737B35" w:rsidRDefault="00737B35">
      <w:pPr>
        <w:pStyle w:val="SingleTxt"/>
        <w:rPr>
          <w:rFonts w:hint="eastAsia"/>
        </w:rPr>
      </w:pPr>
      <w:r>
        <w:rPr>
          <w:rFonts w:hint="eastAsia"/>
        </w:rPr>
        <w:tab/>
        <w:t>《家庭法》（1990年）第1条指出，本法的目标之一是“建立基于男女双方意愿和平等的婚姻家庭关系”。该目标得到第13和14条进一步强调，前条指出“丈夫和妻子在家庭内部的所有方面享有平等的权利。丈夫和妻子共同决定家庭内部事务。夫妻双方负有责任热爱、尊重、关怀和协助对方，共同照顾和教育子女，并将家庭建成团结一致的幸福和进步的家庭”；而后条指出“丈夫和妻子有权领导开展政治、经济、文化和社会活动”。</w:t>
      </w:r>
    </w:p>
    <w:p w:rsidR="00737B35" w:rsidRDefault="00737B35">
      <w:pPr>
        <w:pStyle w:val="SingleTxt"/>
        <w:spacing w:line="340" w:lineRule="exact"/>
        <w:rPr>
          <w:rFonts w:hint="eastAsia"/>
        </w:rPr>
      </w:pPr>
      <w:r>
        <w:rPr>
          <w:rFonts w:hint="eastAsia"/>
        </w:rPr>
        <w:tab/>
        <w:t>《家庭法》第20条说明了离婚的原因并给予男女要求离婚的相同权利。第22条进而指出“在妻子怀孕期间或新生儿未年满1岁时丈夫无权要求离婚。”第23条论述了子女的监护问题，指出“如果丈夫和妻子不能商定离婚后子女的监护问题，将由法院考虑到子女利益的情况下裁定将由父亲还是母亲照顾他们。离婚夫妻必须照顾和教育其子女。法院将根据丈夫与妻子的协议或在夫妻双方达不成协议情况下根据法院的裁决而裁定提供到成年为止的子女扶养费。”第24条赋予夫妻双方在离婚情况下要求扶养费的平等权利。</w:t>
      </w:r>
    </w:p>
    <w:p w:rsidR="00737B35" w:rsidRDefault="00737B35">
      <w:pPr>
        <w:pStyle w:val="SingleTxt"/>
        <w:spacing w:line="340" w:lineRule="exact"/>
        <w:rPr>
          <w:rFonts w:hint="eastAsia"/>
        </w:rPr>
      </w:pPr>
      <w:r>
        <w:rPr>
          <w:rFonts w:hint="eastAsia"/>
        </w:rPr>
        <w:tab/>
        <w:t>《家庭法》第28条论述离婚情况下财产的分割问题，指出“婚前资产将仍是其所有人的财产。婚后获得的资产应由结婚夫妻均分，但丈夫或妻子对婚姻关系的破裂或对获得的资产负责的除外。不法行为者将只得到婚后获得资产的三分之一，而且如果未成年子女留在父母一方，该方可按法院裁决得到更大的份额。”</w:t>
      </w:r>
    </w:p>
    <w:p w:rsidR="00737B35" w:rsidRDefault="00737B35">
      <w:pPr>
        <w:pStyle w:val="SingleTxt"/>
        <w:spacing w:line="340" w:lineRule="exact"/>
        <w:rPr>
          <w:rFonts w:hint="eastAsia"/>
        </w:rPr>
      </w:pPr>
      <w:r>
        <w:rPr>
          <w:rFonts w:hint="eastAsia"/>
        </w:rPr>
        <w:tab/>
        <w:t>《家庭法》第三部分论述父母和子女的权利和义务问题。第29条指出“按法律规定，父母和子女的义务在子女出生的基础上产生。子女可能出生于依法结婚的父母或出生于未婚夫妇但其父亲自愿承认他的父亲身份或其父亲身份为法院裁决所承认。”第30条论述子女的亲子鉴定问题并指出，如果子女出生于未婚父母，子女在成年后可要求进行亲子鉴定，父母可共同要求进行亲子鉴定，而且在父亲拒绝亲子鉴定时，子女的母亲、看管人或监护人也有权要求法院考虑亲子鉴定。第8条指出，在亲子鉴定情况下，父亲负有义务提供食品和照顾子女直至成年。</w:t>
      </w:r>
    </w:p>
    <w:p w:rsidR="00737B35" w:rsidRDefault="00737B35">
      <w:pPr>
        <w:pStyle w:val="SingleTxt"/>
        <w:rPr>
          <w:rFonts w:hint="eastAsia"/>
        </w:rPr>
      </w:pPr>
      <w:r>
        <w:rPr>
          <w:rFonts w:hint="eastAsia"/>
        </w:rPr>
        <w:tab/>
        <w:t>《家庭法》第33条论述父母保护子女权益的义务问题并指出“父母拥有平等的权利和义务保护其子女的权益……”而且第35条进一步强调父母对其子女的平等义务，指出“父母负有义务照顾其未成年或已成年但无自立能力的子女。不管父母的婚姻是否存续还是离婚，照顾子女的义务必须继续……”</w:t>
      </w:r>
    </w:p>
    <w:p w:rsidR="00737B35" w:rsidRDefault="00737B35">
      <w:pPr>
        <w:pStyle w:val="SingleTxt"/>
        <w:rPr>
          <w:rFonts w:hint="eastAsia"/>
        </w:rPr>
      </w:pPr>
      <w:r>
        <w:rPr>
          <w:rFonts w:hint="eastAsia"/>
        </w:rPr>
        <w:tab/>
        <w:t>《家庭法》中没有任何条款具体论述夫妇对计划生育的平等权利的问题。不过，1999年5月，国家计划委员会拟订了国家人口与发展政策的最后稿并提交郊长内阁批准。这项政策直接响应老挝人民革命党第六次代表大会（1996年）的决议，它要求制定一项使人口增长与国家经济发展水平相适应的政策。政策也符合老挝共和国签署的1994年开罗国际人口与发展会议通过的《行动方案》的目标。政策引用《老挝共和国宪法》（1991年）第24和27条，它们认可政治、经济、文化、社会和家庭事务方面的男女平等，并指出妇女在法定权利、经济及社会机会方面应得到平等待遇。这项政策草案使老挝共和国全体人民能够根据夫妻双方的经济和社会条件决定子女数目和生育间隔，并因而有助于提高生活质量和确保人口总增长率与社会经济发展水平相适应。</w:t>
      </w:r>
    </w:p>
    <w:p w:rsidR="00737B35" w:rsidRDefault="00737B35">
      <w:pPr>
        <w:pStyle w:val="SingleTxt"/>
        <w:rPr>
          <w:rFonts w:hint="eastAsia"/>
        </w:rPr>
      </w:pPr>
      <w:r>
        <w:rPr>
          <w:rFonts w:hint="eastAsia"/>
        </w:rPr>
        <w:tab/>
        <w:t>《家庭法》第38条规定了收养的条件，指出收养子女的父母必须是成年个人，其父母权利未被撤销。至于子女的看管，《家庭法》第44条赋予男女双方被指定为孩子监护人的平等权利。</w:t>
      </w:r>
    </w:p>
    <w:p w:rsidR="00737B35" w:rsidRDefault="00737B35">
      <w:pPr>
        <w:pStyle w:val="SingleTxt"/>
        <w:rPr>
          <w:rFonts w:hint="eastAsia"/>
        </w:rPr>
      </w:pPr>
      <w:r>
        <w:rPr>
          <w:rFonts w:hint="eastAsia"/>
        </w:rPr>
        <w:tab/>
        <w:t>《家庭法》第14条论述已婚夫妇的活动权利，指出“丈夫和妻子有权领导开展政治、经济、文化和社会活动。”《家庭法》第15条指出“丈夫和妻子有权选择丈夫或妻子的姓氏或保留各自婚前的姓氏。”第31条进而指出“父母有权按照他们的爱好或经双方同意选择子女的名字……如果父母的姓相同，子女的姓将同于父母的姓……如果父母的姓不同，子女可经父母同意后使用父亲或母亲的姓。如果达不成一致意见，子女将使用法院裁决的姓。”</w:t>
      </w:r>
    </w:p>
    <w:p w:rsidR="00737B35" w:rsidRDefault="00737B35">
      <w:pPr>
        <w:pStyle w:val="SingleTxt"/>
        <w:rPr>
          <w:rFonts w:hint="eastAsia"/>
        </w:rPr>
      </w:pPr>
      <w:r>
        <w:rPr>
          <w:rFonts w:hint="eastAsia"/>
        </w:rPr>
        <w:tab/>
        <w:t>夫妻双方关于财产的相同权利由《1991年宪法》第15条赋予，并体现在《1990年财产法》第20条和特别是第26条中，它指出“婚姻财产指结婚夫妻在其婚姻生活期间获得的资产，但价值低的个人物品除外。丈夫和妻子对婚姻财产拥有平等的权利而不管谁实际获取了资产。婚前属于丈夫或妻子或通过继承收受或在婚姻生活期间具体赠予丈夫或妻子的资产，将不被视为婚姻财产。”《家庭法》（1990年）第27条指出“丈夫和妻子对于获得的资产拥有平等的权利而不管资产由丈夫还是妻子获得。丈夫和妻子有权按照家庭需求使用获得的资产。获得的财产的用益权和决定权，必须事先取得双方同意。”</w:t>
      </w:r>
    </w:p>
    <w:p w:rsidR="00737B35" w:rsidRDefault="00737B35">
      <w:pPr>
        <w:pStyle w:val="SingleTxt"/>
        <w:rPr>
          <w:rFonts w:hint="eastAsia"/>
        </w:rPr>
      </w:pPr>
      <w:r>
        <w:rPr>
          <w:rFonts w:hint="eastAsia"/>
        </w:rPr>
        <w:tab/>
        <w:t>《继承法》（1990年）第6条对于女孩或男孩的继承权不作任何区分，但具体规定“横向血统的亲戚：兄弟姐妹，或父系叔婶、母系舅姨，或侄甥子和侄甥女”享有继承权，如果遗产所有人没有子女或配偶。该法第43条给予男女双方以执行遗嘱的平等权利。</w:t>
      </w:r>
    </w:p>
    <w:p w:rsidR="00737B35" w:rsidRDefault="00737B35">
      <w:pPr>
        <w:pStyle w:val="SingleTxt"/>
        <w:rPr>
          <w:rFonts w:hint="eastAsia"/>
        </w:rPr>
      </w:pPr>
      <w:r>
        <w:rPr>
          <w:rFonts w:hint="eastAsia"/>
        </w:rPr>
        <w:tab/>
        <w:t>《家庭法》第9条规定了结婚的最低年龄，指出“男女双方有权从18岁起结婚。在特殊和必要情况下，可将这项限制降低到不小于15岁。结婚必须基于双方同意和意愿而不受任何一方或个人胁迫。”第11条论述了婚姻审议和登记问题，指出“有意结婚的双方必须向登记处提交书面申请……如果认为双方符合所有规定的条件，登记官将请有关的人在3名证人在场的情况下登记结婚行为。”</w:t>
      </w:r>
    </w:p>
    <w:p w:rsidR="00737B35" w:rsidRDefault="00737B35">
      <w:pPr>
        <w:pStyle w:val="SingleTxt"/>
        <w:rPr>
          <w:rFonts w:ascii="SimHei" w:eastAsia="SimHei" w:hint="eastAsia"/>
          <w:color w:val="FF0000"/>
        </w:rPr>
      </w:pPr>
      <w:r>
        <w:rPr>
          <w:rFonts w:ascii="SimHei" w:eastAsia="SimHei" w:hint="eastAsia"/>
          <w:color w:val="FF0000"/>
        </w:rPr>
        <w:t>实践中妇女与男子的婚姻平等</w:t>
      </w:r>
    </w:p>
    <w:p w:rsidR="00737B35" w:rsidRDefault="00737B35">
      <w:pPr>
        <w:pStyle w:val="SingleTxt"/>
        <w:rPr>
          <w:rFonts w:hint="eastAsia"/>
        </w:rPr>
      </w:pPr>
      <w:r>
        <w:rPr>
          <w:rFonts w:hint="eastAsia"/>
        </w:rPr>
        <w:tab/>
        <w:t>老挝共和国不同的民族群体有着不同的家庭结构，而且在婚姻和家庭生活方面有着不同的传统。在主要的老挝族群体中，主要是母系生活方式，通常由最小的女儿继承土地，而且传统上夫妻双方留在妻子的父母家中。经常预期最小的女儿照顾父母的晚年。儿子离家外出结婚并与姻亲生活在一起。在这一群体中，聘礼做法很常见，因为据老挝妇联最近一次调查（1999年），87％的婚姻中，丈夫出了聘礼。主要老挝族群体中，妇女在家庭的经济活动中起着强有力的作用。</w:t>
      </w:r>
    </w:p>
    <w:p w:rsidR="00737B35" w:rsidRDefault="00737B35">
      <w:pPr>
        <w:pStyle w:val="SingleTxt"/>
        <w:rPr>
          <w:rFonts w:hint="eastAsia"/>
        </w:rPr>
      </w:pPr>
      <w:r>
        <w:rPr>
          <w:rFonts w:hint="eastAsia"/>
        </w:rPr>
        <w:tab/>
        <w:t>在老挝Theung人群体中，见到最多的是双系和某种程度上父系的家庭结构。在老挝Theung人群体中，据老挝妇联最近的调查（1999年），77％的婚姻中收受聘礼。在这一群体中，家庭权威几乎完全由丈夫掌握。</w:t>
      </w:r>
    </w:p>
    <w:p w:rsidR="00737B35" w:rsidRDefault="00737B35">
      <w:pPr>
        <w:pStyle w:val="SingleTxt"/>
        <w:rPr>
          <w:rFonts w:hint="eastAsia"/>
        </w:rPr>
      </w:pPr>
      <w:r>
        <w:rPr>
          <w:rFonts w:hint="eastAsia"/>
        </w:rPr>
        <w:tab/>
        <w:t>在赫蒙族群体中，可以见到典型的父系结构。男孩继承土地而妇女出嫁生活在丈夫家中。据老挝妇女联盟的调查（1999年），在赫蒙族群体中，67％的婚姻中收受聘礼。与主要老挝族和老挝Theung族群体相比，妇女更加处于从属的地位，因为妻子得不到自家亲属的支持。</w:t>
      </w:r>
    </w:p>
    <w:p w:rsidR="00737B35" w:rsidRDefault="00737B35">
      <w:pPr>
        <w:pStyle w:val="SingleTxt"/>
        <w:rPr>
          <w:rFonts w:hint="eastAsia"/>
        </w:rPr>
      </w:pPr>
      <w:r>
        <w:rPr>
          <w:rFonts w:hint="eastAsia"/>
        </w:rPr>
        <w:tab/>
        <w:t>据1995年人口普查，老挝人口的很大部分已婚，但是不同的年龄组和男女之间在婚姻状况方面存在着明显的差异。在15至19岁年龄组中，只有6％的男子已婚，而已婚的妇女超过18％。同样，在下两个年龄组即20至24岁和25至29岁中，已婚妇女的比例也高于相应的男子组。人口普查没有披露妇女和男子是否经常在年满18岁以前结婚。不过，儿童基金会在华潘省进行的一项研究（1994年）称，在所有的民族群体中，人们报告的结婚时间都早于前几代。妇女结婚的平均年龄是17.6岁，而男子的平均年龄为18.8岁。据报告，在所有的民族群体中，赫蒙族结婚的年龄往往最小。这项研究将表明，在老挝的农村地区，仍习惯于未满18岁就结婚。</w:t>
      </w:r>
    </w:p>
    <w:p w:rsidR="00737B35" w:rsidRDefault="00737B35">
      <w:pPr>
        <w:pStyle w:val="SingleTxt"/>
        <w:spacing w:after="0" w:line="240" w:lineRule="auto"/>
        <w:rPr>
          <w:sz w:val="20"/>
        </w:rPr>
      </w:pPr>
      <w:r>
        <w:rPr>
          <w:noProof/>
          <w:sz w:val="20"/>
        </w:rPr>
        <w:pict>
          <v:line id="_x0000_s2051" style="position:absolute;left:0;text-align:left;z-index:1;mso-position-horizontal:center" from="0,30pt" to="1in,30pt" strokeweight=".25pt"/>
        </w:pict>
      </w:r>
    </w:p>
    <w:sectPr w:rsidR="00737B35">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737B35" w:rsidRDefault="00737B35">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end"/>
      </w:r>
      <w:r>
        <w:rPr>
          <w:rStyle w:val="CommentReference"/>
          <w:rFonts w:hint="eastAsia"/>
        </w:rPr>
        <w:annotationRef/>
      </w:r>
      <w:r>
        <w:t>&lt;&lt;ODS JOB NO&gt;&gt;N0346952C&lt;&lt;ODS JOB NO&gt;&gt;</w:t>
      </w:r>
    </w:p>
    <w:p w:rsidR="00737B35" w:rsidRDefault="00737B35">
      <w:pPr>
        <w:pStyle w:val="CommentText"/>
      </w:pPr>
      <w:r>
        <w:t>&lt;&lt;ODS DOC SYMBOL1&gt;&gt;CEDAW/C/LAO/1-5&lt;&lt;ODS DOC SYMBOL1&gt;&gt;</w:t>
      </w:r>
    </w:p>
    <w:p w:rsidR="00737B35" w:rsidRDefault="00737B3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35557">
      <w:pPr>
        <w:spacing w:line="240" w:lineRule="auto"/>
      </w:pPr>
      <w:r>
        <w:separator/>
      </w:r>
    </w:p>
  </w:endnote>
  <w:endnote w:type="continuationSeparator" w:id="0">
    <w:p w:rsidR="00000000" w:rsidRDefault="003355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737B35">
      <w:tblPrEx>
        <w:tblCellMar>
          <w:top w:w="0" w:type="dxa"/>
          <w:bottom w:w="0" w:type="dxa"/>
        </w:tblCellMar>
      </w:tblPrEx>
      <w:tc>
        <w:tcPr>
          <w:tcW w:w="5034" w:type="dxa"/>
          <w:vAlign w:val="bottom"/>
        </w:tcPr>
        <w:p w:rsidR="00737B35" w:rsidRDefault="00737B35">
          <w:pPr>
            <w:pStyle w:val="Footer"/>
          </w:pPr>
          <w:r>
            <w:fldChar w:fldCharType="begin"/>
          </w:r>
          <w:r>
            <w:instrText xml:space="preserve"> PAGE  \* MERGEFORMAT </w:instrText>
          </w:r>
          <w:r>
            <w:fldChar w:fldCharType="separate"/>
          </w:r>
          <w:r>
            <w:t>66</w:t>
          </w:r>
          <w:r>
            <w:fldChar w:fldCharType="end"/>
          </w:r>
        </w:p>
      </w:tc>
      <w:tc>
        <w:tcPr>
          <w:tcW w:w="5034" w:type="dxa"/>
          <w:vAlign w:val="bottom"/>
        </w:tcPr>
        <w:p w:rsidR="00737B35" w:rsidRDefault="00737B35">
          <w:pPr>
            <w:pStyle w:val="Footer"/>
            <w:jc w:val="right"/>
          </w:pPr>
        </w:p>
      </w:tc>
    </w:tr>
  </w:tbl>
  <w:p w:rsidR="00737B35" w:rsidRDefault="00737B3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737B35">
      <w:tblPrEx>
        <w:tblCellMar>
          <w:top w:w="0" w:type="dxa"/>
          <w:bottom w:w="0" w:type="dxa"/>
        </w:tblCellMar>
      </w:tblPrEx>
      <w:tc>
        <w:tcPr>
          <w:tcW w:w="5034" w:type="dxa"/>
          <w:vAlign w:val="bottom"/>
        </w:tcPr>
        <w:p w:rsidR="00737B35" w:rsidRDefault="00737B35">
          <w:pPr>
            <w:pStyle w:val="Footer"/>
          </w:pPr>
        </w:p>
      </w:tc>
      <w:tc>
        <w:tcPr>
          <w:tcW w:w="5034" w:type="dxa"/>
          <w:vAlign w:val="bottom"/>
        </w:tcPr>
        <w:p w:rsidR="00737B35" w:rsidRDefault="00737B35">
          <w:pPr>
            <w:pStyle w:val="Footer"/>
            <w:jc w:val="right"/>
          </w:pPr>
          <w:r>
            <w:fldChar w:fldCharType="begin"/>
          </w:r>
          <w:r>
            <w:instrText xml:space="preserve"> PAGE  \* MERGEFORMAT </w:instrText>
          </w:r>
          <w:r>
            <w:fldChar w:fldCharType="separate"/>
          </w:r>
          <w:r>
            <w:t>65</w:t>
          </w:r>
          <w:r>
            <w:fldChar w:fldCharType="end"/>
          </w:r>
        </w:p>
      </w:tc>
    </w:tr>
  </w:tbl>
  <w:p w:rsidR="00737B35" w:rsidRDefault="00737B3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B35" w:rsidRDefault="00737B35">
    <w:pPr>
      <w:pStyle w:val="Footer"/>
      <w:rPr>
        <w:b w:val="0"/>
        <w:sz w:val="21"/>
      </w:rPr>
    </w:pPr>
    <w:r>
      <w:rPr>
        <w:b w:val="0"/>
        <w:sz w:val="21"/>
      </w:rPr>
      <w:t>03-46952 (C)    241103    261103</w:t>
    </w:r>
  </w:p>
  <w:p w:rsidR="00737B35" w:rsidRDefault="00737B35">
    <w:pPr>
      <w:spacing w:before="60" w:line="200" w:lineRule="exact"/>
      <w:rPr>
        <w:rFonts w:ascii="Barcode 3 of 9 by request" w:hAnsi="Barcode 3 of 9 by request"/>
        <w:b/>
      </w:rPr>
    </w:pPr>
    <w:r>
      <w:rPr>
        <w:rFonts w:ascii="Barcode 3 of 9 by request" w:hAnsi="Barcode 3 of 9 by request"/>
        <w:b/>
      </w:rPr>
      <w:t>*0346952*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7B35" w:rsidRDefault="00737B35">
      <w:pPr>
        <w:pStyle w:val="Footer"/>
        <w:spacing w:after="80"/>
        <w:ind w:left="794"/>
        <w:rPr>
          <w:sz w:val="16"/>
        </w:rPr>
      </w:pPr>
      <w:r>
        <w:rPr>
          <w:sz w:val="16"/>
        </w:rPr>
        <w:t>__________________</w:t>
      </w:r>
    </w:p>
  </w:footnote>
  <w:footnote w:type="continuationSeparator" w:id="0">
    <w:p w:rsidR="00737B35" w:rsidRDefault="00737B35">
      <w:pPr>
        <w:pStyle w:val="Footer"/>
        <w:spacing w:after="80"/>
        <w:ind w:left="794"/>
        <w:rPr>
          <w:sz w:val="16"/>
        </w:rPr>
      </w:pPr>
      <w:r>
        <w:rPr>
          <w:sz w:val="16"/>
        </w:rPr>
        <w:t>__________________</w:t>
      </w:r>
    </w:p>
  </w:footnote>
  <w:footnote w:id="1">
    <w:p w:rsidR="00737B35" w:rsidRDefault="00737B3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创收人口界定为15岁及以上取得收入的人口（即不包括学生、家庭主妇、退休人员等）。</w:t>
      </w:r>
    </w:p>
  </w:footnote>
  <w:footnote w:id="2">
    <w:p w:rsidR="00737B35" w:rsidRDefault="00737B3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老挝商业联合会。</w:t>
      </w:r>
    </w:p>
  </w:footnote>
  <w:footnote w:id="3">
    <w:p w:rsidR="00737B35" w:rsidRDefault="00737B3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IMCH国家出生间隔方案，1999年。</w:t>
      </w:r>
    </w:p>
  </w:footnote>
  <w:footnote w:id="4">
    <w:p w:rsidR="00737B35" w:rsidRDefault="00737B3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IMCH国家出生间隔方案，1999年。</w:t>
      </w:r>
    </w:p>
  </w:footnote>
  <w:footnote w:id="5">
    <w:p w:rsidR="00737B35" w:rsidRDefault="00737B3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资料来源：老挝支出和消费调查，1992/1993年。</w:t>
      </w:r>
    </w:p>
  </w:footnote>
  <w:footnote w:id="6">
    <w:p w:rsidR="00737B35" w:rsidRDefault="00737B3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资料来源：司法部。</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B35" w:rsidRDefault="00737B35">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37B35">
                  <w:tblPrEx>
                    <w:tblCellMar>
                      <w:top w:w="0" w:type="dxa"/>
                      <w:bottom w:w="0" w:type="dxa"/>
                    </w:tblCellMar>
                  </w:tblPrEx>
                  <w:trPr>
                    <w:trHeight w:hRule="exact" w:val="864"/>
                  </w:trPr>
                  <w:tc>
                    <w:tcPr>
                      <w:tcW w:w="4838" w:type="dxa"/>
                      <w:vAlign w:val="bottom"/>
                    </w:tcPr>
                    <w:p w:rsidR="00737B35" w:rsidRDefault="00737B35">
                      <w:pPr>
                        <w:pStyle w:val="Header"/>
                        <w:spacing w:after="80"/>
                        <w:rPr>
                          <w:b/>
                          <w:sz w:val="17"/>
                        </w:rPr>
                      </w:pPr>
                      <w:r>
                        <w:rPr>
                          <w:b/>
                          <w:sz w:val="17"/>
                        </w:rPr>
                        <w:t>CEDAW/C/LAO/1-5</w:t>
                      </w:r>
                    </w:p>
                  </w:tc>
                  <w:tc>
                    <w:tcPr>
                      <w:tcW w:w="5048" w:type="dxa"/>
                      <w:vAlign w:val="bottom"/>
                    </w:tcPr>
                    <w:p w:rsidR="00737B35" w:rsidRDefault="00737B35">
                      <w:pPr>
                        <w:pStyle w:val="Header"/>
                      </w:pPr>
                    </w:p>
                  </w:tc>
                </w:tr>
              </w:tbl>
              <w:p w:rsidR="00737B35" w:rsidRDefault="00737B3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B35" w:rsidRDefault="00737B35">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37B35">
                  <w:tblPrEx>
                    <w:tblCellMar>
                      <w:top w:w="0" w:type="dxa"/>
                      <w:bottom w:w="0" w:type="dxa"/>
                    </w:tblCellMar>
                  </w:tblPrEx>
                  <w:trPr>
                    <w:trHeight w:hRule="exact" w:val="864"/>
                  </w:trPr>
                  <w:tc>
                    <w:tcPr>
                      <w:tcW w:w="4838" w:type="dxa"/>
                      <w:vAlign w:val="bottom"/>
                    </w:tcPr>
                    <w:p w:rsidR="00737B35" w:rsidRDefault="00737B35">
                      <w:pPr>
                        <w:pStyle w:val="Header"/>
                      </w:pPr>
                    </w:p>
                  </w:tc>
                  <w:tc>
                    <w:tcPr>
                      <w:tcW w:w="5048" w:type="dxa"/>
                      <w:vAlign w:val="bottom"/>
                    </w:tcPr>
                    <w:p w:rsidR="00737B35" w:rsidRDefault="00737B35">
                      <w:pPr>
                        <w:pStyle w:val="Header"/>
                        <w:spacing w:after="80"/>
                        <w:jc w:val="right"/>
                        <w:rPr>
                          <w:b/>
                          <w:sz w:val="17"/>
                        </w:rPr>
                      </w:pPr>
                      <w:r>
                        <w:rPr>
                          <w:b/>
                          <w:sz w:val="17"/>
                        </w:rPr>
                        <w:t>CEDAW/C/LAO/1-5</w:t>
                      </w:r>
                    </w:p>
                  </w:tc>
                </w:tr>
              </w:tbl>
              <w:p w:rsidR="00737B35" w:rsidRDefault="00737B3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37B35">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37B35" w:rsidRDefault="00737B35">
          <w:pPr>
            <w:pStyle w:val="Header"/>
            <w:spacing w:after="120"/>
          </w:pPr>
        </w:p>
      </w:tc>
      <w:tc>
        <w:tcPr>
          <w:tcW w:w="1872" w:type="dxa"/>
          <w:tcBorders>
            <w:top w:val="nil"/>
            <w:left w:val="nil"/>
            <w:bottom w:val="single" w:sz="4" w:space="0" w:color="auto"/>
            <w:right w:val="nil"/>
          </w:tcBorders>
          <w:vAlign w:val="bottom"/>
        </w:tcPr>
        <w:p w:rsidR="00737B35" w:rsidRDefault="00737B35">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737B35" w:rsidRDefault="00737B35">
          <w:pPr>
            <w:pStyle w:val="Header"/>
            <w:spacing w:after="120"/>
          </w:pPr>
        </w:p>
      </w:tc>
      <w:tc>
        <w:tcPr>
          <w:tcW w:w="6523" w:type="dxa"/>
          <w:gridSpan w:val="3"/>
          <w:tcBorders>
            <w:top w:val="nil"/>
            <w:left w:val="nil"/>
            <w:bottom w:val="single" w:sz="4" w:space="0" w:color="auto"/>
            <w:right w:val="nil"/>
          </w:tcBorders>
          <w:vAlign w:val="bottom"/>
        </w:tcPr>
        <w:p w:rsidR="00737B35" w:rsidRDefault="00737B35">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/C/LAO/1-5</w:t>
          </w:r>
        </w:p>
      </w:tc>
    </w:tr>
    <w:tr w:rsidR="00737B35">
      <w:tblPrEx>
        <w:tblCellMar>
          <w:top w:w="0" w:type="dxa"/>
          <w:bottom w:w="0" w:type="dxa"/>
        </w:tblCellMar>
      </w:tblPrEx>
      <w:trPr>
        <w:trHeight w:hRule="exact" w:val="2880"/>
      </w:trPr>
      <w:tc>
        <w:tcPr>
          <w:tcW w:w="1267" w:type="dxa"/>
          <w:tcBorders>
            <w:left w:val="nil"/>
            <w:bottom w:val="single" w:sz="12" w:space="0" w:color="auto"/>
            <w:right w:val="nil"/>
          </w:tcBorders>
        </w:tcPr>
        <w:p w:rsidR="00737B35" w:rsidRDefault="00737B35">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737B35" w:rsidRDefault="00737B35">
          <w:pPr>
            <w:pStyle w:val="Header"/>
            <w:spacing w:before="109"/>
            <w:ind w:left="-72"/>
          </w:pPr>
        </w:p>
      </w:tc>
      <w:tc>
        <w:tcPr>
          <w:tcW w:w="5227" w:type="dxa"/>
          <w:gridSpan w:val="3"/>
          <w:tcBorders>
            <w:left w:val="nil"/>
            <w:bottom w:val="single" w:sz="12" w:space="0" w:color="auto"/>
            <w:right w:val="nil"/>
          </w:tcBorders>
        </w:tcPr>
        <w:p w:rsidR="00737B35" w:rsidRDefault="00737B35">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737B35" w:rsidRDefault="00737B35">
          <w:pPr>
            <w:pStyle w:val="Header"/>
            <w:spacing w:before="109"/>
          </w:pPr>
        </w:p>
      </w:tc>
      <w:tc>
        <w:tcPr>
          <w:tcW w:w="3180" w:type="dxa"/>
          <w:gridSpan w:val="2"/>
          <w:tcBorders>
            <w:left w:val="nil"/>
            <w:bottom w:val="single" w:sz="12" w:space="0" w:color="auto"/>
            <w:right w:val="nil"/>
          </w:tcBorders>
        </w:tcPr>
        <w:p w:rsidR="00737B35" w:rsidRDefault="00737B35">
          <w:pPr>
            <w:spacing w:before="240" w:line="240" w:lineRule="exact"/>
            <w:rPr>
              <w:rFonts w:ascii="Times New Roman"/>
            </w:rPr>
          </w:pPr>
          <w:r>
            <w:rPr>
              <w:rFonts w:ascii="Times New Roman"/>
            </w:rPr>
            <w:t>Distr.: General</w:t>
          </w:r>
        </w:p>
        <w:p w:rsidR="00737B35" w:rsidRDefault="00737B35">
          <w:pPr>
            <w:spacing w:line="240" w:lineRule="exact"/>
            <w:rPr>
              <w:rFonts w:ascii="Times New Roman"/>
            </w:rPr>
          </w:pPr>
          <w:r>
            <w:rPr>
              <w:rFonts w:ascii="Times New Roman"/>
            </w:rPr>
            <w:t>18 August 2003</w:t>
          </w:r>
        </w:p>
        <w:p w:rsidR="00737B35" w:rsidRDefault="00737B35">
          <w:pPr>
            <w:spacing w:line="240" w:lineRule="exact"/>
            <w:rPr>
              <w:rFonts w:ascii="Times New Roman"/>
            </w:rPr>
          </w:pPr>
          <w:r>
            <w:rPr>
              <w:rFonts w:ascii="Times New Roman"/>
            </w:rPr>
            <w:t>Chinese</w:t>
          </w:r>
        </w:p>
        <w:p w:rsidR="00737B35" w:rsidRDefault="00737B35">
          <w:pPr>
            <w:spacing w:line="240" w:lineRule="exact"/>
            <w:rPr>
              <w:rFonts w:ascii="Times New Roman"/>
            </w:rPr>
          </w:pPr>
          <w:r>
            <w:rPr>
              <w:rFonts w:ascii="Times New Roman"/>
            </w:rPr>
            <w:t>Original: English</w:t>
          </w:r>
        </w:p>
      </w:tc>
    </w:tr>
  </w:tbl>
  <w:p w:rsidR="00737B35" w:rsidRDefault="00737B3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11/2003 10:14 AM"/>
    <w:docVar w:name="DocCategory" w:val="Doc"/>
    <w:docVar w:name="DocType" w:val="Final"/>
    <w:docVar w:name="JobNo" w:val="0346952C"/>
    <w:docVar w:name="OandT" w:val="CAO"/>
    <w:docVar w:name="Symbol1" w:val="CEDAW/C/LAO/1-5"/>
    <w:docVar w:name="Symbol2" w:val="-"/>
  </w:docVars>
  <w:rsids>
    <w:rsidRoot w:val="00737B35"/>
    <w:rsid w:val="00335557"/>
    <w:rsid w:val="00737B3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737B3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144</TotalTime>
  <Pages>66</Pages>
  <Words>8681</Words>
  <Characters>49485</Characters>
  <Application>Microsoft Office Word</Application>
  <DocSecurity>4</DocSecurity>
  <Lines>412</Lines>
  <Paragraphs>116</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58050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DGAACS</cp:lastModifiedBy>
  <cp:revision>29</cp:revision>
  <cp:lastPrinted>2003-11-26T12:52:00Z</cp:lastPrinted>
  <dcterms:created xsi:type="dcterms:W3CDTF">2003-11-26T08:14:00Z</dcterms:created>
  <dcterms:modified xsi:type="dcterms:W3CDTF">2003-11-26T16:04:00Z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0346952</vt:lpwstr>
  </property>
  <property fmtid="{D5CDD505-2E9C-101B-9397-08002B2CF9AE}" pid="3" name="Symbol1">
    <vt:lpwstr>CEDAW/C/LAO/1-5</vt:lpwstr>
  </property>
  <property fmtid="{D5CDD505-2E9C-101B-9397-08002B2CF9AE}" pid="4" name="Symbol2">
    <vt:lpwstr/>
  </property>
  <property fmtid="{D5CDD505-2E9C-101B-9397-08002B2CF9AE}" pid="5" name="Translator">
    <vt:lpwstr/>
  </property>
  <property fmtid="{D5CDD505-2E9C-101B-9397-08002B2CF9AE}" pid="6" name="Operator">
    <vt:lpwstr>CAO</vt:lpwstr>
  </property>
  <property fmtid="{D5CDD505-2E9C-101B-9397-08002B2CF9AE}" pid="7" name="DraftPages">
    <vt:lpwstr> </vt:lpwstr>
  </property>
  <property fmtid="{D5CDD505-2E9C-101B-9397-08002B2CF9AE}" pid="8" name="Comment">
    <vt:lpwstr/>
  </property>
</Properties>
</file>